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oter4.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footer5.xml" ContentType="application/vnd.openxmlformats-officedocument.wordprocessingml.foot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footer6.xml" ContentType="application/vnd.openxmlformats-officedocument.wordprocessingml.foot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footer7.xml" ContentType="application/vnd.openxmlformats-officedocument.wordprocessingml.foot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footer8.xml" ContentType="application/vnd.openxmlformats-officedocument.wordprocessingml.foot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footer9.xml" ContentType="application/vnd.openxmlformats-officedocument.wordprocessingml.foot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footer10.xml" ContentType="application/vnd.openxmlformats-officedocument.wordprocessingml.foot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footer11.xml" ContentType="application/vnd.openxmlformats-officedocument.wordprocessingml.footer+xml"/>
  <Override PartName="/word/header29.xml" ContentType="application/vnd.openxmlformats-officedocument.wordprocessingml.header+xml"/>
  <Override PartName="/word/header30.xml" ContentType="application/vnd.openxmlformats-officedocument.wordprocessingml.header+xml"/>
  <Override PartName="/word/header31.xml" ContentType="application/vnd.openxmlformats-officedocument.wordprocessingml.header+xml"/>
  <Override PartName="/word/footer12.xml" ContentType="application/vnd.openxmlformats-officedocument.wordprocessingml.footer+xml"/>
  <Override PartName="/word/header32.xml" ContentType="application/vnd.openxmlformats-officedocument.wordprocessingml.header+xml"/>
  <Override PartName="/word/header33.xml" ContentType="application/vnd.openxmlformats-officedocument.wordprocessingml.header+xml"/>
  <Override PartName="/word/header34.xml" ContentType="application/vnd.openxmlformats-officedocument.wordprocessingml.header+xml"/>
  <Override PartName="/word/header35.xml" ContentType="application/vnd.openxmlformats-officedocument.wordprocessingml.header+xml"/>
  <Override PartName="/word/header36.xml" ContentType="application/vnd.openxmlformats-officedocument.wordprocessingml.header+xml"/>
  <Override PartName="/word/header37.xml" ContentType="application/vnd.openxmlformats-officedocument.wordprocessingml.header+xml"/>
  <Override PartName="/word/footer13.xml" ContentType="application/vnd.openxmlformats-officedocument.wordprocessingml.footer+xml"/>
  <Override PartName="/word/header38.xml" ContentType="application/vnd.openxmlformats-officedocument.wordprocessingml.header+xml"/>
  <Override PartName="/word/header39.xml" ContentType="application/vnd.openxmlformats-officedocument.wordprocessingml.header+xml"/>
  <Override PartName="/word/header40.xml" ContentType="application/vnd.openxmlformats-officedocument.wordprocessingml.header+xml"/>
  <Override PartName="/word/footer14.xml" ContentType="application/vnd.openxmlformats-officedocument.wordprocessingml.footer+xml"/>
  <Override PartName="/word/header41.xml" ContentType="application/vnd.openxmlformats-officedocument.wordprocessingml.header+xml"/>
  <Override PartName="/word/header42.xml" ContentType="application/vnd.openxmlformats-officedocument.wordprocessingml.header+xml"/>
  <Override PartName="/word/header43.xml" ContentType="application/vnd.openxmlformats-officedocument.wordprocessingml.header+xml"/>
  <Override PartName="/word/footer15.xml" ContentType="application/vnd.openxmlformats-officedocument.wordprocessingml.footer+xml"/>
  <Override PartName="/word/header44.xml" ContentType="application/vnd.openxmlformats-officedocument.wordprocessingml.header+xml"/>
  <Override PartName="/word/header45.xml" ContentType="application/vnd.openxmlformats-officedocument.wordprocessingml.header+xml"/>
  <Override PartName="/word/header46.xml" ContentType="application/vnd.openxmlformats-officedocument.wordprocessingml.header+xml"/>
  <Override PartName="/word/footer16.xml" ContentType="application/vnd.openxmlformats-officedocument.wordprocessingml.footer+xml"/>
  <Override PartName="/word/header4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12900BC" w14:textId="77777777" w:rsidR="00022B6D" w:rsidRPr="00CF7D4D" w:rsidRDefault="00022B6D" w:rsidP="00022B6D">
      <w:pPr>
        <w:rPr>
          <w:sz w:val="344"/>
          <w:szCs w:val="344"/>
        </w:rPr>
      </w:pPr>
    </w:p>
    <w:p w14:paraId="2D0E07B6" w14:textId="77777777" w:rsidR="00345EA0" w:rsidRPr="00345EA0" w:rsidRDefault="00632257" w:rsidP="00345EA0">
      <w:pPr>
        <w:spacing w:after="400"/>
        <w:ind w:left="-142" w:right="-568"/>
        <w:rPr>
          <w:color w:val="007BC1"/>
          <w:sz w:val="40"/>
          <w:szCs w:val="40"/>
        </w:rPr>
      </w:pPr>
      <w:r>
        <w:rPr>
          <w:color w:val="007BC1"/>
          <w:sz w:val="40"/>
          <w:szCs w:val="40"/>
        </w:rPr>
        <w:t xml:space="preserve">Capacity Trading </w:t>
      </w:r>
      <w:r w:rsidR="00345EA0">
        <w:rPr>
          <w:color w:val="007BC1"/>
          <w:sz w:val="40"/>
          <w:szCs w:val="40"/>
        </w:rPr>
        <w:t>Reform Package</w:t>
      </w:r>
      <w:r w:rsidR="00AD45B2">
        <w:rPr>
          <w:color w:val="007BC1"/>
          <w:sz w:val="40"/>
          <w:szCs w:val="40"/>
        </w:rPr>
        <w:t xml:space="preserve"> </w:t>
      </w:r>
      <w:r w:rsidR="00AD45B2">
        <w:rPr>
          <w:color w:val="007BC1"/>
          <w:sz w:val="40"/>
          <w:szCs w:val="40"/>
        </w:rPr>
        <w:br/>
        <w:t>(</w:t>
      </w:r>
      <w:r w:rsidR="00FC333B">
        <w:rPr>
          <w:color w:val="007BC1"/>
          <w:sz w:val="40"/>
          <w:szCs w:val="40"/>
        </w:rPr>
        <w:t>S</w:t>
      </w:r>
      <w:r w:rsidR="00AD45B2">
        <w:rPr>
          <w:color w:val="007BC1"/>
          <w:sz w:val="40"/>
          <w:szCs w:val="40"/>
        </w:rPr>
        <w:t>tandardisation, capacity trading platform</w:t>
      </w:r>
      <w:r w:rsidR="000645EA">
        <w:rPr>
          <w:color w:val="007BC1"/>
          <w:sz w:val="40"/>
          <w:szCs w:val="40"/>
        </w:rPr>
        <w:t xml:space="preserve"> and</w:t>
      </w:r>
      <w:r w:rsidR="00AD45B2">
        <w:rPr>
          <w:color w:val="007BC1"/>
          <w:sz w:val="40"/>
          <w:szCs w:val="40"/>
        </w:rPr>
        <w:t xml:space="preserve"> reporting framework</w:t>
      </w:r>
      <w:r w:rsidR="000645EA">
        <w:rPr>
          <w:color w:val="007BC1"/>
          <w:sz w:val="40"/>
          <w:szCs w:val="40"/>
        </w:rPr>
        <w:t xml:space="preserve"> for secondary trades</w:t>
      </w:r>
      <w:r w:rsidR="00AD45B2">
        <w:rPr>
          <w:color w:val="007BC1"/>
          <w:sz w:val="40"/>
          <w:szCs w:val="40"/>
        </w:rPr>
        <w:t>)</w:t>
      </w:r>
    </w:p>
    <w:p w14:paraId="0E4A9BAD" w14:textId="77777777" w:rsidR="00493401" w:rsidRPr="00FC333B" w:rsidRDefault="00345EA0" w:rsidP="00FC333B">
      <w:pPr>
        <w:pStyle w:val="Subtitle"/>
        <w:ind w:left="-142" w:right="-1"/>
        <w:rPr>
          <w:rFonts w:asciiTheme="majorHAnsi" w:hAnsiTheme="majorHAnsi" w:cstheme="majorHAnsi"/>
          <w:b/>
          <w:color w:val="auto"/>
          <w:sz w:val="36"/>
          <w:szCs w:val="36"/>
        </w:rPr>
      </w:pPr>
      <w:bookmarkStart w:id="0" w:name="_Hlk487713733"/>
      <w:r w:rsidRPr="00FC333B">
        <w:rPr>
          <w:rFonts w:asciiTheme="majorHAnsi" w:hAnsiTheme="majorHAnsi" w:cstheme="majorHAnsi"/>
          <w:b/>
          <w:color w:val="auto"/>
          <w:sz w:val="36"/>
          <w:szCs w:val="36"/>
        </w:rPr>
        <w:t xml:space="preserve">Final Recommendations </w:t>
      </w:r>
    </w:p>
    <w:p w14:paraId="5F42E50E" w14:textId="77777777" w:rsidR="00493401" w:rsidRPr="002412D5" w:rsidRDefault="00345EA0" w:rsidP="00FB0886">
      <w:pPr>
        <w:pStyle w:val="Date"/>
        <w:ind w:left="-142"/>
        <w:rPr>
          <w:sz w:val="28"/>
          <w:szCs w:val="28"/>
        </w:rPr>
      </w:pPr>
      <w:r>
        <w:rPr>
          <w:sz w:val="28"/>
          <w:szCs w:val="28"/>
        </w:rPr>
        <w:t>November</w:t>
      </w:r>
      <w:r w:rsidR="00493401" w:rsidRPr="002412D5">
        <w:rPr>
          <w:sz w:val="28"/>
          <w:szCs w:val="28"/>
        </w:rPr>
        <w:t xml:space="preserve"> 2017</w:t>
      </w:r>
    </w:p>
    <w:bookmarkEnd w:id="0"/>
    <w:p w14:paraId="245A468B" w14:textId="77777777" w:rsidR="00493401" w:rsidRDefault="00493401" w:rsidP="00493401"/>
    <w:p w14:paraId="36511106" w14:textId="77777777" w:rsidR="00493401" w:rsidRPr="00CF7D4D" w:rsidRDefault="00493401" w:rsidP="00493401">
      <w:pPr>
        <w:rPr>
          <w:sz w:val="344"/>
          <w:szCs w:val="344"/>
        </w:rPr>
      </w:pPr>
    </w:p>
    <w:p w14:paraId="5F06D471" w14:textId="77777777" w:rsidR="00570893" w:rsidRDefault="00493401">
      <w:pPr>
        <w:rPr>
          <w:rFonts w:eastAsiaTheme="minorEastAsia"/>
        </w:rPr>
        <w:sectPr w:rsidR="00570893" w:rsidSect="00CF1252">
          <w:headerReference w:type="default" r:id="rId11"/>
          <w:footerReference w:type="even" r:id="rId12"/>
          <w:headerReference w:type="first" r:id="rId13"/>
          <w:footerReference w:type="first" r:id="rId14"/>
          <w:type w:val="continuous"/>
          <w:pgSz w:w="11907" w:h="16840" w:code="9"/>
          <w:pgMar w:top="1361" w:right="1418" w:bottom="992" w:left="1701" w:header="567" w:footer="397" w:gutter="0"/>
          <w:pgNumType w:fmt="lowerRoman"/>
          <w:cols w:space="708"/>
          <w:titlePg/>
          <w:docGrid w:linePitch="360"/>
        </w:sectPr>
      </w:pPr>
      <w:r>
        <w:rPr>
          <w:noProof/>
        </w:rPr>
        <w:drawing>
          <wp:inline distT="0" distB="0" distL="0" distR="0" wp14:anchorId="5A97FB26" wp14:editId="138AC2BD">
            <wp:extent cx="2857500" cy="838200"/>
            <wp:effectExtent l="0" t="0" r="0" b="0"/>
            <wp:docPr id="1" name="Picture 1" descr="Gas Market Reform Group Logo" title="Gas Market Reform Group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Katherine Lowe\AppData\Local\Microsoft\Windows\INetCacheContent.Word\GMRG-logo-small.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57500" cy="838200"/>
                    </a:xfrm>
                    <a:prstGeom prst="rect">
                      <a:avLst/>
                    </a:prstGeom>
                    <a:noFill/>
                    <a:ln>
                      <a:noFill/>
                    </a:ln>
                  </pic:spPr>
                </pic:pic>
              </a:graphicData>
            </a:graphic>
          </wp:inline>
        </w:drawing>
      </w:r>
    </w:p>
    <w:p w14:paraId="2410D4E9" w14:textId="77777777" w:rsidR="00AA3026" w:rsidRPr="00DE2084" w:rsidRDefault="00AA3026" w:rsidP="00E2663A">
      <w:pPr>
        <w:pStyle w:val="TOCHeading"/>
        <w:spacing w:after="240"/>
      </w:pPr>
      <w:r w:rsidRPr="00DE2084">
        <w:lastRenderedPageBreak/>
        <w:t>Contents</w:t>
      </w:r>
    </w:p>
    <w:p w14:paraId="42F53E08" w14:textId="77777777" w:rsidR="00537991" w:rsidRDefault="00CC006A">
      <w:pPr>
        <w:pStyle w:val="TOC1"/>
        <w:rPr>
          <w:rFonts w:asciiTheme="minorHAnsi" w:eastAsiaTheme="minorEastAsia" w:hAnsiTheme="minorHAnsi"/>
          <w:b w:val="0"/>
          <w:lang w:eastAsia="en-AU"/>
        </w:rPr>
      </w:pPr>
      <w:r>
        <w:rPr>
          <w:rFonts w:eastAsiaTheme="minorEastAsia"/>
          <w:b w:val="0"/>
        </w:rPr>
        <w:fldChar w:fldCharType="begin"/>
      </w:r>
      <w:r>
        <w:rPr>
          <w:rFonts w:eastAsiaTheme="minorEastAsia"/>
          <w:b w:val="0"/>
        </w:rPr>
        <w:instrText xml:space="preserve"> TOC \o "1-2" \h \z \u </w:instrText>
      </w:r>
      <w:r>
        <w:rPr>
          <w:rFonts w:eastAsiaTheme="minorEastAsia"/>
          <w:b w:val="0"/>
        </w:rPr>
        <w:fldChar w:fldCharType="separate"/>
      </w:r>
      <w:hyperlink w:anchor="_Toc499542634" w:history="1">
        <w:r w:rsidR="00537991" w:rsidRPr="006D7891">
          <w:rPr>
            <w:rStyle w:val="Hyperlink"/>
          </w:rPr>
          <w:t>Abbreviations</w:t>
        </w:r>
        <w:r w:rsidR="00537991">
          <w:rPr>
            <w:webHidden/>
          </w:rPr>
          <w:tab/>
        </w:r>
        <w:r w:rsidR="00537991">
          <w:rPr>
            <w:webHidden/>
          </w:rPr>
          <w:fldChar w:fldCharType="begin"/>
        </w:r>
        <w:r w:rsidR="00537991">
          <w:rPr>
            <w:webHidden/>
          </w:rPr>
          <w:instrText xml:space="preserve"> PAGEREF _Toc499542634 \h </w:instrText>
        </w:r>
        <w:r w:rsidR="00537991">
          <w:rPr>
            <w:webHidden/>
          </w:rPr>
        </w:r>
        <w:r w:rsidR="00537991">
          <w:rPr>
            <w:webHidden/>
          </w:rPr>
          <w:fldChar w:fldCharType="separate"/>
        </w:r>
        <w:r w:rsidR="00761861">
          <w:rPr>
            <w:webHidden/>
          </w:rPr>
          <w:t>iii</w:t>
        </w:r>
        <w:r w:rsidR="00537991">
          <w:rPr>
            <w:webHidden/>
          </w:rPr>
          <w:fldChar w:fldCharType="end"/>
        </w:r>
      </w:hyperlink>
    </w:p>
    <w:p w14:paraId="5559A1F4" w14:textId="77777777" w:rsidR="00537991" w:rsidRDefault="00431C3A">
      <w:pPr>
        <w:pStyle w:val="TOC1"/>
        <w:rPr>
          <w:rFonts w:asciiTheme="minorHAnsi" w:eastAsiaTheme="minorEastAsia" w:hAnsiTheme="minorHAnsi"/>
          <w:b w:val="0"/>
          <w:lang w:eastAsia="en-AU"/>
        </w:rPr>
      </w:pPr>
      <w:hyperlink w:anchor="_Toc499542635" w:history="1">
        <w:r w:rsidR="00537991" w:rsidRPr="006D7891">
          <w:rPr>
            <w:rStyle w:val="Hyperlink"/>
          </w:rPr>
          <w:t>1.</w:t>
        </w:r>
        <w:r w:rsidR="00537991">
          <w:rPr>
            <w:rFonts w:asciiTheme="minorHAnsi" w:eastAsiaTheme="minorEastAsia" w:hAnsiTheme="minorHAnsi"/>
            <w:b w:val="0"/>
            <w:lang w:eastAsia="en-AU"/>
          </w:rPr>
          <w:tab/>
        </w:r>
        <w:r w:rsidR="00537991" w:rsidRPr="006D7891">
          <w:rPr>
            <w:rStyle w:val="Hyperlink"/>
          </w:rPr>
          <w:t>Introduction and Summary</w:t>
        </w:r>
        <w:r w:rsidR="00537991">
          <w:rPr>
            <w:webHidden/>
          </w:rPr>
          <w:tab/>
        </w:r>
        <w:r w:rsidR="00537991">
          <w:rPr>
            <w:webHidden/>
          </w:rPr>
          <w:fldChar w:fldCharType="begin"/>
        </w:r>
        <w:r w:rsidR="00537991">
          <w:rPr>
            <w:webHidden/>
          </w:rPr>
          <w:instrText xml:space="preserve"> PAGEREF _Toc499542635 \h </w:instrText>
        </w:r>
        <w:r w:rsidR="00537991">
          <w:rPr>
            <w:webHidden/>
          </w:rPr>
        </w:r>
        <w:r w:rsidR="00537991">
          <w:rPr>
            <w:webHidden/>
          </w:rPr>
          <w:fldChar w:fldCharType="separate"/>
        </w:r>
        <w:r w:rsidR="00761861">
          <w:rPr>
            <w:webHidden/>
          </w:rPr>
          <w:t>1</w:t>
        </w:r>
        <w:r w:rsidR="00537991">
          <w:rPr>
            <w:webHidden/>
          </w:rPr>
          <w:fldChar w:fldCharType="end"/>
        </w:r>
      </w:hyperlink>
    </w:p>
    <w:p w14:paraId="6AA700CE" w14:textId="77777777" w:rsidR="00537991" w:rsidRDefault="00431C3A">
      <w:pPr>
        <w:pStyle w:val="TOC2"/>
        <w:rPr>
          <w:rFonts w:asciiTheme="minorHAnsi" w:eastAsiaTheme="minorEastAsia" w:hAnsiTheme="minorHAnsi"/>
          <w:lang w:eastAsia="en-AU"/>
        </w:rPr>
      </w:pPr>
      <w:hyperlink w:anchor="_Toc499542636" w:history="1">
        <w:r w:rsidR="00537991" w:rsidRPr="006D7891">
          <w:rPr>
            <w:rStyle w:val="Hyperlink"/>
          </w:rPr>
          <w:t>1.1</w:t>
        </w:r>
        <w:r w:rsidR="00537991">
          <w:rPr>
            <w:rFonts w:asciiTheme="minorHAnsi" w:eastAsiaTheme="minorEastAsia" w:hAnsiTheme="minorHAnsi"/>
            <w:lang w:eastAsia="en-AU"/>
          </w:rPr>
          <w:tab/>
        </w:r>
        <w:r w:rsidR="00537991" w:rsidRPr="006D7891">
          <w:rPr>
            <w:rStyle w:val="Hyperlink"/>
          </w:rPr>
          <w:t>Progression of the capacity trading reform package</w:t>
        </w:r>
        <w:r w:rsidR="00537991">
          <w:rPr>
            <w:webHidden/>
          </w:rPr>
          <w:tab/>
        </w:r>
        <w:r w:rsidR="00537991">
          <w:rPr>
            <w:webHidden/>
          </w:rPr>
          <w:fldChar w:fldCharType="begin"/>
        </w:r>
        <w:r w:rsidR="00537991">
          <w:rPr>
            <w:webHidden/>
          </w:rPr>
          <w:instrText xml:space="preserve"> PAGEREF _Toc499542636 \h </w:instrText>
        </w:r>
        <w:r w:rsidR="00537991">
          <w:rPr>
            <w:webHidden/>
          </w:rPr>
        </w:r>
        <w:r w:rsidR="00537991">
          <w:rPr>
            <w:webHidden/>
          </w:rPr>
          <w:fldChar w:fldCharType="separate"/>
        </w:r>
        <w:r w:rsidR="00761861">
          <w:rPr>
            <w:webHidden/>
          </w:rPr>
          <w:t>3</w:t>
        </w:r>
        <w:r w:rsidR="00537991">
          <w:rPr>
            <w:webHidden/>
          </w:rPr>
          <w:fldChar w:fldCharType="end"/>
        </w:r>
      </w:hyperlink>
    </w:p>
    <w:p w14:paraId="23D6BFA5" w14:textId="77777777" w:rsidR="00537991" w:rsidRDefault="00431C3A">
      <w:pPr>
        <w:pStyle w:val="TOC2"/>
        <w:rPr>
          <w:rFonts w:asciiTheme="minorHAnsi" w:eastAsiaTheme="minorEastAsia" w:hAnsiTheme="minorHAnsi"/>
          <w:lang w:eastAsia="en-AU"/>
        </w:rPr>
      </w:pPr>
      <w:hyperlink w:anchor="_Toc499542637" w:history="1">
        <w:r w:rsidR="00537991" w:rsidRPr="006D7891">
          <w:rPr>
            <w:rStyle w:val="Hyperlink"/>
          </w:rPr>
          <w:t>1.2</w:t>
        </w:r>
        <w:r w:rsidR="00537991">
          <w:rPr>
            <w:rFonts w:asciiTheme="minorHAnsi" w:eastAsiaTheme="minorEastAsia" w:hAnsiTheme="minorHAnsi"/>
            <w:lang w:eastAsia="en-AU"/>
          </w:rPr>
          <w:tab/>
        </w:r>
        <w:r w:rsidR="00537991" w:rsidRPr="006D7891">
          <w:rPr>
            <w:rStyle w:val="Hyperlink"/>
          </w:rPr>
          <w:t>Consultation on the capacity trading reform package</w:t>
        </w:r>
        <w:r w:rsidR="00537991">
          <w:rPr>
            <w:webHidden/>
          </w:rPr>
          <w:tab/>
        </w:r>
        <w:r w:rsidR="00537991">
          <w:rPr>
            <w:webHidden/>
          </w:rPr>
          <w:fldChar w:fldCharType="begin"/>
        </w:r>
        <w:r w:rsidR="00537991">
          <w:rPr>
            <w:webHidden/>
          </w:rPr>
          <w:instrText xml:space="preserve"> PAGEREF _Toc499542637 \h </w:instrText>
        </w:r>
        <w:r w:rsidR="00537991">
          <w:rPr>
            <w:webHidden/>
          </w:rPr>
        </w:r>
        <w:r w:rsidR="00537991">
          <w:rPr>
            <w:webHidden/>
          </w:rPr>
          <w:fldChar w:fldCharType="separate"/>
        </w:r>
        <w:r w:rsidR="00761861">
          <w:rPr>
            <w:webHidden/>
          </w:rPr>
          <w:t>4</w:t>
        </w:r>
        <w:r w:rsidR="00537991">
          <w:rPr>
            <w:webHidden/>
          </w:rPr>
          <w:fldChar w:fldCharType="end"/>
        </w:r>
      </w:hyperlink>
    </w:p>
    <w:p w14:paraId="0082EA7F" w14:textId="77777777" w:rsidR="00537991" w:rsidRDefault="00431C3A">
      <w:pPr>
        <w:pStyle w:val="TOC2"/>
        <w:rPr>
          <w:rFonts w:asciiTheme="minorHAnsi" w:eastAsiaTheme="minorEastAsia" w:hAnsiTheme="minorHAnsi"/>
          <w:lang w:eastAsia="en-AU"/>
        </w:rPr>
      </w:pPr>
      <w:hyperlink w:anchor="_Toc499542638" w:history="1">
        <w:r w:rsidR="00537991" w:rsidRPr="006D7891">
          <w:rPr>
            <w:rStyle w:val="Hyperlink"/>
          </w:rPr>
          <w:t>1.3</w:t>
        </w:r>
        <w:r w:rsidR="00537991">
          <w:rPr>
            <w:rFonts w:asciiTheme="minorHAnsi" w:eastAsiaTheme="minorEastAsia" w:hAnsiTheme="minorHAnsi"/>
            <w:lang w:eastAsia="en-AU"/>
          </w:rPr>
          <w:tab/>
        </w:r>
        <w:r w:rsidR="00537991" w:rsidRPr="006D7891">
          <w:rPr>
            <w:rStyle w:val="Hyperlink"/>
          </w:rPr>
          <w:t>Final recommendations</w:t>
        </w:r>
        <w:r w:rsidR="00537991">
          <w:rPr>
            <w:webHidden/>
          </w:rPr>
          <w:tab/>
        </w:r>
        <w:r w:rsidR="00537991">
          <w:rPr>
            <w:webHidden/>
          </w:rPr>
          <w:fldChar w:fldCharType="begin"/>
        </w:r>
        <w:r w:rsidR="00537991">
          <w:rPr>
            <w:webHidden/>
          </w:rPr>
          <w:instrText xml:space="preserve"> PAGEREF _Toc499542638 \h </w:instrText>
        </w:r>
        <w:r w:rsidR="00537991">
          <w:rPr>
            <w:webHidden/>
          </w:rPr>
        </w:r>
        <w:r w:rsidR="00537991">
          <w:rPr>
            <w:webHidden/>
          </w:rPr>
          <w:fldChar w:fldCharType="separate"/>
        </w:r>
        <w:r w:rsidR="00761861">
          <w:rPr>
            <w:webHidden/>
          </w:rPr>
          <w:t>5</w:t>
        </w:r>
        <w:r w:rsidR="00537991">
          <w:rPr>
            <w:webHidden/>
          </w:rPr>
          <w:fldChar w:fldCharType="end"/>
        </w:r>
      </w:hyperlink>
    </w:p>
    <w:p w14:paraId="396ABD8A" w14:textId="77777777" w:rsidR="00537991" w:rsidRDefault="00431C3A">
      <w:pPr>
        <w:pStyle w:val="TOC2"/>
        <w:rPr>
          <w:rFonts w:asciiTheme="minorHAnsi" w:eastAsiaTheme="minorEastAsia" w:hAnsiTheme="minorHAnsi"/>
          <w:lang w:eastAsia="en-AU"/>
        </w:rPr>
      </w:pPr>
      <w:hyperlink w:anchor="_Toc499542639" w:history="1">
        <w:r w:rsidR="00537991" w:rsidRPr="006D7891">
          <w:rPr>
            <w:rStyle w:val="Hyperlink"/>
          </w:rPr>
          <w:t>1.4</w:t>
        </w:r>
        <w:r w:rsidR="00537991">
          <w:rPr>
            <w:rFonts w:asciiTheme="minorHAnsi" w:eastAsiaTheme="minorEastAsia" w:hAnsiTheme="minorHAnsi"/>
            <w:lang w:eastAsia="en-AU"/>
          </w:rPr>
          <w:tab/>
        </w:r>
        <w:r w:rsidR="00537991" w:rsidRPr="006D7891">
          <w:rPr>
            <w:rStyle w:val="Hyperlink"/>
          </w:rPr>
          <w:t>How the capacity trading reform package will operate</w:t>
        </w:r>
        <w:r w:rsidR="00537991">
          <w:rPr>
            <w:webHidden/>
          </w:rPr>
          <w:tab/>
        </w:r>
        <w:r w:rsidR="00537991">
          <w:rPr>
            <w:webHidden/>
          </w:rPr>
          <w:fldChar w:fldCharType="begin"/>
        </w:r>
        <w:r w:rsidR="00537991">
          <w:rPr>
            <w:webHidden/>
          </w:rPr>
          <w:instrText xml:space="preserve"> PAGEREF _Toc499542639 \h </w:instrText>
        </w:r>
        <w:r w:rsidR="00537991">
          <w:rPr>
            <w:webHidden/>
          </w:rPr>
        </w:r>
        <w:r w:rsidR="00537991">
          <w:rPr>
            <w:webHidden/>
          </w:rPr>
          <w:fldChar w:fldCharType="separate"/>
        </w:r>
        <w:r w:rsidR="00761861">
          <w:rPr>
            <w:webHidden/>
          </w:rPr>
          <w:t>13</w:t>
        </w:r>
        <w:r w:rsidR="00537991">
          <w:rPr>
            <w:webHidden/>
          </w:rPr>
          <w:fldChar w:fldCharType="end"/>
        </w:r>
      </w:hyperlink>
    </w:p>
    <w:p w14:paraId="4EF621D6" w14:textId="77777777" w:rsidR="00537991" w:rsidRDefault="00431C3A">
      <w:pPr>
        <w:pStyle w:val="TOC2"/>
        <w:rPr>
          <w:rFonts w:asciiTheme="minorHAnsi" w:eastAsiaTheme="minorEastAsia" w:hAnsiTheme="minorHAnsi"/>
          <w:lang w:eastAsia="en-AU"/>
        </w:rPr>
      </w:pPr>
      <w:hyperlink w:anchor="_Toc499542640" w:history="1">
        <w:r w:rsidR="00537991" w:rsidRPr="006D7891">
          <w:rPr>
            <w:rStyle w:val="Hyperlink"/>
          </w:rPr>
          <w:t>1.5</w:t>
        </w:r>
        <w:r w:rsidR="00537991">
          <w:rPr>
            <w:rFonts w:asciiTheme="minorHAnsi" w:eastAsiaTheme="minorEastAsia" w:hAnsiTheme="minorHAnsi"/>
            <w:lang w:eastAsia="en-AU"/>
          </w:rPr>
          <w:tab/>
        </w:r>
        <w:r w:rsidR="00537991" w:rsidRPr="006D7891">
          <w:rPr>
            <w:rStyle w:val="Hyperlink"/>
          </w:rPr>
          <w:t>Next steps</w:t>
        </w:r>
        <w:r w:rsidR="00537991">
          <w:rPr>
            <w:webHidden/>
          </w:rPr>
          <w:tab/>
        </w:r>
        <w:r w:rsidR="00537991">
          <w:rPr>
            <w:webHidden/>
          </w:rPr>
          <w:fldChar w:fldCharType="begin"/>
        </w:r>
        <w:r w:rsidR="00537991">
          <w:rPr>
            <w:webHidden/>
          </w:rPr>
          <w:instrText xml:space="preserve"> PAGEREF _Toc499542640 \h </w:instrText>
        </w:r>
        <w:r w:rsidR="00537991">
          <w:rPr>
            <w:webHidden/>
          </w:rPr>
        </w:r>
        <w:r w:rsidR="00537991">
          <w:rPr>
            <w:webHidden/>
          </w:rPr>
          <w:fldChar w:fldCharType="separate"/>
        </w:r>
        <w:r w:rsidR="00761861">
          <w:rPr>
            <w:webHidden/>
          </w:rPr>
          <w:t>15</w:t>
        </w:r>
        <w:r w:rsidR="00537991">
          <w:rPr>
            <w:webHidden/>
          </w:rPr>
          <w:fldChar w:fldCharType="end"/>
        </w:r>
      </w:hyperlink>
    </w:p>
    <w:p w14:paraId="537CF7B7" w14:textId="77777777" w:rsidR="00537991" w:rsidRDefault="00431C3A">
      <w:pPr>
        <w:pStyle w:val="TOC2"/>
        <w:rPr>
          <w:rFonts w:asciiTheme="minorHAnsi" w:eastAsiaTheme="minorEastAsia" w:hAnsiTheme="minorHAnsi"/>
          <w:lang w:eastAsia="en-AU"/>
        </w:rPr>
      </w:pPr>
      <w:hyperlink w:anchor="_Toc499542641" w:history="1">
        <w:r w:rsidR="00537991" w:rsidRPr="006D7891">
          <w:rPr>
            <w:rStyle w:val="Hyperlink"/>
          </w:rPr>
          <w:t>1.6</w:t>
        </w:r>
        <w:r w:rsidR="00537991">
          <w:rPr>
            <w:rFonts w:asciiTheme="minorHAnsi" w:eastAsiaTheme="minorEastAsia" w:hAnsiTheme="minorHAnsi"/>
            <w:lang w:eastAsia="en-AU"/>
          </w:rPr>
          <w:tab/>
        </w:r>
        <w:r w:rsidR="00537991" w:rsidRPr="006D7891">
          <w:rPr>
            <w:rStyle w:val="Hyperlink"/>
          </w:rPr>
          <w:t>Structure of report</w:t>
        </w:r>
        <w:r w:rsidR="00537991">
          <w:rPr>
            <w:webHidden/>
          </w:rPr>
          <w:tab/>
        </w:r>
        <w:r w:rsidR="00537991">
          <w:rPr>
            <w:webHidden/>
          </w:rPr>
          <w:fldChar w:fldCharType="begin"/>
        </w:r>
        <w:r w:rsidR="00537991">
          <w:rPr>
            <w:webHidden/>
          </w:rPr>
          <w:instrText xml:space="preserve"> PAGEREF _Toc499542641 \h </w:instrText>
        </w:r>
        <w:r w:rsidR="00537991">
          <w:rPr>
            <w:webHidden/>
          </w:rPr>
        </w:r>
        <w:r w:rsidR="00537991">
          <w:rPr>
            <w:webHidden/>
          </w:rPr>
          <w:fldChar w:fldCharType="separate"/>
        </w:r>
        <w:r w:rsidR="00761861">
          <w:rPr>
            <w:webHidden/>
          </w:rPr>
          <w:t>16</w:t>
        </w:r>
        <w:r w:rsidR="00537991">
          <w:rPr>
            <w:webHidden/>
          </w:rPr>
          <w:fldChar w:fldCharType="end"/>
        </w:r>
      </w:hyperlink>
    </w:p>
    <w:p w14:paraId="7C3813AC" w14:textId="77777777" w:rsidR="00537991" w:rsidRDefault="00431C3A">
      <w:pPr>
        <w:pStyle w:val="TOC1"/>
        <w:rPr>
          <w:rFonts w:asciiTheme="minorHAnsi" w:eastAsiaTheme="minorEastAsia" w:hAnsiTheme="minorHAnsi"/>
          <w:b w:val="0"/>
          <w:lang w:eastAsia="en-AU"/>
        </w:rPr>
      </w:pPr>
      <w:hyperlink w:anchor="_Toc499542642" w:history="1">
        <w:r w:rsidR="00537991" w:rsidRPr="006D7891">
          <w:rPr>
            <w:rStyle w:val="Hyperlink"/>
          </w:rPr>
          <w:t>2.</w:t>
        </w:r>
        <w:r w:rsidR="00537991">
          <w:rPr>
            <w:rFonts w:asciiTheme="minorHAnsi" w:eastAsiaTheme="minorEastAsia" w:hAnsiTheme="minorHAnsi"/>
            <w:b w:val="0"/>
            <w:lang w:eastAsia="en-AU"/>
          </w:rPr>
          <w:tab/>
        </w:r>
        <w:r w:rsidR="00537991" w:rsidRPr="006D7891">
          <w:rPr>
            <w:rStyle w:val="Hyperlink"/>
          </w:rPr>
          <w:t>Overview of the Capacity Trading Reform Package</w:t>
        </w:r>
        <w:r w:rsidR="00537991">
          <w:rPr>
            <w:webHidden/>
          </w:rPr>
          <w:tab/>
        </w:r>
        <w:r w:rsidR="00537991">
          <w:rPr>
            <w:webHidden/>
          </w:rPr>
          <w:fldChar w:fldCharType="begin"/>
        </w:r>
        <w:r w:rsidR="00537991">
          <w:rPr>
            <w:webHidden/>
          </w:rPr>
          <w:instrText xml:space="preserve"> PAGEREF _Toc499542642 \h </w:instrText>
        </w:r>
        <w:r w:rsidR="00537991">
          <w:rPr>
            <w:webHidden/>
          </w:rPr>
        </w:r>
        <w:r w:rsidR="00537991">
          <w:rPr>
            <w:webHidden/>
          </w:rPr>
          <w:fldChar w:fldCharType="separate"/>
        </w:r>
        <w:r w:rsidR="00761861">
          <w:rPr>
            <w:webHidden/>
          </w:rPr>
          <w:t>18</w:t>
        </w:r>
        <w:r w:rsidR="00537991">
          <w:rPr>
            <w:webHidden/>
          </w:rPr>
          <w:fldChar w:fldCharType="end"/>
        </w:r>
      </w:hyperlink>
    </w:p>
    <w:p w14:paraId="0E57B8C8" w14:textId="77777777" w:rsidR="00537991" w:rsidRDefault="00431C3A">
      <w:pPr>
        <w:pStyle w:val="TOC2"/>
        <w:rPr>
          <w:rFonts w:asciiTheme="minorHAnsi" w:eastAsiaTheme="minorEastAsia" w:hAnsiTheme="minorHAnsi"/>
          <w:lang w:eastAsia="en-AU"/>
        </w:rPr>
      </w:pPr>
      <w:hyperlink w:anchor="_Toc499542643" w:history="1">
        <w:r w:rsidR="00537991" w:rsidRPr="006D7891">
          <w:rPr>
            <w:rStyle w:val="Hyperlink"/>
          </w:rPr>
          <w:t>2.1</w:t>
        </w:r>
        <w:r w:rsidR="00537991">
          <w:rPr>
            <w:rFonts w:asciiTheme="minorHAnsi" w:eastAsiaTheme="minorEastAsia" w:hAnsiTheme="minorHAnsi"/>
            <w:lang w:eastAsia="en-AU"/>
          </w:rPr>
          <w:tab/>
        </w:r>
        <w:r w:rsidR="00537991" w:rsidRPr="006D7891">
          <w:rPr>
            <w:rStyle w:val="Hyperlink"/>
          </w:rPr>
          <w:t>Key elements of the reform package</w:t>
        </w:r>
        <w:r w:rsidR="00537991">
          <w:rPr>
            <w:webHidden/>
          </w:rPr>
          <w:tab/>
        </w:r>
        <w:r w:rsidR="00537991">
          <w:rPr>
            <w:webHidden/>
          </w:rPr>
          <w:fldChar w:fldCharType="begin"/>
        </w:r>
        <w:r w:rsidR="00537991">
          <w:rPr>
            <w:webHidden/>
          </w:rPr>
          <w:instrText xml:space="preserve"> PAGEREF _Toc499542643 \h </w:instrText>
        </w:r>
        <w:r w:rsidR="00537991">
          <w:rPr>
            <w:webHidden/>
          </w:rPr>
        </w:r>
        <w:r w:rsidR="00537991">
          <w:rPr>
            <w:webHidden/>
          </w:rPr>
          <w:fldChar w:fldCharType="separate"/>
        </w:r>
        <w:r w:rsidR="00761861">
          <w:rPr>
            <w:webHidden/>
          </w:rPr>
          <w:t>18</w:t>
        </w:r>
        <w:r w:rsidR="00537991">
          <w:rPr>
            <w:webHidden/>
          </w:rPr>
          <w:fldChar w:fldCharType="end"/>
        </w:r>
      </w:hyperlink>
    </w:p>
    <w:p w14:paraId="5658778B" w14:textId="77777777" w:rsidR="00537991" w:rsidRDefault="00431C3A">
      <w:pPr>
        <w:pStyle w:val="TOC2"/>
        <w:rPr>
          <w:rFonts w:asciiTheme="minorHAnsi" w:eastAsiaTheme="minorEastAsia" w:hAnsiTheme="minorHAnsi"/>
          <w:lang w:eastAsia="en-AU"/>
        </w:rPr>
      </w:pPr>
      <w:hyperlink w:anchor="_Toc499542644" w:history="1">
        <w:r w:rsidR="00537991" w:rsidRPr="006D7891">
          <w:rPr>
            <w:rStyle w:val="Hyperlink"/>
          </w:rPr>
          <w:t>2.2</w:t>
        </w:r>
        <w:r w:rsidR="00537991">
          <w:rPr>
            <w:rFonts w:asciiTheme="minorHAnsi" w:eastAsiaTheme="minorEastAsia" w:hAnsiTheme="minorHAnsi"/>
            <w:lang w:eastAsia="en-AU"/>
          </w:rPr>
          <w:tab/>
        </w:r>
        <w:r w:rsidR="00537991" w:rsidRPr="006D7891">
          <w:rPr>
            <w:rStyle w:val="Hyperlink"/>
          </w:rPr>
          <w:t>How secondary capacity can be procured under the new framework</w:t>
        </w:r>
        <w:r w:rsidR="00537991">
          <w:rPr>
            <w:webHidden/>
          </w:rPr>
          <w:tab/>
        </w:r>
        <w:r w:rsidR="00537991">
          <w:rPr>
            <w:webHidden/>
          </w:rPr>
          <w:fldChar w:fldCharType="begin"/>
        </w:r>
        <w:r w:rsidR="00537991">
          <w:rPr>
            <w:webHidden/>
          </w:rPr>
          <w:instrText xml:space="preserve"> PAGEREF _Toc499542644 \h </w:instrText>
        </w:r>
        <w:r w:rsidR="00537991">
          <w:rPr>
            <w:webHidden/>
          </w:rPr>
        </w:r>
        <w:r w:rsidR="00537991">
          <w:rPr>
            <w:webHidden/>
          </w:rPr>
          <w:fldChar w:fldCharType="separate"/>
        </w:r>
        <w:r w:rsidR="00761861">
          <w:rPr>
            <w:webHidden/>
          </w:rPr>
          <w:t>20</w:t>
        </w:r>
        <w:r w:rsidR="00537991">
          <w:rPr>
            <w:webHidden/>
          </w:rPr>
          <w:fldChar w:fldCharType="end"/>
        </w:r>
      </w:hyperlink>
    </w:p>
    <w:p w14:paraId="1AEEF3C1" w14:textId="77777777" w:rsidR="00537991" w:rsidRDefault="00431C3A">
      <w:pPr>
        <w:pStyle w:val="TOC1"/>
        <w:rPr>
          <w:rFonts w:asciiTheme="minorHAnsi" w:eastAsiaTheme="minorEastAsia" w:hAnsiTheme="minorHAnsi"/>
          <w:b w:val="0"/>
          <w:lang w:eastAsia="en-AU"/>
        </w:rPr>
      </w:pPr>
      <w:hyperlink w:anchor="_Toc499542645" w:history="1">
        <w:r w:rsidR="00537991" w:rsidRPr="006D7891">
          <w:rPr>
            <w:rStyle w:val="Hyperlink"/>
          </w:rPr>
          <w:t>3.</w:t>
        </w:r>
        <w:r w:rsidR="00537991">
          <w:rPr>
            <w:rFonts w:asciiTheme="minorHAnsi" w:eastAsiaTheme="minorEastAsia" w:hAnsiTheme="minorHAnsi"/>
            <w:b w:val="0"/>
            <w:lang w:eastAsia="en-AU"/>
          </w:rPr>
          <w:tab/>
        </w:r>
        <w:r w:rsidR="00537991" w:rsidRPr="006D7891">
          <w:rPr>
            <w:rStyle w:val="Hyperlink"/>
          </w:rPr>
          <w:t>Assessment Framework</w:t>
        </w:r>
        <w:r w:rsidR="00537991">
          <w:rPr>
            <w:webHidden/>
          </w:rPr>
          <w:tab/>
        </w:r>
        <w:r w:rsidR="00537991">
          <w:rPr>
            <w:webHidden/>
          </w:rPr>
          <w:fldChar w:fldCharType="begin"/>
        </w:r>
        <w:r w:rsidR="00537991">
          <w:rPr>
            <w:webHidden/>
          </w:rPr>
          <w:instrText xml:space="preserve"> PAGEREF _Toc499542645 \h </w:instrText>
        </w:r>
        <w:r w:rsidR="00537991">
          <w:rPr>
            <w:webHidden/>
          </w:rPr>
        </w:r>
        <w:r w:rsidR="00537991">
          <w:rPr>
            <w:webHidden/>
          </w:rPr>
          <w:fldChar w:fldCharType="separate"/>
        </w:r>
        <w:r w:rsidR="00761861">
          <w:rPr>
            <w:webHidden/>
          </w:rPr>
          <w:t>24</w:t>
        </w:r>
        <w:r w:rsidR="00537991">
          <w:rPr>
            <w:webHidden/>
          </w:rPr>
          <w:fldChar w:fldCharType="end"/>
        </w:r>
      </w:hyperlink>
    </w:p>
    <w:p w14:paraId="5C09E7F0" w14:textId="77777777" w:rsidR="00537991" w:rsidRDefault="00431C3A">
      <w:pPr>
        <w:pStyle w:val="TOC1"/>
        <w:rPr>
          <w:rFonts w:asciiTheme="minorHAnsi" w:eastAsiaTheme="minorEastAsia" w:hAnsiTheme="minorHAnsi"/>
          <w:b w:val="0"/>
          <w:lang w:eastAsia="en-AU"/>
        </w:rPr>
      </w:pPr>
      <w:hyperlink w:anchor="_Toc499542646" w:history="1">
        <w:r w:rsidR="00537991" w:rsidRPr="006D7891">
          <w:rPr>
            <w:rStyle w:val="Hyperlink"/>
          </w:rPr>
          <w:t>Part A: Standardisation Reforms</w:t>
        </w:r>
        <w:r w:rsidR="00537991">
          <w:rPr>
            <w:webHidden/>
          </w:rPr>
          <w:tab/>
        </w:r>
        <w:r w:rsidR="00537991">
          <w:rPr>
            <w:webHidden/>
          </w:rPr>
          <w:fldChar w:fldCharType="begin"/>
        </w:r>
        <w:r w:rsidR="00537991">
          <w:rPr>
            <w:webHidden/>
          </w:rPr>
          <w:instrText xml:space="preserve"> PAGEREF _Toc499542646 \h </w:instrText>
        </w:r>
        <w:r w:rsidR="00537991">
          <w:rPr>
            <w:webHidden/>
          </w:rPr>
        </w:r>
        <w:r w:rsidR="00537991">
          <w:rPr>
            <w:webHidden/>
          </w:rPr>
          <w:fldChar w:fldCharType="separate"/>
        </w:r>
        <w:r w:rsidR="00761861">
          <w:rPr>
            <w:webHidden/>
          </w:rPr>
          <w:t>27</w:t>
        </w:r>
        <w:r w:rsidR="00537991">
          <w:rPr>
            <w:webHidden/>
          </w:rPr>
          <w:fldChar w:fldCharType="end"/>
        </w:r>
      </w:hyperlink>
    </w:p>
    <w:p w14:paraId="0313BE34" w14:textId="77777777" w:rsidR="00537991" w:rsidRDefault="00431C3A">
      <w:pPr>
        <w:pStyle w:val="TOC1"/>
        <w:rPr>
          <w:rFonts w:asciiTheme="minorHAnsi" w:eastAsiaTheme="minorEastAsia" w:hAnsiTheme="minorHAnsi"/>
          <w:b w:val="0"/>
          <w:lang w:eastAsia="en-AU"/>
        </w:rPr>
      </w:pPr>
      <w:hyperlink w:anchor="_Toc499542647" w:history="1">
        <w:r w:rsidR="00537991" w:rsidRPr="006D7891">
          <w:rPr>
            <w:rStyle w:val="Hyperlink"/>
          </w:rPr>
          <w:t>4.</w:t>
        </w:r>
        <w:r w:rsidR="00537991">
          <w:rPr>
            <w:rFonts w:asciiTheme="minorHAnsi" w:eastAsiaTheme="minorEastAsia" w:hAnsiTheme="minorHAnsi"/>
            <w:b w:val="0"/>
            <w:lang w:eastAsia="en-AU"/>
          </w:rPr>
          <w:tab/>
        </w:r>
        <w:r w:rsidR="00537991" w:rsidRPr="006D7891">
          <w:rPr>
            <w:rStyle w:val="Hyperlink"/>
          </w:rPr>
          <w:t>Standardisation of Contracts</w:t>
        </w:r>
        <w:r w:rsidR="00537991">
          <w:rPr>
            <w:webHidden/>
          </w:rPr>
          <w:tab/>
        </w:r>
        <w:r w:rsidR="00537991">
          <w:rPr>
            <w:webHidden/>
          </w:rPr>
          <w:fldChar w:fldCharType="begin"/>
        </w:r>
        <w:r w:rsidR="00537991">
          <w:rPr>
            <w:webHidden/>
          </w:rPr>
          <w:instrText xml:space="preserve"> PAGEREF _Toc499542647 \h </w:instrText>
        </w:r>
        <w:r w:rsidR="00537991">
          <w:rPr>
            <w:webHidden/>
          </w:rPr>
        </w:r>
        <w:r w:rsidR="00537991">
          <w:rPr>
            <w:webHidden/>
          </w:rPr>
          <w:fldChar w:fldCharType="separate"/>
        </w:r>
        <w:r w:rsidR="00761861">
          <w:rPr>
            <w:webHidden/>
          </w:rPr>
          <w:t>32</w:t>
        </w:r>
        <w:r w:rsidR="00537991">
          <w:rPr>
            <w:webHidden/>
          </w:rPr>
          <w:fldChar w:fldCharType="end"/>
        </w:r>
      </w:hyperlink>
    </w:p>
    <w:p w14:paraId="27748677" w14:textId="77777777" w:rsidR="00537991" w:rsidRDefault="00431C3A">
      <w:pPr>
        <w:pStyle w:val="TOC2"/>
        <w:rPr>
          <w:rFonts w:asciiTheme="minorHAnsi" w:eastAsiaTheme="minorEastAsia" w:hAnsiTheme="minorHAnsi"/>
          <w:lang w:eastAsia="en-AU"/>
        </w:rPr>
      </w:pPr>
      <w:hyperlink w:anchor="_Toc499542648" w:history="1">
        <w:r w:rsidR="00537991" w:rsidRPr="006D7891">
          <w:rPr>
            <w:rStyle w:val="Hyperlink"/>
          </w:rPr>
          <w:t>4.1</w:t>
        </w:r>
        <w:r w:rsidR="00537991">
          <w:rPr>
            <w:rFonts w:asciiTheme="minorHAnsi" w:eastAsiaTheme="minorEastAsia" w:hAnsiTheme="minorHAnsi"/>
            <w:lang w:eastAsia="en-AU"/>
          </w:rPr>
          <w:tab/>
        </w:r>
        <w:r w:rsidR="00537991" w:rsidRPr="006D7891">
          <w:rPr>
            <w:rStyle w:val="Hyperlink"/>
          </w:rPr>
          <w:t>AEMC recommendations</w:t>
        </w:r>
        <w:r w:rsidR="00537991">
          <w:rPr>
            <w:webHidden/>
          </w:rPr>
          <w:tab/>
        </w:r>
        <w:r w:rsidR="00537991">
          <w:rPr>
            <w:webHidden/>
          </w:rPr>
          <w:fldChar w:fldCharType="begin"/>
        </w:r>
        <w:r w:rsidR="00537991">
          <w:rPr>
            <w:webHidden/>
          </w:rPr>
          <w:instrText xml:space="preserve"> PAGEREF _Toc499542648 \h </w:instrText>
        </w:r>
        <w:r w:rsidR="00537991">
          <w:rPr>
            <w:webHidden/>
          </w:rPr>
        </w:r>
        <w:r w:rsidR="00537991">
          <w:rPr>
            <w:webHidden/>
          </w:rPr>
          <w:fldChar w:fldCharType="separate"/>
        </w:r>
        <w:r w:rsidR="00761861">
          <w:rPr>
            <w:webHidden/>
          </w:rPr>
          <w:t>32</w:t>
        </w:r>
        <w:r w:rsidR="00537991">
          <w:rPr>
            <w:webHidden/>
          </w:rPr>
          <w:fldChar w:fldCharType="end"/>
        </w:r>
      </w:hyperlink>
    </w:p>
    <w:p w14:paraId="3C575834" w14:textId="77777777" w:rsidR="00537991" w:rsidRDefault="00431C3A">
      <w:pPr>
        <w:pStyle w:val="TOC2"/>
        <w:rPr>
          <w:rFonts w:asciiTheme="minorHAnsi" w:eastAsiaTheme="minorEastAsia" w:hAnsiTheme="minorHAnsi"/>
          <w:lang w:eastAsia="en-AU"/>
        </w:rPr>
      </w:pPr>
      <w:hyperlink w:anchor="_Toc499542649" w:history="1">
        <w:r w:rsidR="00537991" w:rsidRPr="006D7891">
          <w:rPr>
            <w:rStyle w:val="Hyperlink"/>
          </w:rPr>
          <w:t>4.2</w:t>
        </w:r>
        <w:r w:rsidR="00537991">
          <w:rPr>
            <w:rFonts w:asciiTheme="minorHAnsi" w:eastAsiaTheme="minorEastAsia" w:hAnsiTheme="minorHAnsi"/>
            <w:lang w:eastAsia="en-AU"/>
          </w:rPr>
          <w:tab/>
        </w:r>
        <w:r w:rsidR="00537991" w:rsidRPr="006D7891">
          <w:rPr>
            <w:rStyle w:val="Hyperlink"/>
          </w:rPr>
          <w:t>Contracts to be standardised</w:t>
        </w:r>
        <w:r w:rsidR="00537991">
          <w:rPr>
            <w:webHidden/>
          </w:rPr>
          <w:tab/>
        </w:r>
        <w:r w:rsidR="00537991">
          <w:rPr>
            <w:webHidden/>
          </w:rPr>
          <w:fldChar w:fldCharType="begin"/>
        </w:r>
        <w:r w:rsidR="00537991">
          <w:rPr>
            <w:webHidden/>
          </w:rPr>
          <w:instrText xml:space="preserve"> PAGEREF _Toc499542649 \h </w:instrText>
        </w:r>
        <w:r w:rsidR="00537991">
          <w:rPr>
            <w:webHidden/>
          </w:rPr>
        </w:r>
        <w:r w:rsidR="00537991">
          <w:rPr>
            <w:webHidden/>
          </w:rPr>
          <w:fldChar w:fldCharType="separate"/>
        </w:r>
        <w:r w:rsidR="00761861">
          <w:rPr>
            <w:webHidden/>
          </w:rPr>
          <w:t>34</w:t>
        </w:r>
        <w:r w:rsidR="00537991">
          <w:rPr>
            <w:webHidden/>
          </w:rPr>
          <w:fldChar w:fldCharType="end"/>
        </w:r>
      </w:hyperlink>
    </w:p>
    <w:p w14:paraId="7DDF8C9E" w14:textId="77777777" w:rsidR="00537991" w:rsidRDefault="00431C3A">
      <w:pPr>
        <w:pStyle w:val="TOC2"/>
        <w:rPr>
          <w:rFonts w:asciiTheme="minorHAnsi" w:eastAsiaTheme="minorEastAsia" w:hAnsiTheme="minorHAnsi"/>
          <w:lang w:eastAsia="en-AU"/>
        </w:rPr>
      </w:pPr>
      <w:hyperlink w:anchor="_Toc499542650" w:history="1">
        <w:r w:rsidR="00537991" w:rsidRPr="006D7891">
          <w:rPr>
            <w:rStyle w:val="Hyperlink"/>
          </w:rPr>
          <w:t>4.3</w:t>
        </w:r>
        <w:r w:rsidR="00537991">
          <w:rPr>
            <w:rFonts w:asciiTheme="minorHAnsi" w:eastAsiaTheme="minorEastAsia" w:hAnsiTheme="minorHAnsi"/>
            <w:lang w:eastAsia="en-AU"/>
          </w:rPr>
          <w:tab/>
        </w:r>
        <w:r w:rsidR="00537991" w:rsidRPr="006D7891">
          <w:rPr>
            <w:rStyle w:val="Hyperlink"/>
          </w:rPr>
          <w:t>Standardisation of the operational GTA</w:t>
        </w:r>
        <w:r w:rsidR="00537991">
          <w:rPr>
            <w:webHidden/>
          </w:rPr>
          <w:tab/>
        </w:r>
        <w:r w:rsidR="00537991">
          <w:rPr>
            <w:webHidden/>
          </w:rPr>
          <w:fldChar w:fldCharType="begin"/>
        </w:r>
        <w:r w:rsidR="00537991">
          <w:rPr>
            <w:webHidden/>
          </w:rPr>
          <w:instrText xml:space="preserve"> PAGEREF _Toc499542650 \h </w:instrText>
        </w:r>
        <w:r w:rsidR="00537991">
          <w:rPr>
            <w:webHidden/>
          </w:rPr>
        </w:r>
        <w:r w:rsidR="00537991">
          <w:rPr>
            <w:webHidden/>
          </w:rPr>
          <w:fldChar w:fldCharType="separate"/>
        </w:r>
        <w:r w:rsidR="00761861">
          <w:rPr>
            <w:webHidden/>
          </w:rPr>
          <w:t>36</w:t>
        </w:r>
        <w:r w:rsidR="00537991">
          <w:rPr>
            <w:webHidden/>
          </w:rPr>
          <w:fldChar w:fldCharType="end"/>
        </w:r>
      </w:hyperlink>
    </w:p>
    <w:p w14:paraId="04227F6A" w14:textId="77777777" w:rsidR="00537991" w:rsidRDefault="00431C3A">
      <w:pPr>
        <w:pStyle w:val="TOC2"/>
        <w:rPr>
          <w:rFonts w:asciiTheme="minorHAnsi" w:eastAsiaTheme="minorEastAsia" w:hAnsiTheme="minorHAnsi"/>
          <w:lang w:eastAsia="en-AU"/>
        </w:rPr>
      </w:pPr>
      <w:hyperlink w:anchor="_Toc499542651" w:history="1">
        <w:r w:rsidR="00537991" w:rsidRPr="00170068">
          <w:rPr>
            <w:rStyle w:val="Hyperlink"/>
            <w:rFonts w:asciiTheme="majorHAnsi" w:eastAsiaTheme="majorEastAsia" w:hAnsiTheme="majorHAnsi" w:cstheme="majorBidi"/>
            <w:bCs/>
          </w:rPr>
          <w:t>4.4</w:t>
        </w:r>
        <w:r w:rsidR="00537991" w:rsidRPr="00170068">
          <w:rPr>
            <w:rFonts w:asciiTheme="minorHAnsi" w:eastAsiaTheme="minorEastAsia" w:hAnsiTheme="minorHAnsi"/>
            <w:lang w:eastAsia="en-AU"/>
          </w:rPr>
          <w:tab/>
        </w:r>
        <w:r w:rsidR="00537991" w:rsidRPr="00170068">
          <w:rPr>
            <w:rStyle w:val="Hyperlink"/>
            <w:rFonts w:asciiTheme="majorHAnsi" w:eastAsiaTheme="majorEastAsia" w:hAnsiTheme="majorHAnsi" w:cstheme="majorBidi"/>
            <w:bCs/>
          </w:rPr>
          <w:t>Application of the standardised operational GTA</w:t>
        </w:r>
        <w:r w:rsidR="00537991">
          <w:rPr>
            <w:webHidden/>
          </w:rPr>
          <w:tab/>
        </w:r>
        <w:r w:rsidR="00537991">
          <w:rPr>
            <w:webHidden/>
          </w:rPr>
          <w:fldChar w:fldCharType="begin"/>
        </w:r>
        <w:r w:rsidR="00537991">
          <w:rPr>
            <w:webHidden/>
          </w:rPr>
          <w:instrText xml:space="preserve"> PAGEREF _Toc499542651 \h </w:instrText>
        </w:r>
        <w:r w:rsidR="00537991">
          <w:rPr>
            <w:webHidden/>
          </w:rPr>
        </w:r>
        <w:r w:rsidR="00537991">
          <w:rPr>
            <w:webHidden/>
          </w:rPr>
          <w:fldChar w:fldCharType="separate"/>
        </w:r>
        <w:r w:rsidR="00761861">
          <w:rPr>
            <w:webHidden/>
          </w:rPr>
          <w:t>43</w:t>
        </w:r>
        <w:r w:rsidR="00537991">
          <w:rPr>
            <w:webHidden/>
          </w:rPr>
          <w:fldChar w:fldCharType="end"/>
        </w:r>
      </w:hyperlink>
    </w:p>
    <w:p w14:paraId="3A7EBC48" w14:textId="77777777" w:rsidR="00537991" w:rsidRDefault="00431C3A">
      <w:pPr>
        <w:pStyle w:val="TOC2"/>
        <w:rPr>
          <w:rFonts w:asciiTheme="minorHAnsi" w:eastAsiaTheme="minorEastAsia" w:hAnsiTheme="minorHAnsi"/>
          <w:lang w:eastAsia="en-AU"/>
        </w:rPr>
      </w:pPr>
      <w:hyperlink w:anchor="_Toc499542652" w:history="1">
        <w:r w:rsidR="00537991" w:rsidRPr="006D7891">
          <w:rPr>
            <w:rStyle w:val="Hyperlink"/>
          </w:rPr>
          <w:t>4.5</w:t>
        </w:r>
        <w:r w:rsidR="00537991">
          <w:rPr>
            <w:rFonts w:asciiTheme="minorHAnsi" w:eastAsiaTheme="minorEastAsia" w:hAnsiTheme="minorHAnsi"/>
            <w:lang w:eastAsia="en-AU"/>
          </w:rPr>
          <w:tab/>
        </w:r>
        <w:r w:rsidR="00537991" w:rsidRPr="006D7891">
          <w:rPr>
            <w:rStyle w:val="Hyperlink"/>
          </w:rPr>
          <w:t>Cost recovery for provision of operational transfer services</w:t>
        </w:r>
        <w:r w:rsidR="00537991">
          <w:rPr>
            <w:webHidden/>
          </w:rPr>
          <w:tab/>
        </w:r>
        <w:r w:rsidR="00537991">
          <w:rPr>
            <w:webHidden/>
          </w:rPr>
          <w:fldChar w:fldCharType="begin"/>
        </w:r>
        <w:r w:rsidR="00537991">
          <w:rPr>
            <w:webHidden/>
          </w:rPr>
          <w:instrText xml:space="preserve"> PAGEREF _Toc499542652 \h </w:instrText>
        </w:r>
        <w:r w:rsidR="00537991">
          <w:rPr>
            <w:webHidden/>
          </w:rPr>
        </w:r>
        <w:r w:rsidR="00537991">
          <w:rPr>
            <w:webHidden/>
          </w:rPr>
          <w:fldChar w:fldCharType="separate"/>
        </w:r>
        <w:r w:rsidR="00761861">
          <w:rPr>
            <w:webHidden/>
          </w:rPr>
          <w:t>47</w:t>
        </w:r>
        <w:r w:rsidR="00537991">
          <w:rPr>
            <w:webHidden/>
          </w:rPr>
          <w:fldChar w:fldCharType="end"/>
        </w:r>
      </w:hyperlink>
    </w:p>
    <w:p w14:paraId="2B09E788" w14:textId="77777777" w:rsidR="00537991" w:rsidRDefault="00431C3A">
      <w:pPr>
        <w:pStyle w:val="TOC2"/>
        <w:rPr>
          <w:rFonts w:asciiTheme="minorHAnsi" w:eastAsiaTheme="minorEastAsia" w:hAnsiTheme="minorHAnsi"/>
          <w:lang w:eastAsia="en-AU"/>
        </w:rPr>
      </w:pPr>
      <w:hyperlink w:anchor="_Toc499542653" w:history="1">
        <w:r w:rsidR="00537991" w:rsidRPr="006D7891">
          <w:rPr>
            <w:rStyle w:val="Hyperlink"/>
          </w:rPr>
          <w:t>4.6</w:t>
        </w:r>
        <w:r w:rsidR="00537991">
          <w:rPr>
            <w:rFonts w:asciiTheme="minorHAnsi" w:eastAsiaTheme="minorEastAsia" w:hAnsiTheme="minorHAnsi"/>
            <w:lang w:eastAsia="en-AU"/>
          </w:rPr>
          <w:tab/>
        </w:r>
        <w:r w:rsidR="00537991" w:rsidRPr="006D7891">
          <w:rPr>
            <w:rStyle w:val="Hyperlink"/>
          </w:rPr>
          <w:t>Governance arrangements for the operational GTA</w:t>
        </w:r>
        <w:r w:rsidR="00537991">
          <w:rPr>
            <w:webHidden/>
          </w:rPr>
          <w:tab/>
        </w:r>
        <w:r w:rsidR="00537991">
          <w:rPr>
            <w:webHidden/>
          </w:rPr>
          <w:fldChar w:fldCharType="begin"/>
        </w:r>
        <w:r w:rsidR="00537991">
          <w:rPr>
            <w:webHidden/>
          </w:rPr>
          <w:instrText xml:space="preserve"> PAGEREF _Toc499542653 \h </w:instrText>
        </w:r>
        <w:r w:rsidR="00537991">
          <w:rPr>
            <w:webHidden/>
          </w:rPr>
        </w:r>
        <w:r w:rsidR="00537991">
          <w:rPr>
            <w:webHidden/>
          </w:rPr>
          <w:fldChar w:fldCharType="separate"/>
        </w:r>
        <w:r w:rsidR="00761861">
          <w:rPr>
            <w:webHidden/>
          </w:rPr>
          <w:t>50</w:t>
        </w:r>
        <w:r w:rsidR="00537991">
          <w:rPr>
            <w:webHidden/>
          </w:rPr>
          <w:fldChar w:fldCharType="end"/>
        </w:r>
      </w:hyperlink>
    </w:p>
    <w:p w14:paraId="360409EC" w14:textId="77777777" w:rsidR="00537991" w:rsidRDefault="00431C3A">
      <w:pPr>
        <w:pStyle w:val="TOC1"/>
        <w:rPr>
          <w:rFonts w:asciiTheme="minorHAnsi" w:eastAsiaTheme="minorEastAsia" w:hAnsiTheme="minorHAnsi"/>
          <w:b w:val="0"/>
          <w:lang w:eastAsia="en-AU"/>
        </w:rPr>
      </w:pPr>
      <w:hyperlink w:anchor="_Toc499542654" w:history="1">
        <w:r w:rsidR="00537991" w:rsidRPr="006D7891">
          <w:rPr>
            <w:rStyle w:val="Hyperlink"/>
          </w:rPr>
          <w:t>5.</w:t>
        </w:r>
        <w:r w:rsidR="00537991">
          <w:rPr>
            <w:rFonts w:asciiTheme="minorHAnsi" w:eastAsiaTheme="minorEastAsia" w:hAnsiTheme="minorHAnsi"/>
            <w:b w:val="0"/>
            <w:lang w:eastAsia="en-AU"/>
          </w:rPr>
          <w:tab/>
        </w:r>
        <w:r w:rsidR="00537991" w:rsidRPr="006D7891">
          <w:rPr>
            <w:rStyle w:val="Hyperlink"/>
          </w:rPr>
          <w:t>Other Measures to Reduce Barriers to Trade</w:t>
        </w:r>
        <w:r w:rsidR="00537991">
          <w:rPr>
            <w:webHidden/>
          </w:rPr>
          <w:tab/>
        </w:r>
        <w:r w:rsidR="00537991">
          <w:rPr>
            <w:webHidden/>
          </w:rPr>
          <w:fldChar w:fldCharType="begin"/>
        </w:r>
        <w:r w:rsidR="00537991">
          <w:rPr>
            <w:webHidden/>
          </w:rPr>
          <w:instrText xml:space="preserve"> PAGEREF _Toc499542654 \h </w:instrText>
        </w:r>
        <w:r w:rsidR="00537991">
          <w:rPr>
            <w:webHidden/>
          </w:rPr>
        </w:r>
        <w:r w:rsidR="00537991">
          <w:rPr>
            <w:webHidden/>
          </w:rPr>
          <w:fldChar w:fldCharType="separate"/>
        </w:r>
        <w:r w:rsidR="00761861">
          <w:rPr>
            <w:webHidden/>
          </w:rPr>
          <w:t>57</w:t>
        </w:r>
        <w:r w:rsidR="00537991">
          <w:rPr>
            <w:webHidden/>
          </w:rPr>
          <w:fldChar w:fldCharType="end"/>
        </w:r>
      </w:hyperlink>
    </w:p>
    <w:p w14:paraId="53FD8171" w14:textId="77777777" w:rsidR="00537991" w:rsidRDefault="00431C3A">
      <w:pPr>
        <w:pStyle w:val="TOC2"/>
        <w:rPr>
          <w:rFonts w:asciiTheme="minorHAnsi" w:eastAsiaTheme="minorEastAsia" w:hAnsiTheme="minorHAnsi"/>
          <w:lang w:eastAsia="en-AU"/>
        </w:rPr>
      </w:pPr>
      <w:hyperlink w:anchor="_Toc499542655" w:history="1">
        <w:r w:rsidR="00537991" w:rsidRPr="006D7891">
          <w:rPr>
            <w:rStyle w:val="Hyperlink"/>
          </w:rPr>
          <w:t>5.1</w:t>
        </w:r>
        <w:r w:rsidR="00537991">
          <w:rPr>
            <w:rFonts w:asciiTheme="minorHAnsi" w:eastAsiaTheme="minorEastAsia" w:hAnsiTheme="minorHAnsi"/>
            <w:lang w:eastAsia="en-AU"/>
          </w:rPr>
          <w:tab/>
        </w:r>
        <w:r w:rsidR="00537991" w:rsidRPr="006D7891">
          <w:rPr>
            <w:rStyle w:val="Hyperlink"/>
          </w:rPr>
          <w:t>Allocation agreements and access to receipt/delivery points</w:t>
        </w:r>
        <w:r w:rsidR="00537991">
          <w:rPr>
            <w:webHidden/>
          </w:rPr>
          <w:tab/>
        </w:r>
        <w:r w:rsidR="00537991">
          <w:rPr>
            <w:webHidden/>
          </w:rPr>
          <w:fldChar w:fldCharType="begin"/>
        </w:r>
        <w:r w:rsidR="00537991">
          <w:rPr>
            <w:webHidden/>
          </w:rPr>
          <w:instrText xml:space="preserve"> PAGEREF _Toc499542655 \h </w:instrText>
        </w:r>
        <w:r w:rsidR="00537991">
          <w:rPr>
            <w:webHidden/>
          </w:rPr>
        </w:r>
        <w:r w:rsidR="00537991">
          <w:rPr>
            <w:webHidden/>
          </w:rPr>
          <w:fldChar w:fldCharType="separate"/>
        </w:r>
        <w:r w:rsidR="00761861">
          <w:rPr>
            <w:webHidden/>
          </w:rPr>
          <w:t>57</w:t>
        </w:r>
        <w:r w:rsidR="00537991">
          <w:rPr>
            <w:webHidden/>
          </w:rPr>
          <w:fldChar w:fldCharType="end"/>
        </w:r>
      </w:hyperlink>
    </w:p>
    <w:p w14:paraId="3F5BBCAB" w14:textId="77777777" w:rsidR="00537991" w:rsidRDefault="00431C3A">
      <w:pPr>
        <w:pStyle w:val="TOC2"/>
        <w:rPr>
          <w:rFonts w:asciiTheme="minorHAnsi" w:eastAsiaTheme="minorEastAsia" w:hAnsiTheme="minorHAnsi"/>
          <w:lang w:eastAsia="en-AU"/>
        </w:rPr>
      </w:pPr>
      <w:hyperlink w:anchor="_Toc499542656" w:history="1">
        <w:r w:rsidR="00537991" w:rsidRPr="006D7891">
          <w:rPr>
            <w:rStyle w:val="Hyperlink"/>
          </w:rPr>
          <w:t>5.2</w:t>
        </w:r>
        <w:r w:rsidR="00537991">
          <w:rPr>
            <w:rFonts w:asciiTheme="minorHAnsi" w:eastAsiaTheme="minorEastAsia" w:hAnsiTheme="minorHAnsi"/>
            <w:lang w:eastAsia="en-AU"/>
          </w:rPr>
          <w:tab/>
        </w:r>
        <w:r w:rsidR="00537991" w:rsidRPr="006D7891">
          <w:rPr>
            <w:rStyle w:val="Hyperlink"/>
          </w:rPr>
          <w:t>Contractual limitations on capacity trading in primary GTAs</w:t>
        </w:r>
        <w:r w:rsidR="00537991">
          <w:rPr>
            <w:webHidden/>
          </w:rPr>
          <w:tab/>
        </w:r>
        <w:r w:rsidR="00537991">
          <w:rPr>
            <w:webHidden/>
          </w:rPr>
          <w:fldChar w:fldCharType="begin"/>
        </w:r>
        <w:r w:rsidR="00537991">
          <w:rPr>
            <w:webHidden/>
          </w:rPr>
          <w:instrText xml:space="preserve"> PAGEREF _Toc499542656 \h </w:instrText>
        </w:r>
        <w:r w:rsidR="00537991">
          <w:rPr>
            <w:webHidden/>
          </w:rPr>
        </w:r>
        <w:r w:rsidR="00537991">
          <w:rPr>
            <w:webHidden/>
          </w:rPr>
          <w:fldChar w:fldCharType="separate"/>
        </w:r>
        <w:r w:rsidR="00761861">
          <w:rPr>
            <w:webHidden/>
          </w:rPr>
          <w:t>61</w:t>
        </w:r>
        <w:r w:rsidR="00537991">
          <w:rPr>
            <w:webHidden/>
          </w:rPr>
          <w:fldChar w:fldCharType="end"/>
        </w:r>
      </w:hyperlink>
    </w:p>
    <w:p w14:paraId="3D61C62F" w14:textId="77777777" w:rsidR="00537991" w:rsidRDefault="00431C3A">
      <w:pPr>
        <w:pStyle w:val="TOC2"/>
        <w:rPr>
          <w:rFonts w:asciiTheme="minorHAnsi" w:eastAsiaTheme="minorEastAsia" w:hAnsiTheme="minorHAnsi"/>
          <w:lang w:eastAsia="en-AU"/>
        </w:rPr>
      </w:pPr>
      <w:hyperlink w:anchor="_Toc499542657" w:history="1">
        <w:r w:rsidR="00537991" w:rsidRPr="006D7891">
          <w:rPr>
            <w:rStyle w:val="Hyperlink"/>
          </w:rPr>
          <w:t>5.3</w:t>
        </w:r>
        <w:r w:rsidR="00537991">
          <w:rPr>
            <w:rFonts w:asciiTheme="minorHAnsi" w:eastAsiaTheme="minorEastAsia" w:hAnsiTheme="minorHAnsi"/>
            <w:lang w:eastAsia="en-AU"/>
          </w:rPr>
          <w:tab/>
        </w:r>
        <w:r w:rsidR="00537991" w:rsidRPr="006D7891">
          <w:rPr>
            <w:rStyle w:val="Hyperlink"/>
          </w:rPr>
          <w:t>Gas day start times and nomination cut-off times</w:t>
        </w:r>
        <w:r w:rsidR="00537991">
          <w:rPr>
            <w:webHidden/>
          </w:rPr>
          <w:tab/>
        </w:r>
        <w:r w:rsidR="00537991">
          <w:rPr>
            <w:webHidden/>
          </w:rPr>
          <w:fldChar w:fldCharType="begin"/>
        </w:r>
        <w:r w:rsidR="00537991">
          <w:rPr>
            <w:webHidden/>
          </w:rPr>
          <w:instrText xml:space="preserve"> PAGEREF _Toc499542657 \h </w:instrText>
        </w:r>
        <w:r w:rsidR="00537991">
          <w:rPr>
            <w:webHidden/>
          </w:rPr>
        </w:r>
        <w:r w:rsidR="00537991">
          <w:rPr>
            <w:webHidden/>
          </w:rPr>
          <w:fldChar w:fldCharType="separate"/>
        </w:r>
        <w:r w:rsidR="00761861">
          <w:rPr>
            <w:webHidden/>
          </w:rPr>
          <w:t>67</w:t>
        </w:r>
        <w:r w:rsidR="00537991">
          <w:rPr>
            <w:webHidden/>
          </w:rPr>
          <w:fldChar w:fldCharType="end"/>
        </w:r>
      </w:hyperlink>
    </w:p>
    <w:p w14:paraId="6AFCDFA6" w14:textId="77777777" w:rsidR="00537991" w:rsidRDefault="00431C3A">
      <w:pPr>
        <w:pStyle w:val="TOC1"/>
        <w:rPr>
          <w:rFonts w:asciiTheme="minorHAnsi" w:eastAsiaTheme="minorEastAsia" w:hAnsiTheme="minorHAnsi"/>
          <w:b w:val="0"/>
          <w:lang w:eastAsia="en-AU"/>
        </w:rPr>
      </w:pPr>
      <w:hyperlink w:anchor="_Toc499542658" w:history="1">
        <w:r w:rsidR="00537991" w:rsidRPr="006D7891">
          <w:rPr>
            <w:rStyle w:val="Hyperlink"/>
          </w:rPr>
          <w:t>Part B: Capacity Trading Platform</w:t>
        </w:r>
        <w:r w:rsidR="00537991">
          <w:rPr>
            <w:webHidden/>
          </w:rPr>
          <w:tab/>
        </w:r>
        <w:r w:rsidR="00537991">
          <w:rPr>
            <w:webHidden/>
          </w:rPr>
          <w:fldChar w:fldCharType="begin"/>
        </w:r>
        <w:r w:rsidR="00537991">
          <w:rPr>
            <w:webHidden/>
          </w:rPr>
          <w:instrText xml:space="preserve"> PAGEREF _Toc499542658 \h </w:instrText>
        </w:r>
        <w:r w:rsidR="00537991">
          <w:rPr>
            <w:webHidden/>
          </w:rPr>
        </w:r>
        <w:r w:rsidR="00537991">
          <w:rPr>
            <w:webHidden/>
          </w:rPr>
          <w:fldChar w:fldCharType="separate"/>
        </w:r>
        <w:r w:rsidR="00761861">
          <w:rPr>
            <w:webHidden/>
          </w:rPr>
          <w:t>74</w:t>
        </w:r>
        <w:r w:rsidR="00537991">
          <w:rPr>
            <w:webHidden/>
          </w:rPr>
          <w:fldChar w:fldCharType="end"/>
        </w:r>
      </w:hyperlink>
    </w:p>
    <w:p w14:paraId="021CD6B3" w14:textId="77777777" w:rsidR="00537991" w:rsidRDefault="00431C3A">
      <w:pPr>
        <w:pStyle w:val="TOC1"/>
        <w:rPr>
          <w:rFonts w:asciiTheme="minorHAnsi" w:eastAsiaTheme="minorEastAsia" w:hAnsiTheme="minorHAnsi"/>
          <w:b w:val="0"/>
          <w:lang w:eastAsia="en-AU"/>
        </w:rPr>
      </w:pPr>
      <w:hyperlink w:anchor="_Toc499542659" w:history="1">
        <w:r w:rsidR="00537991" w:rsidRPr="006D7891">
          <w:rPr>
            <w:rStyle w:val="Hyperlink"/>
          </w:rPr>
          <w:t>6.</w:t>
        </w:r>
        <w:r w:rsidR="00537991">
          <w:rPr>
            <w:rFonts w:asciiTheme="minorHAnsi" w:eastAsiaTheme="minorEastAsia" w:hAnsiTheme="minorHAnsi"/>
            <w:b w:val="0"/>
            <w:lang w:eastAsia="en-AU"/>
          </w:rPr>
          <w:tab/>
        </w:r>
        <w:r w:rsidR="00537991" w:rsidRPr="006D7891">
          <w:rPr>
            <w:rStyle w:val="Hyperlink"/>
          </w:rPr>
          <w:t>Initial Set of Capacity Products</w:t>
        </w:r>
        <w:r w:rsidR="00537991">
          <w:rPr>
            <w:webHidden/>
          </w:rPr>
          <w:tab/>
        </w:r>
        <w:r w:rsidR="00537991">
          <w:rPr>
            <w:webHidden/>
          </w:rPr>
          <w:fldChar w:fldCharType="begin"/>
        </w:r>
        <w:r w:rsidR="00537991">
          <w:rPr>
            <w:webHidden/>
          </w:rPr>
          <w:instrText xml:space="preserve"> PAGEREF _Toc499542659 \h </w:instrText>
        </w:r>
        <w:r w:rsidR="00537991">
          <w:rPr>
            <w:webHidden/>
          </w:rPr>
        </w:r>
        <w:r w:rsidR="00537991">
          <w:rPr>
            <w:webHidden/>
          </w:rPr>
          <w:fldChar w:fldCharType="separate"/>
        </w:r>
        <w:r w:rsidR="00761861">
          <w:rPr>
            <w:webHidden/>
          </w:rPr>
          <w:t>79</w:t>
        </w:r>
        <w:r w:rsidR="00537991">
          <w:rPr>
            <w:webHidden/>
          </w:rPr>
          <w:fldChar w:fldCharType="end"/>
        </w:r>
      </w:hyperlink>
    </w:p>
    <w:p w14:paraId="27653A04" w14:textId="77777777" w:rsidR="00537991" w:rsidRDefault="00431C3A">
      <w:pPr>
        <w:pStyle w:val="TOC2"/>
        <w:rPr>
          <w:rFonts w:asciiTheme="minorHAnsi" w:eastAsiaTheme="minorEastAsia" w:hAnsiTheme="minorHAnsi"/>
          <w:lang w:eastAsia="en-AU"/>
        </w:rPr>
      </w:pPr>
      <w:hyperlink w:anchor="_Toc499542660" w:history="1">
        <w:r w:rsidR="00537991" w:rsidRPr="006D7891">
          <w:rPr>
            <w:rStyle w:val="Hyperlink"/>
          </w:rPr>
          <w:t>6.1</w:t>
        </w:r>
        <w:r w:rsidR="00537991">
          <w:rPr>
            <w:rFonts w:asciiTheme="minorHAnsi" w:eastAsiaTheme="minorEastAsia" w:hAnsiTheme="minorHAnsi"/>
            <w:lang w:eastAsia="en-AU"/>
          </w:rPr>
          <w:tab/>
        </w:r>
        <w:r w:rsidR="00537991" w:rsidRPr="006D7891">
          <w:rPr>
            <w:rStyle w:val="Hyperlink"/>
          </w:rPr>
          <w:t>Initial set of products to be sold on the exchange</w:t>
        </w:r>
        <w:r w:rsidR="00537991">
          <w:rPr>
            <w:webHidden/>
          </w:rPr>
          <w:tab/>
        </w:r>
        <w:r w:rsidR="00537991">
          <w:rPr>
            <w:webHidden/>
          </w:rPr>
          <w:fldChar w:fldCharType="begin"/>
        </w:r>
        <w:r w:rsidR="00537991">
          <w:rPr>
            <w:webHidden/>
          </w:rPr>
          <w:instrText xml:space="preserve"> PAGEREF _Toc499542660 \h </w:instrText>
        </w:r>
        <w:r w:rsidR="00537991">
          <w:rPr>
            <w:webHidden/>
          </w:rPr>
        </w:r>
        <w:r w:rsidR="00537991">
          <w:rPr>
            <w:webHidden/>
          </w:rPr>
          <w:fldChar w:fldCharType="separate"/>
        </w:r>
        <w:r w:rsidR="00761861">
          <w:rPr>
            <w:webHidden/>
          </w:rPr>
          <w:t>79</w:t>
        </w:r>
        <w:r w:rsidR="00537991">
          <w:rPr>
            <w:webHidden/>
          </w:rPr>
          <w:fldChar w:fldCharType="end"/>
        </w:r>
      </w:hyperlink>
    </w:p>
    <w:p w14:paraId="716F6CA4" w14:textId="77777777" w:rsidR="00537991" w:rsidRDefault="00431C3A">
      <w:pPr>
        <w:pStyle w:val="TOC2"/>
        <w:rPr>
          <w:rFonts w:asciiTheme="minorHAnsi" w:eastAsiaTheme="minorEastAsia" w:hAnsiTheme="minorHAnsi"/>
          <w:lang w:eastAsia="en-AU"/>
        </w:rPr>
      </w:pPr>
      <w:hyperlink w:anchor="_Toc499542661" w:history="1">
        <w:r w:rsidR="00537991" w:rsidRPr="006D7891">
          <w:rPr>
            <w:rStyle w:val="Hyperlink"/>
          </w:rPr>
          <w:t>6.2</w:t>
        </w:r>
        <w:r w:rsidR="00537991">
          <w:rPr>
            <w:rFonts w:asciiTheme="minorHAnsi" w:eastAsiaTheme="minorEastAsia" w:hAnsiTheme="minorHAnsi"/>
            <w:lang w:eastAsia="en-AU"/>
          </w:rPr>
          <w:tab/>
        </w:r>
        <w:r w:rsidR="00537991" w:rsidRPr="006D7891">
          <w:rPr>
            <w:rStyle w:val="Hyperlink"/>
          </w:rPr>
          <w:t>Maximising the pool of prospective buyers and sellers</w:t>
        </w:r>
        <w:r w:rsidR="00537991">
          <w:rPr>
            <w:webHidden/>
          </w:rPr>
          <w:tab/>
        </w:r>
        <w:r w:rsidR="00537991">
          <w:rPr>
            <w:webHidden/>
          </w:rPr>
          <w:fldChar w:fldCharType="begin"/>
        </w:r>
        <w:r w:rsidR="00537991">
          <w:rPr>
            <w:webHidden/>
          </w:rPr>
          <w:instrText xml:space="preserve"> PAGEREF _Toc499542661 \h </w:instrText>
        </w:r>
        <w:r w:rsidR="00537991">
          <w:rPr>
            <w:webHidden/>
          </w:rPr>
        </w:r>
        <w:r w:rsidR="00537991">
          <w:rPr>
            <w:webHidden/>
          </w:rPr>
          <w:fldChar w:fldCharType="separate"/>
        </w:r>
        <w:r w:rsidR="00761861">
          <w:rPr>
            <w:webHidden/>
          </w:rPr>
          <w:t>84</w:t>
        </w:r>
        <w:r w:rsidR="00537991">
          <w:rPr>
            <w:webHidden/>
          </w:rPr>
          <w:fldChar w:fldCharType="end"/>
        </w:r>
      </w:hyperlink>
    </w:p>
    <w:p w14:paraId="5AA7C178" w14:textId="77777777" w:rsidR="00537991" w:rsidRDefault="00431C3A">
      <w:pPr>
        <w:pStyle w:val="TOC2"/>
        <w:rPr>
          <w:rFonts w:asciiTheme="minorHAnsi" w:eastAsiaTheme="minorEastAsia" w:hAnsiTheme="minorHAnsi"/>
          <w:lang w:eastAsia="en-AU"/>
        </w:rPr>
      </w:pPr>
      <w:hyperlink w:anchor="_Toc499542662" w:history="1">
        <w:r w:rsidR="00537991" w:rsidRPr="006D7891">
          <w:rPr>
            <w:rStyle w:val="Hyperlink"/>
          </w:rPr>
          <w:t>6.3</w:t>
        </w:r>
        <w:r w:rsidR="00537991">
          <w:rPr>
            <w:rFonts w:asciiTheme="minorHAnsi" w:eastAsiaTheme="minorEastAsia" w:hAnsiTheme="minorHAnsi"/>
            <w:lang w:eastAsia="en-AU"/>
          </w:rPr>
          <w:tab/>
        </w:r>
        <w:r w:rsidR="00537991" w:rsidRPr="006D7891">
          <w:rPr>
            <w:rStyle w:val="Hyperlink"/>
          </w:rPr>
          <w:t>Standardised products to be sold on the exchange</w:t>
        </w:r>
        <w:r w:rsidR="00537991">
          <w:rPr>
            <w:webHidden/>
          </w:rPr>
          <w:tab/>
        </w:r>
        <w:r w:rsidR="00537991">
          <w:rPr>
            <w:webHidden/>
          </w:rPr>
          <w:fldChar w:fldCharType="begin"/>
        </w:r>
        <w:r w:rsidR="00537991">
          <w:rPr>
            <w:webHidden/>
          </w:rPr>
          <w:instrText xml:space="preserve"> PAGEREF _Toc499542662 \h </w:instrText>
        </w:r>
        <w:r w:rsidR="00537991">
          <w:rPr>
            <w:webHidden/>
          </w:rPr>
        </w:r>
        <w:r w:rsidR="00537991">
          <w:rPr>
            <w:webHidden/>
          </w:rPr>
          <w:fldChar w:fldCharType="separate"/>
        </w:r>
        <w:r w:rsidR="00761861">
          <w:rPr>
            <w:webHidden/>
          </w:rPr>
          <w:t>92</w:t>
        </w:r>
        <w:r w:rsidR="00537991">
          <w:rPr>
            <w:webHidden/>
          </w:rPr>
          <w:fldChar w:fldCharType="end"/>
        </w:r>
      </w:hyperlink>
    </w:p>
    <w:p w14:paraId="70B5F607" w14:textId="77777777" w:rsidR="00537991" w:rsidRDefault="00431C3A">
      <w:pPr>
        <w:pStyle w:val="TOC2"/>
        <w:rPr>
          <w:rFonts w:asciiTheme="minorHAnsi" w:eastAsiaTheme="minorEastAsia" w:hAnsiTheme="minorHAnsi"/>
          <w:lang w:eastAsia="en-AU"/>
        </w:rPr>
      </w:pPr>
      <w:hyperlink w:anchor="_Toc499542663" w:history="1">
        <w:r w:rsidR="00537991" w:rsidRPr="006D7891">
          <w:rPr>
            <w:rStyle w:val="Hyperlink"/>
          </w:rPr>
          <w:t>6.4</w:t>
        </w:r>
        <w:r w:rsidR="00537991">
          <w:rPr>
            <w:rFonts w:asciiTheme="minorHAnsi" w:eastAsiaTheme="minorEastAsia" w:hAnsiTheme="minorHAnsi"/>
            <w:lang w:eastAsia="en-AU"/>
          </w:rPr>
          <w:tab/>
        </w:r>
        <w:r w:rsidR="00537991" w:rsidRPr="006D7891">
          <w:rPr>
            <w:rStyle w:val="Hyperlink"/>
          </w:rPr>
          <w:t>Charging parameters for capacity products</w:t>
        </w:r>
        <w:r w:rsidR="00537991">
          <w:rPr>
            <w:webHidden/>
          </w:rPr>
          <w:tab/>
        </w:r>
        <w:r w:rsidR="00537991">
          <w:rPr>
            <w:webHidden/>
          </w:rPr>
          <w:fldChar w:fldCharType="begin"/>
        </w:r>
        <w:r w:rsidR="00537991">
          <w:rPr>
            <w:webHidden/>
          </w:rPr>
          <w:instrText xml:space="preserve"> PAGEREF _Toc499542663 \h </w:instrText>
        </w:r>
        <w:r w:rsidR="00537991">
          <w:rPr>
            <w:webHidden/>
          </w:rPr>
        </w:r>
        <w:r w:rsidR="00537991">
          <w:rPr>
            <w:webHidden/>
          </w:rPr>
          <w:fldChar w:fldCharType="separate"/>
        </w:r>
        <w:r w:rsidR="00761861">
          <w:rPr>
            <w:webHidden/>
          </w:rPr>
          <w:t>98</w:t>
        </w:r>
        <w:r w:rsidR="00537991">
          <w:rPr>
            <w:webHidden/>
          </w:rPr>
          <w:fldChar w:fldCharType="end"/>
        </w:r>
      </w:hyperlink>
    </w:p>
    <w:p w14:paraId="0FAC57CB" w14:textId="77777777" w:rsidR="00537991" w:rsidRDefault="00431C3A">
      <w:pPr>
        <w:pStyle w:val="TOC1"/>
        <w:rPr>
          <w:rFonts w:asciiTheme="minorHAnsi" w:eastAsiaTheme="minorEastAsia" w:hAnsiTheme="minorHAnsi"/>
          <w:b w:val="0"/>
          <w:lang w:eastAsia="en-AU"/>
        </w:rPr>
      </w:pPr>
      <w:hyperlink w:anchor="_Toc499542664" w:history="1">
        <w:r w:rsidR="00537991" w:rsidRPr="006D7891">
          <w:rPr>
            <w:rStyle w:val="Hyperlink"/>
          </w:rPr>
          <w:t>7.</w:t>
        </w:r>
        <w:r w:rsidR="00537991">
          <w:rPr>
            <w:rFonts w:asciiTheme="minorHAnsi" w:eastAsiaTheme="minorEastAsia" w:hAnsiTheme="minorHAnsi"/>
            <w:b w:val="0"/>
            <w:lang w:eastAsia="en-AU"/>
          </w:rPr>
          <w:tab/>
        </w:r>
        <w:r w:rsidR="00537991" w:rsidRPr="006D7891">
          <w:rPr>
            <w:rStyle w:val="Hyperlink"/>
          </w:rPr>
          <w:t>Delivery Process for Exchange Traded Products</w:t>
        </w:r>
        <w:r w:rsidR="00537991">
          <w:rPr>
            <w:webHidden/>
          </w:rPr>
          <w:tab/>
        </w:r>
        <w:r w:rsidR="00537991">
          <w:rPr>
            <w:webHidden/>
          </w:rPr>
          <w:fldChar w:fldCharType="begin"/>
        </w:r>
        <w:r w:rsidR="00537991">
          <w:rPr>
            <w:webHidden/>
          </w:rPr>
          <w:instrText xml:space="preserve"> PAGEREF _Toc499542664 \h </w:instrText>
        </w:r>
        <w:r w:rsidR="00537991">
          <w:rPr>
            <w:webHidden/>
          </w:rPr>
        </w:r>
        <w:r w:rsidR="00537991">
          <w:rPr>
            <w:webHidden/>
          </w:rPr>
          <w:fldChar w:fldCharType="separate"/>
        </w:r>
        <w:r w:rsidR="00761861">
          <w:rPr>
            <w:webHidden/>
          </w:rPr>
          <w:t>100</w:t>
        </w:r>
        <w:r w:rsidR="00537991">
          <w:rPr>
            <w:webHidden/>
          </w:rPr>
          <w:fldChar w:fldCharType="end"/>
        </w:r>
      </w:hyperlink>
    </w:p>
    <w:p w14:paraId="61B0B3ED" w14:textId="77777777" w:rsidR="00537991" w:rsidRDefault="00431C3A">
      <w:pPr>
        <w:pStyle w:val="TOC2"/>
        <w:rPr>
          <w:rFonts w:asciiTheme="minorHAnsi" w:eastAsiaTheme="minorEastAsia" w:hAnsiTheme="minorHAnsi"/>
          <w:lang w:eastAsia="en-AU"/>
        </w:rPr>
      </w:pPr>
      <w:hyperlink w:anchor="_Toc499542665" w:history="1">
        <w:r w:rsidR="00537991" w:rsidRPr="006D7891">
          <w:rPr>
            <w:rStyle w:val="Hyperlink"/>
          </w:rPr>
          <w:t>7.1</w:t>
        </w:r>
        <w:r w:rsidR="00537991">
          <w:rPr>
            <w:rFonts w:asciiTheme="minorHAnsi" w:eastAsiaTheme="minorEastAsia" w:hAnsiTheme="minorHAnsi"/>
            <w:lang w:eastAsia="en-AU"/>
          </w:rPr>
          <w:tab/>
        </w:r>
        <w:r w:rsidR="00537991" w:rsidRPr="006D7891">
          <w:rPr>
            <w:rStyle w:val="Hyperlink"/>
          </w:rPr>
          <w:t>Provision of transaction information to service providers</w:t>
        </w:r>
        <w:r w:rsidR="00537991">
          <w:rPr>
            <w:webHidden/>
          </w:rPr>
          <w:tab/>
        </w:r>
        <w:r w:rsidR="00537991">
          <w:rPr>
            <w:webHidden/>
          </w:rPr>
          <w:fldChar w:fldCharType="begin"/>
        </w:r>
        <w:r w:rsidR="00537991">
          <w:rPr>
            <w:webHidden/>
          </w:rPr>
          <w:instrText xml:space="preserve"> PAGEREF _Toc499542665 \h </w:instrText>
        </w:r>
        <w:r w:rsidR="00537991">
          <w:rPr>
            <w:webHidden/>
          </w:rPr>
        </w:r>
        <w:r w:rsidR="00537991">
          <w:rPr>
            <w:webHidden/>
          </w:rPr>
          <w:fldChar w:fldCharType="separate"/>
        </w:r>
        <w:r w:rsidR="00761861">
          <w:rPr>
            <w:webHidden/>
          </w:rPr>
          <w:t>100</w:t>
        </w:r>
        <w:r w:rsidR="00537991">
          <w:rPr>
            <w:webHidden/>
          </w:rPr>
          <w:fldChar w:fldCharType="end"/>
        </w:r>
      </w:hyperlink>
    </w:p>
    <w:p w14:paraId="52F3793E" w14:textId="77777777" w:rsidR="00537991" w:rsidRDefault="00431C3A">
      <w:pPr>
        <w:pStyle w:val="TOC2"/>
        <w:rPr>
          <w:rFonts w:asciiTheme="minorHAnsi" w:eastAsiaTheme="minorEastAsia" w:hAnsiTheme="minorHAnsi"/>
          <w:lang w:eastAsia="en-AU"/>
        </w:rPr>
      </w:pPr>
      <w:hyperlink w:anchor="_Toc499542666" w:history="1">
        <w:r w:rsidR="00537991" w:rsidRPr="006D7891">
          <w:rPr>
            <w:rStyle w:val="Hyperlink"/>
          </w:rPr>
          <w:t>7.2</w:t>
        </w:r>
        <w:r w:rsidR="00537991">
          <w:rPr>
            <w:rFonts w:asciiTheme="minorHAnsi" w:eastAsiaTheme="minorEastAsia" w:hAnsiTheme="minorHAnsi"/>
            <w:lang w:eastAsia="en-AU"/>
          </w:rPr>
          <w:tab/>
        </w:r>
        <w:r w:rsidR="00537991" w:rsidRPr="006D7891">
          <w:rPr>
            <w:rStyle w:val="Hyperlink"/>
          </w:rPr>
          <w:t>Transfer of capacity</w:t>
        </w:r>
        <w:r w:rsidR="00537991">
          <w:rPr>
            <w:webHidden/>
          </w:rPr>
          <w:tab/>
        </w:r>
        <w:r w:rsidR="00537991">
          <w:rPr>
            <w:webHidden/>
          </w:rPr>
          <w:fldChar w:fldCharType="begin"/>
        </w:r>
        <w:r w:rsidR="00537991">
          <w:rPr>
            <w:webHidden/>
          </w:rPr>
          <w:instrText xml:space="preserve"> PAGEREF _Toc499542666 \h </w:instrText>
        </w:r>
        <w:r w:rsidR="00537991">
          <w:rPr>
            <w:webHidden/>
          </w:rPr>
        </w:r>
        <w:r w:rsidR="00537991">
          <w:rPr>
            <w:webHidden/>
          </w:rPr>
          <w:fldChar w:fldCharType="separate"/>
        </w:r>
        <w:r w:rsidR="00761861">
          <w:rPr>
            <w:webHidden/>
          </w:rPr>
          <w:t>105</w:t>
        </w:r>
        <w:r w:rsidR="00537991">
          <w:rPr>
            <w:webHidden/>
          </w:rPr>
          <w:fldChar w:fldCharType="end"/>
        </w:r>
      </w:hyperlink>
    </w:p>
    <w:p w14:paraId="617F19CF" w14:textId="77777777" w:rsidR="00537991" w:rsidRDefault="00431C3A">
      <w:pPr>
        <w:pStyle w:val="TOC2"/>
        <w:rPr>
          <w:rFonts w:asciiTheme="minorHAnsi" w:eastAsiaTheme="minorEastAsia" w:hAnsiTheme="minorHAnsi"/>
          <w:lang w:eastAsia="en-AU"/>
        </w:rPr>
      </w:pPr>
      <w:hyperlink w:anchor="_Toc499542667" w:history="1">
        <w:r w:rsidR="00537991" w:rsidRPr="006D7891">
          <w:rPr>
            <w:rStyle w:val="Hyperlink"/>
          </w:rPr>
          <w:t>7.3</w:t>
        </w:r>
        <w:r w:rsidR="00537991">
          <w:rPr>
            <w:rFonts w:asciiTheme="minorHAnsi" w:eastAsiaTheme="minorEastAsia" w:hAnsiTheme="minorHAnsi"/>
            <w:lang w:eastAsia="en-AU"/>
          </w:rPr>
          <w:tab/>
        </w:r>
        <w:r w:rsidR="00537991" w:rsidRPr="006D7891">
          <w:rPr>
            <w:rStyle w:val="Hyperlink"/>
          </w:rPr>
          <w:t>Key timings on the capacity trading platform</w:t>
        </w:r>
        <w:r w:rsidR="00537991">
          <w:rPr>
            <w:webHidden/>
          </w:rPr>
          <w:tab/>
        </w:r>
        <w:r w:rsidR="00537991">
          <w:rPr>
            <w:webHidden/>
          </w:rPr>
          <w:fldChar w:fldCharType="begin"/>
        </w:r>
        <w:r w:rsidR="00537991">
          <w:rPr>
            <w:webHidden/>
          </w:rPr>
          <w:instrText xml:space="preserve"> PAGEREF _Toc499542667 \h </w:instrText>
        </w:r>
        <w:r w:rsidR="00537991">
          <w:rPr>
            <w:webHidden/>
          </w:rPr>
        </w:r>
        <w:r w:rsidR="00537991">
          <w:rPr>
            <w:webHidden/>
          </w:rPr>
          <w:fldChar w:fldCharType="separate"/>
        </w:r>
        <w:r w:rsidR="00761861">
          <w:rPr>
            <w:webHidden/>
          </w:rPr>
          <w:t>106</w:t>
        </w:r>
        <w:r w:rsidR="00537991">
          <w:rPr>
            <w:webHidden/>
          </w:rPr>
          <w:fldChar w:fldCharType="end"/>
        </w:r>
      </w:hyperlink>
    </w:p>
    <w:p w14:paraId="640E15AE" w14:textId="77777777" w:rsidR="00537991" w:rsidRDefault="00431C3A">
      <w:pPr>
        <w:pStyle w:val="TOC2"/>
        <w:rPr>
          <w:rFonts w:asciiTheme="minorHAnsi" w:eastAsiaTheme="minorEastAsia" w:hAnsiTheme="minorHAnsi"/>
          <w:lang w:eastAsia="en-AU"/>
        </w:rPr>
      </w:pPr>
      <w:hyperlink w:anchor="_Toc499542668" w:history="1">
        <w:r w:rsidR="00537991" w:rsidRPr="006D7891">
          <w:rPr>
            <w:rStyle w:val="Hyperlink"/>
          </w:rPr>
          <w:t>7.4</w:t>
        </w:r>
        <w:r w:rsidR="00537991">
          <w:rPr>
            <w:rFonts w:asciiTheme="minorHAnsi" w:eastAsiaTheme="minorEastAsia" w:hAnsiTheme="minorHAnsi"/>
            <w:lang w:eastAsia="en-AU"/>
          </w:rPr>
          <w:tab/>
        </w:r>
        <w:r w:rsidR="00537991" w:rsidRPr="006D7891">
          <w:rPr>
            <w:rStyle w:val="Hyperlink"/>
          </w:rPr>
          <w:t>Interaction between the delivery process and other markets</w:t>
        </w:r>
        <w:r w:rsidR="00537991">
          <w:rPr>
            <w:webHidden/>
          </w:rPr>
          <w:tab/>
        </w:r>
        <w:r w:rsidR="00537991">
          <w:rPr>
            <w:webHidden/>
          </w:rPr>
          <w:fldChar w:fldCharType="begin"/>
        </w:r>
        <w:r w:rsidR="00537991">
          <w:rPr>
            <w:webHidden/>
          </w:rPr>
          <w:instrText xml:space="preserve"> PAGEREF _Toc499542668 \h </w:instrText>
        </w:r>
        <w:r w:rsidR="00537991">
          <w:rPr>
            <w:webHidden/>
          </w:rPr>
        </w:r>
        <w:r w:rsidR="00537991">
          <w:rPr>
            <w:webHidden/>
          </w:rPr>
          <w:fldChar w:fldCharType="separate"/>
        </w:r>
        <w:r w:rsidR="00761861">
          <w:rPr>
            <w:webHidden/>
          </w:rPr>
          <w:t>109</w:t>
        </w:r>
        <w:r w:rsidR="00537991">
          <w:rPr>
            <w:webHidden/>
          </w:rPr>
          <w:fldChar w:fldCharType="end"/>
        </w:r>
      </w:hyperlink>
    </w:p>
    <w:p w14:paraId="0B629B3E" w14:textId="77777777" w:rsidR="00537991" w:rsidRDefault="00431C3A">
      <w:pPr>
        <w:pStyle w:val="TOC1"/>
        <w:rPr>
          <w:rFonts w:asciiTheme="minorHAnsi" w:eastAsiaTheme="minorEastAsia" w:hAnsiTheme="minorHAnsi"/>
          <w:b w:val="0"/>
          <w:lang w:eastAsia="en-AU"/>
        </w:rPr>
      </w:pPr>
      <w:hyperlink w:anchor="_Toc499542669" w:history="1">
        <w:r w:rsidR="00537991" w:rsidRPr="006D7891">
          <w:rPr>
            <w:rStyle w:val="Hyperlink"/>
          </w:rPr>
          <w:t>8.</w:t>
        </w:r>
        <w:r w:rsidR="00537991">
          <w:rPr>
            <w:rFonts w:asciiTheme="minorHAnsi" w:eastAsiaTheme="minorEastAsia" w:hAnsiTheme="minorHAnsi"/>
            <w:b w:val="0"/>
            <w:lang w:eastAsia="en-AU"/>
          </w:rPr>
          <w:tab/>
        </w:r>
        <w:r w:rsidR="00537991" w:rsidRPr="006D7891">
          <w:rPr>
            <w:rStyle w:val="Hyperlink"/>
          </w:rPr>
          <w:t>Settlement and Credit Risk Management</w:t>
        </w:r>
        <w:r w:rsidR="00537991">
          <w:rPr>
            <w:webHidden/>
          </w:rPr>
          <w:tab/>
        </w:r>
        <w:r w:rsidR="00537991">
          <w:rPr>
            <w:webHidden/>
          </w:rPr>
          <w:fldChar w:fldCharType="begin"/>
        </w:r>
        <w:r w:rsidR="00537991">
          <w:rPr>
            <w:webHidden/>
          </w:rPr>
          <w:instrText xml:space="preserve"> PAGEREF _Toc499542669 \h </w:instrText>
        </w:r>
        <w:r w:rsidR="00537991">
          <w:rPr>
            <w:webHidden/>
          </w:rPr>
        </w:r>
        <w:r w:rsidR="00537991">
          <w:rPr>
            <w:webHidden/>
          </w:rPr>
          <w:fldChar w:fldCharType="separate"/>
        </w:r>
        <w:r w:rsidR="00761861">
          <w:rPr>
            <w:webHidden/>
          </w:rPr>
          <w:t>112</w:t>
        </w:r>
        <w:r w:rsidR="00537991">
          <w:rPr>
            <w:webHidden/>
          </w:rPr>
          <w:fldChar w:fldCharType="end"/>
        </w:r>
      </w:hyperlink>
    </w:p>
    <w:p w14:paraId="60EA43A2" w14:textId="77777777" w:rsidR="00537991" w:rsidRDefault="00431C3A">
      <w:pPr>
        <w:pStyle w:val="TOC2"/>
        <w:rPr>
          <w:rFonts w:asciiTheme="minorHAnsi" w:eastAsiaTheme="minorEastAsia" w:hAnsiTheme="minorHAnsi"/>
          <w:lang w:eastAsia="en-AU"/>
        </w:rPr>
      </w:pPr>
      <w:hyperlink w:anchor="_Toc499542670" w:history="1">
        <w:r w:rsidR="00537991" w:rsidRPr="006D7891">
          <w:rPr>
            <w:rStyle w:val="Hyperlink"/>
          </w:rPr>
          <w:t>8.1</w:t>
        </w:r>
        <w:r w:rsidR="00537991">
          <w:rPr>
            <w:rFonts w:asciiTheme="minorHAnsi" w:eastAsiaTheme="minorEastAsia" w:hAnsiTheme="minorHAnsi"/>
            <w:lang w:eastAsia="en-AU"/>
          </w:rPr>
          <w:tab/>
        </w:r>
        <w:r w:rsidR="00537991" w:rsidRPr="006D7891">
          <w:rPr>
            <w:rStyle w:val="Hyperlink"/>
          </w:rPr>
          <w:t>Centralised settlement system</w:t>
        </w:r>
        <w:r w:rsidR="00537991">
          <w:rPr>
            <w:webHidden/>
          </w:rPr>
          <w:tab/>
        </w:r>
        <w:r w:rsidR="00537991">
          <w:rPr>
            <w:webHidden/>
          </w:rPr>
          <w:fldChar w:fldCharType="begin"/>
        </w:r>
        <w:r w:rsidR="00537991">
          <w:rPr>
            <w:webHidden/>
          </w:rPr>
          <w:instrText xml:space="preserve"> PAGEREF _Toc499542670 \h </w:instrText>
        </w:r>
        <w:r w:rsidR="00537991">
          <w:rPr>
            <w:webHidden/>
          </w:rPr>
        </w:r>
        <w:r w:rsidR="00537991">
          <w:rPr>
            <w:webHidden/>
          </w:rPr>
          <w:fldChar w:fldCharType="separate"/>
        </w:r>
        <w:r w:rsidR="00761861">
          <w:rPr>
            <w:webHidden/>
          </w:rPr>
          <w:t>112</w:t>
        </w:r>
        <w:r w:rsidR="00537991">
          <w:rPr>
            <w:webHidden/>
          </w:rPr>
          <w:fldChar w:fldCharType="end"/>
        </w:r>
      </w:hyperlink>
    </w:p>
    <w:p w14:paraId="16317AD7" w14:textId="77777777" w:rsidR="00537991" w:rsidRDefault="00431C3A">
      <w:pPr>
        <w:pStyle w:val="TOC2"/>
        <w:rPr>
          <w:rFonts w:asciiTheme="minorHAnsi" w:eastAsiaTheme="minorEastAsia" w:hAnsiTheme="minorHAnsi"/>
          <w:lang w:eastAsia="en-AU"/>
        </w:rPr>
      </w:pPr>
      <w:hyperlink w:anchor="_Toc499542671" w:history="1">
        <w:r w:rsidR="00537991" w:rsidRPr="006D7891">
          <w:rPr>
            <w:rStyle w:val="Hyperlink"/>
            <w:rFonts w:eastAsia="Times New Roman" w:cs="Times New Roman"/>
          </w:rPr>
          <w:t>8.2</w:t>
        </w:r>
        <w:r w:rsidR="00537991">
          <w:rPr>
            <w:rFonts w:asciiTheme="minorHAnsi" w:eastAsiaTheme="minorEastAsia" w:hAnsiTheme="minorHAnsi"/>
            <w:lang w:eastAsia="en-AU"/>
          </w:rPr>
          <w:tab/>
        </w:r>
        <w:r w:rsidR="00537991" w:rsidRPr="006D7891">
          <w:rPr>
            <w:rStyle w:val="Hyperlink"/>
          </w:rPr>
          <w:t>Centralised credit risk management</w:t>
        </w:r>
        <w:r w:rsidR="00537991">
          <w:rPr>
            <w:webHidden/>
          </w:rPr>
          <w:tab/>
        </w:r>
        <w:r w:rsidR="00537991">
          <w:rPr>
            <w:webHidden/>
          </w:rPr>
          <w:fldChar w:fldCharType="begin"/>
        </w:r>
        <w:r w:rsidR="00537991">
          <w:rPr>
            <w:webHidden/>
          </w:rPr>
          <w:instrText xml:space="preserve"> PAGEREF _Toc499542671 \h </w:instrText>
        </w:r>
        <w:r w:rsidR="00537991">
          <w:rPr>
            <w:webHidden/>
          </w:rPr>
        </w:r>
        <w:r w:rsidR="00537991">
          <w:rPr>
            <w:webHidden/>
          </w:rPr>
          <w:fldChar w:fldCharType="separate"/>
        </w:r>
        <w:r w:rsidR="00761861">
          <w:rPr>
            <w:webHidden/>
          </w:rPr>
          <w:t>113</w:t>
        </w:r>
        <w:r w:rsidR="00537991">
          <w:rPr>
            <w:webHidden/>
          </w:rPr>
          <w:fldChar w:fldCharType="end"/>
        </w:r>
      </w:hyperlink>
    </w:p>
    <w:p w14:paraId="03424D8C" w14:textId="77777777" w:rsidR="00537991" w:rsidRDefault="00431C3A">
      <w:pPr>
        <w:pStyle w:val="TOC1"/>
        <w:rPr>
          <w:rFonts w:asciiTheme="minorHAnsi" w:eastAsiaTheme="minorEastAsia" w:hAnsiTheme="minorHAnsi"/>
          <w:b w:val="0"/>
          <w:lang w:eastAsia="en-AU"/>
        </w:rPr>
      </w:pPr>
      <w:hyperlink w:anchor="_Toc499542672" w:history="1">
        <w:r w:rsidR="00537991" w:rsidRPr="006D7891">
          <w:rPr>
            <w:rStyle w:val="Hyperlink"/>
          </w:rPr>
          <w:t>9.</w:t>
        </w:r>
        <w:r w:rsidR="00537991">
          <w:rPr>
            <w:rFonts w:asciiTheme="minorHAnsi" w:eastAsiaTheme="minorEastAsia" w:hAnsiTheme="minorHAnsi"/>
            <w:b w:val="0"/>
            <w:lang w:eastAsia="en-AU"/>
          </w:rPr>
          <w:tab/>
        </w:r>
        <w:r w:rsidR="00537991" w:rsidRPr="006D7891">
          <w:rPr>
            <w:rStyle w:val="Hyperlink"/>
          </w:rPr>
          <w:t>Financial and Delivery Default Arrangements</w:t>
        </w:r>
        <w:r w:rsidR="00537991">
          <w:rPr>
            <w:webHidden/>
          </w:rPr>
          <w:tab/>
        </w:r>
        <w:r w:rsidR="00537991">
          <w:rPr>
            <w:webHidden/>
          </w:rPr>
          <w:fldChar w:fldCharType="begin"/>
        </w:r>
        <w:r w:rsidR="00537991">
          <w:rPr>
            <w:webHidden/>
          </w:rPr>
          <w:instrText xml:space="preserve"> PAGEREF _Toc499542672 \h </w:instrText>
        </w:r>
        <w:r w:rsidR="00537991">
          <w:rPr>
            <w:webHidden/>
          </w:rPr>
        </w:r>
        <w:r w:rsidR="00537991">
          <w:rPr>
            <w:webHidden/>
          </w:rPr>
          <w:fldChar w:fldCharType="separate"/>
        </w:r>
        <w:r w:rsidR="00761861">
          <w:rPr>
            <w:webHidden/>
          </w:rPr>
          <w:t>116</w:t>
        </w:r>
        <w:r w:rsidR="00537991">
          <w:rPr>
            <w:webHidden/>
          </w:rPr>
          <w:fldChar w:fldCharType="end"/>
        </w:r>
      </w:hyperlink>
    </w:p>
    <w:p w14:paraId="21A59342" w14:textId="77777777" w:rsidR="00537991" w:rsidRDefault="00431C3A">
      <w:pPr>
        <w:pStyle w:val="TOC2"/>
        <w:rPr>
          <w:rFonts w:asciiTheme="minorHAnsi" w:eastAsiaTheme="minorEastAsia" w:hAnsiTheme="minorHAnsi"/>
          <w:lang w:eastAsia="en-AU"/>
        </w:rPr>
      </w:pPr>
      <w:hyperlink w:anchor="_Toc499542673" w:history="1">
        <w:r w:rsidR="00537991" w:rsidRPr="006D7891">
          <w:rPr>
            <w:rStyle w:val="Hyperlink"/>
          </w:rPr>
          <w:t>9.1</w:t>
        </w:r>
        <w:r w:rsidR="00537991">
          <w:rPr>
            <w:rFonts w:asciiTheme="minorHAnsi" w:eastAsiaTheme="minorEastAsia" w:hAnsiTheme="minorHAnsi"/>
            <w:lang w:eastAsia="en-AU"/>
          </w:rPr>
          <w:tab/>
        </w:r>
        <w:r w:rsidR="00537991" w:rsidRPr="006D7891">
          <w:rPr>
            <w:rStyle w:val="Hyperlink"/>
          </w:rPr>
          <w:t>Seller defaults on its GTA with the service provider</w:t>
        </w:r>
        <w:r w:rsidR="00537991">
          <w:rPr>
            <w:webHidden/>
          </w:rPr>
          <w:tab/>
        </w:r>
        <w:r w:rsidR="00537991">
          <w:rPr>
            <w:webHidden/>
          </w:rPr>
          <w:fldChar w:fldCharType="begin"/>
        </w:r>
        <w:r w:rsidR="00537991">
          <w:rPr>
            <w:webHidden/>
          </w:rPr>
          <w:instrText xml:space="preserve"> PAGEREF _Toc499542673 \h </w:instrText>
        </w:r>
        <w:r w:rsidR="00537991">
          <w:rPr>
            <w:webHidden/>
          </w:rPr>
        </w:r>
        <w:r w:rsidR="00537991">
          <w:rPr>
            <w:webHidden/>
          </w:rPr>
          <w:fldChar w:fldCharType="separate"/>
        </w:r>
        <w:r w:rsidR="00761861">
          <w:rPr>
            <w:webHidden/>
          </w:rPr>
          <w:t>116</w:t>
        </w:r>
        <w:r w:rsidR="00537991">
          <w:rPr>
            <w:webHidden/>
          </w:rPr>
          <w:fldChar w:fldCharType="end"/>
        </w:r>
      </w:hyperlink>
    </w:p>
    <w:p w14:paraId="680F0293" w14:textId="77777777" w:rsidR="00537991" w:rsidRDefault="00431C3A">
      <w:pPr>
        <w:pStyle w:val="TOC2"/>
        <w:rPr>
          <w:rFonts w:asciiTheme="minorHAnsi" w:eastAsiaTheme="minorEastAsia" w:hAnsiTheme="minorHAnsi"/>
          <w:lang w:eastAsia="en-AU"/>
        </w:rPr>
      </w:pPr>
      <w:hyperlink w:anchor="_Toc499542674" w:history="1">
        <w:r w:rsidR="00537991" w:rsidRPr="006D7891">
          <w:rPr>
            <w:rStyle w:val="Hyperlink"/>
          </w:rPr>
          <w:t>9.2</w:t>
        </w:r>
        <w:r w:rsidR="00537991">
          <w:rPr>
            <w:rFonts w:asciiTheme="minorHAnsi" w:eastAsiaTheme="minorEastAsia" w:hAnsiTheme="minorHAnsi"/>
            <w:lang w:eastAsia="en-AU"/>
          </w:rPr>
          <w:tab/>
        </w:r>
        <w:r w:rsidR="00537991" w:rsidRPr="006D7891">
          <w:rPr>
            <w:rStyle w:val="Hyperlink"/>
          </w:rPr>
          <w:t>Seller short-sells capacity</w:t>
        </w:r>
        <w:r w:rsidR="00537991">
          <w:rPr>
            <w:webHidden/>
          </w:rPr>
          <w:tab/>
        </w:r>
        <w:r w:rsidR="00537991">
          <w:rPr>
            <w:webHidden/>
          </w:rPr>
          <w:fldChar w:fldCharType="begin"/>
        </w:r>
        <w:r w:rsidR="00537991">
          <w:rPr>
            <w:webHidden/>
          </w:rPr>
          <w:instrText xml:space="preserve"> PAGEREF _Toc499542674 \h </w:instrText>
        </w:r>
        <w:r w:rsidR="00537991">
          <w:rPr>
            <w:webHidden/>
          </w:rPr>
        </w:r>
        <w:r w:rsidR="00537991">
          <w:rPr>
            <w:webHidden/>
          </w:rPr>
          <w:fldChar w:fldCharType="separate"/>
        </w:r>
        <w:r w:rsidR="00761861">
          <w:rPr>
            <w:webHidden/>
          </w:rPr>
          <w:t>120</w:t>
        </w:r>
        <w:r w:rsidR="00537991">
          <w:rPr>
            <w:webHidden/>
          </w:rPr>
          <w:fldChar w:fldCharType="end"/>
        </w:r>
      </w:hyperlink>
    </w:p>
    <w:p w14:paraId="22E2A9B4" w14:textId="77777777" w:rsidR="00537991" w:rsidRDefault="00431C3A">
      <w:pPr>
        <w:pStyle w:val="TOC2"/>
        <w:rPr>
          <w:rFonts w:asciiTheme="minorHAnsi" w:eastAsiaTheme="minorEastAsia" w:hAnsiTheme="minorHAnsi"/>
          <w:lang w:eastAsia="en-AU"/>
        </w:rPr>
      </w:pPr>
      <w:hyperlink w:anchor="_Toc499542675" w:history="1">
        <w:r w:rsidR="00537991" w:rsidRPr="006D7891">
          <w:rPr>
            <w:rStyle w:val="Hyperlink"/>
          </w:rPr>
          <w:t>9.3</w:t>
        </w:r>
        <w:r w:rsidR="00537991">
          <w:rPr>
            <w:rFonts w:asciiTheme="minorHAnsi" w:eastAsiaTheme="minorEastAsia" w:hAnsiTheme="minorHAnsi"/>
            <w:lang w:eastAsia="en-AU"/>
          </w:rPr>
          <w:tab/>
        </w:r>
        <w:r w:rsidR="00537991" w:rsidRPr="006D7891">
          <w:rPr>
            <w:rStyle w:val="Hyperlink"/>
          </w:rPr>
          <w:t>Seller defaults on financial obligations in the GSH</w:t>
        </w:r>
        <w:r w:rsidR="00537991">
          <w:rPr>
            <w:webHidden/>
          </w:rPr>
          <w:tab/>
        </w:r>
        <w:r w:rsidR="00537991">
          <w:rPr>
            <w:webHidden/>
          </w:rPr>
          <w:fldChar w:fldCharType="begin"/>
        </w:r>
        <w:r w:rsidR="00537991">
          <w:rPr>
            <w:webHidden/>
          </w:rPr>
          <w:instrText xml:space="preserve"> PAGEREF _Toc499542675 \h </w:instrText>
        </w:r>
        <w:r w:rsidR="00537991">
          <w:rPr>
            <w:webHidden/>
          </w:rPr>
        </w:r>
        <w:r w:rsidR="00537991">
          <w:rPr>
            <w:webHidden/>
          </w:rPr>
          <w:fldChar w:fldCharType="separate"/>
        </w:r>
        <w:r w:rsidR="00761861">
          <w:rPr>
            <w:webHidden/>
          </w:rPr>
          <w:t>124</w:t>
        </w:r>
        <w:r w:rsidR="00537991">
          <w:rPr>
            <w:webHidden/>
          </w:rPr>
          <w:fldChar w:fldCharType="end"/>
        </w:r>
      </w:hyperlink>
    </w:p>
    <w:p w14:paraId="6C95323C" w14:textId="77777777" w:rsidR="00537991" w:rsidRDefault="00431C3A">
      <w:pPr>
        <w:pStyle w:val="TOC1"/>
        <w:rPr>
          <w:rFonts w:asciiTheme="minorHAnsi" w:eastAsiaTheme="minorEastAsia" w:hAnsiTheme="minorHAnsi"/>
          <w:b w:val="0"/>
          <w:lang w:eastAsia="en-AU"/>
        </w:rPr>
      </w:pPr>
      <w:hyperlink w:anchor="_Toc499542676" w:history="1">
        <w:r w:rsidR="00537991" w:rsidRPr="006D7891">
          <w:rPr>
            <w:rStyle w:val="Hyperlink"/>
          </w:rPr>
          <w:t>10.</w:t>
        </w:r>
        <w:r w:rsidR="00537991">
          <w:rPr>
            <w:rFonts w:asciiTheme="minorHAnsi" w:eastAsiaTheme="minorEastAsia" w:hAnsiTheme="minorHAnsi"/>
            <w:b w:val="0"/>
            <w:lang w:eastAsia="en-AU"/>
          </w:rPr>
          <w:tab/>
        </w:r>
        <w:r w:rsidR="00537991" w:rsidRPr="006D7891">
          <w:rPr>
            <w:rStyle w:val="Hyperlink"/>
          </w:rPr>
          <w:t>Capacity Listing Service and Bilateral Trading</w:t>
        </w:r>
        <w:r w:rsidR="00537991">
          <w:rPr>
            <w:webHidden/>
          </w:rPr>
          <w:tab/>
        </w:r>
        <w:r w:rsidR="00537991">
          <w:rPr>
            <w:webHidden/>
          </w:rPr>
          <w:fldChar w:fldCharType="begin"/>
        </w:r>
        <w:r w:rsidR="00537991">
          <w:rPr>
            <w:webHidden/>
          </w:rPr>
          <w:instrText xml:space="preserve"> PAGEREF _Toc499542676 \h </w:instrText>
        </w:r>
        <w:r w:rsidR="00537991">
          <w:rPr>
            <w:webHidden/>
          </w:rPr>
        </w:r>
        <w:r w:rsidR="00537991">
          <w:rPr>
            <w:webHidden/>
          </w:rPr>
          <w:fldChar w:fldCharType="separate"/>
        </w:r>
        <w:r w:rsidR="00761861">
          <w:rPr>
            <w:webHidden/>
          </w:rPr>
          <w:t>125</w:t>
        </w:r>
        <w:r w:rsidR="00537991">
          <w:rPr>
            <w:webHidden/>
          </w:rPr>
          <w:fldChar w:fldCharType="end"/>
        </w:r>
      </w:hyperlink>
    </w:p>
    <w:p w14:paraId="32B50B74" w14:textId="77777777" w:rsidR="00537991" w:rsidRDefault="00431C3A">
      <w:pPr>
        <w:pStyle w:val="TOC1"/>
        <w:rPr>
          <w:rFonts w:asciiTheme="minorHAnsi" w:eastAsiaTheme="minorEastAsia" w:hAnsiTheme="minorHAnsi"/>
          <w:b w:val="0"/>
          <w:lang w:eastAsia="en-AU"/>
        </w:rPr>
      </w:pPr>
      <w:hyperlink w:anchor="_Toc499542677" w:history="1">
        <w:r w:rsidR="00537991" w:rsidRPr="006D7891">
          <w:rPr>
            <w:rStyle w:val="Hyperlink"/>
          </w:rPr>
          <w:t>11.</w:t>
        </w:r>
        <w:r w:rsidR="00537991">
          <w:rPr>
            <w:rFonts w:asciiTheme="minorHAnsi" w:eastAsiaTheme="minorEastAsia" w:hAnsiTheme="minorHAnsi"/>
            <w:b w:val="0"/>
            <w:lang w:eastAsia="en-AU"/>
          </w:rPr>
          <w:tab/>
        </w:r>
        <w:r w:rsidR="00537991" w:rsidRPr="006D7891">
          <w:rPr>
            <w:rStyle w:val="Hyperlink"/>
          </w:rPr>
          <w:t>Governance Arrangements for the Capacity Trading Platform</w:t>
        </w:r>
        <w:r w:rsidR="00537991">
          <w:rPr>
            <w:webHidden/>
          </w:rPr>
          <w:tab/>
        </w:r>
        <w:r w:rsidR="00537991">
          <w:rPr>
            <w:webHidden/>
          </w:rPr>
          <w:fldChar w:fldCharType="begin"/>
        </w:r>
        <w:r w:rsidR="00537991">
          <w:rPr>
            <w:webHidden/>
          </w:rPr>
          <w:instrText xml:space="preserve"> PAGEREF _Toc499542677 \h </w:instrText>
        </w:r>
        <w:r w:rsidR="00537991">
          <w:rPr>
            <w:webHidden/>
          </w:rPr>
        </w:r>
        <w:r w:rsidR="00537991">
          <w:rPr>
            <w:webHidden/>
          </w:rPr>
          <w:fldChar w:fldCharType="separate"/>
        </w:r>
        <w:r w:rsidR="00761861">
          <w:rPr>
            <w:webHidden/>
          </w:rPr>
          <w:t>128</w:t>
        </w:r>
        <w:r w:rsidR="00537991">
          <w:rPr>
            <w:webHidden/>
          </w:rPr>
          <w:fldChar w:fldCharType="end"/>
        </w:r>
      </w:hyperlink>
    </w:p>
    <w:p w14:paraId="66852B18" w14:textId="77777777" w:rsidR="00537991" w:rsidRDefault="00431C3A">
      <w:pPr>
        <w:pStyle w:val="TOC1"/>
        <w:rPr>
          <w:rFonts w:asciiTheme="minorHAnsi" w:eastAsiaTheme="minorEastAsia" w:hAnsiTheme="minorHAnsi"/>
          <w:b w:val="0"/>
          <w:lang w:eastAsia="en-AU"/>
        </w:rPr>
      </w:pPr>
      <w:hyperlink w:anchor="_Toc499542678" w:history="1">
        <w:r w:rsidR="00537991" w:rsidRPr="006D7891">
          <w:rPr>
            <w:rStyle w:val="Hyperlink"/>
          </w:rPr>
          <w:t>Part C: Reporting Framework for Secondary Trades</w:t>
        </w:r>
        <w:r w:rsidR="00537991">
          <w:rPr>
            <w:webHidden/>
          </w:rPr>
          <w:tab/>
        </w:r>
        <w:r w:rsidR="00537991">
          <w:rPr>
            <w:webHidden/>
          </w:rPr>
          <w:fldChar w:fldCharType="begin"/>
        </w:r>
        <w:r w:rsidR="00537991">
          <w:rPr>
            <w:webHidden/>
          </w:rPr>
          <w:instrText xml:space="preserve"> PAGEREF _Toc499542678 \h </w:instrText>
        </w:r>
        <w:r w:rsidR="00537991">
          <w:rPr>
            <w:webHidden/>
          </w:rPr>
        </w:r>
        <w:r w:rsidR="00537991">
          <w:rPr>
            <w:webHidden/>
          </w:rPr>
          <w:fldChar w:fldCharType="separate"/>
        </w:r>
        <w:r w:rsidR="00761861">
          <w:rPr>
            <w:webHidden/>
          </w:rPr>
          <w:t>130</w:t>
        </w:r>
        <w:r w:rsidR="00537991">
          <w:rPr>
            <w:webHidden/>
          </w:rPr>
          <w:fldChar w:fldCharType="end"/>
        </w:r>
      </w:hyperlink>
    </w:p>
    <w:p w14:paraId="1DD31C46" w14:textId="77777777" w:rsidR="00537991" w:rsidRDefault="00431C3A">
      <w:pPr>
        <w:pStyle w:val="TOC1"/>
        <w:rPr>
          <w:rFonts w:asciiTheme="minorHAnsi" w:eastAsiaTheme="minorEastAsia" w:hAnsiTheme="minorHAnsi"/>
          <w:b w:val="0"/>
          <w:lang w:eastAsia="en-AU"/>
        </w:rPr>
      </w:pPr>
      <w:hyperlink w:anchor="_Toc499542679" w:history="1">
        <w:r w:rsidR="00537991" w:rsidRPr="006D7891">
          <w:rPr>
            <w:rStyle w:val="Hyperlink"/>
          </w:rPr>
          <w:t>12.</w:t>
        </w:r>
        <w:r w:rsidR="00537991">
          <w:rPr>
            <w:rFonts w:asciiTheme="minorHAnsi" w:eastAsiaTheme="minorEastAsia" w:hAnsiTheme="minorHAnsi"/>
            <w:b w:val="0"/>
            <w:lang w:eastAsia="en-AU"/>
          </w:rPr>
          <w:tab/>
        </w:r>
        <w:r w:rsidR="00537991" w:rsidRPr="006D7891">
          <w:rPr>
            <w:rStyle w:val="Hyperlink"/>
          </w:rPr>
          <w:t>Reporting Requirements for Secondary Trades</w:t>
        </w:r>
        <w:r w:rsidR="00537991">
          <w:rPr>
            <w:webHidden/>
          </w:rPr>
          <w:tab/>
        </w:r>
        <w:r w:rsidR="00537991">
          <w:rPr>
            <w:webHidden/>
          </w:rPr>
          <w:fldChar w:fldCharType="begin"/>
        </w:r>
        <w:r w:rsidR="00537991">
          <w:rPr>
            <w:webHidden/>
          </w:rPr>
          <w:instrText xml:space="preserve"> PAGEREF _Toc499542679 \h </w:instrText>
        </w:r>
        <w:r w:rsidR="00537991">
          <w:rPr>
            <w:webHidden/>
          </w:rPr>
        </w:r>
        <w:r w:rsidR="00537991">
          <w:rPr>
            <w:webHidden/>
          </w:rPr>
          <w:fldChar w:fldCharType="separate"/>
        </w:r>
        <w:r w:rsidR="00761861">
          <w:rPr>
            <w:webHidden/>
          </w:rPr>
          <w:t>133</w:t>
        </w:r>
        <w:r w:rsidR="00537991">
          <w:rPr>
            <w:webHidden/>
          </w:rPr>
          <w:fldChar w:fldCharType="end"/>
        </w:r>
      </w:hyperlink>
    </w:p>
    <w:p w14:paraId="46F07A21" w14:textId="77777777" w:rsidR="00537991" w:rsidRDefault="00431C3A">
      <w:pPr>
        <w:pStyle w:val="TOC2"/>
        <w:rPr>
          <w:rFonts w:asciiTheme="minorHAnsi" w:eastAsiaTheme="minorEastAsia" w:hAnsiTheme="minorHAnsi"/>
          <w:lang w:eastAsia="en-AU"/>
        </w:rPr>
      </w:pPr>
      <w:hyperlink w:anchor="_Toc499542680" w:history="1">
        <w:r w:rsidR="00537991" w:rsidRPr="006D7891">
          <w:rPr>
            <w:rStyle w:val="Hyperlink"/>
          </w:rPr>
          <w:t>12.1</w:t>
        </w:r>
        <w:r w:rsidR="00537991">
          <w:rPr>
            <w:rFonts w:asciiTheme="minorHAnsi" w:eastAsiaTheme="minorEastAsia" w:hAnsiTheme="minorHAnsi"/>
            <w:lang w:eastAsia="en-AU"/>
          </w:rPr>
          <w:tab/>
        </w:r>
        <w:r w:rsidR="00537991" w:rsidRPr="006D7891">
          <w:rPr>
            <w:rStyle w:val="Hyperlink"/>
          </w:rPr>
          <w:t>Types of trades to be reported</w:t>
        </w:r>
        <w:r w:rsidR="00537991">
          <w:rPr>
            <w:webHidden/>
          </w:rPr>
          <w:tab/>
        </w:r>
        <w:r w:rsidR="00537991">
          <w:rPr>
            <w:webHidden/>
          </w:rPr>
          <w:fldChar w:fldCharType="begin"/>
        </w:r>
        <w:r w:rsidR="00537991">
          <w:rPr>
            <w:webHidden/>
          </w:rPr>
          <w:instrText xml:space="preserve"> PAGEREF _Toc499542680 \h </w:instrText>
        </w:r>
        <w:r w:rsidR="00537991">
          <w:rPr>
            <w:webHidden/>
          </w:rPr>
        </w:r>
        <w:r w:rsidR="00537991">
          <w:rPr>
            <w:webHidden/>
          </w:rPr>
          <w:fldChar w:fldCharType="separate"/>
        </w:r>
        <w:r w:rsidR="00761861">
          <w:rPr>
            <w:webHidden/>
          </w:rPr>
          <w:t>133</w:t>
        </w:r>
        <w:r w:rsidR="00537991">
          <w:rPr>
            <w:webHidden/>
          </w:rPr>
          <w:fldChar w:fldCharType="end"/>
        </w:r>
      </w:hyperlink>
    </w:p>
    <w:p w14:paraId="128A0F85" w14:textId="77777777" w:rsidR="00537991" w:rsidRDefault="00431C3A">
      <w:pPr>
        <w:pStyle w:val="TOC2"/>
        <w:rPr>
          <w:rFonts w:asciiTheme="minorHAnsi" w:eastAsiaTheme="minorEastAsia" w:hAnsiTheme="minorHAnsi"/>
          <w:lang w:eastAsia="en-AU"/>
        </w:rPr>
      </w:pPr>
      <w:hyperlink w:anchor="_Toc499542681" w:history="1">
        <w:r w:rsidR="00537991" w:rsidRPr="006D7891">
          <w:rPr>
            <w:rStyle w:val="Hyperlink"/>
          </w:rPr>
          <w:t>12.2</w:t>
        </w:r>
        <w:r w:rsidR="00537991">
          <w:rPr>
            <w:rFonts w:asciiTheme="minorHAnsi" w:eastAsiaTheme="minorEastAsia" w:hAnsiTheme="minorHAnsi"/>
            <w:lang w:eastAsia="en-AU"/>
          </w:rPr>
          <w:tab/>
        </w:r>
        <w:r w:rsidR="00537991" w:rsidRPr="006D7891">
          <w:rPr>
            <w:rStyle w:val="Hyperlink"/>
          </w:rPr>
          <w:t>Information to be reported</w:t>
        </w:r>
        <w:r w:rsidR="00537991">
          <w:rPr>
            <w:webHidden/>
          </w:rPr>
          <w:tab/>
        </w:r>
        <w:r w:rsidR="00537991">
          <w:rPr>
            <w:webHidden/>
          </w:rPr>
          <w:fldChar w:fldCharType="begin"/>
        </w:r>
        <w:r w:rsidR="00537991">
          <w:rPr>
            <w:webHidden/>
          </w:rPr>
          <w:instrText xml:space="preserve"> PAGEREF _Toc499542681 \h </w:instrText>
        </w:r>
        <w:r w:rsidR="00537991">
          <w:rPr>
            <w:webHidden/>
          </w:rPr>
        </w:r>
        <w:r w:rsidR="00537991">
          <w:rPr>
            <w:webHidden/>
          </w:rPr>
          <w:fldChar w:fldCharType="separate"/>
        </w:r>
        <w:r w:rsidR="00761861">
          <w:rPr>
            <w:webHidden/>
          </w:rPr>
          <w:t>136</w:t>
        </w:r>
        <w:r w:rsidR="00537991">
          <w:rPr>
            <w:webHidden/>
          </w:rPr>
          <w:fldChar w:fldCharType="end"/>
        </w:r>
      </w:hyperlink>
    </w:p>
    <w:p w14:paraId="55821863" w14:textId="77777777" w:rsidR="00537991" w:rsidRDefault="00431C3A">
      <w:pPr>
        <w:pStyle w:val="TOC2"/>
        <w:rPr>
          <w:rFonts w:asciiTheme="minorHAnsi" w:eastAsiaTheme="minorEastAsia" w:hAnsiTheme="minorHAnsi"/>
          <w:lang w:eastAsia="en-AU"/>
        </w:rPr>
      </w:pPr>
      <w:hyperlink w:anchor="_Toc499542682" w:history="1">
        <w:r w:rsidR="00537991" w:rsidRPr="006D7891">
          <w:rPr>
            <w:rStyle w:val="Hyperlink"/>
          </w:rPr>
          <w:t>12.3</w:t>
        </w:r>
        <w:r w:rsidR="00537991">
          <w:rPr>
            <w:rFonts w:asciiTheme="minorHAnsi" w:eastAsiaTheme="minorEastAsia" w:hAnsiTheme="minorHAnsi"/>
            <w:lang w:eastAsia="en-AU"/>
          </w:rPr>
          <w:tab/>
        </w:r>
        <w:r w:rsidR="00537991" w:rsidRPr="006D7891">
          <w:rPr>
            <w:rStyle w:val="Hyperlink"/>
          </w:rPr>
          <w:t>Reporting obligations</w:t>
        </w:r>
        <w:r w:rsidR="00537991">
          <w:rPr>
            <w:webHidden/>
          </w:rPr>
          <w:tab/>
        </w:r>
        <w:r w:rsidR="00537991">
          <w:rPr>
            <w:webHidden/>
          </w:rPr>
          <w:fldChar w:fldCharType="begin"/>
        </w:r>
        <w:r w:rsidR="00537991">
          <w:rPr>
            <w:webHidden/>
          </w:rPr>
          <w:instrText xml:space="preserve"> PAGEREF _Toc499542682 \h </w:instrText>
        </w:r>
        <w:r w:rsidR="00537991">
          <w:rPr>
            <w:webHidden/>
          </w:rPr>
        </w:r>
        <w:r w:rsidR="00537991">
          <w:rPr>
            <w:webHidden/>
          </w:rPr>
          <w:fldChar w:fldCharType="separate"/>
        </w:r>
        <w:r w:rsidR="00761861">
          <w:rPr>
            <w:webHidden/>
          </w:rPr>
          <w:t>139</w:t>
        </w:r>
        <w:r w:rsidR="00537991">
          <w:rPr>
            <w:webHidden/>
          </w:rPr>
          <w:fldChar w:fldCharType="end"/>
        </w:r>
      </w:hyperlink>
    </w:p>
    <w:p w14:paraId="7AEE7B35" w14:textId="77777777" w:rsidR="00537991" w:rsidRDefault="00431C3A">
      <w:pPr>
        <w:pStyle w:val="TOC2"/>
        <w:rPr>
          <w:rFonts w:asciiTheme="minorHAnsi" w:eastAsiaTheme="minorEastAsia" w:hAnsiTheme="minorHAnsi"/>
          <w:lang w:eastAsia="en-AU"/>
        </w:rPr>
      </w:pPr>
      <w:hyperlink w:anchor="_Toc499542683" w:history="1">
        <w:r w:rsidR="00537991" w:rsidRPr="006D7891">
          <w:rPr>
            <w:rStyle w:val="Hyperlink"/>
          </w:rPr>
          <w:t>12.4</w:t>
        </w:r>
        <w:r w:rsidR="00537991">
          <w:rPr>
            <w:rFonts w:asciiTheme="minorHAnsi" w:eastAsiaTheme="minorEastAsia" w:hAnsiTheme="minorHAnsi"/>
            <w:lang w:eastAsia="en-AU"/>
          </w:rPr>
          <w:tab/>
        </w:r>
        <w:r w:rsidR="00537991" w:rsidRPr="006D7891">
          <w:rPr>
            <w:rStyle w:val="Hyperlink"/>
          </w:rPr>
          <w:t>Where the information should be published</w:t>
        </w:r>
        <w:r w:rsidR="00537991">
          <w:rPr>
            <w:webHidden/>
          </w:rPr>
          <w:tab/>
        </w:r>
        <w:r w:rsidR="00537991">
          <w:rPr>
            <w:webHidden/>
          </w:rPr>
          <w:fldChar w:fldCharType="begin"/>
        </w:r>
        <w:r w:rsidR="00537991">
          <w:rPr>
            <w:webHidden/>
          </w:rPr>
          <w:instrText xml:space="preserve"> PAGEREF _Toc499542683 \h </w:instrText>
        </w:r>
        <w:r w:rsidR="00537991">
          <w:rPr>
            <w:webHidden/>
          </w:rPr>
        </w:r>
        <w:r w:rsidR="00537991">
          <w:rPr>
            <w:webHidden/>
          </w:rPr>
          <w:fldChar w:fldCharType="separate"/>
        </w:r>
        <w:r w:rsidR="00761861">
          <w:rPr>
            <w:webHidden/>
          </w:rPr>
          <w:t>141</w:t>
        </w:r>
        <w:r w:rsidR="00537991">
          <w:rPr>
            <w:webHidden/>
          </w:rPr>
          <w:fldChar w:fldCharType="end"/>
        </w:r>
      </w:hyperlink>
    </w:p>
    <w:p w14:paraId="29F99A04" w14:textId="77777777" w:rsidR="00537991" w:rsidRDefault="00431C3A">
      <w:pPr>
        <w:pStyle w:val="TOC2"/>
        <w:rPr>
          <w:rFonts w:asciiTheme="minorHAnsi" w:eastAsiaTheme="minorEastAsia" w:hAnsiTheme="minorHAnsi"/>
          <w:lang w:eastAsia="en-AU"/>
        </w:rPr>
      </w:pPr>
      <w:hyperlink w:anchor="_Toc499542684" w:history="1">
        <w:r w:rsidR="00537991" w:rsidRPr="006D7891">
          <w:rPr>
            <w:rStyle w:val="Hyperlink"/>
          </w:rPr>
          <w:t>12.5</w:t>
        </w:r>
        <w:r w:rsidR="00537991">
          <w:rPr>
            <w:rFonts w:asciiTheme="minorHAnsi" w:eastAsiaTheme="minorEastAsia" w:hAnsiTheme="minorHAnsi"/>
            <w:lang w:eastAsia="en-AU"/>
          </w:rPr>
          <w:tab/>
        </w:r>
        <w:r w:rsidR="00537991" w:rsidRPr="006D7891">
          <w:rPr>
            <w:rStyle w:val="Hyperlink"/>
          </w:rPr>
          <w:t>Advertising trades in advance</w:t>
        </w:r>
        <w:r w:rsidR="00537991">
          <w:rPr>
            <w:webHidden/>
          </w:rPr>
          <w:tab/>
        </w:r>
        <w:r w:rsidR="00537991">
          <w:rPr>
            <w:webHidden/>
          </w:rPr>
          <w:fldChar w:fldCharType="begin"/>
        </w:r>
        <w:r w:rsidR="00537991">
          <w:rPr>
            <w:webHidden/>
          </w:rPr>
          <w:instrText xml:space="preserve"> PAGEREF _Toc499542684 \h </w:instrText>
        </w:r>
        <w:r w:rsidR="00537991">
          <w:rPr>
            <w:webHidden/>
          </w:rPr>
        </w:r>
        <w:r w:rsidR="00537991">
          <w:rPr>
            <w:webHidden/>
          </w:rPr>
          <w:fldChar w:fldCharType="separate"/>
        </w:r>
        <w:r w:rsidR="00761861">
          <w:rPr>
            <w:webHidden/>
          </w:rPr>
          <w:t>142</w:t>
        </w:r>
        <w:r w:rsidR="00537991">
          <w:rPr>
            <w:webHidden/>
          </w:rPr>
          <w:fldChar w:fldCharType="end"/>
        </w:r>
      </w:hyperlink>
    </w:p>
    <w:p w14:paraId="6796455F" w14:textId="77777777" w:rsidR="00537991" w:rsidRDefault="00431C3A">
      <w:pPr>
        <w:pStyle w:val="TOC1"/>
        <w:rPr>
          <w:rFonts w:asciiTheme="minorHAnsi" w:eastAsiaTheme="minorEastAsia" w:hAnsiTheme="minorHAnsi"/>
          <w:b w:val="0"/>
          <w:lang w:eastAsia="en-AU"/>
        </w:rPr>
      </w:pPr>
      <w:hyperlink w:anchor="_Toc499542685" w:history="1">
        <w:r w:rsidR="00537991" w:rsidRPr="006D7891">
          <w:rPr>
            <w:rStyle w:val="Hyperlink"/>
          </w:rPr>
          <w:t>13.</w:t>
        </w:r>
        <w:r w:rsidR="00537991">
          <w:rPr>
            <w:rFonts w:asciiTheme="minorHAnsi" w:eastAsiaTheme="minorEastAsia" w:hAnsiTheme="minorHAnsi"/>
            <w:b w:val="0"/>
            <w:lang w:eastAsia="en-AU"/>
          </w:rPr>
          <w:tab/>
        </w:r>
        <w:r w:rsidR="00537991" w:rsidRPr="006D7891">
          <w:rPr>
            <w:rStyle w:val="Hyperlink"/>
          </w:rPr>
          <w:t>Governance Arrangements for the Reporting Framework for Secondary Trades</w:t>
        </w:r>
        <w:r w:rsidR="00537991">
          <w:rPr>
            <w:webHidden/>
          </w:rPr>
          <w:tab/>
        </w:r>
        <w:r w:rsidR="00537991">
          <w:rPr>
            <w:webHidden/>
          </w:rPr>
          <w:fldChar w:fldCharType="begin"/>
        </w:r>
        <w:r w:rsidR="00537991">
          <w:rPr>
            <w:webHidden/>
          </w:rPr>
          <w:instrText xml:space="preserve"> PAGEREF _Toc499542685 \h </w:instrText>
        </w:r>
        <w:r w:rsidR="00537991">
          <w:rPr>
            <w:webHidden/>
          </w:rPr>
        </w:r>
        <w:r w:rsidR="00537991">
          <w:rPr>
            <w:webHidden/>
          </w:rPr>
          <w:fldChar w:fldCharType="separate"/>
        </w:r>
        <w:r w:rsidR="00761861">
          <w:rPr>
            <w:webHidden/>
          </w:rPr>
          <w:t>145</w:t>
        </w:r>
        <w:r w:rsidR="00537991">
          <w:rPr>
            <w:webHidden/>
          </w:rPr>
          <w:fldChar w:fldCharType="end"/>
        </w:r>
      </w:hyperlink>
    </w:p>
    <w:p w14:paraId="1EE7A810" w14:textId="77777777" w:rsidR="00532DF3" w:rsidRPr="00CF7D4D" w:rsidRDefault="00CC006A" w:rsidP="00CF7D4D">
      <w:pPr>
        <w:rPr>
          <w:rFonts w:asciiTheme="majorHAnsi" w:hAnsiTheme="majorHAnsi" w:cstheme="majorHAnsi"/>
          <w:color w:val="000000"/>
          <w:sz w:val="140"/>
          <w:szCs w:val="140"/>
        </w:rPr>
      </w:pPr>
      <w:r>
        <w:rPr>
          <w:rFonts w:eastAsiaTheme="minorEastAsia" w:cstheme="minorBidi"/>
          <w:b/>
          <w:noProof/>
          <w:lang w:eastAsia="en-US"/>
        </w:rPr>
        <w:fldChar w:fldCharType="end"/>
      </w:r>
    </w:p>
    <w:p w14:paraId="3827287B" w14:textId="77777777" w:rsidR="00532DF3" w:rsidRPr="002E5E25" w:rsidRDefault="00532DF3" w:rsidP="00532DF3">
      <w:pPr>
        <w:pStyle w:val="Pa4"/>
        <w:spacing w:before="240" w:after="120" w:line="264" w:lineRule="auto"/>
        <w:rPr>
          <w:rFonts w:asciiTheme="majorHAnsi" w:hAnsiTheme="majorHAnsi" w:cstheme="majorHAnsi"/>
          <w:color w:val="000000"/>
          <w:sz w:val="20"/>
          <w:szCs w:val="20"/>
        </w:rPr>
      </w:pPr>
      <w:r w:rsidRPr="002E5E25">
        <w:rPr>
          <w:rFonts w:asciiTheme="majorHAnsi" w:hAnsiTheme="majorHAnsi" w:cstheme="majorHAnsi"/>
          <w:color w:val="000000"/>
          <w:sz w:val="20"/>
          <w:szCs w:val="20"/>
        </w:rPr>
        <w:t xml:space="preserve">The views and opinions expressed in this publication are those of the GMRG. </w:t>
      </w:r>
    </w:p>
    <w:p w14:paraId="5148D923" w14:textId="77777777" w:rsidR="00532DF3" w:rsidRPr="002E5E25" w:rsidRDefault="00532DF3" w:rsidP="00532DF3">
      <w:pPr>
        <w:spacing w:before="240" w:after="120"/>
        <w:rPr>
          <w:rFonts w:asciiTheme="majorHAnsi" w:hAnsiTheme="majorHAnsi" w:cstheme="majorHAnsi"/>
          <w:sz w:val="20"/>
          <w:szCs w:val="20"/>
        </w:rPr>
      </w:pPr>
      <w:r w:rsidRPr="002E5E25">
        <w:rPr>
          <w:rFonts w:asciiTheme="majorHAnsi" w:hAnsiTheme="majorHAnsi" w:cstheme="majorHAnsi"/>
          <w:color w:val="000000"/>
          <w:sz w:val="20"/>
          <w:szCs w:val="20"/>
        </w:rPr>
        <w:t xml:space="preserve">While reasonable efforts have been made to ensure that the contents of this publication are factually correct, the GMRG </w:t>
      </w:r>
      <w:r>
        <w:rPr>
          <w:rFonts w:asciiTheme="majorHAnsi" w:hAnsiTheme="majorHAnsi" w:cstheme="majorHAnsi"/>
          <w:color w:val="000000"/>
          <w:sz w:val="20"/>
          <w:szCs w:val="20"/>
        </w:rPr>
        <w:t xml:space="preserve">and its advisor, Johnson Winter &amp; Slattery, do </w:t>
      </w:r>
      <w:r w:rsidRPr="002E5E25">
        <w:rPr>
          <w:rFonts w:asciiTheme="majorHAnsi" w:hAnsiTheme="majorHAnsi" w:cstheme="majorHAnsi"/>
          <w:color w:val="000000"/>
          <w:sz w:val="20"/>
          <w:szCs w:val="20"/>
        </w:rPr>
        <w:t>not accept responsibility for the accuracy or completeness of the contents, and shall not be liable for any loss or damage that may be occasioned directly or indirectly through the use of, or reliance on, the contents of this publication.</w:t>
      </w:r>
    </w:p>
    <w:p w14:paraId="72BF077A" w14:textId="77777777" w:rsidR="00532DF3" w:rsidRDefault="00532DF3" w:rsidP="00C55946">
      <w:pPr>
        <w:rPr>
          <w:rFonts w:eastAsiaTheme="minorEastAsia" w:cstheme="minorBidi"/>
          <w:b/>
          <w:noProof/>
          <w:lang w:eastAsia="en-US"/>
        </w:rPr>
      </w:pPr>
    </w:p>
    <w:p w14:paraId="258EC583" w14:textId="77777777" w:rsidR="00532DF3" w:rsidRPr="00C55946" w:rsidRDefault="00532DF3" w:rsidP="00C55946">
      <w:pPr>
        <w:sectPr w:rsidR="00532DF3" w:rsidRPr="00C55946" w:rsidSect="00CF1252">
          <w:headerReference w:type="even" r:id="rId16"/>
          <w:headerReference w:type="default" r:id="rId17"/>
          <w:footerReference w:type="default" r:id="rId18"/>
          <w:headerReference w:type="first" r:id="rId19"/>
          <w:pgSz w:w="11907" w:h="16840" w:code="9"/>
          <w:pgMar w:top="1361" w:right="1418" w:bottom="992" w:left="1701" w:header="567" w:footer="397" w:gutter="0"/>
          <w:pgNumType w:fmt="lowerRoman" w:start="1"/>
          <w:cols w:space="708"/>
          <w:docGrid w:linePitch="360"/>
        </w:sectPr>
      </w:pPr>
    </w:p>
    <w:p w14:paraId="713C0588" w14:textId="77777777" w:rsidR="004F7F03" w:rsidRDefault="004F7F03" w:rsidP="00D0772C">
      <w:pPr>
        <w:pStyle w:val="ExecSummHeading1"/>
        <w:spacing w:after="0"/>
      </w:pPr>
      <w:bookmarkStart w:id="19" w:name="_Toc452029500"/>
      <w:bookmarkStart w:id="20" w:name="_Toc499542634"/>
      <w:bookmarkStart w:id="21" w:name="_Toc452029499"/>
      <w:bookmarkStart w:id="22" w:name="_Toc449094489"/>
      <w:r>
        <w:lastRenderedPageBreak/>
        <w:t>Abbreviations</w:t>
      </w:r>
      <w:bookmarkEnd w:id="19"/>
      <w:bookmarkEnd w:id="20"/>
    </w:p>
    <w:tbl>
      <w:tblPr>
        <w:tblStyle w:val="TableGrid"/>
        <w:tblW w:w="0" w:type="auto"/>
        <w:tblLook w:val="06A0" w:firstRow="1" w:lastRow="0" w:firstColumn="1" w:lastColumn="0" w:noHBand="1" w:noVBand="1"/>
        <w:tblCaption w:val="Abbreviations"/>
        <w:tblDescription w:val="List of abbreviations"/>
      </w:tblPr>
      <w:tblGrid>
        <w:gridCol w:w="2127"/>
        <w:gridCol w:w="6378"/>
      </w:tblGrid>
      <w:tr w:rsidR="00533C69" w:rsidRPr="004C3FE0" w14:paraId="2D5256D6" w14:textId="77777777" w:rsidTr="00D30EB7">
        <w:trPr>
          <w:cnfStyle w:val="100000000000" w:firstRow="1" w:lastRow="0" w:firstColumn="0" w:lastColumn="0" w:oddVBand="0" w:evenVBand="0" w:oddHBand="0" w:evenHBand="0" w:firstRowFirstColumn="0" w:firstRowLastColumn="0" w:lastRowFirstColumn="0" w:lastRowLastColumn="0"/>
          <w:tblHeader/>
        </w:trPr>
        <w:tc>
          <w:tcPr>
            <w:tcW w:w="2127" w:type="dxa"/>
            <w:tcBorders>
              <w:bottom w:val="single" w:sz="4" w:space="0" w:color="auto"/>
            </w:tcBorders>
            <w:shd w:val="clear" w:color="auto" w:fill="0099CC"/>
          </w:tcPr>
          <w:p w14:paraId="26AD3588" w14:textId="77777777" w:rsidR="00533C69" w:rsidRPr="004C3FE0" w:rsidRDefault="00533C69" w:rsidP="00D30EB7">
            <w:pPr>
              <w:ind w:left="74" w:right="74"/>
              <w:rPr>
                <w:szCs w:val="18"/>
              </w:rPr>
            </w:pPr>
            <w:r w:rsidRPr="004C3FE0">
              <w:rPr>
                <w:szCs w:val="18"/>
              </w:rPr>
              <w:t>Term</w:t>
            </w:r>
          </w:p>
        </w:tc>
        <w:tc>
          <w:tcPr>
            <w:tcW w:w="6378" w:type="dxa"/>
            <w:tcBorders>
              <w:bottom w:val="single" w:sz="4" w:space="0" w:color="auto"/>
            </w:tcBorders>
            <w:shd w:val="clear" w:color="auto" w:fill="0099CC"/>
          </w:tcPr>
          <w:p w14:paraId="5DEB7773" w14:textId="77777777" w:rsidR="00533C69" w:rsidRPr="004C3FE0" w:rsidRDefault="00533C69" w:rsidP="00D30EB7">
            <w:pPr>
              <w:ind w:left="74" w:right="74"/>
              <w:rPr>
                <w:szCs w:val="18"/>
              </w:rPr>
            </w:pPr>
            <w:r w:rsidRPr="004C3FE0">
              <w:rPr>
                <w:szCs w:val="18"/>
              </w:rPr>
              <w:t>Definition</w:t>
            </w:r>
          </w:p>
        </w:tc>
      </w:tr>
      <w:tr w:rsidR="00533C69" w:rsidRPr="004C3FE0" w14:paraId="73BC3F83" w14:textId="77777777" w:rsidTr="00533C69">
        <w:tc>
          <w:tcPr>
            <w:tcW w:w="2127" w:type="dxa"/>
            <w:shd w:val="clear" w:color="auto" w:fill="auto"/>
          </w:tcPr>
          <w:p w14:paraId="4ADA2456" w14:textId="77777777" w:rsidR="00533C69" w:rsidRPr="004C3FE0" w:rsidRDefault="00533C69" w:rsidP="00D30EB7">
            <w:pPr>
              <w:ind w:left="74" w:right="74"/>
              <w:rPr>
                <w:szCs w:val="18"/>
              </w:rPr>
            </w:pPr>
            <w:r w:rsidRPr="004C3FE0">
              <w:rPr>
                <w:szCs w:val="18"/>
              </w:rPr>
              <w:t>AA</w:t>
            </w:r>
          </w:p>
        </w:tc>
        <w:tc>
          <w:tcPr>
            <w:tcW w:w="6378" w:type="dxa"/>
            <w:shd w:val="clear" w:color="auto" w:fill="auto"/>
          </w:tcPr>
          <w:p w14:paraId="2DB0D3DB" w14:textId="77777777" w:rsidR="00533C69" w:rsidRPr="004C3FE0" w:rsidRDefault="00533C69" w:rsidP="00D30EB7">
            <w:pPr>
              <w:ind w:left="74" w:right="74"/>
              <w:rPr>
                <w:szCs w:val="18"/>
              </w:rPr>
            </w:pPr>
            <w:r w:rsidRPr="004C3FE0">
              <w:rPr>
                <w:szCs w:val="18"/>
              </w:rPr>
              <w:t>Access Arrangement</w:t>
            </w:r>
          </w:p>
        </w:tc>
      </w:tr>
      <w:tr w:rsidR="00533C69" w:rsidRPr="004C3FE0" w14:paraId="2C33543D" w14:textId="77777777" w:rsidTr="00533C69">
        <w:tc>
          <w:tcPr>
            <w:tcW w:w="2127" w:type="dxa"/>
            <w:shd w:val="clear" w:color="auto" w:fill="auto"/>
          </w:tcPr>
          <w:p w14:paraId="17DD8552" w14:textId="77777777" w:rsidR="00533C69" w:rsidRPr="004C3FE0" w:rsidRDefault="00533C69" w:rsidP="00D30EB7">
            <w:pPr>
              <w:ind w:left="74" w:right="74"/>
              <w:rPr>
                <w:szCs w:val="18"/>
              </w:rPr>
            </w:pPr>
            <w:r w:rsidRPr="004C3FE0">
              <w:rPr>
                <w:szCs w:val="18"/>
              </w:rPr>
              <w:t>ACCC</w:t>
            </w:r>
          </w:p>
        </w:tc>
        <w:tc>
          <w:tcPr>
            <w:tcW w:w="6378" w:type="dxa"/>
            <w:shd w:val="clear" w:color="auto" w:fill="auto"/>
          </w:tcPr>
          <w:p w14:paraId="285050AA" w14:textId="77777777" w:rsidR="00533C69" w:rsidRPr="004C3FE0" w:rsidRDefault="00533C69" w:rsidP="00D30EB7">
            <w:pPr>
              <w:ind w:left="74" w:right="74"/>
              <w:rPr>
                <w:szCs w:val="18"/>
              </w:rPr>
            </w:pPr>
            <w:r w:rsidRPr="004C3FE0">
              <w:rPr>
                <w:szCs w:val="18"/>
              </w:rPr>
              <w:t>Australian Competition and Consumer Commission</w:t>
            </w:r>
          </w:p>
        </w:tc>
      </w:tr>
      <w:tr w:rsidR="00533C69" w:rsidRPr="004C3FE0" w14:paraId="77FC7C05" w14:textId="77777777" w:rsidTr="00533C69">
        <w:tc>
          <w:tcPr>
            <w:tcW w:w="2127" w:type="dxa"/>
            <w:shd w:val="clear" w:color="auto" w:fill="auto"/>
          </w:tcPr>
          <w:p w14:paraId="483370C4" w14:textId="77777777" w:rsidR="00533C69" w:rsidRPr="004C3FE0" w:rsidRDefault="00533C69" w:rsidP="00D30EB7">
            <w:pPr>
              <w:ind w:left="74" w:right="74"/>
              <w:rPr>
                <w:szCs w:val="18"/>
              </w:rPr>
            </w:pPr>
            <w:r>
              <w:rPr>
                <w:szCs w:val="18"/>
              </w:rPr>
              <w:t>ADP</w:t>
            </w:r>
          </w:p>
        </w:tc>
        <w:tc>
          <w:tcPr>
            <w:tcW w:w="6378" w:type="dxa"/>
            <w:shd w:val="clear" w:color="auto" w:fill="auto"/>
          </w:tcPr>
          <w:p w14:paraId="7879E96A" w14:textId="77777777" w:rsidR="00533C69" w:rsidRPr="004C3FE0" w:rsidRDefault="00533C69" w:rsidP="00D30EB7">
            <w:pPr>
              <w:ind w:left="74" w:right="74"/>
              <w:rPr>
                <w:szCs w:val="18"/>
              </w:rPr>
            </w:pPr>
            <w:r>
              <w:rPr>
                <w:szCs w:val="18"/>
              </w:rPr>
              <w:t>Amadeus to Darwin Pipeline</w:t>
            </w:r>
          </w:p>
        </w:tc>
      </w:tr>
      <w:tr w:rsidR="00533C69" w:rsidRPr="004C3FE0" w14:paraId="46EC7C49" w14:textId="77777777" w:rsidTr="00533C69">
        <w:tc>
          <w:tcPr>
            <w:tcW w:w="2127" w:type="dxa"/>
          </w:tcPr>
          <w:p w14:paraId="2C2EB70A" w14:textId="77777777" w:rsidR="00533C69" w:rsidRPr="004C3FE0" w:rsidRDefault="00533C69" w:rsidP="00D30EB7">
            <w:pPr>
              <w:ind w:left="74" w:right="74"/>
              <w:rPr>
                <w:szCs w:val="18"/>
              </w:rPr>
            </w:pPr>
            <w:r w:rsidRPr="004C3FE0">
              <w:rPr>
                <w:szCs w:val="18"/>
              </w:rPr>
              <w:t>AEMC</w:t>
            </w:r>
          </w:p>
        </w:tc>
        <w:tc>
          <w:tcPr>
            <w:tcW w:w="6378" w:type="dxa"/>
          </w:tcPr>
          <w:p w14:paraId="1730D1C7" w14:textId="77777777" w:rsidR="00533C69" w:rsidRPr="004C3FE0" w:rsidRDefault="00533C69" w:rsidP="00D30EB7">
            <w:pPr>
              <w:ind w:left="74" w:right="74"/>
              <w:rPr>
                <w:szCs w:val="18"/>
              </w:rPr>
            </w:pPr>
            <w:r w:rsidRPr="004C3FE0">
              <w:rPr>
                <w:szCs w:val="18"/>
              </w:rPr>
              <w:t>Australian Energy Market Commission</w:t>
            </w:r>
          </w:p>
        </w:tc>
      </w:tr>
      <w:tr w:rsidR="00533C69" w:rsidRPr="004C3FE0" w14:paraId="69B02B32" w14:textId="77777777" w:rsidTr="00533C69">
        <w:tc>
          <w:tcPr>
            <w:tcW w:w="2127" w:type="dxa"/>
          </w:tcPr>
          <w:p w14:paraId="7968D0D0" w14:textId="77777777" w:rsidR="00533C69" w:rsidRPr="004C3FE0" w:rsidRDefault="00533C69" w:rsidP="00D30EB7">
            <w:pPr>
              <w:ind w:left="74" w:right="74"/>
              <w:rPr>
                <w:szCs w:val="18"/>
              </w:rPr>
            </w:pPr>
            <w:r w:rsidRPr="004C3FE0">
              <w:rPr>
                <w:szCs w:val="18"/>
              </w:rPr>
              <w:t>AEMO</w:t>
            </w:r>
          </w:p>
        </w:tc>
        <w:tc>
          <w:tcPr>
            <w:tcW w:w="6378" w:type="dxa"/>
          </w:tcPr>
          <w:p w14:paraId="451FA2AA" w14:textId="77777777" w:rsidR="00533C69" w:rsidRPr="004C3FE0" w:rsidRDefault="00533C69" w:rsidP="00D30EB7">
            <w:pPr>
              <w:ind w:left="74" w:right="74"/>
              <w:rPr>
                <w:szCs w:val="18"/>
              </w:rPr>
            </w:pPr>
            <w:r w:rsidRPr="004C3FE0">
              <w:rPr>
                <w:szCs w:val="18"/>
              </w:rPr>
              <w:t>Australian Energy Market Operator</w:t>
            </w:r>
          </w:p>
        </w:tc>
      </w:tr>
      <w:tr w:rsidR="00533C69" w:rsidRPr="004C3FE0" w14:paraId="61CEA119" w14:textId="77777777" w:rsidTr="00533C69">
        <w:tc>
          <w:tcPr>
            <w:tcW w:w="2127" w:type="dxa"/>
          </w:tcPr>
          <w:p w14:paraId="26761C65" w14:textId="77777777" w:rsidR="00533C69" w:rsidRPr="004C3FE0" w:rsidRDefault="00533C69" w:rsidP="00D30EB7">
            <w:pPr>
              <w:ind w:left="74" w:right="74"/>
              <w:rPr>
                <w:szCs w:val="18"/>
              </w:rPr>
            </w:pPr>
            <w:r w:rsidRPr="004C3FE0">
              <w:rPr>
                <w:szCs w:val="18"/>
              </w:rPr>
              <w:t>AER</w:t>
            </w:r>
          </w:p>
        </w:tc>
        <w:tc>
          <w:tcPr>
            <w:tcW w:w="6378" w:type="dxa"/>
          </w:tcPr>
          <w:p w14:paraId="1C2C1281" w14:textId="77777777" w:rsidR="00533C69" w:rsidRPr="004C3FE0" w:rsidRDefault="00533C69" w:rsidP="00D30EB7">
            <w:pPr>
              <w:ind w:left="74" w:right="74"/>
              <w:rPr>
                <w:szCs w:val="18"/>
              </w:rPr>
            </w:pPr>
            <w:r w:rsidRPr="004C3FE0">
              <w:rPr>
                <w:szCs w:val="18"/>
              </w:rPr>
              <w:t>Australian Energy Regulator</w:t>
            </w:r>
          </w:p>
        </w:tc>
      </w:tr>
      <w:tr w:rsidR="00533C69" w:rsidRPr="004C3FE0" w14:paraId="5CF8C73E" w14:textId="77777777" w:rsidTr="00533C69">
        <w:tc>
          <w:tcPr>
            <w:tcW w:w="2127" w:type="dxa"/>
          </w:tcPr>
          <w:p w14:paraId="4F072BCD" w14:textId="77777777" w:rsidR="00533C69" w:rsidRPr="004C3FE0" w:rsidRDefault="00533C69" w:rsidP="00D30EB7">
            <w:pPr>
              <w:ind w:left="74" w:right="74"/>
              <w:rPr>
                <w:szCs w:val="18"/>
              </w:rPr>
            </w:pPr>
            <w:r w:rsidRPr="004C3FE0">
              <w:rPr>
                <w:szCs w:val="18"/>
              </w:rPr>
              <w:t>AEST</w:t>
            </w:r>
          </w:p>
        </w:tc>
        <w:tc>
          <w:tcPr>
            <w:tcW w:w="6378" w:type="dxa"/>
          </w:tcPr>
          <w:p w14:paraId="61282AA4" w14:textId="77777777" w:rsidR="00533C69" w:rsidRPr="004C3FE0" w:rsidRDefault="00533C69" w:rsidP="00D30EB7">
            <w:pPr>
              <w:ind w:left="74" w:right="74"/>
              <w:rPr>
                <w:szCs w:val="18"/>
              </w:rPr>
            </w:pPr>
            <w:r w:rsidRPr="004C3FE0">
              <w:rPr>
                <w:szCs w:val="18"/>
              </w:rPr>
              <w:t>Australian Eastern Standard Time</w:t>
            </w:r>
          </w:p>
        </w:tc>
      </w:tr>
      <w:tr w:rsidR="00D30EB7" w:rsidRPr="00E37A1E" w14:paraId="2210E12C" w14:textId="77777777" w:rsidTr="00686058">
        <w:tc>
          <w:tcPr>
            <w:tcW w:w="2127" w:type="dxa"/>
          </w:tcPr>
          <w:p w14:paraId="4F00846B" w14:textId="77777777" w:rsidR="00D30EB7" w:rsidRPr="00E37A1E" w:rsidRDefault="00D30EB7" w:rsidP="00D30EB7">
            <w:pPr>
              <w:ind w:left="74" w:right="74"/>
              <w:rPr>
                <w:rFonts w:cs="Arial"/>
                <w:szCs w:val="18"/>
              </w:rPr>
            </w:pPr>
            <w:r w:rsidRPr="00E37A1E">
              <w:rPr>
                <w:rFonts w:cs="Arial"/>
                <w:szCs w:val="18"/>
              </w:rPr>
              <w:t>BB</w:t>
            </w:r>
          </w:p>
        </w:tc>
        <w:tc>
          <w:tcPr>
            <w:tcW w:w="6378" w:type="dxa"/>
          </w:tcPr>
          <w:p w14:paraId="61E4D01D" w14:textId="77777777" w:rsidR="00D30EB7" w:rsidRPr="00E37A1E" w:rsidRDefault="00D30EB7" w:rsidP="00D30EB7">
            <w:pPr>
              <w:ind w:left="74" w:right="74"/>
              <w:rPr>
                <w:rFonts w:cs="Arial"/>
                <w:szCs w:val="18"/>
              </w:rPr>
            </w:pPr>
            <w:r w:rsidRPr="00E37A1E">
              <w:rPr>
                <w:rFonts w:cs="Arial"/>
                <w:szCs w:val="18"/>
              </w:rPr>
              <w:t>Natural Gas Services Bulletin Board</w:t>
            </w:r>
          </w:p>
        </w:tc>
      </w:tr>
      <w:tr w:rsidR="00533C69" w:rsidRPr="004C3FE0" w14:paraId="1900CAD1" w14:textId="77777777" w:rsidTr="00533C69">
        <w:tc>
          <w:tcPr>
            <w:tcW w:w="2127" w:type="dxa"/>
          </w:tcPr>
          <w:p w14:paraId="7C9B1964" w14:textId="77777777" w:rsidR="00533C69" w:rsidRPr="004C3FE0" w:rsidRDefault="00533C69" w:rsidP="00D30EB7">
            <w:pPr>
              <w:ind w:left="74" w:right="74"/>
              <w:rPr>
                <w:szCs w:val="18"/>
              </w:rPr>
            </w:pPr>
            <w:r w:rsidRPr="004C3FE0">
              <w:rPr>
                <w:szCs w:val="18"/>
              </w:rPr>
              <w:t>CGP</w:t>
            </w:r>
          </w:p>
        </w:tc>
        <w:tc>
          <w:tcPr>
            <w:tcW w:w="6378" w:type="dxa"/>
          </w:tcPr>
          <w:p w14:paraId="652A0B4F" w14:textId="77777777" w:rsidR="00533C69" w:rsidRPr="004C3FE0" w:rsidRDefault="00533C69" w:rsidP="00D30EB7">
            <w:pPr>
              <w:ind w:left="74" w:right="74"/>
              <w:rPr>
                <w:szCs w:val="18"/>
              </w:rPr>
            </w:pPr>
            <w:r w:rsidRPr="004C3FE0">
              <w:rPr>
                <w:szCs w:val="18"/>
              </w:rPr>
              <w:t>Carpentaria Gas Pipeline</w:t>
            </w:r>
          </w:p>
        </w:tc>
      </w:tr>
      <w:tr w:rsidR="00533C69" w:rsidRPr="004C3FE0" w14:paraId="3394831A" w14:textId="77777777" w:rsidTr="00533C69">
        <w:tc>
          <w:tcPr>
            <w:tcW w:w="2127" w:type="dxa"/>
          </w:tcPr>
          <w:p w14:paraId="4E7163BB" w14:textId="77777777" w:rsidR="00533C69" w:rsidRPr="004C3FE0" w:rsidRDefault="00533C69" w:rsidP="00D30EB7">
            <w:pPr>
              <w:ind w:left="74" w:right="74"/>
              <w:rPr>
                <w:szCs w:val="18"/>
              </w:rPr>
            </w:pPr>
            <w:r w:rsidRPr="004C3FE0">
              <w:rPr>
                <w:szCs w:val="18"/>
              </w:rPr>
              <w:t>COAG</w:t>
            </w:r>
          </w:p>
        </w:tc>
        <w:tc>
          <w:tcPr>
            <w:tcW w:w="6378" w:type="dxa"/>
          </w:tcPr>
          <w:p w14:paraId="6F0BD26D" w14:textId="77777777" w:rsidR="00533C69" w:rsidRPr="004C3FE0" w:rsidRDefault="00533C69" w:rsidP="00D30EB7">
            <w:pPr>
              <w:ind w:left="74" w:right="74"/>
              <w:rPr>
                <w:szCs w:val="18"/>
              </w:rPr>
            </w:pPr>
            <w:r w:rsidRPr="004C3FE0">
              <w:rPr>
                <w:szCs w:val="18"/>
              </w:rPr>
              <w:t>Council of Australian Governments</w:t>
            </w:r>
          </w:p>
        </w:tc>
      </w:tr>
      <w:tr w:rsidR="00533C69" w:rsidRPr="004C3FE0" w14:paraId="57B784F2" w14:textId="77777777" w:rsidTr="00533C69">
        <w:tc>
          <w:tcPr>
            <w:tcW w:w="2127" w:type="dxa"/>
          </w:tcPr>
          <w:p w14:paraId="63765EAD" w14:textId="77777777" w:rsidR="00533C69" w:rsidRPr="004C3FE0" w:rsidRDefault="00533C69" w:rsidP="00D30EB7">
            <w:pPr>
              <w:ind w:left="74" w:right="74"/>
              <w:rPr>
                <w:szCs w:val="18"/>
              </w:rPr>
            </w:pPr>
            <w:r w:rsidRPr="004C3FE0">
              <w:rPr>
                <w:szCs w:val="18"/>
              </w:rPr>
              <w:t xml:space="preserve">CTA </w:t>
            </w:r>
          </w:p>
        </w:tc>
        <w:tc>
          <w:tcPr>
            <w:tcW w:w="6378" w:type="dxa"/>
          </w:tcPr>
          <w:p w14:paraId="4F1AF1B5" w14:textId="77777777" w:rsidR="00533C69" w:rsidRPr="004C3FE0" w:rsidRDefault="00533C69" w:rsidP="00D30EB7">
            <w:pPr>
              <w:ind w:left="74" w:right="74"/>
              <w:rPr>
                <w:szCs w:val="18"/>
              </w:rPr>
            </w:pPr>
            <w:r w:rsidRPr="004C3FE0">
              <w:rPr>
                <w:szCs w:val="18"/>
              </w:rPr>
              <w:t>Capacity Trading Agreement</w:t>
            </w:r>
            <w:r w:rsidR="00DE161F">
              <w:rPr>
                <w:szCs w:val="18"/>
              </w:rPr>
              <w:t xml:space="preserve"> (for shipper to shipper sales of capacity)</w:t>
            </w:r>
          </w:p>
        </w:tc>
      </w:tr>
      <w:tr w:rsidR="00533C69" w:rsidRPr="004C3FE0" w14:paraId="34A2B81C" w14:textId="77777777" w:rsidTr="00533C69">
        <w:tc>
          <w:tcPr>
            <w:tcW w:w="2127" w:type="dxa"/>
          </w:tcPr>
          <w:p w14:paraId="367409BD" w14:textId="77777777" w:rsidR="00533C69" w:rsidRPr="004C3FE0" w:rsidRDefault="00533C69" w:rsidP="00D30EB7">
            <w:pPr>
              <w:ind w:left="74" w:right="74"/>
              <w:rPr>
                <w:szCs w:val="18"/>
              </w:rPr>
            </w:pPr>
            <w:r>
              <w:rPr>
                <w:szCs w:val="18"/>
              </w:rPr>
              <w:t>DTS</w:t>
            </w:r>
          </w:p>
        </w:tc>
        <w:tc>
          <w:tcPr>
            <w:tcW w:w="6378" w:type="dxa"/>
          </w:tcPr>
          <w:p w14:paraId="1CA658A0" w14:textId="77777777" w:rsidR="00533C69" w:rsidRPr="004C3FE0" w:rsidRDefault="00533C69" w:rsidP="00D30EB7">
            <w:pPr>
              <w:ind w:left="74" w:right="74"/>
              <w:rPr>
                <w:szCs w:val="18"/>
              </w:rPr>
            </w:pPr>
            <w:r>
              <w:rPr>
                <w:szCs w:val="18"/>
              </w:rPr>
              <w:t xml:space="preserve">Declared Transmission System </w:t>
            </w:r>
          </w:p>
        </w:tc>
      </w:tr>
      <w:tr w:rsidR="00533C69" w:rsidRPr="004C3FE0" w14:paraId="534A29B1" w14:textId="77777777" w:rsidTr="00533C69">
        <w:tc>
          <w:tcPr>
            <w:tcW w:w="2127" w:type="dxa"/>
          </w:tcPr>
          <w:p w14:paraId="617DD6AC" w14:textId="77777777" w:rsidR="00533C69" w:rsidRPr="004C3FE0" w:rsidRDefault="00533C69" w:rsidP="00D30EB7">
            <w:pPr>
              <w:ind w:left="74" w:right="74"/>
              <w:rPr>
                <w:szCs w:val="18"/>
              </w:rPr>
            </w:pPr>
            <w:r w:rsidRPr="004C3FE0">
              <w:rPr>
                <w:szCs w:val="18"/>
              </w:rPr>
              <w:t>DWGM</w:t>
            </w:r>
          </w:p>
        </w:tc>
        <w:tc>
          <w:tcPr>
            <w:tcW w:w="6378" w:type="dxa"/>
          </w:tcPr>
          <w:p w14:paraId="33A16FC8" w14:textId="77777777" w:rsidR="00533C69" w:rsidRPr="004C3FE0" w:rsidRDefault="00533C69" w:rsidP="00D30EB7">
            <w:pPr>
              <w:ind w:left="74" w:right="74"/>
              <w:rPr>
                <w:szCs w:val="18"/>
              </w:rPr>
            </w:pPr>
            <w:r w:rsidRPr="004C3FE0">
              <w:rPr>
                <w:szCs w:val="18"/>
              </w:rPr>
              <w:t>Declared Wholesale Gas Market</w:t>
            </w:r>
          </w:p>
        </w:tc>
      </w:tr>
      <w:tr w:rsidR="00533C69" w:rsidRPr="004C3FE0" w14:paraId="7849BA6F" w14:textId="77777777" w:rsidTr="00533C69">
        <w:tc>
          <w:tcPr>
            <w:tcW w:w="2127" w:type="dxa"/>
          </w:tcPr>
          <w:p w14:paraId="5F2E4391" w14:textId="77777777" w:rsidR="00533C69" w:rsidRPr="004C3FE0" w:rsidRDefault="00533C69" w:rsidP="00D30EB7">
            <w:pPr>
              <w:ind w:left="74" w:right="74"/>
              <w:rPr>
                <w:szCs w:val="18"/>
              </w:rPr>
            </w:pPr>
            <w:r w:rsidRPr="004C3FE0">
              <w:rPr>
                <w:i/>
                <w:szCs w:val="18"/>
              </w:rPr>
              <w:t>East Coast Review</w:t>
            </w:r>
          </w:p>
        </w:tc>
        <w:tc>
          <w:tcPr>
            <w:tcW w:w="6378" w:type="dxa"/>
          </w:tcPr>
          <w:p w14:paraId="0CE2EA78" w14:textId="77777777" w:rsidR="00533C69" w:rsidRPr="004C3FE0" w:rsidRDefault="00533C69" w:rsidP="00D30EB7">
            <w:pPr>
              <w:ind w:left="74" w:right="74"/>
              <w:rPr>
                <w:szCs w:val="18"/>
              </w:rPr>
            </w:pPr>
            <w:r w:rsidRPr="004C3FE0">
              <w:rPr>
                <w:szCs w:val="18"/>
              </w:rPr>
              <w:t xml:space="preserve">AEMC’s </w:t>
            </w:r>
            <w:r w:rsidRPr="004C3FE0">
              <w:rPr>
                <w:rFonts w:cs="Arial"/>
                <w:i/>
                <w:iCs/>
                <w:szCs w:val="18"/>
              </w:rPr>
              <w:t xml:space="preserve">Eastern Australian Wholesale Gas Market and Pipelines Framework Review </w:t>
            </w:r>
            <w:r w:rsidRPr="004C3FE0">
              <w:rPr>
                <w:rFonts w:cs="Arial"/>
                <w:iCs/>
                <w:szCs w:val="18"/>
              </w:rPr>
              <w:t>(May 2016)</w:t>
            </w:r>
          </w:p>
        </w:tc>
      </w:tr>
      <w:tr w:rsidR="00533C69" w:rsidRPr="004C3FE0" w14:paraId="280FCA2C" w14:textId="77777777" w:rsidTr="00533C69">
        <w:tc>
          <w:tcPr>
            <w:tcW w:w="2127" w:type="dxa"/>
          </w:tcPr>
          <w:p w14:paraId="3F82210C" w14:textId="77777777" w:rsidR="00533C69" w:rsidRPr="004C3FE0" w:rsidRDefault="00533C69" w:rsidP="00D30EB7">
            <w:pPr>
              <w:ind w:left="74" w:right="74"/>
              <w:rPr>
                <w:szCs w:val="18"/>
              </w:rPr>
            </w:pPr>
            <w:r w:rsidRPr="004C3FE0">
              <w:rPr>
                <w:szCs w:val="18"/>
              </w:rPr>
              <w:t>EGP</w:t>
            </w:r>
          </w:p>
        </w:tc>
        <w:tc>
          <w:tcPr>
            <w:tcW w:w="6378" w:type="dxa"/>
          </w:tcPr>
          <w:p w14:paraId="7E3A9269" w14:textId="77777777" w:rsidR="00533C69" w:rsidRPr="004C3FE0" w:rsidRDefault="00533C69" w:rsidP="00D30EB7">
            <w:pPr>
              <w:ind w:left="74" w:right="74"/>
              <w:rPr>
                <w:szCs w:val="18"/>
              </w:rPr>
            </w:pPr>
            <w:r w:rsidRPr="004C3FE0">
              <w:rPr>
                <w:szCs w:val="18"/>
              </w:rPr>
              <w:t xml:space="preserve">Eastern Gas Pipeline </w:t>
            </w:r>
          </w:p>
        </w:tc>
      </w:tr>
      <w:tr w:rsidR="00533C69" w:rsidRPr="004C3FE0" w14:paraId="1D8D7177" w14:textId="77777777" w:rsidTr="00533C69">
        <w:tc>
          <w:tcPr>
            <w:tcW w:w="2127" w:type="dxa"/>
          </w:tcPr>
          <w:p w14:paraId="00CBAF90" w14:textId="77777777" w:rsidR="00533C69" w:rsidRPr="004C3FE0" w:rsidRDefault="00533C69" w:rsidP="00D30EB7">
            <w:pPr>
              <w:ind w:left="74" w:right="74"/>
              <w:rPr>
                <w:szCs w:val="18"/>
              </w:rPr>
            </w:pPr>
            <w:r>
              <w:rPr>
                <w:szCs w:val="18"/>
              </w:rPr>
              <w:t xml:space="preserve">Energy </w:t>
            </w:r>
            <w:r w:rsidRPr="004C3FE0">
              <w:rPr>
                <w:szCs w:val="18"/>
              </w:rPr>
              <w:t>Council</w:t>
            </w:r>
          </w:p>
        </w:tc>
        <w:tc>
          <w:tcPr>
            <w:tcW w:w="6378" w:type="dxa"/>
          </w:tcPr>
          <w:p w14:paraId="211AD5EC" w14:textId="77777777" w:rsidR="00533C69" w:rsidRPr="004C3FE0" w:rsidRDefault="00533C69" w:rsidP="00D30EB7">
            <w:pPr>
              <w:ind w:left="74" w:right="74"/>
              <w:rPr>
                <w:szCs w:val="18"/>
              </w:rPr>
            </w:pPr>
            <w:r w:rsidRPr="004C3FE0">
              <w:rPr>
                <w:szCs w:val="18"/>
              </w:rPr>
              <w:t>COAG Energy Council</w:t>
            </w:r>
          </w:p>
        </w:tc>
      </w:tr>
      <w:tr w:rsidR="00533C69" w:rsidRPr="004C3FE0" w14:paraId="13EA02E2" w14:textId="77777777" w:rsidTr="00533C69">
        <w:tc>
          <w:tcPr>
            <w:tcW w:w="2127" w:type="dxa"/>
          </w:tcPr>
          <w:p w14:paraId="5646A015" w14:textId="77777777" w:rsidR="00533C69" w:rsidRDefault="00533C69" w:rsidP="00D30EB7">
            <w:pPr>
              <w:ind w:left="74" w:right="74"/>
              <w:rPr>
                <w:szCs w:val="18"/>
              </w:rPr>
            </w:pPr>
            <w:r>
              <w:rPr>
                <w:szCs w:val="18"/>
              </w:rPr>
              <w:t>ERA</w:t>
            </w:r>
          </w:p>
        </w:tc>
        <w:tc>
          <w:tcPr>
            <w:tcW w:w="6378" w:type="dxa"/>
          </w:tcPr>
          <w:p w14:paraId="6E783083" w14:textId="77777777" w:rsidR="00533C69" w:rsidRPr="004C3FE0" w:rsidRDefault="00533C69" w:rsidP="00D30EB7">
            <w:pPr>
              <w:ind w:left="74" w:right="74"/>
              <w:rPr>
                <w:szCs w:val="18"/>
              </w:rPr>
            </w:pPr>
            <w:r>
              <w:rPr>
                <w:szCs w:val="18"/>
              </w:rPr>
              <w:t>Economic Regulation Authority (WA)</w:t>
            </w:r>
          </w:p>
        </w:tc>
      </w:tr>
      <w:tr w:rsidR="00533C69" w:rsidRPr="004C3FE0" w14:paraId="35A4D437" w14:textId="77777777" w:rsidTr="00533C69">
        <w:tc>
          <w:tcPr>
            <w:tcW w:w="2127" w:type="dxa"/>
          </w:tcPr>
          <w:p w14:paraId="137D6428" w14:textId="77777777" w:rsidR="00533C69" w:rsidRDefault="00533C69" w:rsidP="00D30EB7">
            <w:pPr>
              <w:ind w:left="74" w:right="74"/>
              <w:rPr>
                <w:szCs w:val="18"/>
              </w:rPr>
            </w:pPr>
            <w:r>
              <w:rPr>
                <w:szCs w:val="18"/>
              </w:rPr>
              <w:t>ETS</w:t>
            </w:r>
          </w:p>
        </w:tc>
        <w:tc>
          <w:tcPr>
            <w:tcW w:w="6378" w:type="dxa"/>
          </w:tcPr>
          <w:p w14:paraId="4C781405" w14:textId="77777777" w:rsidR="00533C69" w:rsidRDefault="00533C69" w:rsidP="00D30EB7">
            <w:pPr>
              <w:ind w:left="74" w:right="74"/>
              <w:rPr>
                <w:szCs w:val="18"/>
              </w:rPr>
            </w:pPr>
            <w:proofErr w:type="spellStart"/>
            <w:r>
              <w:rPr>
                <w:szCs w:val="18"/>
              </w:rPr>
              <w:t>Trayport</w:t>
            </w:r>
            <w:proofErr w:type="spellEnd"/>
            <w:r>
              <w:rPr>
                <w:szCs w:val="18"/>
              </w:rPr>
              <w:t xml:space="preserve"> Exchange Trading System</w:t>
            </w:r>
          </w:p>
        </w:tc>
      </w:tr>
      <w:tr w:rsidR="00D30EB7" w:rsidRPr="00E37A1E" w14:paraId="21795656" w14:textId="77777777" w:rsidTr="00686058">
        <w:tc>
          <w:tcPr>
            <w:tcW w:w="2127" w:type="dxa"/>
          </w:tcPr>
          <w:p w14:paraId="0F6E1800" w14:textId="77777777" w:rsidR="00D30EB7" w:rsidRPr="00E37A1E" w:rsidRDefault="00D30EB7" w:rsidP="00D30EB7">
            <w:pPr>
              <w:ind w:left="74" w:right="74"/>
              <w:rPr>
                <w:rFonts w:cs="Arial"/>
                <w:szCs w:val="18"/>
              </w:rPr>
            </w:pPr>
            <w:r>
              <w:rPr>
                <w:rFonts w:cs="Arial"/>
                <w:szCs w:val="18"/>
              </w:rPr>
              <w:t>FTP</w:t>
            </w:r>
          </w:p>
        </w:tc>
        <w:tc>
          <w:tcPr>
            <w:tcW w:w="6378" w:type="dxa"/>
          </w:tcPr>
          <w:p w14:paraId="0D9B7F8F" w14:textId="77777777" w:rsidR="00D30EB7" w:rsidRPr="00E37A1E" w:rsidRDefault="00D30EB7" w:rsidP="00D30EB7">
            <w:pPr>
              <w:ind w:left="74" w:right="74"/>
              <w:rPr>
                <w:rFonts w:cs="Arial"/>
                <w:szCs w:val="18"/>
              </w:rPr>
            </w:pPr>
            <w:r>
              <w:rPr>
                <w:rFonts w:cs="Arial"/>
                <w:szCs w:val="18"/>
              </w:rPr>
              <w:t>File Transfer Protocol</w:t>
            </w:r>
          </w:p>
        </w:tc>
      </w:tr>
      <w:tr w:rsidR="00533C69" w:rsidRPr="004C3FE0" w14:paraId="51169A31" w14:textId="77777777" w:rsidTr="00533C69">
        <w:tc>
          <w:tcPr>
            <w:tcW w:w="2127" w:type="dxa"/>
          </w:tcPr>
          <w:p w14:paraId="46F1DC5C" w14:textId="77777777" w:rsidR="00533C69" w:rsidRPr="004C3FE0" w:rsidRDefault="00533C69" w:rsidP="00D30EB7">
            <w:pPr>
              <w:ind w:left="74" w:right="74"/>
              <w:rPr>
                <w:szCs w:val="18"/>
              </w:rPr>
            </w:pPr>
            <w:r w:rsidRPr="004C3FE0">
              <w:rPr>
                <w:szCs w:val="18"/>
              </w:rPr>
              <w:t>GMRG</w:t>
            </w:r>
          </w:p>
        </w:tc>
        <w:tc>
          <w:tcPr>
            <w:tcW w:w="6378" w:type="dxa"/>
          </w:tcPr>
          <w:p w14:paraId="479F9B53" w14:textId="77777777" w:rsidR="00533C69" w:rsidRPr="004C3FE0" w:rsidRDefault="00533C69" w:rsidP="00D30EB7">
            <w:pPr>
              <w:ind w:left="74" w:right="74"/>
              <w:rPr>
                <w:szCs w:val="18"/>
              </w:rPr>
            </w:pPr>
            <w:r w:rsidRPr="004C3FE0">
              <w:rPr>
                <w:szCs w:val="18"/>
              </w:rPr>
              <w:t>Gas Market Reform Group</w:t>
            </w:r>
          </w:p>
        </w:tc>
      </w:tr>
      <w:tr w:rsidR="00533C69" w:rsidRPr="004C3FE0" w14:paraId="4943ABE1" w14:textId="77777777" w:rsidTr="00533C69">
        <w:tc>
          <w:tcPr>
            <w:tcW w:w="2127" w:type="dxa"/>
          </w:tcPr>
          <w:p w14:paraId="6B2617E0" w14:textId="77777777" w:rsidR="00533C69" w:rsidRPr="004C3FE0" w:rsidRDefault="00533C69" w:rsidP="00D30EB7">
            <w:pPr>
              <w:ind w:left="74" w:right="74"/>
              <w:rPr>
                <w:szCs w:val="18"/>
              </w:rPr>
            </w:pPr>
            <w:r w:rsidRPr="004C3FE0">
              <w:rPr>
                <w:szCs w:val="18"/>
              </w:rPr>
              <w:t>GSH</w:t>
            </w:r>
          </w:p>
        </w:tc>
        <w:tc>
          <w:tcPr>
            <w:tcW w:w="6378" w:type="dxa"/>
          </w:tcPr>
          <w:p w14:paraId="2F6ED08E" w14:textId="77777777" w:rsidR="00533C69" w:rsidRPr="004C3FE0" w:rsidRDefault="00533C69" w:rsidP="00D30EB7">
            <w:pPr>
              <w:ind w:left="74" w:right="74"/>
              <w:rPr>
                <w:szCs w:val="18"/>
              </w:rPr>
            </w:pPr>
            <w:r w:rsidRPr="004C3FE0">
              <w:rPr>
                <w:szCs w:val="18"/>
              </w:rPr>
              <w:t>Gas Supply Hub</w:t>
            </w:r>
          </w:p>
        </w:tc>
      </w:tr>
      <w:tr w:rsidR="00533C69" w:rsidRPr="004C3FE0" w14:paraId="0BE4ABBA" w14:textId="77777777" w:rsidTr="00533C69">
        <w:tc>
          <w:tcPr>
            <w:tcW w:w="2127" w:type="dxa"/>
          </w:tcPr>
          <w:p w14:paraId="4425BDD7" w14:textId="77777777" w:rsidR="00533C69" w:rsidRPr="004C3FE0" w:rsidRDefault="00533C69" w:rsidP="00D30EB7">
            <w:pPr>
              <w:ind w:left="74" w:right="74"/>
              <w:rPr>
                <w:szCs w:val="18"/>
              </w:rPr>
            </w:pPr>
            <w:r w:rsidRPr="004C3FE0">
              <w:rPr>
                <w:szCs w:val="18"/>
              </w:rPr>
              <w:t>GTA</w:t>
            </w:r>
          </w:p>
        </w:tc>
        <w:tc>
          <w:tcPr>
            <w:tcW w:w="6378" w:type="dxa"/>
          </w:tcPr>
          <w:p w14:paraId="76F0B88B" w14:textId="77777777" w:rsidR="00533C69" w:rsidRPr="004C3FE0" w:rsidRDefault="00533C69" w:rsidP="00D30EB7">
            <w:pPr>
              <w:ind w:left="74" w:right="74"/>
              <w:rPr>
                <w:szCs w:val="18"/>
              </w:rPr>
            </w:pPr>
            <w:r w:rsidRPr="004C3FE0">
              <w:rPr>
                <w:szCs w:val="18"/>
              </w:rPr>
              <w:t>Gas Transportation Agreement</w:t>
            </w:r>
          </w:p>
        </w:tc>
      </w:tr>
      <w:tr w:rsidR="00533C69" w:rsidRPr="004C3FE0" w14:paraId="25C6343E" w14:textId="77777777" w:rsidTr="00533C69">
        <w:tc>
          <w:tcPr>
            <w:tcW w:w="2127" w:type="dxa"/>
          </w:tcPr>
          <w:p w14:paraId="5E9CC287" w14:textId="77777777" w:rsidR="00533C69" w:rsidRPr="004C3FE0" w:rsidRDefault="00533C69" w:rsidP="00D30EB7">
            <w:pPr>
              <w:ind w:left="74" w:right="74"/>
              <w:rPr>
                <w:szCs w:val="18"/>
              </w:rPr>
            </w:pPr>
            <w:r>
              <w:rPr>
                <w:szCs w:val="18"/>
              </w:rPr>
              <w:t>HPTP</w:t>
            </w:r>
          </w:p>
        </w:tc>
        <w:tc>
          <w:tcPr>
            <w:tcW w:w="6378" w:type="dxa"/>
          </w:tcPr>
          <w:p w14:paraId="3EDFAB94" w14:textId="77777777" w:rsidR="00533C69" w:rsidRPr="004C3FE0" w:rsidRDefault="00533C69" w:rsidP="00D30EB7">
            <w:pPr>
              <w:ind w:left="74" w:right="74"/>
              <w:rPr>
                <w:szCs w:val="18"/>
              </w:rPr>
            </w:pPr>
            <w:r>
              <w:t>High Pressure Trade Point)</w:t>
            </w:r>
          </w:p>
        </w:tc>
      </w:tr>
      <w:tr w:rsidR="00533C69" w:rsidRPr="004C3FE0" w14:paraId="4F371988" w14:textId="77777777" w:rsidTr="00533C69">
        <w:tc>
          <w:tcPr>
            <w:tcW w:w="2127" w:type="dxa"/>
          </w:tcPr>
          <w:p w14:paraId="3FCF0272" w14:textId="77777777" w:rsidR="00533C69" w:rsidRPr="004C3FE0" w:rsidRDefault="00533C69" w:rsidP="00D30EB7">
            <w:pPr>
              <w:ind w:left="74" w:right="74"/>
              <w:rPr>
                <w:szCs w:val="18"/>
              </w:rPr>
            </w:pPr>
            <w:r w:rsidRPr="004C3FE0">
              <w:rPr>
                <w:szCs w:val="18"/>
              </w:rPr>
              <w:t>JWS</w:t>
            </w:r>
          </w:p>
        </w:tc>
        <w:tc>
          <w:tcPr>
            <w:tcW w:w="6378" w:type="dxa"/>
          </w:tcPr>
          <w:p w14:paraId="039D93AE" w14:textId="77777777" w:rsidR="00533C69" w:rsidRPr="004C3FE0" w:rsidRDefault="00533C69" w:rsidP="00D30EB7">
            <w:pPr>
              <w:ind w:left="74" w:right="74"/>
              <w:rPr>
                <w:szCs w:val="18"/>
              </w:rPr>
            </w:pPr>
            <w:r w:rsidRPr="004C3FE0">
              <w:rPr>
                <w:szCs w:val="18"/>
              </w:rPr>
              <w:t>Johnson, Winter &amp; Slattery</w:t>
            </w:r>
          </w:p>
        </w:tc>
      </w:tr>
      <w:tr w:rsidR="00533C69" w:rsidRPr="004C3FE0" w14:paraId="6ED2597E" w14:textId="77777777" w:rsidTr="00533C69">
        <w:tc>
          <w:tcPr>
            <w:tcW w:w="2127" w:type="dxa"/>
          </w:tcPr>
          <w:p w14:paraId="0FDB4D67" w14:textId="77777777" w:rsidR="00533C69" w:rsidRPr="004C3FE0" w:rsidRDefault="00533C69" w:rsidP="00D30EB7">
            <w:pPr>
              <w:ind w:left="74" w:right="74"/>
              <w:rPr>
                <w:szCs w:val="18"/>
              </w:rPr>
            </w:pPr>
            <w:r>
              <w:rPr>
                <w:szCs w:val="18"/>
              </w:rPr>
              <w:t>LPTP</w:t>
            </w:r>
          </w:p>
        </w:tc>
        <w:tc>
          <w:tcPr>
            <w:tcW w:w="6378" w:type="dxa"/>
          </w:tcPr>
          <w:p w14:paraId="6B351778" w14:textId="77777777" w:rsidR="00533C69" w:rsidRPr="004C3FE0" w:rsidRDefault="00533C69" w:rsidP="00D30EB7">
            <w:pPr>
              <w:ind w:left="74" w:right="74"/>
              <w:rPr>
                <w:szCs w:val="18"/>
              </w:rPr>
            </w:pPr>
            <w:r>
              <w:t>Low Pressure Trade Point)</w:t>
            </w:r>
          </w:p>
        </w:tc>
      </w:tr>
      <w:tr w:rsidR="00533C69" w:rsidRPr="004C3FE0" w14:paraId="5340DEA5" w14:textId="77777777" w:rsidTr="00533C69">
        <w:tc>
          <w:tcPr>
            <w:tcW w:w="2127" w:type="dxa"/>
          </w:tcPr>
          <w:p w14:paraId="16C01D34" w14:textId="77777777" w:rsidR="00533C69" w:rsidRPr="004C3FE0" w:rsidRDefault="00533C69" w:rsidP="00D30EB7">
            <w:pPr>
              <w:ind w:left="74" w:right="74"/>
              <w:rPr>
                <w:szCs w:val="18"/>
              </w:rPr>
            </w:pPr>
            <w:r w:rsidRPr="004C3FE0">
              <w:rPr>
                <w:szCs w:val="18"/>
              </w:rPr>
              <w:t>MAPS</w:t>
            </w:r>
          </w:p>
        </w:tc>
        <w:tc>
          <w:tcPr>
            <w:tcW w:w="6378" w:type="dxa"/>
          </w:tcPr>
          <w:p w14:paraId="632D130E" w14:textId="77777777" w:rsidR="00533C69" w:rsidRPr="004C3FE0" w:rsidRDefault="00533C69" w:rsidP="00D30EB7">
            <w:pPr>
              <w:ind w:left="74" w:right="74"/>
              <w:rPr>
                <w:szCs w:val="18"/>
              </w:rPr>
            </w:pPr>
            <w:r w:rsidRPr="004C3FE0">
              <w:rPr>
                <w:szCs w:val="18"/>
              </w:rPr>
              <w:t>Moomba to Adelaide Pipeline System</w:t>
            </w:r>
          </w:p>
        </w:tc>
      </w:tr>
      <w:tr w:rsidR="00533C69" w:rsidRPr="004C3FE0" w14:paraId="2AD16201" w14:textId="77777777" w:rsidTr="00533C69">
        <w:tc>
          <w:tcPr>
            <w:tcW w:w="2127" w:type="dxa"/>
          </w:tcPr>
          <w:p w14:paraId="7AAA429E" w14:textId="77777777" w:rsidR="00533C69" w:rsidRPr="004C3FE0" w:rsidRDefault="00533C69" w:rsidP="00D30EB7">
            <w:pPr>
              <w:ind w:left="74" w:right="74"/>
              <w:rPr>
                <w:szCs w:val="18"/>
              </w:rPr>
            </w:pPr>
            <w:r>
              <w:rPr>
                <w:szCs w:val="18"/>
              </w:rPr>
              <w:t>MCF</w:t>
            </w:r>
          </w:p>
        </w:tc>
        <w:tc>
          <w:tcPr>
            <w:tcW w:w="6378" w:type="dxa"/>
          </w:tcPr>
          <w:p w14:paraId="70CAB011" w14:textId="77777777" w:rsidR="00533C69" w:rsidRPr="004C3FE0" w:rsidRDefault="00533C69" w:rsidP="00D30EB7">
            <w:pPr>
              <w:ind w:left="74" w:right="74"/>
              <w:rPr>
                <w:szCs w:val="18"/>
              </w:rPr>
            </w:pPr>
            <w:r>
              <w:rPr>
                <w:szCs w:val="18"/>
              </w:rPr>
              <w:t xml:space="preserve">Moomba Compression Facility </w:t>
            </w:r>
          </w:p>
        </w:tc>
      </w:tr>
      <w:tr w:rsidR="00533C69" w:rsidRPr="004C3FE0" w14:paraId="4ABB9403" w14:textId="77777777" w:rsidTr="00533C69">
        <w:tc>
          <w:tcPr>
            <w:tcW w:w="2127" w:type="dxa"/>
          </w:tcPr>
          <w:p w14:paraId="3DA99482" w14:textId="77777777" w:rsidR="00533C69" w:rsidRPr="004C3FE0" w:rsidRDefault="00533C69" w:rsidP="00D30EB7">
            <w:pPr>
              <w:ind w:left="74" w:right="74"/>
              <w:rPr>
                <w:szCs w:val="18"/>
              </w:rPr>
            </w:pPr>
            <w:r>
              <w:rPr>
                <w:szCs w:val="18"/>
              </w:rPr>
              <w:t>MDQ</w:t>
            </w:r>
          </w:p>
        </w:tc>
        <w:tc>
          <w:tcPr>
            <w:tcW w:w="6378" w:type="dxa"/>
          </w:tcPr>
          <w:p w14:paraId="2DB31865" w14:textId="77777777" w:rsidR="00533C69" w:rsidRPr="004C3FE0" w:rsidRDefault="00533C69" w:rsidP="00D30EB7">
            <w:pPr>
              <w:ind w:left="74" w:right="74"/>
              <w:rPr>
                <w:szCs w:val="18"/>
              </w:rPr>
            </w:pPr>
            <w:r>
              <w:rPr>
                <w:szCs w:val="18"/>
              </w:rPr>
              <w:t>Maximum Daily Quantity</w:t>
            </w:r>
          </w:p>
        </w:tc>
      </w:tr>
      <w:tr w:rsidR="00533C69" w:rsidRPr="004C3FE0" w14:paraId="059A0A42" w14:textId="77777777" w:rsidTr="00533C69">
        <w:tc>
          <w:tcPr>
            <w:tcW w:w="2127" w:type="dxa"/>
          </w:tcPr>
          <w:p w14:paraId="192A0F35" w14:textId="77777777" w:rsidR="00533C69" w:rsidRDefault="00533C69" w:rsidP="00D30EB7">
            <w:pPr>
              <w:ind w:left="74" w:right="74"/>
              <w:rPr>
                <w:szCs w:val="18"/>
              </w:rPr>
            </w:pPr>
            <w:r>
              <w:rPr>
                <w:szCs w:val="18"/>
              </w:rPr>
              <w:t>MHQ</w:t>
            </w:r>
          </w:p>
        </w:tc>
        <w:tc>
          <w:tcPr>
            <w:tcW w:w="6378" w:type="dxa"/>
          </w:tcPr>
          <w:p w14:paraId="7D962F1B" w14:textId="77777777" w:rsidR="00533C69" w:rsidRDefault="00533C69" w:rsidP="00D30EB7">
            <w:pPr>
              <w:ind w:left="74" w:right="74"/>
              <w:rPr>
                <w:szCs w:val="18"/>
              </w:rPr>
            </w:pPr>
            <w:r>
              <w:rPr>
                <w:szCs w:val="18"/>
              </w:rPr>
              <w:t xml:space="preserve">Maximum Hourly Quantity </w:t>
            </w:r>
          </w:p>
        </w:tc>
      </w:tr>
      <w:tr w:rsidR="00533C69" w:rsidRPr="004C3FE0" w14:paraId="58DD3A46" w14:textId="77777777" w:rsidTr="00533C69">
        <w:tc>
          <w:tcPr>
            <w:tcW w:w="2127" w:type="dxa"/>
          </w:tcPr>
          <w:p w14:paraId="01884BBD" w14:textId="77777777" w:rsidR="00533C69" w:rsidRPr="004C3FE0" w:rsidRDefault="00533C69" w:rsidP="00D30EB7">
            <w:pPr>
              <w:ind w:left="74" w:right="74"/>
              <w:rPr>
                <w:szCs w:val="18"/>
              </w:rPr>
            </w:pPr>
            <w:r w:rsidRPr="004C3FE0">
              <w:rPr>
                <w:szCs w:val="18"/>
              </w:rPr>
              <w:t>MOS</w:t>
            </w:r>
          </w:p>
        </w:tc>
        <w:tc>
          <w:tcPr>
            <w:tcW w:w="6378" w:type="dxa"/>
          </w:tcPr>
          <w:p w14:paraId="64CE4941" w14:textId="77777777" w:rsidR="00533C69" w:rsidRPr="004C3FE0" w:rsidRDefault="00533C69" w:rsidP="00D30EB7">
            <w:pPr>
              <w:ind w:left="74" w:right="74"/>
              <w:rPr>
                <w:szCs w:val="18"/>
              </w:rPr>
            </w:pPr>
            <w:r w:rsidRPr="004C3FE0">
              <w:rPr>
                <w:szCs w:val="18"/>
              </w:rPr>
              <w:t>Market Operator Service</w:t>
            </w:r>
          </w:p>
        </w:tc>
      </w:tr>
      <w:tr w:rsidR="00533C69" w:rsidRPr="004C3FE0" w14:paraId="3D0F63D7" w14:textId="77777777" w:rsidTr="00533C69">
        <w:tc>
          <w:tcPr>
            <w:tcW w:w="2127" w:type="dxa"/>
          </w:tcPr>
          <w:p w14:paraId="3A1177CE" w14:textId="77777777" w:rsidR="00533C69" w:rsidRPr="004C3FE0" w:rsidRDefault="00533C69" w:rsidP="00D30EB7">
            <w:pPr>
              <w:ind w:left="74" w:right="74"/>
              <w:rPr>
                <w:szCs w:val="18"/>
              </w:rPr>
            </w:pPr>
            <w:r w:rsidRPr="004C3FE0">
              <w:rPr>
                <w:szCs w:val="18"/>
              </w:rPr>
              <w:t>MSP</w:t>
            </w:r>
          </w:p>
        </w:tc>
        <w:tc>
          <w:tcPr>
            <w:tcW w:w="6378" w:type="dxa"/>
          </w:tcPr>
          <w:p w14:paraId="4B2DF4A6" w14:textId="77777777" w:rsidR="00533C69" w:rsidRPr="004C3FE0" w:rsidRDefault="00533C69" w:rsidP="00D30EB7">
            <w:pPr>
              <w:ind w:left="74" w:right="74"/>
              <w:rPr>
                <w:szCs w:val="18"/>
              </w:rPr>
            </w:pPr>
            <w:r w:rsidRPr="004C3FE0">
              <w:rPr>
                <w:szCs w:val="18"/>
              </w:rPr>
              <w:t xml:space="preserve">Moomba to Sydney Pipeline </w:t>
            </w:r>
          </w:p>
        </w:tc>
      </w:tr>
      <w:tr w:rsidR="00D30EB7" w:rsidRPr="00E37A1E" w14:paraId="582DC9BB" w14:textId="77777777" w:rsidTr="00686058">
        <w:tc>
          <w:tcPr>
            <w:tcW w:w="2127" w:type="dxa"/>
          </w:tcPr>
          <w:p w14:paraId="1275F94A" w14:textId="77777777" w:rsidR="00D30EB7" w:rsidRPr="00E37A1E" w:rsidRDefault="00D30EB7" w:rsidP="00D30EB7">
            <w:pPr>
              <w:ind w:left="74" w:right="74"/>
              <w:rPr>
                <w:rFonts w:cs="Arial"/>
                <w:szCs w:val="18"/>
              </w:rPr>
            </w:pPr>
            <w:r w:rsidRPr="00E37A1E">
              <w:rPr>
                <w:rFonts w:cs="Arial"/>
                <w:szCs w:val="18"/>
              </w:rPr>
              <w:t>MSV</w:t>
            </w:r>
          </w:p>
        </w:tc>
        <w:tc>
          <w:tcPr>
            <w:tcW w:w="6378" w:type="dxa"/>
          </w:tcPr>
          <w:p w14:paraId="52E9389D" w14:textId="77777777" w:rsidR="00D30EB7" w:rsidRPr="00E37A1E" w:rsidRDefault="00D30EB7" w:rsidP="00D30EB7">
            <w:pPr>
              <w:ind w:left="74" w:right="74"/>
              <w:rPr>
                <w:rFonts w:cs="Arial"/>
                <w:szCs w:val="18"/>
              </w:rPr>
            </w:pPr>
            <w:r w:rsidRPr="00E37A1E">
              <w:rPr>
                <w:rFonts w:cs="Arial"/>
                <w:szCs w:val="18"/>
              </w:rPr>
              <w:t>Market Schedule Varia</w:t>
            </w:r>
            <w:r>
              <w:rPr>
                <w:rFonts w:cs="Arial"/>
                <w:szCs w:val="18"/>
              </w:rPr>
              <w:t>tion</w:t>
            </w:r>
          </w:p>
        </w:tc>
      </w:tr>
      <w:tr w:rsidR="0067325A" w:rsidRPr="00E37A1E" w14:paraId="0E3355C0" w14:textId="77777777" w:rsidTr="00686058">
        <w:tc>
          <w:tcPr>
            <w:tcW w:w="2127" w:type="dxa"/>
          </w:tcPr>
          <w:p w14:paraId="6FA0FDF2" w14:textId="77777777" w:rsidR="0067325A" w:rsidRPr="00E37A1E" w:rsidRDefault="0067325A" w:rsidP="00D30EB7">
            <w:pPr>
              <w:ind w:left="74" w:right="74"/>
              <w:rPr>
                <w:rFonts w:cs="Arial"/>
                <w:szCs w:val="18"/>
              </w:rPr>
            </w:pPr>
            <w:r>
              <w:rPr>
                <w:rFonts w:cs="Arial"/>
                <w:szCs w:val="18"/>
              </w:rPr>
              <w:t>NEM</w:t>
            </w:r>
          </w:p>
        </w:tc>
        <w:tc>
          <w:tcPr>
            <w:tcW w:w="6378" w:type="dxa"/>
          </w:tcPr>
          <w:p w14:paraId="0E3B2627" w14:textId="77777777" w:rsidR="0067325A" w:rsidRPr="00E37A1E" w:rsidRDefault="0067325A" w:rsidP="00D30EB7">
            <w:pPr>
              <w:ind w:left="74" w:right="74"/>
              <w:rPr>
                <w:rFonts w:cs="Arial"/>
                <w:szCs w:val="18"/>
              </w:rPr>
            </w:pPr>
            <w:r>
              <w:rPr>
                <w:rFonts w:cs="Arial"/>
                <w:szCs w:val="18"/>
              </w:rPr>
              <w:t>National Energy Market</w:t>
            </w:r>
          </w:p>
        </w:tc>
      </w:tr>
      <w:tr w:rsidR="00533C69" w:rsidRPr="004C3FE0" w14:paraId="2EB59948" w14:textId="77777777" w:rsidTr="00533C69">
        <w:tc>
          <w:tcPr>
            <w:tcW w:w="2127" w:type="dxa"/>
          </w:tcPr>
          <w:p w14:paraId="626D6756" w14:textId="77777777" w:rsidR="00533C69" w:rsidRPr="004C3FE0" w:rsidRDefault="00533C69" w:rsidP="00D30EB7">
            <w:pPr>
              <w:ind w:left="74" w:right="74"/>
              <w:rPr>
                <w:szCs w:val="18"/>
              </w:rPr>
            </w:pPr>
            <w:r>
              <w:rPr>
                <w:szCs w:val="18"/>
              </w:rPr>
              <w:t>NER</w:t>
            </w:r>
          </w:p>
        </w:tc>
        <w:tc>
          <w:tcPr>
            <w:tcW w:w="6378" w:type="dxa"/>
          </w:tcPr>
          <w:p w14:paraId="1A223E1D" w14:textId="77777777" w:rsidR="00533C69" w:rsidRPr="004C3FE0" w:rsidRDefault="00533C69" w:rsidP="00D30EB7">
            <w:pPr>
              <w:ind w:left="74" w:right="74"/>
              <w:rPr>
                <w:szCs w:val="18"/>
              </w:rPr>
            </w:pPr>
            <w:r>
              <w:rPr>
                <w:szCs w:val="18"/>
              </w:rPr>
              <w:t xml:space="preserve">National Electricity Rules </w:t>
            </w:r>
          </w:p>
        </w:tc>
      </w:tr>
      <w:tr w:rsidR="00533C69" w:rsidRPr="004C3FE0" w14:paraId="562ED153" w14:textId="77777777" w:rsidTr="00533C69">
        <w:tc>
          <w:tcPr>
            <w:tcW w:w="2127" w:type="dxa"/>
          </w:tcPr>
          <w:p w14:paraId="07C62239" w14:textId="77777777" w:rsidR="00533C69" w:rsidRPr="004C3FE0" w:rsidRDefault="00533C69" w:rsidP="00D30EB7">
            <w:pPr>
              <w:ind w:left="74" w:right="74"/>
              <w:rPr>
                <w:szCs w:val="18"/>
              </w:rPr>
            </w:pPr>
            <w:r w:rsidRPr="004C3FE0">
              <w:rPr>
                <w:szCs w:val="18"/>
              </w:rPr>
              <w:t>NGL</w:t>
            </w:r>
          </w:p>
        </w:tc>
        <w:tc>
          <w:tcPr>
            <w:tcW w:w="6378" w:type="dxa"/>
          </w:tcPr>
          <w:p w14:paraId="571B879F" w14:textId="77777777" w:rsidR="00533C69" w:rsidRPr="004C3FE0" w:rsidRDefault="00533C69" w:rsidP="00D30EB7">
            <w:pPr>
              <w:ind w:left="74" w:right="74"/>
              <w:rPr>
                <w:szCs w:val="18"/>
              </w:rPr>
            </w:pPr>
            <w:r w:rsidRPr="004C3FE0">
              <w:rPr>
                <w:szCs w:val="18"/>
              </w:rPr>
              <w:t>National Gas Law</w:t>
            </w:r>
          </w:p>
        </w:tc>
      </w:tr>
      <w:tr w:rsidR="00533C69" w:rsidRPr="004C3FE0" w14:paraId="249C8986" w14:textId="77777777" w:rsidTr="00533C69">
        <w:tc>
          <w:tcPr>
            <w:tcW w:w="2127" w:type="dxa"/>
          </w:tcPr>
          <w:p w14:paraId="5D2152F0" w14:textId="77777777" w:rsidR="00533C69" w:rsidRPr="004C3FE0" w:rsidRDefault="00533C69" w:rsidP="00D30EB7">
            <w:pPr>
              <w:ind w:left="74" w:right="74"/>
              <w:rPr>
                <w:szCs w:val="18"/>
              </w:rPr>
            </w:pPr>
            <w:r w:rsidRPr="004C3FE0">
              <w:rPr>
                <w:szCs w:val="18"/>
              </w:rPr>
              <w:t>NGO</w:t>
            </w:r>
          </w:p>
        </w:tc>
        <w:tc>
          <w:tcPr>
            <w:tcW w:w="6378" w:type="dxa"/>
          </w:tcPr>
          <w:p w14:paraId="6277AFB4" w14:textId="77777777" w:rsidR="00533C69" w:rsidRPr="004C3FE0" w:rsidRDefault="00533C69" w:rsidP="00D30EB7">
            <w:pPr>
              <w:ind w:left="74" w:right="74"/>
              <w:rPr>
                <w:szCs w:val="18"/>
              </w:rPr>
            </w:pPr>
            <w:r w:rsidRPr="004C3FE0">
              <w:rPr>
                <w:szCs w:val="18"/>
              </w:rPr>
              <w:t>National Gas Objective</w:t>
            </w:r>
          </w:p>
        </w:tc>
      </w:tr>
      <w:tr w:rsidR="00533C69" w:rsidRPr="004C3FE0" w14:paraId="5521E241" w14:textId="77777777" w:rsidTr="00533C69">
        <w:tc>
          <w:tcPr>
            <w:tcW w:w="2127" w:type="dxa"/>
          </w:tcPr>
          <w:p w14:paraId="24549A32" w14:textId="77777777" w:rsidR="00533C69" w:rsidRPr="004C3FE0" w:rsidRDefault="00533C69" w:rsidP="00D30EB7">
            <w:pPr>
              <w:ind w:left="74" w:right="74"/>
              <w:rPr>
                <w:szCs w:val="18"/>
              </w:rPr>
            </w:pPr>
            <w:r>
              <w:rPr>
                <w:szCs w:val="18"/>
              </w:rPr>
              <w:lastRenderedPageBreak/>
              <w:t>NGP</w:t>
            </w:r>
          </w:p>
        </w:tc>
        <w:tc>
          <w:tcPr>
            <w:tcW w:w="6378" w:type="dxa"/>
          </w:tcPr>
          <w:p w14:paraId="5CAC32B3" w14:textId="77777777" w:rsidR="00533C69" w:rsidRPr="004C3FE0" w:rsidRDefault="00533C69" w:rsidP="00D30EB7">
            <w:pPr>
              <w:ind w:left="74" w:right="74"/>
              <w:rPr>
                <w:szCs w:val="18"/>
              </w:rPr>
            </w:pPr>
            <w:r>
              <w:rPr>
                <w:szCs w:val="18"/>
              </w:rPr>
              <w:t xml:space="preserve">Northern Gas Pipeline </w:t>
            </w:r>
          </w:p>
        </w:tc>
      </w:tr>
      <w:tr w:rsidR="00533C69" w:rsidRPr="004C3FE0" w14:paraId="65FD7CC1" w14:textId="77777777" w:rsidTr="00533C69">
        <w:tc>
          <w:tcPr>
            <w:tcW w:w="2127" w:type="dxa"/>
          </w:tcPr>
          <w:p w14:paraId="0FF1C0AA" w14:textId="77777777" w:rsidR="00533C69" w:rsidRPr="004C3FE0" w:rsidRDefault="00533C69" w:rsidP="00D30EB7">
            <w:pPr>
              <w:ind w:left="74" w:right="74"/>
              <w:rPr>
                <w:szCs w:val="18"/>
              </w:rPr>
            </w:pPr>
            <w:r w:rsidRPr="004C3FE0">
              <w:rPr>
                <w:szCs w:val="18"/>
              </w:rPr>
              <w:t>NGR</w:t>
            </w:r>
          </w:p>
        </w:tc>
        <w:tc>
          <w:tcPr>
            <w:tcW w:w="6378" w:type="dxa"/>
          </w:tcPr>
          <w:p w14:paraId="4879068F" w14:textId="77777777" w:rsidR="00533C69" w:rsidRPr="004C3FE0" w:rsidRDefault="00533C69" w:rsidP="00D30EB7">
            <w:pPr>
              <w:ind w:left="74" w:right="74"/>
              <w:rPr>
                <w:szCs w:val="18"/>
              </w:rPr>
            </w:pPr>
            <w:r w:rsidRPr="004C3FE0">
              <w:rPr>
                <w:szCs w:val="18"/>
              </w:rPr>
              <w:t>National Gas Rules</w:t>
            </w:r>
          </w:p>
        </w:tc>
      </w:tr>
      <w:tr w:rsidR="00533C69" w:rsidRPr="004C3FE0" w14:paraId="185D7B68" w14:textId="77777777" w:rsidTr="00533C69">
        <w:tc>
          <w:tcPr>
            <w:tcW w:w="2127" w:type="dxa"/>
          </w:tcPr>
          <w:p w14:paraId="48A7EC07" w14:textId="77777777" w:rsidR="00533C69" w:rsidRPr="004C3FE0" w:rsidRDefault="00533C69" w:rsidP="00D30EB7">
            <w:pPr>
              <w:ind w:left="74" w:right="74"/>
              <w:rPr>
                <w:szCs w:val="18"/>
              </w:rPr>
            </w:pPr>
            <w:r w:rsidRPr="004C3FE0">
              <w:rPr>
                <w:szCs w:val="18"/>
              </w:rPr>
              <w:t>RBP</w:t>
            </w:r>
          </w:p>
        </w:tc>
        <w:tc>
          <w:tcPr>
            <w:tcW w:w="6378" w:type="dxa"/>
          </w:tcPr>
          <w:p w14:paraId="6D16A24E" w14:textId="77777777" w:rsidR="00533C69" w:rsidRPr="004C3FE0" w:rsidRDefault="00533C69" w:rsidP="00D30EB7">
            <w:pPr>
              <w:ind w:left="74" w:right="74"/>
              <w:rPr>
                <w:szCs w:val="18"/>
              </w:rPr>
            </w:pPr>
            <w:r w:rsidRPr="004C3FE0">
              <w:rPr>
                <w:szCs w:val="18"/>
              </w:rPr>
              <w:t>Roma to Brisbane Pipeline</w:t>
            </w:r>
          </w:p>
        </w:tc>
      </w:tr>
      <w:tr w:rsidR="00533C69" w:rsidRPr="004C3FE0" w14:paraId="6009E13A" w14:textId="77777777" w:rsidTr="00533C69">
        <w:tc>
          <w:tcPr>
            <w:tcW w:w="2127" w:type="dxa"/>
          </w:tcPr>
          <w:p w14:paraId="5553FC01" w14:textId="77777777" w:rsidR="00533C69" w:rsidRPr="004C3FE0" w:rsidRDefault="00533C69" w:rsidP="00D30EB7">
            <w:pPr>
              <w:ind w:left="74" w:right="74"/>
              <w:rPr>
                <w:szCs w:val="18"/>
              </w:rPr>
            </w:pPr>
            <w:r w:rsidRPr="004C3FE0">
              <w:rPr>
                <w:szCs w:val="18"/>
              </w:rPr>
              <w:t>SCO</w:t>
            </w:r>
          </w:p>
        </w:tc>
        <w:tc>
          <w:tcPr>
            <w:tcW w:w="6378" w:type="dxa"/>
          </w:tcPr>
          <w:p w14:paraId="11F7872F" w14:textId="77777777" w:rsidR="00533C69" w:rsidRPr="004C3FE0" w:rsidRDefault="00522628" w:rsidP="00D30EB7">
            <w:pPr>
              <w:ind w:left="74" w:right="74"/>
              <w:rPr>
                <w:szCs w:val="18"/>
              </w:rPr>
            </w:pPr>
            <w:r>
              <w:rPr>
                <w:szCs w:val="18"/>
              </w:rPr>
              <w:t>Senior</w:t>
            </w:r>
            <w:r w:rsidR="00533C69" w:rsidRPr="004C3FE0">
              <w:rPr>
                <w:szCs w:val="18"/>
              </w:rPr>
              <w:t xml:space="preserve"> Committee of Officials</w:t>
            </w:r>
          </w:p>
        </w:tc>
      </w:tr>
      <w:tr w:rsidR="00D30EB7" w:rsidRPr="00E37A1E" w14:paraId="293E5381" w14:textId="77777777" w:rsidTr="00686058">
        <w:tc>
          <w:tcPr>
            <w:tcW w:w="2127" w:type="dxa"/>
          </w:tcPr>
          <w:p w14:paraId="76124F06" w14:textId="77777777" w:rsidR="00D30EB7" w:rsidRPr="00E37A1E" w:rsidRDefault="00D30EB7" w:rsidP="00D30EB7">
            <w:pPr>
              <w:ind w:left="74" w:right="74"/>
              <w:rPr>
                <w:rFonts w:cs="Arial"/>
                <w:szCs w:val="18"/>
              </w:rPr>
            </w:pPr>
            <w:r>
              <w:rPr>
                <w:rFonts w:cs="Arial"/>
                <w:szCs w:val="18"/>
              </w:rPr>
              <w:t>SIP</w:t>
            </w:r>
          </w:p>
        </w:tc>
        <w:tc>
          <w:tcPr>
            <w:tcW w:w="6378" w:type="dxa"/>
          </w:tcPr>
          <w:p w14:paraId="376E9B08" w14:textId="77777777" w:rsidR="00D30EB7" w:rsidRPr="00E37A1E" w:rsidRDefault="00D30EB7" w:rsidP="00D30EB7">
            <w:pPr>
              <w:ind w:left="74" w:right="74"/>
              <w:rPr>
                <w:rFonts w:cs="Arial"/>
                <w:szCs w:val="18"/>
              </w:rPr>
            </w:pPr>
            <w:r w:rsidRPr="008B1B73">
              <w:rPr>
                <w:rFonts w:cs="Arial"/>
              </w:rPr>
              <w:t>STTM Interface Protocol</w:t>
            </w:r>
          </w:p>
        </w:tc>
      </w:tr>
      <w:tr w:rsidR="00533C69" w:rsidRPr="004C3FE0" w14:paraId="03B4C808" w14:textId="77777777" w:rsidTr="00533C69">
        <w:tc>
          <w:tcPr>
            <w:tcW w:w="2127" w:type="dxa"/>
          </w:tcPr>
          <w:p w14:paraId="57164E49" w14:textId="77777777" w:rsidR="00533C69" w:rsidRPr="004C3FE0" w:rsidRDefault="00533C69" w:rsidP="00D30EB7">
            <w:pPr>
              <w:ind w:left="74" w:right="74"/>
              <w:rPr>
                <w:szCs w:val="18"/>
              </w:rPr>
            </w:pPr>
            <w:r>
              <w:rPr>
                <w:szCs w:val="18"/>
              </w:rPr>
              <w:t>SRA</w:t>
            </w:r>
          </w:p>
        </w:tc>
        <w:tc>
          <w:tcPr>
            <w:tcW w:w="6378" w:type="dxa"/>
          </w:tcPr>
          <w:p w14:paraId="0DC618DE" w14:textId="77777777" w:rsidR="00533C69" w:rsidRPr="004C3FE0" w:rsidRDefault="00533C69" w:rsidP="00D30EB7">
            <w:pPr>
              <w:ind w:left="74" w:right="74"/>
              <w:rPr>
                <w:szCs w:val="18"/>
              </w:rPr>
            </w:pPr>
            <w:r>
              <w:rPr>
                <w:szCs w:val="18"/>
              </w:rPr>
              <w:t>Settlement Residue Auction</w:t>
            </w:r>
          </w:p>
        </w:tc>
      </w:tr>
      <w:tr w:rsidR="00533C69" w:rsidRPr="004C3FE0" w14:paraId="58C59CE8" w14:textId="77777777" w:rsidTr="00533C69">
        <w:tc>
          <w:tcPr>
            <w:tcW w:w="2127" w:type="dxa"/>
          </w:tcPr>
          <w:p w14:paraId="496A840B" w14:textId="77777777" w:rsidR="00533C69" w:rsidRPr="004C3FE0" w:rsidRDefault="00533C69" w:rsidP="00D30EB7">
            <w:pPr>
              <w:ind w:left="74" w:right="74"/>
              <w:rPr>
                <w:szCs w:val="18"/>
              </w:rPr>
            </w:pPr>
            <w:r w:rsidRPr="004C3FE0">
              <w:rPr>
                <w:szCs w:val="18"/>
              </w:rPr>
              <w:t>STTM</w:t>
            </w:r>
          </w:p>
        </w:tc>
        <w:tc>
          <w:tcPr>
            <w:tcW w:w="6378" w:type="dxa"/>
          </w:tcPr>
          <w:p w14:paraId="16586920" w14:textId="77777777" w:rsidR="00533C69" w:rsidRPr="004C3FE0" w:rsidRDefault="00533C69" w:rsidP="00D30EB7">
            <w:pPr>
              <w:ind w:left="74" w:right="74"/>
              <w:rPr>
                <w:szCs w:val="18"/>
              </w:rPr>
            </w:pPr>
            <w:r w:rsidRPr="004C3FE0">
              <w:rPr>
                <w:szCs w:val="18"/>
              </w:rPr>
              <w:t>Short Term Trading Market</w:t>
            </w:r>
          </w:p>
        </w:tc>
      </w:tr>
      <w:tr w:rsidR="00533C69" w:rsidRPr="004C3FE0" w14:paraId="370DACA5" w14:textId="77777777" w:rsidTr="00533C69">
        <w:tc>
          <w:tcPr>
            <w:tcW w:w="2127" w:type="dxa"/>
          </w:tcPr>
          <w:p w14:paraId="30215789" w14:textId="77777777" w:rsidR="00533C69" w:rsidRPr="004C3FE0" w:rsidRDefault="00533C69" w:rsidP="00D30EB7">
            <w:pPr>
              <w:ind w:left="74" w:right="74"/>
              <w:rPr>
                <w:szCs w:val="18"/>
              </w:rPr>
            </w:pPr>
            <w:r w:rsidRPr="004C3FE0">
              <w:rPr>
                <w:szCs w:val="18"/>
              </w:rPr>
              <w:t>SWQP</w:t>
            </w:r>
          </w:p>
        </w:tc>
        <w:tc>
          <w:tcPr>
            <w:tcW w:w="6378" w:type="dxa"/>
          </w:tcPr>
          <w:p w14:paraId="0A27E1CA" w14:textId="77777777" w:rsidR="00533C69" w:rsidRPr="004C3FE0" w:rsidRDefault="00533C69" w:rsidP="00D30EB7">
            <w:pPr>
              <w:ind w:left="74" w:right="74"/>
              <w:rPr>
                <w:szCs w:val="18"/>
              </w:rPr>
            </w:pPr>
            <w:r w:rsidRPr="004C3FE0">
              <w:rPr>
                <w:rFonts w:asciiTheme="majorHAnsi" w:hAnsiTheme="majorHAnsi" w:cstheme="majorHAnsi"/>
                <w:szCs w:val="18"/>
              </w:rPr>
              <w:t>South West Queensland Pipeline</w:t>
            </w:r>
          </w:p>
        </w:tc>
      </w:tr>
      <w:tr w:rsidR="00533C69" w:rsidRPr="004C3FE0" w14:paraId="3E2F1FF5" w14:textId="77777777" w:rsidTr="00533C69">
        <w:tc>
          <w:tcPr>
            <w:tcW w:w="2127" w:type="dxa"/>
          </w:tcPr>
          <w:p w14:paraId="22A4FA81" w14:textId="77777777" w:rsidR="00533C69" w:rsidRPr="004C3FE0" w:rsidRDefault="00533C69" w:rsidP="00D30EB7">
            <w:pPr>
              <w:ind w:left="74" w:right="74"/>
              <w:rPr>
                <w:szCs w:val="18"/>
              </w:rPr>
            </w:pPr>
            <w:r>
              <w:rPr>
                <w:szCs w:val="18"/>
              </w:rPr>
              <w:t>TGP</w:t>
            </w:r>
          </w:p>
        </w:tc>
        <w:tc>
          <w:tcPr>
            <w:tcW w:w="6378" w:type="dxa"/>
          </w:tcPr>
          <w:p w14:paraId="2E2AE20F" w14:textId="77777777" w:rsidR="00533C69" w:rsidRPr="004C3FE0" w:rsidRDefault="00533C69" w:rsidP="00D30EB7">
            <w:pPr>
              <w:ind w:left="74" w:right="74"/>
              <w:rPr>
                <w:rFonts w:asciiTheme="majorHAnsi" w:hAnsiTheme="majorHAnsi" w:cstheme="majorHAnsi"/>
                <w:szCs w:val="18"/>
              </w:rPr>
            </w:pPr>
            <w:r>
              <w:rPr>
                <w:rFonts w:asciiTheme="majorHAnsi" w:hAnsiTheme="majorHAnsi" w:cstheme="majorHAnsi"/>
                <w:szCs w:val="18"/>
              </w:rPr>
              <w:t>Tasmanian Gas Pipeline</w:t>
            </w:r>
          </w:p>
        </w:tc>
      </w:tr>
      <w:tr w:rsidR="00533C69" w:rsidRPr="004C3FE0" w14:paraId="584037BB" w14:textId="77777777" w:rsidTr="00533C69">
        <w:tc>
          <w:tcPr>
            <w:tcW w:w="2127" w:type="dxa"/>
          </w:tcPr>
          <w:p w14:paraId="30E9D0EC" w14:textId="77777777" w:rsidR="00533C69" w:rsidRPr="004C3FE0" w:rsidRDefault="00533C69" w:rsidP="00D30EB7">
            <w:pPr>
              <w:ind w:left="74" w:right="74"/>
              <w:rPr>
                <w:szCs w:val="18"/>
              </w:rPr>
            </w:pPr>
            <w:r w:rsidRPr="004C3FE0">
              <w:rPr>
                <w:szCs w:val="18"/>
              </w:rPr>
              <w:t>Transportation services</w:t>
            </w:r>
          </w:p>
        </w:tc>
        <w:tc>
          <w:tcPr>
            <w:tcW w:w="6378" w:type="dxa"/>
          </w:tcPr>
          <w:p w14:paraId="1500BC30" w14:textId="77777777" w:rsidR="00533C69" w:rsidRPr="004C3FE0" w:rsidRDefault="00533C69" w:rsidP="00D30EB7">
            <w:pPr>
              <w:ind w:left="74" w:right="74"/>
              <w:rPr>
                <w:szCs w:val="18"/>
              </w:rPr>
            </w:pPr>
            <w:r w:rsidRPr="004C3FE0">
              <w:rPr>
                <w:szCs w:val="18"/>
              </w:rPr>
              <w:t>This term is used to jointly refer to pipeline and compression services</w:t>
            </w:r>
          </w:p>
        </w:tc>
      </w:tr>
      <w:tr w:rsidR="00533C69" w:rsidRPr="004C3FE0" w14:paraId="2AA382A0" w14:textId="77777777" w:rsidTr="00533C69">
        <w:tc>
          <w:tcPr>
            <w:tcW w:w="2127" w:type="dxa"/>
          </w:tcPr>
          <w:p w14:paraId="32A6E6EA" w14:textId="77777777" w:rsidR="00533C69" w:rsidRPr="004C3FE0" w:rsidRDefault="00533C69" w:rsidP="00D30EB7">
            <w:pPr>
              <w:ind w:left="74" w:right="74"/>
              <w:rPr>
                <w:szCs w:val="18"/>
              </w:rPr>
            </w:pPr>
            <w:r w:rsidRPr="004C3FE0">
              <w:rPr>
                <w:szCs w:val="18"/>
              </w:rPr>
              <w:t>Vision</w:t>
            </w:r>
          </w:p>
        </w:tc>
        <w:tc>
          <w:tcPr>
            <w:tcW w:w="6378" w:type="dxa"/>
          </w:tcPr>
          <w:p w14:paraId="47F55AA7" w14:textId="77777777" w:rsidR="00533C69" w:rsidRPr="004C3FE0" w:rsidRDefault="00533C69" w:rsidP="00D30EB7">
            <w:pPr>
              <w:ind w:left="74" w:right="74"/>
              <w:rPr>
                <w:szCs w:val="18"/>
              </w:rPr>
            </w:pPr>
            <w:r w:rsidRPr="004C3FE0">
              <w:rPr>
                <w:szCs w:val="18"/>
              </w:rPr>
              <w:t xml:space="preserve">COAG Energy Council’s </w:t>
            </w:r>
            <w:r w:rsidRPr="004C3FE0">
              <w:rPr>
                <w:i/>
                <w:szCs w:val="18"/>
              </w:rPr>
              <w:t>Australian Gas Market Vision</w:t>
            </w:r>
            <w:r w:rsidRPr="004C3FE0">
              <w:rPr>
                <w:szCs w:val="18"/>
              </w:rPr>
              <w:t xml:space="preserve"> (December 2014)</w:t>
            </w:r>
          </w:p>
        </w:tc>
      </w:tr>
    </w:tbl>
    <w:p w14:paraId="5DD6F250" w14:textId="77777777" w:rsidR="00533C69" w:rsidRDefault="00533C69" w:rsidP="004F7F03">
      <w:pPr>
        <w:sectPr w:rsidR="00533C69" w:rsidSect="00CF1252">
          <w:pgSz w:w="11907" w:h="16840" w:code="9"/>
          <w:pgMar w:top="1361" w:right="1418" w:bottom="992" w:left="1701" w:header="567" w:footer="397" w:gutter="0"/>
          <w:pgNumType w:fmt="lowerRoman"/>
          <w:cols w:space="708"/>
          <w:docGrid w:linePitch="360"/>
        </w:sectPr>
      </w:pPr>
    </w:p>
    <w:p w14:paraId="1A1ADE20" w14:textId="77777777" w:rsidR="00E164A7" w:rsidRDefault="005C2E04" w:rsidP="00B91D37">
      <w:pPr>
        <w:pStyle w:val="Heading1"/>
        <w:spacing w:before="0" w:after="0"/>
      </w:pPr>
      <w:bookmarkStart w:id="23" w:name="_Toc452029502"/>
      <w:bookmarkStart w:id="24" w:name="_Toc499542635"/>
      <w:bookmarkEnd w:id="21"/>
      <w:bookmarkEnd w:id="22"/>
      <w:r>
        <w:lastRenderedPageBreak/>
        <w:t>I</w:t>
      </w:r>
      <w:bookmarkEnd w:id="23"/>
      <w:r>
        <w:t>ntroduction</w:t>
      </w:r>
      <w:r w:rsidR="00F543AE">
        <w:t xml:space="preserve"> </w:t>
      </w:r>
      <w:r w:rsidR="00CD59B9">
        <w:t>and Summary</w:t>
      </w:r>
      <w:bookmarkEnd w:id="24"/>
    </w:p>
    <w:p w14:paraId="13C83D28" w14:textId="77777777" w:rsidR="008B0B84" w:rsidRDefault="00B73EB7" w:rsidP="00B91D37">
      <w:pPr>
        <w:pStyle w:val="BodyText"/>
        <w:spacing w:before="120"/>
      </w:pPr>
      <w:r>
        <w:t>The Gas Market Reform Group (GMRG)</w:t>
      </w:r>
      <w:r w:rsidR="00B20837">
        <w:t xml:space="preserve"> </w:t>
      </w:r>
      <w:r>
        <w:t>was established by the COAG Energy Council (</w:t>
      </w:r>
      <w:r w:rsidR="00C76541">
        <w:t xml:space="preserve">Energy </w:t>
      </w:r>
      <w:r>
        <w:t xml:space="preserve">Council) in the latter half of 2016 </w:t>
      </w:r>
      <w:r w:rsidR="006F7012">
        <w:t xml:space="preserve">to </w:t>
      </w:r>
      <w:r w:rsidR="008B1846">
        <w:t>lead the design, development and implementation of a range of reforms</w:t>
      </w:r>
      <w:r w:rsidR="00B464E5">
        <w:t xml:space="preserve"> set out in the Gas Market Reform Package</w:t>
      </w:r>
      <w:r w:rsidR="002129A4">
        <w:t xml:space="preserve">, including a </w:t>
      </w:r>
      <w:r w:rsidR="00D73D6E">
        <w:t>package</w:t>
      </w:r>
      <w:r w:rsidR="002129A4">
        <w:t xml:space="preserve"> of capacity trading reforms.</w:t>
      </w:r>
      <w:r>
        <w:rPr>
          <w:rStyle w:val="FootnoteReference"/>
        </w:rPr>
        <w:footnoteReference w:id="2"/>
      </w:r>
      <w:r>
        <w:t xml:space="preserve"> </w:t>
      </w:r>
    </w:p>
    <w:p w14:paraId="03DEDE9C" w14:textId="77777777" w:rsidR="004C7499" w:rsidRPr="00511F80" w:rsidRDefault="00F87169" w:rsidP="00B91D37">
      <w:pPr>
        <w:pStyle w:val="BodyText"/>
        <w:spacing w:after="60"/>
        <w:rPr>
          <w:rFonts w:cs="Arial"/>
        </w:rPr>
      </w:pPr>
      <w:r>
        <w:t xml:space="preserve">The </w:t>
      </w:r>
      <w:r w:rsidR="00D73D6E">
        <w:t>capacity trading reform package</w:t>
      </w:r>
      <w:r w:rsidR="008B0B84">
        <w:t xml:space="preserve"> </w:t>
      </w:r>
      <w:r w:rsidR="00D73D6E">
        <w:t xml:space="preserve">was </w:t>
      </w:r>
      <w:r w:rsidR="00296311">
        <w:t xml:space="preserve">recommended by the Australian Energy Market Commission (AEMC) </w:t>
      </w:r>
      <w:r w:rsidR="00066FB6">
        <w:t xml:space="preserve">as part of its </w:t>
      </w:r>
      <w:r w:rsidR="00296311" w:rsidRPr="00680C5B">
        <w:rPr>
          <w:rFonts w:cs="Arial"/>
          <w:i/>
          <w:iCs/>
        </w:rPr>
        <w:t>Eastern Australian Wholesale Gas Market and Pipelines Framework Review</w:t>
      </w:r>
      <w:r w:rsidR="00D00B76">
        <w:rPr>
          <w:rFonts w:cs="Arial"/>
          <w:i/>
          <w:iCs/>
        </w:rPr>
        <w:t xml:space="preserve"> (</w:t>
      </w:r>
      <w:r w:rsidR="005E3347" w:rsidRPr="005E3347">
        <w:rPr>
          <w:rFonts w:cs="Arial"/>
          <w:i/>
          <w:iCs/>
        </w:rPr>
        <w:t>East Coast Review</w:t>
      </w:r>
      <w:r w:rsidR="00D00B76">
        <w:rPr>
          <w:rFonts w:cs="Arial"/>
          <w:i/>
          <w:iCs/>
        </w:rPr>
        <w:t>)</w:t>
      </w:r>
      <w:r>
        <w:rPr>
          <w:rFonts w:cs="Arial"/>
          <w:iCs/>
        </w:rPr>
        <w:t xml:space="preserve"> </w:t>
      </w:r>
      <w:r w:rsidR="004C7499">
        <w:rPr>
          <w:rFonts w:cs="Arial"/>
          <w:iCs/>
        </w:rPr>
        <w:t xml:space="preserve">(see Appendix A for further detail) </w:t>
      </w:r>
      <w:r>
        <w:rPr>
          <w:rFonts w:cs="Arial"/>
          <w:iCs/>
        </w:rPr>
        <w:t xml:space="preserve">and </w:t>
      </w:r>
      <w:r w:rsidR="00066FB6">
        <w:rPr>
          <w:rFonts w:cs="Arial"/>
          <w:iCs/>
        </w:rPr>
        <w:t xml:space="preserve">endorsed </w:t>
      </w:r>
      <w:r w:rsidR="009E46D8">
        <w:rPr>
          <w:rFonts w:cs="Arial"/>
          <w:iCs/>
        </w:rPr>
        <w:t xml:space="preserve">by the </w:t>
      </w:r>
      <w:r w:rsidR="00C76541">
        <w:rPr>
          <w:rFonts w:cs="Arial"/>
          <w:iCs/>
        </w:rPr>
        <w:t xml:space="preserve">Energy </w:t>
      </w:r>
      <w:r w:rsidR="00066FB6">
        <w:rPr>
          <w:rFonts w:cs="Arial"/>
          <w:iCs/>
        </w:rPr>
        <w:t>Council at its August 2016 meeting</w:t>
      </w:r>
      <w:r>
        <w:rPr>
          <w:rFonts w:cs="Arial"/>
          <w:iCs/>
        </w:rPr>
        <w:t xml:space="preserve">. </w:t>
      </w:r>
      <w:r w:rsidR="004C7499">
        <w:rPr>
          <w:rFonts w:cs="Arial"/>
          <w:iCs/>
        </w:rPr>
        <w:t>The reforms</w:t>
      </w:r>
      <w:r w:rsidR="00FB0886">
        <w:rPr>
          <w:rFonts w:cs="Arial"/>
          <w:iCs/>
        </w:rPr>
        <w:t xml:space="preserve">, which relate to </w:t>
      </w:r>
      <w:r w:rsidR="006E4AD4">
        <w:rPr>
          <w:rFonts w:cs="Arial"/>
          <w:iCs/>
        </w:rPr>
        <w:t xml:space="preserve">transmission </w:t>
      </w:r>
      <w:r w:rsidR="00FB0886">
        <w:rPr>
          <w:rFonts w:cs="Arial"/>
          <w:iCs/>
        </w:rPr>
        <w:t>pipeline and compression services (jointly referred to as ‘transportation services’)</w:t>
      </w:r>
      <w:r w:rsidR="00FA7FB0">
        <w:rPr>
          <w:rFonts w:cs="Arial"/>
          <w:iCs/>
        </w:rPr>
        <w:t>,</w:t>
      </w:r>
      <w:r w:rsidR="004C7499">
        <w:rPr>
          <w:rFonts w:cs="Arial"/>
          <w:iCs/>
        </w:rPr>
        <w:t xml:space="preserve"> include </w:t>
      </w:r>
      <w:r w:rsidR="004C7499" w:rsidRPr="00511F80">
        <w:rPr>
          <w:rFonts w:cs="Arial"/>
        </w:rPr>
        <w:t>the development of:</w:t>
      </w:r>
    </w:p>
    <w:p w14:paraId="180EA732" w14:textId="77777777" w:rsidR="004C7499" w:rsidRDefault="004C7499" w:rsidP="00B91D37">
      <w:pPr>
        <w:pStyle w:val="ListBullet"/>
        <w:spacing w:before="60" w:line="252" w:lineRule="auto"/>
        <w:rPr>
          <w:rFonts w:cs="Arial"/>
        </w:rPr>
      </w:pPr>
      <w:r w:rsidRPr="009E1675">
        <w:rPr>
          <w:rFonts w:cs="Arial"/>
        </w:rPr>
        <w:t>a capacity trading platform(s) that shippers can use to trade secondary</w:t>
      </w:r>
      <w:r>
        <w:rPr>
          <w:rFonts w:cs="Arial"/>
        </w:rPr>
        <w:t xml:space="preserve"> </w:t>
      </w:r>
      <w:r w:rsidRPr="00EA5933">
        <w:rPr>
          <w:rFonts w:cs="Arial"/>
        </w:rPr>
        <w:t>capacity</w:t>
      </w:r>
      <w:r w:rsidRPr="009E1675">
        <w:rPr>
          <w:rFonts w:cs="Arial"/>
        </w:rPr>
        <w:t xml:space="preserve"> </w:t>
      </w:r>
      <w:r>
        <w:rPr>
          <w:rFonts w:cs="Arial"/>
        </w:rPr>
        <w:t xml:space="preserve">ahead of the </w:t>
      </w:r>
      <w:r w:rsidR="004E50FA">
        <w:rPr>
          <w:rFonts w:cs="Arial"/>
        </w:rPr>
        <w:t xml:space="preserve">nomination cut-off time </w:t>
      </w:r>
      <w:r>
        <w:rPr>
          <w:rFonts w:cs="Arial"/>
        </w:rPr>
        <w:t xml:space="preserve">and </w:t>
      </w:r>
      <w:r w:rsidR="006E4AD4">
        <w:rPr>
          <w:rFonts w:cs="Arial"/>
        </w:rPr>
        <w:t>provides for exchange-</w:t>
      </w:r>
      <w:r w:rsidRPr="009E1675">
        <w:rPr>
          <w:rFonts w:cs="Arial"/>
        </w:rPr>
        <w:t xml:space="preserve">based trading of commonly traded </w:t>
      </w:r>
      <w:r>
        <w:rPr>
          <w:rFonts w:cs="Arial"/>
        </w:rPr>
        <w:t xml:space="preserve">products </w:t>
      </w:r>
      <w:r w:rsidRPr="009E1675">
        <w:rPr>
          <w:rFonts w:cs="Arial"/>
        </w:rPr>
        <w:t xml:space="preserve">and a listing </w:t>
      </w:r>
      <w:r>
        <w:rPr>
          <w:rFonts w:cs="Arial"/>
        </w:rPr>
        <w:t xml:space="preserve">service </w:t>
      </w:r>
      <w:r w:rsidRPr="009E1675">
        <w:rPr>
          <w:rFonts w:cs="Arial"/>
        </w:rPr>
        <w:t xml:space="preserve">for other </w:t>
      </w:r>
      <w:r>
        <w:rPr>
          <w:rFonts w:cs="Arial"/>
        </w:rPr>
        <w:t>more bespoke products</w:t>
      </w:r>
      <w:r w:rsidRPr="009E1675">
        <w:rPr>
          <w:rFonts w:cs="Arial"/>
        </w:rPr>
        <w:t xml:space="preserve">; </w:t>
      </w:r>
    </w:p>
    <w:p w14:paraId="0530D633" w14:textId="77777777" w:rsidR="001B7CE2" w:rsidRPr="00066FB6" w:rsidRDefault="001B7CE2" w:rsidP="001B7CE2">
      <w:pPr>
        <w:pStyle w:val="ListBullet"/>
        <w:spacing w:line="252" w:lineRule="auto"/>
        <w:rPr>
          <w:rFonts w:cs="Arial"/>
        </w:rPr>
      </w:pPr>
      <w:r w:rsidRPr="00066FB6">
        <w:rPr>
          <w:rFonts w:cs="Arial"/>
        </w:rPr>
        <w:t>a day-ahead auction of contracted but un-nominated capacity</w:t>
      </w:r>
      <w:r>
        <w:rPr>
          <w:rFonts w:cs="Arial"/>
        </w:rPr>
        <w:t>, which would be conducted shortly after nomination cut-off and subject to a reserve price of zero (with compressor fuel provided in-kind by shippers)</w:t>
      </w:r>
      <w:r w:rsidRPr="00066FB6">
        <w:rPr>
          <w:rFonts w:cs="Arial"/>
        </w:rPr>
        <w:t xml:space="preserve">; </w:t>
      </w:r>
    </w:p>
    <w:p w14:paraId="3D961C5F" w14:textId="77777777" w:rsidR="004C7499" w:rsidRPr="00511F80" w:rsidRDefault="004C7499" w:rsidP="004C7499">
      <w:pPr>
        <w:pStyle w:val="ListBullet"/>
        <w:spacing w:line="252" w:lineRule="auto"/>
        <w:rPr>
          <w:rFonts w:cs="Arial"/>
        </w:rPr>
      </w:pPr>
      <w:r w:rsidRPr="00511F80">
        <w:rPr>
          <w:rFonts w:cs="Arial"/>
        </w:rPr>
        <w:t xml:space="preserve">standards for key contract terms </w:t>
      </w:r>
      <w:r>
        <w:rPr>
          <w:rFonts w:cs="Arial"/>
        </w:rPr>
        <w:t xml:space="preserve">in </w:t>
      </w:r>
      <w:r w:rsidRPr="00511F80">
        <w:rPr>
          <w:rFonts w:cs="Arial"/>
        </w:rPr>
        <w:t>primary, secondary</w:t>
      </w:r>
      <w:r w:rsidR="00FB0886">
        <w:rPr>
          <w:rFonts w:cs="Arial"/>
        </w:rPr>
        <w:t xml:space="preserve"> and</w:t>
      </w:r>
      <w:r w:rsidRPr="00511F80">
        <w:rPr>
          <w:rFonts w:cs="Arial"/>
        </w:rPr>
        <w:t xml:space="preserve"> operational </w:t>
      </w:r>
      <w:r w:rsidR="00FB0886">
        <w:rPr>
          <w:rFonts w:cs="Arial"/>
        </w:rPr>
        <w:t>transportation agreements</w:t>
      </w:r>
      <w:r>
        <w:rPr>
          <w:rFonts w:cs="Arial"/>
        </w:rPr>
        <w:t xml:space="preserve"> to make capacity products more fungible and, in so doing, facilitate a greater level of secondary capacity trading</w:t>
      </w:r>
      <w:r w:rsidRPr="00511F80">
        <w:rPr>
          <w:rFonts w:cs="Arial"/>
        </w:rPr>
        <w:t>;</w:t>
      </w:r>
      <w:r>
        <w:rPr>
          <w:rFonts w:cs="Arial"/>
        </w:rPr>
        <w:t xml:space="preserve"> and</w:t>
      </w:r>
    </w:p>
    <w:p w14:paraId="42CB4B0B" w14:textId="77777777" w:rsidR="004C7499" w:rsidRPr="00511F80" w:rsidRDefault="004C7499" w:rsidP="004C7499">
      <w:pPr>
        <w:pStyle w:val="ListBullet"/>
        <w:spacing w:line="252" w:lineRule="auto"/>
        <w:rPr>
          <w:rFonts w:cs="Arial"/>
        </w:rPr>
      </w:pPr>
      <w:proofErr w:type="gramStart"/>
      <w:r w:rsidRPr="00511F80">
        <w:rPr>
          <w:rFonts w:cs="Arial"/>
        </w:rPr>
        <w:t>a</w:t>
      </w:r>
      <w:proofErr w:type="gramEnd"/>
      <w:r w:rsidRPr="00511F80">
        <w:rPr>
          <w:rFonts w:cs="Arial"/>
        </w:rPr>
        <w:t xml:space="preserve"> reporting framework for secondary capacity trades that provides for the publication of the price and other related information on secondary trades.</w:t>
      </w:r>
    </w:p>
    <w:p w14:paraId="0C0AB95E" w14:textId="77777777" w:rsidR="00296311" w:rsidRPr="00511F80" w:rsidRDefault="004C7499" w:rsidP="00B91D37">
      <w:pPr>
        <w:pStyle w:val="BodyText"/>
        <w:spacing w:after="60"/>
        <w:rPr>
          <w:rFonts w:eastAsiaTheme="majorEastAsia" w:cs="Arial"/>
        </w:rPr>
      </w:pPr>
      <w:r>
        <w:rPr>
          <w:rFonts w:cs="Arial"/>
          <w:iCs/>
        </w:rPr>
        <w:t xml:space="preserve">Together </w:t>
      </w:r>
      <w:r w:rsidR="00F87169">
        <w:rPr>
          <w:rFonts w:cs="Arial"/>
          <w:iCs/>
        </w:rPr>
        <w:t xml:space="preserve">these reforms </w:t>
      </w:r>
      <w:r w:rsidR="00296311" w:rsidRPr="00511F80">
        <w:rPr>
          <w:rFonts w:cs="Arial"/>
        </w:rPr>
        <w:t xml:space="preserve">are expected to </w:t>
      </w:r>
      <w:r w:rsidR="00296311" w:rsidRPr="00511F80">
        <w:rPr>
          <w:rFonts w:eastAsiaTheme="majorEastAsia" w:cs="Arial"/>
        </w:rPr>
        <w:t xml:space="preserve">foster the development of a more liquid </w:t>
      </w:r>
      <w:r w:rsidR="00EF54D1">
        <w:rPr>
          <w:rFonts w:eastAsiaTheme="majorEastAsia" w:cs="Arial"/>
        </w:rPr>
        <w:t xml:space="preserve">secondary capacity market </w:t>
      </w:r>
      <w:r w:rsidR="00C80910">
        <w:rPr>
          <w:rFonts w:eastAsiaTheme="majorEastAsia" w:cs="Arial"/>
        </w:rPr>
        <w:t xml:space="preserve">and, in so doing, improve the efficiency with which capacity is allocated and used </w:t>
      </w:r>
      <w:r w:rsidR="00B35496">
        <w:rPr>
          <w:rFonts w:eastAsiaTheme="majorEastAsia" w:cs="Arial"/>
        </w:rPr>
        <w:t xml:space="preserve">on transportation assets operating </w:t>
      </w:r>
      <w:r w:rsidR="00C80910">
        <w:rPr>
          <w:rFonts w:eastAsiaTheme="majorEastAsia" w:cs="Arial"/>
        </w:rPr>
        <w:t>under the contract carriage model</w:t>
      </w:r>
      <w:r w:rsidR="00B35496">
        <w:rPr>
          <w:rFonts w:eastAsiaTheme="majorEastAsia" w:cs="Arial"/>
        </w:rPr>
        <w:t xml:space="preserve"> (i.e. outside the Declared Transmission System (DTS) in Victoria)</w:t>
      </w:r>
      <w:r w:rsidR="00C80910">
        <w:rPr>
          <w:rFonts w:eastAsiaTheme="majorEastAsia" w:cs="Arial"/>
        </w:rPr>
        <w:t>,</w:t>
      </w:r>
      <w:r w:rsidR="00B35496">
        <w:rPr>
          <w:rStyle w:val="FootnoteReference"/>
        </w:rPr>
        <w:footnoteReference w:id="3"/>
      </w:r>
      <w:r w:rsidR="00B35496">
        <w:rPr>
          <w:rFonts w:eastAsiaTheme="majorEastAsia" w:cs="Arial"/>
        </w:rPr>
        <w:t xml:space="preserve"> </w:t>
      </w:r>
      <w:r w:rsidR="00296311" w:rsidRPr="00511F80">
        <w:rPr>
          <w:rFonts w:eastAsiaTheme="majorEastAsia" w:cs="Arial"/>
        </w:rPr>
        <w:t>by:</w:t>
      </w:r>
      <w:r w:rsidR="00636AC6">
        <w:rPr>
          <w:rStyle w:val="FootnoteReference"/>
          <w:rFonts w:eastAsiaTheme="majorEastAsia" w:cs="Arial"/>
        </w:rPr>
        <w:footnoteReference w:id="4"/>
      </w:r>
    </w:p>
    <w:p w14:paraId="127612DC" w14:textId="77777777" w:rsidR="00F87169" w:rsidRDefault="00F87169" w:rsidP="00B91D37">
      <w:pPr>
        <w:pStyle w:val="ListBullet"/>
        <w:spacing w:before="60" w:line="252" w:lineRule="auto"/>
        <w:rPr>
          <w:rFonts w:eastAsiaTheme="majorEastAsia" w:cs="Arial"/>
        </w:rPr>
      </w:pPr>
      <w:r>
        <w:rPr>
          <w:rFonts w:eastAsiaTheme="majorEastAsia" w:cs="Arial"/>
        </w:rPr>
        <w:t>using market based processes to allocate capacity on a non-discriminatory basis to those that value it most;</w:t>
      </w:r>
    </w:p>
    <w:p w14:paraId="56BE2EE1" w14:textId="77777777" w:rsidR="00C76541" w:rsidRPr="0037565A" w:rsidRDefault="00C76541" w:rsidP="00C76541">
      <w:pPr>
        <w:pStyle w:val="ListBullet"/>
        <w:spacing w:line="252" w:lineRule="auto"/>
        <w:rPr>
          <w:rFonts w:eastAsiaTheme="majorEastAsia" w:cs="Arial"/>
        </w:rPr>
      </w:pPr>
      <w:r w:rsidRPr="0037565A">
        <w:rPr>
          <w:rFonts w:eastAsiaTheme="majorEastAsia" w:cs="Arial"/>
          <w:color w:val="000000" w:themeColor="text1"/>
        </w:rPr>
        <w:t xml:space="preserve">improving the incentive shippers have to trade capacity and </w:t>
      </w:r>
      <w:r w:rsidRPr="0037565A">
        <w:rPr>
          <w:rFonts w:asciiTheme="majorHAnsi" w:eastAsiaTheme="minorEastAsia" w:hAnsiTheme="majorHAnsi" w:cstheme="majorHAnsi"/>
        </w:rPr>
        <w:t xml:space="preserve">posing a constraint on the ability of pipeline operators to sell secondary capacity </w:t>
      </w:r>
      <w:r w:rsidR="00C86754">
        <w:rPr>
          <w:rFonts w:asciiTheme="majorHAnsi" w:eastAsiaTheme="minorEastAsia" w:hAnsiTheme="majorHAnsi" w:cstheme="majorHAnsi"/>
        </w:rPr>
        <w:t>at</w:t>
      </w:r>
      <w:r w:rsidR="00FB0886">
        <w:rPr>
          <w:rFonts w:asciiTheme="majorHAnsi" w:eastAsiaTheme="minorEastAsia" w:hAnsiTheme="majorHAnsi" w:cstheme="majorHAnsi"/>
        </w:rPr>
        <w:t xml:space="preserve"> prices in excess of what </w:t>
      </w:r>
      <w:r w:rsidRPr="0037565A">
        <w:rPr>
          <w:rFonts w:asciiTheme="majorHAnsi" w:eastAsiaTheme="minorEastAsia" w:hAnsiTheme="majorHAnsi" w:cstheme="majorHAnsi"/>
        </w:rPr>
        <w:t>would be expected in a workably competitive market</w:t>
      </w:r>
      <w:r w:rsidRPr="0037565A">
        <w:rPr>
          <w:rFonts w:eastAsiaTheme="majorEastAsia" w:cs="Arial"/>
          <w:color w:val="000000" w:themeColor="text1"/>
        </w:rPr>
        <w:t>;</w:t>
      </w:r>
    </w:p>
    <w:p w14:paraId="591946FA" w14:textId="77777777" w:rsidR="00F87169" w:rsidRDefault="00636AC6" w:rsidP="00296311">
      <w:pPr>
        <w:pStyle w:val="ListBullet"/>
        <w:spacing w:line="252" w:lineRule="auto"/>
        <w:rPr>
          <w:rFonts w:eastAsiaTheme="majorEastAsia" w:cs="Arial"/>
        </w:rPr>
      </w:pPr>
      <w:r>
        <w:rPr>
          <w:rFonts w:eastAsiaTheme="majorEastAsia" w:cs="Arial"/>
        </w:rPr>
        <w:t>r</w:t>
      </w:r>
      <w:r w:rsidR="00F87169">
        <w:rPr>
          <w:rFonts w:eastAsiaTheme="majorEastAsia" w:cs="Arial"/>
        </w:rPr>
        <w:t>educing search and transaction costs;</w:t>
      </w:r>
      <w:r w:rsidR="00C76541">
        <w:rPr>
          <w:rFonts w:eastAsiaTheme="majorEastAsia" w:cs="Arial"/>
        </w:rPr>
        <w:t xml:space="preserve"> and</w:t>
      </w:r>
    </w:p>
    <w:p w14:paraId="39C4CB79" w14:textId="77777777" w:rsidR="00296311" w:rsidRPr="00511F80" w:rsidRDefault="00296311" w:rsidP="00296311">
      <w:pPr>
        <w:pStyle w:val="ListBullet"/>
        <w:spacing w:line="252" w:lineRule="auto"/>
        <w:rPr>
          <w:rFonts w:eastAsiaTheme="majorEastAsia" w:cs="Arial"/>
        </w:rPr>
      </w:pPr>
      <w:proofErr w:type="gramStart"/>
      <w:r w:rsidRPr="00511F80">
        <w:rPr>
          <w:rFonts w:eastAsiaTheme="majorEastAsia" w:cs="Arial"/>
        </w:rPr>
        <w:t>reducing</w:t>
      </w:r>
      <w:proofErr w:type="gramEnd"/>
      <w:r w:rsidRPr="00511F80">
        <w:rPr>
          <w:rFonts w:eastAsiaTheme="majorEastAsia" w:cs="Arial"/>
        </w:rPr>
        <w:t xml:space="preserve"> information asymmetries </w:t>
      </w:r>
      <w:r w:rsidR="00FB0886">
        <w:rPr>
          <w:rFonts w:eastAsiaTheme="majorEastAsia" w:cs="Arial"/>
        </w:rPr>
        <w:t xml:space="preserve">and aiding </w:t>
      </w:r>
      <w:r w:rsidR="00636AC6">
        <w:rPr>
          <w:rFonts w:eastAsiaTheme="majorEastAsia" w:cs="Arial"/>
        </w:rPr>
        <w:t>the price discovery process</w:t>
      </w:r>
      <w:r w:rsidR="00C76541">
        <w:rPr>
          <w:rFonts w:eastAsiaTheme="majorEastAsia" w:cs="Arial"/>
        </w:rPr>
        <w:t>.</w:t>
      </w:r>
    </w:p>
    <w:p w14:paraId="4DBEB4F3" w14:textId="77777777" w:rsidR="005C49EA" w:rsidRDefault="00A54E31" w:rsidP="001163C1">
      <w:pPr>
        <w:pStyle w:val="BodyText"/>
        <w:rPr>
          <w:rFonts w:eastAsiaTheme="majorEastAsia" w:cs="Arial"/>
        </w:rPr>
      </w:pPr>
      <w:r>
        <w:rPr>
          <w:rFonts w:eastAsiaTheme="majorEastAsia"/>
        </w:rPr>
        <w:t>G</w:t>
      </w:r>
      <w:r w:rsidR="00890D69">
        <w:rPr>
          <w:rFonts w:eastAsiaTheme="majorEastAsia"/>
        </w:rPr>
        <w:t xml:space="preserve">reater liquidity in this market </w:t>
      </w:r>
      <w:r>
        <w:rPr>
          <w:rFonts w:eastAsiaTheme="majorEastAsia"/>
        </w:rPr>
        <w:t xml:space="preserve">is expected to </w:t>
      </w:r>
      <w:r w:rsidR="00890D69">
        <w:rPr>
          <w:rFonts w:eastAsiaTheme="majorEastAsia"/>
        </w:rPr>
        <w:t xml:space="preserve">facilitate </w:t>
      </w:r>
      <w:r w:rsidR="006E4AD4">
        <w:rPr>
          <w:rFonts w:eastAsiaTheme="majorEastAsia"/>
        </w:rPr>
        <w:t xml:space="preserve">increased </w:t>
      </w:r>
      <w:r w:rsidR="00890D69">
        <w:rPr>
          <w:rFonts w:eastAsiaTheme="majorEastAsia"/>
        </w:rPr>
        <w:t xml:space="preserve">trade in </w:t>
      </w:r>
      <w:r w:rsidR="00EF77FB">
        <w:rPr>
          <w:rFonts w:eastAsiaTheme="majorEastAsia"/>
        </w:rPr>
        <w:t>gas</w:t>
      </w:r>
      <w:r w:rsidR="003514A9">
        <w:rPr>
          <w:rFonts w:eastAsiaTheme="majorEastAsia"/>
        </w:rPr>
        <w:t xml:space="preserve"> and </w:t>
      </w:r>
      <w:r w:rsidR="00C32839">
        <w:rPr>
          <w:rFonts w:eastAsiaTheme="majorEastAsia"/>
        </w:rPr>
        <w:t>support the development of a more robust reference price for gas</w:t>
      </w:r>
      <w:r w:rsidR="00C1014A">
        <w:rPr>
          <w:rFonts w:eastAsiaTheme="majorEastAsia"/>
        </w:rPr>
        <w:t>. This</w:t>
      </w:r>
      <w:r w:rsidR="00476D8D">
        <w:rPr>
          <w:rFonts w:eastAsiaTheme="majorEastAsia"/>
        </w:rPr>
        <w:t>, in turn,</w:t>
      </w:r>
      <w:r w:rsidR="001163C1">
        <w:rPr>
          <w:rFonts w:eastAsiaTheme="majorEastAsia"/>
        </w:rPr>
        <w:t xml:space="preserve"> </w:t>
      </w:r>
      <w:r w:rsidR="00693FAD">
        <w:rPr>
          <w:rFonts w:eastAsiaTheme="majorEastAsia"/>
        </w:rPr>
        <w:t xml:space="preserve">is expected to </w:t>
      </w:r>
      <w:r w:rsidR="003514A9">
        <w:rPr>
          <w:rFonts w:eastAsiaTheme="majorEastAsia"/>
        </w:rPr>
        <w:t xml:space="preserve">enable market participants to make more informed decisions about </w:t>
      </w:r>
      <w:r w:rsidR="001163C1">
        <w:rPr>
          <w:rFonts w:eastAsiaTheme="majorEastAsia"/>
        </w:rPr>
        <w:t xml:space="preserve">their use of gas and investments in </w:t>
      </w:r>
      <w:r w:rsidR="00B52C50">
        <w:rPr>
          <w:rFonts w:eastAsiaTheme="majorEastAsia"/>
        </w:rPr>
        <w:t xml:space="preserve">exploration, </w:t>
      </w:r>
      <w:r w:rsidR="003514A9">
        <w:rPr>
          <w:rFonts w:eastAsiaTheme="majorEastAsia"/>
        </w:rPr>
        <w:t>production</w:t>
      </w:r>
      <w:r w:rsidR="00B52C50">
        <w:rPr>
          <w:rFonts w:eastAsiaTheme="majorEastAsia"/>
        </w:rPr>
        <w:t>, pipelines and storage</w:t>
      </w:r>
      <w:r w:rsidR="001163C1">
        <w:rPr>
          <w:rFonts w:eastAsiaTheme="majorEastAsia"/>
        </w:rPr>
        <w:t xml:space="preserve"> facilities</w:t>
      </w:r>
      <w:r w:rsidR="008D278A">
        <w:rPr>
          <w:rFonts w:eastAsiaTheme="majorEastAsia"/>
        </w:rPr>
        <w:t>.</w:t>
      </w:r>
      <w:r w:rsidR="00476D8D">
        <w:rPr>
          <w:rStyle w:val="FootnoteReference"/>
          <w:rFonts w:eastAsiaTheme="majorEastAsia"/>
        </w:rPr>
        <w:footnoteReference w:id="5"/>
      </w:r>
      <w:r w:rsidR="001163C1">
        <w:rPr>
          <w:rFonts w:eastAsiaTheme="majorEastAsia"/>
        </w:rPr>
        <w:t xml:space="preserve"> The </w:t>
      </w:r>
      <w:r w:rsidR="00D73D6E">
        <w:rPr>
          <w:rFonts w:eastAsiaTheme="majorEastAsia"/>
        </w:rPr>
        <w:t xml:space="preserve">package of </w:t>
      </w:r>
      <w:r w:rsidR="001163C1">
        <w:rPr>
          <w:rFonts w:eastAsiaTheme="majorEastAsia"/>
        </w:rPr>
        <w:lastRenderedPageBreak/>
        <w:t xml:space="preserve">reforms </w:t>
      </w:r>
      <w:r w:rsidR="00DE189B">
        <w:rPr>
          <w:rFonts w:eastAsiaTheme="majorEastAsia"/>
        </w:rPr>
        <w:t xml:space="preserve">is </w:t>
      </w:r>
      <w:r w:rsidR="001163C1">
        <w:rPr>
          <w:rFonts w:eastAsiaTheme="majorEastAsia"/>
        </w:rPr>
        <w:t xml:space="preserve">therefore expected to </w:t>
      </w:r>
      <w:r w:rsidR="00EF54D1">
        <w:rPr>
          <w:rFonts w:eastAsiaTheme="majorEastAsia" w:cs="Arial"/>
        </w:rPr>
        <w:t xml:space="preserve">promote the National Gas Objective (NGO) and the </w:t>
      </w:r>
      <w:r w:rsidR="00FB0886">
        <w:rPr>
          <w:rFonts w:eastAsiaTheme="majorEastAsia" w:cs="Arial"/>
        </w:rPr>
        <w:t xml:space="preserve">Energy </w:t>
      </w:r>
      <w:r w:rsidR="00EF54D1">
        <w:rPr>
          <w:rFonts w:eastAsiaTheme="majorEastAsia" w:cs="Arial"/>
        </w:rPr>
        <w:t>Council’s Vision for the Australian Gas Market (</w:t>
      </w:r>
      <w:r w:rsidR="00EF54D1" w:rsidRPr="005D4AE4">
        <w:rPr>
          <w:rFonts w:eastAsiaTheme="majorEastAsia" w:cs="Arial"/>
          <w:i/>
        </w:rPr>
        <w:t>Vision</w:t>
      </w:r>
      <w:r w:rsidR="00EF54D1">
        <w:rPr>
          <w:rFonts w:eastAsiaTheme="majorEastAsia" w:cs="Arial"/>
        </w:rPr>
        <w:t>) (see Box 1.1)</w:t>
      </w:r>
      <w:r w:rsidR="006E75F9">
        <w:rPr>
          <w:rFonts w:eastAsiaTheme="majorEastAsia" w:cs="Arial"/>
        </w:rPr>
        <w:t>.</w:t>
      </w:r>
    </w:p>
    <w:p w14:paraId="26EB1F29" w14:textId="77777777" w:rsidR="00F96D86" w:rsidRDefault="00934DE8" w:rsidP="00667669">
      <w:pPr>
        <w:pStyle w:val="BodyText"/>
        <w:spacing w:after="0"/>
        <w:rPr>
          <w:rFonts w:eastAsiaTheme="majorEastAsia" w:cs="Arial"/>
        </w:rPr>
      </w:pPr>
      <w:r>
        <w:rPr>
          <w:rFonts w:eastAsiaTheme="majorEastAsia" w:cs="Arial"/>
        </w:rPr>
        <w:t xml:space="preserve">Further detail on the reform package can be found in Chapter 2. </w:t>
      </w:r>
      <w:bookmarkStart w:id="25" w:name="_Ref482330736"/>
    </w:p>
    <w:tbl>
      <w:tblPr>
        <w:tblStyle w:val="PullOutBoxTable"/>
        <w:tblW w:w="0" w:type="auto"/>
        <w:tblLayout w:type="fixed"/>
        <w:tblCellMar>
          <w:top w:w="113" w:type="dxa"/>
          <w:bottom w:w="113" w:type="dxa"/>
        </w:tblCellMar>
        <w:tblLook w:val="0600" w:firstRow="0" w:lastRow="0" w:firstColumn="0" w:lastColumn="0" w:noHBand="1" w:noVBand="1"/>
        <w:tblCaption w:val="Box 1.1"/>
        <w:tblDescription w:val="National Gas Objective and Vision for the Australian Gas Market"/>
      </w:tblPr>
      <w:tblGrid>
        <w:gridCol w:w="8788"/>
      </w:tblGrid>
      <w:tr w:rsidR="00F96D86" w:rsidRPr="004F4D18" w14:paraId="196F09D4" w14:textId="77777777" w:rsidTr="00667669">
        <w:trPr>
          <w:cantSplit/>
          <w:trHeight w:val="13"/>
          <w:tblHeader/>
        </w:trPr>
        <w:tc>
          <w:tcPr>
            <w:tcW w:w="8788" w:type="dxa"/>
            <w:shd w:val="clear" w:color="auto" w:fill="auto"/>
          </w:tcPr>
          <w:bookmarkEnd w:id="25"/>
          <w:p w14:paraId="432C66C2" w14:textId="3E608A49" w:rsidR="00F96D86" w:rsidRPr="004F4D18" w:rsidRDefault="00F96D86" w:rsidP="00667669">
            <w:pPr>
              <w:pStyle w:val="BodyText"/>
              <w:keepNext/>
              <w:spacing w:before="0" w:after="0"/>
              <w:rPr>
                <w:b/>
                <w:color w:val="0099CC"/>
                <w:sz w:val="20"/>
                <w:szCs w:val="20"/>
              </w:rPr>
            </w:pPr>
            <w:r w:rsidRPr="004D591C">
              <w:rPr>
                <w:b/>
              </w:rPr>
              <w:t xml:space="preserve">Box </w:t>
            </w:r>
            <w:r>
              <w:rPr>
                <w:b/>
              </w:rPr>
              <w:fldChar w:fldCharType="begin"/>
            </w:r>
            <w:r>
              <w:rPr>
                <w:b/>
              </w:rPr>
              <w:instrText xml:space="preserve"> STYLEREF 1 \s </w:instrText>
            </w:r>
            <w:r>
              <w:rPr>
                <w:b/>
              </w:rPr>
              <w:fldChar w:fldCharType="separate"/>
            </w:r>
            <w:r>
              <w:rPr>
                <w:b/>
                <w:noProof/>
              </w:rPr>
              <w:t>1</w:t>
            </w:r>
            <w:r>
              <w:rPr>
                <w:b/>
              </w:rPr>
              <w:fldChar w:fldCharType="end"/>
            </w:r>
            <w:r>
              <w:rPr>
                <w:b/>
              </w:rPr>
              <w:t>.</w:t>
            </w:r>
            <w:r>
              <w:rPr>
                <w:b/>
              </w:rPr>
              <w:fldChar w:fldCharType="begin"/>
            </w:r>
            <w:r>
              <w:rPr>
                <w:b/>
              </w:rPr>
              <w:instrText xml:space="preserve"> SEQ Box \* ARABIC \s 1 </w:instrText>
            </w:r>
            <w:r>
              <w:rPr>
                <w:b/>
              </w:rPr>
              <w:fldChar w:fldCharType="separate"/>
            </w:r>
            <w:r>
              <w:rPr>
                <w:b/>
                <w:noProof/>
              </w:rPr>
              <w:t>1</w:t>
            </w:r>
            <w:r>
              <w:rPr>
                <w:b/>
              </w:rPr>
              <w:fldChar w:fldCharType="end"/>
            </w:r>
            <w:r w:rsidRPr="004D591C">
              <w:rPr>
                <w:b/>
              </w:rPr>
              <w:t>: National Gas Objective and Vision for the Australian Gas Market</w:t>
            </w:r>
          </w:p>
        </w:tc>
      </w:tr>
      <w:tr w:rsidR="00F96D86" w:rsidRPr="004F4D18" w14:paraId="27DE0912" w14:textId="77777777" w:rsidTr="00667669">
        <w:trPr>
          <w:cantSplit/>
        </w:trPr>
        <w:tc>
          <w:tcPr>
            <w:tcW w:w="8788" w:type="dxa"/>
          </w:tcPr>
          <w:p w14:paraId="76E33881" w14:textId="77777777" w:rsidR="00F96D86" w:rsidRPr="004F4D18" w:rsidRDefault="00F96D86" w:rsidP="00F96D86">
            <w:pPr>
              <w:pStyle w:val="ListBullet"/>
              <w:numPr>
                <w:ilvl w:val="0"/>
                <w:numId w:val="0"/>
              </w:numPr>
              <w:spacing w:before="40" w:after="80"/>
              <w:ind w:left="357" w:hanging="357"/>
              <w:rPr>
                <w:b/>
                <w:color w:val="0099CC"/>
                <w:sz w:val="20"/>
                <w:szCs w:val="20"/>
              </w:rPr>
            </w:pPr>
            <w:r w:rsidRPr="004F4D18">
              <w:rPr>
                <w:b/>
                <w:color w:val="0099CC"/>
                <w:sz w:val="20"/>
                <w:szCs w:val="20"/>
              </w:rPr>
              <w:t>National Gas Objective</w:t>
            </w:r>
          </w:p>
          <w:p w14:paraId="05FB976A" w14:textId="77777777" w:rsidR="00F96D86" w:rsidRPr="004F4D18" w:rsidRDefault="00F96D86" w:rsidP="00F96D86">
            <w:pPr>
              <w:pStyle w:val="ListBullet"/>
              <w:numPr>
                <w:ilvl w:val="0"/>
                <w:numId w:val="0"/>
              </w:numPr>
              <w:spacing w:before="40" w:after="80"/>
              <w:ind w:left="357" w:hanging="357"/>
              <w:rPr>
                <w:sz w:val="20"/>
                <w:szCs w:val="20"/>
              </w:rPr>
            </w:pPr>
            <w:r w:rsidRPr="004F4D18">
              <w:rPr>
                <w:sz w:val="20"/>
                <w:szCs w:val="20"/>
              </w:rPr>
              <w:t>The NGO is set out in section 23 of the NGL and states the following:</w:t>
            </w:r>
          </w:p>
          <w:p w14:paraId="1FEC7C60" w14:textId="77777777" w:rsidR="00F96D86" w:rsidRPr="004F4D18" w:rsidRDefault="00F96D86" w:rsidP="00F96D86">
            <w:pPr>
              <w:pStyle w:val="BodyText"/>
              <w:spacing w:before="40" w:after="80"/>
              <w:ind w:left="567" w:right="567"/>
              <w:rPr>
                <w:i/>
                <w:iCs/>
                <w:sz w:val="19"/>
                <w:szCs w:val="19"/>
              </w:rPr>
            </w:pPr>
            <w:r w:rsidRPr="004F4D18">
              <w:rPr>
                <w:i/>
                <w:iCs/>
                <w:sz w:val="19"/>
                <w:szCs w:val="19"/>
              </w:rPr>
              <w:t>The objective of this law is to promote efficient investment in, and efficient operation and use of, natural gas services for the long term interests of consumers of natural gas with respect to price, quality, safety, reliability and security of supply of natural gas.</w:t>
            </w:r>
          </w:p>
          <w:p w14:paraId="4E6C3190" w14:textId="77777777" w:rsidR="00F96D86" w:rsidRPr="004F4D18" w:rsidRDefault="00F96D86" w:rsidP="00F96D86">
            <w:pPr>
              <w:pStyle w:val="ListBullet"/>
              <w:numPr>
                <w:ilvl w:val="0"/>
                <w:numId w:val="0"/>
              </w:numPr>
              <w:spacing w:before="40" w:after="80"/>
              <w:ind w:left="357" w:hanging="357"/>
              <w:rPr>
                <w:b/>
                <w:color w:val="0099CC"/>
                <w:sz w:val="20"/>
                <w:szCs w:val="20"/>
              </w:rPr>
            </w:pPr>
            <w:r>
              <w:rPr>
                <w:b/>
                <w:color w:val="0099CC"/>
                <w:sz w:val="20"/>
                <w:szCs w:val="20"/>
              </w:rPr>
              <w:t xml:space="preserve">Energy </w:t>
            </w:r>
            <w:r w:rsidRPr="004F4D18">
              <w:rPr>
                <w:b/>
                <w:color w:val="0099CC"/>
                <w:sz w:val="20"/>
                <w:szCs w:val="20"/>
              </w:rPr>
              <w:t>Council’s Vision for the Australian Gas Market</w:t>
            </w:r>
            <w:r>
              <w:rPr>
                <w:rStyle w:val="FootnoteReference"/>
                <w:bCs/>
              </w:rPr>
              <w:footnoteReference w:id="6"/>
            </w:r>
          </w:p>
          <w:p w14:paraId="27B62E1E" w14:textId="77777777" w:rsidR="00F96D86" w:rsidRPr="004F4D18" w:rsidRDefault="00F96D86" w:rsidP="00F96D86">
            <w:pPr>
              <w:pStyle w:val="ListBullet"/>
              <w:numPr>
                <w:ilvl w:val="0"/>
                <w:numId w:val="0"/>
              </w:numPr>
              <w:spacing w:before="40" w:after="80"/>
              <w:ind w:left="357" w:hanging="357"/>
              <w:rPr>
                <w:sz w:val="20"/>
                <w:szCs w:val="20"/>
              </w:rPr>
            </w:pPr>
            <w:r w:rsidRPr="004F4D18">
              <w:rPr>
                <w:sz w:val="20"/>
                <w:szCs w:val="20"/>
              </w:rPr>
              <w:t xml:space="preserve">The </w:t>
            </w:r>
            <w:r>
              <w:rPr>
                <w:sz w:val="20"/>
                <w:szCs w:val="20"/>
              </w:rPr>
              <w:t xml:space="preserve">Energy </w:t>
            </w:r>
            <w:r w:rsidRPr="004F4D18">
              <w:rPr>
                <w:sz w:val="20"/>
                <w:szCs w:val="20"/>
              </w:rPr>
              <w:t xml:space="preserve">Council’s </w:t>
            </w:r>
            <w:r w:rsidRPr="001163C1">
              <w:rPr>
                <w:i/>
                <w:sz w:val="20"/>
                <w:szCs w:val="20"/>
              </w:rPr>
              <w:t>Vision</w:t>
            </w:r>
            <w:r w:rsidRPr="004F4D18">
              <w:rPr>
                <w:sz w:val="20"/>
                <w:szCs w:val="20"/>
              </w:rPr>
              <w:t xml:space="preserve"> is for</w:t>
            </w:r>
            <w:r>
              <w:rPr>
                <w:sz w:val="20"/>
                <w:szCs w:val="20"/>
              </w:rPr>
              <w:t>:</w:t>
            </w:r>
          </w:p>
          <w:p w14:paraId="1313EF58" w14:textId="77777777" w:rsidR="00F96D86" w:rsidRDefault="00F96D86" w:rsidP="00F96D86">
            <w:pPr>
              <w:pStyle w:val="BodyText"/>
              <w:spacing w:before="40" w:after="80"/>
              <w:ind w:left="567" w:right="567"/>
              <w:rPr>
                <w:i/>
                <w:iCs/>
                <w:sz w:val="19"/>
                <w:szCs w:val="19"/>
              </w:rPr>
            </w:pPr>
            <w:r w:rsidRPr="004F4D18">
              <w:rPr>
                <w:i/>
                <w:iCs/>
                <w:sz w:val="19"/>
                <w:szCs w:val="19"/>
              </w:rPr>
              <w:t>..the establishment of a liquid wholesale gas market that provides market signals for investment and supply, where responses to those signals are facilitated by a supportive investment and regulatory environment, where trade is focused at a point that best serves the needs of participants, where an efficient reference price is established, and producers, consumers and trading markets are connected to infrastructure that enables participants the opportunity to readily trade between locations and arbitrage trading opportunities.</w:t>
            </w:r>
          </w:p>
          <w:p w14:paraId="7ED1D084" w14:textId="77777777" w:rsidR="00F96D86" w:rsidRPr="000A7592" w:rsidRDefault="00F96D86" w:rsidP="00F96D86">
            <w:pPr>
              <w:pStyle w:val="BodyText"/>
              <w:tabs>
                <w:tab w:val="clear" w:pos="2268"/>
                <w:tab w:val="clear" w:pos="4536"/>
                <w:tab w:val="clear" w:pos="6804"/>
                <w:tab w:val="clear" w:pos="9638"/>
                <w:tab w:val="left" w:pos="2018"/>
                <w:tab w:val="left" w:pos="4037"/>
                <w:tab w:val="left" w:pos="6055"/>
                <w:tab w:val="right" w:pos="8577"/>
              </w:tabs>
              <w:spacing w:before="40" w:after="80"/>
              <w:rPr>
                <w:sz w:val="20"/>
                <w:szCs w:val="20"/>
              </w:rPr>
            </w:pPr>
            <w:r w:rsidRPr="000A7592">
              <w:rPr>
                <w:sz w:val="20"/>
                <w:szCs w:val="20"/>
              </w:rPr>
              <w:t xml:space="preserve">At the time it released the </w:t>
            </w:r>
            <w:r w:rsidRPr="001D27D5">
              <w:rPr>
                <w:i/>
                <w:sz w:val="20"/>
                <w:szCs w:val="20"/>
              </w:rPr>
              <w:t>Vision</w:t>
            </w:r>
            <w:r w:rsidRPr="000A7592">
              <w:rPr>
                <w:sz w:val="20"/>
                <w:szCs w:val="20"/>
              </w:rPr>
              <w:t>, the Council also noted that it would pursue the following outcomes in the next phase of gas market reform and development:</w:t>
            </w:r>
          </w:p>
          <w:p w14:paraId="52395814" w14:textId="77777777" w:rsidR="00F96D86" w:rsidRPr="00B91D37" w:rsidRDefault="00F96D86" w:rsidP="00F96D86">
            <w:pPr>
              <w:pStyle w:val="ListBullet"/>
              <w:numPr>
                <w:ilvl w:val="0"/>
                <w:numId w:val="0"/>
              </w:numPr>
              <w:spacing w:before="40" w:after="80"/>
              <w:ind w:left="357" w:hanging="357"/>
              <w:rPr>
                <w:b/>
                <w:sz w:val="19"/>
                <w:szCs w:val="19"/>
              </w:rPr>
            </w:pPr>
            <w:r w:rsidRPr="00B91D37">
              <w:rPr>
                <w:b/>
                <w:sz w:val="19"/>
                <w:szCs w:val="19"/>
              </w:rPr>
              <w:t>Stream 1: Encouraging competitive gas supply:</w:t>
            </w:r>
          </w:p>
          <w:p w14:paraId="7CF4E87B" w14:textId="77777777" w:rsidR="00F96D86" w:rsidRPr="00B91D37" w:rsidRDefault="00F96D86" w:rsidP="00F96D86">
            <w:pPr>
              <w:pStyle w:val="ListNumber2"/>
              <w:numPr>
                <w:ilvl w:val="1"/>
                <w:numId w:val="21"/>
              </w:numPr>
              <w:spacing w:before="40" w:after="80"/>
              <w:rPr>
                <w:sz w:val="19"/>
                <w:szCs w:val="19"/>
              </w:rPr>
            </w:pPr>
            <w:r w:rsidRPr="00B91D37">
              <w:rPr>
                <w:sz w:val="19"/>
                <w:szCs w:val="19"/>
              </w:rPr>
              <w:t xml:space="preserve">Improvements to the regulatory and investment environment so that gas supply is able to respond flexibly to changes in market conditions. </w:t>
            </w:r>
          </w:p>
          <w:p w14:paraId="5A87A221" w14:textId="77777777" w:rsidR="00F96D86" w:rsidRPr="00B91D37" w:rsidRDefault="00F96D86" w:rsidP="00F96D86">
            <w:pPr>
              <w:pStyle w:val="ListNumber2"/>
              <w:numPr>
                <w:ilvl w:val="1"/>
                <w:numId w:val="21"/>
              </w:numPr>
              <w:spacing w:before="40" w:after="80"/>
              <w:rPr>
                <w:sz w:val="19"/>
                <w:szCs w:val="19"/>
              </w:rPr>
            </w:pPr>
            <w:r w:rsidRPr="00B91D37">
              <w:rPr>
                <w:sz w:val="19"/>
                <w:szCs w:val="19"/>
              </w:rPr>
              <w:t>A "social licence" for onshore natural gas development achieved through inclusion, consultation, improving the availability and accessibility of factual information to resources projects, and rigorous science to ensure communities concerns are addressed.</w:t>
            </w:r>
          </w:p>
          <w:p w14:paraId="2063B81D" w14:textId="77777777" w:rsidR="00F96D86" w:rsidRPr="00B91D37" w:rsidRDefault="00F96D86" w:rsidP="00F96D86">
            <w:pPr>
              <w:pStyle w:val="ListBullet"/>
              <w:numPr>
                <w:ilvl w:val="0"/>
                <w:numId w:val="0"/>
              </w:numPr>
              <w:spacing w:before="40" w:after="80"/>
              <w:ind w:left="357" w:hanging="357"/>
              <w:rPr>
                <w:b/>
                <w:sz w:val="19"/>
                <w:szCs w:val="19"/>
              </w:rPr>
            </w:pPr>
            <w:r w:rsidRPr="00B91D37">
              <w:rPr>
                <w:b/>
                <w:sz w:val="19"/>
                <w:szCs w:val="19"/>
              </w:rPr>
              <w:t>Stream 2: Enhancing transparency and price discovery:</w:t>
            </w:r>
          </w:p>
          <w:p w14:paraId="2C9AE822" w14:textId="77777777" w:rsidR="00F96D86" w:rsidRPr="00B91D37" w:rsidRDefault="00F96D86" w:rsidP="00F96D86">
            <w:pPr>
              <w:pStyle w:val="ListNumber2"/>
              <w:numPr>
                <w:ilvl w:val="1"/>
                <w:numId w:val="19"/>
              </w:numPr>
              <w:spacing w:before="40" w:after="80"/>
              <w:rPr>
                <w:sz w:val="19"/>
                <w:szCs w:val="19"/>
              </w:rPr>
            </w:pPr>
            <w:r w:rsidRPr="00B91D37">
              <w:rPr>
                <w:sz w:val="19"/>
                <w:szCs w:val="19"/>
              </w:rPr>
              <w:t>Provision of accurate and transparent market making information on pipeline and large storage facilities operations and capacity, upstream resources, and the actions of producers, export facilities, large consumers and traders.</w:t>
            </w:r>
          </w:p>
          <w:p w14:paraId="4DC831A6" w14:textId="77777777" w:rsidR="00F96D86" w:rsidRPr="00B91D37" w:rsidRDefault="00F96D86" w:rsidP="00F96D86">
            <w:pPr>
              <w:pStyle w:val="ListNumber2"/>
              <w:numPr>
                <w:ilvl w:val="1"/>
                <w:numId w:val="19"/>
              </w:numPr>
              <w:spacing w:before="40" w:after="80"/>
              <w:rPr>
                <w:sz w:val="19"/>
                <w:szCs w:val="19"/>
              </w:rPr>
            </w:pPr>
            <w:r w:rsidRPr="00B91D37">
              <w:rPr>
                <w:sz w:val="19"/>
                <w:szCs w:val="19"/>
              </w:rPr>
              <w:t xml:space="preserve">Increased flexibility and opportunity for trade in pipeline capacity. </w:t>
            </w:r>
          </w:p>
          <w:p w14:paraId="14258A38" w14:textId="77777777" w:rsidR="00F96D86" w:rsidRPr="00B91D37" w:rsidRDefault="00F96D86" w:rsidP="00F96D86">
            <w:pPr>
              <w:pStyle w:val="ListNumber2"/>
              <w:numPr>
                <w:ilvl w:val="1"/>
                <w:numId w:val="19"/>
              </w:numPr>
              <w:spacing w:before="40" w:after="80"/>
              <w:rPr>
                <w:sz w:val="19"/>
                <w:szCs w:val="19"/>
              </w:rPr>
            </w:pPr>
            <w:r w:rsidRPr="00B91D37">
              <w:rPr>
                <w:sz w:val="19"/>
                <w:szCs w:val="19"/>
              </w:rPr>
              <w:t xml:space="preserve">A competitive retail market that will provide customers with greater choice and large users with enhanced options for self-supply and shipment. </w:t>
            </w:r>
          </w:p>
          <w:p w14:paraId="7F3442CF" w14:textId="77777777" w:rsidR="00F96D86" w:rsidRPr="00B91D37" w:rsidRDefault="00F96D86" w:rsidP="00F96D86">
            <w:pPr>
              <w:pStyle w:val="ListBullet"/>
              <w:numPr>
                <w:ilvl w:val="0"/>
                <w:numId w:val="0"/>
              </w:numPr>
              <w:spacing w:before="40" w:after="80"/>
              <w:ind w:left="357" w:hanging="357"/>
              <w:rPr>
                <w:b/>
                <w:sz w:val="19"/>
                <w:szCs w:val="19"/>
              </w:rPr>
            </w:pPr>
            <w:r w:rsidRPr="00B91D37">
              <w:rPr>
                <w:b/>
                <w:sz w:val="19"/>
                <w:szCs w:val="19"/>
              </w:rPr>
              <w:t>Stream 3: Improving risk management:</w:t>
            </w:r>
          </w:p>
          <w:p w14:paraId="12F3EF72" w14:textId="77777777" w:rsidR="00F96D86" w:rsidRPr="00B91D37" w:rsidRDefault="00F96D86" w:rsidP="00F96D86">
            <w:pPr>
              <w:pStyle w:val="ListNumber2"/>
              <w:numPr>
                <w:ilvl w:val="1"/>
                <w:numId w:val="20"/>
              </w:numPr>
              <w:spacing w:before="40" w:after="80"/>
              <w:rPr>
                <w:sz w:val="19"/>
                <w:szCs w:val="19"/>
              </w:rPr>
            </w:pPr>
            <w:r w:rsidRPr="00B91D37">
              <w:rPr>
                <w:sz w:val="19"/>
                <w:szCs w:val="19"/>
              </w:rPr>
              <w:t xml:space="preserve">Liquid and competitive wholesale spot and forward markets for gas that provide tools for participants to price and hedge risk. </w:t>
            </w:r>
          </w:p>
          <w:p w14:paraId="33359FCA" w14:textId="77777777" w:rsidR="00F96D86" w:rsidRPr="00B91D37" w:rsidRDefault="00F96D86" w:rsidP="00F96D86">
            <w:pPr>
              <w:pStyle w:val="ListNumber2"/>
              <w:numPr>
                <w:ilvl w:val="1"/>
                <w:numId w:val="20"/>
              </w:numPr>
              <w:spacing w:before="40" w:after="80"/>
              <w:rPr>
                <w:sz w:val="19"/>
                <w:szCs w:val="19"/>
              </w:rPr>
            </w:pPr>
            <w:r w:rsidRPr="00B91D37">
              <w:rPr>
                <w:sz w:val="19"/>
                <w:szCs w:val="19"/>
              </w:rPr>
              <w:t xml:space="preserve">Access to regional demand markets through more harmonised pipeline capacity contracting arrangements which are flexible, comparable, transparent on price, and non-discriminatory in terms of shippers’ rights, to accommodate evolving market structures. </w:t>
            </w:r>
          </w:p>
          <w:p w14:paraId="2B3FC4C7" w14:textId="77777777" w:rsidR="00F96D86" w:rsidRPr="00B91D37" w:rsidRDefault="00F96D86" w:rsidP="00F96D86">
            <w:pPr>
              <w:pStyle w:val="ListNumber2"/>
              <w:numPr>
                <w:ilvl w:val="1"/>
                <w:numId w:val="20"/>
              </w:numPr>
              <w:spacing w:before="40" w:after="80"/>
              <w:rPr>
                <w:sz w:val="19"/>
                <w:szCs w:val="19"/>
              </w:rPr>
            </w:pPr>
            <w:r w:rsidRPr="00B91D37">
              <w:rPr>
                <w:sz w:val="19"/>
                <w:szCs w:val="19"/>
              </w:rPr>
              <w:t xml:space="preserve">Harmonised market interfaces that enable participants to readily trade between locations and find opportunities for arbitrage and trade. </w:t>
            </w:r>
          </w:p>
          <w:p w14:paraId="486CC934" w14:textId="77777777" w:rsidR="00F96D86" w:rsidRPr="00B91D37" w:rsidRDefault="00F96D86" w:rsidP="00F96D86">
            <w:pPr>
              <w:pStyle w:val="ListNumber2"/>
              <w:numPr>
                <w:ilvl w:val="1"/>
                <w:numId w:val="20"/>
              </w:numPr>
              <w:spacing w:before="40" w:after="80"/>
              <w:rPr>
                <w:sz w:val="19"/>
                <w:szCs w:val="19"/>
              </w:rPr>
            </w:pPr>
            <w:r w:rsidRPr="00B91D37">
              <w:rPr>
                <w:sz w:val="19"/>
                <w:szCs w:val="19"/>
              </w:rPr>
              <w:t xml:space="preserve">Identified development pathways to improve interconnectivity between supply and demand centres, and existing facilitated gas markets, which enable the enhanced trading of gas.  </w:t>
            </w:r>
          </w:p>
          <w:p w14:paraId="106FB19A" w14:textId="77777777" w:rsidR="00F96D86" w:rsidRPr="00B91D37" w:rsidRDefault="00F96D86" w:rsidP="00F96D86">
            <w:pPr>
              <w:pStyle w:val="ListBullet"/>
              <w:numPr>
                <w:ilvl w:val="0"/>
                <w:numId w:val="0"/>
              </w:numPr>
              <w:spacing w:before="40" w:after="80"/>
              <w:ind w:left="357" w:hanging="357"/>
              <w:rPr>
                <w:b/>
                <w:sz w:val="19"/>
                <w:szCs w:val="19"/>
              </w:rPr>
            </w:pPr>
            <w:r w:rsidRPr="00B91D37">
              <w:rPr>
                <w:b/>
                <w:sz w:val="19"/>
                <w:szCs w:val="19"/>
              </w:rPr>
              <w:t>Stream 4: Removing unnecessary regulatory barriers:</w:t>
            </w:r>
          </w:p>
          <w:p w14:paraId="27FD0F07" w14:textId="77777777" w:rsidR="00F96D86" w:rsidRPr="00B91D37" w:rsidRDefault="00F96D86" w:rsidP="00F96D86">
            <w:pPr>
              <w:pStyle w:val="ListNumber2"/>
              <w:numPr>
                <w:ilvl w:val="1"/>
                <w:numId w:val="22"/>
              </w:numPr>
              <w:spacing w:before="40" w:after="80"/>
              <w:rPr>
                <w:iCs/>
                <w:sz w:val="19"/>
                <w:szCs w:val="19"/>
              </w:rPr>
            </w:pPr>
            <w:r w:rsidRPr="00B91D37">
              <w:rPr>
                <w:sz w:val="19"/>
                <w:szCs w:val="19"/>
              </w:rPr>
              <w:t>Regulation of gas supply and infrastructure is appropriate and enables participants to pursue investment opportunities, in response to market signals, in an efficient and timely manner.</w:t>
            </w:r>
          </w:p>
          <w:p w14:paraId="00B7D7CA" w14:textId="32364E38" w:rsidR="00F96D86" w:rsidRPr="004D591C" w:rsidRDefault="00F96D86" w:rsidP="00F96D86">
            <w:pPr>
              <w:pStyle w:val="BodyText"/>
              <w:keepNext/>
              <w:spacing w:before="0" w:after="0" w:line="252" w:lineRule="auto"/>
              <w:rPr>
                <w:b/>
              </w:rPr>
            </w:pPr>
            <w:r>
              <w:rPr>
                <w:sz w:val="20"/>
                <w:szCs w:val="20"/>
              </w:rPr>
              <w:t>The outcomes that are most relevant to the capacity trading related reforms are Streams 2(a), 2(b), 3(b), 3(c) and 3(d).</w:t>
            </w:r>
          </w:p>
        </w:tc>
      </w:tr>
    </w:tbl>
    <w:p w14:paraId="60E24553" w14:textId="77777777" w:rsidR="00CA0D69" w:rsidRDefault="00FC3ABC" w:rsidP="00863162">
      <w:pPr>
        <w:pStyle w:val="Heading2"/>
        <w:spacing w:after="120"/>
      </w:pPr>
      <w:bookmarkStart w:id="26" w:name="_Toc499542636"/>
      <w:r>
        <w:lastRenderedPageBreak/>
        <w:t xml:space="preserve">Progression of the capacity trading </w:t>
      </w:r>
      <w:r w:rsidR="007B5A6E">
        <w:t>reform</w:t>
      </w:r>
      <w:r w:rsidR="00D73D6E">
        <w:t xml:space="preserve"> package</w:t>
      </w:r>
      <w:bookmarkEnd w:id="26"/>
      <w:r w:rsidR="007B5A6E">
        <w:t xml:space="preserve"> </w:t>
      </w:r>
    </w:p>
    <w:p w14:paraId="638A730B" w14:textId="77777777" w:rsidR="006F3444" w:rsidRDefault="00E353EB" w:rsidP="00863162">
      <w:pPr>
        <w:pStyle w:val="BodyText"/>
        <w:keepNext/>
        <w:spacing w:before="40" w:after="60" w:line="259" w:lineRule="auto"/>
      </w:pPr>
      <w:r>
        <w:t xml:space="preserve">To progress </w:t>
      </w:r>
      <w:r w:rsidR="007B5A6E">
        <w:t xml:space="preserve">the capacity trading </w:t>
      </w:r>
      <w:r>
        <w:t>reforms</w:t>
      </w:r>
      <w:r w:rsidR="00476D8D">
        <w:t xml:space="preserve"> outlined above</w:t>
      </w:r>
      <w:r>
        <w:t>, the GMRG established</w:t>
      </w:r>
      <w:r w:rsidR="006F3444">
        <w:t>:</w:t>
      </w:r>
      <w:r>
        <w:t xml:space="preserve"> </w:t>
      </w:r>
    </w:p>
    <w:p w14:paraId="516C4A6E" w14:textId="77777777" w:rsidR="00190CD1" w:rsidRDefault="008F47EB" w:rsidP="00863162">
      <w:pPr>
        <w:pStyle w:val="ListBullet"/>
        <w:keepNext/>
        <w:spacing w:line="259" w:lineRule="auto"/>
      </w:pPr>
      <w:r>
        <w:t>a</w:t>
      </w:r>
      <w:r w:rsidR="006F3444">
        <w:t xml:space="preserve"> number of </w:t>
      </w:r>
      <w:r w:rsidR="00E353EB">
        <w:t>project teams</w:t>
      </w:r>
      <w:r w:rsidR="006F3444">
        <w:t xml:space="preserve"> to carry out the detailed design and development work</w:t>
      </w:r>
      <w:r>
        <w:t xml:space="preserve">, </w:t>
      </w:r>
      <w:r w:rsidR="00345EA0">
        <w:t>which</w:t>
      </w:r>
      <w:r>
        <w:t xml:space="preserve"> </w:t>
      </w:r>
      <w:r w:rsidR="00345EA0">
        <w:t xml:space="preserve">consisted </w:t>
      </w:r>
      <w:r w:rsidR="006F3444">
        <w:t>of a mix of members drawn from industry, consumer groups</w:t>
      </w:r>
      <w:r>
        <w:t>,</w:t>
      </w:r>
      <w:r w:rsidR="006F3444">
        <w:t xml:space="preserve"> market bodies</w:t>
      </w:r>
      <w:r>
        <w:t xml:space="preserve"> and other industries</w:t>
      </w:r>
      <w:r w:rsidR="00FB0886">
        <w:t xml:space="preserve"> (see Appendix </w:t>
      </w:r>
      <w:r w:rsidR="00140CEC">
        <w:t>C</w:t>
      </w:r>
      <w:r w:rsidR="00FB0886">
        <w:t xml:space="preserve"> for a list of members)</w:t>
      </w:r>
      <w:r>
        <w:t>; and</w:t>
      </w:r>
    </w:p>
    <w:p w14:paraId="42704B35" w14:textId="77777777" w:rsidR="00190CD1" w:rsidRDefault="008F47EB" w:rsidP="00863162">
      <w:pPr>
        <w:pStyle w:val="ListBullet"/>
        <w:spacing w:line="259" w:lineRule="auto"/>
      </w:pPr>
      <w:proofErr w:type="gramStart"/>
      <w:r>
        <w:t>a</w:t>
      </w:r>
      <w:r w:rsidR="00190CD1">
        <w:t>n</w:t>
      </w:r>
      <w:proofErr w:type="gramEnd"/>
      <w:r w:rsidR="00190CD1">
        <w:t xml:space="preserve"> Advisory Panel to provide </w:t>
      </w:r>
      <w:r w:rsidR="00190CD1" w:rsidRPr="00EE6274">
        <w:t xml:space="preserve">strategic perspective and advice to the GMRG on </w:t>
      </w:r>
      <w:r w:rsidR="00190CD1">
        <w:t>key issues</w:t>
      </w:r>
      <w:r>
        <w:t xml:space="preserve">, which </w:t>
      </w:r>
      <w:r w:rsidR="00345EA0">
        <w:t xml:space="preserve">comprises </w:t>
      </w:r>
      <w:r w:rsidR="00190CD1" w:rsidRPr="00EE6274">
        <w:t xml:space="preserve">senior representatives from </w:t>
      </w:r>
      <w:r w:rsidR="00190CD1">
        <w:t xml:space="preserve">all segments of the gas supply chain </w:t>
      </w:r>
      <w:r w:rsidR="009849E3">
        <w:t>as well as</w:t>
      </w:r>
      <w:r w:rsidR="00190CD1">
        <w:t xml:space="preserve"> Energy Consumers Australia</w:t>
      </w:r>
      <w:r w:rsidR="00FB0886">
        <w:t xml:space="preserve"> (see Appendix </w:t>
      </w:r>
      <w:r w:rsidR="00140CEC">
        <w:t>C</w:t>
      </w:r>
      <w:r w:rsidR="00FB0886">
        <w:t xml:space="preserve"> for a list of members)</w:t>
      </w:r>
      <w:r w:rsidR="00190CD1">
        <w:t>.</w:t>
      </w:r>
    </w:p>
    <w:p w14:paraId="690203A6" w14:textId="77777777" w:rsidR="006F3779" w:rsidRDefault="001460B2" w:rsidP="00863162">
      <w:pPr>
        <w:pStyle w:val="BodyText"/>
        <w:spacing w:line="259" w:lineRule="auto"/>
      </w:pPr>
      <w:r>
        <w:t>Importantly, neither the project teams nor the Advisory Panel</w:t>
      </w:r>
      <w:r w:rsidR="00345EA0">
        <w:t xml:space="preserve"> had</w:t>
      </w:r>
      <w:r w:rsidR="001323B8">
        <w:t xml:space="preserve"> any decision-making power</w:t>
      </w:r>
      <w:r>
        <w:t xml:space="preserve">. Their role </w:t>
      </w:r>
      <w:r w:rsidR="00345EA0">
        <w:t xml:space="preserve">was </w:t>
      </w:r>
      <w:r>
        <w:t xml:space="preserve">to inform the GMRG’s consideration of the design options, which </w:t>
      </w:r>
      <w:r w:rsidR="00345EA0">
        <w:t xml:space="preserve">were then </w:t>
      </w:r>
      <w:r>
        <w:t xml:space="preserve">consulted upon with other stakeholders. </w:t>
      </w:r>
      <w:r w:rsidR="00BF243C">
        <w:t>The GMRG ha</w:t>
      </w:r>
      <w:r w:rsidR="00522628">
        <w:t>s</w:t>
      </w:r>
      <w:r w:rsidR="00BF243C">
        <w:t xml:space="preserve"> nevertheless benefited from, and greatly appreciates, the effort and resources that project team members and the Advisory Panel put into providing their advice to the GMRG. </w:t>
      </w:r>
      <w:r w:rsidR="006F3779">
        <w:t xml:space="preserve">The GMRG also </w:t>
      </w:r>
      <w:r w:rsidR="00C64740">
        <w:t xml:space="preserve">greatly </w:t>
      </w:r>
      <w:r w:rsidR="006F3779">
        <w:t xml:space="preserve">appreciates the </w:t>
      </w:r>
      <w:r w:rsidR="00C64740">
        <w:t xml:space="preserve">support </w:t>
      </w:r>
      <w:r w:rsidR="00216B52">
        <w:t xml:space="preserve">provided by </w:t>
      </w:r>
      <w:r w:rsidR="00705C48">
        <w:t>the Australian Energy Market Operator (</w:t>
      </w:r>
      <w:r w:rsidR="006F3779">
        <w:t>AEMO</w:t>
      </w:r>
      <w:r w:rsidR="00705C48">
        <w:t>)</w:t>
      </w:r>
      <w:r w:rsidR="00C64740">
        <w:t>, the AEMC</w:t>
      </w:r>
      <w:r w:rsidR="00705C48">
        <w:t>,</w:t>
      </w:r>
      <w:r w:rsidR="00C64740">
        <w:t xml:space="preserve"> the </w:t>
      </w:r>
      <w:r w:rsidR="00705C48">
        <w:t>Australian Energy Regulator (</w:t>
      </w:r>
      <w:r w:rsidR="00C64740">
        <w:t>AER</w:t>
      </w:r>
      <w:r w:rsidR="00705C48">
        <w:t>) and the Australian Competition and Consumer Commission (ACCC)</w:t>
      </w:r>
      <w:r w:rsidR="00C64740">
        <w:t xml:space="preserve">. </w:t>
      </w:r>
    </w:p>
    <w:p w14:paraId="0D52D784" w14:textId="77777777" w:rsidR="008F705C" w:rsidRDefault="00E353EB" w:rsidP="00863162">
      <w:pPr>
        <w:pStyle w:val="BodyText"/>
        <w:spacing w:line="259" w:lineRule="auto"/>
      </w:pPr>
      <w:bookmarkStart w:id="27" w:name="_Hlk481811189"/>
      <w:r>
        <w:t xml:space="preserve">Work on </w:t>
      </w:r>
      <w:r w:rsidR="00675F7A">
        <w:t xml:space="preserve">the </w:t>
      </w:r>
      <w:r w:rsidR="006E4AD4">
        <w:t xml:space="preserve">design of the </w:t>
      </w:r>
      <w:r w:rsidR="00675F7A">
        <w:t>capacity trading</w:t>
      </w:r>
      <w:r>
        <w:t xml:space="preserve"> reforms was initially expected to be completed during 2018, allowing the recommendations to be considered by </w:t>
      </w:r>
      <w:r w:rsidR="00C76541">
        <w:t xml:space="preserve">the Energy </w:t>
      </w:r>
      <w:r>
        <w:t xml:space="preserve">Council </w:t>
      </w:r>
      <w:r w:rsidR="001460B2">
        <w:t xml:space="preserve">at </w:t>
      </w:r>
      <w:r>
        <w:t xml:space="preserve">the end of 2018 </w:t>
      </w:r>
      <w:r w:rsidR="00345EA0">
        <w:t xml:space="preserve">so </w:t>
      </w:r>
      <w:r>
        <w:t xml:space="preserve">the reforms </w:t>
      </w:r>
      <w:r w:rsidR="00345EA0">
        <w:t xml:space="preserve">could </w:t>
      </w:r>
      <w:r>
        <w:t xml:space="preserve">be implemented by 2021. </w:t>
      </w:r>
      <w:r w:rsidR="003E05CF">
        <w:t>However, i</w:t>
      </w:r>
      <w:r>
        <w:t xml:space="preserve">n response to </w:t>
      </w:r>
      <w:r w:rsidR="009C0C21">
        <w:t>a</w:t>
      </w:r>
      <w:r>
        <w:t xml:space="preserve"> request from </w:t>
      </w:r>
      <w:r w:rsidR="009E46D8">
        <w:t>the Ho</w:t>
      </w:r>
      <w:r w:rsidR="003E05CF">
        <w:t>n</w:t>
      </w:r>
      <w:r w:rsidR="009E46D8">
        <w:t xml:space="preserve">. Josh </w:t>
      </w:r>
      <w:proofErr w:type="spellStart"/>
      <w:r>
        <w:t>Frydenberg</w:t>
      </w:r>
      <w:proofErr w:type="spellEnd"/>
      <w:r w:rsidR="009E46D8">
        <w:t xml:space="preserve"> MP, Minister for the Environment and Energy</w:t>
      </w:r>
      <w:r>
        <w:t xml:space="preserve">, the GMRG examined opportunities to accelerate this work and </w:t>
      </w:r>
      <w:r w:rsidR="00AD45B2">
        <w:t>committed</w:t>
      </w:r>
      <w:r w:rsidR="001B7CE2">
        <w:t xml:space="preserve"> </w:t>
      </w:r>
      <w:r>
        <w:t xml:space="preserve">to </w:t>
      </w:r>
      <w:r w:rsidR="00216B52">
        <w:t xml:space="preserve">providing </w:t>
      </w:r>
      <w:r w:rsidR="003E05CF">
        <w:t xml:space="preserve">its </w:t>
      </w:r>
      <w:bookmarkEnd w:id="27"/>
      <w:r w:rsidR="001A3383">
        <w:t>final recommendations on</w:t>
      </w:r>
      <w:r w:rsidR="00B94A36">
        <w:t xml:space="preserve"> the capacity trading reforms by the end of 2017. </w:t>
      </w:r>
      <w:r w:rsidR="00AF5D5E">
        <w:t>Specifically, the GMRG agreed to</w:t>
      </w:r>
      <w:r w:rsidR="00B94A36">
        <w:t xml:space="preserve"> provide its </w:t>
      </w:r>
      <w:r w:rsidR="008F705C">
        <w:t>final recommendations to the Energy Council on:</w:t>
      </w:r>
    </w:p>
    <w:p w14:paraId="3E229F1F" w14:textId="77777777" w:rsidR="008F705C" w:rsidRDefault="008F705C" w:rsidP="00CF4594">
      <w:pPr>
        <w:pStyle w:val="ListNumber"/>
        <w:numPr>
          <w:ilvl w:val="0"/>
          <w:numId w:val="50"/>
        </w:numPr>
        <w:spacing w:before="80" w:after="80" w:line="259" w:lineRule="auto"/>
        <w:ind w:left="357" w:hanging="357"/>
      </w:pPr>
      <w:r>
        <w:t xml:space="preserve">Who should operate and administer the capacity trading platform and the day-ahead auction </w:t>
      </w:r>
      <w:r w:rsidR="00B35496">
        <w:t xml:space="preserve">in </w:t>
      </w:r>
      <w:r w:rsidR="00B35496" w:rsidRPr="00B35496">
        <w:rPr>
          <w:b/>
        </w:rPr>
        <w:t>July</w:t>
      </w:r>
      <w:r w:rsidR="00B35496">
        <w:t xml:space="preserve"> </w:t>
      </w:r>
      <w:r w:rsidRPr="00277165">
        <w:rPr>
          <w:b/>
        </w:rPr>
        <w:t>2017</w:t>
      </w:r>
      <w:r>
        <w:t>.</w:t>
      </w:r>
    </w:p>
    <w:p w14:paraId="513F3CA1" w14:textId="77777777" w:rsidR="008F705C" w:rsidRDefault="008F705C" w:rsidP="00CF4594">
      <w:pPr>
        <w:pStyle w:val="ListNumber"/>
        <w:numPr>
          <w:ilvl w:val="0"/>
          <w:numId w:val="50"/>
        </w:numPr>
        <w:spacing w:before="80" w:after="80" w:line="259" w:lineRule="auto"/>
        <w:ind w:left="357" w:hanging="357"/>
      </w:pPr>
      <w:r>
        <w:t>T</w:t>
      </w:r>
      <w:r w:rsidRPr="0013200D">
        <w:t xml:space="preserve">he </w:t>
      </w:r>
      <w:r>
        <w:t xml:space="preserve">following elements of the reform package at the </w:t>
      </w:r>
      <w:r w:rsidRPr="00277165">
        <w:rPr>
          <w:b/>
        </w:rPr>
        <w:t>24</w:t>
      </w:r>
      <w:r>
        <w:t xml:space="preserve"> </w:t>
      </w:r>
      <w:r w:rsidRPr="00277165">
        <w:rPr>
          <w:b/>
        </w:rPr>
        <w:t xml:space="preserve">November </w:t>
      </w:r>
      <w:r>
        <w:rPr>
          <w:b/>
        </w:rPr>
        <w:t xml:space="preserve">2017 </w:t>
      </w:r>
      <w:r w:rsidRPr="00277165">
        <w:rPr>
          <w:b/>
        </w:rPr>
        <w:t>meeting</w:t>
      </w:r>
      <w:r>
        <w:t>:</w:t>
      </w:r>
    </w:p>
    <w:p w14:paraId="0205DA90" w14:textId="77777777" w:rsidR="008F705C" w:rsidRDefault="008F705C" w:rsidP="00CF4594">
      <w:pPr>
        <w:pStyle w:val="ListNumber2"/>
        <w:numPr>
          <w:ilvl w:val="0"/>
          <w:numId w:val="52"/>
        </w:numPr>
        <w:spacing w:before="80" w:after="80" w:line="259" w:lineRule="auto"/>
        <w:ind w:left="726" w:hanging="369"/>
      </w:pPr>
      <w:r>
        <w:t xml:space="preserve">the </w:t>
      </w:r>
      <w:r w:rsidRPr="0013200D">
        <w:t xml:space="preserve">standardisation </w:t>
      </w:r>
      <w:r>
        <w:t xml:space="preserve">related </w:t>
      </w:r>
      <w:r w:rsidRPr="0013200D">
        <w:t>reforms</w:t>
      </w:r>
      <w:r>
        <w:t>;</w:t>
      </w:r>
      <w:r w:rsidRPr="0013200D">
        <w:t xml:space="preserve"> </w:t>
      </w:r>
    </w:p>
    <w:p w14:paraId="359E7345" w14:textId="77777777" w:rsidR="008F705C" w:rsidRDefault="008F705C" w:rsidP="00CF4594">
      <w:pPr>
        <w:pStyle w:val="ListNumber2"/>
        <w:numPr>
          <w:ilvl w:val="0"/>
          <w:numId w:val="52"/>
        </w:numPr>
        <w:spacing w:before="80" w:after="80" w:line="259" w:lineRule="auto"/>
        <w:ind w:left="726" w:hanging="369"/>
      </w:pPr>
      <w:r>
        <w:t xml:space="preserve">the </w:t>
      </w:r>
      <w:r w:rsidRPr="0013200D">
        <w:t>capacity trading platform</w:t>
      </w:r>
      <w:r>
        <w:t>;</w:t>
      </w:r>
      <w:r w:rsidRPr="0013200D">
        <w:t xml:space="preserve"> </w:t>
      </w:r>
      <w:r w:rsidR="00296A3C">
        <w:t>and</w:t>
      </w:r>
    </w:p>
    <w:p w14:paraId="1AB8F750" w14:textId="77777777" w:rsidR="008F705C" w:rsidRDefault="008F705C" w:rsidP="00CF4594">
      <w:pPr>
        <w:pStyle w:val="ListNumber2"/>
        <w:numPr>
          <w:ilvl w:val="0"/>
          <w:numId w:val="52"/>
        </w:numPr>
        <w:spacing w:before="80" w:after="80" w:line="259" w:lineRule="auto"/>
        <w:ind w:left="726" w:hanging="369"/>
      </w:pPr>
      <w:proofErr w:type="gramStart"/>
      <w:r>
        <w:t>the</w:t>
      </w:r>
      <w:proofErr w:type="gramEnd"/>
      <w:r>
        <w:t xml:space="preserve"> </w:t>
      </w:r>
      <w:r w:rsidRPr="0013200D">
        <w:t>reporting framework</w:t>
      </w:r>
      <w:r>
        <w:t xml:space="preserve"> for secondary capacity trades</w:t>
      </w:r>
      <w:r w:rsidR="00296A3C">
        <w:t>.</w:t>
      </w:r>
    </w:p>
    <w:p w14:paraId="4D927E7A" w14:textId="2757ECCD" w:rsidR="00216B52" w:rsidRDefault="008F705C" w:rsidP="00983431">
      <w:pPr>
        <w:pStyle w:val="ListNumber"/>
        <w:numPr>
          <w:ilvl w:val="0"/>
          <w:numId w:val="50"/>
        </w:numPr>
        <w:spacing w:before="80" w:after="80" w:line="259" w:lineRule="auto"/>
        <w:ind w:left="357" w:hanging="357"/>
      </w:pPr>
      <w:r>
        <w:t>T</w:t>
      </w:r>
      <w:r w:rsidRPr="0013200D">
        <w:t xml:space="preserve">he </w:t>
      </w:r>
      <w:r w:rsidR="00983431" w:rsidRPr="0013200D">
        <w:t>day-ahead auction</w:t>
      </w:r>
      <w:r w:rsidR="00983431">
        <w:t xml:space="preserve"> of contracted but un-nominated capacity in </w:t>
      </w:r>
      <w:r w:rsidRPr="00983431">
        <w:rPr>
          <w:b/>
        </w:rPr>
        <w:t>December 2017</w:t>
      </w:r>
      <w:r>
        <w:t xml:space="preserve"> for an out-of-session decision</w:t>
      </w:r>
      <w:r w:rsidR="00983431">
        <w:t xml:space="preserve">. </w:t>
      </w:r>
      <w:r w:rsidR="00216B52">
        <w:t xml:space="preserve">Due to the complexity and wide-ranging stakeholder views associated with the day-ahead auction, it has been necessary to split this recommendation from those listed in (2) to allow for adequate consultation and consideration of the </w:t>
      </w:r>
      <w:r w:rsidR="00FA7FB0">
        <w:t>design of the auction</w:t>
      </w:r>
      <w:r w:rsidR="00216B52">
        <w:t>.</w:t>
      </w:r>
    </w:p>
    <w:p w14:paraId="080AE5B1" w14:textId="77777777" w:rsidR="00B35496" w:rsidRDefault="00B35496" w:rsidP="00B35496">
      <w:pPr>
        <w:pStyle w:val="BodyText"/>
      </w:pPr>
      <w:r>
        <w:t>The GMRG’s recommendations on item (1) was provided to the Energy Council on 14 July 2017. In short, the GMRG recommended that AEMO operate both the capacity trading platform and day-ahead auction and that the capacity trading platform form part of the Gas Supply Hub (GSH) trading exchange.</w:t>
      </w:r>
      <w:r>
        <w:rPr>
          <w:rStyle w:val="FootnoteReference"/>
        </w:rPr>
        <w:footnoteReference w:id="7"/>
      </w:r>
      <w:r>
        <w:t xml:space="preserve"> This recommendation was endorsed by the Energy Council</w:t>
      </w:r>
      <w:r>
        <w:rPr>
          <w:rStyle w:val="FootnoteReference"/>
        </w:rPr>
        <w:footnoteReference w:id="8"/>
      </w:r>
      <w:r>
        <w:t xml:space="preserve"> and the work subsequently carried out on the design of the capacity trading platform and auction has proceeded on this basis. </w:t>
      </w:r>
    </w:p>
    <w:p w14:paraId="251A62D6" w14:textId="77777777" w:rsidR="00B866C5" w:rsidRDefault="00AF5D5E" w:rsidP="00863162">
      <w:pPr>
        <w:pStyle w:val="BodyText"/>
        <w:spacing w:line="259" w:lineRule="auto"/>
      </w:pPr>
      <w:r>
        <w:lastRenderedPageBreak/>
        <w:t xml:space="preserve">In keeping with the timetable set out above, the remainder of this paper focuses on the matters set out in item (2). A separate paper will be provided to the Energy Council in December </w:t>
      </w:r>
      <w:r w:rsidR="00183633">
        <w:t>that deals with the matters set out in item (3).</w:t>
      </w:r>
    </w:p>
    <w:p w14:paraId="004E73AD" w14:textId="77777777" w:rsidR="00A56CAE" w:rsidRPr="0013200D" w:rsidRDefault="00A56CAE" w:rsidP="00933A5A">
      <w:pPr>
        <w:pStyle w:val="BodyText"/>
      </w:pPr>
      <w:r>
        <w:t xml:space="preserve">It is worth noting in this context that while it has been necessary to split the recommendations on the design of the standardisation reforms, the capacity trading platform and reporting framework from the recommendations on the design of the day-ahead auction, these reforms are inextricably linked. The day-ahead auction, for example, </w:t>
      </w:r>
      <w:r w:rsidR="002A27EC">
        <w:t xml:space="preserve">will provide </w:t>
      </w:r>
      <w:r>
        <w:t xml:space="preserve">firm capacity holders </w:t>
      </w:r>
      <w:r w:rsidR="002A27EC">
        <w:t xml:space="preserve">with a greater incentive </w:t>
      </w:r>
      <w:r>
        <w:t xml:space="preserve">to sell any spare capacity they may </w:t>
      </w:r>
      <w:r w:rsidR="002A27EC">
        <w:t>have prior to the auction, while the capacity trading platform and the standardisation reforms will provide shippers with the means by which any spare capacity can be readily traded before it would otherwise be released in the auction. So while the GMRG is seeking agreement to the matters listed in (</w:t>
      </w:r>
      <w:r w:rsidR="00933A5A">
        <w:t>2</w:t>
      </w:r>
      <w:r w:rsidR="002A27EC">
        <w:t xml:space="preserve">) now and will be doing the same for the </w:t>
      </w:r>
      <w:r w:rsidR="00933A5A">
        <w:t xml:space="preserve">matters listed in (3) </w:t>
      </w:r>
      <w:r w:rsidR="002A27EC">
        <w:t xml:space="preserve">in December, the </w:t>
      </w:r>
      <w:r>
        <w:t>approval o</w:t>
      </w:r>
      <w:r w:rsidR="002A27EC">
        <w:t xml:space="preserve">f the </w:t>
      </w:r>
      <w:r w:rsidR="00FA7FB0">
        <w:t xml:space="preserve">design of the </w:t>
      </w:r>
      <w:r w:rsidR="002A27EC">
        <w:t xml:space="preserve">capacity trading platform, the standardisation reforms and reporting framework </w:t>
      </w:r>
      <w:r>
        <w:t>pre-suppose</w:t>
      </w:r>
      <w:r w:rsidR="00933A5A">
        <w:t>s</w:t>
      </w:r>
      <w:r>
        <w:t xml:space="preserve"> approval of the </w:t>
      </w:r>
      <w:r w:rsidR="00FA7FB0">
        <w:t xml:space="preserve">proposed </w:t>
      </w:r>
      <w:r w:rsidR="00933A5A">
        <w:t xml:space="preserve">design of the day-ahead auction in December. The </w:t>
      </w:r>
      <w:r>
        <w:t xml:space="preserve">only </w:t>
      </w:r>
      <w:r w:rsidR="00933A5A">
        <w:t xml:space="preserve">substantive </w:t>
      </w:r>
      <w:r>
        <w:t xml:space="preserve">issue </w:t>
      </w:r>
      <w:r w:rsidR="00933A5A">
        <w:t xml:space="preserve">that therefore needs to be considered in December is the </w:t>
      </w:r>
      <w:r>
        <w:t>detailed design</w:t>
      </w:r>
      <w:r w:rsidR="00933A5A">
        <w:t xml:space="preserve"> of the auction.</w:t>
      </w:r>
    </w:p>
    <w:p w14:paraId="5CB875B5" w14:textId="77777777" w:rsidR="00B866C5" w:rsidRDefault="00B866C5" w:rsidP="004069EF">
      <w:pPr>
        <w:pStyle w:val="Heading2"/>
        <w:spacing w:before="120" w:after="120"/>
      </w:pPr>
      <w:bookmarkStart w:id="28" w:name="_Toc499542637"/>
      <w:r>
        <w:t>Consultation on the capacity trading reform package</w:t>
      </w:r>
      <w:bookmarkEnd w:id="28"/>
    </w:p>
    <w:p w14:paraId="2B8893FF" w14:textId="77777777" w:rsidR="00AF5D5E" w:rsidRDefault="00AF5D5E" w:rsidP="00DF3C44">
      <w:pPr>
        <w:pStyle w:val="BodyText"/>
        <w:spacing w:before="0" w:line="259" w:lineRule="auto"/>
      </w:pPr>
      <w:r>
        <w:t>W</w:t>
      </w:r>
      <w:r w:rsidRPr="0013200D">
        <w:t xml:space="preserve">ork on </w:t>
      </w:r>
      <w:r w:rsidRPr="00330AB2">
        <w:t xml:space="preserve">the </w:t>
      </w:r>
      <w:r>
        <w:t>capacity trading reform package</w:t>
      </w:r>
      <w:r w:rsidRPr="00330AB2">
        <w:t xml:space="preserve"> </w:t>
      </w:r>
      <w:r>
        <w:t xml:space="preserve">commenced </w:t>
      </w:r>
      <w:r w:rsidRPr="0013200D">
        <w:t xml:space="preserve">in </w:t>
      </w:r>
      <w:r w:rsidRPr="00330AB2">
        <w:t xml:space="preserve">February </w:t>
      </w:r>
      <w:r w:rsidRPr="0013200D">
        <w:t>2017</w:t>
      </w:r>
      <w:r w:rsidRPr="00330AB2">
        <w:t xml:space="preserve"> </w:t>
      </w:r>
      <w:r>
        <w:t xml:space="preserve">and </w:t>
      </w:r>
      <w:r w:rsidRPr="00330AB2">
        <w:t xml:space="preserve">over the last </w:t>
      </w:r>
      <w:r>
        <w:t>nine</w:t>
      </w:r>
      <w:r w:rsidRPr="00330AB2">
        <w:t xml:space="preserve"> months </w:t>
      </w:r>
      <w:r>
        <w:t xml:space="preserve">the GMRG </w:t>
      </w:r>
      <w:r w:rsidRPr="00330AB2">
        <w:t xml:space="preserve">has conducted 35 project team meetings, four Advisory Panel meetings, two public forums and a large number of bilateral meetings with industry participants, consumer groups and market bodies. </w:t>
      </w:r>
      <w:r w:rsidR="00B35496">
        <w:t>In May 2017, the GMRG also published a consultation paper that sought feedback from stakeholders on who should operate and administer the capacity trading platform and day-ahead auction. More recently, t</w:t>
      </w:r>
      <w:r w:rsidRPr="00330AB2">
        <w:t>he GMRG has published consultation papers on</w:t>
      </w:r>
      <w:r>
        <w:t>:</w:t>
      </w:r>
      <w:r w:rsidRPr="00330AB2">
        <w:t xml:space="preserve"> </w:t>
      </w:r>
    </w:p>
    <w:p w14:paraId="31A26D70" w14:textId="77777777" w:rsidR="00AF5D5E" w:rsidRDefault="00AF5D5E" w:rsidP="00863162">
      <w:pPr>
        <w:pStyle w:val="ListBullet"/>
        <w:spacing w:line="259" w:lineRule="auto"/>
      </w:pPr>
      <w:r>
        <w:t>t</w:t>
      </w:r>
      <w:r w:rsidRPr="00140014">
        <w:t>he design of the standardisation reforms</w:t>
      </w:r>
      <w:r>
        <w:t xml:space="preserve"> and capacity trading platform – consultation on these two elements of the reform package ended on 4 October 2017; and</w:t>
      </w:r>
    </w:p>
    <w:p w14:paraId="3F4D2652" w14:textId="77777777" w:rsidR="00AF5D5E" w:rsidRDefault="00AF5D5E" w:rsidP="00863162">
      <w:pPr>
        <w:pStyle w:val="ListBullet"/>
        <w:spacing w:line="259" w:lineRule="auto"/>
      </w:pPr>
      <w:proofErr w:type="gramStart"/>
      <w:r>
        <w:t>the</w:t>
      </w:r>
      <w:proofErr w:type="gramEnd"/>
      <w:r>
        <w:t xml:space="preserve"> design of the day-ahead auction and reporting framework – consultation on these two elements of the reform package end</w:t>
      </w:r>
      <w:r w:rsidR="00216B52">
        <w:t>ed</w:t>
      </w:r>
      <w:r>
        <w:t xml:space="preserve"> on 6 November 2017.</w:t>
      </w:r>
    </w:p>
    <w:p w14:paraId="0DC40051" w14:textId="77777777" w:rsidR="00AF5D5E" w:rsidRDefault="00AF5D5E" w:rsidP="00863162">
      <w:pPr>
        <w:pStyle w:val="BodyText"/>
        <w:spacing w:line="259" w:lineRule="auto"/>
        <w:rPr>
          <w:rFonts w:eastAsiaTheme="minorHAnsi"/>
        </w:rPr>
      </w:pPr>
      <w:r>
        <w:rPr>
          <w:rFonts w:cs="Arial"/>
        </w:rPr>
        <w:t xml:space="preserve">These consultation papers identified a number of design options for the various reforms and </w:t>
      </w:r>
      <w:r>
        <w:t xml:space="preserve">provided </w:t>
      </w:r>
      <w:r w:rsidRPr="00103F73">
        <w:rPr>
          <w:rFonts w:eastAsiaTheme="minorHAnsi"/>
        </w:rPr>
        <w:t xml:space="preserve">an indication of the GMRG’s </w:t>
      </w:r>
      <w:r>
        <w:rPr>
          <w:rFonts w:eastAsiaTheme="minorHAnsi"/>
        </w:rPr>
        <w:t xml:space="preserve">preliminary view on each of the options. </w:t>
      </w:r>
    </w:p>
    <w:p w14:paraId="334CE5D0" w14:textId="77777777" w:rsidR="00AF5D5E" w:rsidRDefault="00AF5D5E" w:rsidP="00863162">
      <w:pPr>
        <w:spacing w:before="240" w:after="120" w:line="259" w:lineRule="auto"/>
      </w:pPr>
      <w:r>
        <w:t xml:space="preserve">Stakeholders were </w:t>
      </w:r>
      <w:r w:rsidR="00DE0813">
        <w:t>given</w:t>
      </w:r>
      <w:r>
        <w:t xml:space="preserve"> four weeks to provide written feedback on the options presented in the</w:t>
      </w:r>
      <w:r w:rsidR="00462598">
        <w:t>se</w:t>
      </w:r>
      <w:r>
        <w:t xml:space="preserve"> </w:t>
      </w:r>
      <w:r w:rsidR="00B35496">
        <w:t xml:space="preserve">two </w:t>
      </w:r>
      <w:r>
        <w:t>consultation papers and were also invited to attend two public forums</w:t>
      </w:r>
      <w:r w:rsidR="00462598">
        <w:t xml:space="preserve"> on these topics</w:t>
      </w:r>
      <w:r w:rsidRPr="008964B9">
        <w:t xml:space="preserve">. </w:t>
      </w:r>
      <w:r>
        <w:t xml:space="preserve"> </w:t>
      </w:r>
      <w:r w:rsidR="00462598">
        <w:t>The stakeholders that participated in the</w:t>
      </w:r>
      <w:r w:rsidR="00F76DBE">
        <w:t>se two</w:t>
      </w:r>
      <w:r w:rsidR="00462598">
        <w:t xml:space="preserve"> consultation process</w:t>
      </w:r>
      <w:r w:rsidR="00635881">
        <w:t>es</w:t>
      </w:r>
      <w:r w:rsidR="00462598">
        <w:t xml:space="preserve"> included </w:t>
      </w:r>
      <w:r>
        <w:t>the ACCC, AEMO</w:t>
      </w:r>
      <w:r w:rsidR="00462598">
        <w:t>, the AEMC, the AER</w:t>
      </w:r>
      <w:r>
        <w:t xml:space="preserve"> and a number of organisations with </w:t>
      </w:r>
      <w:r w:rsidRPr="00140014">
        <w:t>interests across the gas supply chain</w:t>
      </w:r>
      <w:r>
        <w:t>, including</w:t>
      </w:r>
      <w:r w:rsidR="00462598">
        <w:t>, amongst others</w:t>
      </w:r>
      <w:r>
        <w:t>:</w:t>
      </w:r>
    </w:p>
    <w:p w14:paraId="281933DB" w14:textId="77777777" w:rsidR="00AF5D5E" w:rsidRDefault="00AF5D5E" w:rsidP="00863162">
      <w:pPr>
        <w:pStyle w:val="ListBullet"/>
        <w:spacing w:before="60" w:after="60" w:line="259" w:lineRule="auto"/>
      </w:pPr>
      <w:r>
        <w:t xml:space="preserve">gas producers, such as APLNG, </w:t>
      </w:r>
      <w:r w:rsidR="00462598">
        <w:t xml:space="preserve">Esso, </w:t>
      </w:r>
      <w:r>
        <w:t>Shell</w:t>
      </w:r>
      <w:r w:rsidR="00462598">
        <w:t>, Santos,</w:t>
      </w:r>
      <w:r>
        <w:t xml:space="preserve"> </w:t>
      </w:r>
      <w:r w:rsidR="00462598">
        <w:t xml:space="preserve">Central Petroleum and </w:t>
      </w:r>
      <w:proofErr w:type="spellStart"/>
      <w:r>
        <w:t>Senex</w:t>
      </w:r>
      <w:proofErr w:type="spellEnd"/>
      <w:r w:rsidR="00462598">
        <w:t>, and the Australian Petroleum Production and Exploration Association (APPEA)</w:t>
      </w:r>
      <w:r>
        <w:t>;</w:t>
      </w:r>
    </w:p>
    <w:p w14:paraId="69E7237C" w14:textId="77777777" w:rsidR="00AF5D5E" w:rsidRDefault="00AF5D5E" w:rsidP="004069EF">
      <w:pPr>
        <w:pStyle w:val="ListBullet"/>
        <w:spacing w:before="60" w:after="60" w:line="252" w:lineRule="auto"/>
      </w:pPr>
      <w:r>
        <w:t xml:space="preserve">gas retailers and gas fired generators, such as AGL, </w:t>
      </w:r>
      <w:proofErr w:type="spellStart"/>
      <w:r>
        <w:t>Alinta</w:t>
      </w:r>
      <w:proofErr w:type="spellEnd"/>
      <w:r>
        <w:t xml:space="preserve">, </w:t>
      </w:r>
      <w:proofErr w:type="spellStart"/>
      <w:r>
        <w:t>EnergyAustralia</w:t>
      </w:r>
      <w:proofErr w:type="spellEnd"/>
      <w:r>
        <w:t xml:space="preserve">, </w:t>
      </w:r>
      <w:proofErr w:type="spellStart"/>
      <w:r w:rsidR="00462598">
        <w:t>Engie</w:t>
      </w:r>
      <w:proofErr w:type="spellEnd"/>
      <w:r w:rsidR="00462598">
        <w:t xml:space="preserve">, ERM Power, Hydro Tasmania, </w:t>
      </w:r>
      <w:r w:rsidR="00F76DBE">
        <w:t xml:space="preserve">Aurora Energy, </w:t>
      </w:r>
      <w:r>
        <w:t>Origin</w:t>
      </w:r>
      <w:r w:rsidR="00595006">
        <w:t>,</w:t>
      </w:r>
      <w:r w:rsidR="00462598">
        <w:t xml:space="preserve"> Power and Water Corp, and the Australian Energy Council (AEC)</w:t>
      </w:r>
      <w:r>
        <w:t>;</w:t>
      </w:r>
    </w:p>
    <w:p w14:paraId="63493E76" w14:textId="77777777" w:rsidR="00AF5D5E" w:rsidRDefault="00F76DBE" w:rsidP="004069EF">
      <w:pPr>
        <w:pStyle w:val="ListBullet"/>
        <w:spacing w:before="60" w:after="60" w:line="252" w:lineRule="auto"/>
      </w:pPr>
      <w:r>
        <w:t xml:space="preserve">other gas users, such as Ridley Corporation and </w:t>
      </w:r>
      <w:r w:rsidR="00B35496">
        <w:t xml:space="preserve">the </w:t>
      </w:r>
      <w:r w:rsidR="00AF5D5E">
        <w:t xml:space="preserve">Major Energy Users (MEU); </w:t>
      </w:r>
    </w:p>
    <w:p w14:paraId="0BEE1CB9" w14:textId="77777777" w:rsidR="00AF5D5E" w:rsidRDefault="00AF5D5E" w:rsidP="004069EF">
      <w:pPr>
        <w:pStyle w:val="ListBullet"/>
        <w:spacing w:before="60" w:after="60" w:line="252" w:lineRule="auto"/>
      </w:pPr>
      <w:r>
        <w:t>gas pipeline operators, such as APA, Epic, Jemena</w:t>
      </w:r>
      <w:r w:rsidR="00F76DBE">
        <w:t xml:space="preserve">, </w:t>
      </w:r>
      <w:proofErr w:type="spellStart"/>
      <w:r w:rsidR="00F76DBE">
        <w:t>SEAGas</w:t>
      </w:r>
      <w:proofErr w:type="spellEnd"/>
      <w:r>
        <w:t xml:space="preserve"> and </w:t>
      </w:r>
      <w:r w:rsidR="009D4400">
        <w:rPr>
          <w:rFonts w:asciiTheme="majorHAnsi" w:hAnsiTheme="majorHAnsi" w:cstheme="majorHAnsi"/>
          <w:szCs w:val="18"/>
        </w:rPr>
        <w:t>Tasmanian Gas Pipeline</w:t>
      </w:r>
      <w:r w:rsidR="009D4400" w:rsidDel="009D4400">
        <w:t xml:space="preserve"> </w:t>
      </w:r>
      <w:r w:rsidR="009D4400">
        <w:t>(TGP)</w:t>
      </w:r>
      <w:r w:rsidR="00462598">
        <w:t xml:space="preserve"> Pty Ltd</w:t>
      </w:r>
      <w:r>
        <w:t>, and the Australian Pipeline and Gas Association (APGA)</w:t>
      </w:r>
      <w:r w:rsidR="00F76DBE">
        <w:t>; and</w:t>
      </w:r>
    </w:p>
    <w:p w14:paraId="48D08F3E" w14:textId="77777777" w:rsidR="00F76DBE" w:rsidRDefault="00F76DBE" w:rsidP="004069EF">
      <w:pPr>
        <w:pStyle w:val="ListBullet"/>
        <w:spacing w:before="60" w:after="60" w:line="252" w:lineRule="auto"/>
      </w:pPr>
      <w:proofErr w:type="gramStart"/>
      <w:r>
        <w:t>other</w:t>
      </w:r>
      <w:proofErr w:type="gramEnd"/>
      <w:r>
        <w:t xml:space="preserve"> market participants, </w:t>
      </w:r>
      <w:r w:rsidR="00B35496">
        <w:t xml:space="preserve">including </w:t>
      </w:r>
      <w:r>
        <w:t>CQ Partners and the Macquarie Group.</w:t>
      </w:r>
    </w:p>
    <w:p w14:paraId="0414138C" w14:textId="77777777" w:rsidR="00AF5D5E" w:rsidRDefault="00AF5D5E" w:rsidP="004069EF">
      <w:pPr>
        <w:pStyle w:val="BodyText"/>
        <w:spacing w:line="252" w:lineRule="auto"/>
      </w:pPr>
      <w:r w:rsidRPr="004B6E87">
        <w:lastRenderedPageBreak/>
        <w:t xml:space="preserve">Feedback on the design of the </w:t>
      </w:r>
      <w:r>
        <w:t>capacity trading reform package was</w:t>
      </w:r>
      <w:r w:rsidRPr="004B6E87">
        <w:t xml:space="preserve"> also provided by the GMRG’s Advisory Panel and through </w:t>
      </w:r>
      <w:r>
        <w:t xml:space="preserve">extensive </w:t>
      </w:r>
      <w:r w:rsidRPr="004B6E87">
        <w:t>bilateral discussions with stakeholders</w:t>
      </w:r>
      <w:r>
        <w:t>, including some consumer groups</w:t>
      </w:r>
      <w:r w:rsidRPr="004B6E87">
        <w:t>.</w:t>
      </w:r>
    </w:p>
    <w:p w14:paraId="113E830E" w14:textId="77777777" w:rsidR="00813C31" w:rsidRDefault="00F70890" w:rsidP="004069EF">
      <w:pPr>
        <w:spacing w:before="240" w:after="120" w:line="252" w:lineRule="auto"/>
      </w:pPr>
      <w:r>
        <w:t xml:space="preserve">While </w:t>
      </w:r>
      <w:r w:rsidR="00AF5D5E">
        <w:t xml:space="preserve">stakeholders </w:t>
      </w:r>
      <w:r>
        <w:t xml:space="preserve">were generally supportive of </w:t>
      </w:r>
      <w:r w:rsidR="00AF5D5E">
        <w:t xml:space="preserve">the reform package and agreed with </w:t>
      </w:r>
      <w:r w:rsidR="00813C31">
        <w:t xml:space="preserve">most </w:t>
      </w:r>
      <w:r>
        <w:t xml:space="preserve">of the </w:t>
      </w:r>
      <w:r w:rsidR="00AF5D5E">
        <w:t>GMRG’s preliminary views</w:t>
      </w:r>
      <w:r w:rsidR="00813C31">
        <w:t xml:space="preserve"> on the standardisation reforms, the capacity trading platform and reporting framework, a </w:t>
      </w:r>
      <w:r w:rsidR="00F22AF4">
        <w:t xml:space="preserve">small </w:t>
      </w:r>
      <w:r w:rsidR="00813C31">
        <w:t xml:space="preserve">number of issues were raised about </w:t>
      </w:r>
      <w:r w:rsidR="00F22AF4">
        <w:t xml:space="preserve">the design of these </w:t>
      </w:r>
      <w:r w:rsidR="00216B52">
        <w:t>reforms</w:t>
      </w:r>
      <w:r w:rsidR="00F22AF4">
        <w:t xml:space="preserve">. The </w:t>
      </w:r>
      <w:r w:rsidR="00813C31">
        <w:t xml:space="preserve">GMRG has </w:t>
      </w:r>
      <w:r w:rsidR="00F22AF4">
        <w:t xml:space="preserve">therefore </w:t>
      </w:r>
      <w:r w:rsidR="00813C31">
        <w:t xml:space="preserve">given further thought to </w:t>
      </w:r>
      <w:r w:rsidR="00F22AF4">
        <w:t xml:space="preserve">these issues </w:t>
      </w:r>
      <w:r w:rsidR="00813C31">
        <w:t xml:space="preserve">when developing the final recommendations set out in this </w:t>
      </w:r>
      <w:r w:rsidR="000A7F5B">
        <w:t>report</w:t>
      </w:r>
      <w:r w:rsidR="00F22AF4">
        <w:t xml:space="preserve">, a summary of which can be found </w:t>
      </w:r>
      <w:r w:rsidR="008C275E">
        <w:t>in the following section</w:t>
      </w:r>
      <w:r w:rsidR="00813C31">
        <w:t xml:space="preserve">. </w:t>
      </w:r>
    </w:p>
    <w:p w14:paraId="26367579" w14:textId="77777777" w:rsidR="008C275E" w:rsidRDefault="008C275E" w:rsidP="004069EF">
      <w:pPr>
        <w:spacing w:before="240" w:after="120" w:line="252" w:lineRule="auto"/>
      </w:pPr>
      <w:r>
        <w:t xml:space="preserve">In contrast to these three elements of the reform package, the design of the day-ahead auction has been more controversial. The GMRG is currently working through the feedback provided on </w:t>
      </w:r>
      <w:r w:rsidR="00216B52">
        <w:t xml:space="preserve">the day-ahead auction </w:t>
      </w:r>
      <w:r>
        <w:t xml:space="preserve">and, as noted above, will provide its final recommendations on this element of the reform package in December. </w:t>
      </w:r>
    </w:p>
    <w:p w14:paraId="12455E14" w14:textId="77777777" w:rsidR="00863162" w:rsidRDefault="00B35496" w:rsidP="004069EF">
      <w:pPr>
        <w:spacing w:before="240" w:after="120" w:line="252" w:lineRule="auto"/>
      </w:pPr>
      <w:r>
        <w:t xml:space="preserve">Further detail on the feedback provided by stakeholders can be found in Parts A-C of this report. </w:t>
      </w:r>
      <w:r w:rsidR="00216B52">
        <w:t xml:space="preserve">Public </w:t>
      </w:r>
      <w:r w:rsidR="00863162">
        <w:t xml:space="preserve">written submissions received </w:t>
      </w:r>
      <w:r w:rsidR="00216B52">
        <w:t xml:space="preserve">in response to the two consultation papers can </w:t>
      </w:r>
      <w:r w:rsidR="00863162">
        <w:t xml:space="preserve">be </w:t>
      </w:r>
      <w:r w:rsidR="00216B52">
        <w:t xml:space="preserve">accessed </w:t>
      </w:r>
      <w:r w:rsidR="00863162">
        <w:t>on the GMRG website.</w:t>
      </w:r>
      <w:r w:rsidR="00863162">
        <w:rPr>
          <w:rStyle w:val="FootnoteReference"/>
        </w:rPr>
        <w:footnoteReference w:id="9"/>
      </w:r>
    </w:p>
    <w:p w14:paraId="0A36E4CF" w14:textId="77777777" w:rsidR="00B866C5" w:rsidRDefault="00B866C5" w:rsidP="00DF3C44">
      <w:pPr>
        <w:pStyle w:val="Heading2"/>
        <w:spacing w:before="0" w:after="120" w:line="259" w:lineRule="auto"/>
      </w:pPr>
      <w:bookmarkStart w:id="29" w:name="_Toc499542638"/>
      <w:r>
        <w:t>Final recommendations</w:t>
      </w:r>
      <w:bookmarkEnd w:id="29"/>
      <w:r>
        <w:t xml:space="preserve"> </w:t>
      </w:r>
    </w:p>
    <w:p w14:paraId="76F48DDF" w14:textId="77777777" w:rsidR="00087A4B" w:rsidRDefault="00087A4B" w:rsidP="004069EF">
      <w:pPr>
        <w:pStyle w:val="BodyText"/>
        <w:spacing w:line="252" w:lineRule="auto"/>
      </w:pPr>
      <w:bookmarkStart w:id="30" w:name="_Hlk499039728"/>
      <w:r>
        <w:t xml:space="preserve">Having regard to </w:t>
      </w:r>
      <w:r w:rsidR="00AF5D5E">
        <w:t>the</w:t>
      </w:r>
      <w:r>
        <w:t xml:space="preserve"> feedback</w:t>
      </w:r>
      <w:r w:rsidR="00B5545F">
        <w:t xml:space="preserve"> </w:t>
      </w:r>
      <w:r w:rsidR="00AF5D5E">
        <w:t xml:space="preserve">provided by stakeholders </w:t>
      </w:r>
      <w:r w:rsidR="00B5545F">
        <w:t xml:space="preserve">and </w:t>
      </w:r>
      <w:r>
        <w:t>the advice provided by the GMRG’s legal advisor, Johnson Winter &amp; Slattery (JWS)</w:t>
      </w:r>
      <w:r w:rsidR="008C275E">
        <w:t>,</w:t>
      </w:r>
      <w:r>
        <w:t xml:space="preserve"> the GMRG has developed its final recommendations on</w:t>
      </w:r>
      <w:r w:rsidR="000A7F5B">
        <w:t xml:space="preserve"> the design of</w:t>
      </w:r>
      <w:r>
        <w:t>:</w:t>
      </w:r>
    </w:p>
    <w:p w14:paraId="1EF39874" w14:textId="77777777" w:rsidR="00087A4B" w:rsidRDefault="00087A4B" w:rsidP="00CF4594">
      <w:pPr>
        <w:pStyle w:val="ListNumber2"/>
        <w:numPr>
          <w:ilvl w:val="0"/>
          <w:numId w:val="54"/>
        </w:numPr>
        <w:spacing w:before="80" w:after="80" w:line="252" w:lineRule="auto"/>
        <w:ind w:left="357" w:hanging="357"/>
      </w:pPr>
      <w:r>
        <w:t xml:space="preserve">the </w:t>
      </w:r>
      <w:r w:rsidRPr="0013200D">
        <w:t xml:space="preserve">standardisation </w:t>
      </w:r>
      <w:r>
        <w:t xml:space="preserve">related </w:t>
      </w:r>
      <w:r w:rsidRPr="0013200D">
        <w:t>reforms</w:t>
      </w:r>
      <w:r>
        <w:t>;</w:t>
      </w:r>
      <w:r w:rsidRPr="0013200D">
        <w:t xml:space="preserve"> </w:t>
      </w:r>
    </w:p>
    <w:p w14:paraId="022C581C" w14:textId="77777777" w:rsidR="00087A4B" w:rsidRDefault="00087A4B" w:rsidP="00CF4594">
      <w:pPr>
        <w:pStyle w:val="ListNumber2"/>
        <w:numPr>
          <w:ilvl w:val="0"/>
          <w:numId w:val="54"/>
        </w:numPr>
        <w:spacing w:before="80" w:after="80" w:line="252" w:lineRule="auto"/>
        <w:ind w:left="357" w:hanging="357"/>
      </w:pPr>
      <w:r>
        <w:t xml:space="preserve">the </w:t>
      </w:r>
      <w:r w:rsidRPr="0013200D">
        <w:t>capacity trading platform</w:t>
      </w:r>
      <w:r>
        <w:t>;</w:t>
      </w:r>
      <w:r w:rsidRPr="0013200D">
        <w:t xml:space="preserve"> </w:t>
      </w:r>
      <w:r w:rsidR="000645EA">
        <w:t>and</w:t>
      </w:r>
    </w:p>
    <w:p w14:paraId="7A3CE5F6" w14:textId="77777777" w:rsidR="00087A4B" w:rsidRDefault="00087A4B" w:rsidP="00CF4594">
      <w:pPr>
        <w:pStyle w:val="ListNumber2"/>
        <w:numPr>
          <w:ilvl w:val="0"/>
          <w:numId w:val="54"/>
        </w:numPr>
        <w:spacing w:before="80" w:after="80" w:line="252" w:lineRule="auto"/>
        <w:ind w:left="357" w:hanging="357"/>
      </w:pPr>
      <w:proofErr w:type="gramStart"/>
      <w:r>
        <w:t>the</w:t>
      </w:r>
      <w:proofErr w:type="gramEnd"/>
      <w:r>
        <w:t xml:space="preserve"> </w:t>
      </w:r>
      <w:r w:rsidRPr="0013200D">
        <w:t>reporting framework</w:t>
      </w:r>
      <w:r>
        <w:t xml:space="preserve"> for secondary capacity trades</w:t>
      </w:r>
      <w:r w:rsidR="000645EA">
        <w:t>.</w:t>
      </w:r>
    </w:p>
    <w:p w14:paraId="0D4F0CA1" w14:textId="77777777" w:rsidR="00B35496" w:rsidRDefault="00B866C5" w:rsidP="004069EF">
      <w:pPr>
        <w:pStyle w:val="BodyText"/>
        <w:spacing w:line="252" w:lineRule="auto"/>
      </w:pPr>
      <w:r>
        <w:t xml:space="preserve">In developing these recommendations, the GMRG has </w:t>
      </w:r>
      <w:r w:rsidR="005E17D5">
        <w:t xml:space="preserve">applied </w:t>
      </w:r>
      <w:r w:rsidR="00B35496">
        <w:t xml:space="preserve">the rule making test that the AEMC is required to consider when exercising its rule making functions, which requires consideration to be given to </w:t>
      </w:r>
      <w:r w:rsidR="005E17D5">
        <w:t xml:space="preserve">whether the change will or is likely to contribute to the achievement of </w:t>
      </w:r>
      <w:r w:rsidR="00B35496">
        <w:t>the NGO (see Box 1.1</w:t>
      </w:r>
      <w:r w:rsidR="00B35496">
        <w:rPr>
          <w:bCs/>
        </w:rPr>
        <w:t xml:space="preserve">). </w:t>
      </w:r>
      <w:r w:rsidR="00B35496">
        <w:t xml:space="preserve">The GMRG’s assessment of whether the proposed design of the reforms will, or is likely to, contribute to the NGO, has been carried out qualitatively having regard to whether the reforms are consistent with: </w:t>
      </w:r>
    </w:p>
    <w:p w14:paraId="2CA42314" w14:textId="77777777" w:rsidR="00B35496" w:rsidRPr="000542A1" w:rsidRDefault="00B35496" w:rsidP="004069EF">
      <w:pPr>
        <w:pStyle w:val="ListBullet"/>
        <w:spacing w:line="252" w:lineRule="auto"/>
        <w:rPr>
          <w:sz w:val="20"/>
          <w:szCs w:val="20"/>
        </w:rPr>
      </w:pPr>
      <w:r w:rsidRPr="000542A1">
        <w:t>the AEMC’s required</w:t>
      </w:r>
      <w:r w:rsidR="004C5D8F">
        <w:t>,</w:t>
      </w:r>
      <w:r w:rsidRPr="000542A1">
        <w:t xml:space="preserve"> preferred </w:t>
      </w:r>
      <w:r w:rsidR="004C5D8F">
        <w:t xml:space="preserve">and suggested </w:t>
      </w:r>
      <w:r w:rsidRPr="000542A1">
        <w:t xml:space="preserve">outcomes for the </w:t>
      </w:r>
      <w:r>
        <w:t xml:space="preserve">capacity trading </w:t>
      </w:r>
      <w:r w:rsidRPr="000542A1">
        <w:t>reforms (</w:t>
      </w:r>
      <w:r>
        <w:t>see Appendix A</w:t>
      </w:r>
      <w:r w:rsidRPr="000542A1">
        <w:t>)</w:t>
      </w:r>
      <w:r>
        <w:t>;</w:t>
      </w:r>
    </w:p>
    <w:p w14:paraId="2FE27EA6" w14:textId="77777777" w:rsidR="00B35496" w:rsidRPr="00147EA6" w:rsidRDefault="00B35496" w:rsidP="004069EF">
      <w:pPr>
        <w:pStyle w:val="ListBullet"/>
        <w:spacing w:line="252" w:lineRule="auto"/>
        <w:rPr>
          <w:bCs/>
          <w:sz w:val="20"/>
          <w:szCs w:val="20"/>
        </w:rPr>
      </w:pPr>
      <w:r>
        <w:t xml:space="preserve">the broader objectives of the capacity trading reform package, which were described by the AEMC </w:t>
      </w:r>
      <w:r w:rsidRPr="00F475B1">
        <w:t>as</w:t>
      </w:r>
      <w:r>
        <w:t xml:space="preserve"> being to improve the efficiency with which transportation capacity is allocated and utilised and foster the development of a more liquid market for secondary capacity;</w:t>
      </w:r>
      <w:r>
        <w:rPr>
          <w:rStyle w:val="FootnoteReference"/>
        </w:rPr>
        <w:footnoteReference w:id="10"/>
      </w:r>
      <w:r>
        <w:t xml:space="preserve"> and</w:t>
      </w:r>
    </w:p>
    <w:p w14:paraId="1F216B9E" w14:textId="77777777" w:rsidR="00B35496" w:rsidRPr="00220B2D" w:rsidRDefault="00B35496" w:rsidP="004069EF">
      <w:pPr>
        <w:pStyle w:val="ListBullet"/>
        <w:spacing w:line="252" w:lineRule="auto"/>
        <w:rPr>
          <w:bCs/>
        </w:rPr>
      </w:pPr>
      <w:proofErr w:type="gramStart"/>
      <w:r>
        <w:t>t</w:t>
      </w:r>
      <w:r w:rsidRPr="00BF56B3">
        <w:t>he</w:t>
      </w:r>
      <w:proofErr w:type="gramEnd"/>
      <w:r w:rsidRPr="00BF56B3">
        <w:t xml:space="preserve"> </w:t>
      </w:r>
      <w:r>
        <w:t xml:space="preserve">Energy </w:t>
      </w:r>
      <w:r w:rsidRPr="00BF56B3">
        <w:t xml:space="preserve">Council’s </w:t>
      </w:r>
      <w:r w:rsidRPr="00F475B1">
        <w:t>Vision</w:t>
      </w:r>
      <w:r>
        <w:t xml:space="preserve"> of the </w:t>
      </w:r>
      <w:r w:rsidRPr="00465134">
        <w:t>direction gas market developme</w:t>
      </w:r>
      <w:r>
        <w:t>nt should take to meet the NGO</w:t>
      </w:r>
      <w:r w:rsidRPr="004151CC">
        <w:rPr>
          <w:rStyle w:val="FootnoteReference"/>
          <w:bCs/>
        </w:rPr>
        <w:t xml:space="preserve"> </w:t>
      </w:r>
      <w:r>
        <w:rPr>
          <w:bCs/>
        </w:rPr>
        <w:t xml:space="preserve">and the </w:t>
      </w:r>
      <w:r>
        <w:t xml:space="preserve">outcomes the Energy Council agreed to pursue in the next phase of gas market reform </w:t>
      </w:r>
      <w:r w:rsidRPr="00BF56B3">
        <w:t xml:space="preserve">(see </w:t>
      </w:r>
      <w:r w:rsidRPr="00BF56B3">
        <w:rPr>
          <w:bCs/>
        </w:rPr>
        <w:fldChar w:fldCharType="begin"/>
      </w:r>
      <w:r w:rsidRPr="00BF56B3">
        <w:rPr>
          <w:bCs/>
        </w:rPr>
        <w:instrText xml:space="preserve"> REF _Ref482330736 \h  \* MERGEFORMAT </w:instrText>
      </w:r>
      <w:r w:rsidRPr="00BF56B3">
        <w:rPr>
          <w:bCs/>
        </w:rPr>
      </w:r>
      <w:r w:rsidRPr="00BF56B3">
        <w:rPr>
          <w:bCs/>
        </w:rPr>
        <w:fldChar w:fldCharType="separate"/>
      </w:r>
      <w:r w:rsidR="00761861" w:rsidRPr="00761861">
        <w:t xml:space="preserve">Box </w:t>
      </w:r>
      <w:r w:rsidR="00761861" w:rsidRPr="00761861">
        <w:rPr>
          <w:noProof/>
        </w:rPr>
        <w:t>1.1</w:t>
      </w:r>
      <w:r w:rsidRPr="00BF56B3">
        <w:rPr>
          <w:bCs/>
        </w:rPr>
        <w:fldChar w:fldCharType="end"/>
      </w:r>
      <w:r w:rsidRPr="00BF56B3">
        <w:rPr>
          <w:bCs/>
        </w:rPr>
        <w:t>)</w:t>
      </w:r>
      <w:r>
        <w:rPr>
          <w:bCs/>
        </w:rPr>
        <w:t>.</w:t>
      </w:r>
      <w:r>
        <w:rPr>
          <w:rStyle w:val="FootnoteReference"/>
          <w:bCs/>
        </w:rPr>
        <w:footnoteReference w:id="11"/>
      </w:r>
    </w:p>
    <w:p w14:paraId="602A408C" w14:textId="77777777" w:rsidR="00B866C5" w:rsidRDefault="00635881" w:rsidP="004069EF">
      <w:pPr>
        <w:pStyle w:val="BodyText"/>
        <w:spacing w:line="252" w:lineRule="auto"/>
      </w:pPr>
      <w:r>
        <w:t>The remainder of this section provides a summary of the GMRG’s final recommendations</w:t>
      </w:r>
      <w:r w:rsidR="00631EBC">
        <w:t xml:space="preserve"> on these three elements of the reform package</w:t>
      </w:r>
      <w:r>
        <w:t xml:space="preserve">. Further detail on these recommendations </w:t>
      </w:r>
      <w:r>
        <w:lastRenderedPageBreak/>
        <w:t>can be found in Parts A-C of this report,</w:t>
      </w:r>
      <w:r w:rsidR="00B35496">
        <w:t xml:space="preserve"> while Appendix </w:t>
      </w:r>
      <w:r w:rsidR="00216B52">
        <w:t>B</w:t>
      </w:r>
      <w:r w:rsidR="00B35496">
        <w:t xml:space="preserve"> compares the GMRG’s final</w:t>
      </w:r>
      <w:r>
        <w:t xml:space="preserve"> recommendations with the AEMC’s required, preferred and suggested outcomes.</w:t>
      </w:r>
    </w:p>
    <w:p w14:paraId="4FFB24E2" w14:textId="77777777" w:rsidR="0043336E" w:rsidRDefault="00216B52" w:rsidP="004069EF">
      <w:pPr>
        <w:pStyle w:val="BodyText"/>
        <w:spacing w:line="252" w:lineRule="auto"/>
      </w:pPr>
      <w:r>
        <w:rPr>
          <w:lang w:eastAsia="fr-CA"/>
        </w:rPr>
        <w:t xml:space="preserve">It is important to </w:t>
      </w:r>
      <w:r w:rsidR="00FA7FB0">
        <w:rPr>
          <w:lang w:eastAsia="fr-CA"/>
        </w:rPr>
        <w:t xml:space="preserve">note </w:t>
      </w:r>
      <w:r w:rsidR="0043336E">
        <w:rPr>
          <w:lang w:eastAsia="fr-CA"/>
        </w:rPr>
        <w:t xml:space="preserve">that the introduction of the capacity trading reform package </w:t>
      </w:r>
      <w:r w:rsidR="0043336E">
        <w:t>will</w:t>
      </w:r>
      <w:r w:rsidR="005E17D5">
        <w:t xml:space="preserve"> </w:t>
      </w:r>
      <w:r w:rsidR="0043336E">
        <w:t xml:space="preserve">impose new obligations on service providers (i.e. pipeline operators and the operators of compressors) as well as primary and secondary shippers. To give effect to these new obligations and the reform package more generally, amendments will need to be made to the </w:t>
      </w:r>
      <w:r w:rsidR="00A56CAE">
        <w:t>National Gas Law (NGL), the National Gas Rules (</w:t>
      </w:r>
      <w:r w:rsidR="0043336E">
        <w:t>NGR</w:t>
      </w:r>
      <w:r w:rsidR="00A56CAE">
        <w:t>)</w:t>
      </w:r>
      <w:r w:rsidR="0043336E">
        <w:t>, Regulations made under the NGL and procedures</w:t>
      </w:r>
      <w:r w:rsidR="00FA7FB0">
        <w:t>. A</w:t>
      </w:r>
      <w:r w:rsidR="0043336E">
        <w:t xml:space="preserve"> number of new subordinate instruments will also need to be developed</w:t>
      </w:r>
      <w:r w:rsidR="00FA7FB0">
        <w:t xml:space="preserve"> and the </w:t>
      </w:r>
      <w:r w:rsidR="0043336E">
        <w:t>function</w:t>
      </w:r>
      <w:r w:rsidR="0043336E" w:rsidRPr="00D12D36">
        <w:t>s and powers of AEMO, the AER and the AEMC will need to be expanded.</w:t>
      </w:r>
      <w:r w:rsidR="0043336E">
        <w:t xml:space="preserve"> The GMRG has therefore </w:t>
      </w:r>
      <w:r>
        <w:t xml:space="preserve">considered </w:t>
      </w:r>
      <w:r w:rsidR="0043336E">
        <w:t>the governance arrangements that will be required to give effect to the reform package when developing its final recommendations.</w:t>
      </w:r>
    </w:p>
    <w:bookmarkEnd w:id="30"/>
    <w:p w14:paraId="70C2CCC3" w14:textId="77777777" w:rsidR="00635881" w:rsidRDefault="00635881" w:rsidP="004069EF">
      <w:pPr>
        <w:pStyle w:val="Heading3"/>
        <w:spacing w:before="120" w:after="120" w:line="252" w:lineRule="auto"/>
      </w:pPr>
      <w:r>
        <w:t>Standardisation reforms</w:t>
      </w:r>
    </w:p>
    <w:p w14:paraId="7C364CCC" w14:textId="77777777" w:rsidR="00635881" w:rsidRPr="004B1484" w:rsidRDefault="00635881" w:rsidP="004069EF">
      <w:pPr>
        <w:pStyle w:val="BodyText"/>
        <w:spacing w:line="252" w:lineRule="auto"/>
      </w:pPr>
      <w:r w:rsidRPr="004B1484">
        <w:t>To facilitate a greater level of trade in secondary capacity, the AEMC recommended that</w:t>
      </w:r>
      <w:r>
        <w:t>:</w:t>
      </w:r>
      <w:r w:rsidRPr="004B1484">
        <w:t xml:space="preserve"> </w:t>
      </w:r>
    </w:p>
    <w:p w14:paraId="4A2D26F8" w14:textId="77777777" w:rsidR="00635881" w:rsidRPr="008A28F0" w:rsidRDefault="00635881" w:rsidP="004069EF">
      <w:pPr>
        <w:pStyle w:val="ListBullet"/>
        <w:spacing w:before="60" w:after="60" w:line="252" w:lineRule="auto"/>
      </w:pPr>
      <w:r>
        <w:t xml:space="preserve">all trades carried out through the </w:t>
      </w:r>
      <w:r w:rsidR="0043336E">
        <w:t xml:space="preserve">exchange component of </w:t>
      </w:r>
      <w:r>
        <w:t xml:space="preserve">capacity trading </w:t>
      </w:r>
      <w:r w:rsidR="0043336E">
        <w:t xml:space="preserve">platform </w:t>
      </w:r>
      <w:r>
        <w:t xml:space="preserve">and </w:t>
      </w:r>
      <w:r w:rsidR="0043336E">
        <w:t xml:space="preserve">the </w:t>
      </w:r>
      <w:r>
        <w:t>day-ahead auction be given effect through an operational transfer</w:t>
      </w:r>
      <w:r w:rsidRPr="008A28F0">
        <w:t>; and</w:t>
      </w:r>
    </w:p>
    <w:p w14:paraId="413CD17C" w14:textId="77777777" w:rsidR="00635881" w:rsidRDefault="00635881" w:rsidP="004069EF">
      <w:pPr>
        <w:pStyle w:val="ListBullet"/>
        <w:spacing w:before="60" w:after="60" w:line="252" w:lineRule="auto"/>
      </w:pPr>
      <w:proofErr w:type="gramStart"/>
      <w:r>
        <w:t>off-market</w:t>
      </w:r>
      <w:proofErr w:type="gramEnd"/>
      <w:r>
        <w:t xml:space="preserve"> </w:t>
      </w:r>
      <w:r w:rsidR="0043336E">
        <w:t xml:space="preserve">bilateral </w:t>
      </w:r>
      <w:r>
        <w:t>trades be given effect through either an operational transfer or bare transfer, however, the seller must</w:t>
      </w:r>
      <w:r w:rsidRPr="008A28F0">
        <w:t xml:space="preserve"> offer the buyer the option of an operational transfer.</w:t>
      </w:r>
    </w:p>
    <w:p w14:paraId="553D5045" w14:textId="77777777" w:rsidR="00635881" w:rsidRDefault="00635881" w:rsidP="004069EF">
      <w:pPr>
        <w:pStyle w:val="BodyText"/>
        <w:spacing w:line="252" w:lineRule="auto"/>
      </w:pPr>
      <w:r>
        <w:t xml:space="preserve">The AEMC also recommended that </w:t>
      </w:r>
      <w:r w:rsidRPr="004B1484">
        <w:t xml:space="preserve">key terms and conditions in </w:t>
      </w:r>
      <w:r w:rsidRPr="004B1484">
        <w:rPr>
          <w:rFonts w:eastAsiaTheme="majorEastAsia"/>
        </w:rPr>
        <w:t>primary, secondary and operational transportation agreements be standardised</w:t>
      </w:r>
      <w:r w:rsidR="0043336E">
        <w:rPr>
          <w:rFonts w:eastAsiaTheme="majorEastAsia"/>
        </w:rPr>
        <w:t xml:space="preserve"> and that shippers be provided greater flexibility to change receipt and delivery points</w:t>
      </w:r>
      <w:r w:rsidRPr="004B1484">
        <w:rPr>
          <w:rFonts w:eastAsiaTheme="majorEastAsia"/>
        </w:rPr>
        <w:t>.</w:t>
      </w:r>
      <w:r w:rsidRPr="004B1484">
        <w:t xml:space="preserve"> </w:t>
      </w:r>
    </w:p>
    <w:p w14:paraId="2C3D592F" w14:textId="77777777" w:rsidR="00635881" w:rsidRDefault="00635881" w:rsidP="004069EF">
      <w:pPr>
        <w:pStyle w:val="BodyText"/>
        <w:spacing w:after="0" w:line="252" w:lineRule="auto"/>
      </w:pPr>
      <w:r>
        <w:t xml:space="preserve">The GMRG has worked with stakeholders and its legal advisor, JWS, on these recommendations. In doing so, the GMRG has considered: </w:t>
      </w:r>
    </w:p>
    <w:p w14:paraId="48932C0D" w14:textId="77777777" w:rsidR="00635881" w:rsidRDefault="00635881" w:rsidP="004069EF">
      <w:pPr>
        <w:pStyle w:val="ListBullet"/>
        <w:spacing w:before="60" w:after="60" w:line="252" w:lineRule="auto"/>
      </w:pPr>
      <w:r>
        <w:rPr>
          <w:rFonts w:eastAsiaTheme="majorEastAsia"/>
        </w:rPr>
        <w:t>the capacity transfer mechanism to be used to give effect to capacity trades</w:t>
      </w:r>
      <w:r w:rsidRPr="004B1484">
        <w:t>;</w:t>
      </w:r>
    </w:p>
    <w:p w14:paraId="510DCF9B" w14:textId="77777777" w:rsidR="00635881" w:rsidRPr="004B1484" w:rsidRDefault="00635881" w:rsidP="004069EF">
      <w:pPr>
        <w:pStyle w:val="ListBullet"/>
        <w:spacing w:before="60" w:after="60" w:line="252" w:lineRule="auto"/>
      </w:pPr>
      <w:r>
        <w:t>the types of contracts that need to be standardised to facilitate capacity trading;</w:t>
      </w:r>
    </w:p>
    <w:p w14:paraId="19E241D5" w14:textId="77777777" w:rsidR="00635881" w:rsidRPr="004B1484" w:rsidRDefault="00635881" w:rsidP="004069EF">
      <w:pPr>
        <w:pStyle w:val="ListBullet"/>
        <w:spacing w:before="60" w:after="60" w:line="252" w:lineRule="auto"/>
      </w:pPr>
      <w:r w:rsidRPr="004B1484">
        <w:t xml:space="preserve">the level of </w:t>
      </w:r>
      <w:r>
        <w:t xml:space="preserve">contract </w:t>
      </w:r>
      <w:r w:rsidRPr="004B1484">
        <w:t xml:space="preserve">standardisation that </w:t>
      </w:r>
      <w:r>
        <w:t xml:space="preserve">can </w:t>
      </w:r>
      <w:r w:rsidRPr="004B1484">
        <w:t xml:space="preserve">be achieved and </w:t>
      </w:r>
      <w:r>
        <w:t xml:space="preserve">the </w:t>
      </w:r>
      <w:r w:rsidRPr="004B1484">
        <w:t xml:space="preserve">form </w:t>
      </w:r>
      <w:r>
        <w:t xml:space="preserve">the </w:t>
      </w:r>
      <w:r w:rsidRPr="004B1484">
        <w:t>standardised provisions</w:t>
      </w:r>
      <w:r>
        <w:t xml:space="preserve"> should take</w:t>
      </w:r>
      <w:r w:rsidRPr="004B1484">
        <w:t>;</w:t>
      </w:r>
    </w:p>
    <w:p w14:paraId="180437A9" w14:textId="77777777" w:rsidR="00635881" w:rsidRDefault="00635881" w:rsidP="004069EF">
      <w:pPr>
        <w:pStyle w:val="ListBullet"/>
        <w:spacing w:before="60" w:after="60" w:line="252" w:lineRule="auto"/>
      </w:pPr>
      <w:r w:rsidRPr="004B1484">
        <w:t xml:space="preserve">the governance arrangements that could apply to the standardised </w:t>
      </w:r>
      <w:r>
        <w:t>contracts; and</w:t>
      </w:r>
    </w:p>
    <w:p w14:paraId="74D81978" w14:textId="77777777" w:rsidR="00635881" w:rsidRPr="004B1484" w:rsidRDefault="00635881" w:rsidP="004069EF">
      <w:pPr>
        <w:pStyle w:val="ListBullet"/>
        <w:spacing w:line="252" w:lineRule="auto"/>
      </w:pPr>
      <w:proofErr w:type="gramStart"/>
      <w:r>
        <w:t>how</w:t>
      </w:r>
      <w:proofErr w:type="gramEnd"/>
      <w:r>
        <w:t xml:space="preserve"> service providers will recover the costs associated with these reforms. </w:t>
      </w:r>
    </w:p>
    <w:p w14:paraId="215610F3" w14:textId="77777777" w:rsidR="00635881" w:rsidRDefault="00635881" w:rsidP="004069EF">
      <w:pPr>
        <w:pStyle w:val="BodyText"/>
        <w:spacing w:before="120" w:after="0" w:line="252" w:lineRule="auto"/>
      </w:pPr>
      <w:r>
        <w:t xml:space="preserve">The GMRG has also considered whether other measures are required to reduce the barriers to capacity trading posed by allocation arrangements, provisions in primary GTAs and the lack of harmonisation of gas day start times and nomination cut-off times. </w:t>
      </w:r>
    </w:p>
    <w:p w14:paraId="7DD4F398" w14:textId="77777777" w:rsidR="00AD45B2" w:rsidRDefault="00635881" w:rsidP="004069EF">
      <w:pPr>
        <w:pStyle w:val="BodyText"/>
        <w:spacing w:before="120" w:after="0" w:line="252" w:lineRule="auto"/>
      </w:pPr>
      <w:bookmarkStart w:id="31" w:name="_Hlk499039917"/>
      <w:r w:rsidRPr="00A245A9">
        <w:t>Table 1.1</w:t>
      </w:r>
      <w:r>
        <w:t xml:space="preserve"> provides a high-level summary of the </w:t>
      </w:r>
      <w:r w:rsidRPr="00846905">
        <w:rPr>
          <w:rFonts w:asciiTheme="majorHAnsi" w:hAnsiTheme="majorHAnsi" w:cstheme="majorHAnsi"/>
        </w:rPr>
        <w:t xml:space="preserve">GMRG’s final recommendations on </w:t>
      </w:r>
      <w:r>
        <w:rPr>
          <w:rFonts w:asciiTheme="majorHAnsi" w:hAnsiTheme="majorHAnsi" w:cstheme="majorHAnsi"/>
        </w:rPr>
        <w:t xml:space="preserve">each of </w:t>
      </w:r>
      <w:r w:rsidRPr="00846905">
        <w:rPr>
          <w:rFonts w:asciiTheme="majorHAnsi" w:hAnsiTheme="majorHAnsi" w:cstheme="majorHAnsi"/>
        </w:rPr>
        <w:t xml:space="preserve">these issues. </w:t>
      </w:r>
      <w:r>
        <w:rPr>
          <w:rFonts w:asciiTheme="majorHAnsi" w:hAnsiTheme="majorHAnsi" w:cstheme="majorHAnsi"/>
        </w:rPr>
        <w:t xml:space="preserve">Further detail on these recommendations can be found in Part A. </w:t>
      </w:r>
    </w:p>
    <w:bookmarkEnd w:id="31"/>
    <w:p w14:paraId="6D920CB2" w14:textId="77777777" w:rsidR="00A245A9" w:rsidRDefault="00A245A9" w:rsidP="0073050B">
      <w:pPr>
        <w:pStyle w:val="BodyText"/>
        <w:sectPr w:rsidR="00A245A9" w:rsidSect="00435C59">
          <w:headerReference w:type="even" r:id="rId20"/>
          <w:headerReference w:type="default" r:id="rId21"/>
          <w:footerReference w:type="default" r:id="rId22"/>
          <w:headerReference w:type="first" r:id="rId23"/>
          <w:pgSz w:w="11907" w:h="16840" w:code="9"/>
          <w:pgMar w:top="714" w:right="1418" w:bottom="992" w:left="1701" w:header="425" w:footer="397" w:gutter="0"/>
          <w:pgNumType w:start="1"/>
          <w:cols w:space="708"/>
          <w:docGrid w:linePitch="360"/>
        </w:sectPr>
      </w:pPr>
    </w:p>
    <w:p w14:paraId="16FDF9E2" w14:textId="77777777" w:rsidR="00A245A9" w:rsidRDefault="00A245A9" w:rsidP="00A245A9">
      <w:pPr>
        <w:pStyle w:val="Caption"/>
        <w:spacing w:before="0" w:after="0"/>
      </w:pPr>
      <w:bookmarkStart w:id="32" w:name="_Hlk499040121"/>
      <w:r>
        <w:lastRenderedPageBreak/>
        <w:t xml:space="preserve">Table </w:t>
      </w:r>
      <w:r w:rsidR="00983431">
        <w:fldChar w:fldCharType="begin"/>
      </w:r>
      <w:r w:rsidR="00983431">
        <w:instrText xml:space="preserve"> STYLEREF 1 \s </w:instrText>
      </w:r>
      <w:r w:rsidR="00983431">
        <w:fldChar w:fldCharType="separate"/>
      </w:r>
      <w:r w:rsidR="00761861">
        <w:rPr>
          <w:noProof/>
        </w:rPr>
        <w:t>1</w:t>
      </w:r>
      <w:r w:rsidR="00983431">
        <w:rPr>
          <w:noProof/>
        </w:rPr>
        <w:fldChar w:fldCharType="end"/>
      </w:r>
      <w:r w:rsidR="00901056">
        <w:t>.</w:t>
      </w:r>
      <w:r w:rsidR="00983431">
        <w:fldChar w:fldCharType="begin"/>
      </w:r>
      <w:r w:rsidR="00983431">
        <w:instrText xml:space="preserve"> SEQ Table \* ARABIC \s 1 </w:instrText>
      </w:r>
      <w:r w:rsidR="00983431">
        <w:fldChar w:fldCharType="separate"/>
      </w:r>
      <w:r w:rsidR="00761861">
        <w:rPr>
          <w:noProof/>
        </w:rPr>
        <w:t>1</w:t>
      </w:r>
      <w:r w:rsidR="00983431">
        <w:rPr>
          <w:noProof/>
        </w:rPr>
        <w:fldChar w:fldCharType="end"/>
      </w:r>
      <w:r>
        <w:t xml:space="preserve">: Summary of </w:t>
      </w:r>
      <w:r w:rsidR="003C673F">
        <w:t xml:space="preserve">the GMRG’s </w:t>
      </w:r>
      <w:r>
        <w:t>final recommendations</w:t>
      </w:r>
      <w:r w:rsidR="00FC3F98">
        <w:t xml:space="preserve"> on the standardisation related reforms</w:t>
      </w:r>
    </w:p>
    <w:tbl>
      <w:tblPr>
        <w:tblStyle w:val="TableGrid"/>
        <w:tblW w:w="14318" w:type="dxa"/>
        <w:tblInd w:w="-284" w:type="dxa"/>
        <w:tblLook w:val="04A0" w:firstRow="1" w:lastRow="0" w:firstColumn="1" w:lastColumn="0" w:noHBand="0" w:noVBand="1"/>
        <w:tblCaption w:val="Table 1.1"/>
        <w:tblDescription w:val="Table 1.1: Summary of the GMRG’s final recommendations on the standardisation related reforms"/>
      </w:tblPr>
      <w:tblGrid>
        <w:gridCol w:w="1565"/>
        <w:gridCol w:w="12753"/>
      </w:tblGrid>
      <w:tr w:rsidR="00A245A9" w:rsidRPr="00FA400C" w14:paraId="51B29946" w14:textId="77777777" w:rsidTr="00442D9F">
        <w:trPr>
          <w:cnfStyle w:val="100000000000" w:firstRow="1" w:lastRow="0" w:firstColumn="0" w:lastColumn="0" w:oddVBand="0" w:evenVBand="0" w:oddHBand="0" w:evenHBand="0" w:firstRowFirstColumn="0" w:firstRowLastColumn="0" w:lastRowFirstColumn="0" w:lastRowLastColumn="0"/>
          <w:tblHeader/>
        </w:trPr>
        <w:tc>
          <w:tcPr>
            <w:tcW w:w="1565" w:type="dxa"/>
            <w:tcBorders>
              <w:bottom w:val="single" w:sz="4" w:space="0" w:color="auto"/>
            </w:tcBorders>
            <w:shd w:val="clear" w:color="auto" w:fill="0099CC"/>
          </w:tcPr>
          <w:p w14:paraId="28681843" w14:textId="77777777" w:rsidR="00A245A9" w:rsidRPr="00FA400C" w:rsidRDefault="001710D5" w:rsidP="005614F2">
            <w:pPr>
              <w:pStyle w:val="BodyText"/>
              <w:spacing w:before="20" w:after="20" w:line="252" w:lineRule="auto"/>
              <w:rPr>
                <w:rFonts w:asciiTheme="majorHAnsi" w:hAnsiTheme="majorHAnsi" w:cstheme="majorHAnsi"/>
                <w:b w:val="0"/>
                <w:color w:val="FFFFFF" w:themeColor="background1"/>
                <w:szCs w:val="18"/>
              </w:rPr>
            </w:pPr>
            <w:r>
              <w:rPr>
                <w:rFonts w:asciiTheme="majorHAnsi" w:hAnsiTheme="majorHAnsi" w:cstheme="majorHAnsi"/>
                <w:color w:val="FFFFFF" w:themeColor="background1"/>
                <w:szCs w:val="18"/>
              </w:rPr>
              <w:t>Design Element</w:t>
            </w:r>
          </w:p>
        </w:tc>
        <w:tc>
          <w:tcPr>
            <w:tcW w:w="12753" w:type="dxa"/>
            <w:tcBorders>
              <w:bottom w:val="single" w:sz="4" w:space="0" w:color="auto"/>
            </w:tcBorders>
            <w:shd w:val="clear" w:color="auto" w:fill="0099CC"/>
          </w:tcPr>
          <w:p w14:paraId="3C778EEB" w14:textId="77777777" w:rsidR="00A245A9" w:rsidRPr="00FA400C" w:rsidRDefault="00A245A9" w:rsidP="005614F2">
            <w:pPr>
              <w:pStyle w:val="BodyText"/>
              <w:spacing w:before="20" w:after="20" w:line="252" w:lineRule="auto"/>
              <w:rPr>
                <w:rFonts w:asciiTheme="majorHAnsi" w:hAnsiTheme="majorHAnsi" w:cstheme="majorHAnsi"/>
                <w:b w:val="0"/>
                <w:color w:val="FFFFFF" w:themeColor="background1"/>
                <w:szCs w:val="18"/>
              </w:rPr>
            </w:pPr>
            <w:r w:rsidRPr="00FA400C">
              <w:rPr>
                <w:rFonts w:asciiTheme="majorHAnsi" w:hAnsiTheme="majorHAnsi" w:cstheme="majorHAnsi"/>
                <w:color w:val="FFFFFF" w:themeColor="background1"/>
                <w:szCs w:val="18"/>
              </w:rPr>
              <w:t>Recommendation</w:t>
            </w:r>
          </w:p>
        </w:tc>
      </w:tr>
      <w:tr w:rsidR="005614F2" w:rsidRPr="000A7F5B" w14:paraId="481E7FBC" w14:textId="77777777" w:rsidTr="00442D9F">
        <w:trPr>
          <w:trHeight w:val="1705"/>
        </w:trPr>
        <w:tc>
          <w:tcPr>
            <w:tcW w:w="1565" w:type="dxa"/>
            <w:tcBorders>
              <w:bottom w:val="single" w:sz="4" w:space="0" w:color="auto"/>
            </w:tcBorders>
            <w:shd w:val="clear" w:color="auto" w:fill="E1E2E7" w:themeFill="background2"/>
          </w:tcPr>
          <w:p w14:paraId="4BAEEC58" w14:textId="77777777" w:rsidR="00A245A9" w:rsidRPr="000A7F5B" w:rsidRDefault="00A245A9" w:rsidP="00EE6669">
            <w:pPr>
              <w:pStyle w:val="BodyText"/>
              <w:spacing w:before="60" w:after="40" w:line="245" w:lineRule="auto"/>
              <w:rPr>
                <w:rFonts w:asciiTheme="majorHAnsi" w:hAnsiTheme="majorHAnsi" w:cstheme="majorHAnsi"/>
                <w:b/>
                <w:szCs w:val="18"/>
              </w:rPr>
            </w:pPr>
            <w:bookmarkStart w:id="33" w:name="_Hlk497647516"/>
            <w:r w:rsidRPr="000A7F5B">
              <w:rPr>
                <w:rFonts w:asciiTheme="majorHAnsi" w:hAnsiTheme="majorHAnsi" w:cstheme="majorHAnsi"/>
                <w:b/>
                <w:szCs w:val="18"/>
              </w:rPr>
              <w:t xml:space="preserve">Capacity transfer mechanisms </w:t>
            </w:r>
            <w:r w:rsidR="000A7F5B">
              <w:rPr>
                <w:rFonts w:asciiTheme="majorHAnsi" w:hAnsiTheme="majorHAnsi" w:cstheme="majorHAnsi"/>
                <w:b/>
                <w:szCs w:val="18"/>
              </w:rPr>
              <w:t>to be used for secondary trading</w:t>
            </w:r>
          </w:p>
        </w:tc>
        <w:tc>
          <w:tcPr>
            <w:tcW w:w="12753" w:type="dxa"/>
            <w:tcBorders>
              <w:bottom w:val="single" w:sz="4" w:space="0" w:color="auto"/>
            </w:tcBorders>
            <w:shd w:val="clear" w:color="auto" w:fill="E1E2E7" w:themeFill="background2"/>
          </w:tcPr>
          <w:p w14:paraId="10ADC49D" w14:textId="77777777" w:rsidR="00A245A9" w:rsidRPr="000A7F5B" w:rsidRDefault="0043336E" w:rsidP="00EE6669">
            <w:pPr>
              <w:pStyle w:val="TableBullet1"/>
              <w:keepNext/>
              <w:numPr>
                <w:ilvl w:val="0"/>
                <w:numId w:val="0"/>
              </w:numPr>
              <w:spacing w:after="40" w:line="245" w:lineRule="auto"/>
              <w:ind w:left="312" w:hanging="227"/>
              <w:rPr>
                <w:rFonts w:asciiTheme="majorHAnsi" w:hAnsiTheme="majorHAnsi" w:cstheme="majorHAnsi"/>
                <w:szCs w:val="18"/>
              </w:rPr>
            </w:pPr>
            <w:r>
              <w:rPr>
                <w:rFonts w:asciiTheme="majorHAnsi" w:hAnsiTheme="majorHAnsi" w:cstheme="majorHAnsi"/>
                <w:szCs w:val="18"/>
              </w:rPr>
              <w:t>Consistent with the AEMC’s recommendations, t</w:t>
            </w:r>
            <w:r w:rsidR="000A7F5B" w:rsidRPr="000A7F5B">
              <w:rPr>
                <w:rFonts w:asciiTheme="majorHAnsi" w:hAnsiTheme="majorHAnsi" w:cstheme="majorHAnsi"/>
                <w:szCs w:val="18"/>
              </w:rPr>
              <w:t>he GMRG recommends that</w:t>
            </w:r>
            <w:r w:rsidR="00A245A9" w:rsidRPr="000A7F5B">
              <w:rPr>
                <w:rFonts w:asciiTheme="majorHAnsi" w:hAnsiTheme="majorHAnsi" w:cstheme="majorHAnsi"/>
                <w:szCs w:val="18"/>
              </w:rPr>
              <w:t>:</w:t>
            </w:r>
          </w:p>
          <w:p w14:paraId="755C69F0" w14:textId="77777777" w:rsidR="00A245A9" w:rsidRPr="000A7F5B" w:rsidRDefault="00A245A9" w:rsidP="00EE6669">
            <w:pPr>
              <w:pStyle w:val="TableBullet1"/>
              <w:spacing w:after="40" w:line="245" w:lineRule="auto"/>
              <w:rPr>
                <w:rFonts w:asciiTheme="majorHAnsi" w:eastAsiaTheme="majorEastAsia" w:hAnsiTheme="majorHAnsi" w:cstheme="majorHAnsi"/>
                <w:szCs w:val="18"/>
              </w:rPr>
            </w:pPr>
            <w:r w:rsidRPr="000A7F5B">
              <w:rPr>
                <w:rFonts w:asciiTheme="majorHAnsi" w:hAnsiTheme="majorHAnsi" w:cstheme="majorHAnsi"/>
                <w:szCs w:val="18"/>
              </w:rPr>
              <w:t>Operational transfers be used to give effect to capacity purchased through the capacity trading platform, the day-ahead auction and bilateral trades where the buyer elects to use an operational transfer.</w:t>
            </w:r>
            <w:r w:rsidRPr="000A7F5B">
              <w:rPr>
                <w:rFonts w:asciiTheme="majorHAnsi" w:eastAsiaTheme="majorEastAsia" w:hAnsiTheme="majorHAnsi" w:cstheme="majorHAnsi"/>
                <w:szCs w:val="18"/>
              </w:rPr>
              <w:t xml:space="preserve"> </w:t>
            </w:r>
          </w:p>
          <w:p w14:paraId="75591126" w14:textId="77777777" w:rsidR="00A245A9" w:rsidRPr="000A7F5B" w:rsidRDefault="00A245A9" w:rsidP="00EE6669">
            <w:pPr>
              <w:pStyle w:val="TableBullet1"/>
              <w:spacing w:after="40" w:line="245" w:lineRule="auto"/>
              <w:rPr>
                <w:rFonts w:asciiTheme="majorHAnsi" w:hAnsiTheme="majorHAnsi" w:cstheme="majorHAnsi"/>
                <w:color w:val="000000"/>
                <w:szCs w:val="18"/>
              </w:rPr>
            </w:pPr>
            <w:r w:rsidRPr="000A7F5B">
              <w:rPr>
                <w:rFonts w:asciiTheme="majorHAnsi" w:eastAsiaTheme="majorEastAsia" w:hAnsiTheme="majorHAnsi" w:cstheme="majorHAnsi"/>
                <w:szCs w:val="18"/>
              </w:rPr>
              <w:t>Bare transfers be allowed in cases where capacity is purchased through bilateral trades, subject to the caveat that the sellers of secondary capacity offer</w:t>
            </w:r>
            <w:r w:rsidR="000A7F5B" w:rsidRPr="000A7F5B">
              <w:rPr>
                <w:rFonts w:asciiTheme="majorHAnsi" w:eastAsiaTheme="majorEastAsia" w:hAnsiTheme="majorHAnsi" w:cstheme="majorHAnsi"/>
                <w:szCs w:val="18"/>
              </w:rPr>
              <w:t>s</w:t>
            </w:r>
            <w:r w:rsidRPr="000A7F5B">
              <w:rPr>
                <w:rFonts w:asciiTheme="majorHAnsi" w:eastAsiaTheme="majorEastAsia" w:hAnsiTheme="majorHAnsi" w:cstheme="majorHAnsi"/>
                <w:szCs w:val="18"/>
              </w:rPr>
              <w:t xml:space="preserve"> the buyer the option of using an operational transfer. </w:t>
            </w:r>
          </w:p>
          <w:p w14:paraId="74F3CD79" w14:textId="77777777" w:rsidR="000A7F5B" w:rsidRPr="000A7F5B" w:rsidRDefault="000A7F5B" w:rsidP="00EE6669">
            <w:pPr>
              <w:pStyle w:val="TableBullet1"/>
              <w:numPr>
                <w:ilvl w:val="0"/>
                <w:numId w:val="0"/>
              </w:numPr>
              <w:spacing w:after="40" w:line="245" w:lineRule="auto"/>
              <w:ind w:left="85"/>
              <w:rPr>
                <w:rFonts w:asciiTheme="majorHAnsi" w:hAnsiTheme="majorHAnsi" w:cstheme="majorHAnsi"/>
                <w:color w:val="000000"/>
                <w:szCs w:val="18"/>
              </w:rPr>
            </w:pPr>
            <w:r w:rsidRPr="000A7F5B">
              <w:rPr>
                <w:rFonts w:asciiTheme="majorHAnsi" w:hAnsiTheme="majorHAnsi" w:cstheme="majorHAnsi"/>
                <w:szCs w:val="18"/>
              </w:rPr>
              <w:t xml:space="preserve">Under both types of transfers, the primary shipper’s capacity rights (or part thereof) are temporarily transferred to the secondary shipper and the obligation to pay the service provider remains with the primary shipper. The main difference between the </w:t>
            </w:r>
            <w:r>
              <w:rPr>
                <w:rFonts w:asciiTheme="majorHAnsi" w:hAnsiTheme="majorHAnsi" w:cstheme="majorHAnsi"/>
                <w:szCs w:val="18"/>
              </w:rPr>
              <w:t xml:space="preserve">two </w:t>
            </w:r>
            <w:r w:rsidRPr="000A7F5B">
              <w:rPr>
                <w:rFonts w:asciiTheme="majorHAnsi" w:hAnsiTheme="majorHAnsi" w:cstheme="majorHAnsi"/>
                <w:szCs w:val="18"/>
              </w:rPr>
              <w:t xml:space="preserve">mechanisms is that under </w:t>
            </w:r>
            <w:r>
              <w:rPr>
                <w:rFonts w:asciiTheme="majorHAnsi" w:hAnsiTheme="majorHAnsi" w:cstheme="majorHAnsi"/>
                <w:szCs w:val="18"/>
              </w:rPr>
              <w:t xml:space="preserve">an </w:t>
            </w:r>
            <w:r w:rsidRPr="000A7F5B">
              <w:rPr>
                <w:rFonts w:asciiTheme="majorHAnsi" w:hAnsiTheme="majorHAnsi" w:cstheme="majorHAnsi"/>
                <w:szCs w:val="18"/>
              </w:rPr>
              <w:t>operational transfer, the secondary shipper is responsible for making nominations directly to the service provider (rather than via the primary capacity holder) and complying with the terms and conditions of access set out in the operational GTA it enters into with the service provider.</w:t>
            </w:r>
          </w:p>
        </w:tc>
      </w:tr>
      <w:tr w:rsidR="005614F2" w:rsidRPr="00FA400C" w14:paraId="09CC6559" w14:textId="77777777" w:rsidTr="00442D9F">
        <w:trPr>
          <w:cnfStyle w:val="000000010000" w:firstRow="0" w:lastRow="0" w:firstColumn="0" w:lastColumn="0" w:oddVBand="0" w:evenVBand="0" w:oddHBand="0" w:evenHBand="1" w:firstRowFirstColumn="0" w:firstRowLastColumn="0" w:lastRowFirstColumn="0" w:lastRowLastColumn="0"/>
          <w:trHeight w:val="1854"/>
        </w:trPr>
        <w:tc>
          <w:tcPr>
            <w:tcW w:w="1565" w:type="dxa"/>
            <w:vMerge w:val="restart"/>
            <w:shd w:val="clear" w:color="auto" w:fill="FFFFFF" w:themeFill="background1"/>
          </w:tcPr>
          <w:p w14:paraId="551734F9" w14:textId="77777777" w:rsidR="000A7F5B" w:rsidRPr="00FA400C" w:rsidRDefault="00140CEC" w:rsidP="00EE6669">
            <w:pPr>
              <w:pStyle w:val="BodyText"/>
              <w:spacing w:before="40" w:after="40" w:line="252" w:lineRule="auto"/>
              <w:rPr>
                <w:rFonts w:asciiTheme="majorHAnsi" w:hAnsiTheme="majorHAnsi" w:cstheme="majorHAnsi"/>
                <w:b/>
                <w:szCs w:val="18"/>
              </w:rPr>
            </w:pPr>
            <w:r>
              <w:rPr>
                <w:rFonts w:asciiTheme="majorHAnsi" w:hAnsiTheme="majorHAnsi" w:cstheme="majorHAnsi"/>
                <w:b/>
                <w:szCs w:val="18"/>
              </w:rPr>
              <w:t>Contract s</w:t>
            </w:r>
            <w:r w:rsidR="005614F2">
              <w:rPr>
                <w:rFonts w:asciiTheme="majorHAnsi" w:hAnsiTheme="majorHAnsi" w:cstheme="majorHAnsi"/>
                <w:b/>
                <w:szCs w:val="18"/>
              </w:rPr>
              <w:t xml:space="preserve">tandardisation </w:t>
            </w:r>
          </w:p>
        </w:tc>
        <w:tc>
          <w:tcPr>
            <w:tcW w:w="12753" w:type="dxa"/>
            <w:shd w:val="clear" w:color="auto" w:fill="FFFFFF" w:themeFill="background1"/>
          </w:tcPr>
          <w:p w14:paraId="765820F3" w14:textId="77777777" w:rsidR="005614F2" w:rsidRPr="005614F2" w:rsidRDefault="005614F2" w:rsidP="00EE6669">
            <w:pPr>
              <w:pStyle w:val="TableBodyText"/>
              <w:spacing w:before="40" w:after="40" w:line="252" w:lineRule="auto"/>
              <w:rPr>
                <w:rFonts w:asciiTheme="majorHAnsi" w:hAnsiTheme="majorHAnsi" w:cstheme="majorHAnsi"/>
                <w:b/>
                <w:szCs w:val="18"/>
              </w:rPr>
            </w:pPr>
            <w:r w:rsidRPr="005614F2">
              <w:rPr>
                <w:rFonts w:asciiTheme="majorHAnsi" w:hAnsiTheme="majorHAnsi" w:cstheme="majorHAnsi"/>
                <w:b/>
                <w:szCs w:val="18"/>
              </w:rPr>
              <w:t>Standardisation of operational GTAs</w:t>
            </w:r>
          </w:p>
          <w:p w14:paraId="2DF50B15" w14:textId="77777777" w:rsidR="00635881" w:rsidRDefault="00635881" w:rsidP="00EE6669">
            <w:pPr>
              <w:pStyle w:val="TableBodyText"/>
              <w:spacing w:before="40" w:after="40" w:line="252" w:lineRule="auto"/>
              <w:rPr>
                <w:rFonts w:asciiTheme="majorHAnsi" w:hAnsiTheme="majorHAnsi" w:cstheme="majorHAnsi"/>
                <w:szCs w:val="18"/>
              </w:rPr>
            </w:pPr>
            <w:r>
              <w:rPr>
                <w:rFonts w:asciiTheme="majorHAnsi" w:hAnsiTheme="majorHAnsi" w:cstheme="majorHAnsi"/>
                <w:szCs w:val="18"/>
              </w:rPr>
              <w:t xml:space="preserve">The GMRG recommends that priority be given to standardising </w:t>
            </w:r>
            <w:r w:rsidR="00EE6669">
              <w:rPr>
                <w:rFonts w:asciiTheme="majorHAnsi" w:hAnsiTheme="majorHAnsi" w:cstheme="majorHAnsi"/>
                <w:szCs w:val="18"/>
              </w:rPr>
              <w:t>o</w:t>
            </w:r>
            <w:r>
              <w:rPr>
                <w:rFonts w:asciiTheme="majorHAnsi" w:hAnsiTheme="majorHAnsi" w:cstheme="majorHAnsi"/>
                <w:szCs w:val="18"/>
              </w:rPr>
              <w:t xml:space="preserve">perational GTAs, given these contracts will be used to give effect to trades conducted through the capacity trading platform and the day-ahead auction, and will also have to be offered under bilateral trades. </w:t>
            </w:r>
          </w:p>
          <w:p w14:paraId="2CB6E166" w14:textId="77777777" w:rsidR="000A7F5B" w:rsidRDefault="000A7F5B" w:rsidP="00EE6669">
            <w:pPr>
              <w:pStyle w:val="TableBodyText"/>
              <w:spacing w:before="40" w:after="40" w:line="252" w:lineRule="auto"/>
            </w:pPr>
            <w:r>
              <w:rPr>
                <w:rFonts w:asciiTheme="majorHAnsi" w:hAnsiTheme="majorHAnsi" w:cstheme="majorHAnsi"/>
                <w:szCs w:val="18"/>
              </w:rPr>
              <w:t>T</w:t>
            </w:r>
            <w:r w:rsidRPr="00FA400C">
              <w:rPr>
                <w:rFonts w:asciiTheme="majorHAnsi" w:hAnsiTheme="majorHAnsi" w:cstheme="majorHAnsi"/>
                <w:szCs w:val="18"/>
              </w:rPr>
              <w:t xml:space="preserve">he </w:t>
            </w:r>
            <w:r w:rsidR="005614F2">
              <w:rPr>
                <w:rFonts w:asciiTheme="majorHAnsi" w:hAnsiTheme="majorHAnsi" w:cstheme="majorHAnsi"/>
                <w:szCs w:val="18"/>
              </w:rPr>
              <w:t xml:space="preserve">standardised </w:t>
            </w:r>
            <w:r w:rsidR="00EE6669">
              <w:rPr>
                <w:rFonts w:asciiTheme="majorHAnsi" w:hAnsiTheme="majorHAnsi" w:cstheme="majorHAnsi"/>
                <w:szCs w:val="18"/>
              </w:rPr>
              <w:t>o</w:t>
            </w:r>
            <w:r w:rsidRPr="00FA400C">
              <w:rPr>
                <w:rFonts w:asciiTheme="majorHAnsi" w:hAnsiTheme="majorHAnsi" w:cstheme="majorHAnsi"/>
                <w:szCs w:val="18"/>
              </w:rPr>
              <w:t>perational GTA</w:t>
            </w:r>
            <w:r>
              <w:rPr>
                <w:rFonts w:asciiTheme="majorHAnsi" w:hAnsiTheme="majorHAnsi" w:cstheme="majorHAnsi"/>
                <w:szCs w:val="18"/>
              </w:rPr>
              <w:t xml:space="preserve"> will </w:t>
            </w:r>
            <w:r w:rsidRPr="00FA400C">
              <w:t xml:space="preserve">operate like a master agreement between the service provider and secondary shipper, and set out the terms </w:t>
            </w:r>
            <w:r>
              <w:t xml:space="preserve">and conditions </w:t>
            </w:r>
            <w:r w:rsidRPr="00FA400C">
              <w:t xml:space="preserve">on which the secondary shipper can utilise the service provider’s </w:t>
            </w:r>
            <w:r w:rsidR="00DE0813">
              <w:t>services</w:t>
            </w:r>
            <w:r w:rsidRPr="00FA400C">
              <w:t xml:space="preserve"> if it procures secondary capacity via an operational transfer.</w:t>
            </w:r>
          </w:p>
          <w:p w14:paraId="7EF1C571" w14:textId="77777777" w:rsidR="000A7F5B" w:rsidRDefault="000A7F5B" w:rsidP="00EE6669">
            <w:pPr>
              <w:pStyle w:val="TableBodyText"/>
              <w:spacing w:before="40" w:after="40" w:line="252" w:lineRule="auto"/>
              <w:rPr>
                <w:rFonts w:asciiTheme="majorHAnsi" w:hAnsiTheme="majorHAnsi" w:cstheme="majorHAnsi"/>
                <w:szCs w:val="18"/>
              </w:rPr>
            </w:pPr>
            <w:r w:rsidRPr="00FA400C">
              <w:rPr>
                <w:rFonts w:asciiTheme="majorHAnsi" w:hAnsiTheme="majorHAnsi" w:cstheme="majorHAnsi"/>
                <w:szCs w:val="18"/>
              </w:rPr>
              <w:t xml:space="preserve">It will be mandatory for service providers that provide third party access to publish a standard form operational GTA on their website and to offer to enter into this agreement with secondary shippers (subject to some limited qualifications and exemptions). The NGL and NGR will not, however, prohibit service providers and shippers agreeing to vary the terms, include other services in the agreement, or include the transfer mechanism in </w:t>
            </w:r>
            <w:r w:rsidR="00140CEC">
              <w:rPr>
                <w:rFonts w:asciiTheme="majorHAnsi" w:hAnsiTheme="majorHAnsi" w:cstheme="majorHAnsi"/>
                <w:szCs w:val="18"/>
              </w:rPr>
              <w:t xml:space="preserve">a </w:t>
            </w:r>
            <w:r w:rsidRPr="00FA400C">
              <w:rPr>
                <w:rFonts w:asciiTheme="majorHAnsi" w:hAnsiTheme="majorHAnsi" w:cstheme="majorHAnsi"/>
                <w:szCs w:val="18"/>
              </w:rPr>
              <w:t>primary GTA.</w:t>
            </w:r>
          </w:p>
          <w:p w14:paraId="1C307385" w14:textId="77777777" w:rsidR="00442D9F" w:rsidRPr="00442D9F" w:rsidRDefault="00DE0813" w:rsidP="00733C00">
            <w:pPr>
              <w:pStyle w:val="TableBodyText"/>
              <w:spacing w:before="40" w:after="40" w:line="252" w:lineRule="auto"/>
              <w:rPr>
                <w:rFonts w:asciiTheme="majorHAnsi" w:hAnsiTheme="majorHAnsi" w:cstheme="majorHAnsi"/>
                <w:i/>
                <w:szCs w:val="18"/>
              </w:rPr>
            </w:pPr>
            <w:r>
              <w:rPr>
                <w:rFonts w:asciiTheme="majorHAnsi" w:hAnsiTheme="majorHAnsi" w:cstheme="majorHAnsi"/>
                <w:i/>
                <w:szCs w:val="18"/>
              </w:rPr>
              <w:t>The terms on which capacity is sold through the capacity trading exchange or day-ahead auction will be set out in the Exchange Agreement and the Auction Agreement.  For bilateral trades, the shippers buying and selling capacity will agree terms between themselves in C</w:t>
            </w:r>
            <w:r w:rsidR="00733C00">
              <w:rPr>
                <w:rFonts w:asciiTheme="majorHAnsi" w:hAnsiTheme="majorHAnsi" w:cstheme="majorHAnsi"/>
                <w:i/>
                <w:szCs w:val="18"/>
              </w:rPr>
              <w:t xml:space="preserve">apacity </w:t>
            </w:r>
            <w:r>
              <w:rPr>
                <w:rFonts w:asciiTheme="majorHAnsi" w:hAnsiTheme="majorHAnsi" w:cstheme="majorHAnsi"/>
                <w:i/>
                <w:szCs w:val="18"/>
              </w:rPr>
              <w:t>T</w:t>
            </w:r>
            <w:r w:rsidR="00733C00">
              <w:rPr>
                <w:rFonts w:asciiTheme="majorHAnsi" w:hAnsiTheme="majorHAnsi" w:cstheme="majorHAnsi"/>
                <w:i/>
                <w:szCs w:val="18"/>
              </w:rPr>
              <w:t xml:space="preserve">rading </w:t>
            </w:r>
            <w:r>
              <w:rPr>
                <w:rFonts w:asciiTheme="majorHAnsi" w:hAnsiTheme="majorHAnsi" w:cstheme="majorHAnsi"/>
                <w:i/>
                <w:szCs w:val="18"/>
              </w:rPr>
              <w:t>A</w:t>
            </w:r>
            <w:r w:rsidR="00733C00">
              <w:rPr>
                <w:rFonts w:asciiTheme="majorHAnsi" w:hAnsiTheme="majorHAnsi" w:cstheme="majorHAnsi"/>
                <w:i/>
                <w:szCs w:val="18"/>
              </w:rPr>
              <w:t>greements (CTAs)</w:t>
            </w:r>
            <w:r>
              <w:rPr>
                <w:rFonts w:asciiTheme="majorHAnsi" w:hAnsiTheme="majorHAnsi" w:cstheme="majorHAnsi"/>
                <w:i/>
                <w:szCs w:val="18"/>
              </w:rPr>
              <w:t>.</w:t>
            </w:r>
          </w:p>
        </w:tc>
      </w:tr>
      <w:tr w:rsidR="005614F2" w:rsidRPr="00FA400C" w14:paraId="290660DA" w14:textId="77777777" w:rsidTr="00442D9F">
        <w:trPr>
          <w:trHeight w:val="2091"/>
        </w:trPr>
        <w:tc>
          <w:tcPr>
            <w:tcW w:w="1565" w:type="dxa"/>
            <w:vMerge/>
            <w:shd w:val="clear" w:color="auto" w:fill="FFFFFF" w:themeFill="background1"/>
          </w:tcPr>
          <w:p w14:paraId="0158CB5F" w14:textId="77777777" w:rsidR="000A7F5B" w:rsidRPr="00FA400C" w:rsidRDefault="000A7F5B" w:rsidP="00EE6669">
            <w:pPr>
              <w:pStyle w:val="BodyText"/>
              <w:spacing w:before="40" w:after="40" w:line="252" w:lineRule="auto"/>
              <w:rPr>
                <w:rFonts w:asciiTheme="majorHAnsi" w:hAnsiTheme="majorHAnsi" w:cstheme="majorHAnsi"/>
                <w:b/>
                <w:szCs w:val="18"/>
              </w:rPr>
            </w:pPr>
          </w:p>
        </w:tc>
        <w:tc>
          <w:tcPr>
            <w:tcW w:w="12753" w:type="dxa"/>
            <w:tcBorders>
              <w:bottom w:val="single" w:sz="4" w:space="0" w:color="auto"/>
            </w:tcBorders>
            <w:shd w:val="clear" w:color="auto" w:fill="FFFFFF" w:themeFill="background1"/>
          </w:tcPr>
          <w:p w14:paraId="467EAC4A" w14:textId="77777777" w:rsidR="00EE6669" w:rsidRPr="00624B98" w:rsidRDefault="00EE6669" w:rsidP="00EE6669">
            <w:pPr>
              <w:pStyle w:val="TableBullet1"/>
              <w:numPr>
                <w:ilvl w:val="0"/>
                <w:numId w:val="0"/>
              </w:numPr>
              <w:spacing w:before="40" w:after="40" w:line="252" w:lineRule="auto"/>
              <w:ind w:left="312" w:hanging="227"/>
              <w:rPr>
                <w:rFonts w:asciiTheme="majorHAnsi" w:hAnsiTheme="majorHAnsi" w:cstheme="majorHAnsi"/>
                <w:b/>
                <w:szCs w:val="18"/>
              </w:rPr>
            </w:pPr>
            <w:r w:rsidRPr="00624B98">
              <w:rPr>
                <w:rFonts w:asciiTheme="majorHAnsi" w:hAnsiTheme="majorHAnsi" w:cstheme="majorHAnsi"/>
                <w:b/>
                <w:szCs w:val="18"/>
              </w:rPr>
              <w:t>Content of the standardised Operational GTA</w:t>
            </w:r>
            <w:r>
              <w:rPr>
                <w:rFonts w:asciiTheme="majorHAnsi" w:hAnsiTheme="majorHAnsi" w:cstheme="majorHAnsi"/>
                <w:b/>
                <w:szCs w:val="18"/>
              </w:rPr>
              <w:t xml:space="preserve"> and level of standardisation</w:t>
            </w:r>
          </w:p>
          <w:p w14:paraId="04A4763E" w14:textId="77777777" w:rsidR="00EE6669" w:rsidRPr="00624B98" w:rsidRDefault="00EE6669" w:rsidP="00EE6669">
            <w:pPr>
              <w:pStyle w:val="TableBullet1"/>
              <w:numPr>
                <w:ilvl w:val="0"/>
                <w:numId w:val="0"/>
              </w:numPr>
              <w:spacing w:before="40" w:after="40" w:line="252" w:lineRule="auto"/>
              <w:ind w:left="312" w:hanging="227"/>
              <w:rPr>
                <w:rFonts w:asciiTheme="majorHAnsi" w:hAnsiTheme="majorHAnsi" w:cstheme="majorHAnsi"/>
                <w:szCs w:val="18"/>
              </w:rPr>
            </w:pPr>
            <w:r w:rsidRPr="00624B98">
              <w:rPr>
                <w:rFonts w:asciiTheme="majorHAnsi" w:hAnsiTheme="majorHAnsi" w:cstheme="majorHAnsi"/>
                <w:szCs w:val="18"/>
              </w:rPr>
              <w:t xml:space="preserve">The standardised </w:t>
            </w:r>
            <w:r>
              <w:rPr>
                <w:rFonts w:asciiTheme="majorHAnsi" w:hAnsiTheme="majorHAnsi" w:cstheme="majorHAnsi"/>
                <w:szCs w:val="18"/>
              </w:rPr>
              <w:t>o</w:t>
            </w:r>
            <w:r w:rsidRPr="00624B98">
              <w:rPr>
                <w:rFonts w:asciiTheme="majorHAnsi" w:hAnsiTheme="majorHAnsi" w:cstheme="majorHAnsi"/>
                <w:szCs w:val="18"/>
              </w:rPr>
              <w:t xml:space="preserve">perational GTA will consist of a set of: </w:t>
            </w:r>
          </w:p>
          <w:p w14:paraId="3458E1EB" w14:textId="77777777" w:rsidR="00EE6669" w:rsidRPr="00624B98" w:rsidRDefault="00EE6669" w:rsidP="00EE6669">
            <w:pPr>
              <w:pStyle w:val="TableBullet1"/>
              <w:spacing w:before="40" w:after="40" w:line="252" w:lineRule="auto"/>
              <w:rPr>
                <w:rFonts w:asciiTheme="majorHAnsi" w:hAnsiTheme="majorHAnsi" w:cstheme="majorHAnsi"/>
                <w:szCs w:val="18"/>
              </w:rPr>
            </w:pPr>
            <w:r w:rsidRPr="00624B98">
              <w:rPr>
                <w:rFonts w:asciiTheme="majorHAnsi" w:hAnsiTheme="majorHAnsi" w:cstheme="majorHAnsi"/>
                <w:szCs w:val="18"/>
              </w:rPr>
              <w:t xml:space="preserve">standard operational, prudential and other legal terms governing the relationship between the secondary shipper and the service provider that will apply to all </w:t>
            </w:r>
            <w:r w:rsidR="00DE0813">
              <w:rPr>
                <w:rFonts w:asciiTheme="majorHAnsi" w:hAnsiTheme="majorHAnsi" w:cstheme="majorHAnsi"/>
                <w:szCs w:val="18"/>
              </w:rPr>
              <w:t>facilities</w:t>
            </w:r>
            <w:r w:rsidRPr="00624B98">
              <w:rPr>
                <w:rFonts w:asciiTheme="majorHAnsi" w:hAnsiTheme="majorHAnsi" w:cstheme="majorHAnsi"/>
                <w:szCs w:val="18"/>
              </w:rPr>
              <w:t>; and</w:t>
            </w:r>
          </w:p>
          <w:p w14:paraId="50DFD374" w14:textId="77777777" w:rsidR="00EE6669" w:rsidRPr="00624B98" w:rsidRDefault="00EE6669" w:rsidP="00EE6669">
            <w:pPr>
              <w:pStyle w:val="TableBullet1"/>
              <w:spacing w:before="40" w:after="40" w:line="252" w:lineRule="auto"/>
              <w:rPr>
                <w:rFonts w:asciiTheme="majorHAnsi" w:hAnsiTheme="majorHAnsi" w:cstheme="majorHAnsi"/>
                <w:szCs w:val="18"/>
              </w:rPr>
            </w:pPr>
            <w:proofErr w:type="gramStart"/>
            <w:r w:rsidRPr="00624B98">
              <w:rPr>
                <w:rFonts w:asciiTheme="majorHAnsi" w:hAnsiTheme="majorHAnsi" w:cstheme="majorHAnsi"/>
                <w:szCs w:val="18"/>
              </w:rPr>
              <w:t>facility</w:t>
            </w:r>
            <w:proofErr w:type="gramEnd"/>
            <w:r w:rsidRPr="00624B98">
              <w:rPr>
                <w:rFonts w:asciiTheme="majorHAnsi" w:hAnsiTheme="majorHAnsi" w:cstheme="majorHAnsi"/>
                <w:szCs w:val="18"/>
              </w:rPr>
              <w:t xml:space="preserve"> specific terms, which may differ across facilities due to differences in operational or contractual arrangements.  </w:t>
            </w:r>
          </w:p>
          <w:p w14:paraId="35BFF63D" w14:textId="77777777" w:rsidR="00EE6669" w:rsidRPr="00624B98" w:rsidRDefault="00EE6669" w:rsidP="00EE6669">
            <w:pPr>
              <w:pStyle w:val="TableBullet1"/>
              <w:numPr>
                <w:ilvl w:val="0"/>
                <w:numId w:val="0"/>
              </w:numPr>
              <w:spacing w:before="40" w:after="40" w:line="252" w:lineRule="auto"/>
              <w:ind w:left="85"/>
              <w:rPr>
                <w:rFonts w:asciiTheme="majorHAnsi" w:hAnsiTheme="majorHAnsi" w:cstheme="majorHAnsi"/>
                <w:szCs w:val="18"/>
              </w:rPr>
            </w:pPr>
            <w:r w:rsidRPr="00624B98">
              <w:rPr>
                <w:rFonts w:asciiTheme="majorHAnsi" w:hAnsiTheme="majorHAnsi" w:cstheme="majorHAnsi"/>
                <w:szCs w:val="18"/>
              </w:rPr>
              <w:t xml:space="preserve">While service providers will have some discretion in relation to the facility specific terms, these terms will need to comply with a number of principles that will be set out in the NGR, the requirements set out in the Operational GTA Code </w:t>
            </w:r>
            <w:r>
              <w:rPr>
                <w:rFonts w:asciiTheme="majorHAnsi" w:hAnsiTheme="majorHAnsi" w:cstheme="majorHAnsi"/>
                <w:szCs w:val="18"/>
              </w:rPr>
              <w:t xml:space="preserve">(a new regulatory instrument that will set out the standard terms to be adopted by all service providers and the requirements for facility specific terms) </w:t>
            </w:r>
            <w:r w:rsidRPr="00624B98">
              <w:rPr>
                <w:rFonts w:asciiTheme="majorHAnsi" w:hAnsiTheme="majorHAnsi" w:cstheme="majorHAnsi"/>
                <w:szCs w:val="18"/>
              </w:rPr>
              <w:t>and will also be subject to oversight by the AER.</w:t>
            </w:r>
          </w:p>
          <w:p w14:paraId="2056479F" w14:textId="77777777" w:rsidR="00624B98" w:rsidRPr="00624B98" w:rsidRDefault="00EE6669" w:rsidP="00EE6669">
            <w:pPr>
              <w:pStyle w:val="TableBullet1"/>
              <w:numPr>
                <w:ilvl w:val="0"/>
                <w:numId w:val="0"/>
              </w:numPr>
              <w:spacing w:before="40" w:after="40" w:line="252" w:lineRule="auto"/>
              <w:ind w:left="85"/>
              <w:rPr>
                <w:rFonts w:asciiTheme="majorHAnsi" w:hAnsiTheme="majorHAnsi" w:cstheme="majorHAnsi"/>
                <w:szCs w:val="18"/>
              </w:rPr>
            </w:pPr>
            <w:r w:rsidRPr="00624B98">
              <w:rPr>
                <w:rFonts w:asciiTheme="majorHAnsi" w:hAnsiTheme="majorHAnsi" w:cstheme="majorHAnsi"/>
                <w:szCs w:val="18"/>
              </w:rPr>
              <w:t xml:space="preserve">The GMRG has developed </w:t>
            </w:r>
            <w:r>
              <w:rPr>
                <w:rFonts w:asciiTheme="majorHAnsi" w:hAnsiTheme="majorHAnsi" w:cstheme="majorHAnsi"/>
                <w:szCs w:val="18"/>
              </w:rPr>
              <w:t xml:space="preserve">an initial draft of the Operational GTA Code, which stakeholders have provided some feedback on. The initial draft did not, however, make provision for the day-ahead auction product because the design of the auction had not been settled. </w:t>
            </w:r>
            <w:r w:rsidR="00F44BBB">
              <w:rPr>
                <w:rFonts w:asciiTheme="majorHAnsi" w:hAnsiTheme="majorHAnsi" w:cstheme="majorHAnsi"/>
                <w:szCs w:val="18"/>
              </w:rPr>
              <w:t>The GMRG intends therefore to release another draft of the Operational GTA Code for consultation in early 2018</w:t>
            </w:r>
            <w:r w:rsidR="00F44BBB" w:rsidRPr="00624B98">
              <w:rPr>
                <w:rFonts w:asciiTheme="majorHAnsi" w:hAnsiTheme="majorHAnsi" w:cstheme="majorHAnsi"/>
                <w:szCs w:val="18"/>
              </w:rPr>
              <w:t>.</w:t>
            </w:r>
          </w:p>
        </w:tc>
      </w:tr>
      <w:tr w:rsidR="00624B98" w:rsidRPr="00FA400C" w14:paraId="66C1FE52" w14:textId="77777777" w:rsidTr="00442D9F">
        <w:trPr>
          <w:cnfStyle w:val="000000010000" w:firstRow="0" w:lastRow="0" w:firstColumn="0" w:lastColumn="0" w:oddVBand="0" w:evenVBand="0" w:oddHBand="0" w:evenHBand="1" w:firstRowFirstColumn="0" w:firstRowLastColumn="0" w:lastRowFirstColumn="0" w:lastRowLastColumn="0"/>
        </w:trPr>
        <w:tc>
          <w:tcPr>
            <w:tcW w:w="1565" w:type="dxa"/>
            <w:vMerge/>
            <w:shd w:val="clear" w:color="auto" w:fill="FFFFFF" w:themeFill="background1"/>
          </w:tcPr>
          <w:p w14:paraId="74BE469C" w14:textId="77777777" w:rsidR="00624B98" w:rsidRPr="00FA400C" w:rsidRDefault="00624B98" w:rsidP="00EE6669">
            <w:pPr>
              <w:pStyle w:val="BodyText"/>
              <w:spacing w:before="40" w:after="40" w:line="252" w:lineRule="auto"/>
              <w:rPr>
                <w:rFonts w:asciiTheme="majorHAnsi" w:hAnsiTheme="majorHAnsi" w:cstheme="majorHAnsi"/>
                <w:b/>
                <w:szCs w:val="18"/>
              </w:rPr>
            </w:pPr>
          </w:p>
        </w:tc>
        <w:tc>
          <w:tcPr>
            <w:tcW w:w="12753" w:type="dxa"/>
            <w:shd w:val="clear" w:color="auto" w:fill="FFFFFF" w:themeFill="background1"/>
          </w:tcPr>
          <w:p w14:paraId="42A7D073" w14:textId="77777777" w:rsidR="00624B98" w:rsidRPr="00624B98" w:rsidRDefault="00705C48" w:rsidP="00EE6669">
            <w:pPr>
              <w:pStyle w:val="TableBullet1"/>
              <w:numPr>
                <w:ilvl w:val="0"/>
                <w:numId w:val="0"/>
              </w:numPr>
              <w:spacing w:before="40" w:after="40" w:line="252" w:lineRule="auto"/>
              <w:ind w:left="85"/>
              <w:rPr>
                <w:rFonts w:asciiTheme="majorHAnsi" w:hAnsiTheme="majorHAnsi" w:cstheme="majorHAnsi"/>
                <w:b/>
                <w:szCs w:val="18"/>
              </w:rPr>
            </w:pPr>
            <w:r>
              <w:rPr>
                <w:rFonts w:asciiTheme="majorHAnsi" w:hAnsiTheme="majorHAnsi" w:cstheme="majorHAnsi"/>
                <w:b/>
                <w:szCs w:val="18"/>
              </w:rPr>
              <w:t>Service provider c</w:t>
            </w:r>
            <w:r w:rsidR="00624B98" w:rsidRPr="00624B98">
              <w:rPr>
                <w:rFonts w:asciiTheme="majorHAnsi" w:hAnsiTheme="majorHAnsi" w:cstheme="majorHAnsi"/>
                <w:b/>
                <w:szCs w:val="18"/>
              </w:rPr>
              <w:t>ost</w:t>
            </w:r>
            <w:r>
              <w:rPr>
                <w:rFonts w:asciiTheme="majorHAnsi" w:hAnsiTheme="majorHAnsi" w:cstheme="majorHAnsi"/>
                <w:b/>
                <w:szCs w:val="18"/>
              </w:rPr>
              <w:t>s</w:t>
            </w:r>
            <w:r w:rsidR="00624B98" w:rsidRPr="00624B98">
              <w:rPr>
                <w:rFonts w:asciiTheme="majorHAnsi" w:hAnsiTheme="majorHAnsi" w:cstheme="majorHAnsi"/>
                <w:b/>
                <w:szCs w:val="18"/>
              </w:rPr>
              <w:t xml:space="preserve"> </w:t>
            </w:r>
          </w:p>
          <w:p w14:paraId="3AF49655" w14:textId="77777777" w:rsidR="0013316E" w:rsidRPr="00624B98" w:rsidRDefault="0013316E" w:rsidP="00EE6669">
            <w:pPr>
              <w:pStyle w:val="TableBodyText"/>
              <w:spacing w:after="40"/>
              <w:rPr>
                <w:rFonts w:asciiTheme="majorHAnsi" w:hAnsiTheme="majorHAnsi" w:cstheme="majorHAnsi"/>
                <w:szCs w:val="18"/>
              </w:rPr>
            </w:pPr>
            <w:r>
              <w:rPr>
                <w:rFonts w:asciiTheme="majorHAnsi" w:hAnsiTheme="majorHAnsi" w:cstheme="majorHAnsi"/>
              </w:rPr>
              <w:t>The capacity trading reform package will impose a number of incremental establishment and capacity trading costs on service providers</w:t>
            </w:r>
            <w:r w:rsidRPr="00624B98">
              <w:rPr>
                <w:rFonts w:asciiTheme="majorHAnsi" w:hAnsiTheme="majorHAnsi" w:cstheme="majorHAnsi"/>
              </w:rPr>
              <w:t xml:space="preserve">. The GMRG recommends that service providers </w:t>
            </w:r>
            <w:r>
              <w:rPr>
                <w:rFonts w:asciiTheme="majorHAnsi" w:hAnsiTheme="majorHAnsi" w:cstheme="majorHAnsi"/>
              </w:rPr>
              <w:t xml:space="preserve">have </w:t>
            </w:r>
            <w:r w:rsidRPr="00624B98">
              <w:rPr>
                <w:rFonts w:asciiTheme="majorHAnsi" w:hAnsiTheme="majorHAnsi" w:cstheme="majorHAnsi"/>
              </w:rPr>
              <w:t xml:space="preserve">an opportunity to recover these costs, subject to the caveat that the charges </w:t>
            </w:r>
            <w:r w:rsidRPr="00624B98">
              <w:rPr>
                <w:rFonts w:asciiTheme="majorHAnsi" w:hAnsiTheme="majorHAnsi" w:cstheme="majorHAnsi"/>
                <w:szCs w:val="18"/>
              </w:rPr>
              <w:t xml:space="preserve">are cost reflective and, so far as practical, reflect the outcomes of a workably competitive market.  To impose some constraint on the charges levied by service providers, the GMRG </w:t>
            </w:r>
            <w:r>
              <w:rPr>
                <w:rFonts w:asciiTheme="majorHAnsi" w:hAnsiTheme="majorHAnsi" w:cstheme="majorHAnsi"/>
                <w:szCs w:val="18"/>
              </w:rPr>
              <w:t xml:space="preserve">also </w:t>
            </w:r>
            <w:r w:rsidRPr="00624B98">
              <w:rPr>
                <w:rFonts w:asciiTheme="majorHAnsi" w:hAnsiTheme="majorHAnsi" w:cstheme="majorHAnsi"/>
                <w:szCs w:val="18"/>
              </w:rPr>
              <w:t xml:space="preserve">recommends that the AER be given the power to: </w:t>
            </w:r>
          </w:p>
          <w:p w14:paraId="54380A74" w14:textId="77777777" w:rsidR="0013316E" w:rsidRPr="00624B98" w:rsidRDefault="0013316E" w:rsidP="00EE6669">
            <w:pPr>
              <w:pStyle w:val="TableBullet1"/>
              <w:spacing w:before="40" w:after="40" w:line="252" w:lineRule="auto"/>
              <w:rPr>
                <w:rFonts w:asciiTheme="majorHAnsi" w:hAnsiTheme="majorHAnsi" w:cstheme="majorHAnsi"/>
                <w:szCs w:val="18"/>
              </w:rPr>
            </w:pPr>
            <w:r w:rsidRPr="00624B98">
              <w:rPr>
                <w:rFonts w:asciiTheme="majorHAnsi" w:hAnsiTheme="majorHAnsi" w:cstheme="majorHAnsi"/>
                <w:szCs w:val="18"/>
              </w:rPr>
              <w:t xml:space="preserve">conduct </w:t>
            </w:r>
            <w:r>
              <w:rPr>
                <w:rFonts w:asciiTheme="majorHAnsi" w:hAnsiTheme="majorHAnsi" w:cstheme="majorHAnsi"/>
                <w:szCs w:val="18"/>
              </w:rPr>
              <w:t xml:space="preserve">a </w:t>
            </w:r>
            <w:r w:rsidRPr="00624B98">
              <w:rPr>
                <w:rFonts w:asciiTheme="majorHAnsi" w:hAnsiTheme="majorHAnsi" w:cstheme="majorHAnsi"/>
                <w:szCs w:val="18"/>
              </w:rPr>
              <w:t>review of a service provider’s charges if it has concerns about the</w:t>
            </w:r>
            <w:r>
              <w:rPr>
                <w:rFonts w:asciiTheme="majorHAnsi" w:hAnsiTheme="majorHAnsi" w:cstheme="majorHAnsi"/>
                <w:szCs w:val="18"/>
              </w:rPr>
              <w:t>ir</w:t>
            </w:r>
            <w:r w:rsidRPr="00624B98">
              <w:rPr>
                <w:rFonts w:asciiTheme="majorHAnsi" w:hAnsiTheme="majorHAnsi" w:cstheme="majorHAnsi"/>
                <w:szCs w:val="18"/>
              </w:rPr>
              <w:t xml:space="preserve"> level (or if concerns are raised by an interested party); and </w:t>
            </w:r>
          </w:p>
          <w:p w14:paraId="04F5DA3D" w14:textId="77777777" w:rsidR="00624B98" w:rsidRPr="00624B98" w:rsidRDefault="0013316E" w:rsidP="00EE6669">
            <w:pPr>
              <w:pStyle w:val="TableBullet1"/>
              <w:spacing w:before="40" w:after="40" w:line="252" w:lineRule="auto"/>
              <w:rPr>
                <w:rFonts w:asciiTheme="majorHAnsi" w:hAnsiTheme="majorHAnsi" w:cstheme="majorHAnsi"/>
                <w:szCs w:val="18"/>
              </w:rPr>
            </w:pPr>
            <w:proofErr w:type="gramStart"/>
            <w:r w:rsidRPr="00624B98">
              <w:rPr>
                <w:rFonts w:asciiTheme="majorHAnsi" w:hAnsiTheme="majorHAnsi" w:cstheme="majorHAnsi"/>
                <w:szCs w:val="18"/>
              </w:rPr>
              <w:t>require</w:t>
            </w:r>
            <w:proofErr w:type="gramEnd"/>
            <w:r w:rsidRPr="00624B98">
              <w:rPr>
                <w:rFonts w:asciiTheme="majorHAnsi" w:hAnsiTheme="majorHAnsi" w:cstheme="majorHAnsi"/>
                <w:szCs w:val="18"/>
              </w:rPr>
              <w:t xml:space="preserve"> amendments to the charges if it finds that they do not comply with the pricing principle outlined above.</w:t>
            </w:r>
          </w:p>
        </w:tc>
      </w:tr>
      <w:bookmarkEnd w:id="32"/>
      <w:tr w:rsidR="005614F2" w:rsidRPr="00FA400C" w14:paraId="567E4F22" w14:textId="77777777" w:rsidTr="00442D9F">
        <w:tc>
          <w:tcPr>
            <w:tcW w:w="1565" w:type="dxa"/>
            <w:vMerge/>
            <w:tcBorders>
              <w:bottom w:val="single" w:sz="4" w:space="0" w:color="auto"/>
            </w:tcBorders>
          </w:tcPr>
          <w:p w14:paraId="3B46776A" w14:textId="77777777" w:rsidR="000A7F5B" w:rsidRPr="00FA400C" w:rsidRDefault="000A7F5B" w:rsidP="005614F2">
            <w:pPr>
              <w:pStyle w:val="BodyText"/>
              <w:spacing w:before="40" w:after="60" w:line="252" w:lineRule="auto"/>
              <w:rPr>
                <w:rFonts w:asciiTheme="majorHAnsi" w:hAnsiTheme="majorHAnsi" w:cstheme="majorHAnsi"/>
                <w:b/>
                <w:szCs w:val="18"/>
              </w:rPr>
            </w:pPr>
          </w:p>
        </w:tc>
        <w:tc>
          <w:tcPr>
            <w:tcW w:w="12753" w:type="dxa"/>
            <w:tcBorders>
              <w:bottom w:val="single" w:sz="4" w:space="0" w:color="auto"/>
            </w:tcBorders>
            <w:shd w:val="clear" w:color="auto" w:fill="FFFFFF" w:themeFill="background1"/>
          </w:tcPr>
          <w:p w14:paraId="195FFF5E" w14:textId="77777777" w:rsidR="005614F2" w:rsidRPr="005614F2" w:rsidRDefault="005614F2" w:rsidP="004069EF">
            <w:pPr>
              <w:pStyle w:val="TableBullet1"/>
              <w:numPr>
                <w:ilvl w:val="0"/>
                <w:numId w:val="0"/>
              </w:numPr>
              <w:spacing w:before="40" w:after="40" w:line="252" w:lineRule="auto"/>
              <w:ind w:left="85"/>
              <w:rPr>
                <w:rFonts w:asciiTheme="majorHAnsi" w:hAnsiTheme="majorHAnsi" w:cstheme="majorHAnsi"/>
                <w:b/>
                <w:szCs w:val="18"/>
              </w:rPr>
            </w:pPr>
            <w:r w:rsidRPr="005614F2">
              <w:rPr>
                <w:rFonts w:asciiTheme="majorHAnsi" w:hAnsiTheme="majorHAnsi" w:cstheme="majorHAnsi"/>
                <w:b/>
                <w:szCs w:val="18"/>
              </w:rPr>
              <w:t>Governance arrangements</w:t>
            </w:r>
          </w:p>
          <w:p w14:paraId="12D4752B" w14:textId="77777777" w:rsidR="000A7F5B" w:rsidRPr="00FA400C" w:rsidRDefault="000A7F5B" w:rsidP="004069EF">
            <w:pPr>
              <w:pStyle w:val="TableBullet1"/>
              <w:numPr>
                <w:ilvl w:val="0"/>
                <w:numId w:val="0"/>
              </w:numPr>
              <w:spacing w:before="40" w:after="40" w:line="252" w:lineRule="auto"/>
              <w:ind w:left="85"/>
              <w:rPr>
                <w:rFonts w:asciiTheme="majorHAnsi" w:hAnsiTheme="majorHAnsi" w:cstheme="majorHAnsi"/>
                <w:szCs w:val="18"/>
              </w:rPr>
            </w:pPr>
            <w:r w:rsidRPr="00FA400C">
              <w:rPr>
                <w:rFonts w:asciiTheme="majorHAnsi" w:hAnsiTheme="majorHAnsi" w:cstheme="majorHAnsi"/>
                <w:szCs w:val="18"/>
              </w:rPr>
              <w:t xml:space="preserve">The standard terms and requirements for the facility specific terms will be set out in an </w:t>
            </w:r>
            <w:r w:rsidRPr="00FA400C">
              <w:rPr>
                <w:rFonts w:asciiTheme="majorHAnsi" w:hAnsiTheme="majorHAnsi" w:cstheme="majorHAnsi"/>
                <w:b/>
                <w:szCs w:val="18"/>
              </w:rPr>
              <w:t>Operational GTA Code</w:t>
            </w:r>
            <w:r w:rsidRPr="00FA400C">
              <w:rPr>
                <w:rFonts w:asciiTheme="majorHAnsi" w:hAnsiTheme="majorHAnsi" w:cstheme="majorHAnsi"/>
                <w:szCs w:val="18"/>
              </w:rPr>
              <w:t xml:space="preserve">, which will be a new </w:t>
            </w:r>
            <w:r w:rsidR="00EE6669">
              <w:rPr>
                <w:rFonts w:asciiTheme="majorHAnsi" w:hAnsiTheme="majorHAnsi" w:cstheme="majorHAnsi"/>
                <w:szCs w:val="18"/>
              </w:rPr>
              <w:t xml:space="preserve">regulatory </w:t>
            </w:r>
            <w:r w:rsidRPr="00FA400C">
              <w:rPr>
                <w:rFonts w:asciiTheme="majorHAnsi" w:hAnsiTheme="majorHAnsi" w:cstheme="majorHAnsi"/>
                <w:szCs w:val="18"/>
              </w:rPr>
              <w:t>instrument developed under the NGL/NGR. Once the initial Code is made it will be subject to a hybrid governance model, which will involve the following:</w:t>
            </w:r>
          </w:p>
          <w:p w14:paraId="7B9FB90D" w14:textId="77777777" w:rsidR="000A7F5B" w:rsidRPr="00FA400C" w:rsidRDefault="000A7F5B" w:rsidP="004069EF">
            <w:pPr>
              <w:pStyle w:val="TableBullet1"/>
              <w:spacing w:before="40" w:after="40" w:line="252" w:lineRule="auto"/>
              <w:rPr>
                <w:rFonts w:asciiTheme="majorHAnsi" w:hAnsiTheme="majorHAnsi" w:cstheme="majorHAnsi"/>
                <w:szCs w:val="18"/>
              </w:rPr>
            </w:pPr>
            <w:r w:rsidRPr="00FA400C">
              <w:rPr>
                <w:rFonts w:asciiTheme="majorHAnsi" w:hAnsiTheme="majorHAnsi" w:cstheme="majorHAnsi"/>
                <w:szCs w:val="18"/>
              </w:rPr>
              <w:t xml:space="preserve">AEMO will be responsible for establishing an </w:t>
            </w:r>
            <w:r w:rsidR="000727AD">
              <w:rPr>
                <w:rFonts w:asciiTheme="majorHAnsi" w:hAnsiTheme="majorHAnsi" w:cstheme="majorHAnsi"/>
                <w:szCs w:val="18"/>
              </w:rPr>
              <w:t>I</w:t>
            </w:r>
            <w:r w:rsidRPr="00FA400C">
              <w:rPr>
                <w:rFonts w:asciiTheme="majorHAnsi" w:hAnsiTheme="majorHAnsi" w:cstheme="majorHAnsi"/>
                <w:szCs w:val="18"/>
              </w:rPr>
              <w:t xml:space="preserve">ndustry </w:t>
            </w:r>
            <w:r w:rsidR="000727AD">
              <w:rPr>
                <w:rFonts w:asciiTheme="majorHAnsi" w:hAnsiTheme="majorHAnsi" w:cstheme="majorHAnsi"/>
                <w:szCs w:val="18"/>
              </w:rPr>
              <w:t>P</w:t>
            </w:r>
            <w:r w:rsidRPr="00FA400C">
              <w:rPr>
                <w:rFonts w:asciiTheme="majorHAnsi" w:hAnsiTheme="majorHAnsi" w:cstheme="majorHAnsi"/>
                <w:szCs w:val="18"/>
              </w:rPr>
              <w:t xml:space="preserve">anel to consider changes to the Operational GTA Code and provide secretariat services to the panel. AEMO </w:t>
            </w:r>
            <w:r>
              <w:rPr>
                <w:rFonts w:asciiTheme="majorHAnsi" w:hAnsiTheme="majorHAnsi" w:cstheme="majorHAnsi"/>
                <w:szCs w:val="18"/>
              </w:rPr>
              <w:t>will</w:t>
            </w:r>
            <w:r w:rsidRPr="00FA400C">
              <w:rPr>
                <w:rFonts w:asciiTheme="majorHAnsi" w:hAnsiTheme="majorHAnsi" w:cstheme="majorHAnsi"/>
                <w:szCs w:val="18"/>
              </w:rPr>
              <w:t xml:space="preserve"> also be responsible for carrying out consultation on behalf of the </w:t>
            </w:r>
            <w:r w:rsidR="000727AD">
              <w:rPr>
                <w:rFonts w:asciiTheme="majorHAnsi" w:hAnsiTheme="majorHAnsi" w:cstheme="majorHAnsi"/>
                <w:szCs w:val="18"/>
              </w:rPr>
              <w:t>Industry P</w:t>
            </w:r>
            <w:r w:rsidRPr="00FA400C">
              <w:rPr>
                <w:rFonts w:asciiTheme="majorHAnsi" w:hAnsiTheme="majorHAnsi" w:cstheme="majorHAnsi"/>
                <w:szCs w:val="18"/>
              </w:rPr>
              <w:t>anel and requesting input from the AEMC</w:t>
            </w:r>
            <w:r>
              <w:rPr>
                <w:rFonts w:asciiTheme="majorHAnsi" w:hAnsiTheme="majorHAnsi" w:cstheme="majorHAnsi"/>
                <w:szCs w:val="18"/>
              </w:rPr>
              <w:t>, where required</w:t>
            </w:r>
            <w:r w:rsidRPr="00FA400C">
              <w:rPr>
                <w:rFonts w:asciiTheme="majorHAnsi" w:hAnsiTheme="majorHAnsi" w:cstheme="majorHAnsi"/>
                <w:szCs w:val="18"/>
              </w:rPr>
              <w:t xml:space="preserve">.  </w:t>
            </w:r>
          </w:p>
          <w:p w14:paraId="398B1E09" w14:textId="77777777" w:rsidR="000A7F5B" w:rsidRPr="00F01112" w:rsidRDefault="000A7F5B" w:rsidP="004069EF">
            <w:pPr>
              <w:pStyle w:val="TableBullet1"/>
              <w:spacing w:before="40" w:after="40" w:line="252" w:lineRule="auto"/>
              <w:rPr>
                <w:rFonts w:asciiTheme="majorHAnsi" w:hAnsiTheme="majorHAnsi" w:cstheme="majorHAnsi"/>
                <w:szCs w:val="18"/>
              </w:rPr>
            </w:pPr>
            <w:r w:rsidRPr="00FA400C">
              <w:rPr>
                <w:rFonts w:asciiTheme="majorHAnsi" w:hAnsiTheme="majorHAnsi" w:cstheme="majorHAnsi"/>
                <w:szCs w:val="18"/>
              </w:rPr>
              <w:t xml:space="preserve">Changes recommended by the </w:t>
            </w:r>
            <w:r w:rsidR="00DE0813">
              <w:rPr>
                <w:rFonts w:asciiTheme="majorHAnsi" w:hAnsiTheme="majorHAnsi" w:cstheme="majorHAnsi"/>
                <w:szCs w:val="18"/>
              </w:rPr>
              <w:t>Industry P</w:t>
            </w:r>
            <w:r w:rsidRPr="00FA400C">
              <w:rPr>
                <w:rFonts w:asciiTheme="majorHAnsi" w:hAnsiTheme="majorHAnsi" w:cstheme="majorHAnsi"/>
                <w:szCs w:val="18"/>
              </w:rPr>
              <w:t xml:space="preserve">anel </w:t>
            </w:r>
            <w:r>
              <w:rPr>
                <w:rFonts w:asciiTheme="majorHAnsi" w:hAnsiTheme="majorHAnsi" w:cstheme="majorHAnsi"/>
                <w:szCs w:val="18"/>
              </w:rPr>
              <w:t>will</w:t>
            </w:r>
            <w:r w:rsidRPr="00FA400C">
              <w:rPr>
                <w:rFonts w:asciiTheme="majorHAnsi" w:hAnsiTheme="majorHAnsi" w:cstheme="majorHAnsi"/>
                <w:szCs w:val="18"/>
              </w:rPr>
              <w:t xml:space="preserve"> only take effect if approved by the AER.  In deciding whether to approve the changes, the AER </w:t>
            </w:r>
            <w:r>
              <w:rPr>
                <w:rFonts w:asciiTheme="majorHAnsi" w:hAnsiTheme="majorHAnsi" w:cstheme="majorHAnsi"/>
                <w:szCs w:val="18"/>
              </w:rPr>
              <w:t>will be requi</w:t>
            </w:r>
            <w:r w:rsidRPr="00F01112">
              <w:rPr>
                <w:rFonts w:asciiTheme="majorHAnsi" w:hAnsiTheme="majorHAnsi" w:cstheme="majorHAnsi"/>
                <w:szCs w:val="18"/>
              </w:rPr>
              <w:t xml:space="preserve">red to take into account the panel’s recommendation (but will not be bound by it), the NGO and principles in the NGR.  </w:t>
            </w:r>
          </w:p>
          <w:p w14:paraId="290C11EB" w14:textId="77777777" w:rsidR="00F01112" w:rsidRPr="00F01112" w:rsidRDefault="00F01112" w:rsidP="004069EF">
            <w:pPr>
              <w:pStyle w:val="TableBullet1"/>
              <w:numPr>
                <w:ilvl w:val="0"/>
                <w:numId w:val="0"/>
              </w:numPr>
              <w:spacing w:after="40" w:line="252" w:lineRule="auto"/>
              <w:ind w:left="85"/>
              <w:rPr>
                <w:rFonts w:asciiTheme="majorHAnsi" w:hAnsiTheme="majorHAnsi" w:cstheme="majorHAnsi"/>
                <w:szCs w:val="18"/>
              </w:rPr>
            </w:pPr>
            <w:r w:rsidRPr="00F01112">
              <w:rPr>
                <w:rFonts w:asciiTheme="majorHAnsi" w:hAnsiTheme="majorHAnsi" w:cstheme="majorHAnsi"/>
                <w:szCs w:val="18"/>
              </w:rPr>
              <w:t xml:space="preserve">The AER is considered the most appropriate body to take on this role, because it is consistent with its current role in relation to approving the terms and conditions of access to covered pipelines and is not subject to the same types of conflicts that AEMO or the AEMC would be subject to. </w:t>
            </w:r>
          </w:p>
          <w:p w14:paraId="4F182542" w14:textId="77777777" w:rsidR="000A7F5B" w:rsidRPr="00F01112" w:rsidRDefault="000A7F5B" w:rsidP="004069EF">
            <w:pPr>
              <w:pStyle w:val="TableBullet1"/>
              <w:numPr>
                <w:ilvl w:val="0"/>
                <w:numId w:val="0"/>
              </w:numPr>
              <w:spacing w:before="40" w:after="40" w:line="252" w:lineRule="auto"/>
              <w:ind w:left="312" w:hanging="227"/>
              <w:rPr>
                <w:rFonts w:asciiTheme="majorHAnsi" w:hAnsiTheme="majorHAnsi" w:cstheme="majorHAnsi"/>
                <w:szCs w:val="18"/>
              </w:rPr>
            </w:pPr>
            <w:r w:rsidRPr="00F01112">
              <w:rPr>
                <w:rFonts w:asciiTheme="majorHAnsi" w:hAnsiTheme="majorHAnsi" w:cstheme="majorHAnsi"/>
                <w:szCs w:val="18"/>
              </w:rPr>
              <w:t xml:space="preserve">Under the proposed governance framework, the AER will also: </w:t>
            </w:r>
          </w:p>
          <w:p w14:paraId="6C5A3A5A" w14:textId="77777777" w:rsidR="000A7F5B" w:rsidRPr="00FA400C" w:rsidRDefault="000A7F5B" w:rsidP="004069EF">
            <w:pPr>
              <w:pStyle w:val="TableBullet1"/>
              <w:spacing w:before="40" w:after="40" w:line="252" w:lineRule="auto"/>
              <w:rPr>
                <w:rFonts w:asciiTheme="majorHAnsi" w:hAnsiTheme="majorHAnsi" w:cstheme="majorHAnsi"/>
                <w:szCs w:val="18"/>
                <w:lang w:eastAsia="fr-CA"/>
              </w:rPr>
            </w:pPr>
            <w:r w:rsidRPr="00F01112">
              <w:rPr>
                <w:rFonts w:asciiTheme="majorHAnsi" w:hAnsiTheme="majorHAnsi" w:cstheme="majorHAnsi"/>
                <w:szCs w:val="18"/>
              </w:rPr>
              <w:t xml:space="preserve">be responsible for monitoring </w:t>
            </w:r>
            <w:r w:rsidR="005614F2" w:rsidRPr="00F01112">
              <w:rPr>
                <w:rFonts w:asciiTheme="majorHAnsi" w:hAnsiTheme="majorHAnsi" w:cstheme="majorHAnsi"/>
                <w:szCs w:val="18"/>
              </w:rPr>
              <w:t>service providers’</w:t>
            </w:r>
            <w:r w:rsidRPr="00F01112">
              <w:rPr>
                <w:rFonts w:asciiTheme="majorHAnsi" w:hAnsiTheme="majorHAnsi" w:cstheme="majorHAnsi"/>
                <w:szCs w:val="18"/>
              </w:rPr>
              <w:t xml:space="preserve"> compliance with the obligation to publish the standard operational GTA and that </w:t>
            </w:r>
            <w:r w:rsidR="005614F2" w:rsidRPr="00F01112">
              <w:rPr>
                <w:rFonts w:asciiTheme="majorHAnsi" w:hAnsiTheme="majorHAnsi" w:cstheme="majorHAnsi"/>
                <w:szCs w:val="18"/>
              </w:rPr>
              <w:t xml:space="preserve">the </w:t>
            </w:r>
            <w:r w:rsidRPr="00F01112">
              <w:rPr>
                <w:rFonts w:asciiTheme="majorHAnsi" w:hAnsiTheme="majorHAnsi" w:cstheme="majorHAnsi"/>
                <w:szCs w:val="18"/>
              </w:rPr>
              <w:t xml:space="preserve">facility specific terms </w:t>
            </w:r>
            <w:r w:rsidR="005614F2" w:rsidRPr="00F01112">
              <w:rPr>
                <w:rFonts w:asciiTheme="majorHAnsi" w:hAnsiTheme="majorHAnsi" w:cstheme="majorHAnsi"/>
                <w:szCs w:val="18"/>
              </w:rPr>
              <w:t>and charges levi</w:t>
            </w:r>
            <w:r w:rsidR="005614F2">
              <w:rPr>
                <w:rFonts w:asciiTheme="majorHAnsi" w:hAnsiTheme="majorHAnsi" w:cstheme="majorHAnsi"/>
                <w:szCs w:val="18"/>
              </w:rPr>
              <w:t xml:space="preserve">ed by service providers for entering into these arrangements, </w:t>
            </w:r>
            <w:r w:rsidRPr="00FA400C">
              <w:rPr>
                <w:rFonts w:asciiTheme="majorHAnsi" w:hAnsiTheme="majorHAnsi" w:cstheme="majorHAnsi"/>
                <w:szCs w:val="18"/>
              </w:rPr>
              <w:t>ar</w:t>
            </w:r>
            <w:r w:rsidRPr="00FA400C">
              <w:rPr>
                <w:rFonts w:asciiTheme="majorHAnsi" w:hAnsiTheme="majorHAnsi" w:cstheme="majorHAnsi"/>
                <w:szCs w:val="18"/>
                <w:lang w:eastAsia="fr-CA"/>
              </w:rPr>
              <w:t>e consistent with the Operational GTA Code and NGR principles</w:t>
            </w:r>
            <w:r w:rsidR="005614F2">
              <w:rPr>
                <w:rFonts w:asciiTheme="majorHAnsi" w:hAnsiTheme="majorHAnsi" w:cstheme="majorHAnsi"/>
                <w:szCs w:val="18"/>
                <w:lang w:eastAsia="fr-CA"/>
              </w:rPr>
              <w:t xml:space="preserve">; </w:t>
            </w:r>
          </w:p>
          <w:p w14:paraId="5C7D85AE" w14:textId="77777777" w:rsidR="000A7F5B" w:rsidRPr="00FA400C" w:rsidRDefault="000A7F5B" w:rsidP="004069EF">
            <w:pPr>
              <w:pStyle w:val="TableBullet1"/>
              <w:spacing w:before="40" w:after="40" w:line="252" w:lineRule="auto"/>
              <w:rPr>
                <w:rFonts w:asciiTheme="majorHAnsi" w:hAnsiTheme="majorHAnsi" w:cstheme="majorHAnsi"/>
                <w:szCs w:val="18"/>
              </w:rPr>
            </w:pPr>
            <w:proofErr w:type="gramStart"/>
            <w:r w:rsidRPr="00FA400C">
              <w:rPr>
                <w:rFonts w:asciiTheme="majorHAnsi" w:hAnsiTheme="majorHAnsi" w:cstheme="majorHAnsi"/>
                <w:szCs w:val="18"/>
                <w:lang w:eastAsia="fr-CA"/>
              </w:rPr>
              <w:t>have</w:t>
            </w:r>
            <w:proofErr w:type="gramEnd"/>
            <w:r w:rsidRPr="00FA400C">
              <w:rPr>
                <w:rFonts w:asciiTheme="majorHAnsi" w:hAnsiTheme="majorHAnsi" w:cstheme="majorHAnsi"/>
                <w:szCs w:val="18"/>
                <w:lang w:eastAsia="fr-CA"/>
              </w:rPr>
              <w:t xml:space="preserve"> the power to exempt a facility from the requirement to publish a standardised operational GTA</w:t>
            </w:r>
            <w:r w:rsidR="005614F2">
              <w:rPr>
                <w:rFonts w:asciiTheme="majorHAnsi" w:hAnsiTheme="majorHAnsi" w:cstheme="majorHAnsi"/>
                <w:szCs w:val="18"/>
                <w:lang w:eastAsia="fr-CA"/>
              </w:rPr>
              <w:t xml:space="preserve"> (e.g. if it is not providing third party access)</w:t>
            </w:r>
            <w:r w:rsidRPr="00FA400C">
              <w:rPr>
                <w:rFonts w:asciiTheme="majorHAnsi" w:hAnsiTheme="majorHAnsi" w:cstheme="majorHAnsi"/>
                <w:szCs w:val="18"/>
                <w:lang w:eastAsia="fr-CA"/>
              </w:rPr>
              <w:t>.</w:t>
            </w:r>
          </w:p>
        </w:tc>
      </w:tr>
      <w:tr w:rsidR="005614F2" w:rsidRPr="00FA400C" w14:paraId="1AB689B6" w14:textId="77777777" w:rsidTr="00E10130">
        <w:trPr>
          <w:cnfStyle w:val="000000010000" w:firstRow="0" w:lastRow="0" w:firstColumn="0" w:lastColumn="0" w:oddVBand="0" w:evenVBand="0" w:oddHBand="0" w:evenHBand="1" w:firstRowFirstColumn="0" w:firstRowLastColumn="0" w:lastRowFirstColumn="0" w:lastRowLastColumn="0"/>
          <w:trHeight w:val="1181"/>
        </w:trPr>
        <w:tc>
          <w:tcPr>
            <w:tcW w:w="1565" w:type="dxa"/>
            <w:vMerge w:val="restart"/>
          </w:tcPr>
          <w:p w14:paraId="46AEACE8" w14:textId="77777777" w:rsidR="005614F2" w:rsidRPr="00FA400C" w:rsidRDefault="005614F2" w:rsidP="00F01112">
            <w:pPr>
              <w:pStyle w:val="BodyText"/>
              <w:spacing w:before="60" w:after="60" w:line="252" w:lineRule="auto"/>
              <w:rPr>
                <w:rFonts w:asciiTheme="majorHAnsi" w:hAnsiTheme="majorHAnsi" w:cstheme="majorHAnsi"/>
                <w:b/>
                <w:szCs w:val="18"/>
              </w:rPr>
            </w:pPr>
            <w:r>
              <w:rPr>
                <w:rFonts w:asciiTheme="majorHAnsi" w:hAnsiTheme="majorHAnsi" w:cstheme="majorHAnsi"/>
                <w:b/>
                <w:szCs w:val="18"/>
              </w:rPr>
              <w:t>Other measures to reduce barriers to secondary trading</w:t>
            </w:r>
            <w:r w:rsidR="00140CEC">
              <w:rPr>
                <w:rFonts w:asciiTheme="majorHAnsi" w:hAnsiTheme="majorHAnsi" w:cstheme="majorHAnsi"/>
                <w:b/>
                <w:szCs w:val="18"/>
              </w:rPr>
              <w:t xml:space="preserve"> and participation in the auction</w:t>
            </w:r>
          </w:p>
        </w:tc>
        <w:tc>
          <w:tcPr>
            <w:tcW w:w="12753" w:type="dxa"/>
          </w:tcPr>
          <w:p w14:paraId="362C2D27" w14:textId="77777777" w:rsidR="005614F2" w:rsidRDefault="005614F2" w:rsidP="004069EF">
            <w:pPr>
              <w:pStyle w:val="TableBullet1"/>
              <w:numPr>
                <w:ilvl w:val="0"/>
                <w:numId w:val="0"/>
              </w:numPr>
              <w:spacing w:after="40" w:line="252" w:lineRule="auto"/>
              <w:ind w:left="85"/>
              <w:rPr>
                <w:rFonts w:asciiTheme="majorHAnsi" w:hAnsiTheme="majorHAnsi" w:cstheme="majorHAnsi"/>
                <w:szCs w:val="18"/>
              </w:rPr>
            </w:pPr>
            <w:r w:rsidRPr="00FA400C">
              <w:rPr>
                <w:rFonts w:asciiTheme="majorHAnsi" w:hAnsiTheme="majorHAnsi" w:cstheme="majorHAnsi"/>
                <w:b/>
                <w:szCs w:val="18"/>
              </w:rPr>
              <w:t>Allocation arrangements</w:t>
            </w:r>
            <w:r w:rsidRPr="00FA400C">
              <w:rPr>
                <w:rFonts w:asciiTheme="majorHAnsi" w:hAnsiTheme="majorHAnsi" w:cstheme="majorHAnsi"/>
                <w:szCs w:val="18"/>
              </w:rPr>
              <w:t xml:space="preserve"> </w:t>
            </w:r>
          </w:p>
          <w:p w14:paraId="57CD0815" w14:textId="77777777" w:rsidR="000D2CE5" w:rsidRDefault="005614F2" w:rsidP="004069EF">
            <w:pPr>
              <w:pStyle w:val="TableBullet1"/>
              <w:numPr>
                <w:ilvl w:val="0"/>
                <w:numId w:val="0"/>
              </w:numPr>
              <w:spacing w:after="40" w:line="252" w:lineRule="auto"/>
              <w:ind w:left="85"/>
              <w:rPr>
                <w:rFonts w:asciiTheme="majorHAnsi" w:hAnsiTheme="majorHAnsi" w:cstheme="majorHAnsi"/>
                <w:szCs w:val="18"/>
              </w:rPr>
            </w:pPr>
            <w:r w:rsidRPr="00FA400C">
              <w:rPr>
                <w:rFonts w:asciiTheme="majorHAnsi" w:hAnsiTheme="majorHAnsi" w:cstheme="majorHAnsi"/>
                <w:szCs w:val="18"/>
              </w:rPr>
              <w:t xml:space="preserve">To reduce the opaqueness currently surrounding allocation agreements, information on the allocation agents a secondary shipper would need to contact to become a party to an allocation agreement at all the relevant points should be published on the </w:t>
            </w:r>
            <w:r w:rsidR="001753D7" w:rsidRPr="00E37A1E">
              <w:rPr>
                <w:szCs w:val="18"/>
              </w:rPr>
              <w:t>Natural Gas Services Bulletin Board</w:t>
            </w:r>
            <w:r w:rsidR="001753D7">
              <w:rPr>
                <w:rFonts w:asciiTheme="majorHAnsi" w:hAnsiTheme="majorHAnsi" w:cstheme="majorHAnsi"/>
                <w:szCs w:val="18"/>
              </w:rPr>
              <w:t xml:space="preserve"> (</w:t>
            </w:r>
            <w:r>
              <w:rPr>
                <w:rFonts w:asciiTheme="majorHAnsi" w:hAnsiTheme="majorHAnsi" w:cstheme="majorHAnsi"/>
                <w:szCs w:val="18"/>
              </w:rPr>
              <w:t>B</w:t>
            </w:r>
            <w:r w:rsidR="001753D7">
              <w:rPr>
                <w:rFonts w:asciiTheme="majorHAnsi" w:hAnsiTheme="majorHAnsi" w:cstheme="majorHAnsi"/>
                <w:szCs w:val="18"/>
              </w:rPr>
              <w:t>B).</w:t>
            </w:r>
          </w:p>
          <w:p w14:paraId="6FBC0271" w14:textId="77777777" w:rsidR="004E791B" w:rsidRPr="00FA400C" w:rsidRDefault="000D2CE5" w:rsidP="004069EF">
            <w:pPr>
              <w:pStyle w:val="TableBullet1"/>
              <w:numPr>
                <w:ilvl w:val="0"/>
                <w:numId w:val="0"/>
              </w:numPr>
              <w:spacing w:after="40" w:line="252" w:lineRule="auto"/>
              <w:ind w:left="85"/>
              <w:rPr>
                <w:szCs w:val="18"/>
              </w:rPr>
            </w:pPr>
            <w:r w:rsidRPr="00FA400C">
              <w:rPr>
                <w:rFonts w:asciiTheme="majorHAnsi" w:hAnsiTheme="majorHAnsi" w:cstheme="majorHAnsi"/>
                <w:szCs w:val="18"/>
              </w:rPr>
              <w:t>The GMRG also recommends that</w:t>
            </w:r>
            <w:r>
              <w:rPr>
                <w:rFonts w:asciiTheme="majorHAnsi" w:hAnsiTheme="majorHAnsi" w:cstheme="majorHAnsi"/>
                <w:szCs w:val="18"/>
              </w:rPr>
              <w:t xml:space="preserve"> </w:t>
            </w:r>
            <w:r w:rsidRPr="00FA400C">
              <w:rPr>
                <w:szCs w:val="18"/>
              </w:rPr>
              <w:t xml:space="preserve">further </w:t>
            </w:r>
            <w:r>
              <w:rPr>
                <w:szCs w:val="18"/>
              </w:rPr>
              <w:t>work</w:t>
            </w:r>
            <w:r w:rsidRPr="00FA400C">
              <w:rPr>
                <w:szCs w:val="18"/>
              </w:rPr>
              <w:t xml:space="preserve"> be carried out by the GMRG</w:t>
            </w:r>
            <w:r>
              <w:rPr>
                <w:szCs w:val="18"/>
              </w:rPr>
              <w:t>,</w:t>
            </w:r>
            <w:r w:rsidRPr="00FA400C">
              <w:rPr>
                <w:szCs w:val="18"/>
              </w:rPr>
              <w:t xml:space="preserve"> </w:t>
            </w:r>
            <w:r>
              <w:rPr>
                <w:szCs w:val="18"/>
              </w:rPr>
              <w:t xml:space="preserve">in consultation with AEMO and industry, </w:t>
            </w:r>
            <w:r w:rsidRPr="00FA400C">
              <w:rPr>
                <w:szCs w:val="18"/>
              </w:rPr>
              <w:t xml:space="preserve">in early 2018 to </w:t>
            </w:r>
            <w:r>
              <w:rPr>
                <w:szCs w:val="18"/>
              </w:rPr>
              <w:t xml:space="preserve">address the allocation issues at Moomba and </w:t>
            </w:r>
            <w:r w:rsidRPr="00FA400C">
              <w:rPr>
                <w:szCs w:val="18"/>
              </w:rPr>
              <w:t xml:space="preserve">determine whether </w:t>
            </w:r>
            <w:r>
              <w:rPr>
                <w:szCs w:val="18"/>
              </w:rPr>
              <w:t>additional</w:t>
            </w:r>
            <w:r w:rsidRPr="00FA400C">
              <w:rPr>
                <w:szCs w:val="18"/>
              </w:rPr>
              <w:t xml:space="preserve"> reforms are required to reduce the </w:t>
            </w:r>
            <w:r>
              <w:rPr>
                <w:szCs w:val="18"/>
              </w:rPr>
              <w:t xml:space="preserve">other </w:t>
            </w:r>
            <w:r w:rsidRPr="00FA400C">
              <w:rPr>
                <w:szCs w:val="18"/>
              </w:rPr>
              <w:t>barriers</w:t>
            </w:r>
            <w:r w:rsidR="0043336E">
              <w:rPr>
                <w:szCs w:val="18"/>
              </w:rPr>
              <w:t xml:space="preserve"> to trade</w:t>
            </w:r>
            <w:r w:rsidRPr="00FA400C">
              <w:rPr>
                <w:szCs w:val="18"/>
              </w:rPr>
              <w:t xml:space="preserve"> posed by allocation arrangements.</w:t>
            </w:r>
            <w:r w:rsidR="004069EF">
              <w:rPr>
                <w:szCs w:val="18"/>
              </w:rPr>
              <w:t xml:space="preserve"> </w:t>
            </w:r>
            <w:r w:rsidR="004E791B">
              <w:rPr>
                <w:szCs w:val="18"/>
              </w:rPr>
              <w:t>The GMRG will also work with the ACCC to determine whether any additional transparency measures are required in relation to allocation agreements.</w:t>
            </w:r>
          </w:p>
        </w:tc>
      </w:tr>
      <w:tr w:rsidR="005614F2" w:rsidRPr="00FA400C" w14:paraId="780C1E4A" w14:textId="77777777" w:rsidTr="00442D9F">
        <w:trPr>
          <w:trHeight w:val="1728"/>
        </w:trPr>
        <w:tc>
          <w:tcPr>
            <w:tcW w:w="1565" w:type="dxa"/>
            <w:vMerge/>
            <w:shd w:val="clear" w:color="auto" w:fill="E1E2E7" w:themeFill="background2"/>
          </w:tcPr>
          <w:p w14:paraId="67CDCAE1" w14:textId="77777777" w:rsidR="005614F2" w:rsidRPr="00FA400C" w:rsidRDefault="005614F2" w:rsidP="00F01112">
            <w:pPr>
              <w:pStyle w:val="BodyText"/>
              <w:spacing w:before="60" w:after="60" w:line="252" w:lineRule="auto"/>
              <w:rPr>
                <w:rFonts w:asciiTheme="majorHAnsi" w:hAnsiTheme="majorHAnsi" w:cstheme="majorHAnsi"/>
                <w:b/>
                <w:szCs w:val="18"/>
              </w:rPr>
            </w:pPr>
          </w:p>
        </w:tc>
        <w:tc>
          <w:tcPr>
            <w:tcW w:w="12753" w:type="dxa"/>
            <w:shd w:val="clear" w:color="auto" w:fill="E1E2E7" w:themeFill="background2"/>
          </w:tcPr>
          <w:p w14:paraId="5CED09AE" w14:textId="77777777" w:rsidR="005614F2" w:rsidRDefault="005614F2" w:rsidP="00DE0813">
            <w:pPr>
              <w:pStyle w:val="TableBodyText"/>
              <w:spacing w:before="40" w:after="40" w:line="252" w:lineRule="auto"/>
              <w:rPr>
                <w:rFonts w:asciiTheme="majorHAnsi" w:hAnsiTheme="majorHAnsi" w:cstheme="majorHAnsi"/>
                <w:szCs w:val="18"/>
              </w:rPr>
            </w:pPr>
            <w:r w:rsidRPr="00FA400C">
              <w:rPr>
                <w:rFonts w:asciiTheme="majorHAnsi" w:hAnsiTheme="majorHAnsi" w:cstheme="majorHAnsi"/>
                <w:b/>
                <w:szCs w:val="18"/>
              </w:rPr>
              <w:t>Contractual limitations on capacity trading in primary GTAs</w:t>
            </w:r>
            <w:r w:rsidRPr="00FA400C">
              <w:rPr>
                <w:rFonts w:asciiTheme="majorHAnsi" w:hAnsiTheme="majorHAnsi" w:cstheme="majorHAnsi"/>
                <w:szCs w:val="18"/>
              </w:rPr>
              <w:t xml:space="preserve"> </w:t>
            </w:r>
          </w:p>
          <w:p w14:paraId="0C99404A" w14:textId="77777777" w:rsidR="005614F2" w:rsidRPr="00FA400C" w:rsidRDefault="005614F2" w:rsidP="00DE0813">
            <w:pPr>
              <w:pStyle w:val="TableBodyText"/>
              <w:spacing w:before="40" w:after="40" w:line="252" w:lineRule="auto"/>
              <w:rPr>
                <w:rFonts w:asciiTheme="majorHAnsi" w:hAnsiTheme="majorHAnsi" w:cstheme="majorHAnsi"/>
                <w:szCs w:val="18"/>
              </w:rPr>
            </w:pPr>
            <w:r w:rsidRPr="00FA400C">
              <w:rPr>
                <w:rFonts w:asciiTheme="majorHAnsi" w:hAnsiTheme="majorHAnsi" w:cstheme="majorHAnsi"/>
                <w:szCs w:val="18"/>
              </w:rPr>
              <w:t>There are a number of provisions in primary GTAs that may prevent or impede secondary trading. To ensure these do not act as a barrier to secondary capacity trading, the GMRG recommends that:</w:t>
            </w:r>
          </w:p>
          <w:p w14:paraId="6E4415D2" w14:textId="77777777" w:rsidR="00DE0813" w:rsidRDefault="00DE0813" w:rsidP="00DE0813">
            <w:pPr>
              <w:pStyle w:val="TableBullet1"/>
              <w:spacing w:before="40"/>
              <w:rPr>
                <w:lang w:val="en-US" w:eastAsia="fr-CA"/>
              </w:rPr>
            </w:pPr>
            <w:r>
              <w:rPr>
                <w:lang w:val="en-US" w:eastAsia="fr-CA"/>
              </w:rPr>
              <w:t xml:space="preserve">Provisions that prohibit primary shippers from trading capacity, or require primary shippers to obtain a service provider’s consent before they can trade capacity, be addressed through provisions that will require service providers to allow users to transfer </w:t>
            </w:r>
            <w:r>
              <w:t>contracted capacity to another party, without the service provider’s consent, if the user remains liable for capacity payments and the transferee has an operational GTA.</w:t>
            </w:r>
          </w:p>
          <w:p w14:paraId="4506094F" w14:textId="77777777" w:rsidR="00DE0813" w:rsidRDefault="00DE0813" w:rsidP="00DE0813">
            <w:pPr>
              <w:pStyle w:val="TableBullet1"/>
              <w:spacing w:before="40"/>
            </w:pPr>
            <w:r>
              <w:rPr>
                <w:lang w:val="en-US" w:eastAsia="fr-CA"/>
              </w:rPr>
              <w:t xml:space="preserve">Provisions that prohibit primary shippers from requesting changes to receipt and delivery points, or limit the number of changes that can be requested, be addressed through provisions detailing the rights shippers have to seek changes to receipt or delivery points; the timeframes within which service providers must respond; and the pricing principle to apply to charges levied by the service provider for these changes (i.e. charges should be cost reflective and reflect the outcomes of a workably competitive market). </w:t>
            </w:r>
          </w:p>
          <w:p w14:paraId="139FE475" w14:textId="77777777" w:rsidR="005614F2" w:rsidRPr="00FA400C" w:rsidRDefault="00DE0813" w:rsidP="00DE0813">
            <w:pPr>
              <w:pStyle w:val="TableBullet1"/>
              <w:numPr>
                <w:ilvl w:val="0"/>
                <w:numId w:val="0"/>
              </w:numPr>
              <w:spacing w:before="40"/>
              <w:ind w:left="85"/>
            </w:pPr>
            <w:r>
              <w:t>The provisions are expected to draw on the approach in rules 105(2) and 106(1) of the NGR, which apply in relation to scheme pipelines.</w:t>
            </w:r>
          </w:p>
        </w:tc>
      </w:tr>
      <w:tr w:rsidR="005614F2" w:rsidRPr="00FA400C" w14:paraId="672C0593" w14:textId="77777777" w:rsidTr="00442D9F">
        <w:trPr>
          <w:cnfStyle w:val="000000010000" w:firstRow="0" w:lastRow="0" w:firstColumn="0" w:lastColumn="0" w:oddVBand="0" w:evenVBand="0" w:oddHBand="0" w:evenHBand="1" w:firstRowFirstColumn="0" w:firstRowLastColumn="0" w:lastRowFirstColumn="0" w:lastRowLastColumn="0"/>
        </w:trPr>
        <w:tc>
          <w:tcPr>
            <w:tcW w:w="1565" w:type="dxa"/>
            <w:vMerge/>
            <w:tcBorders>
              <w:bottom w:val="single" w:sz="4" w:space="0" w:color="auto"/>
            </w:tcBorders>
          </w:tcPr>
          <w:p w14:paraId="03F2E928" w14:textId="77777777" w:rsidR="005614F2" w:rsidRPr="00FA400C" w:rsidRDefault="005614F2" w:rsidP="00F01112">
            <w:pPr>
              <w:pStyle w:val="BodyText"/>
              <w:spacing w:before="60" w:after="60" w:line="252" w:lineRule="auto"/>
              <w:rPr>
                <w:rFonts w:asciiTheme="majorHAnsi" w:hAnsiTheme="majorHAnsi" w:cstheme="majorHAnsi"/>
                <w:b/>
                <w:szCs w:val="18"/>
              </w:rPr>
            </w:pPr>
          </w:p>
        </w:tc>
        <w:tc>
          <w:tcPr>
            <w:tcW w:w="12753" w:type="dxa"/>
            <w:tcBorders>
              <w:bottom w:val="single" w:sz="4" w:space="0" w:color="auto"/>
            </w:tcBorders>
          </w:tcPr>
          <w:p w14:paraId="18E76924" w14:textId="77777777" w:rsidR="005614F2" w:rsidRDefault="005614F2" w:rsidP="00DE0813">
            <w:pPr>
              <w:pStyle w:val="TableBullet1"/>
              <w:numPr>
                <w:ilvl w:val="0"/>
                <w:numId w:val="0"/>
              </w:numPr>
              <w:spacing w:before="40" w:after="40" w:line="252" w:lineRule="auto"/>
              <w:ind w:left="85"/>
              <w:rPr>
                <w:rFonts w:asciiTheme="majorHAnsi" w:hAnsiTheme="majorHAnsi" w:cstheme="majorHAnsi"/>
                <w:szCs w:val="18"/>
              </w:rPr>
            </w:pPr>
            <w:r w:rsidRPr="00FA400C">
              <w:rPr>
                <w:rFonts w:asciiTheme="majorHAnsi" w:hAnsiTheme="majorHAnsi" w:cstheme="majorHAnsi"/>
                <w:b/>
                <w:szCs w:val="18"/>
              </w:rPr>
              <w:t>Harmonisation of gas day start times and nomination cut-off times</w:t>
            </w:r>
            <w:r w:rsidRPr="00FA400C">
              <w:rPr>
                <w:rFonts w:asciiTheme="majorHAnsi" w:hAnsiTheme="majorHAnsi" w:cstheme="majorHAnsi"/>
                <w:szCs w:val="18"/>
              </w:rPr>
              <w:t xml:space="preserve"> </w:t>
            </w:r>
          </w:p>
          <w:p w14:paraId="00B95A1B" w14:textId="77777777" w:rsidR="005614F2" w:rsidRPr="00FA400C" w:rsidRDefault="005614F2" w:rsidP="00DE0813">
            <w:pPr>
              <w:pStyle w:val="TableBullet1"/>
              <w:numPr>
                <w:ilvl w:val="0"/>
                <w:numId w:val="0"/>
              </w:numPr>
              <w:spacing w:before="40" w:after="40" w:line="252" w:lineRule="auto"/>
              <w:ind w:left="85"/>
              <w:rPr>
                <w:rFonts w:asciiTheme="majorHAnsi" w:hAnsiTheme="majorHAnsi" w:cstheme="majorHAnsi"/>
                <w:szCs w:val="18"/>
              </w:rPr>
            </w:pPr>
            <w:r w:rsidRPr="00FA400C">
              <w:rPr>
                <w:rFonts w:asciiTheme="majorHAnsi" w:hAnsiTheme="majorHAnsi" w:cstheme="majorHAnsi"/>
                <w:szCs w:val="18"/>
              </w:rPr>
              <w:t xml:space="preserve">To remove the barriers to trade posed by differences in gas day start times and nomination cut-off times, the GMRG recommends that changes be made to the NGL/NGR to require the adoption of: </w:t>
            </w:r>
          </w:p>
          <w:p w14:paraId="61C270FC" w14:textId="77777777" w:rsidR="005614F2" w:rsidRPr="00FA400C" w:rsidRDefault="005614F2" w:rsidP="00DE0813">
            <w:pPr>
              <w:pStyle w:val="TableBullet1"/>
              <w:spacing w:before="40" w:after="40" w:line="252" w:lineRule="auto"/>
              <w:rPr>
                <w:rFonts w:asciiTheme="majorHAnsi" w:hAnsiTheme="majorHAnsi" w:cstheme="majorHAnsi"/>
                <w:szCs w:val="18"/>
              </w:rPr>
            </w:pPr>
            <w:r w:rsidRPr="00FA400C">
              <w:rPr>
                <w:rFonts w:asciiTheme="majorHAnsi" w:hAnsiTheme="majorHAnsi" w:cstheme="majorHAnsi"/>
                <w:szCs w:val="18"/>
              </w:rPr>
              <w:t xml:space="preserve">a common gas day start time of 6 am (AEST) across the east coast (and the </w:t>
            </w:r>
            <w:r>
              <w:rPr>
                <w:rFonts w:asciiTheme="majorHAnsi" w:hAnsiTheme="majorHAnsi" w:cstheme="majorHAnsi"/>
                <w:szCs w:val="18"/>
              </w:rPr>
              <w:t>Northern Territory</w:t>
            </w:r>
            <w:r w:rsidRPr="00FA400C">
              <w:rPr>
                <w:rFonts w:asciiTheme="majorHAnsi" w:hAnsiTheme="majorHAnsi" w:cstheme="majorHAnsi"/>
                <w:szCs w:val="18"/>
              </w:rPr>
              <w:t xml:space="preserve"> once it becomes connected) and apply to the operators of all production, pipeline, compressor and storage facilities; and</w:t>
            </w:r>
          </w:p>
          <w:p w14:paraId="7B754FB5" w14:textId="77777777" w:rsidR="005614F2" w:rsidRPr="00FA400C" w:rsidRDefault="005614F2" w:rsidP="00DE0813">
            <w:pPr>
              <w:pStyle w:val="TableBullet1"/>
              <w:spacing w:before="40" w:after="40" w:line="252" w:lineRule="auto"/>
              <w:rPr>
                <w:rFonts w:asciiTheme="majorHAnsi" w:hAnsiTheme="majorHAnsi" w:cstheme="majorHAnsi"/>
                <w:szCs w:val="18"/>
              </w:rPr>
            </w:pPr>
            <w:proofErr w:type="gramStart"/>
            <w:r w:rsidRPr="00FA400C">
              <w:rPr>
                <w:rFonts w:asciiTheme="majorHAnsi" w:hAnsiTheme="majorHAnsi" w:cstheme="majorHAnsi"/>
                <w:szCs w:val="18"/>
              </w:rPr>
              <w:t>a</w:t>
            </w:r>
            <w:proofErr w:type="gramEnd"/>
            <w:r w:rsidRPr="00FA400C">
              <w:rPr>
                <w:rFonts w:asciiTheme="majorHAnsi" w:hAnsiTheme="majorHAnsi" w:cstheme="majorHAnsi"/>
                <w:szCs w:val="18"/>
              </w:rPr>
              <w:t xml:space="preserve"> common nomination cut-off time of 3 pm (AEST) for pipelines and other facilities that will be subject to the capacity trading reforms.</w:t>
            </w:r>
          </w:p>
          <w:p w14:paraId="5E7FC817" w14:textId="77777777" w:rsidR="005614F2" w:rsidRPr="00FA400C" w:rsidRDefault="005614F2" w:rsidP="00DE0813">
            <w:pPr>
              <w:pStyle w:val="TableBullet1"/>
              <w:numPr>
                <w:ilvl w:val="0"/>
                <w:numId w:val="0"/>
              </w:numPr>
              <w:spacing w:before="40" w:after="40" w:line="252" w:lineRule="auto"/>
              <w:ind w:left="85"/>
              <w:rPr>
                <w:rFonts w:asciiTheme="majorHAnsi" w:hAnsiTheme="majorHAnsi" w:cstheme="majorHAnsi"/>
                <w:szCs w:val="18"/>
              </w:rPr>
            </w:pPr>
            <w:r w:rsidRPr="00FA400C">
              <w:rPr>
                <w:rFonts w:asciiTheme="majorHAnsi" w:hAnsiTheme="majorHAnsi" w:cstheme="majorHAnsi"/>
                <w:szCs w:val="18"/>
              </w:rPr>
              <w:t xml:space="preserve">The GMRG recommends these changes take effect </w:t>
            </w:r>
            <w:r w:rsidR="00982A7A">
              <w:rPr>
                <w:rFonts w:asciiTheme="majorHAnsi" w:hAnsiTheme="majorHAnsi" w:cstheme="majorHAnsi"/>
                <w:szCs w:val="18"/>
              </w:rPr>
              <w:t xml:space="preserve">by 1 October </w:t>
            </w:r>
            <w:r w:rsidRPr="00FA400C">
              <w:rPr>
                <w:rFonts w:asciiTheme="majorHAnsi" w:hAnsiTheme="majorHAnsi" w:cstheme="majorHAnsi"/>
                <w:szCs w:val="18"/>
              </w:rPr>
              <w:t>2019.</w:t>
            </w:r>
          </w:p>
        </w:tc>
      </w:tr>
      <w:bookmarkEnd w:id="33"/>
    </w:tbl>
    <w:p w14:paraId="1EDED5D6" w14:textId="77777777" w:rsidR="00A245A9" w:rsidRPr="00E10130" w:rsidRDefault="00A245A9" w:rsidP="00635881">
      <w:pPr>
        <w:pStyle w:val="BodyText"/>
        <w:spacing w:before="0" w:after="0"/>
        <w:rPr>
          <w:sz w:val="2"/>
          <w:szCs w:val="2"/>
        </w:rPr>
      </w:pPr>
    </w:p>
    <w:p w14:paraId="65BE28C3" w14:textId="77777777" w:rsidR="00635881" w:rsidRPr="00E10130" w:rsidRDefault="00635881" w:rsidP="00635881">
      <w:pPr>
        <w:pStyle w:val="BodyText"/>
        <w:spacing w:before="0" w:after="0"/>
        <w:rPr>
          <w:sz w:val="2"/>
          <w:szCs w:val="2"/>
        </w:rPr>
        <w:sectPr w:rsidR="00635881" w:rsidRPr="00E10130" w:rsidSect="00635881">
          <w:headerReference w:type="even" r:id="rId24"/>
          <w:headerReference w:type="default" r:id="rId25"/>
          <w:footerReference w:type="default" r:id="rId26"/>
          <w:headerReference w:type="first" r:id="rId27"/>
          <w:pgSz w:w="16839" w:h="11907" w:orient="landscape" w:code="9"/>
          <w:pgMar w:top="-1560" w:right="1418" w:bottom="567" w:left="1701" w:header="284" w:footer="343" w:gutter="0"/>
          <w:cols w:space="708"/>
          <w:docGrid w:linePitch="360"/>
        </w:sectPr>
      </w:pPr>
    </w:p>
    <w:p w14:paraId="4B2EBF9E" w14:textId="77777777" w:rsidR="00635881" w:rsidRDefault="00635881" w:rsidP="004014D1">
      <w:pPr>
        <w:pStyle w:val="Heading3"/>
        <w:spacing w:before="0" w:after="0"/>
        <w:contextualSpacing w:val="0"/>
      </w:pPr>
      <w:r>
        <w:lastRenderedPageBreak/>
        <w:t xml:space="preserve">Capacity trading platform </w:t>
      </w:r>
    </w:p>
    <w:p w14:paraId="5B79F720" w14:textId="77777777" w:rsidR="00635881" w:rsidRPr="00EA2B43" w:rsidRDefault="00635881" w:rsidP="00635881">
      <w:pPr>
        <w:pStyle w:val="BodyText"/>
      </w:pPr>
      <w:r>
        <w:t xml:space="preserve">To overcome some of the other impediments to secondary capacity trading, the AEMC </w:t>
      </w:r>
      <w:r w:rsidRPr="00EA2B43">
        <w:t>recommended the development of a capacity trading platform</w:t>
      </w:r>
      <w:r w:rsidR="00DF2E48">
        <w:t>(s)</w:t>
      </w:r>
      <w:r w:rsidRPr="00EA2B43">
        <w:t xml:space="preserve"> that would provide for both an anonymous exchange mechanism that shippers can use to trade commonly sought products and a listing service for bespoke products. The AEMC also recommended that:</w:t>
      </w:r>
    </w:p>
    <w:p w14:paraId="710A6196" w14:textId="77777777" w:rsidR="00635881" w:rsidRPr="00EA2B43" w:rsidRDefault="00635881" w:rsidP="00635881">
      <w:pPr>
        <w:pStyle w:val="ListBullet"/>
        <w:rPr>
          <w:rFonts w:eastAsiaTheme="majorEastAsia"/>
        </w:rPr>
      </w:pPr>
      <w:r>
        <w:rPr>
          <w:rFonts w:eastAsiaTheme="majorEastAsia"/>
        </w:rPr>
        <w:t xml:space="preserve">steps be taken </w:t>
      </w:r>
      <w:r w:rsidRPr="00EA2B43">
        <w:rPr>
          <w:rFonts w:eastAsiaTheme="majorEastAsia"/>
        </w:rPr>
        <w:t xml:space="preserve">to </w:t>
      </w:r>
      <w:r w:rsidR="009D2AE1">
        <w:rPr>
          <w:rFonts w:eastAsiaTheme="majorEastAsia"/>
        </w:rPr>
        <w:t xml:space="preserve">optimise </w:t>
      </w:r>
      <w:r w:rsidRPr="00EA2B43">
        <w:rPr>
          <w:rFonts w:eastAsiaTheme="majorEastAsia"/>
        </w:rPr>
        <w:t>the pool of prospective buyers and sellers of capacity; and</w:t>
      </w:r>
    </w:p>
    <w:p w14:paraId="364EA4F7" w14:textId="77777777" w:rsidR="00635881" w:rsidRPr="00EA2B43" w:rsidRDefault="00635881" w:rsidP="00635881">
      <w:pPr>
        <w:pStyle w:val="ListBullet"/>
        <w:rPr>
          <w:rFonts w:eastAsiaTheme="majorEastAsia"/>
        </w:rPr>
      </w:pPr>
      <w:proofErr w:type="gramStart"/>
      <w:r w:rsidRPr="00EA2B43">
        <w:rPr>
          <w:rFonts w:eastAsiaTheme="majorEastAsia"/>
        </w:rPr>
        <w:t>the</w:t>
      </w:r>
      <w:proofErr w:type="gramEnd"/>
      <w:r w:rsidRPr="00EA2B43">
        <w:rPr>
          <w:rFonts w:eastAsiaTheme="majorEastAsia"/>
        </w:rPr>
        <w:t xml:space="preserve"> </w:t>
      </w:r>
      <w:r>
        <w:rPr>
          <w:rFonts w:eastAsiaTheme="majorEastAsia"/>
        </w:rPr>
        <w:t xml:space="preserve">exchange </w:t>
      </w:r>
      <w:r w:rsidRPr="00EA2B43">
        <w:rPr>
          <w:rFonts w:eastAsiaTheme="majorEastAsia"/>
        </w:rPr>
        <w:t xml:space="preserve">provide for as many </w:t>
      </w:r>
      <w:r>
        <w:rPr>
          <w:rFonts w:eastAsiaTheme="majorEastAsia"/>
        </w:rPr>
        <w:t xml:space="preserve">standardised </w:t>
      </w:r>
      <w:r w:rsidRPr="00EA2B43">
        <w:rPr>
          <w:rFonts w:eastAsiaTheme="majorEastAsia"/>
        </w:rPr>
        <w:t>services to be traded</w:t>
      </w:r>
      <w:r>
        <w:rPr>
          <w:rFonts w:eastAsiaTheme="majorEastAsia"/>
        </w:rPr>
        <w:t xml:space="preserve"> as possible.</w:t>
      </w:r>
    </w:p>
    <w:p w14:paraId="021B59BF" w14:textId="77777777" w:rsidR="00FC3F98" w:rsidRDefault="00DF2E48" w:rsidP="00FC3F98">
      <w:pPr>
        <w:pStyle w:val="BodyText"/>
      </w:pPr>
      <w:r>
        <w:t>In developing the design of the capacity trading platform, the GMRG has worked with stakeholders, AEMO and JWS to determine</w:t>
      </w:r>
      <w:r w:rsidR="00FC3F98">
        <w:t xml:space="preserve">: </w:t>
      </w:r>
    </w:p>
    <w:p w14:paraId="6E4EA8D6" w14:textId="77777777" w:rsidR="00FC3F98" w:rsidRDefault="00FC3F98" w:rsidP="00FC3F98">
      <w:pPr>
        <w:pStyle w:val="ListBullet"/>
        <w:spacing w:before="60" w:after="60"/>
      </w:pPr>
      <w:r>
        <w:rPr>
          <w:rFonts w:eastAsiaTheme="majorEastAsia"/>
        </w:rPr>
        <w:t>how the capacity trading platform will operate and interact with the GSH</w:t>
      </w:r>
      <w:r w:rsidRPr="004B1484">
        <w:t>;</w:t>
      </w:r>
    </w:p>
    <w:p w14:paraId="5AAFF947" w14:textId="77777777" w:rsidR="00FC3F98" w:rsidRPr="00EA2B43" w:rsidRDefault="00FC3F98" w:rsidP="00FC3F98">
      <w:pPr>
        <w:pStyle w:val="ListBullet"/>
        <w:rPr>
          <w:rFonts w:eastAsiaTheme="majorEastAsia"/>
        </w:rPr>
      </w:pPr>
      <w:r>
        <w:rPr>
          <w:rFonts w:eastAsiaTheme="majorEastAsia"/>
        </w:rPr>
        <w:t>t</w:t>
      </w:r>
      <w:r w:rsidRPr="00EA2B43">
        <w:rPr>
          <w:rFonts w:eastAsiaTheme="majorEastAsia"/>
        </w:rPr>
        <w:t>he initial list of products to be made available on the exchange;</w:t>
      </w:r>
    </w:p>
    <w:p w14:paraId="2BFAF9FA" w14:textId="77777777" w:rsidR="00FC3F98" w:rsidRPr="00EA2B43" w:rsidRDefault="00FC3F98" w:rsidP="00FC3F98">
      <w:pPr>
        <w:pStyle w:val="ListBullet"/>
        <w:rPr>
          <w:rFonts w:eastAsiaTheme="majorEastAsia"/>
        </w:rPr>
      </w:pPr>
      <w:r>
        <w:rPr>
          <w:rFonts w:eastAsiaTheme="majorEastAsia"/>
        </w:rPr>
        <w:t>h</w:t>
      </w:r>
      <w:r w:rsidRPr="00EA2B43">
        <w:rPr>
          <w:rFonts w:eastAsiaTheme="majorEastAsia"/>
        </w:rPr>
        <w:t xml:space="preserve">ow the pool of prospective buyers and sellers </w:t>
      </w:r>
      <w:r w:rsidR="00216B52">
        <w:rPr>
          <w:rFonts w:eastAsiaTheme="majorEastAsia"/>
        </w:rPr>
        <w:t xml:space="preserve">on the exchange </w:t>
      </w:r>
      <w:r w:rsidRPr="00EA2B43">
        <w:rPr>
          <w:rFonts w:eastAsiaTheme="majorEastAsia"/>
        </w:rPr>
        <w:t>will be maximised;</w:t>
      </w:r>
    </w:p>
    <w:p w14:paraId="5654B5D9" w14:textId="77777777" w:rsidR="00FC3F98" w:rsidRPr="00EA2B43" w:rsidRDefault="00FC3F98" w:rsidP="00FC3F98">
      <w:pPr>
        <w:pStyle w:val="ListBullet"/>
        <w:rPr>
          <w:rFonts w:eastAsiaTheme="majorEastAsia"/>
        </w:rPr>
      </w:pPr>
      <w:r w:rsidRPr="00EA2B43">
        <w:rPr>
          <w:rFonts w:eastAsiaTheme="majorEastAsia"/>
        </w:rPr>
        <w:t xml:space="preserve">the arrangements </w:t>
      </w:r>
      <w:r>
        <w:rPr>
          <w:rFonts w:eastAsiaTheme="majorEastAsia"/>
        </w:rPr>
        <w:t xml:space="preserve">that will need to be put in place </w:t>
      </w:r>
      <w:r w:rsidRPr="00EA2B43">
        <w:rPr>
          <w:rFonts w:eastAsiaTheme="majorEastAsia"/>
        </w:rPr>
        <w:t xml:space="preserve">to manage and allocate </w:t>
      </w:r>
      <w:r>
        <w:rPr>
          <w:rFonts w:eastAsiaTheme="majorEastAsia"/>
        </w:rPr>
        <w:t xml:space="preserve">financial and default </w:t>
      </w:r>
      <w:r w:rsidRPr="00EA2B43">
        <w:rPr>
          <w:rFonts w:eastAsiaTheme="majorEastAsia"/>
        </w:rPr>
        <w:t>risks; and</w:t>
      </w:r>
    </w:p>
    <w:p w14:paraId="0AD1315C" w14:textId="77777777" w:rsidR="00FC3F98" w:rsidRPr="00EA2B43" w:rsidRDefault="00FC3F98" w:rsidP="00FC3F98">
      <w:pPr>
        <w:pStyle w:val="ListBullet"/>
        <w:rPr>
          <w:rFonts w:eastAsiaTheme="majorEastAsia"/>
        </w:rPr>
      </w:pPr>
      <w:proofErr w:type="gramStart"/>
      <w:r w:rsidRPr="00EA2B43">
        <w:rPr>
          <w:rFonts w:eastAsiaTheme="majorEastAsia"/>
        </w:rPr>
        <w:t>the</w:t>
      </w:r>
      <w:proofErr w:type="gramEnd"/>
      <w:r w:rsidRPr="00EA2B43">
        <w:rPr>
          <w:rFonts w:eastAsiaTheme="majorEastAsia"/>
        </w:rPr>
        <w:t xml:space="preserve"> governance arrangements required </w:t>
      </w:r>
      <w:r>
        <w:rPr>
          <w:rFonts w:eastAsiaTheme="majorEastAsia"/>
        </w:rPr>
        <w:t xml:space="preserve">to underpin </w:t>
      </w:r>
      <w:r w:rsidRPr="00EA2B43">
        <w:rPr>
          <w:rFonts w:eastAsiaTheme="majorEastAsia"/>
        </w:rPr>
        <w:t xml:space="preserve">the </w:t>
      </w:r>
      <w:r>
        <w:rPr>
          <w:rFonts w:eastAsiaTheme="majorEastAsia"/>
        </w:rPr>
        <w:t xml:space="preserve">capacity </w:t>
      </w:r>
      <w:r w:rsidRPr="00EA2B43">
        <w:rPr>
          <w:rFonts w:eastAsiaTheme="majorEastAsia"/>
        </w:rPr>
        <w:t>trading platform.</w:t>
      </w:r>
    </w:p>
    <w:p w14:paraId="165F3CA3" w14:textId="77777777" w:rsidR="00635881" w:rsidRDefault="00FC3F98" w:rsidP="00635881">
      <w:pPr>
        <w:pStyle w:val="BodyText"/>
      </w:pPr>
      <w:r>
        <w:fldChar w:fldCharType="begin"/>
      </w:r>
      <w:r>
        <w:instrText xml:space="preserve"> REF _Ref497653962 \h </w:instrText>
      </w:r>
      <w:r>
        <w:fldChar w:fldCharType="separate"/>
      </w:r>
      <w:r w:rsidR="00761861">
        <w:t xml:space="preserve">Table </w:t>
      </w:r>
      <w:r w:rsidR="00761861">
        <w:rPr>
          <w:noProof/>
        </w:rPr>
        <w:t>1</w:t>
      </w:r>
      <w:r w:rsidR="00761861">
        <w:t>.</w:t>
      </w:r>
      <w:r w:rsidR="00761861">
        <w:rPr>
          <w:noProof/>
        </w:rPr>
        <w:t>2</w:t>
      </w:r>
      <w:r>
        <w:fldChar w:fldCharType="end"/>
      </w:r>
      <w:r>
        <w:t xml:space="preserve"> </w:t>
      </w:r>
      <w:r w:rsidR="00635881" w:rsidRPr="00333503">
        <w:t xml:space="preserve">provides a </w:t>
      </w:r>
      <w:r>
        <w:t xml:space="preserve">high-level </w:t>
      </w:r>
      <w:r w:rsidR="00635881" w:rsidRPr="00333503">
        <w:t xml:space="preserve">summary of the GMRG’s final recommendations on </w:t>
      </w:r>
      <w:r>
        <w:t xml:space="preserve">each of these </w:t>
      </w:r>
      <w:r w:rsidR="00DF2E48">
        <w:t>issues</w:t>
      </w:r>
      <w:r>
        <w:t xml:space="preserve">. </w:t>
      </w:r>
      <w:r w:rsidR="00101EDC">
        <w:t>Further detail on these recommendations can be found in Part B.</w:t>
      </w:r>
    </w:p>
    <w:p w14:paraId="5EA6051E" w14:textId="77777777" w:rsidR="000F4B72" w:rsidRDefault="000F4B72" w:rsidP="000F4B72">
      <w:pPr>
        <w:pStyle w:val="Heading3"/>
        <w:spacing w:before="0" w:after="120"/>
      </w:pPr>
      <w:r>
        <w:t>Reporting framework for secondary capacity trades</w:t>
      </w:r>
    </w:p>
    <w:p w14:paraId="221F29D1" w14:textId="77777777" w:rsidR="000F4B72" w:rsidRDefault="000F4B72" w:rsidP="000F4B72">
      <w:pPr>
        <w:pStyle w:val="BodyText"/>
        <w:spacing w:before="0" w:line="259" w:lineRule="auto"/>
      </w:pPr>
      <w:r>
        <w:t>To increase the transparency surrounding secondary capacity trades and the market’s confidence in the secondary market, the AEMC recommended that information on the prices and other key terms struc</w:t>
      </w:r>
      <w:r w:rsidRPr="002308B5">
        <w:t>k in all s</w:t>
      </w:r>
      <w:r>
        <w:t>econdary trades of pipeline and compression capacity be published at the time the trade is entered into, or shortly thereafter.</w:t>
      </w:r>
    </w:p>
    <w:p w14:paraId="2093E934" w14:textId="77777777" w:rsidR="000F4B72" w:rsidRDefault="000F4B72" w:rsidP="000F4B72">
      <w:pPr>
        <w:pStyle w:val="BodyText"/>
        <w:spacing w:line="259" w:lineRule="auto"/>
      </w:pPr>
      <w:r>
        <w:t xml:space="preserve">As with the other elements of the reform package, the GMRG has worked with market participants and its legal advisor, JWS, on these recommendations. In doing so, the GMRG has considered: </w:t>
      </w:r>
    </w:p>
    <w:p w14:paraId="65664528" w14:textId="77777777" w:rsidR="000F4B72" w:rsidRPr="002308B5" w:rsidRDefault="000F4B72" w:rsidP="000F4B72">
      <w:pPr>
        <w:pStyle w:val="ListBullet"/>
        <w:spacing w:line="259" w:lineRule="auto"/>
      </w:pPr>
      <w:r w:rsidRPr="002308B5">
        <w:t>the</w:t>
      </w:r>
      <w:r>
        <w:t xml:space="preserve"> types of trades to be reported and the </w:t>
      </w:r>
      <w:r w:rsidRPr="002308B5">
        <w:t xml:space="preserve">information to be reported; </w:t>
      </w:r>
    </w:p>
    <w:p w14:paraId="1F78047F" w14:textId="01058465" w:rsidR="000F4B72" w:rsidRPr="002308B5" w:rsidRDefault="000F4B72" w:rsidP="000F4B72">
      <w:pPr>
        <w:pStyle w:val="ListBullet"/>
        <w:spacing w:line="259" w:lineRule="auto"/>
      </w:pPr>
      <w:r w:rsidRPr="002308B5">
        <w:t xml:space="preserve">who should have the obligation to report trades and when </w:t>
      </w:r>
      <w:r w:rsidR="00983431">
        <w:t xml:space="preserve">they </w:t>
      </w:r>
      <w:r w:rsidRPr="002308B5">
        <w:t xml:space="preserve">should be reported; </w:t>
      </w:r>
    </w:p>
    <w:p w14:paraId="5A51445E" w14:textId="77777777" w:rsidR="000F4B72" w:rsidRDefault="000F4B72" w:rsidP="000F4B72">
      <w:pPr>
        <w:pStyle w:val="ListBullet"/>
        <w:spacing w:line="259" w:lineRule="auto"/>
      </w:pPr>
      <w:r w:rsidRPr="00101EDC">
        <w:t xml:space="preserve">where the information </w:t>
      </w:r>
      <w:r>
        <w:t xml:space="preserve">should be </w:t>
      </w:r>
      <w:r w:rsidRPr="00101EDC">
        <w:t xml:space="preserve">published; </w:t>
      </w:r>
    </w:p>
    <w:p w14:paraId="7AB8A7E1" w14:textId="77777777" w:rsidR="000F4B72" w:rsidRPr="00101EDC" w:rsidRDefault="000F4B72" w:rsidP="000F4B72">
      <w:pPr>
        <w:pStyle w:val="ListBullet"/>
        <w:spacing w:line="259" w:lineRule="auto"/>
      </w:pPr>
      <w:r>
        <w:t xml:space="preserve">whether bilateral trades should be advertised before they are entered into; </w:t>
      </w:r>
      <w:r w:rsidRPr="00101EDC">
        <w:t>and</w:t>
      </w:r>
    </w:p>
    <w:p w14:paraId="190D6BDC" w14:textId="77777777" w:rsidR="000F4B72" w:rsidRPr="00101EDC" w:rsidRDefault="000F4B72" w:rsidP="000F4B72">
      <w:pPr>
        <w:pStyle w:val="ListBullet"/>
        <w:spacing w:line="259" w:lineRule="auto"/>
      </w:pPr>
      <w:proofErr w:type="gramStart"/>
      <w:r w:rsidRPr="00101EDC">
        <w:t>the</w:t>
      </w:r>
      <w:proofErr w:type="gramEnd"/>
      <w:r w:rsidRPr="00101EDC">
        <w:t xml:space="preserve"> governance arrangements to apply to the reporting framework. </w:t>
      </w:r>
    </w:p>
    <w:p w14:paraId="32EF99FC" w14:textId="77777777" w:rsidR="004014D1" w:rsidRDefault="000F4B72" w:rsidP="004014D1">
      <w:pPr>
        <w:pStyle w:val="BodyText"/>
      </w:pPr>
      <w:r w:rsidRPr="00101EDC">
        <w:fldChar w:fldCharType="begin"/>
      </w:r>
      <w:r w:rsidRPr="00101EDC">
        <w:instrText xml:space="preserve"> REF _Ref497654978 \h  \* MERGEFORMAT </w:instrText>
      </w:r>
      <w:r w:rsidRPr="00101EDC">
        <w:fldChar w:fldCharType="separate"/>
      </w:r>
      <w:r w:rsidR="00761861">
        <w:t xml:space="preserve">Table </w:t>
      </w:r>
      <w:r w:rsidR="00761861">
        <w:rPr>
          <w:noProof/>
        </w:rPr>
        <w:t>1.3</w:t>
      </w:r>
      <w:r w:rsidRPr="00101EDC">
        <w:fldChar w:fldCharType="end"/>
      </w:r>
      <w:r w:rsidRPr="00101EDC">
        <w:t xml:space="preserve"> provides a summary of the GMRG’s final recommendations on these key elements of the reporting framework</w:t>
      </w:r>
      <w:r w:rsidR="004014D1">
        <w:t xml:space="preserve">. Consistent with the AEMC’s recommendations, the </w:t>
      </w:r>
      <w:r w:rsidR="004014D1" w:rsidRPr="00DD702B">
        <w:t>reporting framework will capture trades that involve the direct transfer of capacity rights between shippers</w:t>
      </w:r>
      <w:r w:rsidR="004014D1">
        <w:t xml:space="preserve">.  It will </w:t>
      </w:r>
      <w:r w:rsidR="004014D1" w:rsidRPr="00DD702B">
        <w:t>not</w:t>
      </w:r>
      <w:r w:rsidR="004014D1">
        <w:t>, however,</w:t>
      </w:r>
      <w:r w:rsidR="004014D1" w:rsidRPr="00DD702B">
        <w:t xml:space="preserve"> capture transactions that can be used as an alternative to trading capacity, such as locational swaps or delivered gas supply agreements, because</w:t>
      </w:r>
      <w:r w:rsidR="00216B52">
        <w:t>,</w:t>
      </w:r>
      <w:r w:rsidR="004014D1" w:rsidRPr="00DD702B">
        <w:t xml:space="preserve"> </w:t>
      </w:r>
      <w:r w:rsidR="004014D1">
        <w:t xml:space="preserve">as </w:t>
      </w:r>
      <w:r w:rsidR="00216B52">
        <w:t xml:space="preserve">highlighted by </w:t>
      </w:r>
      <w:r w:rsidR="004014D1">
        <w:t>stakeholders</w:t>
      </w:r>
      <w:r w:rsidR="00216B52">
        <w:t>,</w:t>
      </w:r>
      <w:r w:rsidR="004014D1">
        <w:t xml:space="preserve"> </w:t>
      </w:r>
      <w:r w:rsidR="004014D1" w:rsidRPr="00DD702B">
        <w:t xml:space="preserve">this would go beyond the scope of the AEMC’s recommendations. The GMRG intends, however, to work with the ACCC in early 2018 to consider whether there is value in publishing </w:t>
      </w:r>
      <w:r w:rsidR="00216B52">
        <w:t xml:space="preserve">this </w:t>
      </w:r>
      <w:r w:rsidR="004014D1" w:rsidRPr="00DD702B">
        <w:t>type of information and other information to reduce the opaqueness in the gas market.</w:t>
      </w:r>
    </w:p>
    <w:p w14:paraId="2CF321D4" w14:textId="77777777" w:rsidR="00635881" w:rsidRDefault="004014D1" w:rsidP="004014D1">
      <w:pPr>
        <w:pStyle w:val="BodyText"/>
      </w:pPr>
      <w:r w:rsidRPr="00101EDC">
        <w:t xml:space="preserve">Further detail on </w:t>
      </w:r>
      <w:r>
        <w:t xml:space="preserve">the GMRG’s final recommendations is </w:t>
      </w:r>
      <w:r w:rsidRPr="00101EDC">
        <w:t>provided in Part C.</w:t>
      </w:r>
      <w:r>
        <w:t xml:space="preserve"> </w:t>
      </w:r>
    </w:p>
    <w:p w14:paraId="06658E39" w14:textId="77777777" w:rsidR="00635881" w:rsidRDefault="00635881" w:rsidP="0073050B">
      <w:pPr>
        <w:pStyle w:val="BodyText"/>
        <w:sectPr w:rsidR="00635881" w:rsidSect="00635881">
          <w:pgSz w:w="11907" w:h="16839" w:code="9"/>
          <w:pgMar w:top="-1560" w:right="1418" w:bottom="567" w:left="1701" w:header="284" w:footer="343" w:gutter="0"/>
          <w:cols w:space="708"/>
          <w:docGrid w:linePitch="360"/>
        </w:sectPr>
      </w:pPr>
    </w:p>
    <w:p w14:paraId="010DC9C6" w14:textId="77777777" w:rsidR="00FC3F98" w:rsidRDefault="00FC3F98" w:rsidP="00FC3F98">
      <w:pPr>
        <w:pStyle w:val="Caption"/>
        <w:spacing w:before="0" w:after="0"/>
      </w:pPr>
      <w:bookmarkStart w:id="34" w:name="_Ref497653962"/>
      <w:r>
        <w:lastRenderedPageBreak/>
        <w:t xml:space="preserve">Table </w:t>
      </w:r>
      <w:r w:rsidR="00983431">
        <w:fldChar w:fldCharType="begin"/>
      </w:r>
      <w:r w:rsidR="00983431">
        <w:instrText xml:space="preserve"> STYLEREF 1 \s </w:instrText>
      </w:r>
      <w:r w:rsidR="00983431">
        <w:fldChar w:fldCharType="separate"/>
      </w:r>
      <w:r w:rsidR="00761861">
        <w:rPr>
          <w:noProof/>
        </w:rPr>
        <w:t>1</w:t>
      </w:r>
      <w:r w:rsidR="00983431">
        <w:rPr>
          <w:noProof/>
        </w:rPr>
        <w:fldChar w:fldCharType="end"/>
      </w:r>
      <w:r w:rsidR="00901056">
        <w:t>.</w:t>
      </w:r>
      <w:r w:rsidR="00983431">
        <w:fldChar w:fldCharType="begin"/>
      </w:r>
      <w:r w:rsidR="00983431">
        <w:instrText xml:space="preserve"> SEQ Table \* ARABIC \s 1 </w:instrText>
      </w:r>
      <w:r w:rsidR="00983431">
        <w:fldChar w:fldCharType="separate"/>
      </w:r>
      <w:r w:rsidR="00761861">
        <w:rPr>
          <w:noProof/>
        </w:rPr>
        <w:t>2</w:t>
      </w:r>
      <w:r w:rsidR="00983431">
        <w:rPr>
          <w:noProof/>
        </w:rPr>
        <w:fldChar w:fldCharType="end"/>
      </w:r>
      <w:bookmarkEnd w:id="34"/>
      <w:r>
        <w:t>: Summary of the GMRG’s final recommendations on the capacity trading platform</w:t>
      </w:r>
    </w:p>
    <w:tbl>
      <w:tblPr>
        <w:tblStyle w:val="TableGrid"/>
        <w:tblW w:w="14034" w:type="dxa"/>
        <w:tblInd w:w="-284" w:type="dxa"/>
        <w:tblLook w:val="04A0" w:firstRow="1" w:lastRow="0" w:firstColumn="1" w:lastColumn="0" w:noHBand="0" w:noVBand="1"/>
        <w:tblCaption w:val="Table 1.2"/>
        <w:tblDescription w:val="Summary of the GMRG’s final recommendations on the capacity trading platform"/>
      </w:tblPr>
      <w:tblGrid>
        <w:gridCol w:w="1565"/>
        <w:gridCol w:w="12469"/>
      </w:tblGrid>
      <w:tr w:rsidR="00FC3F98" w:rsidRPr="00FA400C" w14:paraId="758497D5" w14:textId="77777777" w:rsidTr="00FC3F98">
        <w:trPr>
          <w:cnfStyle w:val="100000000000" w:firstRow="1" w:lastRow="0" w:firstColumn="0" w:lastColumn="0" w:oddVBand="0" w:evenVBand="0" w:oddHBand="0" w:evenHBand="0" w:firstRowFirstColumn="0" w:firstRowLastColumn="0" w:lastRowFirstColumn="0" w:lastRowLastColumn="0"/>
          <w:tblHeader/>
        </w:trPr>
        <w:tc>
          <w:tcPr>
            <w:tcW w:w="1565" w:type="dxa"/>
            <w:tcBorders>
              <w:bottom w:val="single" w:sz="4" w:space="0" w:color="auto"/>
            </w:tcBorders>
            <w:shd w:val="clear" w:color="auto" w:fill="0099CC"/>
          </w:tcPr>
          <w:p w14:paraId="090252BA" w14:textId="77777777" w:rsidR="00FC3F98" w:rsidRPr="00FA400C" w:rsidRDefault="00FC3F98" w:rsidP="00FC3F98">
            <w:pPr>
              <w:pStyle w:val="BodyText"/>
              <w:spacing w:before="20" w:after="20" w:line="252" w:lineRule="auto"/>
              <w:rPr>
                <w:rFonts w:asciiTheme="majorHAnsi" w:hAnsiTheme="majorHAnsi" w:cstheme="majorHAnsi"/>
                <w:b w:val="0"/>
                <w:color w:val="FFFFFF" w:themeColor="background1"/>
                <w:szCs w:val="18"/>
              </w:rPr>
            </w:pPr>
            <w:bookmarkStart w:id="35" w:name="_Hlk497994349"/>
            <w:r>
              <w:rPr>
                <w:rFonts w:asciiTheme="majorHAnsi" w:hAnsiTheme="majorHAnsi" w:cstheme="majorHAnsi"/>
                <w:color w:val="FFFFFF" w:themeColor="background1"/>
                <w:szCs w:val="18"/>
              </w:rPr>
              <w:t>Design Element</w:t>
            </w:r>
          </w:p>
        </w:tc>
        <w:tc>
          <w:tcPr>
            <w:tcW w:w="12469" w:type="dxa"/>
            <w:tcBorders>
              <w:bottom w:val="single" w:sz="4" w:space="0" w:color="auto"/>
            </w:tcBorders>
            <w:shd w:val="clear" w:color="auto" w:fill="0099CC"/>
          </w:tcPr>
          <w:p w14:paraId="392C59FA" w14:textId="77777777" w:rsidR="00FC3F98" w:rsidRPr="00FA400C" w:rsidRDefault="00FC3F98" w:rsidP="00FC3F98">
            <w:pPr>
              <w:pStyle w:val="BodyText"/>
              <w:spacing w:before="20" w:after="20" w:line="252" w:lineRule="auto"/>
              <w:rPr>
                <w:rFonts w:asciiTheme="majorHAnsi" w:hAnsiTheme="majorHAnsi" w:cstheme="majorHAnsi"/>
                <w:b w:val="0"/>
                <w:color w:val="FFFFFF" w:themeColor="background1"/>
                <w:szCs w:val="18"/>
              </w:rPr>
            </w:pPr>
            <w:r w:rsidRPr="00FA400C">
              <w:rPr>
                <w:rFonts w:asciiTheme="majorHAnsi" w:hAnsiTheme="majorHAnsi" w:cstheme="majorHAnsi"/>
                <w:color w:val="FFFFFF" w:themeColor="background1"/>
                <w:szCs w:val="18"/>
              </w:rPr>
              <w:t>Recommendation</w:t>
            </w:r>
          </w:p>
        </w:tc>
      </w:tr>
      <w:tr w:rsidR="00635881" w:rsidRPr="00FA400C" w14:paraId="08032872" w14:textId="77777777" w:rsidTr="00635881">
        <w:tc>
          <w:tcPr>
            <w:tcW w:w="1565" w:type="dxa"/>
            <w:tcBorders>
              <w:bottom w:val="single" w:sz="4" w:space="0" w:color="auto"/>
            </w:tcBorders>
            <w:shd w:val="clear" w:color="auto" w:fill="FFFFFF" w:themeFill="background1"/>
          </w:tcPr>
          <w:p w14:paraId="7AC1BDF6" w14:textId="77777777" w:rsidR="00635881" w:rsidRPr="00FA400C" w:rsidRDefault="00635881" w:rsidP="00635881">
            <w:pPr>
              <w:pStyle w:val="TableBodyText"/>
              <w:keepNext/>
              <w:spacing w:line="252" w:lineRule="auto"/>
              <w:rPr>
                <w:rFonts w:asciiTheme="majorHAnsi" w:hAnsiTheme="majorHAnsi" w:cstheme="majorHAnsi"/>
                <w:b/>
                <w:szCs w:val="18"/>
              </w:rPr>
            </w:pPr>
            <w:r w:rsidRPr="00FA400C">
              <w:rPr>
                <w:rFonts w:asciiTheme="majorHAnsi" w:hAnsiTheme="majorHAnsi" w:cstheme="majorHAnsi"/>
                <w:b/>
                <w:szCs w:val="18"/>
              </w:rPr>
              <w:t>Operation of the capacity trading platform</w:t>
            </w:r>
          </w:p>
        </w:tc>
        <w:tc>
          <w:tcPr>
            <w:tcW w:w="12469" w:type="dxa"/>
            <w:tcBorders>
              <w:bottom w:val="single" w:sz="4" w:space="0" w:color="auto"/>
            </w:tcBorders>
            <w:shd w:val="clear" w:color="auto" w:fill="FFFFFF" w:themeFill="background1"/>
          </w:tcPr>
          <w:p w14:paraId="75A182AC" w14:textId="77777777" w:rsidR="00635881" w:rsidRPr="00FA400C" w:rsidRDefault="00635881" w:rsidP="00635881">
            <w:pPr>
              <w:pStyle w:val="TableBodyText"/>
              <w:keepNext/>
              <w:spacing w:line="252" w:lineRule="auto"/>
              <w:rPr>
                <w:rFonts w:asciiTheme="majorHAnsi" w:hAnsiTheme="majorHAnsi" w:cstheme="majorHAnsi"/>
                <w:szCs w:val="18"/>
                <w:lang w:eastAsia="fr-CA"/>
              </w:rPr>
            </w:pPr>
            <w:r>
              <w:rPr>
                <w:rFonts w:asciiTheme="majorHAnsi" w:hAnsiTheme="majorHAnsi" w:cstheme="majorHAnsi"/>
                <w:szCs w:val="18"/>
              </w:rPr>
              <w:t xml:space="preserve">The GMRG recommends that the </w:t>
            </w:r>
            <w:r w:rsidRPr="00FA400C">
              <w:rPr>
                <w:rFonts w:asciiTheme="majorHAnsi" w:hAnsiTheme="majorHAnsi" w:cstheme="majorHAnsi"/>
                <w:szCs w:val="18"/>
              </w:rPr>
              <w:t xml:space="preserve">capacity trading platform, which will </w:t>
            </w:r>
            <w:r>
              <w:rPr>
                <w:rFonts w:asciiTheme="majorHAnsi" w:hAnsiTheme="majorHAnsi" w:cstheme="majorHAnsi"/>
                <w:szCs w:val="18"/>
              </w:rPr>
              <w:t xml:space="preserve">be operated by AEMO and </w:t>
            </w:r>
            <w:r w:rsidRPr="00FA400C">
              <w:rPr>
                <w:rFonts w:asciiTheme="majorHAnsi" w:hAnsiTheme="majorHAnsi" w:cstheme="majorHAnsi"/>
                <w:szCs w:val="18"/>
              </w:rPr>
              <w:t>form part of the GSH trading exchange</w:t>
            </w:r>
            <w:r>
              <w:rPr>
                <w:rFonts w:asciiTheme="majorHAnsi" w:hAnsiTheme="majorHAnsi" w:cstheme="majorHAnsi"/>
                <w:szCs w:val="18"/>
              </w:rPr>
              <w:t>,</w:t>
            </w:r>
            <w:r w:rsidRPr="00FA400C">
              <w:rPr>
                <w:rFonts w:asciiTheme="majorHAnsi" w:hAnsiTheme="majorHAnsi" w:cstheme="majorHAnsi"/>
                <w:szCs w:val="18"/>
              </w:rPr>
              <w:t xml:space="preserve"> provide for both:</w:t>
            </w:r>
          </w:p>
          <w:p w14:paraId="501EE783" w14:textId="77777777" w:rsidR="00635881" w:rsidRPr="00FA400C" w:rsidRDefault="00F1710A" w:rsidP="00635881">
            <w:pPr>
              <w:pStyle w:val="TableBullet1"/>
              <w:keepNext/>
              <w:spacing w:line="252" w:lineRule="auto"/>
              <w:rPr>
                <w:rFonts w:asciiTheme="majorHAnsi" w:hAnsiTheme="majorHAnsi" w:cstheme="majorHAnsi"/>
                <w:szCs w:val="18"/>
              </w:rPr>
            </w:pPr>
            <w:r>
              <w:rPr>
                <w:rFonts w:asciiTheme="majorHAnsi" w:hAnsiTheme="majorHAnsi" w:cstheme="majorHAnsi"/>
                <w:b/>
                <w:szCs w:val="18"/>
              </w:rPr>
              <w:t>Exchange-based</w:t>
            </w:r>
            <w:r w:rsidR="00635881" w:rsidRPr="00FA400C">
              <w:rPr>
                <w:rFonts w:asciiTheme="majorHAnsi" w:hAnsiTheme="majorHAnsi" w:cstheme="majorHAnsi"/>
                <w:b/>
                <w:szCs w:val="18"/>
              </w:rPr>
              <w:t xml:space="preserve"> trading</w:t>
            </w:r>
            <w:r w:rsidR="00635881" w:rsidRPr="00FA400C">
              <w:rPr>
                <w:rFonts w:asciiTheme="majorHAnsi" w:hAnsiTheme="majorHAnsi" w:cstheme="majorHAnsi"/>
                <w:szCs w:val="18"/>
              </w:rPr>
              <w:t xml:space="preserve"> of commonly traded transportation (pipeline and compression) products, which can be conducted through either:</w:t>
            </w:r>
          </w:p>
          <w:p w14:paraId="4CA45D23" w14:textId="77777777" w:rsidR="00635881" w:rsidRPr="00FA400C" w:rsidRDefault="00635881" w:rsidP="00CF4594">
            <w:pPr>
              <w:pStyle w:val="TableBullet2"/>
              <w:keepNext/>
              <w:numPr>
                <w:ilvl w:val="1"/>
                <w:numId w:val="57"/>
              </w:numPr>
              <w:spacing w:line="252" w:lineRule="auto"/>
              <w:rPr>
                <w:szCs w:val="18"/>
              </w:rPr>
            </w:pPr>
            <w:r w:rsidRPr="00FA400C">
              <w:rPr>
                <w:szCs w:val="18"/>
              </w:rPr>
              <w:t xml:space="preserve">the screen trade service, which allows participants to place anonymous bids or offers for standardised products that are automatically matched; or </w:t>
            </w:r>
          </w:p>
          <w:p w14:paraId="5895EBAB" w14:textId="77777777" w:rsidR="00635881" w:rsidRPr="00FA400C" w:rsidRDefault="00635881" w:rsidP="00CF4594">
            <w:pPr>
              <w:pStyle w:val="TableBullet2"/>
              <w:keepNext/>
              <w:numPr>
                <w:ilvl w:val="1"/>
                <w:numId w:val="57"/>
              </w:numPr>
              <w:spacing w:line="252" w:lineRule="auto"/>
              <w:rPr>
                <w:szCs w:val="18"/>
              </w:rPr>
            </w:pPr>
            <w:proofErr w:type="gramStart"/>
            <w:r w:rsidRPr="00FA400C">
              <w:rPr>
                <w:szCs w:val="18"/>
              </w:rPr>
              <w:t>the</w:t>
            </w:r>
            <w:proofErr w:type="gramEnd"/>
            <w:r w:rsidRPr="00FA400C">
              <w:rPr>
                <w:szCs w:val="18"/>
              </w:rPr>
              <w:t xml:space="preserve"> pre-matched trade service, which allows participants to bring a bilateral trade in one of the GSH products to the exchange for settlement.</w:t>
            </w:r>
          </w:p>
          <w:p w14:paraId="0A7EE4CD" w14:textId="77777777" w:rsidR="00635881" w:rsidRPr="00FA400C" w:rsidRDefault="00635881" w:rsidP="00635881">
            <w:pPr>
              <w:pStyle w:val="TableBullet1"/>
              <w:keepNext/>
              <w:numPr>
                <w:ilvl w:val="0"/>
                <w:numId w:val="0"/>
              </w:numPr>
              <w:spacing w:line="252" w:lineRule="auto"/>
              <w:ind w:left="312"/>
              <w:rPr>
                <w:rFonts w:asciiTheme="majorHAnsi" w:hAnsiTheme="majorHAnsi" w:cstheme="majorHAnsi"/>
                <w:szCs w:val="18"/>
              </w:rPr>
            </w:pPr>
            <w:r w:rsidRPr="00FA400C">
              <w:rPr>
                <w:rFonts w:asciiTheme="majorHAnsi" w:hAnsiTheme="majorHAnsi" w:cstheme="majorHAnsi"/>
                <w:szCs w:val="18"/>
              </w:rPr>
              <w:t xml:space="preserve">The screen trade service will operate on a </w:t>
            </w:r>
            <w:r w:rsidRPr="000727AD">
              <w:rPr>
                <w:rFonts w:asciiTheme="majorHAnsi" w:hAnsiTheme="majorHAnsi" w:cstheme="majorHAnsi"/>
                <w:szCs w:val="18"/>
              </w:rPr>
              <w:t>fully anonymous basis (</w:t>
            </w:r>
            <w:r w:rsidRPr="00FA400C">
              <w:rPr>
                <w:rFonts w:asciiTheme="majorHAnsi" w:hAnsiTheme="majorHAnsi" w:cstheme="majorHAnsi"/>
                <w:szCs w:val="18"/>
              </w:rPr>
              <w:t xml:space="preserve">i.e. the names of counterparties will not be revealed pre-or post-transaction), with AEMO informing </w:t>
            </w:r>
            <w:r w:rsidRPr="00FA400C">
              <w:rPr>
                <w:szCs w:val="18"/>
                <w:lang w:eastAsia="fr-CA"/>
              </w:rPr>
              <w:t>the relevant service provider of the trade once it has been executed. The service provider will then confirm the trade with each counterparty separately, maintaining the anonymity of the trading parties through this process.</w:t>
            </w:r>
          </w:p>
          <w:p w14:paraId="411C529B" w14:textId="77777777" w:rsidR="00635881" w:rsidRPr="00FA400C" w:rsidRDefault="00635881" w:rsidP="00635881">
            <w:pPr>
              <w:pStyle w:val="TableBullet1"/>
              <w:keepNext/>
              <w:spacing w:line="252" w:lineRule="auto"/>
              <w:rPr>
                <w:rFonts w:asciiTheme="majorHAnsi" w:hAnsiTheme="majorHAnsi" w:cstheme="majorHAnsi"/>
                <w:szCs w:val="18"/>
              </w:rPr>
            </w:pPr>
            <w:r w:rsidRPr="00FA400C">
              <w:rPr>
                <w:rFonts w:asciiTheme="majorHAnsi" w:hAnsiTheme="majorHAnsi" w:cstheme="majorHAnsi"/>
                <w:b/>
                <w:szCs w:val="18"/>
              </w:rPr>
              <w:t>A listing service</w:t>
            </w:r>
            <w:r w:rsidRPr="00FA400C">
              <w:rPr>
                <w:rFonts w:asciiTheme="majorHAnsi" w:hAnsiTheme="majorHAnsi" w:cstheme="majorHAnsi"/>
                <w:szCs w:val="18"/>
              </w:rPr>
              <w:t xml:space="preserve"> that shippers can use to list more bespoke transportation products and imbalance trades.</w:t>
            </w:r>
          </w:p>
          <w:p w14:paraId="7699DEBE" w14:textId="77777777" w:rsidR="00635881" w:rsidRPr="00FA400C" w:rsidRDefault="00635881" w:rsidP="00635881">
            <w:pPr>
              <w:pStyle w:val="TableBullet1"/>
              <w:keepNext/>
              <w:numPr>
                <w:ilvl w:val="0"/>
                <w:numId w:val="0"/>
              </w:numPr>
              <w:spacing w:line="252" w:lineRule="auto"/>
              <w:ind w:left="85"/>
              <w:rPr>
                <w:rFonts w:asciiTheme="majorHAnsi" w:hAnsiTheme="majorHAnsi" w:cstheme="majorHAnsi"/>
                <w:szCs w:val="18"/>
              </w:rPr>
            </w:pPr>
            <w:r w:rsidRPr="00FA400C">
              <w:rPr>
                <w:rFonts w:asciiTheme="majorHAnsi" w:hAnsiTheme="majorHAnsi" w:cstheme="majorHAnsi"/>
                <w:szCs w:val="18"/>
              </w:rPr>
              <w:t xml:space="preserve">Trades conducted through the exchange will utilise the existing GSH settlement, prudential and reporting frameworks, which means participants will receive one settlement statement for all </w:t>
            </w:r>
            <w:r>
              <w:rPr>
                <w:rFonts w:asciiTheme="majorHAnsi" w:hAnsiTheme="majorHAnsi" w:cstheme="majorHAnsi"/>
                <w:szCs w:val="18"/>
              </w:rPr>
              <w:t xml:space="preserve">traded </w:t>
            </w:r>
            <w:r w:rsidRPr="00FA400C">
              <w:rPr>
                <w:rFonts w:asciiTheme="majorHAnsi" w:hAnsiTheme="majorHAnsi" w:cstheme="majorHAnsi"/>
                <w:szCs w:val="18"/>
              </w:rPr>
              <w:t xml:space="preserve">products and </w:t>
            </w:r>
            <w:r w:rsidR="001F0748">
              <w:rPr>
                <w:rFonts w:asciiTheme="majorHAnsi" w:hAnsiTheme="majorHAnsi" w:cstheme="majorHAnsi"/>
                <w:szCs w:val="18"/>
              </w:rPr>
              <w:t xml:space="preserve">be </w:t>
            </w:r>
            <w:r w:rsidRPr="00FA400C">
              <w:rPr>
                <w:rFonts w:asciiTheme="majorHAnsi" w:hAnsiTheme="majorHAnsi" w:cstheme="majorHAnsi"/>
                <w:szCs w:val="18"/>
              </w:rPr>
              <w:t>able to aggregate prudential requirements across gas and secondary capacity products.</w:t>
            </w:r>
          </w:p>
        </w:tc>
      </w:tr>
      <w:tr w:rsidR="00993A3C" w:rsidRPr="00FA400C" w14:paraId="73C7E7C0" w14:textId="77777777" w:rsidTr="00635881">
        <w:trPr>
          <w:cnfStyle w:val="000000010000" w:firstRow="0" w:lastRow="0" w:firstColumn="0" w:lastColumn="0" w:oddVBand="0" w:evenVBand="0" w:oddHBand="0" w:evenHBand="1" w:firstRowFirstColumn="0" w:firstRowLastColumn="0" w:lastRowFirstColumn="0" w:lastRowLastColumn="0"/>
        </w:trPr>
        <w:tc>
          <w:tcPr>
            <w:tcW w:w="1565" w:type="dxa"/>
            <w:tcBorders>
              <w:bottom w:val="single" w:sz="4" w:space="0" w:color="auto"/>
            </w:tcBorders>
          </w:tcPr>
          <w:p w14:paraId="7C3355FB" w14:textId="77777777" w:rsidR="00993A3C" w:rsidRPr="00FA400C" w:rsidRDefault="00993A3C" w:rsidP="00993A3C">
            <w:pPr>
              <w:pStyle w:val="BodyText"/>
              <w:keepNext/>
              <w:spacing w:before="60" w:after="60" w:line="252" w:lineRule="auto"/>
              <w:rPr>
                <w:rFonts w:asciiTheme="majorHAnsi" w:hAnsiTheme="majorHAnsi" w:cstheme="majorHAnsi"/>
                <w:b/>
                <w:szCs w:val="18"/>
              </w:rPr>
            </w:pPr>
            <w:r w:rsidRPr="00993A3C">
              <w:rPr>
                <w:rFonts w:asciiTheme="majorHAnsi" w:hAnsiTheme="majorHAnsi" w:cstheme="majorHAnsi"/>
                <w:b/>
                <w:szCs w:val="18"/>
              </w:rPr>
              <w:t xml:space="preserve">Initial set of services to be listed on the exchange </w:t>
            </w:r>
          </w:p>
        </w:tc>
        <w:tc>
          <w:tcPr>
            <w:tcW w:w="12469" w:type="dxa"/>
            <w:tcBorders>
              <w:bottom w:val="single" w:sz="4" w:space="0" w:color="auto"/>
            </w:tcBorders>
          </w:tcPr>
          <w:p w14:paraId="587683B4" w14:textId="77777777" w:rsidR="00993A3C" w:rsidRDefault="00993A3C" w:rsidP="00993A3C">
            <w:pPr>
              <w:pStyle w:val="TableBodyText"/>
              <w:keepNext/>
              <w:spacing w:line="249" w:lineRule="auto"/>
              <w:rPr>
                <w:rFonts w:asciiTheme="majorHAnsi" w:hAnsiTheme="majorHAnsi" w:cstheme="majorHAnsi"/>
                <w:b/>
                <w:szCs w:val="18"/>
              </w:rPr>
            </w:pPr>
            <w:r>
              <w:rPr>
                <w:rFonts w:asciiTheme="majorHAnsi" w:hAnsiTheme="majorHAnsi" w:cstheme="majorHAnsi"/>
                <w:szCs w:val="18"/>
              </w:rPr>
              <w:t xml:space="preserve">The GMRG recommends that the initial set of standardised products to be sold on the exchange include: </w:t>
            </w:r>
          </w:p>
          <w:p w14:paraId="55A7849A" w14:textId="77777777" w:rsidR="00993A3C" w:rsidRDefault="00993A3C" w:rsidP="00993A3C">
            <w:pPr>
              <w:pStyle w:val="TableBullet1"/>
              <w:keepNext/>
              <w:numPr>
                <w:ilvl w:val="0"/>
                <w:numId w:val="82"/>
              </w:numPr>
              <w:spacing w:line="249" w:lineRule="auto"/>
              <w:rPr>
                <w:rFonts w:asciiTheme="majorHAnsi" w:hAnsiTheme="majorHAnsi" w:cstheme="majorHAnsi"/>
                <w:szCs w:val="18"/>
              </w:rPr>
            </w:pPr>
            <w:r>
              <w:rPr>
                <w:rFonts w:asciiTheme="majorHAnsi" w:hAnsiTheme="majorHAnsi" w:cstheme="majorHAnsi"/>
                <w:szCs w:val="18"/>
              </w:rPr>
              <w:t>firm forward haul services on all major transmission pipelines (if the pipeline is bi-directional, services will be available in both directions);</w:t>
            </w:r>
          </w:p>
          <w:p w14:paraId="1696FD96" w14:textId="77777777" w:rsidR="00993A3C" w:rsidRDefault="00993A3C" w:rsidP="00993A3C">
            <w:pPr>
              <w:pStyle w:val="TableBullet1"/>
              <w:keepNext/>
              <w:numPr>
                <w:ilvl w:val="0"/>
                <w:numId w:val="82"/>
              </w:numPr>
              <w:spacing w:line="249" w:lineRule="auto"/>
              <w:rPr>
                <w:rFonts w:asciiTheme="majorHAnsi" w:hAnsiTheme="majorHAnsi" w:cstheme="majorHAnsi"/>
                <w:szCs w:val="18"/>
              </w:rPr>
            </w:pPr>
            <w:r>
              <w:rPr>
                <w:rFonts w:asciiTheme="majorHAnsi" w:hAnsiTheme="majorHAnsi" w:cstheme="majorHAnsi"/>
                <w:szCs w:val="18"/>
              </w:rPr>
              <w:t xml:space="preserve">firm compression services at Moomba and Wallumbilla; and </w:t>
            </w:r>
          </w:p>
          <w:p w14:paraId="398B1DB6" w14:textId="77777777" w:rsidR="00993A3C" w:rsidRDefault="00993A3C" w:rsidP="00993A3C">
            <w:pPr>
              <w:pStyle w:val="TableBullet1"/>
              <w:keepNext/>
              <w:numPr>
                <w:ilvl w:val="0"/>
                <w:numId w:val="82"/>
              </w:numPr>
              <w:spacing w:line="249" w:lineRule="auto"/>
              <w:rPr>
                <w:rFonts w:asciiTheme="majorHAnsi" w:hAnsiTheme="majorHAnsi" w:cstheme="majorHAnsi"/>
                <w:szCs w:val="18"/>
              </w:rPr>
            </w:pPr>
            <w:proofErr w:type="gramStart"/>
            <w:r>
              <w:rPr>
                <w:rFonts w:asciiTheme="majorHAnsi" w:hAnsiTheme="majorHAnsi" w:cstheme="majorHAnsi"/>
                <w:szCs w:val="18"/>
              </w:rPr>
              <w:t>firm</w:t>
            </w:r>
            <w:proofErr w:type="gramEnd"/>
            <w:r>
              <w:rPr>
                <w:rFonts w:asciiTheme="majorHAnsi" w:hAnsiTheme="majorHAnsi" w:cstheme="majorHAnsi"/>
                <w:szCs w:val="18"/>
              </w:rPr>
              <w:t xml:space="preserve"> park (storage) services on all the major transmission pipelines.</w:t>
            </w:r>
          </w:p>
          <w:p w14:paraId="28FFAE21" w14:textId="77777777" w:rsidR="00993A3C" w:rsidRPr="00FA400C" w:rsidRDefault="00993A3C" w:rsidP="00993A3C">
            <w:pPr>
              <w:pStyle w:val="TableBodyText"/>
              <w:keepNext/>
              <w:spacing w:line="252" w:lineRule="auto"/>
              <w:rPr>
                <w:rFonts w:asciiTheme="majorHAnsi" w:hAnsiTheme="majorHAnsi" w:cstheme="majorHAnsi"/>
                <w:szCs w:val="18"/>
              </w:rPr>
            </w:pPr>
            <w:r>
              <w:rPr>
                <w:rFonts w:asciiTheme="majorHAnsi" w:hAnsiTheme="majorHAnsi" w:cstheme="majorHAnsi"/>
                <w:szCs w:val="18"/>
              </w:rPr>
              <w:t xml:space="preserve">These products will be available as day-ahead, daily (available on a 6-day rolling basis), weekly (available on a 4 week rolling basis) and monthly (available on a 3 month rolling basis) products and will have a minimum contract size of 500 GJ/day. The terms and conditions on which the buyer can use these products will be set out in the Operational GTA, which, amongst other things, will specify the maximum hourly flexibility the buyer will have and provide the buyer with a reasonable endeavours renomination right. </w:t>
            </w:r>
          </w:p>
        </w:tc>
      </w:tr>
      <w:tr w:rsidR="00993A3C" w:rsidRPr="00FA400C" w14:paraId="50879DEB" w14:textId="77777777" w:rsidTr="00635881">
        <w:tc>
          <w:tcPr>
            <w:tcW w:w="1565" w:type="dxa"/>
            <w:tcBorders>
              <w:bottom w:val="single" w:sz="4" w:space="0" w:color="auto"/>
            </w:tcBorders>
            <w:shd w:val="clear" w:color="auto" w:fill="FFFFFF" w:themeFill="background1"/>
          </w:tcPr>
          <w:p w14:paraId="5712A0B1" w14:textId="77777777" w:rsidR="00993A3C" w:rsidRPr="00FA400C" w:rsidRDefault="00993A3C" w:rsidP="00993A3C">
            <w:pPr>
              <w:pStyle w:val="BodyText"/>
              <w:spacing w:before="60" w:after="60" w:line="252" w:lineRule="auto"/>
              <w:rPr>
                <w:rFonts w:asciiTheme="majorHAnsi" w:hAnsiTheme="majorHAnsi" w:cstheme="majorHAnsi"/>
                <w:b/>
                <w:szCs w:val="18"/>
              </w:rPr>
            </w:pPr>
            <w:r w:rsidRPr="00993A3C">
              <w:rPr>
                <w:rFonts w:asciiTheme="majorHAnsi" w:hAnsiTheme="majorHAnsi" w:cstheme="majorHAnsi"/>
                <w:b/>
                <w:szCs w:val="18"/>
              </w:rPr>
              <w:t>Zonal model</w:t>
            </w:r>
          </w:p>
        </w:tc>
        <w:tc>
          <w:tcPr>
            <w:tcW w:w="12469" w:type="dxa"/>
            <w:tcBorders>
              <w:bottom w:val="single" w:sz="4" w:space="0" w:color="auto"/>
            </w:tcBorders>
            <w:shd w:val="clear" w:color="auto" w:fill="FFFFFF" w:themeFill="background1"/>
          </w:tcPr>
          <w:p w14:paraId="00AB8E88" w14:textId="77777777" w:rsidR="00993A3C" w:rsidRPr="00FA400C" w:rsidRDefault="00993A3C" w:rsidP="00993A3C">
            <w:pPr>
              <w:pStyle w:val="TableBodyText"/>
              <w:spacing w:line="252" w:lineRule="auto"/>
              <w:rPr>
                <w:rFonts w:asciiTheme="majorHAnsi" w:hAnsiTheme="majorHAnsi" w:cstheme="majorHAnsi"/>
                <w:color w:val="000000"/>
                <w:szCs w:val="18"/>
              </w:rPr>
            </w:pPr>
            <w:r>
              <w:rPr>
                <w:rFonts w:asciiTheme="majorHAnsi" w:hAnsiTheme="majorHAnsi" w:cstheme="majorHAnsi"/>
                <w:szCs w:val="18"/>
              </w:rPr>
              <w:t xml:space="preserve">The GMRG recommends that a zonal model with secondary firm rights at receipt and delivery points be used to maximise the pool of prospective buyers and sellers of firm forward haul services through the capacity trading platform. To implement this model, receipt and delivery point zones will need to be established on each pipeline that will be listed on the exchange and will need to reflect the technical pipeline requirements and market requirements.  </w:t>
            </w:r>
          </w:p>
        </w:tc>
      </w:tr>
      <w:tr w:rsidR="00993A3C" w:rsidRPr="00FA400C" w14:paraId="0DD64256" w14:textId="77777777" w:rsidTr="00635881">
        <w:trPr>
          <w:cnfStyle w:val="000000010000" w:firstRow="0" w:lastRow="0" w:firstColumn="0" w:lastColumn="0" w:oddVBand="0" w:evenVBand="0" w:oddHBand="0" w:evenHBand="1" w:firstRowFirstColumn="0" w:firstRowLastColumn="0" w:lastRowFirstColumn="0" w:lastRowLastColumn="0"/>
        </w:trPr>
        <w:tc>
          <w:tcPr>
            <w:tcW w:w="1565" w:type="dxa"/>
            <w:tcBorders>
              <w:bottom w:val="single" w:sz="4" w:space="0" w:color="auto"/>
            </w:tcBorders>
          </w:tcPr>
          <w:p w14:paraId="7DC22825" w14:textId="77777777" w:rsidR="00993A3C" w:rsidRPr="00FA400C" w:rsidRDefault="00993A3C" w:rsidP="00993A3C">
            <w:pPr>
              <w:pStyle w:val="BodyText"/>
              <w:spacing w:before="60" w:after="60" w:line="252" w:lineRule="auto"/>
              <w:rPr>
                <w:rFonts w:asciiTheme="majorHAnsi" w:hAnsiTheme="majorHAnsi" w:cstheme="majorHAnsi"/>
                <w:b/>
                <w:szCs w:val="18"/>
              </w:rPr>
            </w:pPr>
            <w:r w:rsidRPr="00993A3C">
              <w:rPr>
                <w:rFonts w:asciiTheme="majorHAnsi" w:hAnsiTheme="majorHAnsi" w:cstheme="majorHAnsi"/>
                <w:b/>
                <w:szCs w:val="18"/>
              </w:rPr>
              <w:t>Management of financial and delivery default risks</w:t>
            </w:r>
          </w:p>
        </w:tc>
        <w:tc>
          <w:tcPr>
            <w:tcW w:w="12469" w:type="dxa"/>
            <w:tcBorders>
              <w:bottom w:val="single" w:sz="4" w:space="0" w:color="auto"/>
            </w:tcBorders>
          </w:tcPr>
          <w:p w14:paraId="1C8B0EB3" w14:textId="77777777" w:rsidR="00993A3C" w:rsidRDefault="00993A3C" w:rsidP="00993A3C">
            <w:pPr>
              <w:pStyle w:val="TableBodyText"/>
              <w:spacing w:line="249" w:lineRule="auto"/>
              <w:rPr>
                <w:rFonts w:asciiTheme="majorHAnsi" w:hAnsiTheme="majorHAnsi" w:cstheme="majorHAnsi"/>
                <w:szCs w:val="18"/>
              </w:rPr>
            </w:pPr>
            <w:r>
              <w:rPr>
                <w:rFonts w:asciiTheme="majorHAnsi" w:hAnsiTheme="majorHAnsi" w:cstheme="majorHAnsi"/>
                <w:szCs w:val="18"/>
              </w:rPr>
              <w:t>There are two key risks that buyers will be exposed to under the proposed design of the capacity trading platform:</w:t>
            </w:r>
          </w:p>
          <w:p w14:paraId="1DBFBB3A" w14:textId="77777777" w:rsidR="00993A3C" w:rsidRDefault="00993A3C" w:rsidP="00993A3C">
            <w:pPr>
              <w:pStyle w:val="TableBullet1"/>
              <w:numPr>
                <w:ilvl w:val="0"/>
                <w:numId w:val="82"/>
              </w:numPr>
              <w:spacing w:line="249" w:lineRule="auto"/>
              <w:rPr>
                <w:rFonts w:asciiTheme="majorHAnsi" w:hAnsiTheme="majorHAnsi" w:cstheme="majorHAnsi"/>
                <w:szCs w:val="18"/>
              </w:rPr>
            </w:pPr>
            <w:r>
              <w:rPr>
                <w:rFonts w:asciiTheme="majorHAnsi" w:hAnsiTheme="majorHAnsi" w:cstheme="majorHAnsi"/>
                <w:szCs w:val="18"/>
              </w:rPr>
              <w:t xml:space="preserve">The seller’s primary GTA is terminated by the service provider: In this case, the GMRG recommends that the service provider be obliged to honour the transaction for up to two weeks after the primary GTA is terminated and receive the price established through the exchange in return for doing so. The GMRG believes this approach is necessary because the buyer will not know the seller’s identity so will be unable to carry out its own assessment of the financial viability of its counterparty prior to entering into the trade. By keeping the trade on foot for two weeks, buyers will have time to find alternative arrangements, which will promote an orderly transition and minimise the impact of default on the gas market. </w:t>
            </w:r>
          </w:p>
          <w:p w14:paraId="5F7E5D83" w14:textId="068DF8AA" w:rsidR="00993A3C" w:rsidRPr="00FA400C" w:rsidRDefault="00993A3C" w:rsidP="00993A3C">
            <w:pPr>
              <w:pStyle w:val="TableBullet1"/>
              <w:numPr>
                <w:ilvl w:val="0"/>
                <w:numId w:val="57"/>
              </w:numPr>
              <w:spacing w:line="252" w:lineRule="auto"/>
              <w:rPr>
                <w:rFonts w:asciiTheme="majorHAnsi" w:hAnsiTheme="majorHAnsi" w:cstheme="majorHAnsi"/>
                <w:szCs w:val="18"/>
              </w:rPr>
            </w:pPr>
            <w:r>
              <w:rPr>
                <w:rFonts w:asciiTheme="majorHAnsi" w:hAnsiTheme="majorHAnsi" w:cstheme="majorHAnsi"/>
                <w:szCs w:val="18"/>
              </w:rPr>
              <w:t xml:space="preserve">The seller short-sells capacity: In this case, the GMRG recommends that service providers give the seller an hour to rectify the short position and if it can’t be rectified, the trade </w:t>
            </w:r>
            <w:r w:rsidR="00983431">
              <w:rPr>
                <w:rFonts w:asciiTheme="majorHAnsi" w:hAnsiTheme="majorHAnsi" w:cstheme="majorHAnsi"/>
                <w:szCs w:val="18"/>
              </w:rPr>
              <w:t xml:space="preserve">be </w:t>
            </w:r>
            <w:r>
              <w:rPr>
                <w:rFonts w:asciiTheme="majorHAnsi" w:hAnsiTheme="majorHAnsi" w:cstheme="majorHAnsi"/>
                <w:szCs w:val="18"/>
              </w:rPr>
              <w:t>cancelled and the buyer(s) compensated. Because individual counterparties will not be known, if a trade is cancelled all secondary shippers’ capacity would be pro-rated down.</w:t>
            </w:r>
          </w:p>
        </w:tc>
      </w:tr>
      <w:tr w:rsidR="00635881" w:rsidRPr="00FA400C" w14:paraId="7CF5C00A" w14:textId="77777777" w:rsidTr="00635881">
        <w:tc>
          <w:tcPr>
            <w:tcW w:w="1565" w:type="dxa"/>
            <w:tcBorders>
              <w:bottom w:val="single" w:sz="4" w:space="0" w:color="auto"/>
            </w:tcBorders>
            <w:shd w:val="clear" w:color="auto" w:fill="FFFFFF" w:themeFill="background1"/>
          </w:tcPr>
          <w:p w14:paraId="6FBB8540" w14:textId="77777777" w:rsidR="00635881" w:rsidRPr="00FA400C" w:rsidRDefault="00635881" w:rsidP="00635881">
            <w:pPr>
              <w:pStyle w:val="BodyText"/>
              <w:spacing w:before="60" w:after="60" w:line="252" w:lineRule="auto"/>
              <w:rPr>
                <w:rFonts w:asciiTheme="majorHAnsi" w:hAnsiTheme="majorHAnsi" w:cstheme="majorHAnsi"/>
                <w:b/>
                <w:szCs w:val="18"/>
              </w:rPr>
            </w:pPr>
            <w:r w:rsidRPr="00FA400C">
              <w:rPr>
                <w:rFonts w:asciiTheme="majorHAnsi" w:hAnsiTheme="majorHAnsi" w:cstheme="majorHAnsi"/>
                <w:b/>
                <w:szCs w:val="18"/>
              </w:rPr>
              <w:t>Governance arrangements</w:t>
            </w:r>
          </w:p>
        </w:tc>
        <w:tc>
          <w:tcPr>
            <w:tcW w:w="12469" w:type="dxa"/>
            <w:tcBorders>
              <w:bottom w:val="single" w:sz="4" w:space="0" w:color="auto"/>
            </w:tcBorders>
            <w:shd w:val="clear" w:color="auto" w:fill="FFFFFF" w:themeFill="background1"/>
          </w:tcPr>
          <w:p w14:paraId="07F3E84E" w14:textId="77777777" w:rsidR="00635881" w:rsidRDefault="00635881" w:rsidP="00635881">
            <w:pPr>
              <w:pStyle w:val="TableBullet1"/>
              <w:numPr>
                <w:ilvl w:val="0"/>
                <w:numId w:val="0"/>
              </w:numPr>
              <w:spacing w:line="252" w:lineRule="auto"/>
              <w:ind w:left="85"/>
              <w:rPr>
                <w:rFonts w:asciiTheme="majorHAnsi" w:hAnsiTheme="majorHAnsi" w:cstheme="majorHAnsi"/>
                <w:szCs w:val="18"/>
              </w:rPr>
            </w:pPr>
            <w:r w:rsidRPr="00FA400C">
              <w:rPr>
                <w:rFonts w:asciiTheme="majorHAnsi" w:hAnsiTheme="majorHAnsi" w:cstheme="majorHAnsi"/>
                <w:szCs w:val="18"/>
              </w:rPr>
              <w:t xml:space="preserve">The </w:t>
            </w:r>
            <w:r>
              <w:rPr>
                <w:rFonts w:asciiTheme="majorHAnsi" w:hAnsiTheme="majorHAnsi" w:cstheme="majorHAnsi"/>
                <w:szCs w:val="18"/>
              </w:rPr>
              <w:t xml:space="preserve">GMRG recommends that the </w:t>
            </w:r>
            <w:r w:rsidRPr="00FA400C">
              <w:rPr>
                <w:rFonts w:asciiTheme="majorHAnsi" w:hAnsiTheme="majorHAnsi" w:cstheme="majorHAnsi"/>
                <w:szCs w:val="18"/>
              </w:rPr>
              <w:t xml:space="preserve">governance framework that currently applies to the GSH be maintained, but </w:t>
            </w:r>
            <w:r>
              <w:rPr>
                <w:rFonts w:asciiTheme="majorHAnsi" w:hAnsiTheme="majorHAnsi" w:cstheme="majorHAnsi"/>
                <w:szCs w:val="18"/>
              </w:rPr>
              <w:t xml:space="preserve">the necessary </w:t>
            </w:r>
            <w:r w:rsidRPr="00FA400C">
              <w:rPr>
                <w:rFonts w:asciiTheme="majorHAnsi" w:hAnsiTheme="majorHAnsi" w:cstheme="majorHAnsi"/>
                <w:szCs w:val="18"/>
              </w:rPr>
              <w:t xml:space="preserve">changes </w:t>
            </w:r>
            <w:r>
              <w:rPr>
                <w:rFonts w:asciiTheme="majorHAnsi" w:hAnsiTheme="majorHAnsi" w:cstheme="majorHAnsi"/>
                <w:szCs w:val="18"/>
              </w:rPr>
              <w:t xml:space="preserve">be made </w:t>
            </w:r>
            <w:r w:rsidRPr="00FA400C">
              <w:rPr>
                <w:rFonts w:asciiTheme="majorHAnsi" w:hAnsiTheme="majorHAnsi" w:cstheme="majorHAnsi"/>
                <w:szCs w:val="18"/>
              </w:rPr>
              <w:t xml:space="preserve">to the </w:t>
            </w:r>
            <w:r>
              <w:rPr>
                <w:rFonts w:asciiTheme="majorHAnsi" w:hAnsiTheme="majorHAnsi" w:cstheme="majorHAnsi"/>
                <w:szCs w:val="18"/>
              </w:rPr>
              <w:t xml:space="preserve">NGR, the </w:t>
            </w:r>
            <w:r w:rsidRPr="00FA400C">
              <w:rPr>
                <w:rFonts w:asciiTheme="majorHAnsi" w:hAnsiTheme="majorHAnsi" w:cstheme="majorHAnsi"/>
                <w:szCs w:val="18"/>
              </w:rPr>
              <w:t>Exchange Agreement</w:t>
            </w:r>
            <w:r>
              <w:rPr>
                <w:rFonts w:asciiTheme="majorHAnsi" w:hAnsiTheme="majorHAnsi" w:cstheme="majorHAnsi"/>
                <w:szCs w:val="18"/>
              </w:rPr>
              <w:t xml:space="preserve"> and procedures </w:t>
            </w:r>
            <w:r w:rsidRPr="00FA400C">
              <w:rPr>
                <w:rFonts w:asciiTheme="majorHAnsi" w:hAnsiTheme="majorHAnsi" w:cstheme="majorHAnsi"/>
                <w:szCs w:val="18"/>
              </w:rPr>
              <w:t xml:space="preserve">to accommodate capacity trading and the recommendations set out above. </w:t>
            </w:r>
          </w:p>
          <w:p w14:paraId="3323BC26" w14:textId="77777777" w:rsidR="00635881" w:rsidRPr="00FA400C" w:rsidRDefault="00635881" w:rsidP="00635881">
            <w:pPr>
              <w:pStyle w:val="TableBullet1"/>
              <w:numPr>
                <w:ilvl w:val="0"/>
                <w:numId w:val="0"/>
              </w:numPr>
              <w:spacing w:line="252" w:lineRule="auto"/>
              <w:ind w:left="85"/>
              <w:rPr>
                <w:rFonts w:asciiTheme="majorHAnsi" w:hAnsiTheme="majorHAnsi" w:cstheme="majorHAnsi"/>
                <w:szCs w:val="18"/>
              </w:rPr>
            </w:pPr>
            <w:r w:rsidRPr="00FA400C">
              <w:rPr>
                <w:rFonts w:asciiTheme="majorHAnsi" w:hAnsiTheme="majorHAnsi" w:cstheme="majorHAnsi"/>
                <w:szCs w:val="18"/>
              </w:rPr>
              <w:t>In relation to the zonal model, the GMRG recommends that any proposal to change the zones</w:t>
            </w:r>
            <w:r>
              <w:rPr>
                <w:rFonts w:asciiTheme="majorHAnsi" w:hAnsiTheme="majorHAnsi" w:cstheme="majorHAnsi"/>
                <w:szCs w:val="18"/>
              </w:rPr>
              <w:t xml:space="preserve"> </w:t>
            </w:r>
            <w:r w:rsidRPr="00FA400C">
              <w:rPr>
                <w:rFonts w:asciiTheme="majorHAnsi" w:hAnsiTheme="majorHAnsi" w:cstheme="majorHAnsi"/>
                <w:szCs w:val="18"/>
              </w:rPr>
              <w:t xml:space="preserve">be submitted to the Industry Panel for consideration </w:t>
            </w:r>
            <w:r>
              <w:rPr>
                <w:rFonts w:asciiTheme="majorHAnsi" w:hAnsiTheme="majorHAnsi" w:cstheme="majorHAnsi"/>
                <w:szCs w:val="18"/>
              </w:rPr>
              <w:t xml:space="preserve">and approved by the </w:t>
            </w:r>
            <w:r w:rsidR="00F1710A">
              <w:rPr>
                <w:rFonts w:asciiTheme="majorHAnsi" w:hAnsiTheme="majorHAnsi" w:cstheme="majorHAnsi"/>
                <w:szCs w:val="18"/>
              </w:rPr>
              <w:t>AER.</w:t>
            </w:r>
            <w:r>
              <w:rPr>
                <w:rFonts w:asciiTheme="majorHAnsi" w:hAnsiTheme="majorHAnsi" w:cstheme="majorHAnsi"/>
                <w:szCs w:val="18"/>
              </w:rPr>
              <w:t xml:space="preserve"> Principles will be included in the NGR to guide this process and enable any person to make a request to change the zone.</w:t>
            </w:r>
          </w:p>
        </w:tc>
      </w:tr>
      <w:bookmarkEnd w:id="35"/>
    </w:tbl>
    <w:p w14:paraId="7AD52F59" w14:textId="77777777" w:rsidR="00635881" w:rsidRPr="00DF2E48" w:rsidRDefault="00635881" w:rsidP="00DF2E48">
      <w:pPr>
        <w:pStyle w:val="BodyText"/>
        <w:spacing w:before="0" w:after="0"/>
        <w:rPr>
          <w:sz w:val="2"/>
          <w:szCs w:val="2"/>
        </w:rPr>
      </w:pPr>
    </w:p>
    <w:p w14:paraId="5F8662F0" w14:textId="77777777" w:rsidR="00DF2E48" w:rsidRPr="00DF2E48" w:rsidRDefault="00DF2E48" w:rsidP="00DF2E48">
      <w:pPr>
        <w:pStyle w:val="BodyText"/>
        <w:spacing w:before="0" w:after="0"/>
        <w:rPr>
          <w:sz w:val="2"/>
          <w:szCs w:val="2"/>
        </w:rPr>
        <w:sectPr w:rsidR="00DF2E48" w:rsidRPr="00DF2E48" w:rsidSect="00635881">
          <w:headerReference w:type="even" r:id="rId28"/>
          <w:headerReference w:type="default" r:id="rId29"/>
          <w:footerReference w:type="default" r:id="rId30"/>
          <w:headerReference w:type="first" r:id="rId31"/>
          <w:pgSz w:w="16839" w:h="11907" w:orient="landscape" w:code="9"/>
          <w:pgMar w:top="-1560" w:right="1418" w:bottom="567" w:left="1701" w:header="284" w:footer="343" w:gutter="0"/>
          <w:cols w:space="708"/>
          <w:docGrid w:linePitch="360"/>
        </w:sectPr>
      </w:pPr>
    </w:p>
    <w:p w14:paraId="418E89E6" w14:textId="77777777" w:rsidR="00DF2E48" w:rsidRDefault="00DF2E48" w:rsidP="00DF2E48">
      <w:pPr>
        <w:pStyle w:val="Caption"/>
        <w:spacing w:before="0" w:after="0"/>
      </w:pPr>
      <w:bookmarkStart w:id="36" w:name="_Ref497654978"/>
      <w:r>
        <w:lastRenderedPageBreak/>
        <w:t xml:space="preserve">Table </w:t>
      </w:r>
      <w:r w:rsidR="00983431">
        <w:fldChar w:fldCharType="begin"/>
      </w:r>
      <w:r w:rsidR="00983431">
        <w:instrText xml:space="preserve"> STYLEREF 1 \s </w:instrText>
      </w:r>
      <w:r w:rsidR="00983431">
        <w:fldChar w:fldCharType="separate"/>
      </w:r>
      <w:r w:rsidR="00761861">
        <w:rPr>
          <w:noProof/>
        </w:rPr>
        <w:t>1</w:t>
      </w:r>
      <w:r w:rsidR="00983431">
        <w:rPr>
          <w:noProof/>
        </w:rPr>
        <w:fldChar w:fldCharType="end"/>
      </w:r>
      <w:r w:rsidR="00901056">
        <w:t>.</w:t>
      </w:r>
      <w:r w:rsidR="00983431">
        <w:fldChar w:fldCharType="begin"/>
      </w:r>
      <w:r w:rsidR="00983431">
        <w:instrText xml:space="preserve"> SEQ Table \* ARABIC \s 1 </w:instrText>
      </w:r>
      <w:r w:rsidR="00983431">
        <w:fldChar w:fldCharType="separate"/>
      </w:r>
      <w:r w:rsidR="00761861">
        <w:rPr>
          <w:noProof/>
        </w:rPr>
        <w:t>3</w:t>
      </w:r>
      <w:r w:rsidR="00983431">
        <w:rPr>
          <w:noProof/>
        </w:rPr>
        <w:fldChar w:fldCharType="end"/>
      </w:r>
      <w:bookmarkEnd w:id="36"/>
      <w:r>
        <w:t>: Summary of the GMRG’s final recommendations on the reporting framework for secondary capacity trades</w:t>
      </w:r>
    </w:p>
    <w:tbl>
      <w:tblPr>
        <w:tblStyle w:val="TableGrid"/>
        <w:tblW w:w="14034" w:type="dxa"/>
        <w:tblInd w:w="-284" w:type="dxa"/>
        <w:tblLook w:val="04A0" w:firstRow="1" w:lastRow="0" w:firstColumn="1" w:lastColumn="0" w:noHBand="0" w:noVBand="1"/>
        <w:tblCaption w:val="Table 1.3"/>
        <w:tblDescription w:val="Summary of the GMRG’s final recommendations on the reporting framework for secondary capacity trades"/>
      </w:tblPr>
      <w:tblGrid>
        <w:gridCol w:w="1565"/>
        <w:gridCol w:w="12469"/>
      </w:tblGrid>
      <w:tr w:rsidR="00DF2E48" w:rsidRPr="00FA400C" w14:paraId="3B28DE47" w14:textId="77777777" w:rsidTr="00631EBC">
        <w:trPr>
          <w:cnfStyle w:val="100000000000" w:firstRow="1" w:lastRow="0" w:firstColumn="0" w:lastColumn="0" w:oddVBand="0" w:evenVBand="0" w:oddHBand="0" w:evenHBand="0" w:firstRowFirstColumn="0" w:firstRowLastColumn="0" w:lastRowFirstColumn="0" w:lastRowLastColumn="0"/>
          <w:tblHeader/>
        </w:trPr>
        <w:tc>
          <w:tcPr>
            <w:tcW w:w="1565" w:type="dxa"/>
            <w:tcBorders>
              <w:bottom w:val="single" w:sz="4" w:space="0" w:color="auto"/>
            </w:tcBorders>
            <w:shd w:val="clear" w:color="auto" w:fill="0099CC"/>
          </w:tcPr>
          <w:p w14:paraId="144D07EF" w14:textId="77777777" w:rsidR="00DF2E48" w:rsidRPr="00FA400C" w:rsidRDefault="00DF2E48" w:rsidP="00631EBC">
            <w:pPr>
              <w:pStyle w:val="BodyText"/>
              <w:spacing w:before="20" w:after="20" w:line="252" w:lineRule="auto"/>
              <w:rPr>
                <w:rFonts w:asciiTheme="majorHAnsi" w:hAnsiTheme="majorHAnsi" w:cstheme="majorHAnsi"/>
                <w:b w:val="0"/>
                <w:color w:val="FFFFFF" w:themeColor="background1"/>
                <w:szCs w:val="18"/>
              </w:rPr>
            </w:pPr>
            <w:r>
              <w:rPr>
                <w:rFonts w:asciiTheme="majorHAnsi" w:hAnsiTheme="majorHAnsi" w:cstheme="majorHAnsi"/>
                <w:color w:val="FFFFFF" w:themeColor="background1"/>
                <w:szCs w:val="18"/>
              </w:rPr>
              <w:t>Design Element</w:t>
            </w:r>
          </w:p>
        </w:tc>
        <w:tc>
          <w:tcPr>
            <w:tcW w:w="12469" w:type="dxa"/>
            <w:tcBorders>
              <w:bottom w:val="single" w:sz="4" w:space="0" w:color="auto"/>
            </w:tcBorders>
            <w:shd w:val="clear" w:color="auto" w:fill="0099CC"/>
          </w:tcPr>
          <w:p w14:paraId="6A362B52" w14:textId="77777777" w:rsidR="00DF2E48" w:rsidRPr="00FA400C" w:rsidRDefault="00DF2E48" w:rsidP="00631EBC">
            <w:pPr>
              <w:pStyle w:val="BodyText"/>
              <w:spacing w:before="20" w:after="20" w:line="252" w:lineRule="auto"/>
              <w:rPr>
                <w:rFonts w:asciiTheme="majorHAnsi" w:hAnsiTheme="majorHAnsi" w:cstheme="majorHAnsi"/>
                <w:b w:val="0"/>
                <w:color w:val="FFFFFF" w:themeColor="background1"/>
                <w:szCs w:val="18"/>
              </w:rPr>
            </w:pPr>
            <w:r w:rsidRPr="00FA400C">
              <w:rPr>
                <w:rFonts w:asciiTheme="majorHAnsi" w:hAnsiTheme="majorHAnsi" w:cstheme="majorHAnsi"/>
                <w:color w:val="FFFFFF" w:themeColor="background1"/>
                <w:szCs w:val="18"/>
              </w:rPr>
              <w:t>Recommendation</w:t>
            </w:r>
          </w:p>
        </w:tc>
      </w:tr>
      <w:tr w:rsidR="00DF2E48" w:rsidRPr="00FA400C" w14:paraId="637ED2F6" w14:textId="77777777" w:rsidTr="00631EBC">
        <w:trPr>
          <w:trHeight w:val="785"/>
        </w:trPr>
        <w:tc>
          <w:tcPr>
            <w:tcW w:w="1565" w:type="dxa"/>
            <w:hideMark/>
          </w:tcPr>
          <w:p w14:paraId="29E41C71" w14:textId="77777777" w:rsidR="00DF2E48" w:rsidRPr="00FA400C" w:rsidRDefault="00DF2E48" w:rsidP="00631EBC">
            <w:pPr>
              <w:pStyle w:val="BodyText"/>
              <w:keepNext/>
              <w:spacing w:before="60" w:after="60" w:line="252" w:lineRule="auto"/>
              <w:rPr>
                <w:rFonts w:asciiTheme="majorHAnsi" w:hAnsiTheme="majorHAnsi" w:cstheme="majorHAnsi"/>
                <w:b/>
                <w:szCs w:val="18"/>
              </w:rPr>
            </w:pPr>
            <w:r>
              <w:rPr>
                <w:rFonts w:asciiTheme="majorHAnsi" w:hAnsiTheme="majorHAnsi" w:cstheme="majorHAnsi"/>
                <w:b/>
                <w:szCs w:val="18"/>
              </w:rPr>
              <w:t>T</w:t>
            </w:r>
            <w:r w:rsidRPr="00FA400C">
              <w:rPr>
                <w:rFonts w:asciiTheme="majorHAnsi" w:hAnsiTheme="majorHAnsi" w:cstheme="majorHAnsi"/>
                <w:b/>
                <w:szCs w:val="18"/>
              </w:rPr>
              <w:t xml:space="preserve">rades subject to reporting </w:t>
            </w:r>
          </w:p>
        </w:tc>
        <w:tc>
          <w:tcPr>
            <w:tcW w:w="12469" w:type="dxa"/>
            <w:hideMark/>
          </w:tcPr>
          <w:p w14:paraId="2F23DBF1" w14:textId="77777777" w:rsidR="00DF2E48" w:rsidRDefault="00DF2E48" w:rsidP="00631EBC">
            <w:pPr>
              <w:pStyle w:val="TableBullet1"/>
              <w:keepNext/>
              <w:numPr>
                <w:ilvl w:val="0"/>
                <w:numId w:val="0"/>
              </w:numPr>
              <w:spacing w:line="252" w:lineRule="auto"/>
              <w:ind w:left="312" w:hanging="227"/>
              <w:rPr>
                <w:rFonts w:asciiTheme="majorHAnsi" w:hAnsiTheme="majorHAnsi" w:cstheme="majorHAnsi"/>
                <w:szCs w:val="18"/>
              </w:rPr>
            </w:pPr>
            <w:r>
              <w:rPr>
                <w:rFonts w:asciiTheme="majorHAnsi" w:hAnsiTheme="majorHAnsi" w:cstheme="majorHAnsi"/>
                <w:szCs w:val="18"/>
              </w:rPr>
              <w:t>The GMRG recommends that t</w:t>
            </w:r>
            <w:r w:rsidRPr="00FA400C">
              <w:rPr>
                <w:rFonts w:asciiTheme="majorHAnsi" w:hAnsiTheme="majorHAnsi" w:cstheme="majorHAnsi"/>
                <w:szCs w:val="18"/>
              </w:rPr>
              <w:t>he rep</w:t>
            </w:r>
            <w:r>
              <w:rPr>
                <w:rFonts w:asciiTheme="majorHAnsi" w:hAnsiTheme="majorHAnsi" w:cstheme="majorHAnsi"/>
                <w:szCs w:val="18"/>
              </w:rPr>
              <w:t xml:space="preserve">orting framework apply to: </w:t>
            </w:r>
          </w:p>
          <w:p w14:paraId="0DB96B92" w14:textId="77777777" w:rsidR="00DF2E48" w:rsidRDefault="00DF2E48" w:rsidP="00CF4594">
            <w:pPr>
              <w:pStyle w:val="TableBullet1"/>
              <w:keepNext/>
              <w:numPr>
                <w:ilvl w:val="0"/>
                <w:numId w:val="57"/>
              </w:numPr>
              <w:spacing w:line="252" w:lineRule="auto"/>
              <w:rPr>
                <w:rFonts w:asciiTheme="majorHAnsi" w:hAnsiTheme="majorHAnsi" w:cstheme="majorHAnsi"/>
                <w:szCs w:val="18"/>
              </w:rPr>
            </w:pPr>
            <w:r w:rsidRPr="00FA400C">
              <w:rPr>
                <w:rFonts w:asciiTheme="majorHAnsi" w:hAnsiTheme="majorHAnsi" w:cstheme="majorHAnsi"/>
                <w:szCs w:val="18"/>
              </w:rPr>
              <w:t>all screen and pre-matched trades carried out through the capacity trading platform</w:t>
            </w:r>
            <w:r>
              <w:rPr>
                <w:rFonts w:asciiTheme="majorHAnsi" w:hAnsiTheme="majorHAnsi" w:cstheme="majorHAnsi"/>
                <w:szCs w:val="18"/>
              </w:rPr>
              <w:t xml:space="preserve">; and </w:t>
            </w:r>
          </w:p>
          <w:p w14:paraId="1D606A4D" w14:textId="77777777" w:rsidR="00DF2E48" w:rsidRDefault="00DF2E48" w:rsidP="00CF4594">
            <w:pPr>
              <w:pStyle w:val="TableBullet1"/>
              <w:keepNext/>
              <w:numPr>
                <w:ilvl w:val="0"/>
                <w:numId w:val="57"/>
              </w:numPr>
              <w:spacing w:line="252" w:lineRule="auto"/>
              <w:rPr>
                <w:rFonts w:asciiTheme="majorHAnsi" w:hAnsiTheme="majorHAnsi" w:cstheme="majorHAnsi"/>
                <w:szCs w:val="18"/>
              </w:rPr>
            </w:pPr>
            <w:proofErr w:type="gramStart"/>
            <w:r w:rsidRPr="00FA400C">
              <w:rPr>
                <w:rFonts w:asciiTheme="majorHAnsi" w:hAnsiTheme="majorHAnsi" w:cstheme="majorHAnsi"/>
                <w:szCs w:val="18"/>
              </w:rPr>
              <w:t>bilateral</w:t>
            </w:r>
            <w:proofErr w:type="gramEnd"/>
            <w:r w:rsidRPr="00FA400C">
              <w:rPr>
                <w:rFonts w:asciiTheme="majorHAnsi" w:hAnsiTheme="majorHAnsi" w:cstheme="majorHAnsi"/>
                <w:szCs w:val="18"/>
              </w:rPr>
              <w:t xml:space="preserve"> trades of capacity involving forward haul, backhaul, park, park and loan and/or compression services</w:t>
            </w:r>
            <w:r>
              <w:rPr>
                <w:rFonts w:asciiTheme="majorHAnsi" w:hAnsiTheme="majorHAnsi" w:cstheme="majorHAnsi"/>
                <w:szCs w:val="18"/>
              </w:rPr>
              <w:t>.</w:t>
            </w:r>
          </w:p>
          <w:p w14:paraId="16DAD089" w14:textId="77777777" w:rsidR="00DF2E48" w:rsidRPr="00FA400C" w:rsidRDefault="00DE0813" w:rsidP="00631EBC">
            <w:pPr>
              <w:pStyle w:val="TableBullet1"/>
              <w:keepNext/>
              <w:numPr>
                <w:ilvl w:val="0"/>
                <w:numId w:val="0"/>
              </w:numPr>
              <w:spacing w:line="252" w:lineRule="auto"/>
              <w:ind w:left="85"/>
              <w:rPr>
                <w:rFonts w:asciiTheme="majorHAnsi" w:hAnsiTheme="majorHAnsi" w:cstheme="majorHAnsi"/>
                <w:szCs w:val="18"/>
              </w:rPr>
            </w:pPr>
            <w:r>
              <w:rPr>
                <w:rFonts w:asciiTheme="majorHAnsi" w:hAnsiTheme="majorHAnsi" w:cstheme="majorHAnsi"/>
                <w:szCs w:val="18"/>
              </w:rPr>
              <w:t>C</w:t>
            </w:r>
            <w:r w:rsidR="00DF2E48">
              <w:rPr>
                <w:rFonts w:asciiTheme="majorHAnsi" w:hAnsiTheme="majorHAnsi" w:cstheme="majorHAnsi"/>
                <w:szCs w:val="18"/>
              </w:rPr>
              <w:t xml:space="preserve">apacity purchased through the auction will also need to be reported but the reporting framework will be slightly different. The GMRG’s recommendations on the day-ahead auction reporting framework will be made to the Energy Council in December. </w:t>
            </w:r>
          </w:p>
        </w:tc>
      </w:tr>
      <w:tr w:rsidR="00DF2E48" w:rsidRPr="00FA400C" w14:paraId="2E658F9C" w14:textId="77777777" w:rsidTr="000E3722">
        <w:trPr>
          <w:cnfStyle w:val="000000010000" w:firstRow="0" w:lastRow="0" w:firstColumn="0" w:lastColumn="0" w:oddVBand="0" w:evenVBand="0" w:oddHBand="0" w:evenHBand="1" w:firstRowFirstColumn="0" w:firstRowLastColumn="0" w:lastRowFirstColumn="0" w:lastRowLastColumn="0"/>
          <w:trHeight w:val="1738"/>
        </w:trPr>
        <w:tc>
          <w:tcPr>
            <w:tcW w:w="1565" w:type="dxa"/>
            <w:hideMark/>
          </w:tcPr>
          <w:p w14:paraId="1370143E" w14:textId="77777777" w:rsidR="00DF2E48" w:rsidRPr="00FA400C" w:rsidRDefault="00DF2E48" w:rsidP="00631EBC">
            <w:pPr>
              <w:pStyle w:val="BodyText"/>
              <w:keepNext/>
              <w:spacing w:before="60" w:after="60" w:line="252" w:lineRule="auto"/>
              <w:rPr>
                <w:rFonts w:asciiTheme="majorHAnsi" w:hAnsiTheme="majorHAnsi" w:cstheme="majorHAnsi"/>
                <w:b/>
                <w:szCs w:val="18"/>
              </w:rPr>
            </w:pPr>
            <w:r w:rsidRPr="00FA400C">
              <w:rPr>
                <w:rFonts w:asciiTheme="majorHAnsi" w:hAnsiTheme="majorHAnsi" w:cstheme="majorHAnsi"/>
                <w:b/>
                <w:szCs w:val="18"/>
              </w:rPr>
              <w:t>Information to be reported</w:t>
            </w:r>
          </w:p>
        </w:tc>
        <w:tc>
          <w:tcPr>
            <w:tcW w:w="12469" w:type="dxa"/>
            <w:hideMark/>
          </w:tcPr>
          <w:p w14:paraId="4DC53F14" w14:textId="77777777" w:rsidR="00DF2E48" w:rsidRPr="00FA400C" w:rsidRDefault="00DF2E48" w:rsidP="00631EBC">
            <w:pPr>
              <w:pStyle w:val="TableBullet1"/>
              <w:keepNext/>
              <w:numPr>
                <w:ilvl w:val="0"/>
                <w:numId w:val="0"/>
              </w:numPr>
              <w:tabs>
                <w:tab w:val="left" w:pos="720"/>
              </w:tabs>
              <w:spacing w:line="252" w:lineRule="auto"/>
              <w:ind w:left="312" w:hanging="227"/>
              <w:rPr>
                <w:rFonts w:asciiTheme="majorHAnsi" w:hAnsiTheme="majorHAnsi" w:cstheme="majorHAnsi"/>
                <w:szCs w:val="18"/>
              </w:rPr>
            </w:pPr>
            <w:r w:rsidRPr="00FA400C">
              <w:rPr>
                <w:rFonts w:asciiTheme="majorHAnsi" w:hAnsiTheme="majorHAnsi" w:cstheme="majorHAnsi"/>
                <w:szCs w:val="18"/>
              </w:rPr>
              <w:t xml:space="preserve">The </w:t>
            </w:r>
            <w:r>
              <w:rPr>
                <w:rFonts w:asciiTheme="majorHAnsi" w:hAnsiTheme="majorHAnsi" w:cstheme="majorHAnsi"/>
                <w:szCs w:val="18"/>
              </w:rPr>
              <w:t xml:space="preserve">GMRG recommends that the </w:t>
            </w:r>
            <w:r w:rsidRPr="00FA400C">
              <w:rPr>
                <w:rFonts w:asciiTheme="majorHAnsi" w:hAnsiTheme="majorHAnsi" w:cstheme="majorHAnsi"/>
                <w:szCs w:val="18"/>
              </w:rPr>
              <w:t>reporting framework require the following information to be reported:</w:t>
            </w:r>
          </w:p>
          <w:p w14:paraId="2311B0B8" w14:textId="77777777" w:rsidR="00DF2E48" w:rsidRPr="00FA400C" w:rsidRDefault="00DF2E48" w:rsidP="00CF4594">
            <w:pPr>
              <w:pStyle w:val="TableBullet1"/>
              <w:keepNext/>
              <w:numPr>
                <w:ilvl w:val="0"/>
                <w:numId w:val="57"/>
              </w:numPr>
              <w:spacing w:line="252" w:lineRule="auto"/>
              <w:rPr>
                <w:rFonts w:asciiTheme="majorHAnsi" w:hAnsiTheme="majorHAnsi" w:cstheme="majorHAnsi"/>
                <w:szCs w:val="18"/>
              </w:rPr>
            </w:pPr>
            <w:r w:rsidRPr="00FA400C">
              <w:rPr>
                <w:rFonts w:asciiTheme="majorHAnsi" w:hAnsiTheme="majorHAnsi" w:cstheme="majorHAnsi"/>
                <w:szCs w:val="18"/>
              </w:rPr>
              <w:t>the date of the trade and the start and end dates for the trade;</w:t>
            </w:r>
          </w:p>
          <w:p w14:paraId="78B53D23" w14:textId="77777777" w:rsidR="00DF2E48" w:rsidRPr="00FA400C" w:rsidRDefault="00DF2E48" w:rsidP="00CF4594">
            <w:pPr>
              <w:pStyle w:val="TableBullet1"/>
              <w:keepNext/>
              <w:numPr>
                <w:ilvl w:val="0"/>
                <w:numId w:val="57"/>
              </w:numPr>
              <w:spacing w:line="252" w:lineRule="auto"/>
              <w:rPr>
                <w:rFonts w:asciiTheme="majorHAnsi" w:hAnsiTheme="majorHAnsi" w:cstheme="majorHAnsi"/>
                <w:szCs w:val="18"/>
              </w:rPr>
            </w:pPr>
            <w:r w:rsidRPr="00FA400C">
              <w:rPr>
                <w:rFonts w:asciiTheme="majorHAnsi" w:hAnsiTheme="majorHAnsi" w:cstheme="majorHAnsi"/>
                <w:szCs w:val="18"/>
              </w:rPr>
              <w:t>the typ</w:t>
            </w:r>
            <w:r>
              <w:rPr>
                <w:rFonts w:asciiTheme="majorHAnsi" w:hAnsiTheme="majorHAnsi" w:cstheme="majorHAnsi"/>
                <w:szCs w:val="18"/>
              </w:rPr>
              <w:t>e of trade (e.g. exchange traded</w:t>
            </w:r>
            <w:r w:rsidRPr="00FA400C">
              <w:rPr>
                <w:rFonts w:asciiTheme="majorHAnsi" w:hAnsiTheme="majorHAnsi" w:cstheme="majorHAnsi"/>
                <w:szCs w:val="18"/>
              </w:rPr>
              <w:t xml:space="preserve"> or bilateral) and how it is given effect (e.g. operational GTA, primary GTA or bare transfer);</w:t>
            </w:r>
          </w:p>
          <w:p w14:paraId="5BF74DB1" w14:textId="77777777" w:rsidR="00DF2E48" w:rsidRPr="00FA400C" w:rsidRDefault="00DF2E48" w:rsidP="00CF4594">
            <w:pPr>
              <w:pStyle w:val="TableBullet1"/>
              <w:keepNext/>
              <w:numPr>
                <w:ilvl w:val="0"/>
                <w:numId w:val="57"/>
              </w:numPr>
              <w:spacing w:line="252" w:lineRule="auto"/>
              <w:rPr>
                <w:rFonts w:asciiTheme="majorHAnsi" w:hAnsiTheme="majorHAnsi" w:cstheme="majorHAnsi"/>
                <w:szCs w:val="18"/>
              </w:rPr>
            </w:pPr>
            <w:r w:rsidRPr="00FA400C">
              <w:rPr>
                <w:rFonts w:asciiTheme="majorHAnsi" w:hAnsiTheme="majorHAnsi" w:cstheme="majorHAnsi"/>
                <w:szCs w:val="18"/>
              </w:rPr>
              <w:t xml:space="preserve">the type of service procured (i.e. forward haul, backhaul, park, park and loan, compression), the firmness of the service and service priority; </w:t>
            </w:r>
          </w:p>
          <w:p w14:paraId="396C6162" w14:textId="77777777" w:rsidR="00DF2E48" w:rsidRPr="00FA400C" w:rsidRDefault="00DF2E48" w:rsidP="00CF4594">
            <w:pPr>
              <w:pStyle w:val="TableBullet1"/>
              <w:keepNext/>
              <w:numPr>
                <w:ilvl w:val="0"/>
                <w:numId w:val="57"/>
              </w:numPr>
              <w:spacing w:line="252" w:lineRule="auto"/>
              <w:rPr>
                <w:rFonts w:asciiTheme="majorHAnsi" w:hAnsiTheme="majorHAnsi" w:cstheme="majorHAnsi"/>
                <w:szCs w:val="18"/>
              </w:rPr>
            </w:pPr>
            <w:r w:rsidRPr="00FA400C">
              <w:rPr>
                <w:rFonts w:asciiTheme="majorHAnsi" w:hAnsiTheme="majorHAnsi" w:cstheme="majorHAnsi"/>
                <w:szCs w:val="18"/>
              </w:rPr>
              <w:t>the pipeline or compression facility the trade relates to and, in the case of pipeline services, the direction of the service and zones between which gas is transported (zones will be used to, the extent practicable, protect the anonymity of counterparties);</w:t>
            </w:r>
          </w:p>
          <w:p w14:paraId="0DE0BD87" w14:textId="77777777" w:rsidR="00DF2E48" w:rsidRPr="00FA400C" w:rsidRDefault="00DF2E48" w:rsidP="00CF4594">
            <w:pPr>
              <w:pStyle w:val="TableBullet1"/>
              <w:keepNext/>
              <w:numPr>
                <w:ilvl w:val="0"/>
                <w:numId w:val="57"/>
              </w:numPr>
              <w:spacing w:line="252" w:lineRule="auto"/>
              <w:rPr>
                <w:rFonts w:asciiTheme="majorHAnsi" w:hAnsiTheme="majorHAnsi" w:cstheme="majorHAnsi"/>
                <w:szCs w:val="18"/>
              </w:rPr>
            </w:pPr>
            <w:r w:rsidRPr="00FA400C">
              <w:rPr>
                <w:rFonts w:asciiTheme="majorHAnsi" w:hAnsiTheme="majorHAnsi" w:cstheme="majorHAnsi"/>
                <w:szCs w:val="18"/>
              </w:rPr>
              <w:t>the amount of capacity procured (expressed on a maximum daily quantity (MDQ) and maximum hourly quantity (MHQ) basis); and</w:t>
            </w:r>
          </w:p>
          <w:p w14:paraId="01D39E1E" w14:textId="77777777" w:rsidR="00DF2E48" w:rsidRPr="00FA400C" w:rsidRDefault="00DF2E48" w:rsidP="00CF4594">
            <w:pPr>
              <w:pStyle w:val="TableBullet1"/>
              <w:keepNext/>
              <w:numPr>
                <w:ilvl w:val="0"/>
                <w:numId w:val="57"/>
              </w:numPr>
              <w:spacing w:line="252" w:lineRule="auto"/>
              <w:rPr>
                <w:rFonts w:asciiTheme="majorHAnsi" w:hAnsiTheme="majorHAnsi" w:cstheme="majorHAnsi"/>
                <w:szCs w:val="18"/>
              </w:rPr>
            </w:pPr>
            <w:proofErr w:type="gramStart"/>
            <w:r w:rsidRPr="00FA400C">
              <w:rPr>
                <w:rFonts w:asciiTheme="majorHAnsi" w:hAnsiTheme="majorHAnsi" w:cstheme="majorHAnsi"/>
                <w:szCs w:val="18"/>
              </w:rPr>
              <w:t>the</w:t>
            </w:r>
            <w:proofErr w:type="gramEnd"/>
            <w:r w:rsidRPr="00FA400C">
              <w:rPr>
                <w:rFonts w:asciiTheme="majorHAnsi" w:hAnsiTheme="majorHAnsi" w:cstheme="majorHAnsi"/>
                <w:szCs w:val="18"/>
              </w:rPr>
              <w:t xml:space="preserve"> price paid for the capacity (including, where relevant, details of the price structure and price escalation mechanism for bilateral trades). </w:t>
            </w:r>
          </w:p>
        </w:tc>
      </w:tr>
      <w:tr w:rsidR="00DF2E48" w:rsidRPr="00FA400C" w14:paraId="3C5DDFD1" w14:textId="77777777" w:rsidTr="00631EBC">
        <w:trPr>
          <w:trHeight w:val="688"/>
        </w:trPr>
        <w:tc>
          <w:tcPr>
            <w:tcW w:w="1565" w:type="dxa"/>
            <w:hideMark/>
          </w:tcPr>
          <w:p w14:paraId="09431BAF" w14:textId="77777777" w:rsidR="00DF2E48" w:rsidRPr="00FA400C" w:rsidRDefault="00DF2E48" w:rsidP="00631EBC">
            <w:pPr>
              <w:pStyle w:val="TableBodyText"/>
              <w:spacing w:line="252" w:lineRule="auto"/>
              <w:rPr>
                <w:rFonts w:asciiTheme="majorHAnsi" w:hAnsiTheme="majorHAnsi" w:cstheme="majorHAnsi"/>
                <w:b/>
              </w:rPr>
            </w:pPr>
            <w:r>
              <w:rPr>
                <w:rFonts w:asciiTheme="majorHAnsi" w:hAnsiTheme="majorHAnsi" w:cstheme="majorHAnsi"/>
                <w:b/>
              </w:rPr>
              <w:t>Responsibility</w:t>
            </w:r>
            <w:r w:rsidRPr="00FA400C">
              <w:rPr>
                <w:rFonts w:asciiTheme="majorHAnsi" w:hAnsiTheme="majorHAnsi" w:cstheme="majorHAnsi"/>
                <w:b/>
              </w:rPr>
              <w:t xml:space="preserve"> for reporting </w:t>
            </w:r>
          </w:p>
        </w:tc>
        <w:tc>
          <w:tcPr>
            <w:tcW w:w="12469" w:type="dxa"/>
            <w:hideMark/>
          </w:tcPr>
          <w:p w14:paraId="6E89C20B" w14:textId="247C6083" w:rsidR="00DF2E48" w:rsidRDefault="00DF2E48" w:rsidP="0050246D">
            <w:pPr>
              <w:pStyle w:val="TableBullet1"/>
              <w:keepNext/>
              <w:numPr>
                <w:ilvl w:val="0"/>
                <w:numId w:val="0"/>
              </w:numPr>
              <w:tabs>
                <w:tab w:val="left" w:pos="7299"/>
              </w:tabs>
              <w:spacing w:line="252" w:lineRule="auto"/>
              <w:ind w:left="312" w:hanging="227"/>
              <w:rPr>
                <w:rFonts w:asciiTheme="majorHAnsi" w:hAnsiTheme="majorHAnsi" w:cstheme="majorHAnsi"/>
                <w:szCs w:val="18"/>
              </w:rPr>
            </w:pPr>
            <w:r>
              <w:rPr>
                <w:rFonts w:asciiTheme="majorHAnsi" w:hAnsiTheme="majorHAnsi" w:cstheme="majorHAnsi"/>
                <w:szCs w:val="18"/>
              </w:rPr>
              <w:t xml:space="preserve">The GMRG recommends that: </w:t>
            </w:r>
            <w:r w:rsidR="0050246D">
              <w:rPr>
                <w:rFonts w:asciiTheme="majorHAnsi" w:hAnsiTheme="majorHAnsi" w:cstheme="majorHAnsi"/>
                <w:szCs w:val="18"/>
              </w:rPr>
              <w:tab/>
            </w:r>
          </w:p>
          <w:p w14:paraId="35E6060D" w14:textId="77777777" w:rsidR="00DF2E48" w:rsidRDefault="00DF2E48" w:rsidP="00CF4594">
            <w:pPr>
              <w:pStyle w:val="TableBullet1"/>
              <w:keepNext/>
              <w:numPr>
                <w:ilvl w:val="0"/>
                <w:numId w:val="57"/>
              </w:numPr>
              <w:spacing w:line="252" w:lineRule="auto"/>
              <w:rPr>
                <w:rFonts w:asciiTheme="majorHAnsi" w:hAnsiTheme="majorHAnsi" w:cstheme="majorHAnsi"/>
                <w:szCs w:val="18"/>
              </w:rPr>
            </w:pPr>
            <w:r w:rsidRPr="00FA400C">
              <w:rPr>
                <w:rFonts w:asciiTheme="majorHAnsi" w:hAnsiTheme="majorHAnsi" w:cstheme="majorHAnsi"/>
                <w:szCs w:val="18"/>
              </w:rPr>
              <w:t xml:space="preserve">AEMO </w:t>
            </w:r>
            <w:r>
              <w:rPr>
                <w:rFonts w:asciiTheme="majorHAnsi" w:hAnsiTheme="majorHAnsi" w:cstheme="majorHAnsi"/>
                <w:szCs w:val="18"/>
              </w:rPr>
              <w:t xml:space="preserve">be accorded responsibility </w:t>
            </w:r>
            <w:r w:rsidRPr="00FA400C">
              <w:rPr>
                <w:rFonts w:asciiTheme="majorHAnsi" w:hAnsiTheme="majorHAnsi" w:cstheme="majorHAnsi"/>
                <w:szCs w:val="18"/>
              </w:rPr>
              <w:t>for reporting trades carried out through the capacity trading platform; and</w:t>
            </w:r>
            <w:r>
              <w:rPr>
                <w:rFonts w:asciiTheme="majorHAnsi" w:hAnsiTheme="majorHAnsi" w:cstheme="majorHAnsi"/>
                <w:szCs w:val="18"/>
              </w:rPr>
              <w:t xml:space="preserve"> </w:t>
            </w:r>
          </w:p>
          <w:p w14:paraId="5482E37C" w14:textId="77777777" w:rsidR="00DF2E48" w:rsidRPr="00FA400C" w:rsidRDefault="00DF2E48" w:rsidP="00CF4594">
            <w:pPr>
              <w:pStyle w:val="TableBullet1"/>
              <w:keepNext/>
              <w:numPr>
                <w:ilvl w:val="0"/>
                <w:numId w:val="57"/>
              </w:numPr>
              <w:spacing w:line="252" w:lineRule="auto"/>
              <w:rPr>
                <w:rFonts w:asciiTheme="majorHAnsi" w:hAnsiTheme="majorHAnsi" w:cstheme="majorHAnsi"/>
                <w:szCs w:val="18"/>
              </w:rPr>
            </w:pPr>
            <w:proofErr w:type="gramStart"/>
            <w:r w:rsidRPr="00FA400C">
              <w:rPr>
                <w:rFonts w:asciiTheme="majorHAnsi" w:hAnsiTheme="majorHAnsi" w:cstheme="majorHAnsi"/>
                <w:szCs w:val="18"/>
              </w:rPr>
              <w:t>sellers</w:t>
            </w:r>
            <w:proofErr w:type="gramEnd"/>
            <w:r w:rsidRPr="00FA400C">
              <w:rPr>
                <w:rFonts w:asciiTheme="majorHAnsi" w:hAnsiTheme="majorHAnsi" w:cstheme="majorHAnsi"/>
                <w:szCs w:val="18"/>
              </w:rPr>
              <w:t xml:space="preserve"> be </w:t>
            </w:r>
            <w:r>
              <w:rPr>
                <w:rFonts w:asciiTheme="majorHAnsi" w:hAnsiTheme="majorHAnsi" w:cstheme="majorHAnsi"/>
                <w:szCs w:val="18"/>
              </w:rPr>
              <w:t xml:space="preserve">accorded responsibility </w:t>
            </w:r>
            <w:r w:rsidRPr="00FA400C">
              <w:rPr>
                <w:rFonts w:asciiTheme="majorHAnsi" w:hAnsiTheme="majorHAnsi" w:cstheme="majorHAnsi"/>
                <w:szCs w:val="18"/>
              </w:rPr>
              <w:t xml:space="preserve">for reporting bilateral trades. </w:t>
            </w:r>
          </w:p>
        </w:tc>
      </w:tr>
      <w:tr w:rsidR="00DF2E48" w:rsidRPr="00FA400C" w14:paraId="300B50E3" w14:textId="77777777" w:rsidTr="00631EBC">
        <w:trPr>
          <w:cnfStyle w:val="000000010000" w:firstRow="0" w:lastRow="0" w:firstColumn="0" w:lastColumn="0" w:oddVBand="0" w:evenVBand="0" w:oddHBand="0" w:evenHBand="1" w:firstRowFirstColumn="0" w:firstRowLastColumn="0" w:lastRowFirstColumn="0" w:lastRowLastColumn="0"/>
        </w:trPr>
        <w:tc>
          <w:tcPr>
            <w:tcW w:w="1565" w:type="dxa"/>
            <w:hideMark/>
          </w:tcPr>
          <w:p w14:paraId="7860319C" w14:textId="77777777" w:rsidR="00DF2E48" w:rsidRPr="00FA400C" w:rsidRDefault="00DF2E48" w:rsidP="00631EBC">
            <w:pPr>
              <w:pStyle w:val="TableBodyText"/>
              <w:spacing w:line="252" w:lineRule="auto"/>
              <w:rPr>
                <w:rFonts w:asciiTheme="majorHAnsi" w:hAnsiTheme="majorHAnsi" w:cstheme="majorHAnsi"/>
                <w:b/>
              </w:rPr>
            </w:pPr>
            <w:r w:rsidRPr="00FA400C">
              <w:rPr>
                <w:rFonts w:asciiTheme="majorHAnsi" w:hAnsiTheme="majorHAnsi" w:cstheme="majorHAnsi"/>
                <w:b/>
              </w:rPr>
              <w:t>Where and when information is to be reported and published</w:t>
            </w:r>
          </w:p>
        </w:tc>
        <w:tc>
          <w:tcPr>
            <w:tcW w:w="12469" w:type="dxa"/>
            <w:hideMark/>
          </w:tcPr>
          <w:p w14:paraId="1D5C21F7" w14:textId="77777777" w:rsidR="00DF2E48" w:rsidRPr="00FA400C" w:rsidRDefault="00DF2E48" w:rsidP="00631EBC">
            <w:pPr>
              <w:pStyle w:val="TableBodyText"/>
              <w:spacing w:line="252" w:lineRule="auto"/>
              <w:rPr>
                <w:rFonts w:asciiTheme="majorHAnsi" w:hAnsiTheme="majorHAnsi" w:cstheme="majorHAnsi"/>
                <w:szCs w:val="18"/>
              </w:rPr>
            </w:pPr>
            <w:r>
              <w:rPr>
                <w:rFonts w:asciiTheme="majorHAnsi" w:hAnsiTheme="majorHAnsi" w:cstheme="majorHAnsi"/>
                <w:szCs w:val="18"/>
              </w:rPr>
              <w:t xml:space="preserve">The GMRG recommends that </w:t>
            </w:r>
            <w:r w:rsidRPr="00FA400C">
              <w:rPr>
                <w:rFonts w:asciiTheme="majorHAnsi" w:hAnsiTheme="majorHAnsi" w:cstheme="majorHAnsi"/>
                <w:szCs w:val="18"/>
              </w:rPr>
              <w:t xml:space="preserve">trades carried out: </w:t>
            </w:r>
          </w:p>
          <w:p w14:paraId="728FB09B" w14:textId="77777777" w:rsidR="00DF2E48" w:rsidRPr="00FA400C" w:rsidRDefault="00DF2E48" w:rsidP="00CF4594">
            <w:pPr>
              <w:pStyle w:val="TableBullet1"/>
              <w:numPr>
                <w:ilvl w:val="0"/>
                <w:numId w:val="57"/>
              </w:numPr>
              <w:spacing w:line="252" w:lineRule="auto"/>
              <w:rPr>
                <w:rFonts w:asciiTheme="majorHAnsi" w:hAnsiTheme="majorHAnsi" w:cstheme="majorHAnsi"/>
                <w:szCs w:val="18"/>
              </w:rPr>
            </w:pPr>
            <w:r w:rsidRPr="00FA400C">
              <w:rPr>
                <w:rFonts w:asciiTheme="majorHAnsi" w:hAnsiTheme="majorHAnsi" w:cstheme="majorHAnsi"/>
                <w:szCs w:val="18"/>
              </w:rPr>
              <w:t xml:space="preserve">through the capacity trading platform be </w:t>
            </w:r>
            <w:r w:rsidR="00454BA1">
              <w:rPr>
                <w:rFonts w:asciiTheme="majorHAnsi" w:hAnsiTheme="majorHAnsi" w:cstheme="majorHAnsi"/>
                <w:szCs w:val="18"/>
              </w:rPr>
              <w:t xml:space="preserve">reported on the GSH </w:t>
            </w:r>
            <w:r w:rsidRPr="00FA400C">
              <w:rPr>
                <w:rFonts w:asciiTheme="majorHAnsi" w:hAnsiTheme="majorHAnsi" w:cstheme="majorHAnsi"/>
                <w:szCs w:val="18"/>
              </w:rPr>
              <w:t>by AEMO as soon as practicable after the trade</w:t>
            </w:r>
            <w:r>
              <w:rPr>
                <w:rFonts w:asciiTheme="majorHAnsi" w:hAnsiTheme="majorHAnsi" w:cstheme="majorHAnsi"/>
                <w:szCs w:val="18"/>
              </w:rPr>
              <w:t xml:space="preserve"> occurs</w:t>
            </w:r>
            <w:r w:rsidR="00454BA1">
              <w:rPr>
                <w:rFonts w:asciiTheme="majorHAnsi" w:hAnsiTheme="majorHAnsi" w:cstheme="majorHAnsi"/>
                <w:szCs w:val="18"/>
              </w:rPr>
              <w:t xml:space="preserve"> (consistent with what currently applies for commodity) and published on the </w:t>
            </w:r>
            <w:r w:rsidR="001753D7">
              <w:rPr>
                <w:rFonts w:asciiTheme="majorHAnsi" w:hAnsiTheme="majorHAnsi" w:cstheme="majorHAnsi"/>
                <w:szCs w:val="18"/>
              </w:rPr>
              <w:t>BB</w:t>
            </w:r>
            <w:r w:rsidR="00454BA1">
              <w:rPr>
                <w:rFonts w:asciiTheme="majorHAnsi" w:hAnsiTheme="majorHAnsi" w:cstheme="majorHAnsi"/>
                <w:szCs w:val="18"/>
              </w:rPr>
              <w:t xml:space="preserve"> website </w:t>
            </w:r>
            <w:r w:rsidR="00454BA1">
              <w:t>by the end of the gas day</w:t>
            </w:r>
            <w:r w:rsidRPr="00FA400C">
              <w:rPr>
                <w:rFonts w:asciiTheme="majorHAnsi" w:hAnsiTheme="majorHAnsi" w:cstheme="majorHAnsi"/>
                <w:szCs w:val="18"/>
              </w:rPr>
              <w:t>; and</w:t>
            </w:r>
          </w:p>
          <w:p w14:paraId="0D772D23" w14:textId="77777777" w:rsidR="00DF2E48" w:rsidRPr="00454BA1" w:rsidRDefault="00DF2E48" w:rsidP="001753D7">
            <w:pPr>
              <w:pStyle w:val="TableBullet1"/>
              <w:numPr>
                <w:ilvl w:val="0"/>
                <w:numId w:val="57"/>
              </w:numPr>
              <w:spacing w:line="252" w:lineRule="auto"/>
              <w:rPr>
                <w:rFonts w:asciiTheme="majorHAnsi" w:hAnsiTheme="majorHAnsi" w:cstheme="majorHAnsi"/>
                <w:szCs w:val="18"/>
              </w:rPr>
            </w:pPr>
            <w:proofErr w:type="gramStart"/>
            <w:r w:rsidRPr="00FA400C">
              <w:rPr>
                <w:rFonts w:asciiTheme="majorHAnsi" w:hAnsiTheme="majorHAnsi" w:cstheme="majorHAnsi"/>
                <w:szCs w:val="18"/>
              </w:rPr>
              <w:t>bilaterally</w:t>
            </w:r>
            <w:proofErr w:type="gramEnd"/>
            <w:r w:rsidRPr="00FA400C">
              <w:rPr>
                <w:rFonts w:asciiTheme="majorHAnsi" w:hAnsiTheme="majorHAnsi" w:cstheme="majorHAnsi"/>
                <w:szCs w:val="18"/>
              </w:rPr>
              <w:t xml:space="preserve"> be reported to AEMO by the earlier of one day after the trade is executed, and the day prior to the trade commencing (D-1) and published </w:t>
            </w:r>
            <w:r w:rsidR="00454BA1">
              <w:rPr>
                <w:rFonts w:asciiTheme="majorHAnsi" w:hAnsiTheme="majorHAnsi" w:cstheme="majorHAnsi"/>
                <w:szCs w:val="18"/>
              </w:rPr>
              <w:t xml:space="preserve">on the </w:t>
            </w:r>
            <w:r w:rsidR="001753D7">
              <w:rPr>
                <w:rFonts w:asciiTheme="majorHAnsi" w:hAnsiTheme="majorHAnsi" w:cstheme="majorHAnsi"/>
                <w:szCs w:val="18"/>
              </w:rPr>
              <w:t>BB</w:t>
            </w:r>
            <w:r w:rsidR="00454BA1">
              <w:rPr>
                <w:rFonts w:asciiTheme="majorHAnsi" w:hAnsiTheme="majorHAnsi" w:cstheme="majorHAnsi"/>
                <w:szCs w:val="18"/>
              </w:rPr>
              <w:t xml:space="preserve"> website </w:t>
            </w:r>
            <w:r>
              <w:rPr>
                <w:rFonts w:asciiTheme="majorHAnsi" w:hAnsiTheme="majorHAnsi" w:cstheme="majorHAnsi"/>
                <w:szCs w:val="18"/>
              </w:rPr>
              <w:t>by AEMO</w:t>
            </w:r>
            <w:r w:rsidR="00454BA1">
              <w:rPr>
                <w:rFonts w:asciiTheme="majorHAnsi" w:hAnsiTheme="majorHAnsi" w:cstheme="majorHAnsi"/>
                <w:szCs w:val="18"/>
              </w:rPr>
              <w:t xml:space="preserve"> by the end of the gas day</w:t>
            </w:r>
            <w:r w:rsidRPr="00FA400C">
              <w:rPr>
                <w:rFonts w:asciiTheme="majorHAnsi" w:hAnsiTheme="majorHAnsi" w:cstheme="majorHAnsi"/>
                <w:szCs w:val="18"/>
              </w:rPr>
              <w:t>.</w:t>
            </w:r>
          </w:p>
        </w:tc>
      </w:tr>
      <w:tr w:rsidR="000E3722" w:rsidRPr="00FA400C" w14:paraId="592ECAF7" w14:textId="77777777" w:rsidTr="00631EBC">
        <w:tc>
          <w:tcPr>
            <w:tcW w:w="1565" w:type="dxa"/>
          </w:tcPr>
          <w:p w14:paraId="3D2ADEA5" w14:textId="77777777" w:rsidR="000E3722" w:rsidRPr="00FA400C" w:rsidRDefault="000E3722" w:rsidP="00631EBC">
            <w:pPr>
              <w:pStyle w:val="TableBodyText"/>
              <w:spacing w:line="252" w:lineRule="auto"/>
              <w:rPr>
                <w:rFonts w:asciiTheme="majorHAnsi" w:hAnsiTheme="majorHAnsi" w:cstheme="majorHAnsi"/>
                <w:b/>
              </w:rPr>
            </w:pPr>
            <w:r>
              <w:rPr>
                <w:rFonts w:asciiTheme="majorHAnsi" w:hAnsiTheme="majorHAnsi" w:cstheme="majorHAnsi"/>
                <w:b/>
              </w:rPr>
              <w:t>Requirement to advertise bilateral trades</w:t>
            </w:r>
          </w:p>
        </w:tc>
        <w:tc>
          <w:tcPr>
            <w:tcW w:w="12469" w:type="dxa"/>
          </w:tcPr>
          <w:p w14:paraId="30AC330A" w14:textId="77777777" w:rsidR="000E3722" w:rsidRDefault="000E3722" w:rsidP="000E3722">
            <w:pPr>
              <w:pStyle w:val="TableBodyText"/>
              <w:spacing w:line="252" w:lineRule="auto"/>
              <w:rPr>
                <w:rFonts w:asciiTheme="majorHAnsi" w:hAnsiTheme="majorHAnsi" w:cstheme="majorHAnsi"/>
                <w:szCs w:val="18"/>
              </w:rPr>
            </w:pPr>
            <w:r>
              <w:rPr>
                <w:rFonts w:asciiTheme="majorHAnsi" w:hAnsiTheme="majorHAnsi" w:cstheme="majorHAnsi"/>
                <w:szCs w:val="18"/>
              </w:rPr>
              <w:t xml:space="preserve">The GMRG has some concerns about the workability of the proposal to require bilateral trades be advertised on the listing service ahead of time. As an alternative, the GMRG is recommending that </w:t>
            </w:r>
            <w:r>
              <w:t>these trades be subject to the reporting framework, with the prices and other key terms struck in these trades published on an ex post basis. The publication of this information is intended to discourage parties from engaging in any form of discriminatory behaviour, but if the reported information reveals this type of behaviour is occurring, the AEMC could recommend further changes as part of its biennial review of liquidity in the wholesale gas and pipeline capacity trading markets.</w:t>
            </w:r>
          </w:p>
        </w:tc>
      </w:tr>
      <w:tr w:rsidR="00DF2E48" w:rsidRPr="00FA400C" w14:paraId="2B1154E6" w14:textId="77777777" w:rsidTr="00631EBC">
        <w:trPr>
          <w:cnfStyle w:val="000000010000" w:firstRow="0" w:lastRow="0" w:firstColumn="0" w:lastColumn="0" w:oddVBand="0" w:evenVBand="0" w:oddHBand="0" w:evenHBand="1" w:firstRowFirstColumn="0" w:firstRowLastColumn="0" w:lastRowFirstColumn="0" w:lastRowLastColumn="0"/>
        </w:trPr>
        <w:tc>
          <w:tcPr>
            <w:tcW w:w="1565" w:type="dxa"/>
            <w:hideMark/>
          </w:tcPr>
          <w:p w14:paraId="732D58BE" w14:textId="77777777" w:rsidR="00DF2E48" w:rsidRPr="00FA400C" w:rsidRDefault="00DF2E48" w:rsidP="000E3722">
            <w:pPr>
              <w:pStyle w:val="TableBodyText"/>
              <w:spacing w:before="20" w:after="20" w:line="252" w:lineRule="auto"/>
              <w:rPr>
                <w:rFonts w:asciiTheme="majorHAnsi" w:hAnsiTheme="majorHAnsi" w:cstheme="majorHAnsi"/>
                <w:b/>
              </w:rPr>
            </w:pPr>
            <w:r w:rsidRPr="00FA400C">
              <w:rPr>
                <w:rFonts w:asciiTheme="majorHAnsi" w:hAnsiTheme="majorHAnsi" w:cstheme="majorHAnsi"/>
                <w:b/>
              </w:rPr>
              <w:t xml:space="preserve">Governance arrangements </w:t>
            </w:r>
          </w:p>
        </w:tc>
        <w:tc>
          <w:tcPr>
            <w:tcW w:w="12469" w:type="dxa"/>
            <w:hideMark/>
          </w:tcPr>
          <w:p w14:paraId="2DB26A42" w14:textId="77777777" w:rsidR="00DF2E48" w:rsidRDefault="00DF2E48" w:rsidP="000E3722">
            <w:pPr>
              <w:pStyle w:val="TableBodyText"/>
              <w:spacing w:before="20" w:after="20" w:line="252" w:lineRule="auto"/>
              <w:rPr>
                <w:rFonts w:asciiTheme="majorHAnsi" w:hAnsiTheme="majorHAnsi" w:cstheme="majorHAnsi"/>
                <w:szCs w:val="18"/>
              </w:rPr>
            </w:pPr>
            <w:r>
              <w:rPr>
                <w:rFonts w:asciiTheme="majorHAnsi" w:hAnsiTheme="majorHAnsi" w:cstheme="majorHAnsi"/>
                <w:szCs w:val="18"/>
              </w:rPr>
              <w:t>A number of changes will need to be made to t</w:t>
            </w:r>
            <w:r w:rsidRPr="00FA400C">
              <w:rPr>
                <w:rFonts w:asciiTheme="majorHAnsi" w:hAnsiTheme="majorHAnsi" w:cstheme="majorHAnsi"/>
                <w:szCs w:val="18"/>
              </w:rPr>
              <w:t xml:space="preserve">he NGL </w:t>
            </w:r>
            <w:r>
              <w:rPr>
                <w:rFonts w:asciiTheme="majorHAnsi" w:hAnsiTheme="majorHAnsi" w:cstheme="majorHAnsi"/>
                <w:szCs w:val="18"/>
              </w:rPr>
              <w:t>and NGR to give effect to this reporting framework.</w:t>
            </w:r>
          </w:p>
          <w:p w14:paraId="30A33BEC" w14:textId="77777777" w:rsidR="00DF2E48" w:rsidRDefault="00DF2E48" w:rsidP="000E3722">
            <w:pPr>
              <w:pStyle w:val="TableBodyText"/>
              <w:spacing w:before="20" w:after="20" w:line="252" w:lineRule="auto"/>
              <w:rPr>
                <w:rFonts w:asciiTheme="majorHAnsi" w:hAnsiTheme="majorHAnsi" w:cstheme="majorHAnsi"/>
                <w:szCs w:val="18"/>
              </w:rPr>
            </w:pPr>
            <w:r>
              <w:rPr>
                <w:rFonts w:asciiTheme="majorHAnsi" w:hAnsiTheme="majorHAnsi" w:cstheme="majorHAnsi"/>
                <w:szCs w:val="18"/>
              </w:rPr>
              <w:t xml:space="preserve">Changes to the NGL will be </w:t>
            </w:r>
            <w:r w:rsidRPr="00FA400C">
              <w:rPr>
                <w:rFonts w:asciiTheme="majorHAnsi" w:hAnsiTheme="majorHAnsi" w:cstheme="majorHAnsi"/>
                <w:szCs w:val="18"/>
              </w:rPr>
              <w:t>require</w:t>
            </w:r>
            <w:r>
              <w:rPr>
                <w:rFonts w:asciiTheme="majorHAnsi" w:hAnsiTheme="majorHAnsi" w:cstheme="majorHAnsi"/>
                <w:szCs w:val="18"/>
              </w:rPr>
              <w:t>d</w:t>
            </w:r>
            <w:r w:rsidRPr="00FA400C">
              <w:rPr>
                <w:rFonts w:asciiTheme="majorHAnsi" w:hAnsiTheme="majorHAnsi" w:cstheme="majorHAnsi"/>
                <w:szCs w:val="18"/>
              </w:rPr>
              <w:t xml:space="preserve"> </w:t>
            </w:r>
            <w:r>
              <w:rPr>
                <w:rFonts w:asciiTheme="majorHAnsi" w:hAnsiTheme="majorHAnsi" w:cstheme="majorHAnsi"/>
                <w:szCs w:val="18"/>
              </w:rPr>
              <w:t xml:space="preserve">to impose an obligation on sellers </w:t>
            </w:r>
            <w:r w:rsidRPr="00FA400C">
              <w:rPr>
                <w:rFonts w:asciiTheme="majorHAnsi" w:hAnsiTheme="majorHAnsi" w:cstheme="majorHAnsi"/>
                <w:szCs w:val="18"/>
              </w:rPr>
              <w:t>to provide AEMO with information about bilateral trades and permit AEMO to publish information on these trades and trades carried out through the capacity trading platform</w:t>
            </w:r>
            <w:r>
              <w:rPr>
                <w:rFonts w:asciiTheme="majorHAnsi" w:hAnsiTheme="majorHAnsi" w:cstheme="majorHAnsi"/>
                <w:szCs w:val="18"/>
              </w:rPr>
              <w:t>,</w:t>
            </w:r>
            <w:r w:rsidRPr="00FA400C">
              <w:rPr>
                <w:rFonts w:asciiTheme="majorHAnsi" w:hAnsiTheme="majorHAnsi" w:cstheme="majorHAnsi"/>
                <w:szCs w:val="18"/>
              </w:rPr>
              <w:t xml:space="preserve"> in accordance with the NGR and applicable procedures. </w:t>
            </w:r>
          </w:p>
          <w:p w14:paraId="013E8D54" w14:textId="77777777" w:rsidR="00DF2E48" w:rsidRPr="00FA400C" w:rsidRDefault="00DF2E48" w:rsidP="000E3722">
            <w:pPr>
              <w:pStyle w:val="TableBodyText"/>
              <w:spacing w:before="20" w:after="20" w:line="252" w:lineRule="auto"/>
              <w:rPr>
                <w:rFonts w:asciiTheme="majorHAnsi" w:hAnsiTheme="majorHAnsi" w:cstheme="majorHAnsi"/>
                <w:szCs w:val="18"/>
              </w:rPr>
            </w:pPr>
            <w:r>
              <w:rPr>
                <w:rFonts w:asciiTheme="majorHAnsi" w:hAnsiTheme="majorHAnsi" w:cstheme="majorHAnsi"/>
                <w:szCs w:val="18"/>
              </w:rPr>
              <w:t>Changes will also need to be made to t</w:t>
            </w:r>
            <w:r w:rsidRPr="00FA400C">
              <w:rPr>
                <w:rFonts w:asciiTheme="majorHAnsi" w:hAnsiTheme="majorHAnsi" w:cstheme="majorHAnsi"/>
                <w:szCs w:val="18"/>
              </w:rPr>
              <w:t xml:space="preserve">he NGR </w:t>
            </w:r>
            <w:r>
              <w:rPr>
                <w:rFonts w:asciiTheme="majorHAnsi" w:hAnsiTheme="majorHAnsi" w:cstheme="majorHAnsi"/>
                <w:szCs w:val="18"/>
              </w:rPr>
              <w:t xml:space="preserve">to </w:t>
            </w:r>
            <w:r w:rsidRPr="00FA400C">
              <w:rPr>
                <w:rFonts w:asciiTheme="majorHAnsi" w:hAnsiTheme="majorHAnsi" w:cstheme="majorHAnsi"/>
                <w:szCs w:val="18"/>
              </w:rPr>
              <w:t xml:space="preserve">set out the specific obligations that: </w:t>
            </w:r>
          </w:p>
          <w:p w14:paraId="57C072A8" w14:textId="77777777" w:rsidR="00DF2E48" w:rsidRPr="00FA400C" w:rsidRDefault="00DF2E48" w:rsidP="00CF4594">
            <w:pPr>
              <w:pStyle w:val="TableBullet1"/>
              <w:numPr>
                <w:ilvl w:val="0"/>
                <w:numId w:val="57"/>
              </w:numPr>
              <w:spacing w:before="20" w:after="20" w:line="252" w:lineRule="auto"/>
              <w:rPr>
                <w:rFonts w:asciiTheme="majorHAnsi" w:hAnsiTheme="majorHAnsi" w:cstheme="majorHAnsi"/>
                <w:szCs w:val="18"/>
              </w:rPr>
            </w:pPr>
            <w:r>
              <w:rPr>
                <w:rFonts w:asciiTheme="majorHAnsi" w:hAnsiTheme="majorHAnsi" w:cstheme="majorHAnsi"/>
                <w:szCs w:val="18"/>
              </w:rPr>
              <w:t>sellers</w:t>
            </w:r>
            <w:r w:rsidRPr="00FA400C">
              <w:rPr>
                <w:rFonts w:asciiTheme="majorHAnsi" w:hAnsiTheme="majorHAnsi" w:cstheme="majorHAnsi"/>
                <w:szCs w:val="18"/>
              </w:rPr>
              <w:t xml:space="preserve"> have to report information to AEMO, including the types of trades to be reported, the information that must be reported and the timing for reporting; and</w:t>
            </w:r>
          </w:p>
          <w:p w14:paraId="0CFB7825" w14:textId="77777777" w:rsidR="00DF2E48" w:rsidRPr="00FA400C" w:rsidRDefault="00DF2E48" w:rsidP="00CF4594">
            <w:pPr>
              <w:pStyle w:val="TableBullet1"/>
              <w:numPr>
                <w:ilvl w:val="0"/>
                <w:numId w:val="57"/>
              </w:numPr>
              <w:spacing w:before="20" w:after="20" w:line="252" w:lineRule="auto"/>
              <w:rPr>
                <w:rFonts w:asciiTheme="majorHAnsi" w:hAnsiTheme="majorHAnsi" w:cstheme="majorHAnsi"/>
                <w:szCs w:val="18"/>
              </w:rPr>
            </w:pPr>
            <w:r w:rsidRPr="00FA400C">
              <w:rPr>
                <w:rFonts w:asciiTheme="majorHAnsi" w:hAnsiTheme="majorHAnsi" w:cstheme="majorHAnsi"/>
                <w:szCs w:val="18"/>
              </w:rPr>
              <w:t xml:space="preserve">AEMO has to report </w:t>
            </w:r>
            <w:r w:rsidR="000E3722">
              <w:rPr>
                <w:rFonts w:asciiTheme="majorHAnsi" w:hAnsiTheme="majorHAnsi" w:cstheme="majorHAnsi"/>
                <w:szCs w:val="18"/>
              </w:rPr>
              <w:t xml:space="preserve">the trade </w:t>
            </w:r>
            <w:r w:rsidRPr="00FA400C">
              <w:rPr>
                <w:rFonts w:asciiTheme="majorHAnsi" w:hAnsiTheme="majorHAnsi" w:cstheme="majorHAnsi"/>
                <w:szCs w:val="18"/>
              </w:rPr>
              <w:t xml:space="preserve">information on the </w:t>
            </w:r>
            <w:r>
              <w:rPr>
                <w:rFonts w:asciiTheme="majorHAnsi" w:hAnsiTheme="majorHAnsi" w:cstheme="majorHAnsi"/>
                <w:szCs w:val="18"/>
              </w:rPr>
              <w:t xml:space="preserve">GSH </w:t>
            </w:r>
            <w:r w:rsidRPr="00FA400C">
              <w:rPr>
                <w:rFonts w:asciiTheme="majorHAnsi" w:hAnsiTheme="majorHAnsi" w:cstheme="majorHAnsi"/>
                <w:szCs w:val="18"/>
              </w:rPr>
              <w:t xml:space="preserve">and </w:t>
            </w:r>
            <w:r w:rsidR="001753D7">
              <w:rPr>
                <w:rFonts w:asciiTheme="majorHAnsi" w:hAnsiTheme="majorHAnsi" w:cstheme="majorHAnsi"/>
                <w:szCs w:val="18"/>
              </w:rPr>
              <w:t>BB</w:t>
            </w:r>
            <w:r w:rsidRPr="00FA400C">
              <w:rPr>
                <w:rFonts w:asciiTheme="majorHAnsi" w:hAnsiTheme="majorHAnsi" w:cstheme="majorHAnsi"/>
                <w:szCs w:val="18"/>
              </w:rPr>
              <w:t xml:space="preserve"> website. </w:t>
            </w:r>
          </w:p>
          <w:p w14:paraId="263CCB9B" w14:textId="77777777" w:rsidR="00DF2E48" w:rsidRDefault="00DF2E48" w:rsidP="000E3722">
            <w:pPr>
              <w:pStyle w:val="TableBullet1"/>
              <w:numPr>
                <w:ilvl w:val="0"/>
                <w:numId w:val="0"/>
              </w:numPr>
              <w:tabs>
                <w:tab w:val="left" w:pos="720"/>
              </w:tabs>
              <w:spacing w:before="20" w:after="20" w:line="252" w:lineRule="auto"/>
              <w:ind w:left="85"/>
              <w:rPr>
                <w:rFonts w:asciiTheme="majorHAnsi" w:hAnsiTheme="majorHAnsi" w:cstheme="majorHAnsi"/>
                <w:szCs w:val="18"/>
              </w:rPr>
            </w:pPr>
            <w:r>
              <w:rPr>
                <w:rFonts w:asciiTheme="majorHAnsi" w:hAnsiTheme="majorHAnsi" w:cstheme="majorHAnsi"/>
                <w:szCs w:val="18"/>
              </w:rPr>
              <w:t>Secondary trading reporting procedures will also need to be developed by AEMO.</w:t>
            </w:r>
          </w:p>
          <w:p w14:paraId="055BBA93" w14:textId="77777777" w:rsidR="00DF2E48" w:rsidRPr="00FA400C" w:rsidRDefault="00DF2E48" w:rsidP="000E3722">
            <w:pPr>
              <w:pStyle w:val="TableBullet1"/>
              <w:numPr>
                <w:ilvl w:val="0"/>
                <w:numId w:val="0"/>
              </w:numPr>
              <w:tabs>
                <w:tab w:val="left" w:pos="720"/>
              </w:tabs>
              <w:spacing w:before="20" w:after="20" w:line="252" w:lineRule="auto"/>
              <w:ind w:left="85"/>
              <w:rPr>
                <w:rFonts w:asciiTheme="majorHAnsi" w:hAnsiTheme="majorHAnsi" w:cstheme="majorHAnsi"/>
                <w:szCs w:val="18"/>
              </w:rPr>
            </w:pPr>
            <w:r w:rsidRPr="00FA400C">
              <w:rPr>
                <w:rFonts w:asciiTheme="majorHAnsi" w:hAnsiTheme="majorHAnsi" w:cstheme="majorHAnsi"/>
                <w:szCs w:val="18"/>
              </w:rPr>
              <w:t xml:space="preserve">The AER will be responsible for monitoring and enforcing compliance </w:t>
            </w:r>
            <w:r>
              <w:rPr>
                <w:rFonts w:asciiTheme="majorHAnsi" w:hAnsiTheme="majorHAnsi" w:cstheme="majorHAnsi"/>
                <w:szCs w:val="18"/>
              </w:rPr>
              <w:t xml:space="preserve">with these obligations </w:t>
            </w:r>
            <w:r w:rsidRPr="00FA400C">
              <w:rPr>
                <w:rFonts w:asciiTheme="majorHAnsi" w:hAnsiTheme="majorHAnsi" w:cstheme="majorHAnsi"/>
                <w:szCs w:val="18"/>
              </w:rPr>
              <w:t>using its existing powers in the NGL.</w:t>
            </w:r>
          </w:p>
        </w:tc>
      </w:tr>
    </w:tbl>
    <w:p w14:paraId="52F2B792" w14:textId="77777777" w:rsidR="00631EBC" w:rsidRPr="00442D9F" w:rsidRDefault="00631EBC" w:rsidP="000E3722">
      <w:pPr>
        <w:pStyle w:val="Caption"/>
        <w:spacing w:before="0" w:after="0" w:line="240" w:lineRule="auto"/>
        <w:ind w:left="1276" w:hanging="1134"/>
        <w:rPr>
          <w:sz w:val="2"/>
          <w:szCs w:val="2"/>
        </w:rPr>
      </w:pPr>
      <w:bookmarkStart w:id="37" w:name="_Ref497645726"/>
    </w:p>
    <w:p w14:paraId="447948D6" w14:textId="77777777" w:rsidR="00631EBC" w:rsidRPr="00442D9F" w:rsidRDefault="00631EBC" w:rsidP="000E3722">
      <w:pPr>
        <w:pStyle w:val="BodyText"/>
        <w:spacing w:before="0" w:line="240" w:lineRule="auto"/>
        <w:rPr>
          <w:sz w:val="2"/>
          <w:szCs w:val="2"/>
          <w:lang w:eastAsia="fr-CA"/>
        </w:rPr>
        <w:sectPr w:rsidR="00631EBC" w:rsidRPr="00442D9F" w:rsidSect="000E3722">
          <w:headerReference w:type="even" r:id="rId32"/>
          <w:headerReference w:type="default" r:id="rId33"/>
          <w:footerReference w:type="default" r:id="rId34"/>
          <w:headerReference w:type="first" r:id="rId35"/>
          <w:pgSz w:w="16839" w:h="11907" w:orient="landscape" w:code="9"/>
          <w:pgMar w:top="-1276" w:right="1418" w:bottom="567" w:left="1701" w:header="284" w:footer="343" w:gutter="0"/>
          <w:cols w:space="708"/>
          <w:docGrid w:linePitch="360"/>
        </w:sectPr>
      </w:pPr>
    </w:p>
    <w:p w14:paraId="7BEC09B0" w14:textId="77777777" w:rsidR="000F4B72" w:rsidRDefault="000F4B72" w:rsidP="000F4B72">
      <w:pPr>
        <w:pStyle w:val="Heading3"/>
        <w:spacing w:before="0" w:after="120"/>
        <w:contextualSpacing w:val="0"/>
      </w:pPr>
      <w:bookmarkStart w:id="38" w:name="_Ref497655179"/>
      <w:bookmarkStart w:id="39" w:name="_Ref497655168"/>
      <w:r>
        <w:lastRenderedPageBreak/>
        <w:t xml:space="preserve">Consistency of the final recommendations with the NGO </w:t>
      </w:r>
    </w:p>
    <w:p w14:paraId="293C9DE0" w14:textId="77777777" w:rsidR="000F4B72" w:rsidRDefault="000F4B72" w:rsidP="000F4B72">
      <w:pPr>
        <w:pStyle w:val="BodyText"/>
        <w:spacing w:before="60"/>
      </w:pPr>
      <w:bookmarkStart w:id="40" w:name="_Hlk497996523"/>
      <w:r>
        <w:t>In the GMRG’s view, the recommendations set out in Tables 1.1</w:t>
      </w:r>
      <w:r w:rsidR="00723200">
        <w:t>-</w:t>
      </w:r>
      <w:r>
        <w:t xml:space="preserve">1.3, are </w:t>
      </w:r>
      <w:r w:rsidRPr="00763BBB">
        <w:t xml:space="preserve">fit for purpose, targeted and proportionate to the </w:t>
      </w:r>
      <w:r>
        <w:t xml:space="preserve">issues they are </w:t>
      </w:r>
      <w:r w:rsidRPr="00763BBB">
        <w:t xml:space="preserve">intended to address </w:t>
      </w:r>
      <w:r>
        <w:t xml:space="preserve">and will </w:t>
      </w:r>
      <w:r w:rsidR="00723200">
        <w:t>achieve the stated objective of facilitating</w:t>
      </w:r>
      <w:r>
        <w:t xml:space="preserve"> more trade in secondary capacity by:</w:t>
      </w:r>
    </w:p>
    <w:p w14:paraId="15815473" w14:textId="77777777" w:rsidR="000F4B72" w:rsidRDefault="000F4B72" w:rsidP="00DB76FD">
      <w:pPr>
        <w:pStyle w:val="ListBullet"/>
      </w:pPr>
      <w:bookmarkStart w:id="41" w:name="_Hlk498407740"/>
      <w:r w:rsidRPr="000542A1">
        <w:t xml:space="preserve">making </w:t>
      </w:r>
      <w:r w:rsidRPr="00CA246F">
        <w:t>capacity products more fungible</w:t>
      </w:r>
      <w:r w:rsidR="00770BCE">
        <w:t xml:space="preserve"> and providing secondary shippers with access to secondary capacity on reasonable terms</w:t>
      </w:r>
      <w:r w:rsidR="00723200">
        <w:t xml:space="preserve">, </w:t>
      </w:r>
      <w:r>
        <w:t>by developing</w:t>
      </w:r>
      <w:r w:rsidR="00723200">
        <w:t xml:space="preserve"> </w:t>
      </w:r>
      <w:r>
        <w:t xml:space="preserve">standardised products for the capacity trading platform and </w:t>
      </w:r>
      <w:r w:rsidR="00FA7FB0">
        <w:t xml:space="preserve">requiring service providers to offer to enter into </w:t>
      </w:r>
      <w:r>
        <w:t>standardised operational GTA</w:t>
      </w:r>
      <w:r w:rsidR="00FA7FB0">
        <w:t>s with secondary shippers</w:t>
      </w:r>
      <w:r>
        <w:t>;</w:t>
      </w:r>
    </w:p>
    <w:p w14:paraId="1D916A7D" w14:textId="77777777" w:rsidR="000F4B72" w:rsidRDefault="000F4B72" w:rsidP="000F4B72">
      <w:pPr>
        <w:pStyle w:val="ListBullet"/>
      </w:pPr>
      <w:r>
        <w:t>removing other impediments to trade</w:t>
      </w:r>
      <w:r w:rsidR="00723200">
        <w:t xml:space="preserve">, including </w:t>
      </w:r>
      <w:r>
        <w:t>restraints on secondary capacity trading, restrictions on receipt and delivery point flexibility and differences in gas day start times and nomination cut-off times;</w:t>
      </w:r>
    </w:p>
    <w:p w14:paraId="6EAF056A" w14:textId="77777777" w:rsidR="000F4B72" w:rsidRDefault="000F4B72" w:rsidP="000F4B72">
      <w:pPr>
        <w:pStyle w:val="ListBullet"/>
      </w:pPr>
      <w:r>
        <w:t xml:space="preserve">maximising the pool of prospective buyers and sellers of secondary capacity </w:t>
      </w:r>
      <w:r w:rsidR="00723200">
        <w:t>and facilitating a greater level of competition between shippers for the provision of secondary capacity</w:t>
      </w:r>
      <w:r w:rsidR="00FA7FB0">
        <w:t>,</w:t>
      </w:r>
      <w:r w:rsidR="00723200">
        <w:t xml:space="preserve"> by </w:t>
      </w:r>
      <w:r>
        <w:t xml:space="preserve">implementing a zonal </w:t>
      </w:r>
      <w:r w:rsidR="00FA7FB0">
        <w:t xml:space="preserve">receipt and delivery point </w:t>
      </w:r>
      <w:r>
        <w:t xml:space="preserve">model with secondary firm rights at </w:t>
      </w:r>
      <w:r w:rsidR="00FA7FB0">
        <w:t xml:space="preserve">individual </w:t>
      </w:r>
      <w:r>
        <w:t>receipt and delivery points;</w:t>
      </w:r>
    </w:p>
    <w:p w14:paraId="4B6FA2B3" w14:textId="77777777" w:rsidR="00723200" w:rsidRDefault="00770BCE" w:rsidP="000F4B72">
      <w:pPr>
        <w:pStyle w:val="ListBullet"/>
      </w:pPr>
      <w:r>
        <w:t xml:space="preserve">aiding the price discovery process and </w:t>
      </w:r>
      <w:r w:rsidR="000F4B72">
        <w:t xml:space="preserve">reducing the search and transaction costs </w:t>
      </w:r>
      <w:r w:rsidR="00723200">
        <w:t xml:space="preserve">that </w:t>
      </w:r>
      <w:r w:rsidR="00341457">
        <w:t xml:space="preserve">market participants </w:t>
      </w:r>
      <w:r w:rsidR="00723200">
        <w:t xml:space="preserve">currently face </w:t>
      </w:r>
      <w:r>
        <w:t>t</w:t>
      </w:r>
      <w:r w:rsidR="00723200">
        <w:t xml:space="preserve">hrough: </w:t>
      </w:r>
    </w:p>
    <w:p w14:paraId="14C19C26" w14:textId="77777777" w:rsidR="00723200" w:rsidRDefault="000F4B72" w:rsidP="00723200">
      <w:pPr>
        <w:pStyle w:val="ListBullet2"/>
      </w:pPr>
      <w:r>
        <w:t>the establishment of a single capacity trading platform</w:t>
      </w:r>
      <w:r w:rsidR="00723200">
        <w:t>;</w:t>
      </w:r>
      <w:r>
        <w:t xml:space="preserve"> </w:t>
      </w:r>
    </w:p>
    <w:p w14:paraId="62901F97" w14:textId="77777777" w:rsidR="00723200" w:rsidRDefault="000F4B72" w:rsidP="00723200">
      <w:pPr>
        <w:pStyle w:val="ListBullet2"/>
      </w:pPr>
      <w:r>
        <w:t>the development of standardised products and the standardised operational GTA</w:t>
      </w:r>
      <w:r w:rsidR="00723200">
        <w:t>;</w:t>
      </w:r>
      <w:r>
        <w:t xml:space="preserve"> </w:t>
      </w:r>
    </w:p>
    <w:p w14:paraId="4E18D020" w14:textId="77777777" w:rsidR="00723200" w:rsidRDefault="000F4B72" w:rsidP="00723200">
      <w:pPr>
        <w:pStyle w:val="ListBullet2"/>
      </w:pPr>
      <w:r>
        <w:t>the publication of information on allocation arrangements</w:t>
      </w:r>
      <w:r w:rsidR="00723200">
        <w:t>;</w:t>
      </w:r>
      <w:r>
        <w:t xml:space="preserve"> and </w:t>
      </w:r>
    </w:p>
    <w:p w14:paraId="28F54786" w14:textId="77777777" w:rsidR="000F4B72" w:rsidRDefault="00723200" w:rsidP="00723200">
      <w:pPr>
        <w:pStyle w:val="ListBullet2"/>
      </w:pPr>
      <w:r>
        <w:t xml:space="preserve">the </w:t>
      </w:r>
      <w:r w:rsidR="000F4B72">
        <w:t>publication of information</w:t>
      </w:r>
      <w:r>
        <w:t xml:space="preserve"> on the prices and other key terms struck in secondary capacity trades</w:t>
      </w:r>
      <w:r w:rsidR="00770BCE">
        <w:t xml:space="preserve"> shortly after they are entered into</w:t>
      </w:r>
      <w:r w:rsidR="000F4B72">
        <w:t xml:space="preserve">; </w:t>
      </w:r>
    </w:p>
    <w:p w14:paraId="64C5A8BC" w14:textId="77777777" w:rsidR="00770BCE" w:rsidRDefault="00770BCE" w:rsidP="000F4B72">
      <w:pPr>
        <w:pStyle w:val="ListBullet"/>
        <w:rPr>
          <w:rFonts w:eastAsiaTheme="majorEastAsia" w:cs="Arial"/>
        </w:rPr>
      </w:pPr>
      <w:r>
        <w:rPr>
          <w:rFonts w:eastAsiaTheme="majorEastAsia" w:cs="Arial"/>
        </w:rPr>
        <w:t>instilling a greater level of confidence in the secondary capacity market through the implementation of robust governance arrangements for the standardisation reforms, the capacity trading platform and the reporting framework; and</w:t>
      </w:r>
    </w:p>
    <w:p w14:paraId="0DE711F6" w14:textId="77777777" w:rsidR="000F4B72" w:rsidRDefault="000F4B72" w:rsidP="000F4B72">
      <w:pPr>
        <w:pStyle w:val="ListBullet"/>
        <w:rPr>
          <w:rFonts w:eastAsiaTheme="majorEastAsia" w:cs="Arial"/>
        </w:rPr>
      </w:pPr>
      <w:proofErr w:type="gramStart"/>
      <w:r>
        <w:rPr>
          <w:rFonts w:eastAsiaTheme="majorEastAsia" w:cs="Arial"/>
        </w:rPr>
        <w:t>allowing</w:t>
      </w:r>
      <w:proofErr w:type="gramEnd"/>
      <w:r>
        <w:rPr>
          <w:rFonts w:eastAsiaTheme="majorEastAsia" w:cs="Arial"/>
        </w:rPr>
        <w:t xml:space="preserve"> shippers to </w:t>
      </w:r>
      <w:r w:rsidR="00705893">
        <w:rPr>
          <w:rFonts w:eastAsiaTheme="majorEastAsia" w:cs="Arial"/>
        </w:rPr>
        <w:t xml:space="preserve">readily </w:t>
      </w:r>
      <w:r>
        <w:rPr>
          <w:rFonts w:eastAsiaTheme="majorEastAsia" w:cs="Arial"/>
        </w:rPr>
        <w:t xml:space="preserve">co-ordinate trades across pipelines </w:t>
      </w:r>
      <w:r w:rsidR="00341457">
        <w:rPr>
          <w:rFonts w:eastAsiaTheme="majorEastAsia" w:cs="Arial"/>
        </w:rPr>
        <w:t xml:space="preserve">(regardless of location and ownership) and </w:t>
      </w:r>
      <w:r w:rsidR="00705893">
        <w:rPr>
          <w:rFonts w:eastAsiaTheme="majorEastAsia" w:cs="Arial"/>
        </w:rPr>
        <w:t xml:space="preserve">to </w:t>
      </w:r>
      <w:r w:rsidR="00341457">
        <w:rPr>
          <w:rFonts w:eastAsiaTheme="majorEastAsia" w:cs="Arial"/>
        </w:rPr>
        <w:t xml:space="preserve">procure gas and </w:t>
      </w:r>
      <w:r w:rsidR="00705893">
        <w:rPr>
          <w:rFonts w:eastAsiaTheme="majorEastAsia" w:cs="Arial"/>
        </w:rPr>
        <w:t>other gas services t</w:t>
      </w:r>
      <w:r>
        <w:rPr>
          <w:rFonts w:eastAsiaTheme="majorEastAsia" w:cs="Arial"/>
        </w:rPr>
        <w:t>hrough one platform.</w:t>
      </w:r>
    </w:p>
    <w:p w14:paraId="74A8BFCA" w14:textId="77777777" w:rsidR="00705893" w:rsidRDefault="00705893" w:rsidP="000F4B72">
      <w:pPr>
        <w:pStyle w:val="BodyText"/>
      </w:pPr>
      <w:r>
        <w:t>The GMRG is also satisfied that the reforms:</w:t>
      </w:r>
    </w:p>
    <w:p w14:paraId="08D295C8" w14:textId="77777777" w:rsidR="00705893" w:rsidRDefault="00705893" w:rsidP="00705893">
      <w:pPr>
        <w:pStyle w:val="ListBullet"/>
        <w:spacing w:before="80" w:after="80"/>
      </w:pPr>
      <w:r>
        <w:t>appropriately reflect the legitimate business interests of service providers and other parties that have rights to use the transportation services, including primary and secondary capacity holders;</w:t>
      </w:r>
    </w:p>
    <w:p w14:paraId="11C8D4A1" w14:textId="77777777" w:rsidR="00705893" w:rsidRDefault="00705893" w:rsidP="00705893">
      <w:pPr>
        <w:pStyle w:val="ListBullet"/>
        <w:spacing w:before="80" w:after="80"/>
      </w:pPr>
      <w:r>
        <w:t>are operationally feasible and recognise the operational and technical requirements necessary for the safe and reliable operation of the assets used in the provision of transportation services; and</w:t>
      </w:r>
    </w:p>
    <w:p w14:paraId="6091D617" w14:textId="77777777" w:rsidR="00705893" w:rsidRDefault="00705893" w:rsidP="00705893">
      <w:pPr>
        <w:pStyle w:val="ListBullet"/>
        <w:spacing w:before="80" w:after="80"/>
      </w:pPr>
      <w:proofErr w:type="gramStart"/>
      <w:r>
        <w:t>facilitate</w:t>
      </w:r>
      <w:proofErr w:type="gramEnd"/>
      <w:r>
        <w:t xml:space="preserve"> the efficient operation and use of the capacity trading platform and day-ahead auction. </w:t>
      </w:r>
    </w:p>
    <w:p w14:paraId="55CF13A2" w14:textId="77777777" w:rsidR="000F4B72" w:rsidRDefault="000F4B72" w:rsidP="000F4B72">
      <w:pPr>
        <w:pStyle w:val="BodyText"/>
      </w:pPr>
      <w:bookmarkStart w:id="42" w:name="_Hlk498259154"/>
      <w:bookmarkEnd w:id="41"/>
      <w:r>
        <w:t xml:space="preserve">The recommendations can therefore be expected to improve the efficiency with which transportation capacity is allocated and used under the contract carriage model, which will, in turn, foster the development of a liquid secondary capacity market and promote efficient investment in, and the efficient operation and use of, natural gas services. This is consistent with the overarching objective of the capacity trading reform package and is also consistent with the Energy </w:t>
      </w:r>
      <w:r w:rsidRPr="00104AC3">
        <w:t xml:space="preserve">Council’s </w:t>
      </w:r>
      <w:r w:rsidRPr="00104AC3">
        <w:rPr>
          <w:i/>
        </w:rPr>
        <w:t>Vision</w:t>
      </w:r>
      <w:r w:rsidRPr="00104AC3">
        <w:t xml:space="preserve"> </w:t>
      </w:r>
      <w:r>
        <w:t xml:space="preserve">of the direction gas market development should take (in particular, outcomes </w:t>
      </w:r>
      <w:r w:rsidR="006D52EB">
        <w:t xml:space="preserve">2(a), </w:t>
      </w:r>
      <w:r>
        <w:t xml:space="preserve">2(b), 3(b), 3(c) and 3(d) </w:t>
      </w:r>
      <w:r>
        <w:rPr>
          <w:rFonts w:eastAsiaTheme="minorEastAsia"/>
        </w:rPr>
        <w:t>see</w:t>
      </w:r>
      <w:r w:rsidRPr="003957AA">
        <w:rPr>
          <w:rFonts w:eastAsiaTheme="minorEastAsia"/>
        </w:rPr>
        <w:t xml:space="preserve"> </w:t>
      </w:r>
      <w:r w:rsidRPr="003957AA">
        <w:rPr>
          <w:rFonts w:eastAsiaTheme="minorEastAsia"/>
        </w:rPr>
        <w:fldChar w:fldCharType="begin"/>
      </w:r>
      <w:r w:rsidRPr="003957AA">
        <w:rPr>
          <w:rFonts w:eastAsiaTheme="minorEastAsia"/>
        </w:rPr>
        <w:instrText xml:space="preserve"> REF _Ref482330736 \h  \* MERGEFORMAT </w:instrText>
      </w:r>
      <w:r w:rsidRPr="003957AA">
        <w:rPr>
          <w:rFonts w:eastAsiaTheme="minorEastAsia"/>
        </w:rPr>
      </w:r>
      <w:r w:rsidRPr="003957AA">
        <w:rPr>
          <w:rFonts w:eastAsiaTheme="minorEastAsia"/>
        </w:rPr>
        <w:fldChar w:fldCharType="separate"/>
      </w:r>
      <w:r w:rsidR="00761861" w:rsidRPr="00761861">
        <w:t xml:space="preserve">Box </w:t>
      </w:r>
      <w:r w:rsidR="00761861" w:rsidRPr="00761861">
        <w:rPr>
          <w:noProof/>
        </w:rPr>
        <w:t>1.1</w:t>
      </w:r>
      <w:r w:rsidRPr="003957AA">
        <w:rPr>
          <w:rFonts w:eastAsiaTheme="minorEastAsia"/>
        </w:rPr>
        <w:fldChar w:fldCharType="end"/>
      </w:r>
      <w:r>
        <w:rPr>
          <w:rFonts w:eastAsiaTheme="minorEastAsia"/>
        </w:rPr>
        <w:t>)</w:t>
      </w:r>
      <w:r>
        <w:t xml:space="preserve">. </w:t>
      </w:r>
      <w:r w:rsidRPr="00465134">
        <w:t xml:space="preserve">The </w:t>
      </w:r>
      <w:r w:rsidRPr="00465134">
        <w:lastRenderedPageBreak/>
        <w:t xml:space="preserve">ultimate beneficiaries of these improvements will be consumers of natural gas. The </w:t>
      </w:r>
      <w:r>
        <w:t xml:space="preserve">adoption of these recommendations </w:t>
      </w:r>
      <w:r w:rsidRPr="00465134">
        <w:t xml:space="preserve">can therefore be expected to promote the </w:t>
      </w:r>
      <w:r>
        <w:t xml:space="preserve">NGO. </w:t>
      </w:r>
    </w:p>
    <w:p w14:paraId="0431218B" w14:textId="77777777" w:rsidR="000F4B72" w:rsidRDefault="000F4B72" w:rsidP="000F4B72">
      <w:pPr>
        <w:pStyle w:val="BodyText"/>
      </w:pPr>
      <w:r>
        <w:t>Finally, it is worth noting that the implementation of these reforms will inevitably give rise to some costs</w:t>
      </w:r>
      <w:r w:rsidR="00341457">
        <w:t>.</w:t>
      </w:r>
      <w:r>
        <w:t xml:space="preserve"> </w:t>
      </w:r>
      <w:r w:rsidR="00341457">
        <w:t>W</w:t>
      </w:r>
      <w:r>
        <w:t>hile the benefits of the reforms are expected to outweigh the costs, the GMRG has, where possible, sought to minimise the costs associated wit</w:t>
      </w:r>
      <w:bookmarkEnd w:id="42"/>
      <w:r>
        <w:t>h the reforms by leveraging existing systems</w:t>
      </w:r>
      <w:r w:rsidR="00341457">
        <w:t>,</w:t>
      </w:r>
      <w:r>
        <w:t xml:space="preserve"> processes</w:t>
      </w:r>
      <w:r w:rsidR="00341457">
        <w:t xml:space="preserve"> and governance frameworks</w:t>
      </w:r>
      <w:r>
        <w:t xml:space="preserve">.  </w:t>
      </w:r>
    </w:p>
    <w:p w14:paraId="6BE0965A" w14:textId="77777777" w:rsidR="009057F7" w:rsidRDefault="009057F7" w:rsidP="00E10130">
      <w:pPr>
        <w:pStyle w:val="Heading2"/>
      </w:pPr>
      <w:bookmarkStart w:id="43" w:name="_Toc499542639"/>
      <w:bookmarkEnd w:id="40"/>
      <w:r>
        <w:t>How the capacity trading reform package will operate</w:t>
      </w:r>
      <w:bookmarkEnd w:id="43"/>
    </w:p>
    <w:p w14:paraId="21F4F821" w14:textId="77777777" w:rsidR="00ED02BA" w:rsidRDefault="00E10130" w:rsidP="00ED02BA">
      <w:pPr>
        <w:pStyle w:val="BodyText"/>
      </w:pPr>
      <w:r>
        <w:t xml:space="preserve">The way in which the final design of the capacity trading reform package is intended to operate is depicted in </w:t>
      </w:r>
      <w:r>
        <w:fldChar w:fldCharType="begin"/>
      </w:r>
      <w:r>
        <w:instrText xml:space="preserve"> REF _Ref497884859 \h </w:instrText>
      </w:r>
      <w:r>
        <w:fldChar w:fldCharType="separate"/>
      </w:r>
      <w:r w:rsidR="00761861">
        <w:t xml:space="preserve">Figure </w:t>
      </w:r>
      <w:r w:rsidR="00761861">
        <w:rPr>
          <w:noProof/>
        </w:rPr>
        <w:t>1</w:t>
      </w:r>
      <w:r w:rsidR="00761861">
        <w:t>.</w:t>
      </w:r>
      <w:r w:rsidR="00761861">
        <w:rPr>
          <w:noProof/>
        </w:rPr>
        <w:t>1</w:t>
      </w:r>
      <w:r>
        <w:fldChar w:fldCharType="end"/>
      </w:r>
      <w:r w:rsidR="00ED02BA">
        <w:t xml:space="preserve">. As this figure highlights, </w:t>
      </w:r>
      <w:r w:rsidR="00F94751">
        <w:t xml:space="preserve">shippers that want to buy or sell secondary </w:t>
      </w:r>
      <w:r w:rsidR="00ED02BA">
        <w:t xml:space="preserve">capacity </w:t>
      </w:r>
      <w:r w:rsidR="00F94751">
        <w:t xml:space="preserve">will be able to do so </w:t>
      </w:r>
      <w:r w:rsidR="00ED02BA">
        <w:t xml:space="preserve">prior to nomination cut-off time by using either: </w:t>
      </w:r>
    </w:p>
    <w:p w14:paraId="4DDFC029" w14:textId="77777777" w:rsidR="00ED02BA" w:rsidRDefault="00ED02BA" w:rsidP="00ED02BA">
      <w:pPr>
        <w:pStyle w:val="ListBullet"/>
      </w:pPr>
      <w:r w:rsidRPr="003F1239">
        <w:t xml:space="preserve">the </w:t>
      </w:r>
      <w:r>
        <w:t>capacity trading platform, which will consist of both:</w:t>
      </w:r>
    </w:p>
    <w:p w14:paraId="1BDBCB40" w14:textId="77777777" w:rsidR="00ED02BA" w:rsidRPr="003F1239" w:rsidRDefault="00ED02BA" w:rsidP="00ED02BA">
      <w:pPr>
        <w:pStyle w:val="ListBullet2"/>
      </w:pPr>
      <w:r>
        <w:t xml:space="preserve">an </w:t>
      </w:r>
      <w:r w:rsidRPr="003F1239">
        <w:t xml:space="preserve">exchange </w:t>
      </w:r>
      <w:r>
        <w:t>service</w:t>
      </w:r>
      <w:r w:rsidRPr="003F1239">
        <w:t>, which will facilitate the trade of standardised transportation products (e.g. day-ahead, daily, weekly and monthly firm forward haul, compression and park products) through either screen trading or the pre-matched trade service;</w:t>
      </w:r>
      <w:r w:rsidRPr="003F1239">
        <w:rPr>
          <w:rStyle w:val="FootnoteReference"/>
        </w:rPr>
        <w:t xml:space="preserve"> </w:t>
      </w:r>
      <w:r w:rsidRPr="003F1239">
        <w:rPr>
          <w:rStyle w:val="FootnoteReference"/>
        </w:rPr>
        <w:footnoteReference w:id="12"/>
      </w:r>
      <w:r w:rsidRPr="003F1239">
        <w:t xml:space="preserve"> </w:t>
      </w:r>
      <w:r>
        <w:t>and</w:t>
      </w:r>
    </w:p>
    <w:p w14:paraId="5A110E5F" w14:textId="77777777" w:rsidR="00ED02BA" w:rsidRPr="003F1239" w:rsidRDefault="00ED02BA" w:rsidP="00ED02BA">
      <w:pPr>
        <w:pStyle w:val="ListBullet2"/>
      </w:pPr>
      <w:r>
        <w:t>a listing service</w:t>
      </w:r>
      <w:r w:rsidRPr="003F1239">
        <w:t>, which will facilitate the trade of more bespoke transportation products through bilateral trades; or</w:t>
      </w:r>
    </w:p>
    <w:p w14:paraId="5B612E39" w14:textId="77777777" w:rsidR="00ED02BA" w:rsidRPr="003F1239" w:rsidRDefault="00ED02BA" w:rsidP="00ED02BA">
      <w:pPr>
        <w:pStyle w:val="ListBullet"/>
      </w:pPr>
      <w:proofErr w:type="gramStart"/>
      <w:r w:rsidRPr="003F1239">
        <w:t>other</w:t>
      </w:r>
      <w:proofErr w:type="gramEnd"/>
      <w:r w:rsidRPr="003F1239">
        <w:t xml:space="preserve"> means to identify potential counterparties and enter into bilateral trades. </w:t>
      </w:r>
    </w:p>
    <w:p w14:paraId="3A372722" w14:textId="77777777" w:rsidR="00E10130" w:rsidRDefault="00F94751" w:rsidP="00E10130">
      <w:pPr>
        <w:pStyle w:val="BodyText"/>
      </w:pPr>
      <w:r>
        <w:t>After nomination cut-off time, if there is any spare contracted but un-nominated capacity and the pipeline or compressor is subject to the auction</w:t>
      </w:r>
      <w:r w:rsidR="00ED02BA">
        <w:t xml:space="preserve">, then </w:t>
      </w:r>
      <w:r>
        <w:t xml:space="preserve">it </w:t>
      </w:r>
      <w:r w:rsidR="00ED02BA">
        <w:t>will be released in the day-ahead auction</w:t>
      </w:r>
      <w:r>
        <w:t xml:space="preserve">. </w:t>
      </w:r>
      <w:r w:rsidR="00E10130">
        <w:t>While the auction will provide a credible alternative source of capacity for shippers, the auction product will be a lower quality product than the firm capacity sold on the capacity trading platform, because</w:t>
      </w:r>
      <w:r w:rsidR="00FA7FB0">
        <w:t>, in keeping with the AEMC’s recommendations,</w:t>
      </w:r>
      <w:r w:rsidR="00E10130">
        <w:t xml:space="preserve"> it will need to accommodate nominations and renominations by firm capacity holders that occur after the auction is conducted. The auction product will also only be available on a day-ahead basis and will be subject to </w:t>
      </w:r>
      <w:r w:rsidR="00DD15FF">
        <w:t xml:space="preserve">a greater level of </w:t>
      </w:r>
      <w:r w:rsidR="00E10130">
        <w:t>volume and price risk (i.e.</w:t>
      </w:r>
      <w:r w:rsidR="00E10130" w:rsidRPr="00045AEF">
        <w:rPr>
          <w:rFonts w:asciiTheme="majorHAnsi" w:hAnsiTheme="majorHAnsi" w:cstheme="majorHAnsi"/>
          <w:color w:val="000000"/>
        </w:rPr>
        <w:t xml:space="preserve"> </w:t>
      </w:r>
      <w:r w:rsidR="00E10130">
        <w:rPr>
          <w:rFonts w:asciiTheme="majorHAnsi" w:hAnsiTheme="majorHAnsi" w:cstheme="majorHAnsi"/>
          <w:color w:val="000000"/>
        </w:rPr>
        <w:t xml:space="preserve">if </w:t>
      </w:r>
      <w:r w:rsidR="00E10130" w:rsidRPr="00045AEF">
        <w:rPr>
          <w:rFonts w:asciiTheme="majorHAnsi" w:hAnsiTheme="majorHAnsi" w:cstheme="majorHAnsi"/>
          <w:color w:val="000000"/>
        </w:rPr>
        <w:t>demand for capacity is high, the auction would clear at a high price</w:t>
      </w:r>
      <w:r w:rsidR="00E10130">
        <w:rPr>
          <w:rFonts w:asciiTheme="majorHAnsi" w:hAnsiTheme="majorHAnsi" w:cstheme="majorHAnsi"/>
          <w:color w:val="000000"/>
        </w:rPr>
        <w:t xml:space="preserve"> and there is also a risk no </w:t>
      </w:r>
      <w:r w:rsidR="00E10130" w:rsidRPr="00045AEF">
        <w:rPr>
          <w:rFonts w:asciiTheme="majorHAnsi" w:hAnsiTheme="majorHAnsi" w:cstheme="majorHAnsi"/>
          <w:color w:val="000000"/>
        </w:rPr>
        <w:t xml:space="preserve">capacity </w:t>
      </w:r>
      <w:r w:rsidR="00E10130">
        <w:rPr>
          <w:rFonts w:asciiTheme="majorHAnsi" w:hAnsiTheme="majorHAnsi" w:cstheme="majorHAnsi"/>
          <w:color w:val="000000"/>
        </w:rPr>
        <w:t xml:space="preserve">would be </w:t>
      </w:r>
      <w:r w:rsidR="00E10130" w:rsidRPr="00045AEF">
        <w:rPr>
          <w:rFonts w:asciiTheme="majorHAnsi" w:hAnsiTheme="majorHAnsi" w:cstheme="majorHAnsi"/>
          <w:color w:val="000000"/>
        </w:rPr>
        <w:t xml:space="preserve">available </w:t>
      </w:r>
      <w:r w:rsidR="00E10130">
        <w:rPr>
          <w:rFonts w:asciiTheme="majorHAnsi" w:hAnsiTheme="majorHAnsi" w:cstheme="majorHAnsi"/>
          <w:color w:val="000000"/>
        </w:rPr>
        <w:t xml:space="preserve">in </w:t>
      </w:r>
      <w:r w:rsidR="00E10130" w:rsidRPr="00045AEF">
        <w:rPr>
          <w:rFonts w:asciiTheme="majorHAnsi" w:hAnsiTheme="majorHAnsi" w:cstheme="majorHAnsi"/>
          <w:color w:val="000000"/>
        </w:rPr>
        <w:t>the auction</w:t>
      </w:r>
      <w:r w:rsidR="00E10130">
        <w:rPr>
          <w:rFonts w:asciiTheme="majorHAnsi" w:hAnsiTheme="majorHAnsi" w:cstheme="majorHAnsi"/>
          <w:color w:val="000000"/>
        </w:rPr>
        <w:t>)</w:t>
      </w:r>
      <w:r w:rsidR="00E10130">
        <w:t xml:space="preserve">. </w:t>
      </w:r>
    </w:p>
    <w:p w14:paraId="70E528CD" w14:textId="77777777" w:rsidR="0084789B" w:rsidRDefault="00F94751" w:rsidP="009057F7">
      <w:pPr>
        <w:pStyle w:val="BodyText"/>
      </w:pPr>
      <w:r>
        <w:t xml:space="preserve">To participate in the capacity trading platform and/or the day-ahead auction, shippers will need to enter into </w:t>
      </w:r>
      <w:r w:rsidR="00E10130">
        <w:t xml:space="preserve">a number of contractual arrangements. For example, shippers that want to use the capacity trading platform will need to enter into </w:t>
      </w:r>
      <w:r>
        <w:t xml:space="preserve">the Exchange Agreement </w:t>
      </w:r>
      <w:r w:rsidR="00E10130">
        <w:t>with AEMO, while shippers that want to use the day-ahead auction will need to enter into t</w:t>
      </w:r>
      <w:r w:rsidR="00DD15FF">
        <w:t xml:space="preserve">an </w:t>
      </w:r>
      <w:r>
        <w:t>Auction Agreement</w:t>
      </w:r>
      <w:r w:rsidR="00E10130">
        <w:t xml:space="preserve"> with AEMO</w:t>
      </w:r>
      <w:r>
        <w:t xml:space="preserve">. </w:t>
      </w:r>
      <w:r w:rsidR="009950F3">
        <w:t>To utilise the capacity procured through the capacity trading platform or the auction, s</w:t>
      </w:r>
      <w:r>
        <w:t>econdary shippers will also need to enter into a</w:t>
      </w:r>
      <w:r w:rsidR="009950F3">
        <w:t>n operational GTA</w:t>
      </w:r>
      <w:r w:rsidR="009950F3">
        <w:rPr>
          <w:rStyle w:val="FootnoteReference"/>
        </w:rPr>
        <w:footnoteReference w:id="13"/>
      </w:r>
      <w:r w:rsidR="009950F3">
        <w:t xml:space="preserve"> with the relevant service provider(s) and, where relevant, become a party to the allocation agreements at the receipt and delivery points they intend to use. </w:t>
      </w:r>
      <w:r w:rsidR="0084789B">
        <w:t xml:space="preserve">Further detail on </w:t>
      </w:r>
      <w:r w:rsidR="00926391">
        <w:t xml:space="preserve">the </w:t>
      </w:r>
      <w:r w:rsidR="0084789B">
        <w:t>contractual</w:t>
      </w:r>
      <w:r w:rsidR="00926391">
        <w:t xml:space="preserve"> arrangements </w:t>
      </w:r>
      <w:r w:rsidR="009950F3">
        <w:t xml:space="preserve">that shippers will need to enter into </w:t>
      </w:r>
      <w:r w:rsidR="00926391">
        <w:t xml:space="preserve">can be found in Chapter 2. </w:t>
      </w:r>
    </w:p>
    <w:p w14:paraId="225B3E6E" w14:textId="77777777" w:rsidR="009057F7" w:rsidRDefault="009057F7" w:rsidP="009057F7">
      <w:pPr>
        <w:pStyle w:val="BodyText"/>
        <w:rPr>
          <w:lang w:eastAsia="fr-CA"/>
        </w:rPr>
      </w:pPr>
    </w:p>
    <w:p w14:paraId="2176C27A" w14:textId="77777777" w:rsidR="009057F7" w:rsidRPr="009057F7" w:rsidRDefault="009057F7" w:rsidP="009057F7">
      <w:pPr>
        <w:pStyle w:val="BodyText"/>
        <w:rPr>
          <w:lang w:eastAsia="fr-CA"/>
        </w:rPr>
        <w:sectPr w:rsidR="009057F7" w:rsidRPr="009057F7" w:rsidSect="009057F7">
          <w:headerReference w:type="even" r:id="rId36"/>
          <w:headerReference w:type="default" r:id="rId37"/>
          <w:footerReference w:type="default" r:id="rId38"/>
          <w:headerReference w:type="first" r:id="rId39"/>
          <w:pgSz w:w="11907" w:h="16839" w:code="9"/>
          <w:pgMar w:top="-1560" w:right="1418" w:bottom="567" w:left="1701" w:header="284" w:footer="343" w:gutter="0"/>
          <w:cols w:space="708"/>
          <w:docGrid w:linePitch="360"/>
        </w:sectPr>
      </w:pPr>
    </w:p>
    <w:p w14:paraId="640F84DB" w14:textId="77777777" w:rsidR="00635881" w:rsidRDefault="00635881" w:rsidP="00635881">
      <w:pPr>
        <w:pStyle w:val="Caption"/>
        <w:spacing w:after="0"/>
        <w:ind w:left="1276" w:hanging="1134"/>
      </w:pPr>
      <w:bookmarkStart w:id="44" w:name="_Ref497884859"/>
      <w:r>
        <w:lastRenderedPageBreak/>
        <w:t xml:space="preserve">Figure </w:t>
      </w:r>
      <w:r w:rsidR="00983431">
        <w:fldChar w:fldCharType="begin"/>
      </w:r>
      <w:r w:rsidR="00983431">
        <w:instrText xml:space="preserve"> STYLEREF 1 \s </w:instrText>
      </w:r>
      <w:r w:rsidR="00983431">
        <w:fldChar w:fldCharType="separate"/>
      </w:r>
      <w:r w:rsidR="00761861">
        <w:rPr>
          <w:noProof/>
        </w:rPr>
        <w:t>1</w:t>
      </w:r>
      <w:r w:rsidR="00983431">
        <w:rPr>
          <w:noProof/>
        </w:rPr>
        <w:fldChar w:fldCharType="end"/>
      </w:r>
      <w:r>
        <w:t>.</w:t>
      </w:r>
      <w:r w:rsidR="00983431">
        <w:fldChar w:fldCharType="begin"/>
      </w:r>
      <w:r w:rsidR="00983431">
        <w:instrText xml:space="preserve"> SEQ Figure \* ARABIC \s 1 </w:instrText>
      </w:r>
      <w:r w:rsidR="00983431">
        <w:fldChar w:fldCharType="separate"/>
      </w:r>
      <w:r w:rsidR="00761861">
        <w:rPr>
          <w:noProof/>
        </w:rPr>
        <w:t>1</w:t>
      </w:r>
      <w:r w:rsidR="00983431">
        <w:rPr>
          <w:noProof/>
        </w:rPr>
        <w:fldChar w:fldCharType="end"/>
      </w:r>
      <w:bookmarkEnd w:id="37"/>
      <w:bookmarkEnd w:id="38"/>
      <w:bookmarkEnd w:id="44"/>
      <w:r>
        <w:t xml:space="preserve">: How </w:t>
      </w:r>
      <w:r w:rsidR="00442D9F">
        <w:t xml:space="preserve">the </w:t>
      </w:r>
      <w:r w:rsidR="005F2789">
        <w:t>capacity trading reform</w:t>
      </w:r>
      <w:r w:rsidR="00442D9F">
        <w:t xml:space="preserve"> </w:t>
      </w:r>
      <w:r w:rsidR="005F2789">
        <w:t xml:space="preserve">package </w:t>
      </w:r>
      <w:bookmarkEnd w:id="39"/>
      <w:r w:rsidR="005F2789">
        <w:t>will operate</w:t>
      </w:r>
    </w:p>
    <w:p w14:paraId="4268AAC9" w14:textId="77777777" w:rsidR="00635881" w:rsidRDefault="00E10130" w:rsidP="00E10130">
      <w:pPr>
        <w:pStyle w:val="BodyText"/>
        <w:spacing w:before="0" w:after="0"/>
      </w:pPr>
      <w:r w:rsidRPr="00E10130">
        <w:rPr>
          <w:noProof/>
          <w:bdr w:val="single" w:sz="8" w:space="0" w:color="auto"/>
        </w:rPr>
        <w:drawing>
          <wp:inline distT="0" distB="0" distL="0" distR="0" wp14:anchorId="2428CBE0" wp14:editId="4C2212FC">
            <wp:extent cx="8640000" cy="5360400"/>
            <wp:effectExtent l="0" t="0" r="0" b="0"/>
            <wp:docPr id="5" name="Picture 5" descr="Figure 1.1: How the capacity trading reform package will operate" title="Fig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8640000" cy="5360400"/>
                    </a:xfrm>
                    <a:prstGeom prst="rect">
                      <a:avLst/>
                    </a:prstGeom>
                    <a:noFill/>
                  </pic:spPr>
                </pic:pic>
              </a:graphicData>
            </a:graphic>
          </wp:inline>
        </w:drawing>
      </w:r>
      <w:r w:rsidR="00635881">
        <w:br w:type="page"/>
      </w:r>
    </w:p>
    <w:p w14:paraId="446CCA12" w14:textId="77777777" w:rsidR="00DF2E48" w:rsidRDefault="00DF2E48" w:rsidP="00E10130">
      <w:pPr>
        <w:pStyle w:val="BodyText"/>
        <w:spacing w:before="0" w:after="0"/>
        <w:sectPr w:rsidR="00DF2E48" w:rsidSect="00635881">
          <w:headerReference w:type="even" r:id="rId41"/>
          <w:headerReference w:type="default" r:id="rId42"/>
          <w:footerReference w:type="default" r:id="rId43"/>
          <w:headerReference w:type="first" r:id="rId44"/>
          <w:pgSz w:w="16839" w:h="11907" w:orient="landscape" w:code="9"/>
          <w:pgMar w:top="-1560" w:right="1418" w:bottom="567" w:left="1701" w:header="284" w:footer="343" w:gutter="0"/>
          <w:cols w:space="708"/>
          <w:docGrid w:linePitch="360"/>
        </w:sectPr>
      </w:pPr>
    </w:p>
    <w:p w14:paraId="1C90E158" w14:textId="77777777" w:rsidR="000A47B2" w:rsidRDefault="00183633" w:rsidP="00A245A9">
      <w:pPr>
        <w:pStyle w:val="Heading2"/>
        <w:spacing w:before="120" w:after="120"/>
      </w:pPr>
      <w:bookmarkStart w:id="45" w:name="_Toc499542640"/>
      <w:r>
        <w:lastRenderedPageBreak/>
        <w:t>Next steps</w:t>
      </w:r>
      <w:bookmarkEnd w:id="45"/>
      <w:r w:rsidR="00F76A13">
        <w:t xml:space="preserve"> </w:t>
      </w:r>
    </w:p>
    <w:p w14:paraId="7D21A769" w14:textId="0F89568C" w:rsidR="009D52F9" w:rsidRDefault="00183633" w:rsidP="00183633">
      <w:pPr>
        <w:pStyle w:val="BodyText"/>
      </w:pPr>
      <w:r>
        <w:t>The GMRG intends to provide the Energy Council with its final recommendations on the design of the day-ahead auction in December for an out-of-session decision. If t</w:t>
      </w:r>
      <w:r w:rsidR="0057698C">
        <w:t>he Energy Council endorses the</w:t>
      </w:r>
      <w:r>
        <w:t xml:space="preserve"> recommendations</w:t>
      </w:r>
      <w:r w:rsidR="0057698C">
        <w:t xml:space="preserve"> made at this time</w:t>
      </w:r>
      <w:r>
        <w:t xml:space="preserve">, </w:t>
      </w:r>
      <w:r w:rsidR="009D52F9">
        <w:t xml:space="preserve">then </w:t>
      </w:r>
      <w:r>
        <w:t xml:space="preserve">the GMRG </w:t>
      </w:r>
      <w:r w:rsidR="009D52F9">
        <w:t xml:space="preserve">and AEMO </w:t>
      </w:r>
      <w:r>
        <w:t xml:space="preserve">will </w:t>
      </w:r>
      <w:r w:rsidR="005C2FE0">
        <w:t xml:space="preserve">commence work on </w:t>
      </w:r>
      <w:r w:rsidR="009D52F9">
        <w:t>implementing the reform package.</w:t>
      </w:r>
    </w:p>
    <w:p w14:paraId="0F205B10" w14:textId="77777777" w:rsidR="00296A3C" w:rsidRPr="006E1B5A" w:rsidRDefault="00296A3C" w:rsidP="00296A3C">
      <w:pPr>
        <w:pStyle w:val="BodyText"/>
        <w:rPr>
          <w:rFonts w:asciiTheme="majorHAnsi" w:eastAsiaTheme="minorEastAsia" w:hAnsiTheme="majorHAnsi" w:cstheme="majorHAnsi"/>
        </w:rPr>
      </w:pPr>
      <w:r w:rsidRPr="006E1B5A">
        <w:rPr>
          <w:rFonts w:asciiTheme="majorHAnsi" w:hAnsiTheme="majorHAnsi" w:cstheme="majorHAnsi"/>
        </w:rPr>
        <w:t xml:space="preserve">Before </w:t>
      </w:r>
      <w:r>
        <w:rPr>
          <w:rFonts w:asciiTheme="majorHAnsi" w:hAnsiTheme="majorHAnsi" w:cstheme="majorHAnsi"/>
        </w:rPr>
        <w:t xml:space="preserve">implementation can occur, </w:t>
      </w:r>
      <w:r w:rsidRPr="006E1B5A">
        <w:rPr>
          <w:rFonts w:asciiTheme="majorHAnsi" w:hAnsiTheme="majorHAnsi" w:cstheme="majorHAnsi"/>
        </w:rPr>
        <w:t xml:space="preserve">a number of changes will need to be made to the NGL, </w:t>
      </w:r>
      <w:r>
        <w:rPr>
          <w:rFonts w:asciiTheme="majorHAnsi" w:hAnsiTheme="majorHAnsi" w:cstheme="majorHAnsi"/>
        </w:rPr>
        <w:t xml:space="preserve">the </w:t>
      </w:r>
      <w:r w:rsidRPr="006E1B5A">
        <w:rPr>
          <w:rFonts w:asciiTheme="majorHAnsi" w:hAnsiTheme="majorHAnsi" w:cstheme="majorHAnsi"/>
        </w:rPr>
        <w:t>NGR</w:t>
      </w:r>
      <w:r>
        <w:rPr>
          <w:rFonts w:asciiTheme="majorHAnsi" w:hAnsiTheme="majorHAnsi" w:cstheme="majorHAnsi"/>
        </w:rPr>
        <w:t>, the Regulations</w:t>
      </w:r>
      <w:r w:rsidRPr="006E1B5A">
        <w:rPr>
          <w:rFonts w:asciiTheme="majorHAnsi" w:hAnsiTheme="majorHAnsi" w:cstheme="majorHAnsi"/>
        </w:rPr>
        <w:t xml:space="preserve"> and </w:t>
      </w:r>
      <w:r>
        <w:rPr>
          <w:rFonts w:asciiTheme="majorHAnsi" w:hAnsiTheme="majorHAnsi" w:cstheme="majorHAnsi"/>
        </w:rPr>
        <w:t xml:space="preserve">a range of </w:t>
      </w:r>
      <w:r w:rsidRPr="006E1B5A">
        <w:rPr>
          <w:rFonts w:asciiTheme="majorHAnsi" w:hAnsiTheme="majorHAnsi" w:cstheme="majorHAnsi"/>
        </w:rPr>
        <w:t xml:space="preserve">other subordinate instruments. </w:t>
      </w:r>
      <w:r>
        <w:rPr>
          <w:rFonts w:asciiTheme="majorHAnsi" w:hAnsiTheme="majorHAnsi" w:cstheme="majorHAnsi"/>
        </w:rPr>
        <w:t xml:space="preserve">AEMO will also need to </w:t>
      </w:r>
      <w:r w:rsidRPr="006E1B5A">
        <w:rPr>
          <w:rFonts w:asciiTheme="majorHAnsi" w:eastAsiaTheme="minorEastAsia" w:hAnsiTheme="majorHAnsi" w:cstheme="majorHAnsi"/>
        </w:rPr>
        <w:t>design, develop and test the new systems for the capacity trading platform and the day-ahead auction</w:t>
      </w:r>
      <w:r>
        <w:rPr>
          <w:rFonts w:asciiTheme="majorHAnsi" w:eastAsiaTheme="minorEastAsia" w:hAnsiTheme="majorHAnsi" w:cstheme="majorHAnsi"/>
        </w:rPr>
        <w:t xml:space="preserve">, carry out training and </w:t>
      </w:r>
      <w:r w:rsidRPr="006E1B5A">
        <w:rPr>
          <w:rFonts w:asciiTheme="majorHAnsi" w:eastAsiaTheme="minorEastAsia" w:hAnsiTheme="majorHAnsi" w:cstheme="majorHAnsi"/>
        </w:rPr>
        <w:t>conduct an industry trial of the capacity trading platform and the day-ahead auction.</w:t>
      </w:r>
      <w:r>
        <w:rPr>
          <w:rFonts w:asciiTheme="majorHAnsi" w:eastAsiaTheme="minorEastAsia" w:hAnsiTheme="majorHAnsi" w:cstheme="majorHAnsi"/>
        </w:rPr>
        <w:t xml:space="preserve"> </w:t>
      </w:r>
      <w:r w:rsidRPr="006E1B5A">
        <w:rPr>
          <w:rFonts w:asciiTheme="majorHAnsi" w:eastAsiaTheme="minorEastAsia" w:hAnsiTheme="majorHAnsi" w:cstheme="majorHAnsi"/>
        </w:rPr>
        <w:t xml:space="preserve">Service providers will </w:t>
      </w:r>
      <w:r>
        <w:rPr>
          <w:rFonts w:asciiTheme="majorHAnsi" w:eastAsiaTheme="minorEastAsia" w:hAnsiTheme="majorHAnsi" w:cstheme="majorHAnsi"/>
        </w:rPr>
        <w:t xml:space="preserve">similarly </w:t>
      </w:r>
      <w:r w:rsidRPr="006E1B5A">
        <w:rPr>
          <w:rFonts w:asciiTheme="majorHAnsi" w:eastAsiaTheme="minorEastAsia" w:hAnsiTheme="majorHAnsi" w:cstheme="majorHAnsi"/>
        </w:rPr>
        <w:t xml:space="preserve">need </w:t>
      </w:r>
      <w:r w:rsidR="00F1710A">
        <w:rPr>
          <w:rFonts w:asciiTheme="majorHAnsi" w:eastAsiaTheme="minorEastAsia" w:hAnsiTheme="majorHAnsi" w:cstheme="majorHAnsi"/>
        </w:rPr>
        <w:t xml:space="preserve">to </w:t>
      </w:r>
      <w:r w:rsidRPr="006E1B5A">
        <w:rPr>
          <w:rFonts w:asciiTheme="majorHAnsi" w:hAnsiTheme="majorHAnsi" w:cstheme="majorHAnsi"/>
        </w:rPr>
        <w:t>design, build and test their own systems for the capaci</w:t>
      </w:r>
      <w:r>
        <w:rPr>
          <w:rFonts w:asciiTheme="majorHAnsi" w:hAnsiTheme="majorHAnsi" w:cstheme="majorHAnsi"/>
        </w:rPr>
        <w:t xml:space="preserve">ty trading platform and auction and </w:t>
      </w:r>
      <w:r w:rsidRPr="006E1B5A">
        <w:rPr>
          <w:rFonts w:asciiTheme="majorHAnsi" w:eastAsiaTheme="minorEastAsia" w:hAnsiTheme="majorHAnsi" w:cstheme="majorHAnsi"/>
        </w:rPr>
        <w:t>develop standardised contracts to give effect to secondary capacity</w:t>
      </w:r>
      <w:r>
        <w:rPr>
          <w:rFonts w:asciiTheme="majorHAnsi" w:eastAsiaTheme="minorEastAsia" w:hAnsiTheme="majorHAnsi" w:cstheme="majorHAnsi"/>
        </w:rPr>
        <w:t xml:space="preserve"> trades and auction purchases.</w:t>
      </w:r>
    </w:p>
    <w:p w14:paraId="67522849" w14:textId="77777777" w:rsidR="00F73766" w:rsidRDefault="00296A3C" w:rsidP="00296A3C">
      <w:pPr>
        <w:pStyle w:val="BodyText"/>
      </w:pPr>
      <w:r>
        <w:t>At this stage it is expected that the GMRG will take the lead on developing the legal architecture required to give effect to the design of the reform package approved by the Energy Council and be responsible for</w:t>
      </w:r>
      <w:r w:rsidR="00F73766">
        <w:t>:</w:t>
      </w:r>
    </w:p>
    <w:p w14:paraId="55E0708E" w14:textId="77777777" w:rsidR="00F73766" w:rsidRPr="00F73766" w:rsidRDefault="00F73766" w:rsidP="00F73766">
      <w:pPr>
        <w:pStyle w:val="ListBullet"/>
        <w:rPr>
          <w:rFonts w:asciiTheme="majorHAnsi" w:eastAsiaTheme="minorEastAsia" w:hAnsiTheme="majorHAnsi" w:cstheme="majorHAnsi"/>
        </w:rPr>
      </w:pPr>
      <w:r w:rsidRPr="00F73766">
        <w:rPr>
          <w:rFonts w:asciiTheme="majorHAnsi" w:eastAsiaTheme="minorEastAsia" w:hAnsiTheme="majorHAnsi" w:cstheme="majorHAnsi"/>
        </w:rPr>
        <w:t xml:space="preserve">preparing the drafting instructions for the proposed changes to the NGL; and </w:t>
      </w:r>
    </w:p>
    <w:p w14:paraId="1E4AD0FA" w14:textId="77777777" w:rsidR="00F73766" w:rsidRPr="00F73766" w:rsidRDefault="00F73766" w:rsidP="00F73766">
      <w:pPr>
        <w:pStyle w:val="ListBullet"/>
        <w:rPr>
          <w:rFonts w:asciiTheme="majorHAnsi" w:eastAsiaTheme="minorEastAsia" w:hAnsiTheme="majorHAnsi" w:cstheme="majorHAnsi"/>
        </w:rPr>
      </w:pPr>
      <w:proofErr w:type="gramStart"/>
      <w:r w:rsidRPr="00F73766">
        <w:rPr>
          <w:rFonts w:asciiTheme="majorHAnsi" w:eastAsiaTheme="minorEastAsia" w:hAnsiTheme="majorHAnsi" w:cstheme="majorHAnsi"/>
        </w:rPr>
        <w:t>developing</w:t>
      </w:r>
      <w:proofErr w:type="gramEnd"/>
      <w:r w:rsidRPr="00F73766">
        <w:rPr>
          <w:rFonts w:asciiTheme="majorHAnsi" w:eastAsiaTheme="minorEastAsia" w:hAnsiTheme="majorHAnsi" w:cstheme="majorHAnsi"/>
        </w:rPr>
        <w:t xml:space="preserve"> the changes that will be required to the NGR, the Regulations and other subordinate instruments to be made by the South Australian Minister to give effect to the package of reforms.</w:t>
      </w:r>
    </w:p>
    <w:p w14:paraId="373FD50C" w14:textId="77777777" w:rsidR="00F73766" w:rsidRDefault="00F73766" w:rsidP="00F73766">
      <w:pPr>
        <w:pStyle w:val="BodyText"/>
      </w:pPr>
      <w:r>
        <w:t xml:space="preserve">Once the proposed changes to the NGL, NGR and other subordinate instruments have been drafted, they will be submitted to SCO for review. If SCO agrees, then the draft instruments will be released for public consultation and stakeholders will be provided six weeks to provide their feedback. </w:t>
      </w:r>
      <w:r w:rsidR="00140CEC">
        <w:t>At this stage, t</w:t>
      </w:r>
      <w:r>
        <w:t>he stakeholder consultation period is expected to commence in March and be completed by mid-April</w:t>
      </w:r>
      <w:r w:rsidR="00140CEC">
        <w:t xml:space="preserve"> 2018</w:t>
      </w:r>
      <w:r w:rsidRPr="008964B9">
        <w:t>.</w:t>
      </w:r>
      <w:r>
        <w:t xml:space="preserve"> </w:t>
      </w:r>
    </w:p>
    <w:p w14:paraId="45BFB459" w14:textId="77777777" w:rsidR="00983431" w:rsidRDefault="00983431" w:rsidP="00983431">
      <w:pPr>
        <w:pStyle w:val="BodyText"/>
        <w:spacing w:after="0"/>
      </w:pPr>
      <w:r w:rsidRPr="00177BF0">
        <w:t xml:space="preserve">Following the incorporation of stakeholder feedback, the final set of </w:t>
      </w:r>
      <w:r>
        <w:t xml:space="preserve">proposed changes to the NGL, NGR and other subordinate instruments </w:t>
      </w:r>
      <w:r w:rsidRPr="00177BF0">
        <w:t xml:space="preserve">will be provided to </w:t>
      </w:r>
      <w:r>
        <w:t xml:space="preserve">SCO and the Energy </w:t>
      </w:r>
      <w:r w:rsidRPr="00177BF0">
        <w:t xml:space="preserve">Council for </w:t>
      </w:r>
      <w:r>
        <w:t xml:space="preserve">their </w:t>
      </w:r>
      <w:r w:rsidRPr="00177BF0">
        <w:t xml:space="preserve">consideration and approval. </w:t>
      </w:r>
      <w:r>
        <w:t xml:space="preserve">This </w:t>
      </w:r>
      <w:r w:rsidRPr="00177BF0">
        <w:t xml:space="preserve">consideration is expected to take place </w:t>
      </w:r>
      <w:r>
        <w:t>in mid-2018</w:t>
      </w:r>
      <w:r w:rsidRPr="00177BF0">
        <w:t>.</w:t>
      </w:r>
      <w:r>
        <w:t xml:space="preserve"> Further detail on the proposed timing for the development of the legal architecture is provided in </w:t>
      </w:r>
      <w:r>
        <w:fldChar w:fldCharType="begin"/>
      </w:r>
      <w:r>
        <w:instrText xml:space="preserve"> REF _Ref497069499 \h </w:instrText>
      </w:r>
      <w:r>
        <w:fldChar w:fldCharType="separate"/>
      </w:r>
      <w:r w:rsidR="00761861">
        <w:t xml:space="preserve">Table </w:t>
      </w:r>
      <w:r w:rsidR="00761861">
        <w:rPr>
          <w:noProof/>
        </w:rPr>
        <w:t>1</w:t>
      </w:r>
      <w:r w:rsidR="00761861">
        <w:t>.</w:t>
      </w:r>
      <w:r w:rsidR="00761861">
        <w:rPr>
          <w:noProof/>
        </w:rPr>
        <w:t>4</w:t>
      </w:r>
      <w:r>
        <w:fldChar w:fldCharType="end"/>
      </w:r>
      <w:r>
        <w:t>.</w:t>
      </w:r>
    </w:p>
    <w:p w14:paraId="66769511" w14:textId="77777777" w:rsidR="00983431" w:rsidRDefault="00983431" w:rsidP="00983431">
      <w:pPr>
        <w:pStyle w:val="BodyText"/>
        <w:spacing w:after="0"/>
      </w:pPr>
      <w:r>
        <w:t>The other point to note from this table is that a separate review will be carried out in early 2018 to determine whether the capacity trading reform package should extend to the Northern Territory. This review will be carried out by the AEMC, in conjunction with the GMRG and the Northern Territory Government, and the final recommendations will be made to the Energy Council at its April 2018 meeting. If a decision is made to extend the application of the reforms to the Northern Territory, then they will commence operation at the same time as the east coast (i.e. 1 March 2019).</w:t>
      </w:r>
    </w:p>
    <w:p w14:paraId="71B8486F" w14:textId="77777777" w:rsidR="00983431" w:rsidRDefault="00983431" w:rsidP="00A245A9">
      <w:pPr>
        <w:pStyle w:val="BodyText"/>
        <w:spacing w:after="0"/>
      </w:pPr>
    </w:p>
    <w:p w14:paraId="064D9984" w14:textId="77777777" w:rsidR="00F73766" w:rsidRDefault="00F73766" w:rsidP="00A245A9">
      <w:pPr>
        <w:pStyle w:val="Caption"/>
        <w:spacing w:before="120" w:after="0"/>
      </w:pPr>
      <w:bookmarkStart w:id="46" w:name="_Ref497069499"/>
      <w:r>
        <w:lastRenderedPageBreak/>
        <w:t xml:space="preserve">Table </w:t>
      </w:r>
      <w:r w:rsidR="00983431">
        <w:fldChar w:fldCharType="begin"/>
      </w:r>
      <w:r w:rsidR="00983431">
        <w:instrText xml:space="preserve"> STYLEREF 1 \s </w:instrText>
      </w:r>
      <w:r w:rsidR="00983431">
        <w:fldChar w:fldCharType="separate"/>
      </w:r>
      <w:r w:rsidR="00761861">
        <w:rPr>
          <w:noProof/>
        </w:rPr>
        <w:t>1</w:t>
      </w:r>
      <w:r w:rsidR="00983431">
        <w:rPr>
          <w:noProof/>
        </w:rPr>
        <w:fldChar w:fldCharType="end"/>
      </w:r>
      <w:r w:rsidR="00901056">
        <w:t>.</w:t>
      </w:r>
      <w:r w:rsidR="00983431">
        <w:fldChar w:fldCharType="begin"/>
      </w:r>
      <w:r w:rsidR="00983431">
        <w:instrText xml:space="preserve"> SEQ Table \* ARABIC \s 1 </w:instrText>
      </w:r>
      <w:r w:rsidR="00983431">
        <w:fldChar w:fldCharType="separate"/>
      </w:r>
      <w:r w:rsidR="00761861">
        <w:rPr>
          <w:noProof/>
        </w:rPr>
        <w:t>4</w:t>
      </w:r>
      <w:r w:rsidR="00983431">
        <w:rPr>
          <w:noProof/>
        </w:rPr>
        <w:fldChar w:fldCharType="end"/>
      </w:r>
      <w:bookmarkEnd w:id="46"/>
      <w:r>
        <w:t xml:space="preserve">: </w:t>
      </w:r>
      <w:r w:rsidR="00140CEC">
        <w:t xml:space="preserve">Next </w:t>
      </w:r>
      <w:r w:rsidR="00140CEC">
        <w:rPr>
          <w:rStyle w:val="BodyTextChar"/>
        </w:rPr>
        <w:t>steps</w:t>
      </w:r>
    </w:p>
    <w:tbl>
      <w:tblPr>
        <w:tblStyle w:val="TableGrid"/>
        <w:tblW w:w="5000" w:type="pct"/>
        <w:tblLayout w:type="fixed"/>
        <w:tblLook w:val="0420" w:firstRow="1" w:lastRow="0" w:firstColumn="0" w:lastColumn="0" w:noHBand="0" w:noVBand="1"/>
        <w:tblCaption w:val="Table 1.4"/>
        <w:tblDescription w:val="Next Steps"/>
      </w:tblPr>
      <w:tblGrid>
        <w:gridCol w:w="2121"/>
        <w:gridCol w:w="6667"/>
      </w:tblGrid>
      <w:tr w:rsidR="00F73766" w14:paraId="326E8AF7" w14:textId="77777777" w:rsidTr="00562645">
        <w:trPr>
          <w:cnfStyle w:val="100000000000" w:firstRow="1" w:lastRow="0" w:firstColumn="0" w:lastColumn="0" w:oddVBand="0" w:evenVBand="0" w:oddHBand="0" w:evenHBand="0" w:firstRowFirstColumn="0" w:firstRowLastColumn="0" w:lastRowFirstColumn="0" w:lastRowLastColumn="0"/>
          <w:cantSplit/>
          <w:tblHeader/>
        </w:trPr>
        <w:tc>
          <w:tcPr>
            <w:tcW w:w="1207" w:type="pct"/>
            <w:shd w:val="clear" w:color="auto" w:fill="0099CC"/>
          </w:tcPr>
          <w:p w14:paraId="6A071778" w14:textId="77777777" w:rsidR="00F73766" w:rsidRDefault="00F73766" w:rsidP="00140CEC">
            <w:pPr>
              <w:pStyle w:val="TableHeading"/>
              <w:keepNext/>
              <w:spacing w:before="20" w:after="20"/>
              <w:ind w:left="74" w:right="74"/>
              <w:rPr>
                <w:lang w:eastAsia="fr-CA"/>
              </w:rPr>
            </w:pPr>
            <w:r>
              <w:rPr>
                <w:lang w:eastAsia="fr-CA"/>
              </w:rPr>
              <w:t>Date</w:t>
            </w:r>
          </w:p>
        </w:tc>
        <w:tc>
          <w:tcPr>
            <w:tcW w:w="3793" w:type="pct"/>
            <w:shd w:val="clear" w:color="auto" w:fill="0099CC"/>
          </w:tcPr>
          <w:p w14:paraId="2D1C517A" w14:textId="77777777" w:rsidR="00F73766" w:rsidRDefault="00F73766" w:rsidP="00140CEC">
            <w:pPr>
              <w:pStyle w:val="TableHeading"/>
              <w:keepNext/>
              <w:spacing w:before="20" w:after="20"/>
              <w:ind w:left="74" w:right="74"/>
              <w:rPr>
                <w:lang w:eastAsia="fr-CA"/>
              </w:rPr>
            </w:pPr>
            <w:r>
              <w:rPr>
                <w:lang w:eastAsia="fr-CA"/>
              </w:rPr>
              <w:t>Process</w:t>
            </w:r>
          </w:p>
        </w:tc>
      </w:tr>
      <w:tr w:rsidR="00F73766" w14:paraId="6447840B" w14:textId="77777777" w:rsidTr="00562645">
        <w:trPr>
          <w:cantSplit/>
        </w:trPr>
        <w:tc>
          <w:tcPr>
            <w:tcW w:w="1207" w:type="pct"/>
          </w:tcPr>
          <w:p w14:paraId="55D5F0CF" w14:textId="77777777" w:rsidR="00F73766" w:rsidRDefault="00F73766" w:rsidP="00140CEC">
            <w:pPr>
              <w:pStyle w:val="TableBodyText"/>
              <w:keepNext/>
              <w:spacing w:before="20" w:after="20"/>
              <w:ind w:left="74" w:right="74"/>
              <w:rPr>
                <w:lang w:eastAsia="fr-CA"/>
              </w:rPr>
            </w:pPr>
            <w:r>
              <w:rPr>
                <w:lang w:eastAsia="fr-CA"/>
              </w:rPr>
              <w:t>December 2017</w:t>
            </w:r>
          </w:p>
        </w:tc>
        <w:tc>
          <w:tcPr>
            <w:tcW w:w="3793" w:type="pct"/>
          </w:tcPr>
          <w:p w14:paraId="0B840F31" w14:textId="77777777" w:rsidR="00F73766" w:rsidRDefault="00F73766" w:rsidP="00140CEC">
            <w:pPr>
              <w:pStyle w:val="TableBodyText"/>
              <w:keepNext/>
              <w:spacing w:before="20" w:after="20"/>
              <w:ind w:left="74" w:right="74"/>
              <w:rPr>
                <w:lang w:eastAsia="fr-CA"/>
              </w:rPr>
            </w:pPr>
            <w:r>
              <w:rPr>
                <w:lang w:eastAsia="fr-CA"/>
              </w:rPr>
              <w:t>Provision of recommendations on auction design and the application of reforms outside the east coast to Energy Council for out-of-session decision</w:t>
            </w:r>
          </w:p>
        </w:tc>
      </w:tr>
      <w:tr w:rsidR="00F73766" w14:paraId="0CB34A9A" w14:textId="77777777" w:rsidTr="00562645">
        <w:trPr>
          <w:cnfStyle w:val="000000010000" w:firstRow="0" w:lastRow="0" w:firstColumn="0" w:lastColumn="0" w:oddVBand="0" w:evenVBand="0" w:oddHBand="0" w:evenHBand="1" w:firstRowFirstColumn="0" w:firstRowLastColumn="0" w:lastRowFirstColumn="0" w:lastRowLastColumn="0"/>
          <w:cantSplit/>
        </w:trPr>
        <w:tc>
          <w:tcPr>
            <w:tcW w:w="1207" w:type="pct"/>
          </w:tcPr>
          <w:p w14:paraId="26A19182" w14:textId="77777777" w:rsidR="00F73766" w:rsidRDefault="00F73766" w:rsidP="00140CEC">
            <w:pPr>
              <w:pStyle w:val="TableBodyText"/>
              <w:keepNext/>
              <w:spacing w:before="20" w:after="20"/>
              <w:ind w:left="74" w:right="74"/>
              <w:rPr>
                <w:lang w:eastAsia="fr-CA"/>
              </w:rPr>
            </w:pPr>
            <w:r>
              <w:rPr>
                <w:lang w:eastAsia="fr-CA"/>
              </w:rPr>
              <w:t>December 2017 – February 2018</w:t>
            </w:r>
          </w:p>
        </w:tc>
        <w:tc>
          <w:tcPr>
            <w:tcW w:w="3793" w:type="pct"/>
          </w:tcPr>
          <w:p w14:paraId="1F57F734" w14:textId="77777777" w:rsidR="00F73766" w:rsidRDefault="00F73766" w:rsidP="00140CEC">
            <w:pPr>
              <w:pStyle w:val="TableBodyText"/>
              <w:keepNext/>
              <w:spacing w:before="20" w:after="20"/>
              <w:ind w:left="74" w:right="74"/>
              <w:rPr>
                <w:lang w:eastAsia="fr-CA"/>
              </w:rPr>
            </w:pPr>
            <w:r>
              <w:rPr>
                <w:lang w:eastAsia="fr-CA"/>
              </w:rPr>
              <w:t>Development of drafting instructions for the NGL and amendments to the NGR and other subordinate instruments</w:t>
            </w:r>
          </w:p>
        </w:tc>
      </w:tr>
      <w:tr w:rsidR="00F73766" w14:paraId="4188D913" w14:textId="77777777" w:rsidTr="00562645">
        <w:trPr>
          <w:cantSplit/>
        </w:trPr>
        <w:tc>
          <w:tcPr>
            <w:tcW w:w="1207" w:type="pct"/>
          </w:tcPr>
          <w:p w14:paraId="5541BF13" w14:textId="77777777" w:rsidR="00F73766" w:rsidRDefault="00F73766" w:rsidP="00140CEC">
            <w:pPr>
              <w:pStyle w:val="TableBodyText"/>
              <w:keepNext/>
              <w:spacing w:before="20" w:after="20"/>
              <w:ind w:left="74" w:right="74"/>
              <w:rPr>
                <w:lang w:eastAsia="fr-CA"/>
              </w:rPr>
            </w:pPr>
            <w:r>
              <w:rPr>
                <w:lang w:eastAsia="fr-CA"/>
              </w:rPr>
              <w:t>Late February 2018</w:t>
            </w:r>
          </w:p>
        </w:tc>
        <w:tc>
          <w:tcPr>
            <w:tcW w:w="3793" w:type="pct"/>
          </w:tcPr>
          <w:p w14:paraId="564C2088" w14:textId="77777777" w:rsidR="00F73766" w:rsidRDefault="00F73766" w:rsidP="00140CEC">
            <w:pPr>
              <w:pStyle w:val="TableBodyText"/>
              <w:keepNext/>
              <w:spacing w:before="20" w:after="20"/>
              <w:ind w:left="74" w:right="74"/>
              <w:rPr>
                <w:lang w:eastAsia="fr-CA"/>
              </w:rPr>
            </w:pPr>
            <w:r>
              <w:rPr>
                <w:lang w:eastAsia="fr-CA"/>
              </w:rPr>
              <w:t xml:space="preserve">SCO </w:t>
            </w:r>
            <w:r>
              <w:rPr>
                <w:szCs w:val="18"/>
              </w:rPr>
              <w:t>review and approval of draft instruments to reflect the agreed design</w:t>
            </w:r>
          </w:p>
        </w:tc>
      </w:tr>
      <w:tr w:rsidR="00983431" w14:paraId="02ECFE83" w14:textId="77777777" w:rsidTr="00562645">
        <w:trPr>
          <w:cnfStyle w:val="000000010000" w:firstRow="0" w:lastRow="0" w:firstColumn="0" w:lastColumn="0" w:oddVBand="0" w:evenVBand="0" w:oddHBand="0" w:evenHBand="1" w:firstRowFirstColumn="0" w:firstRowLastColumn="0" w:lastRowFirstColumn="0" w:lastRowLastColumn="0"/>
          <w:cantSplit/>
        </w:trPr>
        <w:tc>
          <w:tcPr>
            <w:tcW w:w="1207" w:type="pct"/>
          </w:tcPr>
          <w:p w14:paraId="521842F8" w14:textId="4E78A261" w:rsidR="00983431" w:rsidRDefault="00983431" w:rsidP="00983431">
            <w:pPr>
              <w:pStyle w:val="TableBodyText"/>
              <w:keepNext/>
              <w:spacing w:before="20" w:after="20"/>
              <w:ind w:left="74" w:right="74"/>
              <w:rPr>
                <w:lang w:eastAsia="fr-CA"/>
              </w:rPr>
            </w:pPr>
            <w:r>
              <w:rPr>
                <w:lang w:eastAsia="fr-CA"/>
              </w:rPr>
              <w:t>January – March 2018</w:t>
            </w:r>
          </w:p>
        </w:tc>
        <w:tc>
          <w:tcPr>
            <w:tcW w:w="3793" w:type="pct"/>
          </w:tcPr>
          <w:p w14:paraId="07CDF2EC" w14:textId="04FA41A7" w:rsidR="00983431" w:rsidRDefault="00983431" w:rsidP="00983431">
            <w:pPr>
              <w:pStyle w:val="TableBodyText"/>
              <w:keepNext/>
              <w:spacing w:before="20" w:after="20"/>
              <w:ind w:left="74" w:right="74"/>
              <w:rPr>
                <w:lang w:eastAsia="fr-CA"/>
              </w:rPr>
            </w:pPr>
            <w:r>
              <w:rPr>
                <w:lang w:eastAsia="fr-CA"/>
              </w:rPr>
              <w:t>AEMC review of the application of the capacity trading reform package in the Northern Territory</w:t>
            </w:r>
          </w:p>
        </w:tc>
      </w:tr>
      <w:tr w:rsidR="00983431" w14:paraId="526AA5F3" w14:textId="77777777" w:rsidTr="00562645">
        <w:trPr>
          <w:cantSplit/>
        </w:trPr>
        <w:tc>
          <w:tcPr>
            <w:tcW w:w="1207" w:type="pct"/>
          </w:tcPr>
          <w:p w14:paraId="39FC754F" w14:textId="77777777" w:rsidR="00983431" w:rsidRDefault="00983431" w:rsidP="00983431">
            <w:pPr>
              <w:pStyle w:val="TableBodyText"/>
              <w:keepNext/>
              <w:spacing w:before="20" w:after="20"/>
              <w:ind w:left="74" w:right="74"/>
              <w:rPr>
                <w:lang w:eastAsia="fr-CA"/>
              </w:rPr>
            </w:pPr>
            <w:r>
              <w:rPr>
                <w:lang w:eastAsia="fr-CA"/>
              </w:rPr>
              <w:t>March – mid-April 2018</w:t>
            </w:r>
          </w:p>
        </w:tc>
        <w:tc>
          <w:tcPr>
            <w:tcW w:w="3793" w:type="pct"/>
          </w:tcPr>
          <w:p w14:paraId="252D3583" w14:textId="77777777" w:rsidR="00983431" w:rsidRDefault="00983431" w:rsidP="00983431">
            <w:pPr>
              <w:pStyle w:val="TableBodyText"/>
              <w:keepNext/>
              <w:spacing w:before="20" w:after="20"/>
              <w:ind w:left="74" w:right="74"/>
              <w:rPr>
                <w:lang w:eastAsia="fr-CA"/>
              </w:rPr>
            </w:pPr>
            <w:r>
              <w:rPr>
                <w:lang w:eastAsia="fr-CA"/>
              </w:rPr>
              <w:t>Stakeholder consultation on the draft instruments (6 weeks)</w:t>
            </w:r>
          </w:p>
        </w:tc>
      </w:tr>
      <w:tr w:rsidR="00983431" w14:paraId="2073AACA" w14:textId="77777777" w:rsidTr="00562645">
        <w:trPr>
          <w:cnfStyle w:val="000000010000" w:firstRow="0" w:lastRow="0" w:firstColumn="0" w:lastColumn="0" w:oddVBand="0" w:evenVBand="0" w:oddHBand="0" w:evenHBand="1" w:firstRowFirstColumn="0" w:firstRowLastColumn="0" w:lastRowFirstColumn="0" w:lastRowLastColumn="0"/>
          <w:cantSplit/>
        </w:trPr>
        <w:tc>
          <w:tcPr>
            <w:tcW w:w="1207" w:type="pct"/>
          </w:tcPr>
          <w:p w14:paraId="1C0C9E04" w14:textId="2126DBEE" w:rsidR="00983431" w:rsidRDefault="00983431" w:rsidP="00983431">
            <w:pPr>
              <w:pStyle w:val="TableBodyText"/>
              <w:keepNext/>
              <w:spacing w:before="20" w:after="20"/>
              <w:ind w:left="74" w:right="74"/>
              <w:rPr>
                <w:lang w:eastAsia="fr-CA"/>
              </w:rPr>
            </w:pPr>
            <w:r>
              <w:rPr>
                <w:lang w:eastAsia="fr-CA"/>
              </w:rPr>
              <w:t>April 2018</w:t>
            </w:r>
          </w:p>
        </w:tc>
        <w:tc>
          <w:tcPr>
            <w:tcW w:w="3793" w:type="pct"/>
          </w:tcPr>
          <w:p w14:paraId="2B16B03C" w14:textId="6ACFFBB2" w:rsidR="00983431" w:rsidRDefault="00983431" w:rsidP="00983431">
            <w:pPr>
              <w:pStyle w:val="TableBodyText"/>
              <w:keepNext/>
              <w:spacing w:before="20" w:after="20"/>
              <w:ind w:left="74" w:right="74"/>
              <w:rPr>
                <w:lang w:eastAsia="fr-CA"/>
              </w:rPr>
            </w:pPr>
            <w:r>
              <w:rPr>
                <w:lang w:eastAsia="fr-CA"/>
              </w:rPr>
              <w:t>Final recommendation to the Energy Council on the application of the capacity trading reform package in the Northern Territory</w:t>
            </w:r>
          </w:p>
        </w:tc>
      </w:tr>
      <w:tr w:rsidR="00983431" w14:paraId="6EB4DCEB" w14:textId="77777777" w:rsidTr="00562645">
        <w:trPr>
          <w:cantSplit/>
        </w:trPr>
        <w:tc>
          <w:tcPr>
            <w:tcW w:w="1207" w:type="pct"/>
          </w:tcPr>
          <w:p w14:paraId="606D406E" w14:textId="77777777" w:rsidR="00983431" w:rsidRDefault="00983431" w:rsidP="00983431">
            <w:pPr>
              <w:pStyle w:val="TableBodyText"/>
              <w:keepNext/>
              <w:spacing w:before="20" w:after="20"/>
              <w:ind w:left="74" w:right="74"/>
              <w:rPr>
                <w:lang w:eastAsia="fr-CA"/>
              </w:rPr>
            </w:pPr>
            <w:r>
              <w:rPr>
                <w:lang w:eastAsia="fr-CA"/>
              </w:rPr>
              <w:t>May 2018</w:t>
            </w:r>
          </w:p>
        </w:tc>
        <w:tc>
          <w:tcPr>
            <w:tcW w:w="3793" w:type="pct"/>
          </w:tcPr>
          <w:p w14:paraId="5A4D9E0A" w14:textId="77777777" w:rsidR="00983431" w:rsidRDefault="00983431" w:rsidP="00983431">
            <w:pPr>
              <w:pStyle w:val="TableBodyText"/>
              <w:keepNext/>
              <w:spacing w:before="20" w:after="20"/>
              <w:ind w:left="74" w:right="74"/>
              <w:rPr>
                <w:lang w:eastAsia="fr-CA"/>
              </w:rPr>
            </w:pPr>
            <w:r>
              <w:rPr>
                <w:lang w:eastAsia="fr-CA"/>
              </w:rPr>
              <w:t>SCO consideration of final instruments</w:t>
            </w:r>
          </w:p>
        </w:tc>
      </w:tr>
      <w:tr w:rsidR="00983431" w14:paraId="42308086" w14:textId="77777777" w:rsidTr="00562645">
        <w:trPr>
          <w:cnfStyle w:val="000000010000" w:firstRow="0" w:lastRow="0" w:firstColumn="0" w:lastColumn="0" w:oddVBand="0" w:evenVBand="0" w:oddHBand="0" w:evenHBand="1" w:firstRowFirstColumn="0" w:firstRowLastColumn="0" w:lastRowFirstColumn="0" w:lastRowLastColumn="0"/>
          <w:cantSplit/>
        </w:trPr>
        <w:tc>
          <w:tcPr>
            <w:tcW w:w="1207" w:type="pct"/>
          </w:tcPr>
          <w:p w14:paraId="2B8C03CE" w14:textId="0B0D931C" w:rsidR="00983431" w:rsidRDefault="00983431" w:rsidP="00E41A75">
            <w:pPr>
              <w:pStyle w:val="TableBodyText"/>
              <w:keepNext/>
              <w:spacing w:before="20" w:after="20"/>
              <w:ind w:left="74" w:right="74"/>
              <w:rPr>
                <w:lang w:eastAsia="fr-CA"/>
              </w:rPr>
            </w:pPr>
            <w:r>
              <w:rPr>
                <w:lang w:eastAsia="fr-CA"/>
              </w:rPr>
              <w:t>May</w:t>
            </w:r>
            <w:r w:rsidR="00E41A75">
              <w:rPr>
                <w:lang w:eastAsia="fr-CA"/>
              </w:rPr>
              <w:t xml:space="preserve"> – June</w:t>
            </w:r>
            <w:r>
              <w:rPr>
                <w:lang w:eastAsia="fr-CA"/>
              </w:rPr>
              <w:t xml:space="preserve"> 2018</w:t>
            </w:r>
          </w:p>
        </w:tc>
        <w:tc>
          <w:tcPr>
            <w:tcW w:w="3793" w:type="pct"/>
          </w:tcPr>
          <w:p w14:paraId="357AC6FC" w14:textId="77777777" w:rsidR="00983431" w:rsidRDefault="00983431" w:rsidP="00983431">
            <w:pPr>
              <w:pStyle w:val="TableBodyText"/>
              <w:keepNext/>
              <w:spacing w:before="20" w:after="20"/>
              <w:ind w:left="74" w:right="74"/>
              <w:rPr>
                <w:lang w:eastAsia="fr-CA"/>
              </w:rPr>
            </w:pPr>
            <w:r>
              <w:rPr>
                <w:szCs w:val="18"/>
              </w:rPr>
              <w:t>Final instruments presented to Energy Council for approval</w:t>
            </w:r>
          </w:p>
        </w:tc>
      </w:tr>
      <w:tr w:rsidR="00983431" w14:paraId="56D0F304" w14:textId="77777777" w:rsidTr="00562645">
        <w:trPr>
          <w:cantSplit/>
        </w:trPr>
        <w:tc>
          <w:tcPr>
            <w:tcW w:w="1207" w:type="pct"/>
          </w:tcPr>
          <w:p w14:paraId="59BF5963" w14:textId="4511500F" w:rsidR="00983431" w:rsidRDefault="00983431" w:rsidP="00E41A75">
            <w:pPr>
              <w:pStyle w:val="TableBodyText"/>
              <w:spacing w:before="20" w:after="20"/>
              <w:ind w:left="74" w:right="74"/>
              <w:rPr>
                <w:lang w:eastAsia="fr-CA"/>
              </w:rPr>
            </w:pPr>
            <w:r>
              <w:rPr>
                <w:lang w:eastAsia="fr-CA"/>
              </w:rPr>
              <w:t>Jun</w:t>
            </w:r>
            <w:r w:rsidR="00E41A75">
              <w:rPr>
                <w:lang w:eastAsia="fr-CA"/>
              </w:rPr>
              <w:t xml:space="preserve"> – </w:t>
            </w:r>
            <w:r>
              <w:rPr>
                <w:lang w:eastAsia="fr-CA"/>
              </w:rPr>
              <w:t>Aug 2018</w:t>
            </w:r>
          </w:p>
        </w:tc>
        <w:tc>
          <w:tcPr>
            <w:tcW w:w="3793" w:type="pct"/>
          </w:tcPr>
          <w:p w14:paraId="1CD51A76" w14:textId="77777777" w:rsidR="00983431" w:rsidRDefault="00983431" w:rsidP="00983431">
            <w:pPr>
              <w:pStyle w:val="TableBodyText"/>
              <w:spacing w:before="20" w:after="20"/>
              <w:ind w:left="74" w:right="74"/>
              <w:rPr>
                <w:szCs w:val="18"/>
              </w:rPr>
            </w:pPr>
            <w:r>
              <w:rPr>
                <w:szCs w:val="18"/>
              </w:rPr>
              <w:t>Amendments to the NGL progressed through SA Parliament</w:t>
            </w:r>
          </w:p>
          <w:p w14:paraId="3664DF22" w14:textId="77777777" w:rsidR="00983431" w:rsidRDefault="00983431" w:rsidP="00983431">
            <w:pPr>
              <w:pStyle w:val="TableBodyText"/>
              <w:spacing w:before="20" w:after="20"/>
              <w:ind w:left="74" w:right="74"/>
              <w:rPr>
                <w:szCs w:val="18"/>
              </w:rPr>
            </w:pPr>
            <w:r>
              <w:rPr>
                <w:szCs w:val="18"/>
              </w:rPr>
              <w:t>Once the NGL changes have been proclaimed, the SA Minister can make the initial set of rules and any other subordinate instrument required to give effect to the reforms</w:t>
            </w:r>
          </w:p>
        </w:tc>
      </w:tr>
    </w:tbl>
    <w:p w14:paraId="2907CE3A" w14:textId="77777777" w:rsidR="00CD3A85" w:rsidRDefault="00AF5D5E" w:rsidP="00F01112">
      <w:pPr>
        <w:pStyle w:val="Heading2"/>
        <w:spacing w:before="240" w:after="120"/>
      </w:pPr>
      <w:bookmarkStart w:id="47" w:name="_Toc499542641"/>
      <w:r>
        <w:t>Structure of report</w:t>
      </w:r>
      <w:bookmarkEnd w:id="47"/>
    </w:p>
    <w:p w14:paraId="2B7F3E85" w14:textId="77777777" w:rsidR="00AF5D5E" w:rsidRDefault="00AF5D5E" w:rsidP="00705C48">
      <w:pPr>
        <w:pStyle w:val="BodyText"/>
        <w:spacing w:before="80" w:after="80"/>
      </w:pPr>
      <w:r>
        <w:t>Further detail on the GMRG’s final recommendations can be found in the remainder of this report, which is structured as follows:</w:t>
      </w:r>
    </w:p>
    <w:p w14:paraId="4B8E37AD" w14:textId="77777777" w:rsidR="00AF5D5E" w:rsidRDefault="00AF5D5E" w:rsidP="00705C48">
      <w:pPr>
        <w:pStyle w:val="ListBullet"/>
        <w:spacing w:before="80" w:after="80"/>
      </w:pPr>
      <w:r w:rsidRPr="002C7228">
        <w:t xml:space="preserve">Chapter 2 </w:t>
      </w:r>
      <w:r>
        <w:t xml:space="preserve">provides </w:t>
      </w:r>
      <w:r w:rsidR="0057698C">
        <w:t xml:space="preserve">an overview of </w:t>
      </w:r>
      <w:r>
        <w:t>the capacity trading reform package</w:t>
      </w:r>
      <w:r w:rsidRPr="002C7228">
        <w:t>;</w:t>
      </w:r>
    </w:p>
    <w:p w14:paraId="29FACD01" w14:textId="77777777" w:rsidR="00AF5D5E" w:rsidRDefault="00AF5D5E" w:rsidP="00705C48">
      <w:pPr>
        <w:pStyle w:val="ListBullet"/>
        <w:spacing w:before="80" w:after="80"/>
      </w:pPr>
      <w:r>
        <w:t>Chapter 3 outlines the assessment framework the GMRG has used when developing its final recommendations;</w:t>
      </w:r>
    </w:p>
    <w:p w14:paraId="15975B16" w14:textId="77777777" w:rsidR="00FC333B" w:rsidRDefault="00FC333B" w:rsidP="00705C48">
      <w:pPr>
        <w:pStyle w:val="ListBullet"/>
        <w:spacing w:before="80" w:after="80"/>
      </w:pPr>
      <w:r>
        <w:t>Part A focuses on the standardisation related reforms, which are discussed in detail in:</w:t>
      </w:r>
    </w:p>
    <w:p w14:paraId="6A8E058D" w14:textId="77777777" w:rsidR="00FC333B" w:rsidRPr="002C7228" w:rsidRDefault="00FC333B" w:rsidP="00705C48">
      <w:pPr>
        <w:pStyle w:val="ListBullet2"/>
        <w:spacing w:before="80" w:after="80"/>
      </w:pPr>
      <w:r w:rsidRPr="002C7228">
        <w:t xml:space="preserve">Chapter </w:t>
      </w:r>
      <w:r w:rsidR="00F01112">
        <w:t>4</w:t>
      </w:r>
      <w:r>
        <w:t>, which</w:t>
      </w:r>
      <w:r w:rsidRPr="002C7228">
        <w:t xml:space="preserve"> </w:t>
      </w:r>
      <w:r>
        <w:t>focuses on the contract standardisation reforms; and</w:t>
      </w:r>
    </w:p>
    <w:p w14:paraId="6577D2A7" w14:textId="77777777" w:rsidR="00FC333B" w:rsidRDefault="00FC333B" w:rsidP="00705C48">
      <w:pPr>
        <w:pStyle w:val="ListBullet2"/>
        <w:spacing w:before="80" w:after="80"/>
      </w:pPr>
      <w:r w:rsidRPr="002C7228">
        <w:t xml:space="preserve">Chapter </w:t>
      </w:r>
      <w:r w:rsidR="00F01112">
        <w:t>5</w:t>
      </w:r>
      <w:r>
        <w:t>, which</w:t>
      </w:r>
      <w:r w:rsidRPr="002C7228">
        <w:t xml:space="preserve"> </w:t>
      </w:r>
      <w:r>
        <w:t xml:space="preserve">outlines </w:t>
      </w:r>
      <w:r w:rsidRPr="002C7228">
        <w:t xml:space="preserve">other measures that </w:t>
      </w:r>
      <w:r>
        <w:t>could be implemented to reduce the barriers to secondary capacity trading and participation in the day-ahead auction;</w:t>
      </w:r>
    </w:p>
    <w:p w14:paraId="40D9481B" w14:textId="77777777" w:rsidR="00FC333B" w:rsidRDefault="00FC333B" w:rsidP="00705C48">
      <w:pPr>
        <w:pStyle w:val="ListBullet"/>
        <w:spacing w:before="80" w:after="80"/>
      </w:pPr>
      <w:r>
        <w:t>Part B focuses on the capacity trading platform, which is discussed in detail in:</w:t>
      </w:r>
    </w:p>
    <w:p w14:paraId="6AAFFBD0" w14:textId="77777777" w:rsidR="00FC333B" w:rsidRPr="006D73DB" w:rsidRDefault="00FC333B" w:rsidP="00705C48">
      <w:pPr>
        <w:pStyle w:val="ListBullet2"/>
        <w:spacing w:before="80" w:after="80"/>
      </w:pPr>
      <w:r w:rsidRPr="006D73DB">
        <w:t xml:space="preserve">Chapter </w:t>
      </w:r>
      <w:r w:rsidR="00F01112">
        <w:t>6</w:t>
      </w:r>
      <w:r w:rsidRPr="006D73DB">
        <w:t>-</w:t>
      </w:r>
      <w:r w:rsidR="00F01112">
        <w:t>9</w:t>
      </w:r>
      <w:r w:rsidRPr="006D73DB">
        <w:t>, which focuses on key elements of the exchange component of the capacity trading platform</w:t>
      </w:r>
      <w:r>
        <w:t xml:space="preserve">, including the </w:t>
      </w:r>
      <w:r w:rsidR="00140CEC">
        <w:t xml:space="preserve">initial set of </w:t>
      </w:r>
      <w:r>
        <w:t>products to be sold</w:t>
      </w:r>
      <w:r w:rsidR="00140CEC">
        <w:t xml:space="preserve">, </w:t>
      </w:r>
      <w:r>
        <w:t>delivery, settlement</w:t>
      </w:r>
      <w:r w:rsidR="00140CEC">
        <w:t xml:space="preserve"> and</w:t>
      </w:r>
      <w:r>
        <w:t xml:space="preserve"> credit risk </w:t>
      </w:r>
      <w:r w:rsidR="00140CEC">
        <w:t>processes and other measures to manage delivery risk</w:t>
      </w:r>
      <w:r w:rsidRPr="006D73DB">
        <w:t xml:space="preserve">; </w:t>
      </w:r>
    </w:p>
    <w:p w14:paraId="7C5C49C1" w14:textId="77777777" w:rsidR="00FC333B" w:rsidRPr="006D73DB" w:rsidRDefault="00FC333B" w:rsidP="00705C48">
      <w:pPr>
        <w:pStyle w:val="ListBullet2"/>
        <w:spacing w:before="80" w:after="80"/>
      </w:pPr>
      <w:r w:rsidRPr="006D73DB">
        <w:t>Chapter 1</w:t>
      </w:r>
      <w:r w:rsidR="00F01112">
        <w:t>0</w:t>
      </w:r>
      <w:r w:rsidRPr="006D73DB">
        <w:t xml:space="preserve">, which </w:t>
      </w:r>
      <w:r>
        <w:t xml:space="preserve">focuses on the key elements of the </w:t>
      </w:r>
      <w:r w:rsidRPr="006D73DB">
        <w:t>listing service; and</w:t>
      </w:r>
    </w:p>
    <w:p w14:paraId="7B86603B" w14:textId="77777777" w:rsidR="00FC333B" w:rsidRPr="006D73DB" w:rsidRDefault="00FC333B" w:rsidP="00705C48">
      <w:pPr>
        <w:pStyle w:val="ListBullet2"/>
        <w:spacing w:before="80" w:after="80"/>
      </w:pPr>
      <w:r w:rsidRPr="006D73DB">
        <w:t>Chapter 1</w:t>
      </w:r>
      <w:r w:rsidR="00F01112">
        <w:t>1</w:t>
      </w:r>
      <w:r w:rsidRPr="006D73DB">
        <w:t xml:space="preserve">, which outlines the </w:t>
      </w:r>
      <w:r>
        <w:t xml:space="preserve">changes to the </w:t>
      </w:r>
      <w:r w:rsidRPr="006D73DB">
        <w:t xml:space="preserve">governance arrangements that are </w:t>
      </w:r>
      <w:r>
        <w:t xml:space="preserve">likely to be required </w:t>
      </w:r>
      <w:r w:rsidRPr="006D73DB">
        <w:t xml:space="preserve">to </w:t>
      </w:r>
      <w:r>
        <w:t xml:space="preserve">implement </w:t>
      </w:r>
      <w:r w:rsidRPr="006D73DB">
        <w:t>the capacity trading platform;</w:t>
      </w:r>
    </w:p>
    <w:p w14:paraId="6D269FA8" w14:textId="77777777" w:rsidR="00FC333B" w:rsidRDefault="00FC333B" w:rsidP="00705C48">
      <w:pPr>
        <w:pStyle w:val="ListBullet"/>
        <w:spacing w:before="80" w:after="80"/>
      </w:pPr>
      <w:r>
        <w:t>Part C focuses on the reporting framework for secondary capacity trades, which is discussed in detail in:</w:t>
      </w:r>
    </w:p>
    <w:p w14:paraId="7DC7E358" w14:textId="77777777" w:rsidR="00FC333B" w:rsidRPr="006D73DB" w:rsidRDefault="00FC333B" w:rsidP="00705C48">
      <w:pPr>
        <w:pStyle w:val="ListBullet2"/>
        <w:spacing w:before="80" w:after="80"/>
      </w:pPr>
      <w:r w:rsidRPr="006D73DB">
        <w:t xml:space="preserve">Chapter </w:t>
      </w:r>
      <w:r>
        <w:t>1</w:t>
      </w:r>
      <w:r w:rsidR="00F01112">
        <w:t>2</w:t>
      </w:r>
      <w:r w:rsidRPr="006D73DB">
        <w:t xml:space="preserve">, which </w:t>
      </w:r>
      <w:r>
        <w:t>focuses on the reporting requirements and timeframes</w:t>
      </w:r>
      <w:r w:rsidRPr="006D73DB">
        <w:t>;</w:t>
      </w:r>
      <w:r>
        <w:t xml:space="preserve"> and</w:t>
      </w:r>
    </w:p>
    <w:p w14:paraId="786995C9" w14:textId="77777777" w:rsidR="00FC333B" w:rsidRPr="006D73DB" w:rsidRDefault="00FC333B" w:rsidP="00705C48">
      <w:pPr>
        <w:pStyle w:val="ListBullet2"/>
        <w:spacing w:before="80" w:after="80"/>
      </w:pPr>
      <w:r w:rsidRPr="006D73DB">
        <w:t xml:space="preserve">Chapter </w:t>
      </w:r>
      <w:r>
        <w:t>1</w:t>
      </w:r>
      <w:r w:rsidR="00F01112">
        <w:t>3</w:t>
      </w:r>
      <w:r w:rsidRPr="006D73DB">
        <w:t xml:space="preserve">, which </w:t>
      </w:r>
      <w:r>
        <w:t xml:space="preserve">focuses on the governance arrangements </w:t>
      </w:r>
      <w:r w:rsidR="00140CEC">
        <w:t xml:space="preserve">required to underpin </w:t>
      </w:r>
      <w:r w:rsidR="00F85AC2">
        <w:t>the reporting framewor</w:t>
      </w:r>
      <w:r w:rsidR="00835527">
        <w:t>k.</w:t>
      </w:r>
      <w:r>
        <w:t xml:space="preserve"> </w:t>
      </w:r>
    </w:p>
    <w:p w14:paraId="05A432BD" w14:textId="77777777" w:rsidR="00AF5D5E" w:rsidRPr="00140CEC" w:rsidRDefault="00AF5D5E" w:rsidP="00705C48">
      <w:pPr>
        <w:pStyle w:val="ListBullet"/>
        <w:spacing w:before="80" w:after="80"/>
        <w:rPr>
          <w:sz w:val="2"/>
          <w:szCs w:val="2"/>
        </w:rPr>
      </w:pPr>
      <w:r>
        <w:t>Appendix A provides a summary of the AEMC’s recommendations</w:t>
      </w:r>
      <w:r w:rsidR="00183633">
        <w:t>, which were classified as required, preferred and suggested outcom</w:t>
      </w:r>
      <w:r w:rsidR="00FF2136">
        <w:t>e</w:t>
      </w:r>
      <w:r w:rsidR="00183633">
        <w:t>s</w:t>
      </w:r>
      <w:r>
        <w:t>;</w:t>
      </w:r>
    </w:p>
    <w:p w14:paraId="073B33BC" w14:textId="77777777" w:rsidR="00140CEC" w:rsidRDefault="00140CEC" w:rsidP="00705C48">
      <w:pPr>
        <w:pStyle w:val="ListBullet"/>
        <w:spacing w:before="80" w:after="80"/>
      </w:pPr>
      <w:r>
        <w:t>Appendix B compares the GMRG’s final recommendations with the AEMC’s required, preferred and suggested outcomes</w:t>
      </w:r>
      <w:r w:rsidR="00705C48">
        <w:t>;</w:t>
      </w:r>
    </w:p>
    <w:p w14:paraId="053C7A2F" w14:textId="77777777" w:rsidR="00AF5D5E" w:rsidRDefault="00AF5D5E" w:rsidP="00705C48">
      <w:pPr>
        <w:pStyle w:val="ListBullet"/>
        <w:spacing w:before="80" w:after="80"/>
        <w:rPr>
          <w:sz w:val="2"/>
          <w:szCs w:val="2"/>
        </w:rPr>
      </w:pPr>
      <w:r>
        <w:t xml:space="preserve">Appendix </w:t>
      </w:r>
      <w:r w:rsidR="00140CEC">
        <w:t>C</w:t>
      </w:r>
      <w:r>
        <w:t xml:space="preserve"> sets out the members of the project teams and Advisory Panel; </w:t>
      </w:r>
    </w:p>
    <w:p w14:paraId="7C280A1A" w14:textId="77777777" w:rsidR="00AF5D5E" w:rsidRDefault="00AF5D5E" w:rsidP="00705C48">
      <w:pPr>
        <w:pStyle w:val="ListBullet"/>
        <w:spacing w:before="80" w:after="80"/>
      </w:pPr>
      <w:r>
        <w:lastRenderedPageBreak/>
        <w:t xml:space="preserve">Appendix </w:t>
      </w:r>
      <w:r w:rsidR="00140CEC">
        <w:t>D</w:t>
      </w:r>
      <w:r>
        <w:t xml:space="preserve"> provides an overview of the services offered by pipelines</w:t>
      </w:r>
      <w:r w:rsidR="00705C48">
        <w:t xml:space="preserve">; </w:t>
      </w:r>
      <w:r w:rsidR="00EA2835">
        <w:t>and</w:t>
      </w:r>
    </w:p>
    <w:p w14:paraId="27188E05" w14:textId="77777777" w:rsidR="0057698C" w:rsidRDefault="0057698C" w:rsidP="00705C48">
      <w:pPr>
        <w:pStyle w:val="ListBullet"/>
        <w:spacing w:before="80" w:after="80"/>
      </w:pPr>
      <w:r>
        <w:t xml:space="preserve">Appendix </w:t>
      </w:r>
      <w:r w:rsidR="00EA2835">
        <w:t>E</w:t>
      </w:r>
      <w:r>
        <w:t xml:space="preserve"> provides an overview of the GSH.</w:t>
      </w:r>
    </w:p>
    <w:p w14:paraId="740D11FB" w14:textId="77777777" w:rsidR="00911EAF" w:rsidRPr="0088374E" w:rsidRDefault="00911EAF" w:rsidP="0088374E">
      <w:pPr>
        <w:pStyle w:val="ListBullet"/>
        <w:rPr>
          <w:sz w:val="2"/>
          <w:szCs w:val="2"/>
        </w:rPr>
      </w:pPr>
      <w:r w:rsidRPr="0088374E">
        <w:rPr>
          <w:sz w:val="2"/>
          <w:szCs w:val="2"/>
        </w:rPr>
        <w:br w:type="page"/>
      </w:r>
    </w:p>
    <w:p w14:paraId="3477C4EB" w14:textId="77777777" w:rsidR="00F23E45" w:rsidRDefault="00CD3A85" w:rsidP="00A86288">
      <w:pPr>
        <w:pStyle w:val="Heading1"/>
        <w:spacing w:before="0" w:after="80"/>
      </w:pPr>
      <w:bookmarkStart w:id="48" w:name="_Toc499542642"/>
      <w:bookmarkStart w:id="49" w:name="_Hlk487650137"/>
      <w:r>
        <w:lastRenderedPageBreak/>
        <w:t xml:space="preserve">Overview of the </w:t>
      </w:r>
      <w:r w:rsidR="00CD59B9">
        <w:t>C</w:t>
      </w:r>
      <w:r w:rsidR="00D73D6E">
        <w:t xml:space="preserve">apacity </w:t>
      </w:r>
      <w:r w:rsidR="00CD59B9">
        <w:t>T</w:t>
      </w:r>
      <w:r w:rsidR="00D73D6E">
        <w:t xml:space="preserve">rading </w:t>
      </w:r>
      <w:r w:rsidR="00CD59B9">
        <w:t>R</w:t>
      </w:r>
      <w:r w:rsidR="00D73D6E">
        <w:t xml:space="preserve">eform </w:t>
      </w:r>
      <w:r w:rsidR="00CD59B9">
        <w:t>P</w:t>
      </w:r>
      <w:r w:rsidR="00D73D6E">
        <w:t>ackage</w:t>
      </w:r>
      <w:bookmarkEnd w:id="48"/>
    </w:p>
    <w:bookmarkEnd w:id="49"/>
    <w:p w14:paraId="71CA333A" w14:textId="77777777" w:rsidR="001E27B6" w:rsidRPr="00344A4A" w:rsidRDefault="001E27B6" w:rsidP="00AE2F1D">
      <w:pPr>
        <w:pStyle w:val="BodyText"/>
        <w:spacing w:before="120"/>
      </w:pPr>
      <w:r w:rsidRPr="00344A4A">
        <w:t xml:space="preserve">The capacity trading reform package was </w:t>
      </w:r>
      <w:r>
        <w:t xml:space="preserve">recommended </w:t>
      </w:r>
      <w:r w:rsidRPr="00344A4A">
        <w:t xml:space="preserve">by the AEMC </w:t>
      </w:r>
      <w:r>
        <w:t xml:space="preserve">in the </w:t>
      </w:r>
      <w:r w:rsidRPr="005E3347">
        <w:rPr>
          <w:i/>
        </w:rPr>
        <w:t>East Coast Review</w:t>
      </w:r>
      <w:r w:rsidRPr="00344A4A">
        <w:t xml:space="preserve"> and endorsed by the Energy Council at its 14 August 2016 meeting. </w:t>
      </w:r>
      <w:r>
        <w:t>T</w:t>
      </w:r>
      <w:r w:rsidRPr="00344A4A">
        <w:t xml:space="preserve">he objective of </w:t>
      </w:r>
      <w:r>
        <w:t>this reform package</w:t>
      </w:r>
      <w:r w:rsidRPr="00344A4A">
        <w:t xml:space="preserve"> is</w:t>
      </w:r>
      <w:r>
        <w:t>, as noted in Chapter 1,</w:t>
      </w:r>
      <w:r w:rsidRPr="00344A4A">
        <w:t xml:space="preserve"> to improve the efficiency with which transportation capacity is allocated and utilised </w:t>
      </w:r>
      <w:r w:rsidR="0057698C">
        <w:t xml:space="preserve">under the </w:t>
      </w:r>
      <w:r w:rsidRPr="00344A4A">
        <w:t xml:space="preserve">contract carriage </w:t>
      </w:r>
      <w:r w:rsidR="0057698C">
        <w:t xml:space="preserve">model </w:t>
      </w:r>
      <w:r w:rsidRPr="00344A4A">
        <w:t>and to foster the development of a more liquid market for secondary capacity.</w:t>
      </w:r>
      <w:r w:rsidRPr="00344A4A">
        <w:rPr>
          <w:rStyle w:val="FootnoteReference"/>
          <w:rFonts w:eastAsiaTheme="majorEastAsia" w:cs="Arial"/>
        </w:rPr>
        <w:footnoteReference w:id="14"/>
      </w:r>
      <w:r>
        <w:t xml:space="preserve"> </w:t>
      </w:r>
      <w:r w:rsidRPr="00344A4A">
        <w:t xml:space="preserve">The remainder of this chapter provides further detail on: </w:t>
      </w:r>
    </w:p>
    <w:p w14:paraId="751C1953" w14:textId="77777777" w:rsidR="001E27B6" w:rsidRDefault="001E27B6" w:rsidP="00AE2F1D">
      <w:pPr>
        <w:pStyle w:val="ListBullet"/>
      </w:pPr>
      <w:r w:rsidRPr="00344A4A">
        <w:t xml:space="preserve">the key elements of the </w:t>
      </w:r>
      <w:r>
        <w:t xml:space="preserve">capacity trading </w:t>
      </w:r>
      <w:r w:rsidRPr="00344A4A">
        <w:t>reform package;</w:t>
      </w:r>
      <w:r w:rsidR="00AE2F1D">
        <w:t xml:space="preserve"> and</w:t>
      </w:r>
    </w:p>
    <w:p w14:paraId="52047CAA" w14:textId="77777777" w:rsidR="001E27B6" w:rsidRDefault="001E27B6" w:rsidP="00AE2F1D">
      <w:pPr>
        <w:pStyle w:val="ListBullet"/>
      </w:pPr>
      <w:proofErr w:type="gramStart"/>
      <w:r>
        <w:t>how</w:t>
      </w:r>
      <w:proofErr w:type="gramEnd"/>
      <w:r>
        <w:t xml:space="preserve"> capacity can be procured under the new capacity trading framework</w:t>
      </w:r>
      <w:r w:rsidR="00F1710A">
        <w:t>.</w:t>
      </w:r>
    </w:p>
    <w:p w14:paraId="112F54CF" w14:textId="77777777" w:rsidR="001E27B6" w:rsidRDefault="001E27B6" w:rsidP="00AE2F1D">
      <w:pPr>
        <w:pStyle w:val="Heading2"/>
        <w:spacing w:before="240"/>
      </w:pPr>
      <w:bookmarkStart w:id="50" w:name="_Toc495351625"/>
      <w:bookmarkStart w:id="51" w:name="_Toc499542643"/>
      <w:r>
        <w:t>Key elements of the reform package</w:t>
      </w:r>
      <w:bookmarkEnd w:id="50"/>
      <w:bookmarkEnd w:id="51"/>
    </w:p>
    <w:p w14:paraId="5FD554E0" w14:textId="77777777" w:rsidR="001E27B6" w:rsidRPr="00DB66D2" w:rsidRDefault="001E27B6" w:rsidP="00AE2F1D">
      <w:pPr>
        <w:pStyle w:val="BodyText"/>
        <w:spacing w:before="120"/>
      </w:pPr>
      <w:r w:rsidRPr="00DB66D2">
        <w:t xml:space="preserve">The capacity trading reform package </w:t>
      </w:r>
      <w:r>
        <w:t xml:space="preserve">(see </w:t>
      </w:r>
      <w:r>
        <w:fldChar w:fldCharType="begin"/>
      </w:r>
      <w:r>
        <w:instrText xml:space="preserve"> REF _Ref489529866 \h </w:instrText>
      </w:r>
      <w:r>
        <w:fldChar w:fldCharType="separate"/>
      </w:r>
      <w:r w:rsidR="00761861">
        <w:t xml:space="preserve">Figure </w:t>
      </w:r>
      <w:r w:rsidR="00761861">
        <w:rPr>
          <w:noProof/>
        </w:rPr>
        <w:t>2</w:t>
      </w:r>
      <w:r w:rsidR="00761861">
        <w:t>.</w:t>
      </w:r>
      <w:r w:rsidR="00761861">
        <w:rPr>
          <w:noProof/>
        </w:rPr>
        <w:t>1</w:t>
      </w:r>
      <w:r>
        <w:fldChar w:fldCharType="end"/>
      </w:r>
      <w:r>
        <w:t xml:space="preserve">) </w:t>
      </w:r>
      <w:r w:rsidRPr="00DB66D2">
        <w:t>provides for the introduction of:</w:t>
      </w:r>
    </w:p>
    <w:p w14:paraId="162600C0" w14:textId="77777777" w:rsidR="001E27B6" w:rsidRPr="00DB66D2" w:rsidRDefault="001E27B6" w:rsidP="00AE2F1D">
      <w:pPr>
        <w:pStyle w:val="ListBullet"/>
        <w:spacing w:before="60" w:after="60"/>
        <w:rPr>
          <w:rFonts w:cs="Arial"/>
        </w:rPr>
      </w:pPr>
      <w:r>
        <w:rPr>
          <w:rFonts w:cs="Arial"/>
          <w:b/>
        </w:rPr>
        <w:t xml:space="preserve">A </w:t>
      </w:r>
      <w:r w:rsidRPr="00450324">
        <w:rPr>
          <w:rFonts w:cs="Arial"/>
          <w:b/>
        </w:rPr>
        <w:t>capacity trading platform</w:t>
      </w:r>
      <w:r w:rsidRPr="00DB66D2">
        <w:rPr>
          <w:rFonts w:cs="Arial"/>
        </w:rPr>
        <w:t xml:space="preserve"> that shippers can use to trade secondary transportation capacity </w:t>
      </w:r>
      <w:r>
        <w:rPr>
          <w:rFonts w:cs="Arial"/>
        </w:rPr>
        <w:t xml:space="preserve">prior to </w:t>
      </w:r>
      <w:r w:rsidRPr="00DB66D2">
        <w:rPr>
          <w:rFonts w:cs="Arial"/>
        </w:rPr>
        <w:t xml:space="preserve">the nomination cut-off time </w:t>
      </w:r>
      <w:r>
        <w:rPr>
          <w:rFonts w:cs="Arial"/>
        </w:rPr>
        <w:t>on gas day D-1 (i.e. the day before the gas is due to be transported), which will consist of both</w:t>
      </w:r>
      <w:r w:rsidRPr="00DB66D2">
        <w:rPr>
          <w:rFonts w:cs="Arial"/>
        </w:rPr>
        <w:t xml:space="preserve">: </w:t>
      </w:r>
    </w:p>
    <w:p w14:paraId="4AF78464" w14:textId="77777777" w:rsidR="001E27B6" w:rsidRPr="00C06892" w:rsidRDefault="001E27B6" w:rsidP="00AE2F1D">
      <w:pPr>
        <w:pStyle w:val="ListBullet2"/>
        <w:spacing w:before="60" w:after="60"/>
      </w:pPr>
      <w:r w:rsidRPr="00DB66D2">
        <w:t>an anonymous exchange mechanism that shippers can use to buy or sell com</w:t>
      </w:r>
      <w:r w:rsidRPr="00C06892">
        <w:t xml:space="preserve">monly traded transportation products, such as firm forward haul services, stand-alone compression services and pipeline storage </w:t>
      </w:r>
      <w:r>
        <w:t xml:space="preserve">(park) </w:t>
      </w:r>
      <w:r w:rsidRPr="00C06892">
        <w:t xml:space="preserve">services; and </w:t>
      </w:r>
    </w:p>
    <w:p w14:paraId="149EC47A" w14:textId="77777777" w:rsidR="001E27B6" w:rsidRPr="00C06892" w:rsidRDefault="001E27B6" w:rsidP="00AE2F1D">
      <w:pPr>
        <w:pStyle w:val="ListBullet2"/>
        <w:spacing w:before="60" w:after="60"/>
      </w:pPr>
      <w:proofErr w:type="gramStart"/>
      <w:r w:rsidRPr="00C06892">
        <w:t>a</w:t>
      </w:r>
      <w:proofErr w:type="gramEnd"/>
      <w:r w:rsidRPr="00C06892">
        <w:t xml:space="preserve"> listing service that shippers can use to buy or sell more bespoke products. </w:t>
      </w:r>
    </w:p>
    <w:p w14:paraId="29E42F20" w14:textId="77777777" w:rsidR="001E27B6" w:rsidRPr="00C06892" w:rsidRDefault="001E27B6" w:rsidP="00AE2F1D">
      <w:pPr>
        <w:pStyle w:val="ListBullet"/>
        <w:numPr>
          <w:ilvl w:val="0"/>
          <w:numId w:val="0"/>
        </w:numPr>
        <w:ind w:left="357"/>
        <w:rPr>
          <w:rFonts w:cs="Arial"/>
        </w:rPr>
      </w:pPr>
      <w:r w:rsidRPr="00C06892">
        <w:rPr>
          <w:rFonts w:cs="Arial"/>
        </w:rPr>
        <w:t>The trading platform</w:t>
      </w:r>
      <w:r>
        <w:rPr>
          <w:rFonts w:cs="Arial"/>
        </w:rPr>
        <w:t>, which will be operated and administered by AEMO and form part of the GSH trading exchange,</w:t>
      </w:r>
      <w:r w:rsidRPr="00C06892">
        <w:rPr>
          <w:rFonts w:cs="Arial"/>
        </w:rPr>
        <w:t xml:space="preserve"> is intended to reduce the search and transaction costs that shippers may otherwise face when trying to trade secondary capacity. </w:t>
      </w:r>
    </w:p>
    <w:p w14:paraId="31F097F2" w14:textId="77777777" w:rsidR="001E27B6" w:rsidRPr="00C06892" w:rsidRDefault="001E27B6" w:rsidP="00AE2F1D">
      <w:pPr>
        <w:pStyle w:val="ListBullet"/>
        <w:spacing w:before="60" w:after="60"/>
        <w:rPr>
          <w:rFonts w:cs="Arial"/>
        </w:rPr>
      </w:pPr>
      <w:r>
        <w:rPr>
          <w:rFonts w:cs="Arial"/>
          <w:b/>
        </w:rPr>
        <w:t>A</w:t>
      </w:r>
      <w:r w:rsidRPr="00450324">
        <w:rPr>
          <w:rFonts w:cs="Arial"/>
          <w:b/>
        </w:rPr>
        <w:t xml:space="preserve"> day-ahead auction of contracted but un-nominated transportation capacity</w:t>
      </w:r>
      <w:r w:rsidRPr="00C06892">
        <w:rPr>
          <w:rFonts w:cs="Arial"/>
        </w:rPr>
        <w:t xml:space="preserve"> that will be conducted on designated pipelines shortly after nomination cut-off </w:t>
      </w:r>
      <w:r>
        <w:rPr>
          <w:rFonts w:cs="Arial"/>
        </w:rPr>
        <w:t xml:space="preserve">on gas day D-1 </w:t>
      </w:r>
      <w:r w:rsidRPr="00C06892">
        <w:rPr>
          <w:rFonts w:cs="Arial"/>
        </w:rPr>
        <w:t>and subject to a reserve price of zero (with compressor fuel provided in-kind by shippers).</w:t>
      </w:r>
      <w:r>
        <w:rPr>
          <w:rFonts w:cs="Arial"/>
        </w:rPr>
        <w:t xml:space="preserve"> </w:t>
      </w:r>
      <w:r w:rsidRPr="00C06892">
        <w:t>The objective of the day-ahead auction is</w:t>
      </w:r>
      <w:r>
        <w:t xml:space="preserve">, as the AEMC noted, </w:t>
      </w:r>
      <w:r w:rsidRPr="00C06892">
        <w:t>to:</w:t>
      </w:r>
      <w:r w:rsidRPr="00C06892">
        <w:rPr>
          <w:rStyle w:val="FootnoteReference"/>
        </w:rPr>
        <w:footnoteReference w:id="15"/>
      </w:r>
      <w:r w:rsidRPr="00C06892">
        <w:t xml:space="preserve"> </w:t>
      </w:r>
    </w:p>
    <w:p w14:paraId="7601F707" w14:textId="77777777" w:rsidR="001E27B6" w:rsidRPr="00C06892" w:rsidRDefault="001E27B6" w:rsidP="00AE2F1D">
      <w:pPr>
        <w:pStyle w:val="ListBullet2"/>
        <w:spacing w:before="60" w:after="60"/>
        <w:rPr>
          <w:rFonts w:cs="Arial"/>
        </w:rPr>
      </w:pPr>
      <w:r w:rsidRPr="00C06892">
        <w:t xml:space="preserve">encourage capacity holders to sell any spare capacity they may have on the trading platform prior to the nomination cut-off time by </w:t>
      </w:r>
      <w:r>
        <w:t xml:space="preserve">providing for service providers </w:t>
      </w:r>
      <w:r w:rsidRPr="00C06892">
        <w:t>to retain the auction proceeds; and</w:t>
      </w:r>
    </w:p>
    <w:p w14:paraId="446EB8C2" w14:textId="77777777" w:rsidR="001E27B6" w:rsidRPr="00F030AF" w:rsidRDefault="001E27B6" w:rsidP="00AE2F1D">
      <w:pPr>
        <w:pStyle w:val="ListBullet2"/>
        <w:spacing w:before="60" w:after="60"/>
        <w:rPr>
          <w:rFonts w:cs="Arial"/>
        </w:rPr>
      </w:pPr>
      <w:proofErr w:type="gramStart"/>
      <w:r w:rsidRPr="00C06892">
        <w:t>pose</w:t>
      </w:r>
      <w:proofErr w:type="gramEnd"/>
      <w:r w:rsidRPr="00C06892">
        <w:t xml:space="preserve"> a constraint on the ability of </w:t>
      </w:r>
      <w:r>
        <w:t xml:space="preserve">service providers </w:t>
      </w:r>
      <w:r w:rsidRPr="00C06892">
        <w:t xml:space="preserve">to sell day-ahead capacity at prices in excess of what would </w:t>
      </w:r>
      <w:r>
        <w:t xml:space="preserve">prevail </w:t>
      </w:r>
      <w:r w:rsidRPr="00C06892">
        <w:t xml:space="preserve">in a workably competitive market by adopting a zero reserve price and allowing the market </w:t>
      </w:r>
      <w:r>
        <w:t xml:space="preserve">to </w:t>
      </w:r>
      <w:r w:rsidRPr="00C06892">
        <w:t xml:space="preserve">determine the value. </w:t>
      </w:r>
    </w:p>
    <w:p w14:paraId="66B2D5FF" w14:textId="77777777" w:rsidR="001E27B6" w:rsidRDefault="001E27B6" w:rsidP="00AE2F1D">
      <w:pPr>
        <w:pStyle w:val="ListBullet2"/>
        <w:numPr>
          <w:ilvl w:val="0"/>
          <w:numId w:val="0"/>
        </w:numPr>
        <w:ind w:left="357"/>
      </w:pPr>
      <w:r>
        <w:t xml:space="preserve">The day-ahead auction will be operated and administered by AEMO. </w:t>
      </w:r>
    </w:p>
    <w:p w14:paraId="75C88A93" w14:textId="77777777" w:rsidR="001E27B6" w:rsidRPr="00C06892" w:rsidRDefault="001E27B6" w:rsidP="00AE2F1D">
      <w:pPr>
        <w:pStyle w:val="BodyText"/>
      </w:pPr>
      <w:r>
        <w:t>T</w:t>
      </w:r>
      <w:r w:rsidRPr="00C06892">
        <w:t xml:space="preserve">he reform package also provides for the </w:t>
      </w:r>
      <w:r>
        <w:t xml:space="preserve">implementation </w:t>
      </w:r>
      <w:r w:rsidRPr="00C06892">
        <w:t>of:</w:t>
      </w:r>
    </w:p>
    <w:p w14:paraId="29791BAB" w14:textId="77777777" w:rsidR="001E27B6" w:rsidRDefault="001E27B6" w:rsidP="00AE2F1D">
      <w:pPr>
        <w:pStyle w:val="ListBullet"/>
        <w:spacing w:before="60" w:after="60"/>
      </w:pPr>
      <w:r>
        <w:t>a range of standardisation related reforms, which are intended to facilitate a greater level of secondary capacity trading</w:t>
      </w:r>
      <w:r w:rsidRPr="00C06892">
        <w:t>; and</w:t>
      </w:r>
    </w:p>
    <w:p w14:paraId="2627491D" w14:textId="77777777" w:rsidR="001E27B6" w:rsidRPr="006E4AD4" w:rsidRDefault="001E27B6" w:rsidP="00AE2F1D">
      <w:pPr>
        <w:pStyle w:val="ListBullet"/>
        <w:spacing w:before="60" w:after="0"/>
      </w:pPr>
      <w:proofErr w:type="gramStart"/>
      <w:r w:rsidRPr="006E4AD4">
        <w:t>a</w:t>
      </w:r>
      <w:proofErr w:type="gramEnd"/>
      <w:r w:rsidRPr="006E4AD4">
        <w:t xml:space="preserve"> reporting framework for secondary capacity trades, which is intended to reduce information asymmetries and aid the price discovery process.</w:t>
      </w:r>
    </w:p>
    <w:p w14:paraId="4C2C96C8" w14:textId="77777777" w:rsidR="001E27B6" w:rsidRDefault="001E27B6" w:rsidP="00AE2F1D">
      <w:pPr>
        <w:pStyle w:val="ListBullet2"/>
        <w:numPr>
          <w:ilvl w:val="0"/>
          <w:numId w:val="0"/>
        </w:numPr>
        <w:spacing w:after="0"/>
        <w:ind w:left="357"/>
        <w:rPr>
          <w:highlight w:val="yellow"/>
        </w:rPr>
        <w:sectPr w:rsidR="001E27B6" w:rsidSect="00CF1252">
          <w:headerReference w:type="even" r:id="rId45"/>
          <w:headerReference w:type="default" r:id="rId46"/>
          <w:footerReference w:type="default" r:id="rId47"/>
          <w:headerReference w:type="first" r:id="rId48"/>
          <w:pgSz w:w="11907" w:h="16840" w:code="9"/>
          <w:pgMar w:top="714" w:right="1418" w:bottom="992" w:left="1701" w:header="425" w:footer="397" w:gutter="0"/>
          <w:cols w:space="708"/>
          <w:docGrid w:linePitch="360"/>
        </w:sectPr>
      </w:pPr>
    </w:p>
    <w:p w14:paraId="65A147CD" w14:textId="77777777" w:rsidR="001E27B6" w:rsidRDefault="001E27B6" w:rsidP="001E27B6">
      <w:pPr>
        <w:pStyle w:val="Caption"/>
        <w:spacing w:before="0" w:after="0"/>
        <w:ind w:left="851"/>
        <w:rPr>
          <w:noProof/>
        </w:rPr>
      </w:pPr>
      <w:bookmarkStart w:id="52" w:name="_Ref489529866"/>
      <w:r>
        <w:lastRenderedPageBreak/>
        <w:t xml:space="preserve">Figure </w:t>
      </w:r>
      <w:r w:rsidR="00983431">
        <w:fldChar w:fldCharType="begin"/>
      </w:r>
      <w:r w:rsidR="00983431">
        <w:instrText xml:space="preserve"> STYLEREF 1 \s </w:instrText>
      </w:r>
      <w:r w:rsidR="00983431">
        <w:fldChar w:fldCharType="separate"/>
      </w:r>
      <w:r w:rsidR="00761861">
        <w:rPr>
          <w:noProof/>
        </w:rPr>
        <w:t>2</w:t>
      </w:r>
      <w:r w:rsidR="00983431">
        <w:rPr>
          <w:noProof/>
        </w:rPr>
        <w:fldChar w:fldCharType="end"/>
      </w:r>
      <w:r w:rsidR="003C673F">
        <w:t>.</w:t>
      </w:r>
      <w:r w:rsidR="00983431">
        <w:fldChar w:fldCharType="begin"/>
      </w:r>
      <w:r w:rsidR="00983431">
        <w:instrText xml:space="preserve"> SEQ Figure \* ARABIC \s 1 </w:instrText>
      </w:r>
      <w:r w:rsidR="00983431">
        <w:fldChar w:fldCharType="separate"/>
      </w:r>
      <w:r w:rsidR="00761861">
        <w:rPr>
          <w:noProof/>
        </w:rPr>
        <w:t>1</w:t>
      </w:r>
      <w:r w:rsidR="00983431">
        <w:rPr>
          <w:noProof/>
        </w:rPr>
        <w:fldChar w:fldCharType="end"/>
      </w:r>
      <w:bookmarkEnd w:id="52"/>
      <w:r>
        <w:t>: Capacity trading reform package</w:t>
      </w:r>
    </w:p>
    <w:p w14:paraId="774C78CF" w14:textId="77777777" w:rsidR="001E27B6" w:rsidRDefault="001E27B6" w:rsidP="001E27B6">
      <w:pPr>
        <w:pStyle w:val="BodyText"/>
        <w:spacing w:before="0" w:after="0" w:line="240" w:lineRule="auto"/>
      </w:pPr>
      <w:r>
        <w:rPr>
          <w:noProof/>
        </w:rPr>
        <w:drawing>
          <wp:inline distT="0" distB="0" distL="0" distR="0" wp14:anchorId="523F39BE" wp14:editId="5E9712F3">
            <wp:extent cx="8629650" cy="5044871"/>
            <wp:effectExtent l="0" t="0" r="0" b="3810"/>
            <wp:docPr id="4" name="Picture 4" descr="Capacity trading reform package" title="Fig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8634626" cy="5047780"/>
                    </a:xfrm>
                    <a:prstGeom prst="rect">
                      <a:avLst/>
                    </a:prstGeom>
                    <a:noFill/>
                  </pic:spPr>
                </pic:pic>
              </a:graphicData>
            </a:graphic>
          </wp:inline>
        </w:drawing>
      </w:r>
    </w:p>
    <w:p w14:paraId="4BC38845" w14:textId="77777777" w:rsidR="001E27B6" w:rsidRPr="003917DE" w:rsidRDefault="001E27B6" w:rsidP="001E27B6">
      <w:pPr>
        <w:pStyle w:val="BodyText"/>
        <w:spacing w:before="0" w:after="0" w:line="240" w:lineRule="auto"/>
        <w:sectPr w:rsidR="001E27B6" w:rsidRPr="003917DE" w:rsidSect="00CF1252">
          <w:pgSz w:w="16839" w:h="11907" w:orient="landscape" w:code="9"/>
          <w:pgMar w:top="1361" w:right="1417" w:bottom="851" w:left="2268" w:header="567" w:footer="397" w:gutter="0"/>
          <w:cols w:space="708"/>
          <w:docGrid w:linePitch="360"/>
        </w:sectPr>
      </w:pPr>
    </w:p>
    <w:p w14:paraId="274FAEA3" w14:textId="77777777" w:rsidR="001E27B6" w:rsidRDefault="001E27B6" w:rsidP="00145D10">
      <w:pPr>
        <w:pStyle w:val="Heading2"/>
        <w:spacing w:before="0"/>
      </w:pPr>
      <w:bookmarkStart w:id="53" w:name="Here"/>
      <w:bookmarkStart w:id="54" w:name="_Ref494815256"/>
      <w:bookmarkStart w:id="55" w:name="_Ref494815269"/>
      <w:bookmarkStart w:id="56" w:name="_Toc495351626"/>
      <w:bookmarkStart w:id="57" w:name="_Toc499542644"/>
      <w:bookmarkEnd w:id="53"/>
      <w:r>
        <w:lastRenderedPageBreak/>
        <w:t>How secondary capacity can be procured under the new framework</w:t>
      </w:r>
      <w:bookmarkEnd w:id="54"/>
      <w:bookmarkEnd w:id="55"/>
      <w:bookmarkEnd w:id="56"/>
      <w:bookmarkEnd w:id="57"/>
    </w:p>
    <w:p w14:paraId="36EB6873" w14:textId="77777777" w:rsidR="001E27B6" w:rsidRDefault="00AE2F1D" w:rsidP="001E27B6">
      <w:pPr>
        <w:pStyle w:val="BodyText"/>
      </w:pPr>
      <w:r>
        <w:t xml:space="preserve">Under the </w:t>
      </w:r>
      <w:r w:rsidR="0084789B">
        <w:t xml:space="preserve">capacity trading reform package, </w:t>
      </w:r>
      <w:r w:rsidR="001E27B6">
        <w:t>shippers that want to buy or sell secondary capacity will be able to have recourse to either:</w:t>
      </w:r>
      <w:r w:rsidR="001E27B6">
        <w:rPr>
          <w:rStyle w:val="FootnoteReference"/>
        </w:rPr>
        <w:footnoteReference w:id="16"/>
      </w:r>
      <w:r w:rsidR="001E27B6">
        <w:t xml:space="preserve"> </w:t>
      </w:r>
    </w:p>
    <w:p w14:paraId="0012D754" w14:textId="77777777" w:rsidR="001E27B6" w:rsidRDefault="001E27B6" w:rsidP="001E27B6">
      <w:pPr>
        <w:pStyle w:val="ListBullet"/>
      </w:pPr>
      <w:r w:rsidRPr="00F5362D">
        <w:rPr>
          <w:b/>
        </w:rPr>
        <w:t>the exchange component of the GSH</w:t>
      </w:r>
      <w:r w:rsidR="00D604A6">
        <w:rPr>
          <w:b/>
        </w:rPr>
        <w:t xml:space="preserve"> </w:t>
      </w:r>
      <w:r>
        <w:t>– the exchange will be used to facilitate the trade of standardised transportation products (e.g. day-ahead, daily, weekly</w:t>
      </w:r>
      <w:r w:rsidR="001F0748">
        <w:t xml:space="preserve"> and</w:t>
      </w:r>
      <w:r>
        <w:t xml:space="preserve"> monthly firm forward haul, compression and park products) through either screen trading or the pre-matched trade service;</w:t>
      </w:r>
      <w:r w:rsidRPr="00ED6275">
        <w:rPr>
          <w:rStyle w:val="FootnoteReference"/>
        </w:rPr>
        <w:t xml:space="preserve"> </w:t>
      </w:r>
      <w:r>
        <w:rPr>
          <w:rStyle w:val="FootnoteReference"/>
        </w:rPr>
        <w:footnoteReference w:id="17"/>
      </w:r>
      <w:r>
        <w:t xml:space="preserve"> or </w:t>
      </w:r>
    </w:p>
    <w:p w14:paraId="6DDB52EE" w14:textId="77777777" w:rsidR="001E27B6" w:rsidRDefault="001E27B6" w:rsidP="001E27B6">
      <w:pPr>
        <w:pStyle w:val="ListBullet"/>
      </w:pPr>
      <w:proofErr w:type="gramStart"/>
      <w:r w:rsidRPr="00F5362D">
        <w:rPr>
          <w:b/>
        </w:rPr>
        <w:t>the</w:t>
      </w:r>
      <w:proofErr w:type="gramEnd"/>
      <w:r w:rsidRPr="00F5362D">
        <w:rPr>
          <w:b/>
        </w:rPr>
        <w:t xml:space="preserve"> listing service component of the GSH</w:t>
      </w:r>
      <w:r>
        <w:rPr>
          <w:b/>
        </w:rPr>
        <w:t xml:space="preserve"> </w:t>
      </w:r>
      <w:r>
        <w:t xml:space="preserve">– the listing service will be used to facilitate the trade of more bespoke transportation products through bilateral (off-market) trades. </w:t>
      </w:r>
    </w:p>
    <w:p w14:paraId="1209751E" w14:textId="77777777" w:rsidR="001E27B6" w:rsidRDefault="001E27B6" w:rsidP="001E27B6">
      <w:pPr>
        <w:pStyle w:val="BodyText"/>
      </w:pPr>
      <w:r>
        <w:t xml:space="preserve">Shippers may also be able to procure day-ahead standardised capacity products through the auction on those pipelines and other facilities that will be subject to the auction if there is any contracted but un-nominated capacity available. </w:t>
      </w:r>
    </w:p>
    <w:p w14:paraId="0FDEBC5E" w14:textId="77777777" w:rsidR="00D604A6" w:rsidRDefault="001E27B6" w:rsidP="00D604A6">
      <w:pPr>
        <w:pStyle w:val="BodyText"/>
      </w:pPr>
      <w:r>
        <w:t>The way in which secondary capacity will be released through these mechanisms is depicted in</w:t>
      </w:r>
      <w:r w:rsidR="00D604A6">
        <w:t xml:space="preserve"> </w:t>
      </w:r>
      <w:r w:rsidR="00D604A6">
        <w:fldChar w:fldCharType="begin"/>
      </w:r>
      <w:r w:rsidR="00D604A6">
        <w:instrText xml:space="preserve"> REF _Ref497884859 \h </w:instrText>
      </w:r>
      <w:r w:rsidR="00D604A6">
        <w:fldChar w:fldCharType="separate"/>
      </w:r>
      <w:r w:rsidR="00761861">
        <w:t xml:space="preserve">Figure </w:t>
      </w:r>
      <w:r w:rsidR="00761861">
        <w:rPr>
          <w:noProof/>
        </w:rPr>
        <w:t>1</w:t>
      </w:r>
      <w:r w:rsidR="00761861">
        <w:t>.</w:t>
      </w:r>
      <w:r w:rsidR="00761861">
        <w:rPr>
          <w:noProof/>
        </w:rPr>
        <w:t>1</w:t>
      </w:r>
      <w:r w:rsidR="00D604A6">
        <w:fldChar w:fldCharType="end"/>
      </w:r>
      <w:r w:rsidR="00D604A6">
        <w:t>.</w:t>
      </w:r>
    </w:p>
    <w:p w14:paraId="6EED2C06" w14:textId="77777777" w:rsidR="001E27B6" w:rsidRDefault="001E27B6" w:rsidP="009950F3">
      <w:pPr>
        <w:pStyle w:val="BodyText"/>
      </w:pPr>
      <w:r>
        <w:t xml:space="preserve">Before utilising the capacity trading platform or the day-ahead auction, shippers will need to enter into </w:t>
      </w:r>
      <w:r w:rsidR="009950F3">
        <w:t xml:space="preserve">the relevant </w:t>
      </w:r>
      <w:r>
        <w:t xml:space="preserve">agreements with AEMO. Secondary shippers will also need to enter into a number of other contractual arrangements to utilise the capacity procured through the GSH or the auction. </w:t>
      </w:r>
      <w:r>
        <w:fldChar w:fldCharType="begin"/>
      </w:r>
      <w:r>
        <w:instrText xml:space="preserve"> REF _Ref491414461 \h </w:instrText>
      </w:r>
      <w:r>
        <w:fldChar w:fldCharType="separate"/>
      </w:r>
      <w:r w:rsidR="00761861">
        <w:t xml:space="preserve">Table </w:t>
      </w:r>
      <w:r w:rsidR="00761861">
        <w:rPr>
          <w:noProof/>
        </w:rPr>
        <w:t>2</w:t>
      </w:r>
      <w:r w:rsidR="00761861">
        <w:t>.</w:t>
      </w:r>
      <w:r w:rsidR="00761861">
        <w:rPr>
          <w:noProof/>
        </w:rPr>
        <w:t>1</w:t>
      </w:r>
      <w:r>
        <w:fldChar w:fldCharType="end"/>
      </w:r>
      <w:r>
        <w:t xml:space="preserve"> provides more detail on the arrangements shippers will need to have in place.</w:t>
      </w:r>
    </w:p>
    <w:tbl>
      <w:tblPr>
        <w:tblStyle w:val="TableGrid"/>
        <w:tblW w:w="5242" w:type="pct"/>
        <w:tblLayout w:type="fixed"/>
        <w:tblLook w:val="0420" w:firstRow="1" w:lastRow="0" w:firstColumn="0" w:lastColumn="0" w:noHBand="0" w:noVBand="1"/>
        <w:tblCaption w:val="Table 2.1"/>
        <w:tblDescription w:val="Arrangements shippers will require to access capacity trading measures"/>
      </w:tblPr>
      <w:tblGrid>
        <w:gridCol w:w="1417"/>
        <w:gridCol w:w="7796"/>
      </w:tblGrid>
      <w:tr w:rsidR="00FC68F9" w:rsidRPr="00FC68F9" w14:paraId="66B83439" w14:textId="77777777" w:rsidTr="00FC68F9">
        <w:trPr>
          <w:cnfStyle w:val="100000000000" w:firstRow="1" w:lastRow="0" w:firstColumn="0" w:lastColumn="0" w:oddVBand="0" w:evenVBand="0" w:oddHBand="0" w:evenHBand="0" w:firstRowFirstColumn="0" w:firstRowLastColumn="0" w:lastRowFirstColumn="0" w:lastRowLastColumn="0"/>
          <w:cantSplit/>
          <w:tblHeader/>
        </w:trPr>
        <w:tc>
          <w:tcPr>
            <w:tcW w:w="5000" w:type="pct"/>
            <w:gridSpan w:val="2"/>
            <w:tcBorders>
              <w:top w:val="nil"/>
              <w:bottom w:val="single" w:sz="4" w:space="0" w:color="auto"/>
            </w:tcBorders>
            <w:shd w:val="clear" w:color="auto" w:fill="auto"/>
          </w:tcPr>
          <w:p w14:paraId="058F54E3" w14:textId="20A79E31" w:rsidR="001E27B6" w:rsidRPr="00FC68F9" w:rsidRDefault="00FC68F9" w:rsidP="00FC68F9">
            <w:pPr>
              <w:pStyle w:val="Caption"/>
              <w:spacing w:before="0" w:after="0"/>
              <w:rPr>
                <w:b/>
                <w:color w:val="auto"/>
                <w:sz w:val="22"/>
              </w:rPr>
            </w:pPr>
            <w:bookmarkStart w:id="58" w:name="_Ref491414461"/>
            <w:r w:rsidRPr="00FC68F9">
              <w:rPr>
                <w:b/>
                <w:color w:val="auto"/>
                <w:sz w:val="22"/>
              </w:rPr>
              <w:t xml:space="preserve">Table </w:t>
            </w:r>
            <w:r w:rsidRPr="00FC68F9">
              <w:fldChar w:fldCharType="begin"/>
            </w:r>
            <w:r w:rsidRPr="00FC68F9">
              <w:rPr>
                <w:b/>
                <w:color w:val="auto"/>
                <w:sz w:val="22"/>
              </w:rPr>
              <w:instrText xml:space="preserve"> STYLEREF 1 \s </w:instrText>
            </w:r>
            <w:r w:rsidRPr="00FC68F9">
              <w:fldChar w:fldCharType="separate"/>
            </w:r>
            <w:r w:rsidRPr="00FC68F9">
              <w:rPr>
                <w:b/>
                <w:noProof/>
                <w:color w:val="auto"/>
                <w:sz w:val="22"/>
              </w:rPr>
              <w:t>2</w:t>
            </w:r>
            <w:r w:rsidRPr="00FC68F9">
              <w:rPr>
                <w:noProof/>
              </w:rPr>
              <w:fldChar w:fldCharType="end"/>
            </w:r>
            <w:r w:rsidRPr="00FC68F9">
              <w:rPr>
                <w:b/>
                <w:color w:val="auto"/>
                <w:sz w:val="22"/>
              </w:rPr>
              <w:t>.</w:t>
            </w:r>
            <w:r w:rsidRPr="00FC68F9">
              <w:fldChar w:fldCharType="begin"/>
            </w:r>
            <w:r w:rsidRPr="00FC68F9">
              <w:rPr>
                <w:b/>
                <w:color w:val="auto"/>
                <w:sz w:val="22"/>
              </w:rPr>
              <w:instrText xml:space="preserve"> SEQ Table \* ARABIC \s 1 </w:instrText>
            </w:r>
            <w:r w:rsidRPr="00FC68F9">
              <w:fldChar w:fldCharType="separate"/>
            </w:r>
            <w:r w:rsidRPr="00FC68F9">
              <w:rPr>
                <w:b/>
                <w:noProof/>
                <w:color w:val="auto"/>
                <w:sz w:val="22"/>
              </w:rPr>
              <w:t>1</w:t>
            </w:r>
            <w:r w:rsidRPr="00FC68F9">
              <w:rPr>
                <w:noProof/>
              </w:rPr>
              <w:fldChar w:fldCharType="end"/>
            </w:r>
            <w:bookmarkEnd w:id="58"/>
            <w:r w:rsidRPr="00FC68F9">
              <w:rPr>
                <w:b/>
                <w:color w:val="auto"/>
                <w:sz w:val="22"/>
              </w:rPr>
              <w:t>: Arrangements shippers will require to access capacity trading measures</w:t>
            </w:r>
          </w:p>
        </w:tc>
      </w:tr>
      <w:tr w:rsidR="00667669" w:rsidRPr="00216207" w14:paraId="50B588CC" w14:textId="77777777" w:rsidTr="00FC68F9">
        <w:trPr>
          <w:cantSplit/>
        </w:trPr>
        <w:tc>
          <w:tcPr>
            <w:tcW w:w="5000" w:type="pct"/>
            <w:gridSpan w:val="2"/>
            <w:tcBorders>
              <w:top w:val="single" w:sz="4" w:space="0" w:color="auto"/>
            </w:tcBorders>
            <w:shd w:val="clear" w:color="auto" w:fill="0099CC"/>
          </w:tcPr>
          <w:p w14:paraId="43DB576B" w14:textId="410F3E2A" w:rsidR="00667669" w:rsidRPr="00667669" w:rsidRDefault="00667669" w:rsidP="001E27B6">
            <w:pPr>
              <w:pStyle w:val="TableBodyText"/>
              <w:keepNext/>
              <w:spacing w:before="40" w:after="40"/>
              <w:jc w:val="center"/>
              <w:rPr>
                <w:b/>
                <w:color w:val="FFFFFF" w:themeColor="background1"/>
                <w:lang w:eastAsia="fr-CA"/>
              </w:rPr>
            </w:pPr>
            <w:r w:rsidRPr="00667669">
              <w:rPr>
                <w:b/>
                <w:color w:val="FFFFFF" w:themeColor="background1"/>
                <w:lang w:eastAsia="fr-CA"/>
              </w:rPr>
              <w:t>Participation in the day-ahead auction</w:t>
            </w:r>
          </w:p>
        </w:tc>
      </w:tr>
      <w:tr w:rsidR="001E27B6" w14:paraId="00C48E73" w14:textId="77777777" w:rsidTr="00216207">
        <w:trPr>
          <w:cnfStyle w:val="000000010000" w:firstRow="0" w:lastRow="0" w:firstColumn="0" w:lastColumn="0" w:oddVBand="0" w:evenVBand="0" w:oddHBand="0" w:evenHBand="1" w:firstRowFirstColumn="0" w:firstRowLastColumn="0" w:lastRowFirstColumn="0" w:lastRowLastColumn="0"/>
          <w:cantSplit/>
        </w:trPr>
        <w:tc>
          <w:tcPr>
            <w:tcW w:w="769" w:type="pct"/>
            <w:tcBorders>
              <w:bottom w:val="single" w:sz="4" w:space="0" w:color="auto"/>
            </w:tcBorders>
          </w:tcPr>
          <w:p w14:paraId="43B84B8B" w14:textId="77777777" w:rsidR="001E27B6" w:rsidRPr="00D128A9" w:rsidRDefault="001E27B6" w:rsidP="001E27B6">
            <w:pPr>
              <w:pStyle w:val="TableBodyText"/>
              <w:spacing w:before="40" w:after="40"/>
              <w:rPr>
                <w:b/>
                <w:lang w:eastAsia="fr-CA"/>
              </w:rPr>
            </w:pPr>
            <w:r w:rsidRPr="00D128A9">
              <w:rPr>
                <w:b/>
                <w:lang w:eastAsia="fr-CA"/>
              </w:rPr>
              <w:t>Membership and contractual obligations</w:t>
            </w:r>
          </w:p>
        </w:tc>
        <w:tc>
          <w:tcPr>
            <w:tcW w:w="4231" w:type="pct"/>
            <w:tcBorders>
              <w:bottom w:val="single" w:sz="4" w:space="0" w:color="auto"/>
            </w:tcBorders>
          </w:tcPr>
          <w:p w14:paraId="1036EF5D" w14:textId="77777777" w:rsidR="001E27B6" w:rsidRDefault="001E27B6" w:rsidP="001E27B6">
            <w:pPr>
              <w:pStyle w:val="TableBodyText"/>
              <w:spacing w:before="40" w:after="40"/>
              <w:rPr>
                <w:lang w:eastAsia="fr-CA"/>
              </w:rPr>
            </w:pPr>
            <w:r>
              <w:rPr>
                <w:lang w:eastAsia="fr-CA"/>
              </w:rPr>
              <w:t xml:space="preserve">While the participation arrangements for the day-ahead auction have not yet been finalised, they are expected to operate in a similar manner to the GSH (see Chapter 7). </w:t>
            </w:r>
          </w:p>
          <w:p w14:paraId="26896A6D" w14:textId="77777777" w:rsidR="001E27B6" w:rsidRDefault="001E27B6" w:rsidP="001E27B6">
            <w:pPr>
              <w:pStyle w:val="TableBodyText"/>
              <w:spacing w:before="40" w:after="40"/>
              <w:rPr>
                <w:lang w:eastAsia="fr-CA"/>
              </w:rPr>
            </w:pPr>
            <w:r>
              <w:rPr>
                <w:lang w:eastAsia="fr-CA"/>
              </w:rPr>
              <w:t xml:space="preserve">Specifically, it is envisaged that shippers that want to purchase capacity through the day-ahead auction will execute an Auction Agreement with AEMO. </w:t>
            </w:r>
            <w:bookmarkStart w:id="59" w:name="_Hlk499048262"/>
            <w:r>
              <w:rPr>
                <w:lang w:eastAsia="fr-CA"/>
              </w:rPr>
              <w:t>The Auction Agreement will set out the terms of participation in the auction and the terms governing purchases of capacity through the auction, including the prudential and settlement obligations</w:t>
            </w:r>
            <w:bookmarkEnd w:id="59"/>
            <w:r>
              <w:rPr>
                <w:lang w:eastAsia="fr-CA"/>
              </w:rPr>
              <w:t xml:space="preserve">. </w:t>
            </w:r>
          </w:p>
        </w:tc>
      </w:tr>
      <w:tr w:rsidR="00216207" w:rsidRPr="00216207" w14:paraId="0F6062E0" w14:textId="77777777" w:rsidTr="00216207">
        <w:trPr>
          <w:cantSplit/>
        </w:trPr>
        <w:tc>
          <w:tcPr>
            <w:tcW w:w="5000" w:type="pct"/>
            <w:gridSpan w:val="2"/>
            <w:shd w:val="clear" w:color="auto" w:fill="0099CC"/>
          </w:tcPr>
          <w:p w14:paraId="0F9983C2" w14:textId="77777777" w:rsidR="001E27B6" w:rsidRPr="00216207" w:rsidRDefault="001E27B6" w:rsidP="001E27B6">
            <w:pPr>
              <w:pStyle w:val="TableBodyText"/>
              <w:keepNext/>
              <w:spacing w:before="40" w:after="40"/>
              <w:jc w:val="center"/>
              <w:rPr>
                <w:b/>
                <w:color w:val="FFFFFF" w:themeColor="background1"/>
                <w:lang w:eastAsia="fr-CA"/>
              </w:rPr>
            </w:pPr>
            <w:r w:rsidRPr="00216207">
              <w:rPr>
                <w:b/>
                <w:color w:val="FFFFFF" w:themeColor="background1"/>
                <w:lang w:eastAsia="fr-CA"/>
              </w:rPr>
              <w:lastRenderedPageBreak/>
              <w:t>Participation in the GSH capacity trading platform</w:t>
            </w:r>
          </w:p>
        </w:tc>
      </w:tr>
      <w:tr w:rsidR="001E27B6" w14:paraId="07D03098" w14:textId="77777777" w:rsidTr="00216207">
        <w:trPr>
          <w:cnfStyle w:val="000000010000" w:firstRow="0" w:lastRow="0" w:firstColumn="0" w:lastColumn="0" w:oddVBand="0" w:evenVBand="0" w:oddHBand="0" w:evenHBand="1" w:firstRowFirstColumn="0" w:firstRowLastColumn="0" w:lastRowFirstColumn="0" w:lastRowLastColumn="0"/>
          <w:cantSplit/>
        </w:trPr>
        <w:tc>
          <w:tcPr>
            <w:tcW w:w="769" w:type="pct"/>
            <w:tcBorders>
              <w:bottom w:val="single" w:sz="4" w:space="0" w:color="auto"/>
            </w:tcBorders>
          </w:tcPr>
          <w:p w14:paraId="7FBDEF98" w14:textId="77777777" w:rsidR="001E27B6" w:rsidRPr="00D128A9" w:rsidRDefault="001E27B6" w:rsidP="001E27B6">
            <w:pPr>
              <w:pStyle w:val="TableBodyText"/>
              <w:keepNext/>
              <w:spacing w:before="40" w:after="40"/>
              <w:rPr>
                <w:b/>
                <w:lang w:eastAsia="fr-CA"/>
              </w:rPr>
            </w:pPr>
            <w:r w:rsidRPr="00D128A9">
              <w:rPr>
                <w:b/>
                <w:lang w:eastAsia="fr-CA"/>
              </w:rPr>
              <w:t>Membership and contractual obligations</w:t>
            </w:r>
          </w:p>
        </w:tc>
        <w:tc>
          <w:tcPr>
            <w:tcW w:w="4231" w:type="pct"/>
            <w:tcBorders>
              <w:bottom w:val="single" w:sz="4" w:space="0" w:color="auto"/>
            </w:tcBorders>
          </w:tcPr>
          <w:p w14:paraId="349D95F7" w14:textId="77777777" w:rsidR="001E27B6" w:rsidRDefault="001E27B6" w:rsidP="001E27B6">
            <w:pPr>
              <w:pStyle w:val="TableBodyText"/>
              <w:keepNext/>
              <w:spacing w:before="40" w:after="40"/>
              <w:rPr>
                <w:lang w:eastAsia="fr-CA"/>
              </w:rPr>
            </w:pPr>
            <w:r>
              <w:rPr>
                <w:lang w:eastAsia="fr-CA"/>
              </w:rPr>
              <w:t>Primary and secondary shippers that want to use the GSH will need to become members of the GSH and be registered as trading participants.</w:t>
            </w:r>
          </w:p>
          <w:p w14:paraId="1C8EEAA4" w14:textId="77777777" w:rsidR="001E27B6" w:rsidRDefault="001E27B6" w:rsidP="001E27B6">
            <w:pPr>
              <w:pStyle w:val="TableBodyText"/>
              <w:keepNext/>
              <w:spacing w:before="40" w:after="40"/>
              <w:rPr>
                <w:lang w:eastAsia="fr-CA"/>
              </w:rPr>
            </w:pPr>
            <w:r>
              <w:rPr>
                <w:lang w:eastAsia="fr-CA"/>
              </w:rPr>
              <w:t>Shippers can become a trading participant by executing a Membership Agreement with AEMO and then registering as a trading participant. Through the Membership Agreement, shippers will become a party to the Exchange Agreement.</w:t>
            </w:r>
          </w:p>
          <w:p w14:paraId="31CC5B1D" w14:textId="77777777" w:rsidR="001E27B6" w:rsidRDefault="001E27B6" w:rsidP="001E27B6">
            <w:pPr>
              <w:pStyle w:val="TableBodyText"/>
              <w:keepNext/>
              <w:spacing w:before="40" w:after="40"/>
              <w:rPr>
                <w:lang w:eastAsia="fr-CA"/>
              </w:rPr>
            </w:pPr>
            <w:r>
              <w:rPr>
                <w:lang w:eastAsia="fr-CA"/>
              </w:rPr>
              <w:t>The Exchange Agreement is a multilateral agreement that sets out the terms of participation in the GSH and the terms governing transaction</w:t>
            </w:r>
            <w:r w:rsidR="00F1710A">
              <w:rPr>
                <w:lang w:eastAsia="fr-CA"/>
              </w:rPr>
              <w:t>s</w:t>
            </w:r>
            <w:r>
              <w:rPr>
                <w:lang w:eastAsia="fr-CA"/>
              </w:rPr>
              <w:t xml:space="preserve"> entered into through the exchange. The body of this agreement contains the trading, delivery, prudential and settlement obligations, while the product specifications are set out in schedules.</w:t>
            </w:r>
          </w:p>
        </w:tc>
      </w:tr>
      <w:tr w:rsidR="00216207" w:rsidRPr="00216207" w14:paraId="619F19BD" w14:textId="77777777" w:rsidTr="00216207">
        <w:trPr>
          <w:cantSplit/>
        </w:trPr>
        <w:tc>
          <w:tcPr>
            <w:tcW w:w="5000" w:type="pct"/>
            <w:gridSpan w:val="2"/>
            <w:shd w:val="clear" w:color="auto" w:fill="0099CC"/>
          </w:tcPr>
          <w:p w14:paraId="58E4EE84" w14:textId="77777777" w:rsidR="001E27B6" w:rsidRPr="00216207" w:rsidRDefault="001E27B6" w:rsidP="001E27B6">
            <w:pPr>
              <w:pStyle w:val="TableBodyText"/>
              <w:keepNext/>
              <w:spacing w:before="40" w:after="40"/>
              <w:jc w:val="center"/>
              <w:rPr>
                <w:b/>
                <w:color w:val="FFFFFF" w:themeColor="background1"/>
                <w:lang w:eastAsia="fr-CA"/>
              </w:rPr>
            </w:pPr>
            <w:r w:rsidRPr="00216207">
              <w:rPr>
                <w:b/>
                <w:color w:val="FFFFFF" w:themeColor="background1"/>
                <w:lang w:eastAsia="fr-CA"/>
              </w:rPr>
              <w:t>Use of secondary capacity procured through the trading platform or auction</w:t>
            </w:r>
          </w:p>
        </w:tc>
      </w:tr>
      <w:tr w:rsidR="001E27B6" w:rsidRPr="003416C5" w14:paraId="68FF4805" w14:textId="77777777" w:rsidTr="001E27B6">
        <w:trPr>
          <w:cnfStyle w:val="000000010000" w:firstRow="0" w:lastRow="0" w:firstColumn="0" w:lastColumn="0" w:oddVBand="0" w:evenVBand="0" w:oddHBand="0" w:evenHBand="1" w:firstRowFirstColumn="0" w:firstRowLastColumn="0" w:lastRowFirstColumn="0" w:lastRowLastColumn="0"/>
          <w:cantSplit/>
        </w:trPr>
        <w:tc>
          <w:tcPr>
            <w:tcW w:w="769" w:type="pct"/>
            <w:tcBorders>
              <w:bottom w:val="single" w:sz="4" w:space="0" w:color="auto"/>
            </w:tcBorders>
          </w:tcPr>
          <w:p w14:paraId="2FAB550F" w14:textId="77777777" w:rsidR="001E27B6" w:rsidRPr="003416C5" w:rsidRDefault="001E27B6" w:rsidP="001E27B6">
            <w:pPr>
              <w:pStyle w:val="TableBodyText"/>
              <w:spacing w:before="40" w:after="40"/>
              <w:rPr>
                <w:b/>
                <w:szCs w:val="18"/>
                <w:lang w:eastAsia="fr-CA"/>
              </w:rPr>
            </w:pPr>
            <w:r w:rsidRPr="003416C5">
              <w:rPr>
                <w:b/>
                <w:szCs w:val="18"/>
                <w:lang w:eastAsia="fr-CA"/>
              </w:rPr>
              <w:t>Operational transfers</w:t>
            </w:r>
            <w:r w:rsidRPr="003416C5">
              <w:rPr>
                <w:rStyle w:val="FootnoteReference"/>
                <w:b/>
                <w:szCs w:val="18"/>
                <w:lang w:eastAsia="fr-CA"/>
              </w:rPr>
              <w:footnoteReference w:id="18"/>
            </w:r>
          </w:p>
        </w:tc>
        <w:tc>
          <w:tcPr>
            <w:tcW w:w="4231" w:type="pct"/>
            <w:tcBorders>
              <w:bottom w:val="single" w:sz="4" w:space="0" w:color="auto"/>
            </w:tcBorders>
          </w:tcPr>
          <w:p w14:paraId="5AEADB6B" w14:textId="77777777" w:rsidR="001E27B6" w:rsidRPr="003416C5" w:rsidRDefault="001E27B6" w:rsidP="001E27B6">
            <w:pPr>
              <w:pStyle w:val="TableBodyText"/>
              <w:spacing w:before="80" w:after="80"/>
              <w:rPr>
                <w:szCs w:val="18"/>
                <w:lang w:eastAsia="fr-CA"/>
              </w:rPr>
            </w:pPr>
            <w:r w:rsidRPr="003416C5">
              <w:rPr>
                <w:szCs w:val="18"/>
                <w:lang w:eastAsia="fr-CA"/>
              </w:rPr>
              <w:t xml:space="preserve">If a shipper procures capacity through the </w:t>
            </w:r>
            <w:r w:rsidR="00DE0813">
              <w:rPr>
                <w:szCs w:val="18"/>
                <w:lang w:eastAsia="fr-CA"/>
              </w:rPr>
              <w:t xml:space="preserve">trading platform </w:t>
            </w:r>
            <w:r w:rsidRPr="003416C5">
              <w:rPr>
                <w:szCs w:val="18"/>
                <w:lang w:eastAsia="fr-CA"/>
              </w:rPr>
              <w:t xml:space="preserve">or day-ahead auction, the trade will be given </w:t>
            </w:r>
            <w:r>
              <w:rPr>
                <w:szCs w:val="18"/>
                <w:lang w:eastAsia="fr-CA"/>
              </w:rPr>
              <w:t xml:space="preserve">physical </w:t>
            </w:r>
            <w:r w:rsidRPr="003416C5">
              <w:rPr>
                <w:szCs w:val="18"/>
                <w:lang w:eastAsia="fr-CA"/>
              </w:rPr>
              <w:t xml:space="preserve">effect through an operational transfer. Secondary shippers will also have the option to utilise an operational transfer if they enter into a bilateral trade through the listing service or other means. A secondary shipper will therefore need to have entered into an operational </w:t>
            </w:r>
            <w:r>
              <w:rPr>
                <w:szCs w:val="18"/>
                <w:lang w:eastAsia="fr-CA"/>
              </w:rPr>
              <w:t>Gas Transportation Agreement (</w:t>
            </w:r>
            <w:r w:rsidR="00DE0813">
              <w:rPr>
                <w:szCs w:val="18"/>
                <w:lang w:eastAsia="fr-CA"/>
              </w:rPr>
              <w:t xml:space="preserve">operational </w:t>
            </w:r>
            <w:r w:rsidRPr="003416C5">
              <w:rPr>
                <w:szCs w:val="18"/>
                <w:lang w:eastAsia="fr-CA"/>
              </w:rPr>
              <w:t>GTA</w:t>
            </w:r>
            <w:r>
              <w:rPr>
                <w:szCs w:val="18"/>
                <w:lang w:eastAsia="fr-CA"/>
              </w:rPr>
              <w:t>)</w:t>
            </w:r>
            <w:r w:rsidRPr="003416C5">
              <w:rPr>
                <w:szCs w:val="18"/>
                <w:lang w:eastAsia="fr-CA"/>
              </w:rPr>
              <w:t xml:space="preserve"> with the relevant service provider, or otherwise agreed with the service provider to include an operational transfer mechanism into its primary GTA. </w:t>
            </w:r>
          </w:p>
          <w:p w14:paraId="7EF06FD5" w14:textId="77777777" w:rsidR="001E27B6" w:rsidRPr="003416C5" w:rsidRDefault="001E27B6" w:rsidP="00F1710A">
            <w:pPr>
              <w:pStyle w:val="TableBodyText"/>
              <w:spacing w:before="80" w:after="80"/>
              <w:rPr>
                <w:rFonts w:asciiTheme="majorHAnsi" w:hAnsiTheme="majorHAnsi" w:cstheme="majorHAnsi"/>
                <w:szCs w:val="18"/>
              </w:rPr>
            </w:pPr>
            <w:r w:rsidRPr="003416C5">
              <w:rPr>
                <w:rFonts w:asciiTheme="majorHAnsi" w:hAnsiTheme="majorHAnsi" w:cstheme="majorHAnsi"/>
                <w:szCs w:val="18"/>
              </w:rPr>
              <w:t>Operational GTAs, which are sometimes referred to as ‘zero MDQ’ contracts, operate like a master agreement between the service provider and secondary shipper, with the operational capacity (measured on a Maximum Daily Quantity (MDQ) basis) set at zero until the shipper purchases capacity. The operational GTA set</w:t>
            </w:r>
            <w:r>
              <w:rPr>
                <w:rFonts w:asciiTheme="majorHAnsi" w:hAnsiTheme="majorHAnsi" w:cstheme="majorHAnsi"/>
                <w:szCs w:val="18"/>
              </w:rPr>
              <w:t>s</w:t>
            </w:r>
            <w:r w:rsidRPr="003416C5">
              <w:rPr>
                <w:rFonts w:asciiTheme="majorHAnsi" w:hAnsiTheme="majorHAnsi" w:cstheme="majorHAnsi"/>
                <w:szCs w:val="18"/>
              </w:rPr>
              <w:t xml:space="preserve"> out the terms on which the secondary shipper can utilise the service provider’s assets if it procures secondary capacity via an operational transfer, including the operational, prudential and other terms governing the relationship between the service provider and secondary shipper. If capacity is purchased then the MDQ in the shipper’s operational GTA will be increased for the duration of the trade and it will be entitled to make nominations directly to the service provider and liable to pay the service provider for any specified charges (i.e. imbalance or overrun charges) set out in the operational GTA. The primary shipper, on the other hand, will remain liable to pay the service provider for the capacity </w:t>
            </w:r>
            <w:r w:rsidR="00F1710A">
              <w:rPr>
                <w:rFonts w:asciiTheme="majorHAnsi" w:hAnsiTheme="majorHAnsi" w:cstheme="majorHAnsi"/>
                <w:szCs w:val="18"/>
              </w:rPr>
              <w:t xml:space="preserve">sold to the secondary shipper. </w:t>
            </w:r>
          </w:p>
        </w:tc>
      </w:tr>
      <w:tr w:rsidR="001E27B6" w14:paraId="6AB2BFF2" w14:textId="77777777" w:rsidTr="001E27B6">
        <w:trPr>
          <w:cantSplit/>
        </w:trPr>
        <w:tc>
          <w:tcPr>
            <w:tcW w:w="769" w:type="pct"/>
            <w:shd w:val="clear" w:color="auto" w:fill="auto"/>
          </w:tcPr>
          <w:p w14:paraId="247ADB95" w14:textId="77777777" w:rsidR="001E27B6" w:rsidRPr="00D128A9" w:rsidRDefault="001E27B6" w:rsidP="001E27B6">
            <w:pPr>
              <w:pStyle w:val="TableBodyText"/>
              <w:spacing w:before="40" w:after="40"/>
              <w:rPr>
                <w:b/>
                <w:lang w:eastAsia="fr-CA"/>
              </w:rPr>
            </w:pPr>
            <w:r w:rsidRPr="00D128A9">
              <w:rPr>
                <w:b/>
                <w:lang w:eastAsia="fr-CA"/>
              </w:rPr>
              <w:t>Allocation agreements</w:t>
            </w:r>
          </w:p>
        </w:tc>
        <w:tc>
          <w:tcPr>
            <w:tcW w:w="4231" w:type="pct"/>
            <w:shd w:val="clear" w:color="auto" w:fill="auto"/>
          </w:tcPr>
          <w:p w14:paraId="1846AEF6" w14:textId="77777777" w:rsidR="001E27B6" w:rsidRDefault="001E27B6" w:rsidP="001E27B6">
            <w:pPr>
              <w:pStyle w:val="TableBodyText"/>
              <w:spacing w:before="40" w:after="40"/>
              <w:rPr>
                <w:lang w:eastAsia="fr-CA"/>
              </w:rPr>
            </w:pPr>
            <w:r>
              <w:rPr>
                <w:lang w:eastAsia="fr-CA"/>
              </w:rPr>
              <w:t xml:space="preserve">If a secondary shipper procures capacity through the </w:t>
            </w:r>
            <w:r w:rsidR="00DE0813">
              <w:rPr>
                <w:lang w:eastAsia="fr-CA"/>
              </w:rPr>
              <w:t xml:space="preserve">trading platform </w:t>
            </w:r>
            <w:r>
              <w:rPr>
                <w:lang w:eastAsia="fr-CA"/>
              </w:rPr>
              <w:t xml:space="preserve">or day-ahead auction and wants to use a multi-user receipt or delivery point, it will need to become a party to the allocation agreement at that point. This agreement sets out the </w:t>
            </w:r>
            <w:r>
              <w:t>rules the allocation agent is required to use to allocate gas metered as having been supplied between shippers.</w:t>
            </w:r>
          </w:p>
        </w:tc>
      </w:tr>
      <w:tr w:rsidR="001E27B6" w14:paraId="68F49FA7" w14:textId="77777777" w:rsidTr="001E27B6">
        <w:tblPrEx>
          <w:tblLook w:val="04A0" w:firstRow="1" w:lastRow="0" w:firstColumn="1" w:lastColumn="0" w:noHBand="0" w:noVBand="1"/>
        </w:tblPrEx>
        <w:trPr>
          <w:cnfStyle w:val="000000010000" w:firstRow="0" w:lastRow="0" w:firstColumn="0" w:lastColumn="0" w:oddVBand="0" w:evenVBand="0" w:oddHBand="0" w:evenHBand="1" w:firstRowFirstColumn="0" w:firstRowLastColumn="0" w:lastRowFirstColumn="0" w:lastRowLastColumn="0"/>
        </w:trPr>
        <w:tc>
          <w:tcPr>
            <w:tcW w:w="769" w:type="pct"/>
          </w:tcPr>
          <w:p w14:paraId="667AAA09" w14:textId="77777777" w:rsidR="001E27B6" w:rsidRPr="00D128A9" w:rsidRDefault="001E27B6" w:rsidP="001E27B6">
            <w:pPr>
              <w:pStyle w:val="TableBodyText"/>
              <w:spacing w:before="40" w:after="40"/>
              <w:rPr>
                <w:b/>
                <w:lang w:eastAsia="fr-CA"/>
              </w:rPr>
            </w:pPr>
            <w:r w:rsidRPr="00D128A9">
              <w:rPr>
                <w:b/>
                <w:lang w:eastAsia="fr-CA"/>
              </w:rPr>
              <w:t>Other services and arrangements</w:t>
            </w:r>
          </w:p>
        </w:tc>
        <w:tc>
          <w:tcPr>
            <w:tcW w:w="4231" w:type="pct"/>
          </w:tcPr>
          <w:p w14:paraId="0ADA1688" w14:textId="77777777" w:rsidR="001E27B6" w:rsidRDefault="001E27B6" w:rsidP="001E27B6">
            <w:pPr>
              <w:pStyle w:val="TableBodyText"/>
              <w:spacing w:before="40" w:after="40"/>
              <w:rPr>
                <w:lang w:eastAsia="fr-CA"/>
              </w:rPr>
            </w:pPr>
            <w:r>
              <w:rPr>
                <w:lang w:eastAsia="fr-CA"/>
              </w:rPr>
              <w:t xml:space="preserve">In some cases, a secondary shipper that procures capacity through the </w:t>
            </w:r>
            <w:r w:rsidR="00DE0813">
              <w:rPr>
                <w:lang w:eastAsia="fr-CA"/>
              </w:rPr>
              <w:t xml:space="preserve">trading platform </w:t>
            </w:r>
            <w:r>
              <w:rPr>
                <w:lang w:eastAsia="fr-CA"/>
              </w:rPr>
              <w:t xml:space="preserve">or day-ahead auction may also require: </w:t>
            </w:r>
          </w:p>
          <w:p w14:paraId="6B9F0B29" w14:textId="77777777" w:rsidR="001E27B6" w:rsidRDefault="001E27B6" w:rsidP="001E27B6">
            <w:pPr>
              <w:pStyle w:val="TableBullet1"/>
              <w:spacing w:before="40" w:after="40"/>
              <w:rPr>
                <w:lang w:eastAsia="fr-CA"/>
              </w:rPr>
            </w:pPr>
            <w:r>
              <w:rPr>
                <w:lang w:eastAsia="fr-CA"/>
              </w:rPr>
              <w:t xml:space="preserve">access to other transportation related services that are not available on the </w:t>
            </w:r>
            <w:r w:rsidR="00DE0813">
              <w:rPr>
                <w:lang w:eastAsia="fr-CA"/>
              </w:rPr>
              <w:t>trading platform</w:t>
            </w:r>
            <w:r>
              <w:rPr>
                <w:lang w:eastAsia="fr-CA"/>
              </w:rPr>
              <w:t xml:space="preserve"> or through the auction (for example, in some locations a shipper will require redirection services and compression services) and will need to enter into arrangements with the relevant service provider for the provision of that service; and</w:t>
            </w:r>
          </w:p>
          <w:p w14:paraId="4F7C2718" w14:textId="77777777" w:rsidR="001E27B6" w:rsidRDefault="001E27B6" w:rsidP="001E27B6">
            <w:pPr>
              <w:pStyle w:val="TableBullet1"/>
              <w:spacing w:before="40" w:after="40"/>
              <w:rPr>
                <w:lang w:eastAsia="fr-CA"/>
              </w:rPr>
            </w:pPr>
            <w:proofErr w:type="gramStart"/>
            <w:r>
              <w:rPr>
                <w:lang w:eastAsia="fr-CA"/>
              </w:rPr>
              <w:t>access</w:t>
            </w:r>
            <w:proofErr w:type="gramEnd"/>
            <w:r>
              <w:rPr>
                <w:lang w:eastAsia="fr-CA"/>
              </w:rPr>
              <w:t xml:space="preserve"> to a receipt or delivery point that is controlled by a third party and will need to enter into arrangements with that party to ensure they can utilise those points.</w:t>
            </w:r>
          </w:p>
        </w:tc>
      </w:tr>
    </w:tbl>
    <w:p w14:paraId="0B9DC501" w14:textId="77777777" w:rsidR="00BA7FF7" w:rsidRDefault="009C1501" w:rsidP="00FC68F9">
      <w:pPr>
        <w:pStyle w:val="BodyText"/>
        <w:spacing w:before="120"/>
        <w:rPr>
          <w:rFonts w:asciiTheme="majorHAnsi" w:hAnsiTheme="majorHAnsi" w:cstheme="majorHAnsi"/>
        </w:rPr>
      </w:pPr>
      <w:r>
        <w:t xml:space="preserve">As </w:t>
      </w:r>
      <w:r>
        <w:fldChar w:fldCharType="begin"/>
      </w:r>
      <w:r>
        <w:instrText xml:space="preserve"> REF _Ref491414461 \h </w:instrText>
      </w:r>
      <w:r>
        <w:fldChar w:fldCharType="separate"/>
      </w:r>
      <w:r w:rsidR="00761861">
        <w:t xml:space="preserve">Table </w:t>
      </w:r>
      <w:r w:rsidR="00761861">
        <w:rPr>
          <w:noProof/>
        </w:rPr>
        <w:t>2</w:t>
      </w:r>
      <w:r w:rsidR="00761861">
        <w:t>.</w:t>
      </w:r>
      <w:r w:rsidR="00761861">
        <w:rPr>
          <w:noProof/>
        </w:rPr>
        <w:t>1</w:t>
      </w:r>
      <w:r>
        <w:fldChar w:fldCharType="end"/>
      </w:r>
      <w:r>
        <w:t xml:space="preserve"> highlight</w:t>
      </w:r>
      <w:r w:rsidR="009057F7">
        <w:t>s</w:t>
      </w:r>
      <w:r w:rsidR="00522628">
        <w:t>,</w:t>
      </w:r>
      <w:r>
        <w:t xml:space="preserve"> </w:t>
      </w:r>
      <w:r w:rsidR="004C3FE0">
        <w:t xml:space="preserve">operational transfers (see </w:t>
      </w:r>
      <w:r w:rsidR="004C3FE0">
        <w:fldChar w:fldCharType="begin"/>
      </w:r>
      <w:r w:rsidR="004C3FE0">
        <w:instrText xml:space="preserve"> REF _Ref489586096 \h </w:instrText>
      </w:r>
      <w:r w:rsidR="004C3FE0">
        <w:fldChar w:fldCharType="separate"/>
      </w:r>
      <w:r w:rsidR="00761861" w:rsidRPr="00EC75C1">
        <w:t xml:space="preserve">Box </w:t>
      </w:r>
      <w:r w:rsidR="00761861">
        <w:rPr>
          <w:noProof/>
        </w:rPr>
        <w:t>2</w:t>
      </w:r>
      <w:r w:rsidR="00761861">
        <w:t>.</w:t>
      </w:r>
      <w:r w:rsidR="00761861">
        <w:rPr>
          <w:noProof/>
        </w:rPr>
        <w:t>1</w:t>
      </w:r>
      <w:r w:rsidR="004C3FE0">
        <w:fldChar w:fldCharType="end"/>
      </w:r>
      <w:r w:rsidR="004C3FE0">
        <w:t xml:space="preserve"> for more detail) </w:t>
      </w:r>
      <w:r w:rsidR="004C3FE0" w:rsidRPr="00C80570">
        <w:t>are expected to play a key role under the reform package</w:t>
      </w:r>
      <w:r w:rsidR="004C3FE0">
        <w:t xml:space="preserve"> and will be given effect through an operational GTA.</w:t>
      </w:r>
      <w:r w:rsidR="004C3FE0">
        <w:rPr>
          <w:rStyle w:val="FootnoteReference"/>
        </w:rPr>
        <w:footnoteReference w:id="19"/>
      </w:r>
      <w:r w:rsidR="004C3FE0">
        <w:t xml:space="preserve"> </w:t>
      </w:r>
      <w:r w:rsidR="00DE0813">
        <w:rPr>
          <w:rFonts w:asciiTheme="majorHAnsi" w:hAnsiTheme="majorHAnsi" w:cstheme="majorHAnsi"/>
        </w:rPr>
        <w:t>O</w:t>
      </w:r>
      <w:r w:rsidR="004C3FE0" w:rsidRPr="00D57924">
        <w:rPr>
          <w:rFonts w:asciiTheme="majorHAnsi" w:hAnsiTheme="majorHAnsi" w:cstheme="majorHAnsi"/>
        </w:rPr>
        <w:t>perational GTA</w:t>
      </w:r>
      <w:r w:rsidR="004C3FE0">
        <w:rPr>
          <w:rFonts w:asciiTheme="majorHAnsi" w:hAnsiTheme="majorHAnsi" w:cstheme="majorHAnsi"/>
        </w:rPr>
        <w:t>s</w:t>
      </w:r>
      <w:r w:rsidR="004C3FE0" w:rsidRPr="00D57924">
        <w:rPr>
          <w:rFonts w:asciiTheme="majorHAnsi" w:hAnsiTheme="majorHAnsi" w:cstheme="majorHAnsi"/>
        </w:rPr>
        <w:t xml:space="preserve"> set out the terms on which the secondary shipper can </w:t>
      </w:r>
      <w:r w:rsidR="004C3FE0">
        <w:rPr>
          <w:rFonts w:asciiTheme="majorHAnsi" w:hAnsiTheme="majorHAnsi" w:cstheme="majorHAnsi"/>
        </w:rPr>
        <w:t xml:space="preserve">use </w:t>
      </w:r>
      <w:r w:rsidR="004C3FE0" w:rsidRPr="00D57924">
        <w:rPr>
          <w:rFonts w:asciiTheme="majorHAnsi" w:hAnsiTheme="majorHAnsi" w:cstheme="majorHAnsi"/>
        </w:rPr>
        <w:t xml:space="preserve">the service provider’s assets if it procures </w:t>
      </w:r>
      <w:r w:rsidR="004C3FE0">
        <w:rPr>
          <w:rFonts w:asciiTheme="majorHAnsi" w:hAnsiTheme="majorHAnsi" w:cstheme="majorHAnsi"/>
        </w:rPr>
        <w:t xml:space="preserve">secondary </w:t>
      </w:r>
      <w:r w:rsidR="004C3FE0" w:rsidRPr="00D57924">
        <w:rPr>
          <w:rFonts w:asciiTheme="majorHAnsi" w:hAnsiTheme="majorHAnsi" w:cstheme="majorHAnsi"/>
        </w:rPr>
        <w:t>capacity</w:t>
      </w:r>
      <w:r w:rsidR="00DE0813">
        <w:rPr>
          <w:rFonts w:asciiTheme="majorHAnsi" w:hAnsiTheme="majorHAnsi" w:cstheme="majorHAnsi"/>
        </w:rPr>
        <w:t xml:space="preserve"> under a bilateral agreement with another shipper or through the trading platform or day-ahead auction</w:t>
      </w:r>
      <w:r w:rsidR="004C3FE0" w:rsidRPr="00D57924">
        <w:rPr>
          <w:rFonts w:asciiTheme="majorHAnsi" w:hAnsiTheme="majorHAnsi" w:cstheme="majorHAnsi"/>
        </w:rPr>
        <w:t xml:space="preserve">. </w:t>
      </w:r>
    </w:p>
    <w:p w14:paraId="3E9B6A17" w14:textId="77777777" w:rsidR="004C3FE0" w:rsidRDefault="00BA7FF7" w:rsidP="004C3FE0">
      <w:pPr>
        <w:pStyle w:val="BodyText"/>
        <w:rPr>
          <w:rFonts w:asciiTheme="majorHAnsi" w:hAnsiTheme="majorHAnsi" w:cstheme="majorHAnsi"/>
        </w:rPr>
      </w:pPr>
      <w:r>
        <w:rPr>
          <w:rFonts w:asciiTheme="majorHAnsi" w:hAnsiTheme="majorHAnsi" w:cstheme="majorHAnsi"/>
        </w:rPr>
        <w:t xml:space="preserve">It is worth noting in this context that while the term ‘transfer’ in operational transfer implies that capacity is being transferred from one shipper to another, this will not occur in relation </w:t>
      </w:r>
      <w:r>
        <w:rPr>
          <w:rFonts w:asciiTheme="majorHAnsi" w:hAnsiTheme="majorHAnsi" w:cstheme="majorHAnsi"/>
        </w:rPr>
        <w:lastRenderedPageBreak/>
        <w:t>to the day-ahead auction. In the day-ahead auction, any contracted but un-nominated capacity sold through the auction will be allocated to the auction winners, but there will not be a corresponding reduction in the capacity holdings of primary shippers that have contracted but un-nominated capacity.</w:t>
      </w:r>
    </w:p>
    <w:tbl>
      <w:tblPr>
        <w:tblStyle w:val="PullOutBoxTable"/>
        <w:tblW w:w="5000" w:type="pct"/>
        <w:shd w:val="clear" w:color="auto" w:fill="D9D9D9" w:themeFill="background1" w:themeFillShade="D9"/>
        <w:tblLook w:val="0600" w:firstRow="0" w:lastRow="0" w:firstColumn="0" w:lastColumn="0" w:noHBand="1" w:noVBand="1"/>
        <w:tblCaption w:val="Box 2.1"/>
        <w:tblDescription w:val="Capacity transfer mechanisms"/>
      </w:tblPr>
      <w:tblGrid>
        <w:gridCol w:w="8788"/>
      </w:tblGrid>
      <w:tr w:rsidR="006B0BD1" w:rsidRPr="00AE6D62" w14:paraId="042A1C08" w14:textId="77777777" w:rsidTr="006B0BD1">
        <w:trPr>
          <w:tblHeader/>
        </w:trPr>
        <w:tc>
          <w:tcPr>
            <w:tcW w:w="5000" w:type="pct"/>
            <w:shd w:val="clear" w:color="auto" w:fill="auto"/>
          </w:tcPr>
          <w:p w14:paraId="30BAAA75" w14:textId="6662CC3E" w:rsidR="006B0BD1" w:rsidRPr="006B0BD1" w:rsidRDefault="006B0BD1" w:rsidP="00D128A9">
            <w:pPr>
              <w:pStyle w:val="BodyText"/>
              <w:spacing w:before="0" w:after="40" w:line="252" w:lineRule="auto"/>
              <w:rPr>
                <w:rFonts w:eastAsiaTheme="majorEastAsia"/>
                <w:b/>
                <w:sz w:val="20"/>
                <w:szCs w:val="20"/>
              </w:rPr>
            </w:pPr>
            <w:bookmarkStart w:id="60" w:name="_Ref489586096"/>
            <w:r w:rsidRPr="006B0BD1">
              <w:rPr>
                <w:b/>
              </w:rPr>
              <w:t xml:space="preserve">Box </w:t>
            </w:r>
            <w:r w:rsidRPr="006B0BD1">
              <w:rPr>
                <w:b/>
              </w:rPr>
              <w:fldChar w:fldCharType="begin"/>
            </w:r>
            <w:r w:rsidRPr="006B0BD1">
              <w:rPr>
                <w:b/>
              </w:rPr>
              <w:instrText xml:space="preserve"> STYLEREF 1 \s </w:instrText>
            </w:r>
            <w:r w:rsidRPr="006B0BD1">
              <w:rPr>
                <w:b/>
              </w:rPr>
              <w:fldChar w:fldCharType="separate"/>
            </w:r>
            <w:r w:rsidRPr="006B0BD1">
              <w:rPr>
                <w:b/>
                <w:noProof/>
              </w:rPr>
              <w:t>2</w:t>
            </w:r>
            <w:r w:rsidRPr="006B0BD1">
              <w:rPr>
                <w:b/>
                <w:noProof/>
              </w:rPr>
              <w:fldChar w:fldCharType="end"/>
            </w:r>
            <w:r w:rsidRPr="006B0BD1">
              <w:rPr>
                <w:b/>
              </w:rPr>
              <w:t>.</w:t>
            </w:r>
            <w:r w:rsidRPr="006B0BD1">
              <w:rPr>
                <w:b/>
              </w:rPr>
              <w:fldChar w:fldCharType="begin"/>
            </w:r>
            <w:r w:rsidRPr="006B0BD1">
              <w:rPr>
                <w:b/>
              </w:rPr>
              <w:instrText xml:space="preserve"> SEQ Box \* ARABIC \s 1 </w:instrText>
            </w:r>
            <w:r w:rsidRPr="006B0BD1">
              <w:rPr>
                <w:b/>
              </w:rPr>
              <w:fldChar w:fldCharType="separate"/>
            </w:r>
            <w:r w:rsidRPr="006B0BD1">
              <w:rPr>
                <w:b/>
                <w:noProof/>
              </w:rPr>
              <w:t>1</w:t>
            </w:r>
            <w:r w:rsidRPr="006B0BD1">
              <w:rPr>
                <w:b/>
                <w:noProof/>
              </w:rPr>
              <w:fldChar w:fldCharType="end"/>
            </w:r>
            <w:bookmarkEnd w:id="60"/>
            <w:r w:rsidRPr="006B0BD1">
              <w:rPr>
                <w:b/>
              </w:rPr>
              <w:t>: Capacity transfer mechanisms</w:t>
            </w:r>
          </w:p>
        </w:tc>
      </w:tr>
      <w:tr w:rsidR="00D128A9" w:rsidRPr="00AE6D62" w14:paraId="4994773B" w14:textId="77777777" w:rsidTr="00D128A9">
        <w:tc>
          <w:tcPr>
            <w:tcW w:w="5000" w:type="pct"/>
            <w:shd w:val="clear" w:color="auto" w:fill="D9D9D9" w:themeFill="background1" w:themeFillShade="D9"/>
          </w:tcPr>
          <w:p w14:paraId="566507C6" w14:textId="77777777" w:rsidR="00D128A9" w:rsidRPr="00B96362" w:rsidRDefault="00D128A9" w:rsidP="00D128A9">
            <w:pPr>
              <w:pStyle w:val="BodyText"/>
              <w:spacing w:before="0" w:after="40" w:line="252" w:lineRule="auto"/>
              <w:rPr>
                <w:rFonts w:asciiTheme="majorHAnsi" w:eastAsiaTheme="majorEastAsia" w:hAnsiTheme="majorHAnsi" w:cstheme="majorHAnsi"/>
                <w:sz w:val="20"/>
                <w:szCs w:val="20"/>
              </w:rPr>
            </w:pPr>
            <w:r w:rsidRPr="00B96362">
              <w:rPr>
                <w:rFonts w:eastAsiaTheme="majorEastAsia"/>
                <w:sz w:val="20"/>
                <w:szCs w:val="20"/>
              </w:rPr>
              <w:t>T</w:t>
            </w:r>
            <w:r w:rsidRPr="00B96362">
              <w:rPr>
                <w:rFonts w:asciiTheme="majorHAnsi" w:eastAsiaTheme="majorEastAsia" w:hAnsiTheme="majorHAnsi" w:cstheme="majorHAnsi"/>
                <w:sz w:val="20"/>
                <w:szCs w:val="20"/>
              </w:rPr>
              <w:t xml:space="preserve">ransfers of capacity can be given effect through either: </w:t>
            </w:r>
          </w:p>
          <w:p w14:paraId="7CE827D8" w14:textId="77777777" w:rsidR="00D128A9" w:rsidRPr="00594844" w:rsidRDefault="00D128A9" w:rsidP="00D128A9">
            <w:pPr>
              <w:pStyle w:val="ListBullet"/>
              <w:spacing w:before="40" w:line="252" w:lineRule="auto"/>
              <w:rPr>
                <w:rFonts w:asciiTheme="majorHAnsi" w:hAnsiTheme="majorHAnsi" w:cstheme="majorHAnsi"/>
                <w:color w:val="000000"/>
                <w:sz w:val="20"/>
                <w:szCs w:val="20"/>
              </w:rPr>
            </w:pPr>
            <w:r w:rsidRPr="00B96362">
              <w:rPr>
                <w:rFonts w:asciiTheme="majorHAnsi" w:hAnsiTheme="majorHAnsi" w:cstheme="majorHAnsi"/>
                <w:b/>
                <w:color w:val="000000"/>
                <w:sz w:val="20"/>
                <w:szCs w:val="20"/>
              </w:rPr>
              <w:t>an operational transfer</w:t>
            </w:r>
            <w:r w:rsidRPr="00B96362">
              <w:rPr>
                <w:rFonts w:asciiTheme="majorHAnsi" w:hAnsiTheme="majorHAnsi" w:cstheme="majorHAnsi"/>
                <w:color w:val="000000"/>
                <w:sz w:val="20"/>
                <w:szCs w:val="20"/>
              </w:rPr>
              <w:t xml:space="preserve"> - under an operational transfer, the </w:t>
            </w:r>
            <w:r>
              <w:rPr>
                <w:rFonts w:asciiTheme="majorHAnsi" w:hAnsiTheme="majorHAnsi" w:cstheme="majorHAnsi"/>
                <w:color w:val="000000"/>
                <w:sz w:val="20"/>
                <w:szCs w:val="20"/>
              </w:rPr>
              <w:t xml:space="preserve">price, prudential and other legal </w:t>
            </w:r>
            <w:r w:rsidRPr="00B96362">
              <w:rPr>
                <w:rFonts w:asciiTheme="majorHAnsi" w:hAnsiTheme="majorHAnsi" w:cstheme="majorHAnsi"/>
                <w:color w:val="000000"/>
                <w:sz w:val="20"/>
                <w:szCs w:val="20"/>
              </w:rPr>
              <w:t xml:space="preserve">provisions </w:t>
            </w:r>
            <w:r>
              <w:rPr>
                <w:rFonts w:asciiTheme="majorHAnsi" w:hAnsiTheme="majorHAnsi" w:cstheme="majorHAnsi"/>
                <w:color w:val="000000"/>
                <w:sz w:val="20"/>
                <w:szCs w:val="20"/>
              </w:rPr>
              <w:t>re</w:t>
            </w:r>
            <w:r w:rsidRPr="00594844">
              <w:rPr>
                <w:rFonts w:asciiTheme="majorHAnsi" w:hAnsiTheme="majorHAnsi" w:cstheme="majorHAnsi"/>
                <w:color w:val="000000"/>
                <w:sz w:val="20"/>
                <w:szCs w:val="20"/>
              </w:rPr>
              <w:t xml:space="preserve">lating to the sale of capacity are set out in the </w:t>
            </w:r>
            <w:r>
              <w:rPr>
                <w:rFonts w:asciiTheme="majorHAnsi" w:hAnsiTheme="majorHAnsi" w:cstheme="majorHAnsi"/>
                <w:color w:val="000000"/>
                <w:sz w:val="20"/>
                <w:szCs w:val="20"/>
              </w:rPr>
              <w:t xml:space="preserve">secondary CTA, Exchange </w:t>
            </w:r>
            <w:r w:rsidR="00DE0813">
              <w:rPr>
                <w:rFonts w:asciiTheme="majorHAnsi" w:hAnsiTheme="majorHAnsi" w:cstheme="majorHAnsi"/>
                <w:color w:val="000000"/>
                <w:sz w:val="20"/>
                <w:szCs w:val="20"/>
              </w:rPr>
              <w:t xml:space="preserve">Agreement </w:t>
            </w:r>
            <w:r>
              <w:rPr>
                <w:rFonts w:asciiTheme="majorHAnsi" w:hAnsiTheme="majorHAnsi" w:cstheme="majorHAnsi"/>
                <w:color w:val="000000"/>
                <w:sz w:val="20"/>
                <w:szCs w:val="20"/>
              </w:rPr>
              <w:t xml:space="preserve">or Auction </w:t>
            </w:r>
            <w:r w:rsidR="00DE0813">
              <w:rPr>
                <w:rFonts w:asciiTheme="majorHAnsi" w:hAnsiTheme="majorHAnsi" w:cstheme="majorHAnsi"/>
                <w:color w:val="000000"/>
                <w:sz w:val="20"/>
                <w:szCs w:val="20"/>
              </w:rPr>
              <w:t>A</w:t>
            </w:r>
            <w:r>
              <w:rPr>
                <w:rFonts w:asciiTheme="majorHAnsi" w:hAnsiTheme="majorHAnsi" w:cstheme="majorHAnsi"/>
                <w:color w:val="000000"/>
                <w:sz w:val="20"/>
                <w:szCs w:val="20"/>
              </w:rPr>
              <w:t xml:space="preserve">greement </w:t>
            </w:r>
            <w:r w:rsidRPr="00594844">
              <w:rPr>
                <w:rFonts w:asciiTheme="majorHAnsi" w:hAnsiTheme="majorHAnsi" w:cstheme="majorHAnsi"/>
                <w:color w:val="000000"/>
                <w:sz w:val="20"/>
                <w:szCs w:val="20"/>
              </w:rPr>
              <w:t>entered into by the shipper</w:t>
            </w:r>
            <w:r>
              <w:rPr>
                <w:rFonts w:asciiTheme="majorHAnsi" w:hAnsiTheme="majorHAnsi" w:cstheme="majorHAnsi"/>
                <w:color w:val="000000"/>
                <w:sz w:val="20"/>
                <w:szCs w:val="20"/>
              </w:rPr>
              <w:t>s</w:t>
            </w:r>
            <w:r w:rsidRPr="00594844">
              <w:rPr>
                <w:rFonts w:asciiTheme="majorHAnsi" w:hAnsiTheme="majorHAnsi" w:cstheme="majorHAnsi"/>
                <w:color w:val="000000"/>
                <w:sz w:val="20"/>
                <w:szCs w:val="20"/>
              </w:rPr>
              <w:t xml:space="preserve">, while the operational terms are set out in the </w:t>
            </w:r>
            <w:r>
              <w:rPr>
                <w:rFonts w:asciiTheme="majorHAnsi" w:hAnsiTheme="majorHAnsi" w:cstheme="majorHAnsi"/>
                <w:color w:val="000000"/>
                <w:sz w:val="20"/>
                <w:szCs w:val="20"/>
              </w:rPr>
              <w:t>o</w:t>
            </w:r>
            <w:r w:rsidRPr="00594844">
              <w:rPr>
                <w:rFonts w:asciiTheme="majorHAnsi" w:hAnsiTheme="majorHAnsi" w:cstheme="majorHAnsi"/>
                <w:color w:val="000000"/>
                <w:sz w:val="20"/>
                <w:szCs w:val="20"/>
              </w:rPr>
              <w:t>perational GTA entered into by the service provider and secondary shipper; or</w:t>
            </w:r>
          </w:p>
          <w:p w14:paraId="714D7F67" w14:textId="77777777" w:rsidR="00D128A9" w:rsidRPr="00594844" w:rsidRDefault="00D128A9" w:rsidP="00F94CA6">
            <w:pPr>
              <w:pStyle w:val="ListBullet"/>
              <w:spacing w:before="40" w:line="252" w:lineRule="auto"/>
              <w:rPr>
                <w:rFonts w:asciiTheme="majorHAnsi" w:hAnsiTheme="majorHAnsi" w:cstheme="majorHAnsi"/>
                <w:color w:val="000000"/>
                <w:sz w:val="20"/>
                <w:szCs w:val="20"/>
              </w:rPr>
            </w:pPr>
            <w:proofErr w:type="gramStart"/>
            <w:r w:rsidRPr="00594844">
              <w:rPr>
                <w:rFonts w:asciiTheme="majorHAnsi" w:eastAsiaTheme="majorEastAsia" w:hAnsiTheme="majorHAnsi" w:cstheme="majorHAnsi"/>
                <w:b/>
                <w:sz w:val="20"/>
                <w:szCs w:val="20"/>
              </w:rPr>
              <w:t>a</w:t>
            </w:r>
            <w:proofErr w:type="gramEnd"/>
            <w:r w:rsidRPr="00594844">
              <w:rPr>
                <w:rFonts w:asciiTheme="majorHAnsi" w:eastAsiaTheme="majorEastAsia" w:hAnsiTheme="majorHAnsi" w:cstheme="majorHAnsi"/>
                <w:b/>
                <w:sz w:val="20"/>
                <w:szCs w:val="20"/>
              </w:rPr>
              <w:t xml:space="preserve"> bare transfer</w:t>
            </w:r>
            <w:r w:rsidRPr="00594844">
              <w:rPr>
                <w:rFonts w:asciiTheme="majorHAnsi" w:eastAsiaTheme="majorEastAsia" w:hAnsiTheme="majorHAnsi" w:cstheme="majorHAnsi"/>
                <w:sz w:val="20"/>
                <w:szCs w:val="20"/>
              </w:rPr>
              <w:t xml:space="preserve"> - under a bare transfer all the terms and conditions applying to the trade are set out in </w:t>
            </w:r>
            <w:r>
              <w:rPr>
                <w:rFonts w:asciiTheme="majorHAnsi" w:eastAsiaTheme="majorEastAsia" w:hAnsiTheme="majorHAnsi" w:cstheme="majorHAnsi"/>
                <w:sz w:val="20"/>
                <w:szCs w:val="20"/>
              </w:rPr>
              <w:t xml:space="preserve">the CTA </w:t>
            </w:r>
            <w:r w:rsidRPr="00594844">
              <w:rPr>
                <w:rFonts w:asciiTheme="majorHAnsi" w:eastAsiaTheme="majorEastAsia" w:hAnsiTheme="majorHAnsi" w:cstheme="majorHAnsi"/>
                <w:sz w:val="20"/>
                <w:szCs w:val="20"/>
              </w:rPr>
              <w:t xml:space="preserve">entered into by the primary and secondary shipper. </w:t>
            </w:r>
          </w:p>
          <w:p w14:paraId="451D8F06" w14:textId="77777777" w:rsidR="00EF1EB5" w:rsidRPr="00E836FA" w:rsidRDefault="00EF1EB5" w:rsidP="00EF1EB5">
            <w:pPr>
              <w:pStyle w:val="Default"/>
              <w:rPr>
                <w:rFonts w:asciiTheme="majorHAnsi" w:hAnsiTheme="majorHAnsi" w:cstheme="majorHAnsi"/>
                <w:sz w:val="20"/>
                <w:szCs w:val="20"/>
              </w:rPr>
            </w:pPr>
            <w:r w:rsidRPr="00E836FA">
              <w:rPr>
                <w:rFonts w:asciiTheme="majorHAnsi" w:hAnsiTheme="majorHAnsi" w:cstheme="majorHAnsi"/>
                <w:sz w:val="20"/>
                <w:szCs w:val="20"/>
              </w:rPr>
              <w:t xml:space="preserve">Under both types of transfers, the </w:t>
            </w:r>
            <w:r>
              <w:rPr>
                <w:rFonts w:asciiTheme="majorHAnsi" w:hAnsiTheme="majorHAnsi" w:cstheme="majorHAnsi"/>
                <w:sz w:val="20"/>
                <w:szCs w:val="20"/>
              </w:rPr>
              <w:t xml:space="preserve">primary shipper’s </w:t>
            </w:r>
            <w:r w:rsidRPr="00E836FA">
              <w:rPr>
                <w:rFonts w:asciiTheme="majorHAnsi" w:hAnsiTheme="majorHAnsi" w:cstheme="majorHAnsi"/>
                <w:sz w:val="20"/>
                <w:szCs w:val="20"/>
              </w:rPr>
              <w:t xml:space="preserve">capacity rights (or part thereof) are temporarily transferred to the </w:t>
            </w:r>
            <w:r>
              <w:rPr>
                <w:rFonts w:asciiTheme="majorHAnsi" w:hAnsiTheme="majorHAnsi" w:cstheme="majorHAnsi"/>
                <w:sz w:val="20"/>
                <w:szCs w:val="20"/>
              </w:rPr>
              <w:t xml:space="preserve">secondary shipper </w:t>
            </w:r>
            <w:r w:rsidRPr="00E836FA">
              <w:rPr>
                <w:rFonts w:asciiTheme="majorHAnsi" w:hAnsiTheme="majorHAnsi" w:cstheme="majorHAnsi"/>
                <w:sz w:val="20"/>
                <w:szCs w:val="20"/>
              </w:rPr>
              <w:t xml:space="preserve">and the obligation to pay </w:t>
            </w:r>
            <w:r>
              <w:rPr>
                <w:rFonts w:asciiTheme="majorHAnsi" w:hAnsiTheme="majorHAnsi" w:cstheme="majorHAnsi"/>
                <w:sz w:val="20"/>
                <w:szCs w:val="20"/>
              </w:rPr>
              <w:t xml:space="preserve">the service provider </w:t>
            </w:r>
            <w:r w:rsidRPr="00E836FA">
              <w:rPr>
                <w:rFonts w:asciiTheme="majorHAnsi" w:hAnsiTheme="majorHAnsi" w:cstheme="majorHAnsi"/>
                <w:sz w:val="20"/>
                <w:szCs w:val="20"/>
              </w:rPr>
              <w:t xml:space="preserve">remains with the </w:t>
            </w:r>
            <w:r>
              <w:rPr>
                <w:rFonts w:asciiTheme="majorHAnsi" w:hAnsiTheme="majorHAnsi" w:cstheme="majorHAnsi"/>
                <w:sz w:val="20"/>
                <w:szCs w:val="20"/>
              </w:rPr>
              <w:t>primary shipper</w:t>
            </w:r>
            <w:r w:rsidRPr="00E836FA">
              <w:rPr>
                <w:rFonts w:asciiTheme="majorHAnsi" w:hAnsiTheme="majorHAnsi" w:cstheme="majorHAnsi"/>
                <w:sz w:val="20"/>
                <w:szCs w:val="20"/>
              </w:rPr>
              <w:t>. The key difference betw</w:t>
            </w:r>
            <w:r>
              <w:rPr>
                <w:rFonts w:asciiTheme="majorHAnsi" w:hAnsiTheme="majorHAnsi" w:cstheme="majorHAnsi"/>
                <w:sz w:val="20"/>
                <w:szCs w:val="20"/>
              </w:rPr>
              <w:t>een these two forms of transfer mechanisms</w:t>
            </w:r>
            <w:r w:rsidRPr="00E836FA">
              <w:rPr>
                <w:rFonts w:asciiTheme="majorHAnsi" w:hAnsiTheme="majorHAnsi" w:cstheme="majorHAnsi"/>
                <w:sz w:val="20"/>
                <w:szCs w:val="20"/>
              </w:rPr>
              <w:t xml:space="preserve"> is that</w:t>
            </w:r>
            <w:r>
              <w:rPr>
                <w:rFonts w:asciiTheme="majorHAnsi" w:hAnsiTheme="majorHAnsi" w:cstheme="majorHAnsi"/>
                <w:sz w:val="20"/>
                <w:szCs w:val="20"/>
              </w:rPr>
              <w:t xml:space="preserve"> under the</w:t>
            </w:r>
            <w:r w:rsidRPr="00E836FA">
              <w:rPr>
                <w:rFonts w:asciiTheme="majorHAnsi" w:hAnsiTheme="majorHAnsi" w:cstheme="majorHAnsi"/>
                <w:sz w:val="20"/>
                <w:szCs w:val="20"/>
              </w:rPr>
              <w:t xml:space="preserve">: </w:t>
            </w:r>
          </w:p>
          <w:p w14:paraId="1A04B5B8" w14:textId="77777777" w:rsidR="00EF1EB5" w:rsidRPr="00F94CA6" w:rsidRDefault="00EF1EB5" w:rsidP="001C4E1C">
            <w:pPr>
              <w:pStyle w:val="ListBullet"/>
              <w:rPr>
                <w:rFonts w:eastAsia="Calibri"/>
                <w:sz w:val="20"/>
                <w:szCs w:val="20"/>
              </w:rPr>
            </w:pPr>
            <w:r w:rsidRPr="00F94CA6">
              <w:rPr>
                <w:rFonts w:eastAsia="Calibri"/>
                <w:sz w:val="20"/>
                <w:szCs w:val="20"/>
              </w:rPr>
              <w:t xml:space="preserve">bare transfer, the primary shipper </w:t>
            </w:r>
            <w:r w:rsidR="00F94CA6" w:rsidRPr="00F94CA6">
              <w:rPr>
                <w:rFonts w:eastAsia="Calibri"/>
                <w:sz w:val="20"/>
                <w:szCs w:val="20"/>
              </w:rPr>
              <w:t xml:space="preserve">is responsible for </w:t>
            </w:r>
            <w:r w:rsidRPr="00F94CA6">
              <w:rPr>
                <w:rFonts w:eastAsia="Calibri"/>
                <w:sz w:val="20"/>
                <w:szCs w:val="20"/>
              </w:rPr>
              <w:t>making nominations on behalf of the buyer of the secondary capacity and complying with the operational and legal obligations imposed by the service provider under its primary GTA for the capacity that it has sold</w:t>
            </w:r>
            <w:r w:rsidR="00AE7A92">
              <w:rPr>
                <w:rFonts w:eastAsia="Calibri"/>
                <w:sz w:val="20"/>
                <w:szCs w:val="20"/>
              </w:rPr>
              <w:t>; and</w:t>
            </w:r>
            <w:r w:rsidRPr="00F94CA6">
              <w:rPr>
                <w:rFonts w:eastAsia="Calibri"/>
                <w:sz w:val="20"/>
                <w:szCs w:val="20"/>
              </w:rPr>
              <w:t xml:space="preserve"> </w:t>
            </w:r>
          </w:p>
          <w:p w14:paraId="41BC13D5" w14:textId="77777777" w:rsidR="00EF1EB5" w:rsidRPr="00E836FA" w:rsidRDefault="00EF1EB5" w:rsidP="00EF1EB5">
            <w:pPr>
              <w:pStyle w:val="ListBullet"/>
              <w:rPr>
                <w:rFonts w:eastAsia="Calibri"/>
                <w:sz w:val="20"/>
                <w:szCs w:val="20"/>
              </w:rPr>
            </w:pPr>
            <w:proofErr w:type="gramStart"/>
            <w:r w:rsidRPr="00E836FA">
              <w:rPr>
                <w:rFonts w:eastAsia="Calibri"/>
                <w:sz w:val="20"/>
                <w:szCs w:val="20"/>
              </w:rPr>
              <w:t>operational</w:t>
            </w:r>
            <w:proofErr w:type="gramEnd"/>
            <w:r w:rsidRPr="00E836FA">
              <w:rPr>
                <w:rFonts w:eastAsia="Calibri"/>
                <w:sz w:val="20"/>
                <w:szCs w:val="20"/>
              </w:rPr>
              <w:t xml:space="preserve"> transfer, the </w:t>
            </w:r>
            <w:r>
              <w:rPr>
                <w:rFonts w:eastAsia="Calibri"/>
                <w:sz w:val="20"/>
                <w:szCs w:val="20"/>
              </w:rPr>
              <w:t xml:space="preserve">secondary shipper </w:t>
            </w:r>
            <w:r w:rsidRPr="00E836FA">
              <w:rPr>
                <w:rFonts w:eastAsia="Calibri"/>
                <w:sz w:val="20"/>
                <w:szCs w:val="20"/>
              </w:rPr>
              <w:t xml:space="preserve">is responsible for making nominations directly to the service provider and complying with the operational and legal obligations in the </w:t>
            </w:r>
            <w:r>
              <w:rPr>
                <w:rFonts w:eastAsia="Calibri"/>
                <w:sz w:val="20"/>
                <w:szCs w:val="20"/>
              </w:rPr>
              <w:t>o</w:t>
            </w:r>
            <w:r w:rsidRPr="00E836FA">
              <w:rPr>
                <w:rFonts w:eastAsia="Calibri"/>
                <w:sz w:val="20"/>
                <w:szCs w:val="20"/>
              </w:rPr>
              <w:t>perational GTA</w:t>
            </w:r>
            <w:r>
              <w:rPr>
                <w:rFonts w:eastAsia="Calibri"/>
                <w:sz w:val="20"/>
                <w:szCs w:val="20"/>
              </w:rPr>
              <w:t xml:space="preserve"> it has entered into with the service provider in relation to the capacity that has been purchased</w:t>
            </w:r>
            <w:r w:rsidRPr="00E836FA">
              <w:rPr>
                <w:rFonts w:eastAsia="Calibri"/>
                <w:sz w:val="20"/>
                <w:szCs w:val="20"/>
              </w:rPr>
              <w:t xml:space="preserve">. </w:t>
            </w:r>
          </w:p>
          <w:p w14:paraId="6751B0DD" w14:textId="77777777" w:rsidR="00EF1EB5" w:rsidRDefault="00EF1EB5" w:rsidP="00EF1EB5">
            <w:pPr>
              <w:pStyle w:val="ListBullet"/>
              <w:numPr>
                <w:ilvl w:val="0"/>
                <w:numId w:val="0"/>
              </w:numPr>
              <w:spacing w:before="0" w:line="252" w:lineRule="auto"/>
              <w:rPr>
                <w:rFonts w:asciiTheme="majorHAnsi" w:hAnsiTheme="majorHAnsi" w:cstheme="majorHAnsi"/>
                <w:sz w:val="20"/>
                <w:szCs w:val="20"/>
              </w:rPr>
            </w:pPr>
            <w:r>
              <w:rPr>
                <w:rFonts w:asciiTheme="majorHAnsi" w:hAnsiTheme="majorHAnsi" w:cstheme="majorHAnsi"/>
                <w:sz w:val="20"/>
                <w:szCs w:val="20"/>
              </w:rPr>
              <w:t>O</w:t>
            </w:r>
            <w:r w:rsidRPr="00E836FA">
              <w:rPr>
                <w:rFonts w:asciiTheme="majorHAnsi" w:hAnsiTheme="majorHAnsi" w:cstheme="majorHAnsi"/>
                <w:sz w:val="20"/>
                <w:szCs w:val="20"/>
              </w:rPr>
              <w:t>perational transfer</w:t>
            </w:r>
            <w:r>
              <w:rPr>
                <w:rFonts w:asciiTheme="majorHAnsi" w:hAnsiTheme="majorHAnsi" w:cstheme="majorHAnsi"/>
                <w:sz w:val="20"/>
                <w:szCs w:val="20"/>
              </w:rPr>
              <w:t>s</w:t>
            </w:r>
            <w:r w:rsidRPr="00E836FA">
              <w:rPr>
                <w:rFonts w:asciiTheme="majorHAnsi" w:hAnsiTheme="majorHAnsi" w:cstheme="majorHAnsi"/>
                <w:sz w:val="20"/>
                <w:szCs w:val="20"/>
              </w:rPr>
              <w:t xml:space="preserve"> </w:t>
            </w:r>
            <w:r>
              <w:rPr>
                <w:rFonts w:asciiTheme="majorHAnsi" w:hAnsiTheme="majorHAnsi" w:cstheme="majorHAnsi"/>
                <w:sz w:val="20"/>
                <w:szCs w:val="20"/>
              </w:rPr>
              <w:t>can therefore result</w:t>
            </w:r>
            <w:r w:rsidRPr="00E836FA">
              <w:rPr>
                <w:rFonts w:asciiTheme="majorHAnsi" w:hAnsiTheme="majorHAnsi" w:cstheme="majorHAnsi"/>
                <w:sz w:val="20"/>
                <w:szCs w:val="20"/>
              </w:rPr>
              <w:t xml:space="preserve"> in lower administrative and monitoring costs for the primary </w:t>
            </w:r>
            <w:r>
              <w:rPr>
                <w:rFonts w:asciiTheme="majorHAnsi" w:hAnsiTheme="majorHAnsi" w:cstheme="majorHAnsi"/>
                <w:sz w:val="20"/>
                <w:szCs w:val="20"/>
              </w:rPr>
              <w:t xml:space="preserve">shipper </w:t>
            </w:r>
            <w:r w:rsidRPr="00E836FA">
              <w:rPr>
                <w:rFonts w:asciiTheme="majorHAnsi" w:hAnsiTheme="majorHAnsi" w:cstheme="majorHAnsi"/>
                <w:sz w:val="20"/>
                <w:szCs w:val="20"/>
              </w:rPr>
              <w:t xml:space="preserve">and </w:t>
            </w:r>
            <w:r w:rsidR="00CE0F95">
              <w:rPr>
                <w:rFonts w:asciiTheme="majorHAnsi" w:hAnsiTheme="majorHAnsi" w:cstheme="majorHAnsi"/>
                <w:sz w:val="20"/>
                <w:szCs w:val="20"/>
              </w:rPr>
              <w:t>enhance commercial confidentiality</w:t>
            </w:r>
            <w:r w:rsidRPr="00E836FA">
              <w:rPr>
                <w:rFonts w:asciiTheme="majorHAnsi" w:hAnsiTheme="majorHAnsi" w:cstheme="majorHAnsi"/>
                <w:sz w:val="20"/>
                <w:szCs w:val="20"/>
              </w:rPr>
              <w:t xml:space="preserve"> for the </w:t>
            </w:r>
            <w:r>
              <w:rPr>
                <w:rFonts w:asciiTheme="majorHAnsi" w:hAnsiTheme="majorHAnsi" w:cstheme="majorHAnsi"/>
                <w:sz w:val="20"/>
                <w:szCs w:val="20"/>
              </w:rPr>
              <w:t>secondary shipper</w:t>
            </w:r>
            <w:r w:rsidRPr="00E836FA">
              <w:rPr>
                <w:rFonts w:asciiTheme="majorHAnsi" w:hAnsiTheme="majorHAnsi" w:cstheme="majorHAnsi"/>
                <w:sz w:val="20"/>
                <w:szCs w:val="20"/>
              </w:rPr>
              <w:t xml:space="preserve">. </w:t>
            </w:r>
          </w:p>
          <w:p w14:paraId="43FAE9FF" w14:textId="77777777" w:rsidR="00DE0813" w:rsidRDefault="00DE0813" w:rsidP="00EF1EB5">
            <w:pPr>
              <w:pStyle w:val="ListBullet"/>
              <w:numPr>
                <w:ilvl w:val="0"/>
                <w:numId w:val="0"/>
              </w:numPr>
              <w:spacing w:before="0" w:line="252" w:lineRule="auto"/>
              <w:rPr>
                <w:rFonts w:asciiTheme="majorHAnsi" w:hAnsiTheme="majorHAnsi" w:cstheme="majorHAnsi"/>
                <w:sz w:val="20"/>
                <w:szCs w:val="20"/>
              </w:rPr>
            </w:pPr>
          </w:p>
          <w:p w14:paraId="0BEFC211" w14:textId="77777777" w:rsidR="00D128A9" w:rsidRDefault="00D128A9" w:rsidP="008576DB">
            <w:pPr>
              <w:pStyle w:val="BodyText"/>
              <w:keepNext/>
              <w:spacing w:before="0" w:after="0" w:line="252" w:lineRule="auto"/>
              <w:ind w:left="-164"/>
              <w:rPr>
                <w:rFonts w:eastAsiaTheme="majorEastAsia"/>
                <w:b/>
                <w:sz w:val="20"/>
                <w:szCs w:val="20"/>
              </w:rPr>
            </w:pPr>
            <w:r w:rsidRPr="00594844">
              <w:rPr>
                <w:rFonts w:eastAsiaTheme="majorEastAsia"/>
                <w:b/>
                <w:sz w:val="20"/>
                <w:szCs w:val="20"/>
              </w:rPr>
              <w:t>Operational Transfer</w:t>
            </w:r>
          </w:p>
          <w:p w14:paraId="127F8785" w14:textId="77777777" w:rsidR="006B0BD1" w:rsidRPr="00594844" w:rsidRDefault="006B0BD1" w:rsidP="008576DB">
            <w:pPr>
              <w:pStyle w:val="BodyText"/>
              <w:keepNext/>
              <w:spacing w:before="0" w:after="0" w:line="252" w:lineRule="auto"/>
              <w:ind w:left="-164"/>
              <w:rPr>
                <w:rFonts w:eastAsiaTheme="majorEastAsia"/>
                <w:b/>
                <w:sz w:val="20"/>
                <w:szCs w:val="20"/>
              </w:rPr>
            </w:pPr>
          </w:p>
          <w:p w14:paraId="07F4C545" w14:textId="77777777" w:rsidR="009C1501" w:rsidRDefault="00D128A9" w:rsidP="00D128A9">
            <w:pPr>
              <w:pStyle w:val="BodyText"/>
              <w:spacing w:before="0" w:after="0" w:line="252" w:lineRule="auto"/>
              <w:ind w:left="-165"/>
              <w:rPr>
                <w:rFonts w:eastAsiaTheme="majorEastAsia"/>
                <w:b/>
                <w:sz w:val="20"/>
                <w:szCs w:val="20"/>
              </w:rPr>
            </w:pPr>
            <w:r>
              <w:rPr>
                <w:rFonts w:eastAsiaTheme="majorEastAsia"/>
                <w:b/>
                <w:noProof/>
                <w:sz w:val="20"/>
                <w:szCs w:val="20"/>
              </w:rPr>
              <w:drawing>
                <wp:inline distT="0" distB="0" distL="0" distR="0" wp14:anchorId="64BEE7D1" wp14:editId="0AD01A37">
                  <wp:extent cx="5569200" cy="3240000"/>
                  <wp:effectExtent l="0" t="0" r="0" b="0"/>
                  <wp:docPr id="14" name="Picture 14" descr="Operational Transfer" title="Capacity transfer mechanisms"/>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Op transfer.PNG"/>
                          <pic:cNvPicPr/>
                        </pic:nvPicPr>
                        <pic:blipFill>
                          <a:blip r:embed="rId50">
                            <a:extLst>
                              <a:ext uri="{28A0092B-C50C-407E-A947-70E740481C1C}">
                                <a14:useLocalDpi xmlns:a14="http://schemas.microsoft.com/office/drawing/2010/main" val="0"/>
                              </a:ext>
                            </a:extLst>
                          </a:blip>
                          <a:stretch>
                            <a:fillRect/>
                          </a:stretch>
                        </pic:blipFill>
                        <pic:spPr>
                          <a:xfrm>
                            <a:off x="0" y="0"/>
                            <a:ext cx="5569200" cy="3240000"/>
                          </a:xfrm>
                          <a:prstGeom prst="rect">
                            <a:avLst/>
                          </a:prstGeom>
                        </pic:spPr>
                      </pic:pic>
                    </a:graphicData>
                  </a:graphic>
                </wp:inline>
              </w:drawing>
            </w:r>
            <w:r w:rsidRPr="00594844">
              <w:rPr>
                <w:rFonts w:eastAsiaTheme="majorEastAsia"/>
                <w:b/>
                <w:sz w:val="20"/>
                <w:szCs w:val="20"/>
              </w:rPr>
              <w:t xml:space="preserve"> </w:t>
            </w:r>
          </w:p>
          <w:p w14:paraId="67CF06AF" w14:textId="77777777" w:rsidR="006B0BD1" w:rsidRDefault="006B0BD1" w:rsidP="00D128A9">
            <w:pPr>
              <w:pStyle w:val="BodyText"/>
              <w:spacing w:before="0" w:after="0" w:line="252" w:lineRule="auto"/>
              <w:ind w:left="-165"/>
              <w:rPr>
                <w:rFonts w:eastAsiaTheme="majorEastAsia"/>
                <w:b/>
                <w:sz w:val="20"/>
                <w:szCs w:val="20"/>
              </w:rPr>
            </w:pPr>
          </w:p>
          <w:p w14:paraId="4D45B90C" w14:textId="77777777" w:rsidR="00D128A9" w:rsidRDefault="00D128A9" w:rsidP="00D128A9">
            <w:pPr>
              <w:pStyle w:val="BodyText"/>
              <w:spacing w:before="0" w:after="0" w:line="252" w:lineRule="auto"/>
              <w:ind w:left="-165"/>
              <w:rPr>
                <w:rFonts w:eastAsiaTheme="majorEastAsia"/>
                <w:b/>
                <w:sz w:val="20"/>
                <w:szCs w:val="20"/>
              </w:rPr>
            </w:pPr>
            <w:r w:rsidRPr="00594844">
              <w:rPr>
                <w:rFonts w:eastAsiaTheme="majorEastAsia"/>
                <w:b/>
                <w:sz w:val="20"/>
                <w:szCs w:val="20"/>
              </w:rPr>
              <w:lastRenderedPageBreak/>
              <w:t>Bare Transfer</w:t>
            </w:r>
          </w:p>
          <w:p w14:paraId="06D8E34B" w14:textId="77777777" w:rsidR="008576DB" w:rsidRPr="00D009A9" w:rsidRDefault="00D128A9" w:rsidP="00D009A9">
            <w:pPr>
              <w:pStyle w:val="BodyText"/>
              <w:spacing w:before="0" w:after="0"/>
              <w:ind w:left="-165"/>
              <w:rPr>
                <w:rFonts w:eastAsiaTheme="majorEastAsia"/>
                <w:sz w:val="20"/>
                <w:szCs w:val="20"/>
              </w:rPr>
            </w:pPr>
            <w:r>
              <w:rPr>
                <w:rFonts w:eastAsiaTheme="majorEastAsia"/>
                <w:noProof/>
                <w:sz w:val="20"/>
                <w:szCs w:val="20"/>
              </w:rPr>
              <w:drawing>
                <wp:inline distT="0" distB="0" distL="0" distR="0" wp14:anchorId="6C8A68EC" wp14:editId="14E827BD">
                  <wp:extent cx="5569200" cy="3240000"/>
                  <wp:effectExtent l="0" t="0" r="0" b="0"/>
                  <wp:docPr id="15" name="Picture 15" descr="Bare Transfer" title="Capacity Transfer Mechanisms"/>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Bare transfer.PNG"/>
                          <pic:cNvPicPr/>
                        </pic:nvPicPr>
                        <pic:blipFill>
                          <a:blip r:embed="rId51">
                            <a:extLst>
                              <a:ext uri="{28A0092B-C50C-407E-A947-70E740481C1C}">
                                <a14:useLocalDpi xmlns:a14="http://schemas.microsoft.com/office/drawing/2010/main" val="0"/>
                              </a:ext>
                            </a:extLst>
                          </a:blip>
                          <a:stretch>
                            <a:fillRect/>
                          </a:stretch>
                        </pic:blipFill>
                        <pic:spPr>
                          <a:xfrm>
                            <a:off x="0" y="0"/>
                            <a:ext cx="5569200" cy="3240000"/>
                          </a:xfrm>
                          <a:prstGeom prst="rect">
                            <a:avLst/>
                          </a:prstGeom>
                        </pic:spPr>
                      </pic:pic>
                    </a:graphicData>
                  </a:graphic>
                </wp:inline>
              </w:drawing>
            </w:r>
          </w:p>
        </w:tc>
      </w:tr>
    </w:tbl>
    <w:p w14:paraId="4CAC5DFE" w14:textId="77777777" w:rsidR="006B0BD1" w:rsidRDefault="006B0BD1"/>
    <w:p w14:paraId="5FAEFB1B" w14:textId="77777777" w:rsidR="00D128A9" w:rsidRDefault="00D128A9" w:rsidP="00D128A9">
      <w:pPr>
        <w:pStyle w:val="BodyText"/>
        <w:spacing w:before="0" w:after="0" w:line="240" w:lineRule="auto"/>
        <w:rPr>
          <w:sz w:val="18"/>
          <w:szCs w:val="18"/>
        </w:rPr>
      </w:pPr>
      <w:r w:rsidRPr="00EC75C1">
        <w:rPr>
          <w:sz w:val="18"/>
          <w:szCs w:val="18"/>
        </w:rPr>
        <w:t xml:space="preserve">Source: AEMC, </w:t>
      </w:r>
      <w:r>
        <w:rPr>
          <w:sz w:val="18"/>
          <w:szCs w:val="18"/>
        </w:rPr>
        <w:t xml:space="preserve">Stage 2 Final Report: </w:t>
      </w:r>
      <w:r w:rsidR="005E3347" w:rsidRPr="005E3347">
        <w:rPr>
          <w:i/>
          <w:sz w:val="18"/>
          <w:szCs w:val="18"/>
        </w:rPr>
        <w:t>East Coast Review</w:t>
      </w:r>
      <w:r w:rsidRPr="00EC75C1">
        <w:rPr>
          <w:sz w:val="18"/>
          <w:szCs w:val="18"/>
        </w:rPr>
        <w:t xml:space="preserve">, </w:t>
      </w:r>
      <w:r>
        <w:rPr>
          <w:sz w:val="18"/>
          <w:szCs w:val="18"/>
        </w:rPr>
        <w:t>23</w:t>
      </w:r>
      <w:r w:rsidRPr="00EC75C1">
        <w:rPr>
          <w:sz w:val="18"/>
          <w:szCs w:val="18"/>
        </w:rPr>
        <w:t xml:space="preserve"> </w:t>
      </w:r>
      <w:r>
        <w:rPr>
          <w:sz w:val="18"/>
          <w:szCs w:val="18"/>
        </w:rPr>
        <w:t xml:space="preserve">May </w:t>
      </w:r>
      <w:r w:rsidRPr="00EC75C1">
        <w:rPr>
          <w:sz w:val="18"/>
          <w:szCs w:val="18"/>
        </w:rPr>
        <w:t>2016, p</w:t>
      </w:r>
      <w:r>
        <w:rPr>
          <w:sz w:val="18"/>
          <w:szCs w:val="18"/>
        </w:rPr>
        <w:t>p</w:t>
      </w:r>
      <w:r w:rsidRPr="00EC75C1">
        <w:rPr>
          <w:sz w:val="18"/>
          <w:szCs w:val="18"/>
        </w:rPr>
        <w:t xml:space="preserve">. </w:t>
      </w:r>
      <w:r>
        <w:rPr>
          <w:sz w:val="18"/>
          <w:szCs w:val="18"/>
        </w:rPr>
        <w:t>99-</w:t>
      </w:r>
      <w:r w:rsidRPr="00EC75C1">
        <w:rPr>
          <w:sz w:val="18"/>
          <w:szCs w:val="18"/>
        </w:rPr>
        <w:t>1</w:t>
      </w:r>
      <w:r>
        <w:rPr>
          <w:sz w:val="18"/>
          <w:szCs w:val="18"/>
        </w:rPr>
        <w:t>00 and Pipeline Access Discussion Paper, 3 March 2016, pp. 18-19</w:t>
      </w:r>
      <w:r w:rsidRPr="00EC75C1">
        <w:rPr>
          <w:sz w:val="18"/>
          <w:szCs w:val="18"/>
        </w:rPr>
        <w:t>.</w:t>
      </w:r>
    </w:p>
    <w:p w14:paraId="56E4317E" w14:textId="77777777" w:rsidR="00AE7A92" w:rsidRDefault="00AE7A92" w:rsidP="00D128A9">
      <w:pPr>
        <w:pStyle w:val="BodyText"/>
        <w:spacing w:before="0" w:after="0" w:line="240" w:lineRule="auto"/>
        <w:rPr>
          <w:sz w:val="18"/>
          <w:szCs w:val="18"/>
        </w:rPr>
      </w:pPr>
    </w:p>
    <w:p w14:paraId="0B4BA431" w14:textId="77777777" w:rsidR="00DE0813" w:rsidRDefault="00DE0813" w:rsidP="00DE0813">
      <w:pPr>
        <w:pStyle w:val="BodyText"/>
      </w:pPr>
      <w:bookmarkStart w:id="61" w:name="_Ref490565600"/>
      <w:bookmarkStart w:id="62" w:name="_Ref491754432"/>
      <w:bookmarkStart w:id="63" w:name="_Ref491756890"/>
      <w:bookmarkStart w:id="64" w:name="_Hlk490588821"/>
      <w:r>
        <w:br w:type="page"/>
      </w:r>
    </w:p>
    <w:p w14:paraId="6FE6911D" w14:textId="77777777" w:rsidR="00A45719" w:rsidRDefault="00A45719" w:rsidP="001E27B6">
      <w:pPr>
        <w:pStyle w:val="Heading1"/>
      </w:pPr>
      <w:bookmarkStart w:id="65" w:name="_Toc499542645"/>
      <w:r>
        <w:lastRenderedPageBreak/>
        <w:t xml:space="preserve">Assessment </w:t>
      </w:r>
      <w:r w:rsidR="00DF3C44">
        <w:t>F</w:t>
      </w:r>
      <w:r>
        <w:t>ramework</w:t>
      </w:r>
      <w:bookmarkEnd w:id="61"/>
      <w:bookmarkEnd w:id="65"/>
      <w:r w:rsidR="00C203FF">
        <w:t xml:space="preserve"> </w:t>
      </w:r>
      <w:bookmarkEnd w:id="62"/>
      <w:bookmarkEnd w:id="63"/>
    </w:p>
    <w:bookmarkEnd w:id="64"/>
    <w:p w14:paraId="7B59F0E7" w14:textId="77777777" w:rsidR="001E27B6" w:rsidRDefault="001E27B6" w:rsidP="001E27B6">
      <w:pPr>
        <w:pStyle w:val="BodyText"/>
        <w:spacing w:before="0"/>
      </w:pPr>
      <w:r>
        <w:t xml:space="preserve">There are a number of different ways in which the capacity trading reforms could be designed and implemented. When assessing these options and developing its final recommendations, the GMRG </w:t>
      </w:r>
      <w:r w:rsidR="008860AF">
        <w:t xml:space="preserve">has had regard to </w:t>
      </w:r>
      <w:r>
        <w:t>the rule making test that the AEMC is required to consider when exercising its rule making functions.</w:t>
      </w:r>
      <w:r>
        <w:rPr>
          <w:rStyle w:val="FootnoteReference"/>
        </w:rPr>
        <w:footnoteReference w:id="20"/>
      </w:r>
      <w:r>
        <w:t xml:space="preserve"> This test states that:</w:t>
      </w:r>
      <w:r>
        <w:rPr>
          <w:rStyle w:val="FootnoteReference"/>
        </w:rPr>
        <w:footnoteReference w:id="21"/>
      </w:r>
    </w:p>
    <w:p w14:paraId="447BD95C" w14:textId="77777777" w:rsidR="001E27B6" w:rsidRPr="00F25A6F" w:rsidRDefault="001E27B6" w:rsidP="001E27B6">
      <w:pPr>
        <w:pStyle w:val="ListBullet"/>
        <w:numPr>
          <w:ilvl w:val="0"/>
          <w:numId w:val="16"/>
        </w:numPr>
        <w:spacing w:before="0"/>
        <w:rPr>
          <w:bCs/>
          <w:i/>
          <w:sz w:val="20"/>
          <w:szCs w:val="20"/>
        </w:rPr>
      </w:pPr>
      <w:r w:rsidRPr="00465134">
        <w:rPr>
          <w:bCs/>
        </w:rPr>
        <w:t>the AEMC may only make a rule if it is satisfied it will, or is likely to, contribute to the achievement of the NGO</w:t>
      </w:r>
      <w:r>
        <w:rPr>
          <w:bCs/>
        </w:rPr>
        <w:t>; and</w:t>
      </w:r>
    </w:p>
    <w:p w14:paraId="5E4E799C" w14:textId="77777777" w:rsidR="001E27B6" w:rsidRDefault="001E27B6" w:rsidP="001E27B6">
      <w:pPr>
        <w:pStyle w:val="ListBullet"/>
        <w:numPr>
          <w:ilvl w:val="0"/>
          <w:numId w:val="16"/>
        </w:numPr>
        <w:spacing w:before="0"/>
      </w:pPr>
      <w:r w:rsidRPr="00465134">
        <w:rPr>
          <w:bCs/>
        </w:rPr>
        <w:t>the AEMC may give such weight to any aspect of the NGO as it considers appropriate, having regard to any relevant Council statement of policy principles.</w:t>
      </w:r>
      <w:r>
        <w:t xml:space="preserve"> </w:t>
      </w:r>
    </w:p>
    <w:p w14:paraId="039C31B0" w14:textId="77777777" w:rsidR="001E27B6" w:rsidRDefault="001E27B6" w:rsidP="001E27B6">
      <w:pPr>
        <w:pStyle w:val="BodyText"/>
        <w:spacing w:before="0" w:after="0"/>
        <w:rPr>
          <w:bCs/>
        </w:rPr>
      </w:pPr>
      <w:r w:rsidRPr="00643282">
        <w:t xml:space="preserve">In keeping with this test, the GMRG </w:t>
      </w:r>
      <w:r w:rsidR="008860AF">
        <w:t xml:space="preserve">has had </w:t>
      </w:r>
      <w:r w:rsidRPr="00643282">
        <w:t xml:space="preserve">regard to the </w:t>
      </w:r>
      <w:r w:rsidRPr="00643282">
        <w:rPr>
          <w:bCs/>
        </w:rPr>
        <w:t>NGO</w:t>
      </w:r>
      <w:r>
        <w:rPr>
          <w:bCs/>
        </w:rPr>
        <w:t xml:space="preserve">, which as noted in </w:t>
      </w:r>
      <w:r w:rsidRPr="00643282">
        <w:rPr>
          <w:bCs/>
        </w:rPr>
        <w:fldChar w:fldCharType="begin"/>
      </w:r>
      <w:r w:rsidRPr="00643282">
        <w:rPr>
          <w:bCs/>
        </w:rPr>
        <w:instrText xml:space="preserve"> REF _Ref482330736 \h  \* MERGEFORMAT </w:instrText>
      </w:r>
      <w:r w:rsidRPr="00643282">
        <w:rPr>
          <w:bCs/>
        </w:rPr>
      </w:r>
      <w:r w:rsidRPr="00643282">
        <w:rPr>
          <w:bCs/>
        </w:rPr>
        <w:fldChar w:fldCharType="separate"/>
      </w:r>
      <w:r w:rsidR="00761861" w:rsidRPr="00761861">
        <w:t xml:space="preserve">Box </w:t>
      </w:r>
      <w:r w:rsidR="00761861" w:rsidRPr="00761861">
        <w:rPr>
          <w:noProof/>
        </w:rPr>
        <w:t>1.1</w:t>
      </w:r>
      <w:r w:rsidRPr="00643282">
        <w:rPr>
          <w:bCs/>
        </w:rPr>
        <w:fldChar w:fldCharType="end"/>
      </w:r>
      <w:r w:rsidR="00B35496">
        <w:rPr>
          <w:bCs/>
        </w:rPr>
        <w:t>,</w:t>
      </w:r>
      <w:r>
        <w:rPr>
          <w:bCs/>
        </w:rPr>
        <w:t xml:space="preserve"> is to promote efficiency for the long-term interests of natural gas consumers (see </w:t>
      </w:r>
      <w:r>
        <w:rPr>
          <w:bCs/>
        </w:rPr>
        <w:fldChar w:fldCharType="begin"/>
      </w:r>
      <w:r>
        <w:rPr>
          <w:bCs/>
        </w:rPr>
        <w:instrText xml:space="preserve"> REF _Ref495348312 \h </w:instrText>
      </w:r>
      <w:r>
        <w:rPr>
          <w:bCs/>
        </w:rPr>
      </w:r>
      <w:r>
        <w:rPr>
          <w:bCs/>
        </w:rPr>
        <w:fldChar w:fldCharType="separate"/>
      </w:r>
      <w:r w:rsidR="00761861">
        <w:t xml:space="preserve">Box </w:t>
      </w:r>
      <w:r w:rsidR="00761861">
        <w:rPr>
          <w:noProof/>
        </w:rPr>
        <w:t>3</w:t>
      </w:r>
      <w:r w:rsidR="00761861">
        <w:t>.</w:t>
      </w:r>
      <w:r w:rsidR="00761861">
        <w:rPr>
          <w:noProof/>
        </w:rPr>
        <w:t>1</w:t>
      </w:r>
      <w:r>
        <w:rPr>
          <w:bCs/>
        </w:rPr>
        <w:fldChar w:fldCharType="end"/>
      </w:r>
      <w:r>
        <w:rPr>
          <w:bCs/>
        </w:rPr>
        <w:t xml:space="preserve"> for more detail on economic efficiency). </w:t>
      </w:r>
    </w:p>
    <w:tbl>
      <w:tblPr>
        <w:tblStyle w:val="PullOutBoxTable"/>
        <w:tblW w:w="5000" w:type="pct"/>
        <w:tblLook w:val="0600" w:firstRow="0" w:lastRow="0" w:firstColumn="0" w:lastColumn="0" w:noHBand="1" w:noVBand="1"/>
        <w:tblCaption w:val="Box 3.1"/>
        <w:tblDescription w:val="Economic efficiency concepts"/>
      </w:tblPr>
      <w:tblGrid>
        <w:gridCol w:w="8788"/>
      </w:tblGrid>
      <w:tr w:rsidR="002A4FF3" w:rsidRPr="001E27B6" w14:paraId="614DC786" w14:textId="77777777" w:rsidTr="002A4FF3">
        <w:trPr>
          <w:tblHeader/>
        </w:trPr>
        <w:tc>
          <w:tcPr>
            <w:tcW w:w="5000" w:type="pct"/>
            <w:shd w:val="clear" w:color="auto" w:fill="auto"/>
          </w:tcPr>
          <w:p w14:paraId="46CDD413" w14:textId="186DEC71" w:rsidR="002A4FF3" w:rsidRPr="001E27B6" w:rsidRDefault="002A4FF3" w:rsidP="002A4FF3">
            <w:pPr>
              <w:rPr>
                <w:rFonts w:asciiTheme="majorHAnsi" w:hAnsiTheme="majorHAnsi" w:cstheme="majorHAnsi"/>
                <w:sz w:val="20"/>
                <w:szCs w:val="20"/>
              </w:rPr>
            </w:pPr>
            <w:bookmarkStart w:id="66" w:name="_Ref495348312"/>
            <w:r w:rsidRPr="002A4FF3">
              <w:rPr>
                <w:b/>
              </w:rPr>
              <w:t xml:space="preserve">Box </w:t>
            </w:r>
            <w:r w:rsidRPr="002A4FF3">
              <w:rPr>
                <w:b/>
              </w:rPr>
              <w:fldChar w:fldCharType="begin"/>
            </w:r>
            <w:r w:rsidRPr="002A4FF3">
              <w:rPr>
                <w:b/>
              </w:rPr>
              <w:instrText xml:space="preserve"> STYLEREF 1 \s </w:instrText>
            </w:r>
            <w:r w:rsidRPr="002A4FF3">
              <w:rPr>
                <w:b/>
              </w:rPr>
              <w:fldChar w:fldCharType="separate"/>
            </w:r>
            <w:r w:rsidRPr="002A4FF3">
              <w:rPr>
                <w:b/>
                <w:noProof/>
              </w:rPr>
              <w:t>3</w:t>
            </w:r>
            <w:r w:rsidRPr="002A4FF3">
              <w:rPr>
                <w:b/>
                <w:noProof/>
              </w:rPr>
              <w:fldChar w:fldCharType="end"/>
            </w:r>
            <w:r w:rsidRPr="002A4FF3">
              <w:rPr>
                <w:b/>
              </w:rPr>
              <w:t>.</w:t>
            </w:r>
            <w:r w:rsidRPr="002A4FF3">
              <w:rPr>
                <w:b/>
              </w:rPr>
              <w:fldChar w:fldCharType="begin"/>
            </w:r>
            <w:r w:rsidRPr="002A4FF3">
              <w:rPr>
                <w:b/>
              </w:rPr>
              <w:instrText xml:space="preserve"> SEQ Box \* ARABIC \s 1 </w:instrText>
            </w:r>
            <w:r w:rsidRPr="002A4FF3">
              <w:rPr>
                <w:b/>
              </w:rPr>
              <w:fldChar w:fldCharType="separate"/>
            </w:r>
            <w:r w:rsidRPr="002A4FF3">
              <w:rPr>
                <w:b/>
                <w:noProof/>
              </w:rPr>
              <w:t>1</w:t>
            </w:r>
            <w:r w:rsidRPr="002A4FF3">
              <w:rPr>
                <w:b/>
                <w:noProof/>
              </w:rPr>
              <w:fldChar w:fldCharType="end"/>
            </w:r>
            <w:bookmarkEnd w:id="66"/>
            <w:r w:rsidRPr="002A4FF3">
              <w:rPr>
                <w:b/>
              </w:rPr>
              <w:t>: Economic efficiency concepts</w:t>
            </w:r>
          </w:p>
        </w:tc>
      </w:tr>
      <w:tr w:rsidR="002A4FF3" w:rsidRPr="001E27B6" w14:paraId="372B67AD" w14:textId="77777777" w:rsidTr="006B0BD1">
        <w:trPr>
          <w:trHeight w:val="13"/>
          <w:tblHeader/>
        </w:trPr>
        <w:tc>
          <w:tcPr>
            <w:tcW w:w="5000" w:type="pct"/>
          </w:tcPr>
          <w:p w14:paraId="17352567" w14:textId="77777777" w:rsidR="002A4FF3" w:rsidRPr="001E27B6" w:rsidRDefault="002A4FF3" w:rsidP="002A4FF3">
            <w:pPr>
              <w:spacing w:after="80"/>
              <w:rPr>
                <w:rFonts w:asciiTheme="majorHAnsi" w:hAnsiTheme="majorHAnsi" w:cstheme="majorHAnsi"/>
                <w:sz w:val="20"/>
                <w:szCs w:val="20"/>
              </w:rPr>
            </w:pPr>
            <w:r w:rsidRPr="001E27B6">
              <w:rPr>
                <w:rFonts w:asciiTheme="majorHAnsi" w:hAnsiTheme="majorHAnsi" w:cstheme="majorHAnsi"/>
                <w:sz w:val="20"/>
                <w:szCs w:val="20"/>
              </w:rPr>
              <w:t>Economists generally recognise the following types of efficiency:</w:t>
            </w:r>
          </w:p>
          <w:p w14:paraId="6CE893D1" w14:textId="77777777" w:rsidR="002A4FF3" w:rsidRPr="001E27B6" w:rsidRDefault="002A4FF3" w:rsidP="002A4FF3">
            <w:pPr>
              <w:pStyle w:val="ListBullets"/>
              <w:spacing w:after="80"/>
              <w:rPr>
                <w:rFonts w:asciiTheme="majorHAnsi" w:hAnsiTheme="majorHAnsi" w:cstheme="majorHAnsi"/>
                <w:sz w:val="20"/>
                <w:szCs w:val="20"/>
              </w:rPr>
            </w:pPr>
            <w:r w:rsidRPr="002B289C">
              <w:rPr>
                <w:rFonts w:asciiTheme="majorHAnsi" w:hAnsiTheme="majorHAnsi" w:cstheme="majorHAnsi"/>
                <w:b/>
                <w:sz w:val="20"/>
                <w:szCs w:val="20"/>
                <w:lang w:eastAsia="en-AU"/>
              </w:rPr>
              <w:t>Allocative efficiency</w:t>
            </w:r>
            <w:r w:rsidRPr="001E27B6">
              <w:rPr>
                <w:rFonts w:asciiTheme="majorHAnsi" w:hAnsiTheme="majorHAnsi" w:cstheme="majorHAnsi"/>
                <w:sz w:val="20"/>
                <w:szCs w:val="20"/>
                <w:lang w:eastAsia="en-AU"/>
              </w:rPr>
              <w:t xml:space="preserve"> – </w:t>
            </w:r>
            <w:r>
              <w:rPr>
                <w:rFonts w:asciiTheme="majorHAnsi" w:hAnsiTheme="majorHAnsi" w:cstheme="majorHAnsi"/>
                <w:sz w:val="20"/>
                <w:szCs w:val="20"/>
                <w:lang w:eastAsia="en-AU"/>
              </w:rPr>
              <w:t>T</w:t>
            </w:r>
            <w:r w:rsidRPr="001E27B6">
              <w:rPr>
                <w:rFonts w:asciiTheme="majorHAnsi" w:hAnsiTheme="majorHAnsi" w:cstheme="majorHAnsi"/>
                <w:sz w:val="20"/>
                <w:szCs w:val="20"/>
                <w:lang w:eastAsia="en-AU"/>
              </w:rPr>
              <w:t xml:space="preserve">his term is used to refer to the situation in which society’s resources are allocated </w:t>
            </w:r>
            <w:r w:rsidRPr="001E27B6">
              <w:rPr>
                <w:rFonts w:asciiTheme="majorHAnsi" w:hAnsiTheme="majorHAnsi" w:cstheme="majorHAnsi"/>
                <w:sz w:val="20"/>
                <w:szCs w:val="20"/>
              </w:rPr>
              <w:t xml:space="preserve">between end uses in an optimal way </w:t>
            </w:r>
            <w:r>
              <w:rPr>
                <w:rFonts w:asciiTheme="majorHAnsi" w:hAnsiTheme="majorHAnsi" w:cstheme="majorHAnsi"/>
                <w:sz w:val="20"/>
                <w:szCs w:val="20"/>
              </w:rPr>
              <w:t xml:space="preserve">to those that value them most. </w:t>
            </w:r>
            <w:r w:rsidRPr="001E27B6">
              <w:rPr>
                <w:rFonts w:asciiTheme="majorHAnsi" w:hAnsiTheme="majorHAnsi" w:cstheme="majorHAnsi"/>
                <w:sz w:val="20"/>
                <w:szCs w:val="20"/>
              </w:rPr>
              <w:t xml:space="preserve">This efficiency concept requires prices that are cost reflective and is consistent with the ‘efficient use of’ </w:t>
            </w:r>
            <w:r w:rsidRPr="001E27B6">
              <w:rPr>
                <w:rFonts w:asciiTheme="majorHAnsi" w:hAnsiTheme="majorHAnsi" w:cstheme="majorHAnsi"/>
                <w:sz w:val="20"/>
                <w:szCs w:val="20"/>
                <w:lang w:eastAsia="en-AU"/>
              </w:rPr>
              <w:t xml:space="preserve">element </w:t>
            </w:r>
            <w:r w:rsidRPr="001E27B6">
              <w:rPr>
                <w:rFonts w:asciiTheme="majorHAnsi" w:hAnsiTheme="majorHAnsi" w:cstheme="majorHAnsi"/>
                <w:sz w:val="20"/>
                <w:szCs w:val="20"/>
              </w:rPr>
              <w:t xml:space="preserve">of the NGO. </w:t>
            </w:r>
          </w:p>
          <w:p w14:paraId="317BA9FE" w14:textId="77777777" w:rsidR="002A4FF3" w:rsidRPr="001E27B6" w:rsidRDefault="002A4FF3" w:rsidP="002A4FF3">
            <w:pPr>
              <w:pStyle w:val="ListBullets"/>
              <w:spacing w:after="80"/>
              <w:ind w:left="357" w:hanging="357"/>
              <w:rPr>
                <w:rFonts w:asciiTheme="majorHAnsi" w:hAnsiTheme="majorHAnsi" w:cstheme="majorHAnsi"/>
                <w:sz w:val="20"/>
                <w:szCs w:val="20"/>
                <w:lang w:eastAsia="en-AU"/>
              </w:rPr>
            </w:pPr>
            <w:r w:rsidRPr="002B289C">
              <w:rPr>
                <w:rFonts w:asciiTheme="majorHAnsi" w:hAnsiTheme="majorHAnsi" w:cstheme="majorHAnsi"/>
                <w:b/>
                <w:sz w:val="20"/>
                <w:szCs w:val="20"/>
              </w:rPr>
              <w:t xml:space="preserve">Productive (or technical) efficiency </w:t>
            </w:r>
            <w:r w:rsidRPr="001E27B6">
              <w:rPr>
                <w:rFonts w:asciiTheme="majorHAnsi" w:hAnsiTheme="majorHAnsi" w:cstheme="majorHAnsi"/>
                <w:sz w:val="20"/>
                <w:szCs w:val="20"/>
              </w:rPr>
              <w:t xml:space="preserve">– </w:t>
            </w:r>
            <w:r>
              <w:rPr>
                <w:rFonts w:asciiTheme="majorHAnsi" w:hAnsiTheme="majorHAnsi" w:cstheme="majorHAnsi"/>
                <w:sz w:val="20"/>
                <w:szCs w:val="20"/>
              </w:rPr>
              <w:t>T</w:t>
            </w:r>
            <w:r w:rsidRPr="001E27B6">
              <w:rPr>
                <w:rFonts w:asciiTheme="majorHAnsi" w:hAnsiTheme="majorHAnsi" w:cstheme="majorHAnsi"/>
                <w:sz w:val="20"/>
                <w:szCs w:val="20"/>
              </w:rPr>
              <w:t>his term is used to refer to goods and services being produced at the lowest possible cost, using the least-cost combination of inputs</w:t>
            </w:r>
            <w:r w:rsidRPr="001E27B6">
              <w:rPr>
                <w:rFonts w:asciiTheme="majorHAnsi" w:hAnsiTheme="majorHAnsi" w:cstheme="majorHAnsi"/>
                <w:sz w:val="20"/>
                <w:szCs w:val="20"/>
                <w:lang w:eastAsia="en-AU"/>
              </w:rPr>
              <w:t>.  This concept is consistent with the ‘efficient operation of’ element of the NGO.</w:t>
            </w:r>
          </w:p>
          <w:p w14:paraId="703552DB" w14:textId="77777777" w:rsidR="002A4FF3" w:rsidRPr="001E27B6" w:rsidRDefault="002A4FF3" w:rsidP="002A4FF3">
            <w:pPr>
              <w:pStyle w:val="ListBullets"/>
              <w:spacing w:after="80"/>
              <w:rPr>
                <w:rFonts w:asciiTheme="majorHAnsi" w:hAnsiTheme="majorHAnsi" w:cstheme="majorHAnsi"/>
                <w:sz w:val="20"/>
                <w:szCs w:val="20"/>
              </w:rPr>
            </w:pPr>
            <w:r w:rsidRPr="002B289C">
              <w:rPr>
                <w:rFonts w:asciiTheme="majorHAnsi" w:hAnsiTheme="majorHAnsi" w:cstheme="majorHAnsi"/>
                <w:b/>
                <w:sz w:val="20"/>
                <w:szCs w:val="20"/>
              </w:rPr>
              <w:t>Dynamic efficiency</w:t>
            </w:r>
            <w:r w:rsidRPr="001E27B6">
              <w:rPr>
                <w:rFonts w:asciiTheme="majorHAnsi" w:hAnsiTheme="majorHAnsi" w:cstheme="majorHAnsi"/>
                <w:sz w:val="20"/>
                <w:szCs w:val="20"/>
              </w:rPr>
              <w:t xml:space="preserve"> – </w:t>
            </w:r>
            <w:r>
              <w:rPr>
                <w:rFonts w:asciiTheme="majorHAnsi" w:hAnsiTheme="majorHAnsi" w:cstheme="majorHAnsi"/>
                <w:sz w:val="20"/>
                <w:szCs w:val="20"/>
              </w:rPr>
              <w:t>T</w:t>
            </w:r>
            <w:r w:rsidRPr="001E27B6">
              <w:rPr>
                <w:rFonts w:asciiTheme="majorHAnsi" w:hAnsiTheme="majorHAnsi" w:cstheme="majorHAnsi"/>
                <w:sz w:val="20"/>
                <w:szCs w:val="20"/>
              </w:rPr>
              <w:t>his term is used to refer to a market outcome in which society’s resources are deployed efficiently between present and future uses, so that the welfare of society is maximised over time (i.e. allocative and productive efficiency are achieved jointly over time).</w:t>
            </w:r>
            <w:r w:rsidRPr="001E27B6">
              <w:rPr>
                <w:rStyle w:val="FootnoteReference"/>
                <w:rFonts w:asciiTheme="majorHAnsi" w:eastAsiaTheme="minorEastAsia" w:hAnsiTheme="majorHAnsi" w:cstheme="majorHAnsi"/>
                <w:sz w:val="20"/>
                <w:szCs w:val="20"/>
              </w:rPr>
              <w:t xml:space="preserve"> </w:t>
            </w:r>
            <w:r w:rsidRPr="001E27B6">
              <w:rPr>
                <w:rFonts w:asciiTheme="majorHAnsi" w:hAnsiTheme="majorHAnsi" w:cstheme="majorHAnsi"/>
                <w:sz w:val="20"/>
                <w:szCs w:val="20"/>
              </w:rPr>
              <w:t xml:space="preserve">This term is also used to refer to the ability of firms and markets to adapt over time in response to changes in consumer preferences and/or technology by implementing measures that result in a reduction in costs, improvements in product quality and/or the development </w:t>
            </w:r>
            <w:r>
              <w:rPr>
                <w:rFonts w:asciiTheme="majorHAnsi" w:hAnsiTheme="majorHAnsi" w:cstheme="majorHAnsi"/>
                <w:sz w:val="20"/>
                <w:szCs w:val="20"/>
              </w:rPr>
              <w:t xml:space="preserve">of </w:t>
            </w:r>
            <w:r w:rsidRPr="001E27B6">
              <w:rPr>
                <w:rFonts w:asciiTheme="majorHAnsi" w:hAnsiTheme="majorHAnsi" w:cstheme="majorHAnsi"/>
                <w:sz w:val="20"/>
                <w:szCs w:val="20"/>
              </w:rPr>
              <w:t xml:space="preserve">new products.  This is consistent with the </w:t>
            </w:r>
            <w:r w:rsidRPr="001E27B6">
              <w:rPr>
                <w:rFonts w:asciiTheme="majorHAnsi" w:hAnsiTheme="majorHAnsi" w:cstheme="majorHAnsi"/>
                <w:i/>
                <w:sz w:val="20"/>
                <w:szCs w:val="20"/>
              </w:rPr>
              <w:t>long run</w:t>
            </w:r>
            <w:r w:rsidRPr="001E27B6">
              <w:rPr>
                <w:rFonts w:asciiTheme="majorHAnsi" w:hAnsiTheme="majorHAnsi" w:cstheme="majorHAnsi"/>
                <w:sz w:val="20"/>
                <w:szCs w:val="20"/>
              </w:rPr>
              <w:t xml:space="preserve"> ‘efficient investment in’, ‘efficient operation of’ and ‘efficient use of’ elements. </w:t>
            </w:r>
          </w:p>
          <w:p w14:paraId="48B896BE" w14:textId="77777777" w:rsidR="002A4FF3" w:rsidRPr="001E27B6" w:rsidRDefault="002A4FF3" w:rsidP="002A4FF3">
            <w:pPr>
              <w:spacing w:after="120"/>
              <w:rPr>
                <w:rFonts w:asciiTheme="majorHAnsi" w:hAnsiTheme="majorHAnsi" w:cstheme="majorHAnsi"/>
                <w:sz w:val="20"/>
                <w:szCs w:val="20"/>
              </w:rPr>
            </w:pPr>
            <w:r w:rsidRPr="001E27B6">
              <w:rPr>
                <w:rFonts w:asciiTheme="majorHAnsi" w:hAnsiTheme="majorHAnsi" w:cstheme="majorHAnsi"/>
                <w:sz w:val="20"/>
                <w:szCs w:val="20"/>
              </w:rPr>
              <w:t>These three dimensions of economic efficiency are illustrated in the following diagram developed by the Productivity Commission.</w:t>
            </w:r>
          </w:p>
          <w:p w14:paraId="46C2B876" w14:textId="6C7BC22D" w:rsidR="002A4FF3" w:rsidRPr="006B0BD1" w:rsidRDefault="002A4FF3" w:rsidP="002A4FF3">
            <w:pPr>
              <w:spacing w:after="80"/>
              <w:rPr>
                <w:b/>
              </w:rPr>
            </w:pPr>
            <w:r w:rsidRPr="001E27B6">
              <w:rPr>
                <w:rFonts w:asciiTheme="majorHAnsi" w:hAnsiTheme="majorHAnsi" w:cstheme="majorHAnsi"/>
                <w:noProof/>
                <w:sz w:val="20"/>
                <w:szCs w:val="20"/>
              </w:rPr>
              <w:drawing>
                <wp:inline distT="0" distB="0" distL="0" distR="0" wp14:anchorId="62D5194E" wp14:editId="2438A0FA">
                  <wp:extent cx="4827600" cy="1645920"/>
                  <wp:effectExtent l="0" t="0" r="0" b="0"/>
                  <wp:docPr id="33" name="Picture 33" descr="These three dimensions of economic efficiency are illustrated in the following diagram developed by the Productivity Commission." title="Economic efficiency concep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835779" cy="1648709"/>
                          </a:xfrm>
                          <a:prstGeom prst="rect">
                            <a:avLst/>
                          </a:prstGeom>
                          <a:noFill/>
                          <a:ln>
                            <a:noFill/>
                          </a:ln>
                        </pic:spPr>
                      </pic:pic>
                    </a:graphicData>
                  </a:graphic>
                </wp:inline>
              </w:drawing>
            </w:r>
            <w:r>
              <w:rPr>
                <w:rFonts w:asciiTheme="majorHAnsi" w:hAnsiTheme="majorHAnsi" w:cstheme="majorHAnsi"/>
                <w:sz w:val="16"/>
                <w:szCs w:val="16"/>
              </w:rPr>
              <w:br/>
            </w:r>
            <w:r w:rsidRPr="001E27B6">
              <w:rPr>
                <w:rFonts w:asciiTheme="majorHAnsi" w:hAnsiTheme="majorHAnsi" w:cstheme="majorHAnsi"/>
                <w:sz w:val="16"/>
                <w:szCs w:val="16"/>
              </w:rPr>
              <w:t>Source: Productivity Commission, Staff Research Note On Efficiency and Effectiveness: some definitions, May 2013.</w:t>
            </w:r>
          </w:p>
        </w:tc>
      </w:tr>
    </w:tbl>
    <w:p w14:paraId="5DC4BC55" w14:textId="77777777" w:rsidR="001E27B6" w:rsidRDefault="001E27B6" w:rsidP="001E27B6">
      <w:pPr>
        <w:pStyle w:val="BodyText"/>
      </w:pPr>
      <w:bookmarkStart w:id="67" w:name="_Hlk494276747"/>
      <w:r>
        <w:lastRenderedPageBreak/>
        <w:t>As the AEMC has previously observed, q</w:t>
      </w:r>
      <w:r w:rsidRPr="006270F8">
        <w:t xml:space="preserve">uantifying </w:t>
      </w:r>
      <w:r>
        <w:t xml:space="preserve">the </w:t>
      </w:r>
      <w:r w:rsidRPr="006270F8">
        <w:t>costs</w:t>
      </w:r>
      <w:r>
        <w:t>,</w:t>
      </w:r>
      <w:r w:rsidRPr="006270F8">
        <w:t xml:space="preserve"> benefits </w:t>
      </w:r>
      <w:r>
        <w:t>and efficiency improvements associated with these types of reforms can be difficult.</w:t>
      </w:r>
      <w:r>
        <w:rPr>
          <w:rStyle w:val="FootnoteReference"/>
        </w:rPr>
        <w:footnoteReference w:id="22"/>
      </w:r>
      <w:r>
        <w:t xml:space="preserve"> The GMRG’s assessment of whether the proposed design of the reforms will, or is likely to, contribute to the NGO, </w:t>
      </w:r>
      <w:r w:rsidR="008860AF">
        <w:t xml:space="preserve">has </w:t>
      </w:r>
      <w:r>
        <w:t xml:space="preserve">therefore </w:t>
      </w:r>
      <w:r w:rsidR="008860AF">
        <w:t xml:space="preserve">been </w:t>
      </w:r>
      <w:r>
        <w:t xml:space="preserve">carried out qualitatively having regard to whether the reforms are consistent with: </w:t>
      </w:r>
    </w:p>
    <w:p w14:paraId="5F79F5E6" w14:textId="77777777" w:rsidR="001E27B6" w:rsidRPr="000542A1" w:rsidRDefault="001E27B6" w:rsidP="001E27B6">
      <w:pPr>
        <w:pStyle w:val="ListBullet"/>
        <w:rPr>
          <w:sz w:val="20"/>
          <w:szCs w:val="20"/>
        </w:rPr>
      </w:pPr>
      <w:r w:rsidRPr="000542A1">
        <w:t>the AEMC’s required</w:t>
      </w:r>
      <w:r w:rsidR="002A2120">
        <w:t>,</w:t>
      </w:r>
      <w:r w:rsidRPr="000542A1">
        <w:t xml:space="preserve"> preferred </w:t>
      </w:r>
      <w:r w:rsidR="002A2120">
        <w:t xml:space="preserve">and suggested </w:t>
      </w:r>
      <w:r w:rsidRPr="000542A1">
        <w:t xml:space="preserve">outcomes for the </w:t>
      </w:r>
      <w:r>
        <w:t xml:space="preserve">capacity trading </w:t>
      </w:r>
      <w:r w:rsidRPr="000542A1">
        <w:t>reforms (</w:t>
      </w:r>
      <w:r w:rsidR="00D604A6">
        <w:t xml:space="preserve">see </w:t>
      </w:r>
      <w:r>
        <w:t>Appendix A</w:t>
      </w:r>
      <w:r w:rsidRPr="000542A1">
        <w:t>)</w:t>
      </w:r>
      <w:r>
        <w:t>;</w:t>
      </w:r>
    </w:p>
    <w:p w14:paraId="64DB5D68" w14:textId="77777777" w:rsidR="001E27B6" w:rsidRPr="00147EA6" w:rsidRDefault="001E27B6" w:rsidP="001E27B6">
      <w:pPr>
        <w:pStyle w:val="ListBullet"/>
        <w:rPr>
          <w:bCs/>
          <w:sz w:val="20"/>
          <w:szCs w:val="20"/>
        </w:rPr>
      </w:pPr>
      <w:r>
        <w:t xml:space="preserve">the broader objectives of the capacity trading reform package, which were described by the AEMC </w:t>
      </w:r>
      <w:r w:rsidRPr="00F475B1">
        <w:t>as</w:t>
      </w:r>
      <w:r>
        <w:t xml:space="preserve"> being to improve the efficiency with which transportation capacity is allocated and utilised and foster the development of a more liquid market for secondary capacity;</w:t>
      </w:r>
      <w:r>
        <w:rPr>
          <w:rStyle w:val="FootnoteReference"/>
        </w:rPr>
        <w:footnoteReference w:id="23"/>
      </w:r>
      <w:r>
        <w:t xml:space="preserve"> and</w:t>
      </w:r>
    </w:p>
    <w:p w14:paraId="4E9B4B5A" w14:textId="77777777" w:rsidR="001E27B6" w:rsidRPr="00220B2D" w:rsidRDefault="001E27B6" w:rsidP="001E27B6">
      <w:pPr>
        <w:pStyle w:val="ListBullet"/>
        <w:rPr>
          <w:bCs/>
        </w:rPr>
      </w:pPr>
      <w:proofErr w:type="gramStart"/>
      <w:r>
        <w:t>t</w:t>
      </w:r>
      <w:r w:rsidRPr="00BF56B3">
        <w:t>he</w:t>
      </w:r>
      <w:proofErr w:type="gramEnd"/>
      <w:r w:rsidRPr="00BF56B3">
        <w:t xml:space="preserve"> </w:t>
      </w:r>
      <w:r>
        <w:t xml:space="preserve">Energy </w:t>
      </w:r>
      <w:r w:rsidRPr="00BF56B3">
        <w:t xml:space="preserve">Council’s </w:t>
      </w:r>
      <w:r w:rsidRPr="00F475B1">
        <w:t>Vision</w:t>
      </w:r>
      <w:r>
        <w:t xml:space="preserve"> of the </w:t>
      </w:r>
      <w:r w:rsidRPr="00465134">
        <w:t>direction gas market developme</w:t>
      </w:r>
      <w:r>
        <w:t>nt should take to meet the NGO</w:t>
      </w:r>
      <w:r w:rsidRPr="004151CC">
        <w:rPr>
          <w:rStyle w:val="FootnoteReference"/>
          <w:bCs/>
        </w:rPr>
        <w:t xml:space="preserve"> </w:t>
      </w:r>
      <w:r>
        <w:rPr>
          <w:bCs/>
        </w:rPr>
        <w:t xml:space="preserve">and the </w:t>
      </w:r>
      <w:r>
        <w:t xml:space="preserve">outcomes the Energy Council agreed to pursue in the next phase of gas market reform </w:t>
      </w:r>
      <w:r w:rsidRPr="00BF56B3">
        <w:t xml:space="preserve">(see </w:t>
      </w:r>
      <w:r w:rsidRPr="00BF56B3">
        <w:rPr>
          <w:bCs/>
        </w:rPr>
        <w:fldChar w:fldCharType="begin"/>
      </w:r>
      <w:r w:rsidRPr="00BF56B3">
        <w:rPr>
          <w:bCs/>
        </w:rPr>
        <w:instrText xml:space="preserve"> REF _Ref482330736 \h  \* MERGEFORMAT </w:instrText>
      </w:r>
      <w:r w:rsidRPr="00BF56B3">
        <w:rPr>
          <w:bCs/>
        </w:rPr>
      </w:r>
      <w:r w:rsidRPr="00BF56B3">
        <w:rPr>
          <w:bCs/>
        </w:rPr>
        <w:fldChar w:fldCharType="separate"/>
      </w:r>
      <w:r w:rsidR="00761861" w:rsidRPr="00761861">
        <w:t xml:space="preserve">Box </w:t>
      </w:r>
      <w:r w:rsidR="00761861" w:rsidRPr="00761861">
        <w:rPr>
          <w:noProof/>
        </w:rPr>
        <w:t>1.1</w:t>
      </w:r>
      <w:r w:rsidRPr="00BF56B3">
        <w:rPr>
          <w:bCs/>
        </w:rPr>
        <w:fldChar w:fldCharType="end"/>
      </w:r>
      <w:r w:rsidRPr="00BF56B3">
        <w:rPr>
          <w:bCs/>
        </w:rPr>
        <w:t>)</w:t>
      </w:r>
      <w:r>
        <w:rPr>
          <w:bCs/>
        </w:rPr>
        <w:t>.</w:t>
      </w:r>
      <w:r>
        <w:rPr>
          <w:rStyle w:val="FootnoteReference"/>
          <w:bCs/>
        </w:rPr>
        <w:footnoteReference w:id="24"/>
      </w:r>
    </w:p>
    <w:p w14:paraId="36A69D1A" w14:textId="77777777" w:rsidR="001E27B6" w:rsidRPr="009050CE" w:rsidRDefault="001E27B6" w:rsidP="001E27B6">
      <w:pPr>
        <w:pStyle w:val="BodyText"/>
        <w:rPr>
          <w:rFonts w:asciiTheme="majorHAnsi" w:hAnsiTheme="majorHAnsi" w:cstheme="majorHAnsi"/>
          <w:color w:val="000000"/>
        </w:rPr>
      </w:pPr>
      <w:r>
        <w:t xml:space="preserve">The GMRG’s assessment </w:t>
      </w:r>
      <w:r w:rsidR="008860AF">
        <w:t xml:space="preserve">has </w:t>
      </w:r>
      <w:r>
        <w:t xml:space="preserve">also </w:t>
      </w:r>
      <w:r w:rsidR="008860AF">
        <w:t xml:space="preserve">been </w:t>
      </w:r>
      <w:r>
        <w:t xml:space="preserve">guided by the </w:t>
      </w:r>
      <w:r w:rsidRPr="009050CE">
        <w:t xml:space="preserve">following principles that the AEMC usually employs when </w:t>
      </w:r>
      <w:r>
        <w:t>applying the NGO</w:t>
      </w:r>
      <w:r w:rsidRPr="009050CE">
        <w:rPr>
          <w:rFonts w:asciiTheme="majorHAnsi" w:hAnsiTheme="majorHAnsi" w:cstheme="majorHAnsi"/>
          <w:color w:val="000000"/>
        </w:rPr>
        <w:t>:</w:t>
      </w:r>
      <w:r>
        <w:rPr>
          <w:rStyle w:val="FootnoteReference"/>
          <w:rFonts w:asciiTheme="majorHAnsi" w:hAnsiTheme="majorHAnsi" w:cstheme="majorHAnsi"/>
          <w:color w:val="000000"/>
        </w:rPr>
        <w:footnoteReference w:id="25"/>
      </w:r>
      <w:r w:rsidRPr="009050CE">
        <w:rPr>
          <w:rFonts w:asciiTheme="majorHAnsi" w:hAnsiTheme="majorHAnsi" w:cstheme="majorHAnsi"/>
          <w:color w:val="000000"/>
        </w:rPr>
        <w:t xml:space="preserve"> </w:t>
      </w:r>
    </w:p>
    <w:p w14:paraId="30E5CD61" w14:textId="77777777" w:rsidR="001E27B6" w:rsidRDefault="001E27B6" w:rsidP="001E27B6">
      <w:pPr>
        <w:pStyle w:val="ListBullet"/>
        <w:numPr>
          <w:ilvl w:val="0"/>
          <w:numId w:val="18"/>
        </w:numPr>
        <w:spacing w:before="80" w:after="80"/>
        <w:ind w:left="357" w:hanging="357"/>
      </w:pPr>
      <w:r>
        <w:t>Competition and market signals will generally lead to better outcomes than centralised planning and regulation, as competing energy businesses have an incentive to meet consumers’ needs efficiently.</w:t>
      </w:r>
    </w:p>
    <w:p w14:paraId="7B04E165" w14:textId="77777777" w:rsidR="001E27B6" w:rsidRPr="00960021" w:rsidRDefault="001E27B6" w:rsidP="001E27B6">
      <w:pPr>
        <w:pStyle w:val="ListBullet"/>
        <w:numPr>
          <w:ilvl w:val="0"/>
          <w:numId w:val="18"/>
        </w:numPr>
        <w:spacing w:before="80" w:after="80"/>
        <w:ind w:left="357" w:hanging="357"/>
      </w:pPr>
      <w:r>
        <w:t>W</w:t>
      </w:r>
      <w:r w:rsidRPr="00960021">
        <w:t xml:space="preserve">here it is required, regulation should be targeted, fit-for-purpose, provide incentives that imitate the outcomes of a workably competitive market, and involve regulatory costs proportionate to the materiality of </w:t>
      </w:r>
      <w:r>
        <w:t xml:space="preserve">the </w:t>
      </w:r>
      <w:r w:rsidRPr="00960021">
        <w:t>issue</w:t>
      </w:r>
      <w:r>
        <w:t>.</w:t>
      </w:r>
    </w:p>
    <w:p w14:paraId="0547D3C2" w14:textId="77777777" w:rsidR="001E27B6" w:rsidRPr="00960021" w:rsidRDefault="001E27B6" w:rsidP="001E27B6">
      <w:pPr>
        <w:pStyle w:val="ListBullet"/>
        <w:numPr>
          <w:ilvl w:val="0"/>
          <w:numId w:val="18"/>
        </w:numPr>
        <w:spacing w:before="80" w:after="80"/>
        <w:ind w:left="357" w:hanging="357"/>
      </w:pPr>
      <w:r>
        <w:t>R</w:t>
      </w:r>
      <w:r w:rsidRPr="00960021">
        <w:t>isk allocation and the accountability for investment decisions should rest with those parties best placed to manage them</w:t>
      </w:r>
      <w:r>
        <w:t>.</w:t>
      </w:r>
    </w:p>
    <w:p w14:paraId="2F937AE4" w14:textId="77777777" w:rsidR="001E27B6" w:rsidRDefault="001E27B6" w:rsidP="001E27B6">
      <w:pPr>
        <w:pStyle w:val="ListBullet"/>
        <w:numPr>
          <w:ilvl w:val="0"/>
          <w:numId w:val="18"/>
        </w:numPr>
        <w:spacing w:before="80" w:after="80"/>
        <w:ind w:left="357" w:hanging="357"/>
      </w:pPr>
      <w:r>
        <w:t>Market and r</w:t>
      </w:r>
      <w:r w:rsidRPr="00960021">
        <w:t>egulatory frameworks should be flexible and provide firms with a clear and consistent set of rules that allow them to independently develop strategies and adjust to changes in the market.</w:t>
      </w:r>
      <w:r>
        <w:t xml:space="preserve"> These frameworks should also be resilient to changing supply and demand conditions, and patterns of flow, over the longer term.</w:t>
      </w:r>
    </w:p>
    <w:p w14:paraId="47DE4642" w14:textId="77777777" w:rsidR="001E27B6" w:rsidRDefault="001E27B6" w:rsidP="001E27B6">
      <w:pPr>
        <w:pStyle w:val="BodyText"/>
      </w:pPr>
      <w:r>
        <w:t xml:space="preserve">Given the nature of the reforms, the GMRG </w:t>
      </w:r>
      <w:r w:rsidR="008860AF">
        <w:t>has</w:t>
      </w:r>
      <w:r>
        <w:t xml:space="preserve"> also consider</w:t>
      </w:r>
      <w:r w:rsidR="008860AF">
        <w:t>ed</w:t>
      </w:r>
      <w:r>
        <w:t xml:space="preserve"> the extent to which the proposed reforms</w:t>
      </w:r>
      <w:r w:rsidR="00BB7F70">
        <w:t>, where relevant</w:t>
      </w:r>
      <w:r>
        <w:t>:</w:t>
      </w:r>
    </w:p>
    <w:p w14:paraId="353A2C1E" w14:textId="77777777" w:rsidR="001E27B6" w:rsidRDefault="001E27B6" w:rsidP="001E27B6">
      <w:pPr>
        <w:pStyle w:val="ListBullet"/>
        <w:spacing w:before="80" w:after="80"/>
      </w:pPr>
      <w:r>
        <w:t>allow capacity in the short-term to be allocated to those that value it most;</w:t>
      </w:r>
    </w:p>
    <w:p w14:paraId="13BB4215" w14:textId="77777777" w:rsidR="001E27B6" w:rsidRDefault="001E27B6" w:rsidP="001E27B6">
      <w:pPr>
        <w:pStyle w:val="ListBullet"/>
        <w:spacing w:before="80" w:after="80"/>
      </w:pPr>
      <w:r>
        <w:t xml:space="preserve">provide secondary shippers with access to secondary capacity on reasonable terms (i.e. at prices and on other terms and conditions that, so far as practical, reflect the outcomes of a workably competitive market); </w:t>
      </w:r>
    </w:p>
    <w:p w14:paraId="11E2E88A" w14:textId="77777777" w:rsidR="001E27B6" w:rsidRDefault="001E27B6" w:rsidP="001E27B6">
      <w:pPr>
        <w:pStyle w:val="ListBullet"/>
        <w:spacing w:before="80" w:after="80"/>
      </w:pPr>
      <w:bookmarkStart w:id="68" w:name="_Hlk498257747"/>
      <w:r>
        <w:t>appropriately reflect the legitimate business interests of service providers and other parties that have rights to use the transportation services, including primary and secondary capacity holders;</w:t>
      </w:r>
    </w:p>
    <w:p w14:paraId="48FF9F7E" w14:textId="77777777" w:rsidR="001E27B6" w:rsidRDefault="001E27B6" w:rsidP="001E27B6">
      <w:pPr>
        <w:pStyle w:val="ListBullet"/>
        <w:spacing w:before="80" w:after="80"/>
      </w:pPr>
      <w:r>
        <w:t xml:space="preserve">are operationally feasible and recognise the operational and technical requirements necessary for the safe and reliable operation of the assets used in the provision of transportation services; </w:t>
      </w:r>
    </w:p>
    <w:p w14:paraId="119688CE" w14:textId="77777777" w:rsidR="001E27B6" w:rsidRDefault="001E27B6" w:rsidP="001E27B6">
      <w:pPr>
        <w:pStyle w:val="ListBullet"/>
        <w:spacing w:before="80" w:after="80"/>
      </w:pPr>
      <w:r>
        <w:lastRenderedPageBreak/>
        <w:t xml:space="preserve">facilitate the efficient operation and use of the capacity trading platform and day-ahead auction; </w:t>
      </w:r>
      <w:r w:rsidR="00705893">
        <w:t>and</w:t>
      </w:r>
    </w:p>
    <w:p w14:paraId="570B0D1E" w14:textId="77777777" w:rsidR="00BB7F70" w:rsidRDefault="00BB7F70" w:rsidP="001E27B6">
      <w:pPr>
        <w:pStyle w:val="ListBullet"/>
        <w:spacing w:before="80" w:after="80"/>
      </w:pPr>
      <w:proofErr w:type="gramStart"/>
      <w:r>
        <w:t>provide</w:t>
      </w:r>
      <w:proofErr w:type="gramEnd"/>
      <w:r>
        <w:t xml:space="preserve"> for the publication of </w:t>
      </w:r>
      <w:r w:rsidRPr="000E7410">
        <w:t xml:space="preserve">information in a timely </w:t>
      </w:r>
      <w:r>
        <w:t xml:space="preserve">and cost-effective </w:t>
      </w:r>
      <w:r w:rsidRPr="000E7410">
        <w:t xml:space="preserve">manner </w:t>
      </w:r>
      <w:r>
        <w:t>and in a format that is easy for participants to process and understand, which will aid the price discovery process by reducing information asymmetries</w:t>
      </w:r>
      <w:r w:rsidR="00705893">
        <w:t>.</w:t>
      </w:r>
    </w:p>
    <w:bookmarkEnd w:id="67"/>
    <w:p w14:paraId="5E032046" w14:textId="77777777" w:rsidR="001E27B6" w:rsidRDefault="001E27B6" w:rsidP="001E27B6">
      <w:pPr>
        <w:pStyle w:val="BodyText"/>
      </w:pPr>
      <w:r w:rsidRPr="003D2F88">
        <w:t xml:space="preserve">When evaluating the design of the capacity trading platform, </w:t>
      </w:r>
      <w:r>
        <w:t xml:space="preserve">the </w:t>
      </w:r>
      <w:r w:rsidRPr="003D2F88">
        <w:t xml:space="preserve">GMRG </w:t>
      </w:r>
      <w:r w:rsidR="008860AF">
        <w:t xml:space="preserve">has also had </w:t>
      </w:r>
      <w:r w:rsidRPr="003D2F88">
        <w:t xml:space="preserve">regard to the attributes that the </w:t>
      </w:r>
      <w:r>
        <w:t xml:space="preserve">Capacity Trading Platform and Day-Ahead Auction </w:t>
      </w:r>
      <w:r w:rsidRPr="003D2F88">
        <w:t xml:space="preserve">project teams thought the capacity trading </w:t>
      </w:r>
      <w:r>
        <w:t xml:space="preserve">and auction </w:t>
      </w:r>
      <w:r w:rsidRPr="003D2F88">
        <w:t>platform</w:t>
      </w:r>
      <w:r>
        <w:t>s</w:t>
      </w:r>
      <w:r w:rsidRPr="003D2F88">
        <w:t xml:space="preserve"> would need to emulate if </w:t>
      </w:r>
      <w:r>
        <w:t>they were</w:t>
      </w:r>
      <w:r w:rsidRPr="003D2F88">
        <w:t xml:space="preserve"> to become ‘platforms of choice’ for market participant</w:t>
      </w:r>
      <w:r>
        <w:t>s</w:t>
      </w:r>
      <w:r w:rsidRPr="003D2F88">
        <w:t>. Thes</w:t>
      </w:r>
      <w:r>
        <w:t xml:space="preserve">e attributes are set out the table </w:t>
      </w:r>
      <w:r w:rsidRPr="003D2F88">
        <w:t xml:space="preserve">below. </w:t>
      </w:r>
    </w:p>
    <w:p w14:paraId="38F9F83E" w14:textId="77777777" w:rsidR="001E27B6" w:rsidRDefault="001E27B6" w:rsidP="001E27B6">
      <w:pPr>
        <w:pStyle w:val="Caption"/>
        <w:spacing w:after="0"/>
      </w:pPr>
      <w:r>
        <w:t xml:space="preserve">Table </w:t>
      </w:r>
      <w:r w:rsidR="00983431">
        <w:fldChar w:fldCharType="begin"/>
      </w:r>
      <w:r w:rsidR="00983431">
        <w:instrText xml:space="preserve"> STYLEREF 1 \s </w:instrText>
      </w:r>
      <w:r w:rsidR="00983431">
        <w:fldChar w:fldCharType="separate"/>
      </w:r>
      <w:r w:rsidR="00761861">
        <w:rPr>
          <w:noProof/>
        </w:rPr>
        <w:t>3</w:t>
      </w:r>
      <w:r w:rsidR="00983431">
        <w:rPr>
          <w:noProof/>
        </w:rPr>
        <w:fldChar w:fldCharType="end"/>
      </w:r>
      <w:r w:rsidR="00901056">
        <w:t>.</w:t>
      </w:r>
      <w:r w:rsidR="00983431">
        <w:fldChar w:fldCharType="begin"/>
      </w:r>
      <w:r w:rsidR="00983431">
        <w:instrText xml:space="preserve"> SEQ Table \* ARABIC \s 1 </w:instrText>
      </w:r>
      <w:r w:rsidR="00983431">
        <w:fldChar w:fldCharType="separate"/>
      </w:r>
      <w:r w:rsidR="00761861">
        <w:rPr>
          <w:noProof/>
        </w:rPr>
        <w:t>1</w:t>
      </w:r>
      <w:r w:rsidR="00983431">
        <w:rPr>
          <w:noProof/>
        </w:rPr>
        <w:fldChar w:fldCharType="end"/>
      </w:r>
      <w:r>
        <w:t>: ‘Platform of Choice’ evaluation criteria</w:t>
      </w:r>
    </w:p>
    <w:tbl>
      <w:tblPr>
        <w:tblStyle w:val="TableGrid"/>
        <w:tblW w:w="5162" w:type="pct"/>
        <w:tblLook w:val="04A0" w:firstRow="1" w:lastRow="0" w:firstColumn="1" w:lastColumn="0" w:noHBand="0" w:noVBand="1"/>
        <w:tblCaption w:val="Table 3.1"/>
        <w:tblDescription w:val="‘Platform of Choice’ evaluation criteria"/>
      </w:tblPr>
      <w:tblGrid>
        <w:gridCol w:w="1701"/>
        <w:gridCol w:w="7372"/>
      </w:tblGrid>
      <w:tr w:rsidR="001E27B6" w:rsidRPr="0088707A" w14:paraId="0CB403A2" w14:textId="77777777" w:rsidTr="00CF7D4D">
        <w:trPr>
          <w:cnfStyle w:val="100000000000" w:firstRow="1" w:lastRow="0" w:firstColumn="0" w:lastColumn="0" w:oddVBand="0" w:evenVBand="0" w:oddHBand="0" w:evenHBand="0" w:firstRowFirstColumn="0" w:firstRowLastColumn="0" w:lastRowFirstColumn="0" w:lastRowLastColumn="0"/>
          <w:trHeight w:val="168"/>
          <w:tblHeader/>
        </w:trPr>
        <w:tc>
          <w:tcPr>
            <w:tcW w:w="9072" w:type="dxa"/>
            <w:gridSpan w:val="2"/>
            <w:shd w:val="clear" w:color="auto" w:fill="0099CC"/>
            <w:vAlign w:val="bottom"/>
          </w:tcPr>
          <w:p w14:paraId="68B5420E" w14:textId="77777777" w:rsidR="001E27B6" w:rsidRPr="0088707A" w:rsidRDefault="001E27B6" w:rsidP="001E27B6">
            <w:pPr>
              <w:pStyle w:val="BodyText"/>
              <w:keepNext/>
              <w:spacing w:before="20" w:after="20"/>
              <w:rPr>
                <w:szCs w:val="18"/>
              </w:rPr>
            </w:pPr>
            <w:r w:rsidRPr="0088707A">
              <w:rPr>
                <w:szCs w:val="18"/>
              </w:rPr>
              <w:t>Evaluation criteria</w:t>
            </w:r>
          </w:p>
        </w:tc>
      </w:tr>
      <w:tr w:rsidR="001E27B6" w:rsidRPr="0088707A" w14:paraId="7173F1AA" w14:textId="77777777" w:rsidTr="001E27B6">
        <w:trPr>
          <w:trHeight w:val="60"/>
        </w:trPr>
        <w:tc>
          <w:tcPr>
            <w:tcW w:w="1701" w:type="dxa"/>
            <w:vMerge w:val="restart"/>
            <w:shd w:val="clear" w:color="auto" w:fill="auto"/>
            <w:vAlign w:val="center"/>
          </w:tcPr>
          <w:p w14:paraId="70FC0A95" w14:textId="77777777" w:rsidR="001E27B6" w:rsidRPr="0088707A" w:rsidRDefault="001E27B6" w:rsidP="001E27B6">
            <w:pPr>
              <w:pStyle w:val="BodyText"/>
              <w:keepNext/>
              <w:spacing w:before="20" w:after="20"/>
              <w:rPr>
                <w:b/>
                <w:szCs w:val="18"/>
              </w:rPr>
            </w:pPr>
            <w:r w:rsidRPr="0088707A">
              <w:rPr>
                <w:b/>
                <w:szCs w:val="18"/>
              </w:rPr>
              <w:t xml:space="preserve">Operation of </w:t>
            </w:r>
            <w:r>
              <w:rPr>
                <w:b/>
                <w:szCs w:val="18"/>
              </w:rPr>
              <w:t xml:space="preserve">the </w:t>
            </w:r>
            <w:r w:rsidRPr="0088707A">
              <w:rPr>
                <w:b/>
                <w:szCs w:val="18"/>
              </w:rPr>
              <w:t>platform:</w:t>
            </w:r>
          </w:p>
        </w:tc>
        <w:tc>
          <w:tcPr>
            <w:tcW w:w="7371" w:type="dxa"/>
            <w:shd w:val="clear" w:color="auto" w:fill="auto"/>
            <w:vAlign w:val="center"/>
          </w:tcPr>
          <w:p w14:paraId="102EE0D4" w14:textId="77777777" w:rsidR="001E27B6" w:rsidRPr="0088707A" w:rsidRDefault="001E27B6" w:rsidP="001E27B6">
            <w:pPr>
              <w:pStyle w:val="BodyText"/>
              <w:keepNext/>
              <w:spacing w:before="20" w:after="20"/>
              <w:rPr>
                <w:szCs w:val="18"/>
              </w:rPr>
            </w:pPr>
            <w:r w:rsidRPr="0088707A">
              <w:rPr>
                <w:szCs w:val="18"/>
              </w:rPr>
              <w:t xml:space="preserve">Operated by </w:t>
            </w:r>
            <w:r>
              <w:rPr>
                <w:szCs w:val="18"/>
              </w:rPr>
              <w:t xml:space="preserve">an </w:t>
            </w:r>
            <w:r w:rsidRPr="0088707A">
              <w:rPr>
                <w:szCs w:val="18"/>
              </w:rPr>
              <w:t xml:space="preserve">independent </w:t>
            </w:r>
            <w:r>
              <w:rPr>
                <w:szCs w:val="18"/>
              </w:rPr>
              <w:t xml:space="preserve">(i.e. a party that has no commercial interests in the outcome of the trades) </w:t>
            </w:r>
            <w:r w:rsidRPr="0088707A">
              <w:rPr>
                <w:szCs w:val="18"/>
              </w:rPr>
              <w:t xml:space="preserve">and experienced operator </w:t>
            </w:r>
          </w:p>
        </w:tc>
      </w:tr>
      <w:tr w:rsidR="001E27B6" w:rsidRPr="0088707A" w14:paraId="3A9BE9EF" w14:textId="77777777" w:rsidTr="001E27B6">
        <w:trPr>
          <w:cnfStyle w:val="000000010000" w:firstRow="0" w:lastRow="0" w:firstColumn="0" w:lastColumn="0" w:oddVBand="0" w:evenVBand="0" w:oddHBand="0" w:evenHBand="1" w:firstRowFirstColumn="0" w:firstRowLastColumn="0" w:lastRowFirstColumn="0" w:lastRowLastColumn="0"/>
          <w:trHeight w:val="265"/>
        </w:trPr>
        <w:tc>
          <w:tcPr>
            <w:tcW w:w="1701" w:type="dxa"/>
            <w:vMerge/>
            <w:shd w:val="clear" w:color="auto" w:fill="auto"/>
          </w:tcPr>
          <w:p w14:paraId="080AFFFF" w14:textId="77777777" w:rsidR="001E27B6" w:rsidRPr="0088707A" w:rsidRDefault="001E27B6" w:rsidP="001E27B6">
            <w:pPr>
              <w:pStyle w:val="BodyText"/>
              <w:keepNext/>
              <w:spacing w:before="20" w:after="20"/>
              <w:rPr>
                <w:szCs w:val="18"/>
              </w:rPr>
            </w:pPr>
          </w:p>
        </w:tc>
        <w:tc>
          <w:tcPr>
            <w:tcW w:w="7371" w:type="dxa"/>
            <w:shd w:val="clear" w:color="auto" w:fill="auto"/>
            <w:vAlign w:val="center"/>
          </w:tcPr>
          <w:p w14:paraId="290B8938" w14:textId="77777777" w:rsidR="001E27B6" w:rsidRPr="0088707A" w:rsidRDefault="001E27B6" w:rsidP="001E27B6">
            <w:pPr>
              <w:pStyle w:val="BodyText"/>
              <w:keepNext/>
              <w:spacing w:before="20" w:after="20"/>
              <w:rPr>
                <w:szCs w:val="18"/>
              </w:rPr>
            </w:pPr>
            <w:r w:rsidRPr="0088707A">
              <w:rPr>
                <w:szCs w:val="18"/>
              </w:rPr>
              <w:t>Operated in a predictable and reliable manner</w:t>
            </w:r>
          </w:p>
        </w:tc>
      </w:tr>
      <w:tr w:rsidR="001E27B6" w:rsidRPr="0088707A" w14:paraId="59FD6F2F" w14:textId="77777777" w:rsidTr="001E27B6">
        <w:trPr>
          <w:trHeight w:val="98"/>
        </w:trPr>
        <w:tc>
          <w:tcPr>
            <w:tcW w:w="1701" w:type="dxa"/>
            <w:vMerge/>
            <w:shd w:val="clear" w:color="auto" w:fill="auto"/>
          </w:tcPr>
          <w:p w14:paraId="0A6A3F55" w14:textId="77777777" w:rsidR="001E27B6" w:rsidRPr="0088707A" w:rsidRDefault="001E27B6" w:rsidP="001E27B6">
            <w:pPr>
              <w:pStyle w:val="BodyText"/>
              <w:keepNext/>
              <w:spacing w:before="20" w:after="20"/>
              <w:rPr>
                <w:szCs w:val="18"/>
              </w:rPr>
            </w:pPr>
          </w:p>
        </w:tc>
        <w:tc>
          <w:tcPr>
            <w:tcW w:w="7371" w:type="dxa"/>
            <w:shd w:val="clear" w:color="auto" w:fill="auto"/>
            <w:vAlign w:val="center"/>
          </w:tcPr>
          <w:p w14:paraId="290C5AA0" w14:textId="77777777" w:rsidR="001E27B6" w:rsidRPr="0088707A" w:rsidRDefault="001E27B6" w:rsidP="001E27B6">
            <w:pPr>
              <w:pStyle w:val="BodyText"/>
              <w:keepNext/>
              <w:spacing w:before="20" w:after="20"/>
              <w:rPr>
                <w:szCs w:val="18"/>
              </w:rPr>
            </w:pPr>
            <w:r w:rsidRPr="0088707A">
              <w:rPr>
                <w:szCs w:val="18"/>
              </w:rPr>
              <w:t>Operation of platform underpinned by a robust governance framework</w:t>
            </w:r>
          </w:p>
        </w:tc>
      </w:tr>
      <w:tr w:rsidR="001E27B6" w:rsidRPr="0088707A" w14:paraId="3CBF93C9" w14:textId="77777777" w:rsidTr="001E27B6">
        <w:trPr>
          <w:cnfStyle w:val="000000010000" w:firstRow="0" w:lastRow="0" w:firstColumn="0" w:lastColumn="0" w:oddVBand="0" w:evenVBand="0" w:oddHBand="0" w:evenHBand="1" w:firstRowFirstColumn="0" w:firstRowLastColumn="0" w:lastRowFirstColumn="0" w:lastRowLastColumn="0"/>
          <w:trHeight w:val="217"/>
        </w:trPr>
        <w:tc>
          <w:tcPr>
            <w:tcW w:w="1701" w:type="dxa"/>
            <w:vMerge/>
            <w:shd w:val="clear" w:color="auto" w:fill="auto"/>
          </w:tcPr>
          <w:p w14:paraId="6A9F4DB7" w14:textId="77777777" w:rsidR="001E27B6" w:rsidRPr="0088707A" w:rsidRDefault="001E27B6" w:rsidP="001E27B6">
            <w:pPr>
              <w:pStyle w:val="BodyText"/>
              <w:keepNext/>
              <w:spacing w:before="20" w:after="20"/>
              <w:rPr>
                <w:szCs w:val="18"/>
              </w:rPr>
            </w:pPr>
          </w:p>
        </w:tc>
        <w:tc>
          <w:tcPr>
            <w:tcW w:w="7371" w:type="dxa"/>
            <w:shd w:val="clear" w:color="auto" w:fill="auto"/>
            <w:vAlign w:val="center"/>
          </w:tcPr>
          <w:p w14:paraId="7C75580B" w14:textId="77777777" w:rsidR="001E27B6" w:rsidRPr="0088707A" w:rsidRDefault="001E27B6" w:rsidP="001E27B6">
            <w:pPr>
              <w:pStyle w:val="BodyText"/>
              <w:keepNext/>
              <w:spacing w:before="20" w:after="20"/>
              <w:rPr>
                <w:szCs w:val="18"/>
              </w:rPr>
            </w:pPr>
            <w:r w:rsidRPr="0088707A">
              <w:rPr>
                <w:szCs w:val="18"/>
              </w:rPr>
              <w:t>Transparency in costs and operation of platform</w:t>
            </w:r>
          </w:p>
        </w:tc>
      </w:tr>
      <w:tr w:rsidR="001E27B6" w:rsidRPr="0088707A" w14:paraId="371C9E6A" w14:textId="77777777" w:rsidTr="001E27B6">
        <w:trPr>
          <w:trHeight w:val="386"/>
        </w:trPr>
        <w:tc>
          <w:tcPr>
            <w:tcW w:w="1701" w:type="dxa"/>
            <w:vMerge w:val="restart"/>
            <w:shd w:val="clear" w:color="auto" w:fill="auto"/>
            <w:vAlign w:val="center"/>
          </w:tcPr>
          <w:p w14:paraId="1C954E2E" w14:textId="77777777" w:rsidR="001E27B6" w:rsidRPr="0088707A" w:rsidRDefault="001E27B6" w:rsidP="001E27B6">
            <w:pPr>
              <w:pStyle w:val="BodyText"/>
              <w:keepNext/>
              <w:spacing w:before="20" w:after="20"/>
              <w:rPr>
                <w:b/>
                <w:szCs w:val="18"/>
              </w:rPr>
            </w:pPr>
            <w:r w:rsidRPr="0088707A">
              <w:rPr>
                <w:b/>
                <w:szCs w:val="18"/>
              </w:rPr>
              <w:t xml:space="preserve">Trading Platform </w:t>
            </w:r>
            <w:r>
              <w:rPr>
                <w:b/>
                <w:szCs w:val="18"/>
              </w:rPr>
              <w:t>f</w:t>
            </w:r>
            <w:r w:rsidRPr="0088707A">
              <w:rPr>
                <w:b/>
                <w:szCs w:val="18"/>
              </w:rPr>
              <w:t>eatures:</w:t>
            </w:r>
          </w:p>
        </w:tc>
        <w:tc>
          <w:tcPr>
            <w:tcW w:w="7371" w:type="dxa"/>
            <w:shd w:val="clear" w:color="auto" w:fill="auto"/>
            <w:vAlign w:val="center"/>
          </w:tcPr>
          <w:p w14:paraId="26E4EB1E" w14:textId="77777777" w:rsidR="001E27B6" w:rsidRPr="0088707A" w:rsidRDefault="001E27B6" w:rsidP="001E27B6">
            <w:pPr>
              <w:pStyle w:val="BodyText"/>
              <w:keepNext/>
              <w:spacing w:before="20" w:after="20"/>
              <w:rPr>
                <w:szCs w:val="18"/>
              </w:rPr>
            </w:pPr>
            <w:r w:rsidRPr="0088707A">
              <w:rPr>
                <w:szCs w:val="18"/>
              </w:rPr>
              <w:t>Provides for low transaction costs and quick and effective execution of trades</w:t>
            </w:r>
          </w:p>
        </w:tc>
      </w:tr>
      <w:tr w:rsidR="001E27B6" w:rsidRPr="0088707A" w14:paraId="4B4D95C2" w14:textId="77777777" w:rsidTr="001E27B6">
        <w:trPr>
          <w:cnfStyle w:val="000000010000" w:firstRow="0" w:lastRow="0" w:firstColumn="0" w:lastColumn="0" w:oddVBand="0" w:evenVBand="0" w:oddHBand="0" w:evenHBand="1" w:firstRowFirstColumn="0" w:firstRowLastColumn="0" w:lastRowFirstColumn="0" w:lastRowLastColumn="0"/>
        </w:trPr>
        <w:tc>
          <w:tcPr>
            <w:tcW w:w="1701" w:type="dxa"/>
            <w:vMerge/>
            <w:shd w:val="clear" w:color="auto" w:fill="auto"/>
          </w:tcPr>
          <w:p w14:paraId="5FF60B0B" w14:textId="77777777" w:rsidR="001E27B6" w:rsidRPr="0088707A" w:rsidRDefault="001E27B6" w:rsidP="001E27B6">
            <w:pPr>
              <w:pStyle w:val="BodyText"/>
              <w:keepNext/>
              <w:spacing w:before="20" w:after="20"/>
              <w:rPr>
                <w:szCs w:val="18"/>
              </w:rPr>
            </w:pPr>
          </w:p>
        </w:tc>
        <w:tc>
          <w:tcPr>
            <w:tcW w:w="7371" w:type="dxa"/>
            <w:shd w:val="clear" w:color="auto" w:fill="auto"/>
            <w:vAlign w:val="center"/>
          </w:tcPr>
          <w:p w14:paraId="7D128A39" w14:textId="77777777" w:rsidR="001E27B6" w:rsidRPr="0088707A" w:rsidRDefault="001E27B6" w:rsidP="001E27B6">
            <w:pPr>
              <w:pStyle w:val="BodyText"/>
              <w:keepNext/>
              <w:spacing w:before="20" w:after="20"/>
              <w:rPr>
                <w:szCs w:val="18"/>
              </w:rPr>
            </w:pPr>
            <w:r w:rsidRPr="0088707A">
              <w:rPr>
                <w:szCs w:val="18"/>
              </w:rPr>
              <w:t xml:space="preserve">Readily integrated with </w:t>
            </w:r>
            <w:r>
              <w:rPr>
                <w:szCs w:val="18"/>
              </w:rPr>
              <w:t>service providers</w:t>
            </w:r>
            <w:r w:rsidRPr="0088707A">
              <w:rPr>
                <w:szCs w:val="18"/>
              </w:rPr>
              <w:t xml:space="preserve">’ nomination and scheduling processes </w:t>
            </w:r>
          </w:p>
        </w:tc>
      </w:tr>
      <w:tr w:rsidR="001E27B6" w:rsidRPr="0088707A" w14:paraId="4F42A96D" w14:textId="77777777" w:rsidTr="001E27B6">
        <w:trPr>
          <w:trHeight w:val="253"/>
        </w:trPr>
        <w:tc>
          <w:tcPr>
            <w:tcW w:w="1701" w:type="dxa"/>
            <w:vMerge w:val="restart"/>
            <w:shd w:val="clear" w:color="auto" w:fill="auto"/>
            <w:vAlign w:val="center"/>
          </w:tcPr>
          <w:p w14:paraId="7A77006D" w14:textId="77777777" w:rsidR="001E27B6" w:rsidRPr="0088707A" w:rsidRDefault="001E27B6" w:rsidP="001E27B6">
            <w:pPr>
              <w:pStyle w:val="BodyText"/>
              <w:keepNext/>
              <w:spacing w:before="20" w:after="20"/>
              <w:rPr>
                <w:b/>
                <w:szCs w:val="18"/>
              </w:rPr>
            </w:pPr>
            <w:r w:rsidRPr="0088707A">
              <w:rPr>
                <w:b/>
                <w:szCs w:val="18"/>
              </w:rPr>
              <w:t xml:space="preserve">Co-ordination benefits: </w:t>
            </w:r>
          </w:p>
        </w:tc>
        <w:tc>
          <w:tcPr>
            <w:tcW w:w="7371" w:type="dxa"/>
            <w:shd w:val="clear" w:color="auto" w:fill="auto"/>
            <w:vAlign w:val="center"/>
          </w:tcPr>
          <w:p w14:paraId="42584458" w14:textId="77777777" w:rsidR="001E27B6" w:rsidRPr="0088707A" w:rsidRDefault="001E27B6" w:rsidP="001E27B6">
            <w:pPr>
              <w:pStyle w:val="BodyText"/>
              <w:keepNext/>
              <w:spacing w:before="20" w:after="20"/>
              <w:rPr>
                <w:szCs w:val="18"/>
              </w:rPr>
            </w:pPr>
            <w:r w:rsidRPr="0088707A">
              <w:rPr>
                <w:szCs w:val="18"/>
              </w:rPr>
              <w:t>Shippers can readily co-ordinate trades across pipelines</w:t>
            </w:r>
          </w:p>
        </w:tc>
      </w:tr>
      <w:tr w:rsidR="001E27B6" w:rsidRPr="0088707A" w14:paraId="2B4C717E" w14:textId="77777777" w:rsidTr="001E27B6">
        <w:trPr>
          <w:cnfStyle w:val="000000010000" w:firstRow="0" w:lastRow="0" w:firstColumn="0" w:lastColumn="0" w:oddVBand="0" w:evenVBand="0" w:oddHBand="0" w:evenHBand="1" w:firstRowFirstColumn="0" w:firstRowLastColumn="0" w:lastRowFirstColumn="0" w:lastRowLastColumn="0"/>
          <w:trHeight w:val="253"/>
        </w:trPr>
        <w:tc>
          <w:tcPr>
            <w:tcW w:w="1701" w:type="dxa"/>
            <w:vMerge/>
            <w:shd w:val="clear" w:color="auto" w:fill="auto"/>
          </w:tcPr>
          <w:p w14:paraId="4B6AA30C" w14:textId="77777777" w:rsidR="001E27B6" w:rsidRPr="0088707A" w:rsidRDefault="001E27B6" w:rsidP="001E27B6">
            <w:pPr>
              <w:pStyle w:val="BodyText"/>
              <w:keepNext/>
              <w:spacing w:before="20" w:after="20"/>
              <w:rPr>
                <w:b/>
                <w:szCs w:val="18"/>
              </w:rPr>
            </w:pPr>
          </w:p>
        </w:tc>
        <w:tc>
          <w:tcPr>
            <w:tcW w:w="7371" w:type="dxa"/>
            <w:shd w:val="clear" w:color="auto" w:fill="auto"/>
            <w:vAlign w:val="center"/>
          </w:tcPr>
          <w:p w14:paraId="54FDE524" w14:textId="77777777" w:rsidR="001E27B6" w:rsidRPr="0088707A" w:rsidRDefault="001E27B6" w:rsidP="001E27B6">
            <w:pPr>
              <w:pStyle w:val="BodyText"/>
              <w:keepNext/>
              <w:spacing w:before="20" w:after="20"/>
              <w:rPr>
                <w:szCs w:val="18"/>
              </w:rPr>
            </w:pPr>
            <w:r w:rsidRPr="0088707A">
              <w:rPr>
                <w:szCs w:val="18"/>
              </w:rPr>
              <w:t>Shippers can readily co-ordinate trades through the capacity trading platform and the day-ahead auction</w:t>
            </w:r>
          </w:p>
        </w:tc>
      </w:tr>
      <w:tr w:rsidR="001E27B6" w:rsidRPr="0088707A" w14:paraId="6E0E9772" w14:textId="77777777" w:rsidTr="001E27B6">
        <w:trPr>
          <w:trHeight w:val="375"/>
        </w:trPr>
        <w:tc>
          <w:tcPr>
            <w:tcW w:w="1701" w:type="dxa"/>
            <w:vMerge/>
            <w:shd w:val="clear" w:color="auto" w:fill="auto"/>
          </w:tcPr>
          <w:p w14:paraId="2EAAB954" w14:textId="77777777" w:rsidR="001E27B6" w:rsidRPr="0088707A" w:rsidRDefault="001E27B6" w:rsidP="001E27B6">
            <w:pPr>
              <w:pStyle w:val="BodyText"/>
              <w:keepNext/>
              <w:spacing w:before="20" w:after="20"/>
              <w:rPr>
                <w:szCs w:val="18"/>
              </w:rPr>
            </w:pPr>
          </w:p>
        </w:tc>
        <w:tc>
          <w:tcPr>
            <w:tcW w:w="7371" w:type="dxa"/>
            <w:shd w:val="clear" w:color="auto" w:fill="auto"/>
            <w:vAlign w:val="center"/>
          </w:tcPr>
          <w:p w14:paraId="66949B16" w14:textId="77777777" w:rsidR="001E27B6" w:rsidRPr="0088707A" w:rsidRDefault="001E27B6" w:rsidP="001E27B6">
            <w:pPr>
              <w:pStyle w:val="BodyText"/>
              <w:keepNext/>
              <w:spacing w:before="20" w:after="20"/>
              <w:rPr>
                <w:szCs w:val="18"/>
              </w:rPr>
            </w:pPr>
            <w:r w:rsidRPr="0088707A">
              <w:rPr>
                <w:szCs w:val="18"/>
              </w:rPr>
              <w:t xml:space="preserve">Shippers can readily co-ordinate trades with other gas services on the </w:t>
            </w:r>
            <w:r>
              <w:rPr>
                <w:szCs w:val="18"/>
              </w:rPr>
              <w:t xml:space="preserve">GSH </w:t>
            </w:r>
          </w:p>
        </w:tc>
      </w:tr>
      <w:tr w:rsidR="001E27B6" w:rsidRPr="0088707A" w14:paraId="0303A971" w14:textId="77777777" w:rsidTr="001E27B6">
        <w:trPr>
          <w:cnfStyle w:val="000000010000" w:firstRow="0" w:lastRow="0" w:firstColumn="0" w:lastColumn="0" w:oddVBand="0" w:evenVBand="0" w:oddHBand="0" w:evenHBand="1" w:firstRowFirstColumn="0" w:firstRowLastColumn="0" w:lastRowFirstColumn="0" w:lastRowLastColumn="0"/>
        </w:trPr>
        <w:tc>
          <w:tcPr>
            <w:tcW w:w="1701" w:type="dxa"/>
            <w:vMerge w:val="restart"/>
            <w:shd w:val="clear" w:color="auto" w:fill="auto"/>
            <w:vAlign w:val="center"/>
          </w:tcPr>
          <w:p w14:paraId="40D4E54D" w14:textId="77777777" w:rsidR="001E27B6" w:rsidRPr="0088707A" w:rsidRDefault="001E27B6" w:rsidP="001E27B6">
            <w:pPr>
              <w:pStyle w:val="BodyText"/>
              <w:keepNext/>
              <w:spacing w:before="20" w:after="20"/>
              <w:rPr>
                <w:b/>
                <w:szCs w:val="18"/>
              </w:rPr>
            </w:pPr>
            <w:r w:rsidRPr="0088707A">
              <w:rPr>
                <w:b/>
                <w:szCs w:val="18"/>
              </w:rPr>
              <w:t>Scale and scope benefits and adaptability:</w:t>
            </w:r>
          </w:p>
        </w:tc>
        <w:tc>
          <w:tcPr>
            <w:tcW w:w="7371" w:type="dxa"/>
            <w:shd w:val="clear" w:color="auto" w:fill="auto"/>
            <w:vAlign w:val="center"/>
          </w:tcPr>
          <w:p w14:paraId="426DA299" w14:textId="77777777" w:rsidR="001E27B6" w:rsidRPr="0088707A" w:rsidRDefault="001E27B6" w:rsidP="001E27B6">
            <w:pPr>
              <w:pStyle w:val="BodyText"/>
              <w:keepNext/>
              <w:spacing w:before="20" w:after="20"/>
              <w:rPr>
                <w:szCs w:val="18"/>
              </w:rPr>
            </w:pPr>
            <w:r w:rsidRPr="0088707A">
              <w:rPr>
                <w:szCs w:val="18"/>
              </w:rPr>
              <w:t>Capable of capturing scale and scope benefits</w:t>
            </w:r>
          </w:p>
        </w:tc>
      </w:tr>
      <w:tr w:rsidR="001E27B6" w:rsidRPr="0088707A" w14:paraId="38455F69" w14:textId="77777777" w:rsidTr="001E27B6">
        <w:tc>
          <w:tcPr>
            <w:tcW w:w="1701" w:type="dxa"/>
            <w:vMerge/>
            <w:shd w:val="clear" w:color="auto" w:fill="auto"/>
          </w:tcPr>
          <w:p w14:paraId="3E881012" w14:textId="77777777" w:rsidR="001E27B6" w:rsidRPr="0088707A" w:rsidRDefault="001E27B6" w:rsidP="001E27B6">
            <w:pPr>
              <w:pStyle w:val="BodyText"/>
              <w:keepNext/>
              <w:spacing w:before="20" w:after="20"/>
              <w:rPr>
                <w:szCs w:val="18"/>
              </w:rPr>
            </w:pPr>
          </w:p>
        </w:tc>
        <w:tc>
          <w:tcPr>
            <w:tcW w:w="7371" w:type="dxa"/>
            <w:shd w:val="clear" w:color="auto" w:fill="auto"/>
            <w:vAlign w:val="center"/>
          </w:tcPr>
          <w:p w14:paraId="04DD48FA" w14:textId="77777777" w:rsidR="001E27B6" w:rsidRPr="0088707A" w:rsidRDefault="001E27B6" w:rsidP="001E27B6">
            <w:pPr>
              <w:pStyle w:val="BodyText"/>
              <w:keepNext/>
              <w:spacing w:before="20" w:after="20"/>
              <w:rPr>
                <w:szCs w:val="18"/>
              </w:rPr>
            </w:pPr>
            <w:r w:rsidRPr="0088707A">
              <w:rPr>
                <w:szCs w:val="18"/>
              </w:rPr>
              <w:t>Future proof, scalable and adaptable</w:t>
            </w:r>
          </w:p>
        </w:tc>
      </w:tr>
    </w:tbl>
    <w:p w14:paraId="586A08A6" w14:textId="77777777" w:rsidR="001E27B6" w:rsidRPr="00777F22" w:rsidRDefault="001E27B6" w:rsidP="001E27B6">
      <w:pPr>
        <w:pStyle w:val="ListBullet"/>
        <w:numPr>
          <w:ilvl w:val="0"/>
          <w:numId w:val="0"/>
        </w:numPr>
        <w:spacing w:before="0" w:after="0"/>
        <w:ind w:left="357" w:hanging="357"/>
        <w:rPr>
          <w:sz w:val="2"/>
          <w:szCs w:val="2"/>
        </w:rPr>
      </w:pPr>
    </w:p>
    <w:p w14:paraId="76DAA969" w14:textId="77777777" w:rsidR="001E27B6" w:rsidRDefault="001E27B6" w:rsidP="00777F22">
      <w:pPr>
        <w:pStyle w:val="ListBullet"/>
        <w:numPr>
          <w:ilvl w:val="0"/>
          <w:numId w:val="0"/>
        </w:numPr>
        <w:spacing w:before="0" w:after="0"/>
        <w:ind w:left="357" w:hanging="357"/>
        <w:rPr>
          <w:sz w:val="2"/>
          <w:szCs w:val="2"/>
        </w:rPr>
      </w:pPr>
    </w:p>
    <w:p w14:paraId="3DA20A92" w14:textId="77777777" w:rsidR="001E27B6" w:rsidRDefault="001E27B6" w:rsidP="00777F22">
      <w:pPr>
        <w:pStyle w:val="ListBullet"/>
        <w:numPr>
          <w:ilvl w:val="0"/>
          <w:numId w:val="0"/>
        </w:numPr>
        <w:spacing w:before="0" w:after="0"/>
        <w:ind w:left="357" w:hanging="357"/>
        <w:rPr>
          <w:sz w:val="2"/>
          <w:szCs w:val="2"/>
        </w:rPr>
      </w:pPr>
    </w:p>
    <w:p w14:paraId="0C7C4C66" w14:textId="77777777" w:rsidR="00A45719" w:rsidRPr="00777F22" w:rsidRDefault="001E27B6" w:rsidP="00CF7D4D">
      <w:pPr>
        <w:pStyle w:val="ListBullet"/>
        <w:numPr>
          <w:ilvl w:val="0"/>
          <w:numId w:val="0"/>
        </w:numPr>
        <w:spacing w:before="0" w:after="0"/>
        <w:rPr>
          <w:sz w:val="2"/>
          <w:szCs w:val="2"/>
        </w:rPr>
      </w:pPr>
      <w:r>
        <w:rPr>
          <w:sz w:val="2"/>
          <w:szCs w:val="2"/>
        </w:rPr>
        <w:br w:type="page"/>
      </w:r>
    </w:p>
    <w:p w14:paraId="178B91DD" w14:textId="77777777" w:rsidR="009467E3" w:rsidRDefault="009467E3" w:rsidP="00B065DE">
      <w:pPr>
        <w:pStyle w:val="ExecSummHeading1"/>
      </w:pPr>
      <w:bookmarkStart w:id="69" w:name="_Toc499542646"/>
      <w:bookmarkEnd w:id="68"/>
      <w:r w:rsidRPr="00B065DE">
        <w:lastRenderedPageBreak/>
        <w:t>Part A: Standardisation Reforms</w:t>
      </w:r>
      <w:bookmarkEnd w:id="69"/>
    </w:p>
    <w:p w14:paraId="60679696" w14:textId="77777777" w:rsidR="009467E3" w:rsidRDefault="009467E3" w:rsidP="00B065DE">
      <w:pPr>
        <w:pStyle w:val="BodyText"/>
        <w:rPr>
          <w:rFonts w:asciiTheme="majorHAnsi" w:hAnsiTheme="majorHAnsi" w:cstheme="majorHAnsi"/>
        </w:rPr>
      </w:pPr>
      <w:r>
        <w:t xml:space="preserve">In the </w:t>
      </w:r>
      <w:r w:rsidRPr="005E3347">
        <w:rPr>
          <w:i/>
        </w:rPr>
        <w:t>East Coast Review</w:t>
      </w:r>
      <w:r>
        <w:t>, the AEMC noted that t</w:t>
      </w:r>
      <w:r w:rsidRPr="00CA246F">
        <w:t xml:space="preserve">he contracts underpinning primary and secondary capacity trades </w:t>
      </w:r>
      <w:r>
        <w:t xml:space="preserve">on </w:t>
      </w:r>
      <w:r w:rsidR="00D604A6">
        <w:t xml:space="preserve">transportation assets operating under the </w:t>
      </w:r>
      <w:r>
        <w:t xml:space="preserve">contract carriage </w:t>
      </w:r>
      <w:r w:rsidR="00D604A6">
        <w:t xml:space="preserve">model </w:t>
      </w:r>
      <w:r w:rsidRPr="00CA246F">
        <w:t xml:space="preserve">have historically been quite bespoke, with a range of terms and conditions customised to meet the requirements of the contracting parties. While the </w:t>
      </w:r>
      <w:r>
        <w:t xml:space="preserve">AEMC recognised </w:t>
      </w:r>
      <w:r w:rsidRPr="00CA246F">
        <w:t xml:space="preserve">there may be value in </w:t>
      </w:r>
      <w:r>
        <w:t xml:space="preserve">having customised </w:t>
      </w:r>
      <w:r w:rsidRPr="00CA246F">
        <w:t xml:space="preserve">service </w:t>
      </w:r>
      <w:r>
        <w:t>provisions</w:t>
      </w:r>
      <w:r w:rsidRPr="00CA246F">
        <w:t xml:space="preserve">, it </w:t>
      </w:r>
      <w:r>
        <w:t xml:space="preserve">recommended that the </w:t>
      </w:r>
      <w:r w:rsidRPr="005A2003">
        <w:t xml:space="preserve">operational, prudential and other provisions </w:t>
      </w:r>
      <w:r>
        <w:t xml:space="preserve">governing the relationship between contracting parties and their contractual obligations in primary, secondary and operational transportation agreements be standardised. The AEMC also recommended that all trades conducted through the exchange or auction be given effect through an operational transfer and that </w:t>
      </w:r>
      <w:r>
        <w:rPr>
          <w:rFonts w:asciiTheme="majorHAnsi" w:hAnsiTheme="majorHAnsi" w:cstheme="majorHAnsi"/>
        </w:rPr>
        <w:t xml:space="preserve">shippers be provided with greater </w:t>
      </w:r>
      <w:r w:rsidRPr="00291D93">
        <w:t>flexibility</w:t>
      </w:r>
      <w:r>
        <w:rPr>
          <w:rFonts w:asciiTheme="majorHAnsi" w:hAnsiTheme="majorHAnsi" w:cstheme="majorHAnsi"/>
        </w:rPr>
        <w:t xml:space="preserve"> to change their receipt and delivery points.</w:t>
      </w:r>
      <w:r w:rsidRPr="002D30F2">
        <w:rPr>
          <w:rStyle w:val="FootnoteReference"/>
        </w:rPr>
        <w:t xml:space="preserve"> </w:t>
      </w:r>
      <w:r>
        <w:rPr>
          <w:rStyle w:val="FootnoteReference"/>
        </w:rPr>
        <w:footnoteReference w:id="26"/>
      </w:r>
      <w:r>
        <w:rPr>
          <w:rFonts w:asciiTheme="majorHAnsi" w:hAnsiTheme="majorHAnsi" w:cstheme="majorHAnsi"/>
        </w:rPr>
        <w:t xml:space="preserve"> </w:t>
      </w:r>
    </w:p>
    <w:p w14:paraId="0108E764" w14:textId="77777777" w:rsidR="009467E3" w:rsidRDefault="009467E3" w:rsidP="00B065DE">
      <w:pPr>
        <w:pStyle w:val="BodyText"/>
      </w:pPr>
      <w:r>
        <w:t>Together, the AEMC expected these reforms to facilitate a greater level of secondary capacity trading by:</w:t>
      </w:r>
      <w:r>
        <w:rPr>
          <w:rStyle w:val="FootnoteReference"/>
        </w:rPr>
        <w:footnoteReference w:id="27"/>
      </w:r>
    </w:p>
    <w:p w14:paraId="4DA19436" w14:textId="77777777" w:rsidR="009467E3" w:rsidRDefault="009467E3" w:rsidP="003604E5">
      <w:pPr>
        <w:pStyle w:val="ListBullet"/>
        <w:spacing w:after="60"/>
      </w:pPr>
      <w:bookmarkStart w:id="70" w:name="_Hlk489780672"/>
      <w:r>
        <w:t xml:space="preserve">making </w:t>
      </w:r>
      <w:r w:rsidRPr="00CA246F">
        <w:t>capacity products more fungible</w:t>
      </w:r>
      <w:r>
        <w:t>;</w:t>
      </w:r>
    </w:p>
    <w:p w14:paraId="4ABFADE4" w14:textId="77777777" w:rsidR="009467E3" w:rsidRDefault="009467E3" w:rsidP="003604E5">
      <w:pPr>
        <w:pStyle w:val="ListBullet"/>
        <w:spacing w:after="60"/>
      </w:pPr>
      <w:r>
        <w:t xml:space="preserve">reducing search and transaction costs (i.e. </w:t>
      </w:r>
      <w:r w:rsidRPr="00CA246F">
        <w:t xml:space="preserve">by </w:t>
      </w:r>
      <w:r>
        <w:t>making it easier for shippers to value and compare offers and reducing the number of provisions to be negotiated);</w:t>
      </w:r>
      <w:r w:rsidRPr="00CA246F">
        <w:t xml:space="preserve"> </w:t>
      </w:r>
      <w:r w:rsidR="000443E2">
        <w:t>and</w:t>
      </w:r>
    </w:p>
    <w:p w14:paraId="367ED3B4" w14:textId="77777777" w:rsidR="009467E3" w:rsidRDefault="009467E3" w:rsidP="000443E2">
      <w:pPr>
        <w:pStyle w:val="ListBullet"/>
        <w:spacing w:after="60"/>
      </w:pPr>
      <w:proofErr w:type="gramStart"/>
      <w:r>
        <w:t>removing</w:t>
      </w:r>
      <w:proofErr w:type="gramEnd"/>
      <w:r>
        <w:t xml:space="preserve"> any unnecessary impediments to trade across pipelines</w:t>
      </w:r>
      <w:r w:rsidR="000443E2">
        <w:t>.</w:t>
      </w:r>
    </w:p>
    <w:bookmarkEnd w:id="70"/>
    <w:p w14:paraId="3A8C6BFE" w14:textId="77777777" w:rsidR="009467E3" w:rsidRDefault="00F42B92" w:rsidP="000443E2">
      <w:pPr>
        <w:pStyle w:val="BodyText"/>
      </w:pPr>
      <w:r>
        <w:t xml:space="preserve">Table A.1 </w:t>
      </w:r>
      <w:r w:rsidR="009467E3">
        <w:t>provides further detail on the scope of the standardisation related reforms, which were categorised by the AEMC as either:</w:t>
      </w:r>
    </w:p>
    <w:p w14:paraId="3817D3AE" w14:textId="77777777" w:rsidR="009467E3" w:rsidRDefault="009467E3" w:rsidP="003604E5">
      <w:pPr>
        <w:pStyle w:val="ListBullet"/>
        <w:spacing w:after="60"/>
      </w:pPr>
      <w:r w:rsidRPr="72697DF9">
        <w:rPr>
          <w:b/>
          <w:bCs/>
        </w:rPr>
        <w:t xml:space="preserve">required outcomes </w:t>
      </w:r>
      <w:r>
        <w:t>– these recommendations were described by the AEMC as outcomes that must be progressed by the GMRG and are necessary to the implementation of the reforms; or</w:t>
      </w:r>
    </w:p>
    <w:p w14:paraId="05207CFA" w14:textId="77777777" w:rsidR="009467E3" w:rsidRDefault="009467E3" w:rsidP="00D604A6">
      <w:pPr>
        <w:pStyle w:val="ListBullet"/>
        <w:spacing w:after="0"/>
      </w:pPr>
      <w:proofErr w:type="gramStart"/>
      <w:r w:rsidRPr="72697DF9">
        <w:rPr>
          <w:b/>
          <w:bCs/>
        </w:rPr>
        <w:t>preferred</w:t>
      </w:r>
      <w:proofErr w:type="gramEnd"/>
      <w:r w:rsidRPr="72697DF9">
        <w:rPr>
          <w:b/>
          <w:bCs/>
        </w:rPr>
        <w:t xml:space="preserve"> outcomes </w:t>
      </w:r>
      <w:r>
        <w:t>– these recommendations were described by the AEMC as outcomes that should be pursued by the GMRG unless it is clear there are greater benefits in alternative approaches.</w:t>
      </w:r>
    </w:p>
    <w:tbl>
      <w:tblPr>
        <w:tblStyle w:val="TableGrid"/>
        <w:tblW w:w="5000" w:type="pct"/>
        <w:tblLayout w:type="fixed"/>
        <w:tblLook w:val="0480" w:firstRow="0" w:lastRow="0" w:firstColumn="1" w:lastColumn="0" w:noHBand="0" w:noVBand="1"/>
        <w:tblCaption w:val="Table A.1"/>
        <w:tblDescription w:val="AEMC’s Recommendations: Standardisation related reforms"/>
      </w:tblPr>
      <w:tblGrid>
        <w:gridCol w:w="8788"/>
      </w:tblGrid>
      <w:tr w:rsidR="009467E3" w:rsidRPr="00D604A6" w14:paraId="0E60C968" w14:textId="77777777" w:rsidTr="002A4FF3">
        <w:trPr>
          <w:cnfStyle w:val="000000010000" w:firstRow="0" w:lastRow="0" w:firstColumn="0" w:lastColumn="0" w:oddVBand="0" w:evenVBand="0" w:oddHBand="0" w:evenHBand="1" w:firstRowFirstColumn="0" w:firstRowLastColumn="0" w:lastRowFirstColumn="0" w:lastRowLastColumn="0"/>
          <w:tblHeader/>
        </w:trPr>
        <w:tc>
          <w:tcPr>
            <w:tcW w:w="8788" w:type="dxa"/>
            <w:tcBorders>
              <w:top w:val="nil"/>
              <w:bottom w:val="single" w:sz="4" w:space="0" w:color="auto"/>
            </w:tcBorders>
            <w:shd w:val="clear" w:color="auto" w:fill="auto"/>
          </w:tcPr>
          <w:p w14:paraId="73B1FDC1" w14:textId="36B9DA10" w:rsidR="009467E3" w:rsidRPr="002A4FF3" w:rsidRDefault="002A4FF3" w:rsidP="002A4FF3">
            <w:pPr>
              <w:pStyle w:val="TableBodyText"/>
              <w:keepNext/>
              <w:spacing w:before="20" w:after="20"/>
              <w:rPr>
                <w:b/>
                <w:color w:val="FFFFFF" w:themeColor="background1"/>
                <w:szCs w:val="18"/>
              </w:rPr>
            </w:pPr>
            <w:r w:rsidRPr="002A4FF3">
              <w:rPr>
                <w:b/>
                <w:sz w:val="22"/>
              </w:rPr>
              <w:t>Table A.1: AEMC’s Recommendations: Standardisation related reforms</w:t>
            </w:r>
          </w:p>
        </w:tc>
      </w:tr>
      <w:tr w:rsidR="002A4FF3" w:rsidRPr="00D604A6" w14:paraId="4479971E" w14:textId="77777777" w:rsidTr="002A4FF3">
        <w:tc>
          <w:tcPr>
            <w:tcW w:w="8788" w:type="dxa"/>
            <w:tcBorders>
              <w:bottom w:val="single" w:sz="4" w:space="0" w:color="auto"/>
            </w:tcBorders>
            <w:shd w:val="clear" w:color="auto" w:fill="0099CC"/>
          </w:tcPr>
          <w:p w14:paraId="7FA05213" w14:textId="45B59C4F" w:rsidR="002A4FF3" w:rsidRPr="00D604A6" w:rsidRDefault="002A4FF3" w:rsidP="003604E5">
            <w:pPr>
              <w:pStyle w:val="TableBodyText"/>
              <w:keepNext/>
              <w:spacing w:before="20" w:after="20"/>
              <w:jc w:val="center"/>
              <w:rPr>
                <w:b/>
                <w:color w:val="FFFFFF" w:themeColor="background1"/>
                <w:szCs w:val="18"/>
              </w:rPr>
            </w:pPr>
            <w:r w:rsidRPr="00D604A6">
              <w:rPr>
                <w:b/>
                <w:color w:val="FFFFFF" w:themeColor="background1"/>
                <w:szCs w:val="18"/>
              </w:rPr>
              <w:t>Required Outcomes</w:t>
            </w:r>
          </w:p>
        </w:tc>
      </w:tr>
      <w:tr w:rsidR="009467E3" w:rsidRPr="00D604A6" w14:paraId="60335EDE" w14:textId="77777777" w:rsidTr="002A4FF3">
        <w:trPr>
          <w:cnfStyle w:val="000000010000" w:firstRow="0" w:lastRow="0" w:firstColumn="0" w:lastColumn="0" w:oddVBand="0" w:evenVBand="0" w:oddHBand="0" w:evenHBand="1" w:firstRowFirstColumn="0" w:firstRowLastColumn="0" w:lastRowFirstColumn="0" w:lastRowLastColumn="0"/>
        </w:trPr>
        <w:tc>
          <w:tcPr>
            <w:tcW w:w="8788" w:type="dxa"/>
            <w:tcBorders>
              <w:bottom w:val="single" w:sz="4" w:space="0" w:color="auto"/>
            </w:tcBorders>
            <w:shd w:val="clear" w:color="auto" w:fill="auto"/>
          </w:tcPr>
          <w:p w14:paraId="321B4AA9" w14:textId="77777777" w:rsidR="009467E3" w:rsidRPr="00D604A6" w:rsidRDefault="009467E3" w:rsidP="003604E5">
            <w:pPr>
              <w:pStyle w:val="TableBullet1"/>
              <w:keepNext/>
              <w:spacing w:before="20" w:after="40" w:line="240" w:lineRule="auto"/>
              <w:rPr>
                <w:szCs w:val="18"/>
              </w:rPr>
            </w:pPr>
            <w:r w:rsidRPr="00D604A6">
              <w:rPr>
                <w:szCs w:val="18"/>
              </w:rPr>
              <w:t xml:space="preserve">Trades carried out through the capacity trading platform to be given effect through an operational transfer. Bare transfers will be allowed but the seller will be required to offer the buyer the option to use an operational transfer. </w:t>
            </w:r>
          </w:p>
          <w:p w14:paraId="5C0C11DB" w14:textId="77777777" w:rsidR="009467E3" w:rsidRPr="00D604A6" w:rsidRDefault="009467E3" w:rsidP="003604E5">
            <w:pPr>
              <w:pStyle w:val="TableBullet1"/>
              <w:keepNext/>
              <w:spacing w:before="20" w:after="40" w:line="240" w:lineRule="auto"/>
              <w:rPr>
                <w:szCs w:val="18"/>
              </w:rPr>
            </w:pPr>
            <w:r w:rsidRPr="00D604A6">
              <w:rPr>
                <w:szCs w:val="18"/>
              </w:rPr>
              <w:t>Standardisation of key primary and secondary capacity contractual terms for pipeline a</w:t>
            </w:r>
            <w:r w:rsidR="000A1036">
              <w:rPr>
                <w:szCs w:val="18"/>
              </w:rPr>
              <w:t xml:space="preserve">nd hub (compression) services. </w:t>
            </w:r>
            <w:r w:rsidRPr="00D604A6">
              <w:rPr>
                <w:szCs w:val="18"/>
              </w:rPr>
              <w:t xml:space="preserve">Where possible and appropriate the standards should apply across the eastern Australian gas market. </w:t>
            </w:r>
          </w:p>
          <w:p w14:paraId="5615DDF1" w14:textId="77777777" w:rsidR="009467E3" w:rsidRPr="00D604A6" w:rsidRDefault="009467E3" w:rsidP="003604E5">
            <w:pPr>
              <w:pStyle w:val="TableBullet1"/>
              <w:keepNext/>
              <w:spacing w:before="20" w:after="40" w:line="240" w:lineRule="auto"/>
              <w:rPr>
                <w:szCs w:val="18"/>
              </w:rPr>
            </w:pPr>
            <w:r w:rsidRPr="00D604A6">
              <w:rPr>
                <w:szCs w:val="18"/>
              </w:rPr>
              <w:t xml:space="preserve">Standards to be developed are for key operational, prudential and other contractual provisions in primary GTAs, secondary CTAs and operational GTAs, and provisions in contracts used for </w:t>
            </w:r>
            <w:r w:rsidR="00F1710A">
              <w:rPr>
                <w:szCs w:val="18"/>
              </w:rPr>
              <w:t>exchange-based</w:t>
            </w:r>
            <w:r w:rsidRPr="00D604A6">
              <w:rPr>
                <w:szCs w:val="18"/>
              </w:rPr>
              <w:t xml:space="preserve"> trading on the capacity trading platform. </w:t>
            </w:r>
          </w:p>
          <w:p w14:paraId="1FF04929" w14:textId="77777777" w:rsidR="009467E3" w:rsidRPr="00D604A6" w:rsidRDefault="009467E3" w:rsidP="003604E5">
            <w:pPr>
              <w:pStyle w:val="TableBullet1"/>
              <w:keepNext/>
              <w:spacing w:before="20" w:after="40"/>
              <w:rPr>
                <w:szCs w:val="18"/>
              </w:rPr>
            </w:pPr>
            <w:r w:rsidRPr="00D604A6">
              <w:rPr>
                <w:szCs w:val="18"/>
              </w:rPr>
              <w:t>Counterparties to existing contracts should not be materially disadvantaged through the standardisation process.</w:t>
            </w:r>
          </w:p>
        </w:tc>
      </w:tr>
      <w:tr w:rsidR="009467E3" w:rsidRPr="00D604A6" w14:paraId="6C794546" w14:textId="77777777" w:rsidTr="002A4FF3">
        <w:tblPrEx>
          <w:tblLook w:val="04A0" w:firstRow="1" w:lastRow="0" w:firstColumn="1" w:lastColumn="0" w:noHBand="0" w:noVBand="1"/>
        </w:tblPrEx>
        <w:tc>
          <w:tcPr>
            <w:tcW w:w="8788" w:type="dxa"/>
            <w:tcBorders>
              <w:bottom w:val="single" w:sz="4" w:space="0" w:color="auto"/>
            </w:tcBorders>
            <w:shd w:val="clear" w:color="auto" w:fill="0099CC"/>
          </w:tcPr>
          <w:p w14:paraId="2DCB5499" w14:textId="77777777" w:rsidR="009467E3" w:rsidRPr="00D604A6" w:rsidRDefault="009467E3" w:rsidP="003604E5">
            <w:pPr>
              <w:pStyle w:val="TableBodyText"/>
              <w:keepNext/>
              <w:spacing w:before="20" w:after="40"/>
              <w:jc w:val="center"/>
              <w:rPr>
                <w:b/>
                <w:color w:val="FFFFFF" w:themeColor="background1"/>
                <w:szCs w:val="18"/>
              </w:rPr>
            </w:pPr>
            <w:r w:rsidRPr="00D604A6">
              <w:rPr>
                <w:b/>
                <w:color w:val="FFFFFF" w:themeColor="background1"/>
                <w:szCs w:val="18"/>
              </w:rPr>
              <w:t>Preferred outcomes</w:t>
            </w:r>
          </w:p>
        </w:tc>
      </w:tr>
      <w:tr w:rsidR="009467E3" w:rsidRPr="00D604A6" w14:paraId="1CC595A4" w14:textId="77777777" w:rsidTr="002A4FF3">
        <w:tblPrEx>
          <w:tblLook w:val="04A0" w:firstRow="1" w:lastRow="0" w:firstColumn="1" w:lastColumn="0" w:noHBand="0" w:noVBand="1"/>
        </w:tblPrEx>
        <w:trPr>
          <w:cnfStyle w:val="000000010000" w:firstRow="0" w:lastRow="0" w:firstColumn="0" w:lastColumn="0" w:oddVBand="0" w:evenVBand="0" w:oddHBand="0" w:evenHBand="1" w:firstRowFirstColumn="0" w:firstRowLastColumn="0" w:lastRowFirstColumn="0" w:lastRowLastColumn="0"/>
        </w:trPr>
        <w:tc>
          <w:tcPr>
            <w:tcW w:w="8788" w:type="dxa"/>
            <w:shd w:val="clear" w:color="auto" w:fill="auto"/>
          </w:tcPr>
          <w:p w14:paraId="03638A84" w14:textId="77777777" w:rsidR="009467E3" w:rsidRPr="00D604A6" w:rsidRDefault="009467E3" w:rsidP="003604E5">
            <w:pPr>
              <w:pStyle w:val="TableBullet1"/>
              <w:spacing w:before="20" w:after="40"/>
              <w:rPr>
                <w:szCs w:val="18"/>
              </w:rPr>
            </w:pPr>
            <w:r w:rsidRPr="00D604A6">
              <w:rPr>
                <w:szCs w:val="18"/>
              </w:rPr>
              <w:t>Shippers provided greater flexibility to change their receipt and delivery points</w:t>
            </w:r>
            <w:r w:rsidR="00522628" w:rsidRPr="00D604A6">
              <w:rPr>
                <w:szCs w:val="18"/>
              </w:rPr>
              <w:t>.</w:t>
            </w:r>
          </w:p>
        </w:tc>
      </w:tr>
    </w:tbl>
    <w:p w14:paraId="630A6415" w14:textId="77777777" w:rsidR="00F01112" w:rsidRDefault="009467E3" w:rsidP="005D21F6">
      <w:pPr>
        <w:pStyle w:val="BodyText"/>
        <w:widowControl w:val="0"/>
        <w:spacing w:before="0" w:after="0"/>
        <w:rPr>
          <w:sz w:val="18"/>
          <w:szCs w:val="18"/>
        </w:rPr>
      </w:pPr>
      <w:r w:rsidRPr="00095979">
        <w:rPr>
          <w:sz w:val="18"/>
          <w:szCs w:val="18"/>
        </w:rPr>
        <w:t xml:space="preserve">Source: AEMC, Stage 2 Final Report: </w:t>
      </w:r>
      <w:r w:rsidRPr="005E3347">
        <w:rPr>
          <w:rFonts w:cs="Arial"/>
          <w:i/>
          <w:iCs/>
          <w:sz w:val="18"/>
          <w:szCs w:val="18"/>
        </w:rPr>
        <w:t>East Coast Review</w:t>
      </w:r>
      <w:r w:rsidRPr="00095979">
        <w:rPr>
          <w:rFonts w:cs="Arial"/>
          <w:iCs/>
          <w:sz w:val="18"/>
          <w:szCs w:val="18"/>
        </w:rPr>
        <w:t>, 23 May 2016,</w:t>
      </w:r>
      <w:r w:rsidRPr="00095979">
        <w:rPr>
          <w:sz w:val="18"/>
          <w:szCs w:val="18"/>
        </w:rPr>
        <w:t xml:space="preserve"> p. 17.</w:t>
      </w:r>
      <w:r w:rsidR="005D21F6">
        <w:rPr>
          <w:sz w:val="18"/>
          <w:szCs w:val="18"/>
        </w:rPr>
        <w:t xml:space="preserve"> </w:t>
      </w:r>
    </w:p>
    <w:p w14:paraId="20AE599D" w14:textId="77777777" w:rsidR="00F01112" w:rsidRDefault="00F01112" w:rsidP="00863162">
      <w:pPr>
        <w:pStyle w:val="BodyText"/>
        <w:spacing w:line="259" w:lineRule="auto"/>
      </w:pPr>
      <w:r>
        <w:lastRenderedPageBreak/>
        <w:t xml:space="preserve">The GMRG commenced work on this element of the reform package in February 2017 and over the last nine months has worked closely with the Standardisation project team and its legal advisor, JWS, on the design of the standardisation related reforms. </w:t>
      </w:r>
    </w:p>
    <w:p w14:paraId="5BB0A9A9" w14:textId="77777777" w:rsidR="00F01112" w:rsidRPr="008237A5" w:rsidRDefault="00F01112" w:rsidP="00F453C6">
      <w:pPr>
        <w:pStyle w:val="BodyText"/>
        <w:rPr>
          <w:rFonts w:eastAsiaTheme="minorHAnsi"/>
        </w:rPr>
      </w:pPr>
      <w:r>
        <w:t xml:space="preserve">To facilitate consultation with other stakeholders, the GMRG </w:t>
      </w:r>
      <w:r w:rsidRPr="00330AB2">
        <w:t xml:space="preserve">published </w:t>
      </w:r>
      <w:r>
        <w:t>a consultation paper</w:t>
      </w:r>
      <w:r w:rsidRPr="00330AB2">
        <w:t xml:space="preserve"> on</w:t>
      </w:r>
      <w:r>
        <w:t xml:space="preserve"> t</w:t>
      </w:r>
      <w:r w:rsidRPr="00140014">
        <w:t>he standardisation reforms</w:t>
      </w:r>
      <w:r>
        <w:t xml:space="preserve"> on 7 September 2017. </w:t>
      </w:r>
      <w:r>
        <w:rPr>
          <w:rFonts w:cs="Arial"/>
        </w:rPr>
        <w:t xml:space="preserve">This consultation paper identified a number of design options for the standardisation reforms and </w:t>
      </w:r>
      <w:r>
        <w:t xml:space="preserve">provided </w:t>
      </w:r>
      <w:r w:rsidRPr="00103F73">
        <w:rPr>
          <w:rFonts w:eastAsiaTheme="minorHAnsi"/>
        </w:rPr>
        <w:t xml:space="preserve">an indication of the GMRG’s </w:t>
      </w:r>
      <w:r>
        <w:rPr>
          <w:rFonts w:eastAsiaTheme="minorHAnsi"/>
        </w:rPr>
        <w:t xml:space="preserve">preliminary view on each option. </w:t>
      </w:r>
      <w:r>
        <w:t xml:space="preserve">Stakeholders were </w:t>
      </w:r>
      <w:r w:rsidR="00DE0813">
        <w:t xml:space="preserve">given </w:t>
      </w:r>
      <w:r>
        <w:t>four weeks to provide written feedback on the options presented in this consultation paper and were also invited to attend a public forum in Sydney on 14 September 2017</w:t>
      </w:r>
      <w:r w:rsidR="000A1036">
        <w:t>.</w:t>
      </w:r>
      <w:r>
        <w:t xml:space="preserve"> </w:t>
      </w:r>
      <w:r>
        <w:rPr>
          <w:rFonts w:eastAsiaTheme="minorHAnsi"/>
        </w:rPr>
        <w:t xml:space="preserve">The consultation period for this paper ended on 4 October 2017. </w:t>
      </w:r>
    </w:p>
    <w:p w14:paraId="23699921" w14:textId="77777777" w:rsidR="00782E92" w:rsidRDefault="00F01112" w:rsidP="00F453C6">
      <w:pPr>
        <w:pStyle w:val="BodyText"/>
      </w:pPr>
      <w:r>
        <w:t xml:space="preserve">The stakeholders that </w:t>
      </w:r>
      <w:r w:rsidR="00F453C6">
        <w:t xml:space="preserve">provided written submissions on this consultation paper included AGL, Origin, </w:t>
      </w:r>
      <w:proofErr w:type="spellStart"/>
      <w:r w:rsidR="00F453C6">
        <w:t>EnergyAustralia</w:t>
      </w:r>
      <w:proofErr w:type="spellEnd"/>
      <w:r w:rsidR="00F453C6">
        <w:t xml:space="preserve">, </w:t>
      </w:r>
      <w:proofErr w:type="spellStart"/>
      <w:r w:rsidR="00F453C6">
        <w:t>Alinta</w:t>
      </w:r>
      <w:proofErr w:type="spellEnd"/>
      <w:r w:rsidR="00F453C6">
        <w:t xml:space="preserve">, Stanwell, APLNG, </w:t>
      </w:r>
      <w:proofErr w:type="spellStart"/>
      <w:r w:rsidR="00F453C6">
        <w:t>Senex</w:t>
      </w:r>
      <w:proofErr w:type="spellEnd"/>
      <w:r w:rsidR="00F453C6">
        <w:t>, Shell, the MEU, APGA, APA, Jemena, Epic and TGP</w:t>
      </w:r>
      <w:r w:rsidR="009D4400">
        <w:t xml:space="preserve"> Pty Ltd</w:t>
      </w:r>
      <w:r w:rsidR="00F453C6">
        <w:t xml:space="preserve">. </w:t>
      </w:r>
      <w:r w:rsidR="00B96F59">
        <w:t>T</w:t>
      </w:r>
      <w:r w:rsidR="00F453C6">
        <w:t xml:space="preserve">hese submissions can be </w:t>
      </w:r>
      <w:r w:rsidR="00B96F59">
        <w:t xml:space="preserve">accessed </w:t>
      </w:r>
      <w:r w:rsidR="00F453C6">
        <w:t>on the GMRG website.</w:t>
      </w:r>
      <w:r w:rsidR="00F453C6">
        <w:rPr>
          <w:rStyle w:val="FootnoteReference"/>
        </w:rPr>
        <w:footnoteReference w:id="28"/>
      </w:r>
      <w:r w:rsidR="00F453C6">
        <w:t xml:space="preserve"> </w:t>
      </w:r>
      <w:r w:rsidR="00782E92" w:rsidRPr="004B6E87">
        <w:t xml:space="preserve">Feedback on the </w:t>
      </w:r>
      <w:r w:rsidR="00782E92">
        <w:t>standardisation related reforms was</w:t>
      </w:r>
      <w:r w:rsidR="00782E92" w:rsidRPr="004B6E87">
        <w:t xml:space="preserve"> also provided through </w:t>
      </w:r>
      <w:r w:rsidR="00782E92">
        <w:t xml:space="preserve">extensive </w:t>
      </w:r>
      <w:r w:rsidR="00782E92" w:rsidRPr="004B6E87">
        <w:t>bilateral discussions with stakeholders</w:t>
      </w:r>
      <w:r w:rsidR="00723200">
        <w:t xml:space="preserve"> (</w:t>
      </w:r>
      <w:r w:rsidR="00782E92">
        <w:t xml:space="preserve">including </w:t>
      </w:r>
      <w:r w:rsidR="00723200">
        <w:t xml:space="preserve">a number of </w:t>
      </w:r>
      <w:r w:rsidR="00782E92">
        <w:t>consumer groups</w:t>
      </w:r>
      <w:r w:rsidR="00723200">
        <w:t xml:space="preserve">) and </w:t>
      </w:r>
      <w:r w:rsidR="00723200" w:rsidRPr="004B6E87">
        <w:t>by the GMRG’s Advisory Panel</w:t>
      </w:r>
      <w:r w:rsidR="00782E92" w:rsidRPr="004B6E87">
        <w:t>.</w:t>
      </w:r>
    </w:p>
    <w:p w14:paraId="25244D93" w14:textId="77777777" w:rsidR="00782E92" w:rsidRDefault="00782E92" w:rsidP="00863162">
      <w:pPr>
        <w:spacing w:before="240" w:after="120" w:line="259" w:lineRule="auto"/>
      </w:pPr>
      <w:bookmarkStart w:id="71" w:name="_Hlk498165820"/>
      <w:r>
        <w:t xml:space="preserve">In general, stakeholders were broadly supportive of this element of the capacity trading reform package and agreed with the majority of the preliminary views set out in the consultation paper. </w:t>
      </w:r>
      <w:bookmarkEnd w:id="71"/>
      <w:r>
        <w:t xml:space="preserve">A number of </w:t>
      </w:r>
      <w:r w:rsidR="009A2469">
        <w:t xml:space="preserve">specific </w:t>
      </w:r>
      <w:r>
        <w:t>issues were, however, raised about</w:t>
      </w:r>
      <w:r w:rsidR="00017884">
        <w:t>:</w:t>
      </w:r>
      <w:r>
        <w:t xml:space="preserve"> </w:t>
      </w:r>
    </w:p>
    <w:p w14:paraId="7CC0B7EC" w14:textId="77777777" w:rsidR="00782E92" w:rsidRDefault="00782E92" w:rsidP="00863162">
      <w:pPr>
        <w:pStyle w:val="ListBullet"/>
        <w:spacing w:line="259" w:lineRule="auto"/>
      </w:pPr>
      <w:bookmarkStart w:id="72" w:name="_Hlk498166042"/>
      <w:r>
        <w:t>the way in which risk and liability will be allocated between secondary shippers and service providers under the standardised operational GTA and the governance arrangements that will apply to the Operational GTA Code; and</w:t>
      </w:r>
    </w:p>
    <w:p w14:paraId="085CC96E" w14:textId="77777777" w:rsidR="00782E92" w:rsidRDefault="00782E92" w:rsidP="00863162">
      <w:pPr>
        <w:pStyle w:val="ListBullet"/>
        <w:spacing w:line="259" w:lineRule="auto"/>
      </w:pPr>
      <w:r>
        <w:t xml:space="preserve">the proposed measures to reduce other barriers to secondary capacity trading, including those posed by allocation arrangements, provisions in primary GTAs and the lack of harmonisation of gas day start times and nomination cut-off times. </w:t>
      </w:r>
    </w:p>
    <w:bookmarkEnd w:id="72"/>
    <w:p w14:paraId="6AA83BA1" w14:textId="77777777" w:rsidR="00782E92" w:rsidRDefault="00B96F59" w:rsidP="00863162">
      <w:pPr>
        <w:pStyle w:val="BodyText"/>
        <w:spacing w:line="259" w:lineRule="auto"/>
      </w:pPr>
      <w:r>
        <w:t>These issues have been considered by t</w:t>
      </w:r>
      <w:r w:rsidR="00782E92">
        <w:t xml:space="preserve">he GMRG </w:t>
      </w:r>
      <w:r>
        <w:t xml:space="preserve">in </w:t>
      </w:r>
      <w:r w:rsidR="00782E92">
        <w:t xml:space="preserve">developing </w:t>
      </w:r>
      <w:r w:rsidR="001710D5">
        <w:t xml:space="preserve">its </w:t>
      </w:r>
      <w:r w:rsidR="00782E92">
        <w:t xml:space="preserve">final recommendations. </w:t>
      </w:r>
    </w:p>
    <w:p w14:paraId="530471F1" w14:textId="77777777" w:rsidR="00523B6D" w:rsidRDefault="001710D5" w:rsidP="00523B6D">
      <w:pPr>
        <w:pStyle w:val="BodyText"/>
        <w:spacing w:after="0" w:line="259" w:lineRule="auto"/>
        <w:rPr>
          <w:sz w:val="18"/>
          <w:szCs w:val="18"/>
        </w:rPr>
      </w:pPr>
      <w:r>
        <w:t xml:space="preserve">Table A.2 provides a high-level </w:t>
      </w:r>
      <w:r w:rsidR="00782E92">
        <w:t>summary of the GMRG’s final recommendations on this element of the reform package</w:t>
      </w:r>
      <w:r>
        <w:t xml:space="preserve">, which </w:t>
      </w:r>
      <w:r w:rsidR="00782E92">
        <w:t xml:space="preserve">have been developed </w:t>
      </w:r>
      <w:r w:rsidR="00863162">
        <w:t xml:space="preserve">having regard to </w:t>
      </w:r>
      <w:r w:rsidR="00782E92">
        <w:t xml:space="preserve">the assessment framework set out in Chapter 3. </w:t>
      </w:r>
      <w:r w:rsidR="00B065DE">
        <w:t xml:space="preserve"> </w:t>
      </w:r>
    </w:p>
    <w:p w14:paraId="6C941E50" w14:textId="77777777" w:rsidR="00B065DE" w:rsidRDefault="00B065DE" w:rsidP="005D21F6">
      <w:pPr>
        <w:pStyle w:val="BodyText"/>
        <w:widowControl w:val="0"/>
        <w:spacing w:before="0" w:after="0"/>
        <w:rPr>
          <w:sz w:val="18"/>
          <w:szCs w:val="18"/>
        </w:rPr>
        <w:sectPr w:rsidR="00B065DE" w:rsidSect="00D604A6">
          <w:headerReference w:type="even" r:id="rId53"/>
          <w:headerReference w:type="default" r:id="rId54"/>
          <w:footerReference w:type="default" r:id="rId55"/>
          <w:headerReference w:type="first" r:id="rId56"/>
          <w:pgSz w:w="11907" w:h="16840" w:code="9"/>
          <w:pgMar w:top="714" w:right="1418" w:bottom="992" w:left="1701" w:header="425" w:footer="397" w:gutter="0"/>
          <w:cols w:space="708"/>
          <w:docGrid w:linePitch="360"/>
        </w:sectPr>
      </w:pPr>
    </w:p>
    <w:p w14:paraId="095BD542" w14:textId="77777777" w:rsidR="00D604A6" w:rsidRDefault="00B065DE" w:rsidP="00B065DE">
      <w:pPr>
        <w:pStyle w:val="Caption"/>
        <w:spacing w:before="0" w:after="0"/>
      </w:pPr>
      <w:bookmarkStart w:id="73" w:name="_Ref497650294"/>
      <w:r>
        <w:lastRenderedPageBreak/>
        <w:t xml:space="preserve">Table </w:t>
      </w:r>
      <w:r w:rsidR="001710D5">
        <w:t>A</w:t>
      </w:r>
      <w:r>
        <w:t>.</w:t>
      </w:r>
      <w:bookmarkEnd w:id="73"/>
      <w:r w:rsidR="001710D5">
        <w:t>2</w:t>
      </w:r>
      <w:r>
        <w:t>: Summary of the GMRG’s final recommendations on the standardisation reforms</w:t>
      </w:r>
    </w:p>
    <w:tbl>
      <w:tblPr>
        <w:tblStyle w:val="TableGrid"/>
        <w:tblW w:w="14318" w:type="dxa"/>
        <w:tblInd w:w="-284" w:type="dxa"/>
        <w:tblLook w:val="04A0" w:firstRow="1" w:lastRow="0" w:firstColumn="1" w:lastColumn="0" w:noHBand="0" w:noVBand="1"/>
        <w:tblCaption w:val="Table A.2"/>
        <w:tblDescription w:val="Summary of the GMRG’s final recommendations on the standardisation reforms"/>
      </w:tblPr>
      <w:tblGrid>
        <w:gridCol w:w="1565"/>
        <w:gridCol w:w="12753"/>
      </w:tblGrid>
      <w:tr w:rsidR="00DE0813" w:rsidRPr="00FA400C" w14:paraId="66D33602" w14:textId="77777777" w:rsidTr="000C4BF1">
        <w:trPr>
          <w:cnfStyle w:val="100000000000" w:firstRow="1" w:lastRow="0" w:firstColumn="0" w:lastColumn="0" w:oddVBand="0" w:evenVBand="0" w:oddHBand="0" w:evenHBand="0" w:firstRowFirstColumn="0" w:firstRowLastColumn="0" w:lastRowFirstColumn="0" w:lastRowLastColumn="0"/>
          <w:tblHeader/>
        </w:trPr>
        <w:tc>
          <w:tcPr>
            <w:tcW w:w="1565" w:type="dxa"/>
            <w:tcBorders>
              <w:bottom w:val="single" w:sz="4" w:space="0" w:color="auto"/>
            </w:tcBorders>
            <w:shd w:val="clear" w:color="auto" w:fill="0099CC"/>
          </w:tcPr>
          <w:p w14:paraId="2310F190" w14:textId="77777777" w:rsidR="00DE0813" w:rsidRPr="00FA400C" w:rsidRDefault="00DE0813" w:rsidP="000C4BF1">
            <w:pPr>
              <w:pStyle w:val="BodyText"/>
              <w:spacing w:before="20" w:after="20" w:line="252" w:lineRule="auto"/>
              <w:rPr>
                <w:rFonts w:asciiTheme="majorHAnsi" w:hAnsiTheme="majorHAnsi" w:cstheme="majorHAnsi"/>
                <w:b w:val="0"/>
                <w:color w:val="FFFFFF" w:themeColor="background1"/>
                <w:szCs w:val="18"/>
              </w:rPr>
            </w:pPr>
            <w:r>
              <w:rPr>
                <w:rFonts w:asciiTheme="majorHAnsi" w:hAnsiTheme="majorHAnsi" w:cstheme="majorHAnsi"/>
                <w:color w:val="FFFFFF" w:themeColor="background1"/>
                <w:szCs w:val="18"/>
              </w:rPr>
              <w:t>Design Element</w:t>
            </w:r>
          </w:p>
        </w:tc>
        <w:tc>
          <w:tcPr>
            <w:tcW w:w="12753" w:type="dxa"/>
            <w:tcBorders>
              <w:bottom w:val="single" w:sz="4" w:space="0" w:color="auto"/>
            </w:tcBorders>
            <w:shd w:val="clear" w:color="auto" w:fill="0099CC"/>
          </w:tcPr>
          <w:p w14:paraId="5C0FD7B6" w14:textId="77777777" w:rsidR="00DE0813" w:rsidRPr="00FA400C" w:rsidRDefault="00DE0813" w:rsidP="000C4BF1">
            <w:pPr>
              <w:pStyle w:val="BodyText"/>
              <w:spacing w:before="20" w:after="20" w:line="252" w:lineRule="auto"/>
              <w:rPr>
                <w:rFonts w:asciiTheme="majorHAnsi" w:hAnsiTheme="majorHAnsi" w:cstheme="majorHAnsi"/>
                <w:b w:val="0"/>
                <w:color w:val="FFFFFF" w:themeColor="background1"/>
                <w:szCs w:val="18"/>
              </w:rPr>
            </w:pPr>
            <w:r w:rsidRPr="00FA400C">
              <w:rPr>
                <w:rFonts w:asciiTheme="majorHAnsi" w:hAnsiTheme="majorHAnsi" w:cstheme="majorHAnsi"/>
                <w:color w:val="FFFFFF" w:themeColor="background1"/>
                <w:szCs w:val="18"/>
              </w:rPr>
              <w:t>Recommendation</w:t>
            </w:r>
          </w:p>
        </w:tc>
      </w:tr>
      <w:tr w:rsidR="00DE0813" w:rsidRPr="000A7F5B" w14:paraId="784A4FF9" w14:textId="77777777" w:rsidTr="000C4BF1">
        <w:trPr>
          <w:trHeight w:val="1705"/>
        </w:trPr>
        <w:tc>
          <w:tcPr>
            <w:tcW w:w="1565" w:type="dxa"/>
            <w:tcBorders>
              <w:bottom w:val="single" w:sz="4" w:space="0" w:color="auto"/>
            </w:tcBorders>
            <w:shd w:val="clear" w:color="auto" w:fill="E1E2E7" w:themeFill="background2"/>
          </w:tcPr>
          <w:p w14:paraId="4FCBE336" w14:textId="77777777" w:rsidR="00DE0813" w:rsidRPr="000A7F5B" w:rsidRDefault="00DE0813" w:rsidP="000C4BF1">
            <w:pPr>
              <w:pStyle w:val="BodyText"/>
              <w:spacing w:before="60" w:after="40" w:line="245" w:lineRule="auto"/>
              <w:rPr>
                <w:rFonts w:asciiTheme="majorHAnsi" w:hAnsiTheme="majorHAnsi" w:cstheme="majorHAnsi"/>
                <w:b/>
                <w:szCs w:val="18"/>
              </w:rPr>
            </w:pPr>
            <w:r w:rsidRPr="000A7F5B">
              <w:rPr>
                <w:rFonts w:asciiTheme="majorHAnsi" w:hAnsiTheme="majorHAnsi" w:cstheme="majorHAnsi"/>
                <w:b/>
                <w:szCs w:val="18"/>
              </w:rPr>
              <w:t xml:space="preserve">Capacity transfer mechanisms </w:t>
            </w:r>
            <w:r>
              <w:rPr>
                <w:rFonts w:asciiTheme="majorHAnsi" w:hAnsiTheme="majorHAnsi" w:cstheme="majorHAnsi"/>
                <w:b/>
                <w:szCs w:val="18"/>
              </w:rPr>
              <w:t>to be used for secondary trading</w:t>
            </w:r>
          </w:p>
        </w:tc>
        <w:tc>
          <w:tcPr>
            <w:tcW w:w="12753" w:type="dxa"/>
            <w:tcBorders>
              <w:bottom w:val="single" w:sz="4" w:space="0" w:color="auto"/>
            </w:tcBorders>
            <w:shd w:val="clear" w:color="auto" w:fill="E1E2E7" w:themeFill="background2"/>
          </w:tcPr>
          <w:p w14:paraId="5BD86B74" w14:textId="77777777" w:rsidR="00DE0813" w:rsidRPr="000A7F5B" w:rsidRDefault="00DE0813" w:rsidP="000C4BF1">
            <w:pPr>
              <w:pStyle w:val="TableBullet1"/>
              <w:keepNext/>
              <w:numPr>
                <w:ilvl w:val="0"/>
                <w:numId w:val="0"/>
              </w:numPr>
              <w:spacing w:after="40" w:line="245" w:lineRule="auto"/>
              <w:ind w:left="312" w:hanging="227"/>
              <w:rPr>
                <w:rFonts w:asciiTheme="majorHAnsi" w:hAnsiTheme="majorHAnsi" w:cstheme="majorHAnsi"/>
                <w:szCs w:val="18"/>
              </w:rPr>
            </w:pPr>
            <w:r>
              <w:rPr>
                <w:rFonts w:asciiTheme="majorHAnsi" w:hAnsiTheme="majorHAnsi" w:cstheme="majorHAnsi"/>
                <w:szCs w:val="18"/>
              </w:rPr>
              <w:t>Consistent with the AEMC’s recommendations, t</w:t>
            </w:r>
            <w:r w:rsidRPr="000A7F5B">
              <w:rPr>
                <w:rFonts w:asciiTheme="majorHAnsi" w:hAnsiTheme="majorHAnsi" w:cstheme="majorHAnsi"/>
                <w:szCs w:val="18"/>
              </w:rPr>
              <w:t>he GMRG recommends that:</w:t>
            </w:r>
          </w:p>
          <w:p w14:paraId="189F1D01" w14:textId="77777777" w:rsidR="00DE0813" w:rsidRPr="000A7F5B" w:rsidRDefault="00DE0813" w:rsidP="000C4BF1">
            <w:pPr>
              <w:pStyle w:val="TableBullet1"/>
              <w:spacing w:after="40" w:line="245" w:lineRule="auto"/>
              <w:rPr>
                <w:rFonts w:asciiTheme="majorHAnsi" w:eastAsiaTheme="majorEastAsia" w:hAnsiTheme="majorHAnsi" w:cstheme="majorHAnsi"/>
                <w:szCs w:val="18"/>
              </w:rPr>
            </w:pPr>
            <w:r w:rsidRPr="000A7F5B">
              <w:rPr>
                <w:rFonts w:asciiTheme="majorHAnsi" w:hAnsiTheme="majorHAnsi" w:cstheme="majorHAnsi"/>
                <w:szCs w:val="18"/>
              </w:rPr>
              <w:t>Operational transfers be used to give effect to capacity purchase</w:t>
            </w:r>
            <w:r>
              <w:rPr>
                <w:rFonts w:asciiTheme="majorHAnsi" w:hAnsiTheme="majorHAnsi" w:cstheme="majorHAnsi"/>
                <w:szCs w:val="18"/>
              </w:rPr>
              <w:t>s</w:t>
            </w:r>
            <w:r w:rsidRPr="000A7F5B">
              <w:rPr>
                <w:rFonts w:asciiTheme="majorHAnsi" w:hAnsiTheme="majorHAnsi" w:cstheme="majorHAnsi"/>
                <w:szCs w:val="18"/>
              </w:rPr>
              <w:t xml:space="preserve"> through the capacity trading platform, the day-ahead auction and bilateral trades where the buyer elects to use an operational transfer.</w:t>
            </w:r>
            <w:r w:rsidRPr="000A7F5B">
              <w:rPr>
                <w:rFonts w:asciiTheme="majorHAnsi" w:eastAsiaTheme="majorEastAsia" w:hAnsiTheme="majorHAnsi" w:cstheme="majorHAnsi"/>
                <w:szCs w:val="18"/>
              </w:rPr>
              <w:t xml:space="preserve"> </w:t>
            </w:r>
          </w:p>
          <w:p w14:paraId="2B287D5D" w14:textId="77777777" w:rsidR="00DE0813" w:rsidRPr="000A7F5B" w:rsidRDefault="00DE0813" w:rsidP="000C4BF1">
            <w:pPr>
              <w:pStyle w:val="TableBullet1"/>
              <w:spacing w:after="40" w:line="245" w:lineRule="auto"/>
              <w:rPr>
                <w:rFonts w:asciiTheme="majorHAnsi" w:hAnsiTheme="majorHAnsi" w:cstheme="majorHAnsi"/>
                <w:color w:val="000000"/>
                <w:szCs w:val="18"/>
              </w:rPr>
            </w:pPr>
            <w:r w:rsidRPr="000A7F5B">
              <w:rPr>
                <w:rFonts w:asciiTheme="majorHAnsi" w:eastAsiaTheme="majorEastAsia" w:hAnsiTheme="majorHAnsi" w:cstheme="majorHAnsi"/>
                <w:szCs w:val="18"/>
              </w:rPr>
              <w:t xml:space="preserve">Bare transfers be allowed in cases where capacity is purchased through bilateral trades, subject to the caveat that the sellers of secondary capacity offers the buyer the option of using an operational transfer. </w:t>
            </w:r>
          </w:p>
          <w:p w14:paraId="4B5E35FF" w14:textId="77777777" w:rsidR="00DE0813" w:rsidRPr="000A7F5B" w:rsidRDefault="00DE0813" w:rsidP="000C4BF1">
            <w:pPr>
              <w:pStyle w:val="TableBullet1"/>
              <w:numPr>
                <w:ilvl w:val="0"/>
                <w:numId w:val="0"/>
              </w:numPr>
              <w:spacing w:after="40" w:line="245" w:lineRule="auto"/>
              <w:ind w:left="85"/>
              <w:rPr>
                <w:rFonts w:asciiTheme="majorHAnsi" w:hAnsiTheme="majorHAnsi" w:cstheme="majorHAnsi"/>
                <w:color w:val="000000"/>
                <w:szCs w:val="18"/>
              </w:rPr>
            </w:pPr>
            <w:r w:rsidRPr="000A7F5B">
              <w:rPr>
                <w:rFonts w:asciiTheme="majorHAnsi" w:hAnsiTheme="majorHAnsi" w:cstheme="majorHAnsi"/>
                <w:szCs w:val="18"/>
              </w:rPr>
              <w:t xml:space="preserve">Under both types of transfers, the primary shipper’s capacity rights (or part thereof) are temporarily transferred to the secondary shipper and the obligation to pay the service provider remains with the primary shipper. The main difference between the </w:t>
            </w:r>
            <w:r>
              <w:rPr>
                <w:rFonts w:asciiTheme="majorHAnsi" w:hAnsiTheme="majorHAnsi" w:cstheme="majorHAnsi"/>
                <w:szCs w:val="18"/>
              </w:rPr>
              <w:t xml:space="preserve">two </w:t>
            </w:r>
            <w:r w:rsidRPr="000A7F5B">
              <w:rPr>
                <w:rFonts w:asciiTheme="majorHAnsi" w:hAnsiTheme="majorHAnsi" w:cstheme="majorHAnsi"/>
                <w:szCs w:val="18"/>
              </w:rPr>
              <w:t xml:space="preserve">mechanisms is that under </w:t>
            </w:r>
            <w:r>
              <w:rPr>
                <w:rFonts w:asciiTheme="majorHAnsi" w:hAnsiTheme="majorHAnsi" w:cstheme="majorHAnsi"/>
                <w:szCs w:val="18"/>
              </w:rPr>
              <w:t xml:space="preserve">an </w:t>
            </w:r>
            <w:r w:rsidRPr="000A7F5B">
              <w:rPr>
                <w:rFonts w:asciiTheme="majorHAnsi" w:hAnsiTheme="majorHAnsi" w:cstheme="majorHAnsi"/>
                <w:szCs w:val="18"/>
              </w:rPr>
              <w:t>operational transfer, the secondary shipper is responsible for making nominations directly to the service provider (rather than via the primary capacity holder) and complying with the terms and conditions of access set out in the operational GTA it enters into with the service provider.</w:t>
            </w:r>
          </w:p>
        </w:tc>
      </w:tr>
      <w:tr w:rsidR="00DE0813" w:rsidRPr="00FA400C" w14:paraId="21C085C4" w14:textId="77777777" w:rsidTr="000C4BF1">
        <w:trPr>
          <w:cnfStyle w:val="000000010000" w:firstRow="0" w:lastRow="0" w:firstColumn="0" w:lastColumn="0" w:oddVBand="0" w:evenVBand="0" w:oddHBand="0" w:evenHBand="1" w:firstRowFirstColumn="0" w:firstRowLastColumn="0" w:lastRowFirstColumn="0" w:lastRowLastColumn="0"/>
          <w:trHeight w:val="1854"/>
        </w:trPr>
        <w:tc>
          <w:tcPr>
            <w:tcW w:w="1565" w:type="dxa"/>
            <w:vMerge w:val="restart"/>
            <w:shd w:val="clear" w:color="auto" w:fill="FFFFFF" w:themeFill="background1"/>
          </w:tcPr>
          <w:p w14:paraId="55EB0994" w14:textId="77777777" w:rsidR="00DE0813" w:rsidRPr="00FA400C" w:rsidRDefault="00DE0813" w:rsidP="000C4BF1">
            <w:pPr>
              <w:pStyle w:val="BodyText"/>
              <w:spacing w:before="40" w:after="40" w:line="252" w:lineRule="auto"/>
              <w:rPr>
                <w:rFonts w:asciiTheme="majorHAnsi" w:hAnsiTheme="majorHAnsi" w:cstheme="majorHAnsi"/>
                <w:b/>
                <w:szCs w:val="18"/>
              </w:rPr>
            </w:pPr>
            <w:r>
              <w:rPr>
                <w:rFonts w:asciiTheme="majorHAnsi" w:hAnsiTheme="majorHAnsi" w:cstheme="majorHAnsi"/>
                <w:b/>
                <w:szCs w:val="18"/>
              </w:rPr>
              <w:t xml:space="preserve">Contract standardisation </w:t>
            </w:r>
          </w:p>
        </w:tc>
        <w:tc>
          <w:tcPr>
            <w:tcW w:w="12753" w:type="dxa"/>
            <w:shd w:val="clear" w:color="auto" w:fill="FFFFFF" w:themeFill="background1"/>
          </w:tcPr>
          <w:p w14:paraId="34DB5200" w14:textId="77777777" w:rsidR="00DE0813" w:rsidRPr="005614F2" w:rsidRDefault="00DE0813" w:rsidP="000C4BF1">
            <w:pPr>
              <w:pStyle w:val="TableBodyText"/>
              <w:spacing w:before="40" w:after="40" w:line="252" w:lineRule="auto"/>
              <w:rPr>
                <w:rFonts w:asciiTheme="majorHAnsi" w:hAnsiTheme="majorHAnsi" w:cstheme="majorHAnsi"/>
                <w:b/>
                <w:szCs w:val="18"/>
              </w:rPr>
            </w:pPr>
            <w:r w:rsidRPr="005614F2">
              <w:rPr>
                <w:rFonts w:asciiTheme="majorHAnsi" w:hAnsiTheme="majorHAnsi" w:cstheme="majorHAnsi"/>
                <w:b/>
                <w:szCs w:val="18"/>
              </w:rPr>
              <w:t>Standardisation of operational GTAs</w:t>
            </w:r>
          </w:p>
          <w:p w14:paraId="5CE59EAB" w14:textId="77777777" w:rsidR="00DE0813" w:rsidRDefault="00DE0813" w:rsidP="000C4BF1">
            <w:pPr>
              <w:pStyle w:val="TableBodyText"/>
              <w:spacing w:before="40" w:after="40" w:line="252" w:lineRule="auto"/>
              <w:rPr>
                <w:rFonts w:asciiTheme="majorHAnsi" w:hAnsiTheme="majorHAnsi" w:cstheme="majorHAnsi"/>
                <w:szCs w:val="18"/>
              </w:rPr>
            </w:pPr>
            <w:r>
              <w:rPr>
                <w:rFonts w:asciiTheme="majorHAnsi" w:hAnsiTheme="majorHAnsi" w:cstheme="majorHAnsi"/>
                <w:szCs w:val="18"/>
              </w:rPr>
              <w:t xml:space="preserve">The GMRG recommends that priority be given to standardising operational GTAs, given these contracts will be used to give effect to trades conducted through the capacity trading platform and the day-ahead auction, and will also have to be offered under bilateral trades. </w:t>
            </w:r>
          </w:p>
          <w:p w14:paraId="7004E9B3" w14:textId="77777777" w:rsidR="00DE0813" w:rsidRDefault="00DE0813" w:rsidP="000C4BF1">
            <w:pPr>
              <w:pStyle w:val="TableBodyText"/>
              <w:spacing w:before="40" w:after="40" w:line="252" w:lineRule="auto"/>
            </w:pPr>
            <w:r>
              <w:rPr>
                <w:rFonts w:asciiTheme="majorHAnsi" w:hAnsiTheme="majorHAnsi" w:cstheme="majorHAnsi"/>
                <w:szCs w:val="18"/>
              </w:rPr>
              <w:t>T</w:t>
            </w:r>
            <w:r w:rsidRPr="00FA400C">
              <w:rPr>
                <w:rFonts w:asciiTheme="majorHAnsi" w:hAnsiTheme="majorHAnsi" w:cstheme="majorHAnsi"/>
                <w:szCs w:val="18"/>
              </w:rPr>
              <w:t xml:space="preserve">he </w:t>
            </w:r>
            <w:r>
              <w:rPr>
                <w:rFonts w:asciiTheme="majorHAnsi" w:hAnsiTheme="majorHAnsi" w:cstheme="majorHAnsi"/>
                <w:szCs w:val="18"/>
              </w:rPr>
              <w:t>standardised o</w:t>
            </w:r>
            <w:r w:rsidRPr="00FA400C">
              <w:rPr>
                <w:rFonts w:asciiTheme="majorHAnsi" w:hAnsiTheme="majorHAnsi" w:cstheme="majorHAnsi"/>
                <w:szCs w:val="18"/>
              </w:rPr>
              <w:t>perational GTA</w:t>
            </w:r>
            <w:r>
              <w:rPr>
                <w:rFonts w:asciiTheme="majorHAnsi" w:hAnsiTheme="majorHAnsi" w:cstheme="majorHAnsi"/>
                <w:szCs w:val="18"/>
              </w:rPr>
              <w:t xml:space="preserve"> will </w:t>
            </w:r>
            <w:r w:rsidRPr="00FA400C">
              <w:t xml:space="preserve">operate like a master agreement between the service provider and secondary shipper, and set out the terms </w:t>
            </w:r>
            <w:r>
              <w:t xml:space="preserve">and conditions </w:t>
            </w:r>
            <w:r w:rsidRPr="00FA400C">
              <w:t xml:space="preserve">on which the secondary shipper can utilise the service provider’s </w:t>
            </w:r>
            <w:r>
              <w:t>services</w:t>
            </w:r>
            <w:r w:rsidRPr="00FA400C">
              <w:t xml:space="preserve"> if it procures secondary capacity via an operational transfer.</w:t>
            </w:r>
          </w:p>
          <w:p w14:paraId="0786613B" w14:textId="77777777" w:rsidR="00DE0813" w:rsidRDefault="00DE0813" w:rsidP="000C4BF1">
            <w:pPr>
              <w:pStyle w:val="TableBodyText"/>
              <w:spacing w:before="40" w:after="40" w:line="252" w:lineRule="auto"/>
              <w:rPr>
                <w:rFonts w:asciiTheme="majorHAnsi" w:hAnsiTheme="majorHAnsi" w:cstheme="majorHAnsi"/>
                <w:szCs w:val="18"/>
              </w:rPr>
            </w:pPr>
            <w:r w:rsidRPr="00FA400C">
              <w:rPr>
                <w:rFonts w:asciiTheme="majorHAnsi" w:hAnsiTheme="majorHAnsi" w:cstheme="majorHAnsi"/>
                <w:szCs w:val="18"/>
              </w:rPr>
              <w:t xml:space="preserve">It will be mandatory for service providers that provide third party access to publish a standard form operational GTA on their website and to offer to enter into this agreement with secondary shippers (subject to some limited qualifications and exemptions). The NGL and NGR will not, however, prohibit service providers and shippers agreeing to vary the terms, include other services in the agreement, or include the transfer mechanism in </w:t>
            </w:r>
            <w:r>
              <w:rPr>
                <w:rFonts w:asciiTheme="majorHAnsi" w:hAnsiTheme="majorHAnsi" w:cstheme="majorHAnsi"/>
                <w:szCs w:val="18"/>
              </w:rPr>
              <w:t xml:space="preserve">a </w:t>
            </w:r>
            <w:r w:rsidRPr="00FA400C">
              <w:rPr>
                <w:rFonts w:asciiTheme="majorHAnsi" w:hAnsiTheme="majorHAnsi" w:cstheme="majorHAnsi"/>
                <w:szCs w:val="18"/>
              </w:rPr>
              <w:t>primary GTA.</w:t>
            </w:r>
          </w:p>
          <w:p w14:paraId="494CC8CF" w14:textId="77777777" w:rsidR="00DE0813" w:rsidRPr="00442D9F" w:rsidRDefault="00DE0813" w:rsidP="000C4BF1">
            <w:pPr>
              <w:pStyle w:val="TableBodyText"/>
              <w:spacing w:before="40" w:after="40" w:line="252" w:lineRule="auto"/>
              <w:rPr>
                <w:rFonts w:asciiTheme="majorHAnsi" w:hAnsiTheme="majorHAnsi" w:cstheme="majorHAnsi"/>
                <w:i/>
                <w:szCs w:val="18"/>
              </w:rPr>
            </w:pPr>
            <w:r>
              <w:rPr>
                <w:rFonts w:asciiTheme="majorHAnsi" w:hAnsiTheme="majorHAnsi" w:cstheme="majorHAnsi"/>
                <w:i/>
                <w:szCs w:val="18"/>
              </w:rPr>
              <w:t>The terms on which capacity is sold through the capacity trading exchange or day-ahead auction will be set out in the Exchange Agreement and the Auction Agreement.  For bilateral trades, the shippers buying and selling capacity will agree terms between themselves in CTAs.</w:t>
            </w:r>
          </w:p>
        </w:tc>
      </w:tr>
      <w:tr w:rsidR="00DE0813" w:rsidRPr="00FA400C" w14:paraId="2AF77F8F" w14:textId="77777777" w:rsidTr="000C4BF1">
        <w:trPr>
          <w:trHeight w:val="2091"/>
        </w:trPr>
        <w:tc>
          <w:tcPr>
            <w:tcW w:w="1565" w:type="dxa"/>
            <w:vMerge/>
            <w:shd w:val="clear" w:color="auto" w:fill="FFFFFF" w:themeFill="background1"/>
          </w:tcPr>
          <w:p w14:paraId="71D87E80" w14:textId="77777777" w:rsidR="00DE0813" w:rsidRPr="00FA400C" w:rsidRDefault="00DE0813" w:rsidP="000C4BF1">
            <w:pPr>
              <w:pStyle w:val="BodyText"/>
              <w:spacing w:before="40" w:after="40" w:line="252" w:lineRule="auto"/>
              <w:rPr>
                <w:rFonts w:asciiTheme="majorHAnsi" w:hAnsiTheme="majorHAnsi" w:cstheme="majorHAnsi"/>
                <w:b/>
                <w:szCs w:val="18"/>
              </w:rPr>
            </w:pPr>
          </w:p>
        </w:tc>
        <w:tc>
          <w:tcPr>
            <w:tcW w:w="12753" w:type="dxa"/>
            <w:tcBorders>
              <w:bottom w:val="single" w:sz="4" w:space="0" w:color="auto"/>
            </w:tcBorders>
            <w:shd w:val="clear" w:color="auto" w:fill="FFFFFF" w:themeFill="background1"/>
          </w:tcPr>
          <w:p w14:paraId="1979ED96" w14:textId="77777777" w:rsidR="00DE0813" w:rsidRPr="00624B98" w:rsidRDefault="00DE0813" w:rsidP="000C4BF1">
            <w:pPr>
              <w:pStyle w:val="TableBullet1"/>
              <w:numPr>
                <w:ilvl w:val="0"/>
                <w:numId w:val="0"/>
              </w:numPr>
              <w:spacing w:before="40" w:after="40" w:line="252" w:lineRule="auto"/>
              <w:ind w:left="312" w:hanging="227"/>
              <w:rPr>
                <w:rFonts w:asciiTheme="majorHAnsi" w:hAnsiTheme="majorHAnsi" w:cstheme="majorHAnsi"/>
                <w:b/>
                <w:szCs w:val="18"/>
              </w:rPr>
            </w:pPr>
            <w:r w:rsidRPr="00624B98">
              <w:rPr>
                <w:rFonts w:asciiTheme="majorHAnsi" w:hAnsiTheme="majorHAnsi" w:cstheme="majorHAnsi"/>
                <w:b/>
                <w:szCs w:val="18"/>
              </w:rPr>
              <w:t xml:space="preserve">Content of the standardised </w:t>
            </w:r>
            <w:r w:rsidR="000C4BF1">
              <w:rPr>
                <w:rFonts w:asciiTheme="majorHAnsi" w:hAnsiTheme="majorHAnsi" w:cstheme="majorHAnsi"/>
                <w:b/>
                <w:szCs w:val="18"/>
              </w:rPr>
              <w:t>o</w:t>
            </w:r>
            <w:r w:rsidRPr="00624B98">
              <w:rPr>
                <w:rFonts w:asciiTheme="majorHAnsi" w:hAnsiTheme="majorHAnsi" w:cstheme="majorHAnsi"/>
                <w:b/>
                <w:szCs w:val="18"/>
              </w:rPr>
              <w:t>perational GTA</w:t>
            </w:r>
            <w:r>
              <w:rPr>
                <w:rFonts w:asciiTheme="majorHAnsi" w:hAnsiTheme="majorHAnsi" w:cstheme="majorHAnsi"/>
                <w:b/>
                <w:szCs w:val="18"/>
              </w:rPr>
              <w:t xml:space="preserve"> and level of standardisation</w:t>
            </w:r>
          </w:p>
          <w:p w14:paraId="759C5B58" w14:textId="77777777" w:rsidR="00DE0813" w:rsidRPr="00624B98" w:rsidRDefault="00DE0813" w:rsidP="000C4BF1">
            <w:pPr>
              <w:pStyle w:val="TableBullet1"/>
              <w:numPr>
                <w:ilvl w:val="0"/>
                <w:numId w:val="0"/>
              </w:numPr>
              <w:spacing w:before="40" w:after="40" w:line="252" w:lineRule="auto"/>
              <w:ind w:left="312" w:hanging="227"/>
              <w:rPr>
                <w:rFonts w:asciiTheme="majorHAnsi" w:hAnsiTheme="majorHAnsi" w:cstheme="majorHAnsi"/>
                <w:szCs w:val="18"/>
              </w:rPr>
            </w:pPr>
            <w:r w:rsidRPr="00624B98">
              <w:rPr>
                <w:rFonts w:asciiTheme="majorHAnsi" w:hAnsiTheme="majorHAnsi" w:cstheme="majorHAnsi"/>
                <w:szCs w:val="18"/>
              </w:rPr>
              <w:t xml:space="preserve">The standardised </w:t>
            </w:r>
            <w:r>
              <w:rPr>
                <w:rFonts w:asciiTheme="majorHAnsi" w:hAnsiTheme="majorHAnsi" w:cstheme="majorHAnsi"/>
                <w:szCs w:val="18"/>
              </w:rPr>
              <w:t>o</w:t>
            </w:r>
            <w:r w:rsidRPr="00624B98">
              <w:rPr>
                <w:rFonts w:asciiTheme="majorHAnsi" w:hAnsiTheme="majorHAnsi" w:cstheme="majorHAnsi"/>
                <w:szCs w:val="18"/>
              </w:rPr>
              <w:t xml:space="preserve">perational GTA will consist of a set of: </w:t>
            </w:r>
          </w:p>
          <w:p w14:paraId="0A694698" w14:textId="77777777" w:rsidR="00DE0813" w:rsidRPr="00624B98" w:rsidRDefault="00DE0813" w:rsidP="000C4BF1">
            <w:pPr>
              <w:pStyle w:val="TableBullet1"/>
              <w:spacing w:before="40" w:after="40" w:line="252" w:lineRule="auto"/>
              <w:rPr>
                <w:rFonts w:asciiTheme="majorHAnsi" w:hAnsiTheme="majorHAnsi" w:cstheme="majorHAnsi"/>
                <w:szCs w:val="18"/>
              </w:rPr>
            </w:pPr>
            <w:r w:rsidRPr="00624B98">
              <w:rPr>
                <w:rFonts w:asciiTheme="majorHAnsi" w:hAnsiTheme="majorHAnsi" w:cstheme="majorHAnsi"/>
                <w:szCs w:val="18"/>
              </w:rPr>
              <w:t xml:space="preserve">standard operational, prudential and other legal terms governing the relationship between the secondary shipper and the service provider that will apply to all </w:t>
            </w:r>
            <w:r>
              <w:rPr>
                <w:rFonts w:asciiTheme="majorHAnsi" w:hAnsiTheme="majorHAnsi" w:cstheme="majorHAnsi"/>
                <w:szCs w:val="18"/>
              </w:rPr>
              <w:t>facilities</w:t>
            </w:r>
            <w:r w:rsidRPr="00624B98">
              <w:rPr>
                <w:rFonts w:asciiTheme="majorHAnsi" w:hAnsiTheme="majorHAnsi" w:cstheme="majorHAnsi"/>
                <w:szCs w:val="18"/>
              </w:rPr>
              <w:t>; and</w:t>
            </w:r>
          </w:p>
          <w:p w14:paraId="03C5E002" w14:textId="77777777" w:rsidR="00DE0813" w:rsidRPr="00624B98" w:rsidRDefault="00DE0813" w:rsidP="000C4BF1">
            <w:pPr>
              <w:pStyle w:val="TableBullet1"/>
              <w:spacing w:before="40" w:after="40" w:line="252" w:lineRule="auto"/>
              <w:rPr>
                <w:rFonts w:asciiTheme="majorHAnsi" w:hAnsiTheme="majorHAnsi" w:cstheme="majorHAnsi"/>
                <w:szCs w:val="18"/>
              </w:rPr>
            </w:pPr>
            <w:proofErr w:type="gramStart"/>
            <w:r w:rsidRPr="00624B98">
              <w:rPr>
                <w:rFonts w:asciiTheme="majorHAnsi" w:hAnsiTheme="majorHAnsi" w:cstheme="majorHAnsi"/>
                <w:szCs w:val="18"/>
              </w:rPr>
              <w:t>facility</w:t>
            </w:r>
            <w:proofErr w:type="gramEnd"/>
            <w:r w:rsidRPr="00624B98">
              <w:rPr>
                <w:rFonts w:asciiTheme="majorHAnsi" w:hAnsiTheme="majorHAnsi" w:cstheme="majorHAnsi"/>
                <w:szCs w:val="18"/>
              </w:rPr>
              <w:t xml:space="preserve"> specific terms, which may differ across facilities due to differences in operational or contractual arrangements.  </w:t>
            </w:r>
          </w:p>
          <w:p w14:paraId="592F5556" w14:textId="77777777" w:rsidR="00DE0813" w:rsidRPr="00624B98" w:rsidRDefault="00DE0813" w:rsidP="000C4BF1">
            <w:pPr>
              <w:pStyle w:val="TableBullet1"/>
              <w:numPr>
                <w:ilvl w:val="0"/>
                <w:numId w:val="0"/>
              </w:numPr>
              <w:spacing w:before="40" w:after="40" w:line="252" w:lineRule="auto"/>
              <w:ind w:left="85"/>
              <w:rPr>
                <w:rFonts w:asciiTheme="majorHAnsi" w:hAnsiTheme="majorHAnsi" w:cstheme="majorHAnsi"/>
                <w:szCs w:val="18"/>
              </w:rPr>
            </w:pPr>
            <w:r w:rsidRPr="00624B98">
              <w:rPr>
                <w:rFonts w:asciiTheme="majorHAnsi" w:hAnsiTheme="majorHAnsi" w:cstheme="majorHAnsi"/>
                <w:szCs w:val="18"/>
              </w:rPr>
              <w:t xml:space="preserve">While service providers will have some discretion in relation to the facility specific terms, these terms will need to comply with a number of principles that will be set out in the NGR, the requirements set out in the Operational GTA Code </w:t>
            </w:r>
            <w:r>
              <w:rPr>
                <w:rFonts w:asciiTheme="majorHAnsi" w:hAnsiTheme="majorHAnsi" w:cstheme="majorHAnsi"/>
                <w:szCs w:val="18"/>
              </w:rPr>
              <w:t xml:space="preserve">(a new regulatory instrument that will set out the standard terms to be adopted by all service providers and the requirements for facility specific terms) </w:t>
            </w:r>
            <w:r w:rsidRPr="00624B98">
              <w:rPr>
                <w:rFonts w:asciiTheme="majorHAnsi" w:hAnsiTheme="majorHAnsi" w:cstheme="majorHAnsi"/>
                <w:szCs w:val="18"/>
              </w:rPr>
              <w:t>and will also be subject to oversight by the AER.</w:t>
            </w:r>
          </w:p>
          <w:p w14:paraId="07E9AF52" w14:textId="77777777" w:rsidR="00DE0813" w:rsidRPr="00624B98" w:rsidRDefault="00DE0813" w:rsidP="000C4BF1">
            <w:pPr>
              <w:pStyle w:val="TableBullet1"/>
              <w:numPr>
                <w:ilvl w:val="0"/>
                <w:numId w:val="0"/>
              </w:numPr>
              <w:spacing w:before="40" w:after="40" w:line="252" w:lineRule="auto"/>
              <w:ind w:left="85"/>
              <w:rPr>
                <w:rFonts w:asciiTheme="majorHAnsi" w:hAnsiTheme="majorHAnsi" w:cstheme="majorHAnsi"/>
                <w:szCs w:val="18"/>
              </w:rPr>
            </w:pPr>
            <w:r w:rsidRPr="00624B98">
              <w:rPr>
                <w:rFonts w:asciiTheme="majorHAnsi" w:hAnsiTheme="majorHAnsi" w:cstheme="majorHAnsi"/>
                <w:szCs w:val="18"/>
              </w:rPr>
              <w:t xml:space="preserve">The GMRG has developed </w:t>
            </w:r>
            <w:r>
              <w:rPr>
                <w:rFonts w:asciiTheme="majorHAnsi" w:hAnsiTheme="majorHAnsi" w:cstheme="majorHAnsi"/>
                <w:szCs w:val="18"/>
              </w:rPr>
              <w:t>an initial draft of the Operational GTA Code, which stakeholders have provided some feedback on. The initial draft did not, however, make provision for the day-ahead auction product because the design of the auction had not been settled. The GMRG intends therefore to release another draft of the Operational GTA Code for consultation in early 2018</w:t>
            </w:r>
            <w:r w:rsidRPr="00624B98">
              <w:rPr>
                <w:rFonts w:asciiTheme="majorHAnsi" w:hAnsiTheme="majorHAnsi" w:cstheme="majorHAnsi"/>
                <w:szCs w:val="18"/>
              </w:rPr>
              <w:t>.</w:t>
            </w:r>
          </w:p>
        </w:tc>
      </w:tr>
      <w:tr w:rsidR="00DE0813" w:rsidRPr="00FA400C" w14:paraId="76109CD8" w14:textId="77777777" w:rsidTr="000C4BF1">
        <w:trPr>
          <w:cnfStyle w:val="000000010000" w:firstRow="0" w:lastRow="0" w:firstColumn="0" w:lastColumn="0" w:oddVBand="0" w:evenVBand="0" w:oddHBand="0" w:evenHBand="1" w:firstRowFirstColumn="0" w:firstRowLastColumn="0" w:lastRowFirstColumn="0" w:lastRowLastColumn="0"/>
        </w:trPr>
        <w:tc>
          <w:tcPr>
            <w:tcW w:w="1565" w:type="dxa"/>
            <w:vMerge/>
            <w:shd w:val="clear" w:color="auto" w:fill="FFFFFF" w:themeFill="background1"/>
          </w:tcPr>
          <w:p w14:paraId="73E54F36" w14:textId="77777777" w:rsidR="00DE0813" w:rsidRPr="00FA400C" w:rsidRDefault="00DE0813" w:rsidP="000C4BF1">
            <w:pPr>
              <w:pStyle w:val="BodyText"/>
              <w:spacing w:before="40" w:after="40" w:line="252" w:lineRule="auto"/>
              <w:rPr>
                <w:rFonts w:asciiTheme="majorHAnsi" w:hAnsiTheme="majorHAnsi" w:cstheme="majorHAnsi"/>
                <w:b/>
                <w:szCs w:val="18"/>
              </w:rPr>
            </w:pPr>
          </w:p>
        </w:tc>
        <w:tc>
          <w:tcPr>
            <w:tcW w:w="12753" w:type="dxa"/>
            <w:shd w:val="clear" w:color="auto" w:fill="FFFFFF" w:themeFill="background1"/>
          </w:tcPr>
          <w:p w14:paraId="3F1CC8A6" w14:textId="77777777" w:rsidR="00DE0813" w:rsidRPr="00624B98" w:rsidRDefault="00DE0813" w:rsidP="000C4BF1">
            <w:pPr>
              <w:pStyle w:val="TableBullet1"/>
              <w:numPr>
                <w:ilvl w:val="0"/>
                <w:numId w:val="0"/>
              </w:numPr>
              <w:spacing w:before="40" w:after="40" w:line="252" w:lineRule="auto"/>
              <w:ind w:left="85"/>
              <w:rPr>
                <w:rFonts w:asciiTheme="majorHAnsi" w:hAnsiTheme="majorHAnsi" w:cstheme="majorHAnsi"/>
                <w:b/>
                <w:szCs w:val="18"/>
              </w:rPr>
            </w:pPr>
            <w:r>
              <w:rPr>
                <w:rFonts w:asciiTheme="majorHAnsi" w:hAnsiTheme="majorHAnsi" w:cstheme="majorHAnsi"/>
                <w:b/>
                <w:szCs w:val="18"/>
              </w:rPr>
              <w:t>Service provider c</w:t>
            </w:r>
            <w:r w:rsidRPr="00624B98">
              <w:rPr>
                <w:rFonts w:asciiTheme="majorHAnsi" w:hAnsiTheme="majorHAnsi" w:cstheme="majorHAnsi"/>
                <w:b/>
                <w:szCs w:val="18"/>
              </w:rPr>
              <w:t>ost</w:t>
            </w:r>
            <w:r>
              <w:rPr>
                <w:rFonts w:asciiTheme="majorHAnsi" w:hAnsiTheme="majorHAnsi" w:cstheme="majorHAnsi"/>
                <w:b/>
                <w:szCs w:val="18"/>
              </w:rPr>
              <w:t>s</w:t>
            </w:r>
            <w:r w:rsidRPr="00624B98">
              <w:rPr>
                <w:rFonts w:asciiTheme="majorHAnsi" w:hAnsiTheme="majorHAnsi" w:cstheme="majorHAnsi"/>
                <w:b/>
                <w:szCs w:val="18"/>
              </w:rPr>
              <w:t xml:space="preserve"> </w:t>
            </w:r>
          </w:p>
          <w:p w14:paraId="4E4A4FDC" w14:textId="77777777" w:rsidR="00DE0813" w:rsidRPr="00624B98" w:rsidRDefault="00DE0813" w:rsidP="000C4BF1">
            <w:pPr>
              <w:pStyle w:val="TableBodyText"/>
              <w:spacing w:after="40"/>
              <w:rPr>
                <w:rFonts w:asciiTheme="majorHAnsi" w:hAnsiTheme="majorHAnsi" w:cstheme="majorHAnsi"/>
                <w:szCs w:val="18"/>
              </w:rPr>
            </w:pPr>
            <w:r>
              <w:rPr>
                <w:rFonts w:asciiTheme="majorHAnsi" w:hAnsiTheme="majorHAnsi" w:cstheme="majorHAnsi"/>
              </w:rPr>
              <w:t>The capacity trading reform package will impose a number of incremental establishment and capacity trading costs on service providers</w:t>
            </w:r>
            <w:r w:rsidRPr="00624B98">
              <w:rPr>
                <w:rFonts w:asciiTheme="majorHAnsi" w:hAnsiTheme="majorHAnsi" w:cstheme="majorHAnsi"/>
              </w:rPr>
              <w:t xml:space="preserve">. The GMRG recommends that service providers </w:t>
            </w:r>
            <w:r>
              <w:rPr>
                <w:rFonts w:asciiTheme="majorHAnsi" w:hAnsiTheme="majorHAnsi" w:cstheme="majorHAnsi"/>
              </w:rPr>
              <w:t xml:space="preserve">have </w:t>
            </w:r>
            <w:r w:rsidRPr="00624B98">
              <w:rPr>
                <w:rFonts w:asciiTheme="majorHAnsi" w:hAnsiTheme="majorHAnsi" w:cstheme="majorHAnsi"/>
              </w:rPr>
              <w:t xml:space="preserve">an opportunity to recover these costs, subject to the caveat that the charges </w:t>
            </w:r>
            <w:r w:rsidRPr="00624B98">
              <w:rPr>
                <w:rFonts w:asciiTheme="majorHAnsi" w:hAnsiTheme="majorHAnsi" w:cstheme="majorHAnsi"/>
                <w:szCs w:val="18"/>
              </w:rPr>
              <w:t xml:space="preserve">are cost reflective and, so far as practical, reflect the outcomes of a workably competitive market.  To impose some constraint on the charges levied by service providers, the GMRG </w:t>
            </w:r>
            <w:r>
              <w:rPr>
                <w:rFonts w:asciiTheme="majorHAnsi" w:hAnsiTheme="majorHAnsi" w:cstheme="majorHAnsi"/>
                <w:szCs w:val="18"/>
              </w:rPr>
              <w:t xml:space="preserve">also </w:t>
            </w:r>
            <w:r w:rsidRPr="00624B98">
              <w:rPr>
                <w:rFonts w:asciiTheme="majorHAnsi" w:hAnsiTheme="majorHAnsi" w:cstheme="majorHAnsi"/>
                <w:szCs w:val="18"/>
              </w:rPr>
              <w:t xml:space="preserve">recommends that the AER be given the power to: </w:t>
            </w:r>
          </w:p>
          <w:p w14:paraId="13E696AC" w14:textId="77777777" w:rsidR="00DE0813" w:rsidRPr="00624B98" w:rsidRDefault="00DE0813" w:rsidP="000C4BF1">
            <w:pPr>
              <w:pStyle w:val="TableBullet1"/>
              <w:spacing w:before="40" w:after="40" w:line="252" w:lineRule="auto"/>
              <w:rPr>
                <w:rFonts w:asciiTheme="majorHAnsi" w:hAnsiTheme="majorHAnsi" w:cstheme="majorHAnsi"/>
                <w:szCs w:val="18"/>
              </w:rPr>
            </w:pPr>
            <w:r w:rsidRPr="00624B98">
              <w:rPr>
                <w:rFonts w:asciiTheme="majorHAnsi" w:hAnsiTheme="majorHAnsi" w:cstheme="majorHAnsi"/>
                <w:szCs w:val="18"/>
              </w:rPr>
              <w:t xml:space="preserve">conduct </w:t>
            </w:r>
            <w:r>
              <w:rPr>
                <w:rFonts w:asciiTheme="majorHAnsi" w:hAnsiTheme="majorHAnsi" w:cstheme="majorHAnsi"/>
                <w:szCs w:val="18"/>
              </w:rPr>
              <w:t xml:space="preserve">a </w:t>
            </w:r>
            <w:r w:rsidRPr="00624B98">
              <w:rPr>
                <w:rFonts w:asciiTheme="majorHAnsi" w:hAnsiTheme="majorHAnsi" w:cstheme="majorHAnsi"/>
                <w:szCs w:val="18"/>
              </w:rPr>
              <w:t>review of a service provider’s charges if it has concerns about the</w:t>
            </w:r>
            <w:r>
              <w:rPr>
                <w:rFonts w:asciiTheme="majorHAnsi" w:hAnsiTheme="majorHAnsi" w:cstheme="majorHAnsi"/>
                <w:szCs w:val="18"/>
              </w:rPr>
              <w:t>ir</w:t>
            </w:r>
            <w:r w:rsidRPr="00624B98">
              <w:rPr>
                <w:rFonts w:asciiTheme="majorHAnsi" w:hAnsiTheme="majorHAnsi" w:cstheme="majorHAnsi"/>
                <w:szCs w:val="18"/>
              </w:rPr>
              <w:t xml:space="preserve"> level (or if concerns are raised by an interested party); and </w:t>
            </w:r>
          </w:p>
          <w:p w14:paraId="102EFF9B" w14:textId="77777777" w:rsidR="00DE0813" w:rsidRPr="00624B98" w:rsidRDefault="00DE0813" w:rsidP="000C4BF1">
            <w:pPr>
              <w:pStyle w:val="TableBullet1"/>
              <w:spacing w:before="40" w:after="40" w:line="252" w:lineRule="auto"/>
              <w:rPr>
                <w:rFonts w:asciiTheme="majorHAnsi" w:hAnsiTheme="majorHAnsi" w:cstheme="majorHAnsi"/>
                <w:szCs w:val="18"/>
              </w:rPr>
            </w:pPr>
            <w:proofErr w:type="gramStart"/>
            <w:r w:rsidRPr="00624B98">
              <w:rPr>
                <w:rFonts w:asciiTheme="majorHAnsi" w:hAnsiTheme="majorHAnsi" w:cstheme="majorHAnsi"/>
                <w:szCs w:val="18"/>
              </w:rPr>
              <w:t>require</w:t>
            </w:r>
            <w:proofErr w:type="gramEnd"/>
            <w:r w:rsidRPr="00624B98">
              <w:rPr>
                <w:rFonts w:asciiTheme="majorHAnsi" w:hAnsiTheme="majorHAnsi" w:cstheme="majorHAnsi"/>
                <w:szCs w:val="18"/>
              </w:rPr>
              <w:t xml:space="preserve"> amendments to the charges if it finds that they do not comply with the pricing principle outlined above.</w:t>
            </w:r>
          </w:p>
        </w:tc>
      </w:tr>
      <w:tr w:rsidR="00DE0813" w:rsidRPr="00FA400C" w14:paraId="22336F08" w14:textId="77777777" w:rsidTr="000C4BF1">
        <w:tc>
          <w:tcPr>
            <w:tcW w:w="1565" w:type="dxa"/>
            <w:vMerge/>
            <w:tcBorders>
              <w:bottom w:val="single" w:sz="4" w:space="0" w:color="auto"/>
            </w:tcBorders>
          </w:tcPr>
          <w:p w14:paraId="765E0BDE" w14:textId="77777777" w:rsidR="00DE0813" w:rsidRPr="00FA400C" w:rsidRDefault="00DE0813" w:rsidP="000C4BF1">
            <w:pPr>
              <w:pStyle w:val="BodyText"/>
              <w:spacing w:before="40" w:after="60" w:line="252" w:lineRule="auto"/>
              <w:rPr>
                <w:rFonts w:asciiTheme="majorHAnsi" w:hAnsiTheme="majorHAnsi" w:cstheme="majorHAnsi"/>
                <w:b/>
                <w:szCs w:val="18"/>
              </w:rPr>
            </w:pPr>
          </w:p>
        </w:tc>
        <w:tc>
          <w:tcPr>
            <w:tcW w:w="12753" w:type="dxa"/>
            <w:tcBorders>
              <w:bottom w:val="single" w:sz="4" w:space="0" w:color="auto"/>
            </w:tcBorders>
            <w:shd w:val="clear" w:color="auto" w:fill="FFFFFF" w:themeFill="background1"/>
          </w:tcPr>
          <w:p w14:paraId="10FA382A" w14:textId="77777777" w:rsidR="00DE0813" w:rsidRPr="005614F2" w:rsidRDefault="00DE0813" w:rsidP="000C4BF1">
            <w:pPr>
              <w:pStyle w:val="TableBullet1"/>
              <w:numPr>
                <w:ilvl w:val="0"/>
                <w:numId w:val="0"/>
              </w:numPr>
              <w:spacing w:before="40" w:after="40" w:line="252" w:lineRule="auto"/>
              <w:ind w:left="85"/>
              <w:rPr>
                <w:rFonts w:asciiTheme="majorHAnsi" w:hAnsiTheme="majorHAnsi" w:cstheme="majorHAnsi"/>
                <w:b/>
                <w:szCs w:val="18"/>
              </w:rPr>
            </w:pPr>
            <w:r w:rsidRPr="005614F2">
              <w:rPr>
                <w:rFonts w:asciiTheme="majorHAnsi" w:hAnsiTheme="majorHAnsi" w:cstheme="majorHAnsi"/>
                <w:b/>
                <w:szCs w:val="18"/>
              </w:rPr>
              <w:t>Governance arrangements</w:t>
            </w:r>
          </w:p>
          <w:p w14:paraId="6A49681D" w14:textId="77777777" w:rsidR="00DE0813" w:rsidRPr="00FA400C" w:rsidRDefault="00DE0813" w:rsidP="000C4BF1">
            <w:pPr>
              <w:pStyle w:val="TableBullet1"/>
              <w:numPr>
                <w:ilvl w:val="0"/>
                <w:numId w:val="0"/>
              </w:numPr>
              <w:spacing w:before="40" w:after="40" w:line="252" w:lineRule="auto"/>
              <w:ind w:left="85"/>
              <w:rPr>
                <w:rFonts w:asciiTheme="majorHAnsi" w:hAnsiTheme="majorHAnsi" w:cstheme="majorHAnsi"/>
                <w:szCs w:val="18"/>
              </w:rPr>
            </w:pPr>
            <w:r w:rsidRPr="00FA400C">
              <w:rPr>
                <w:rFonts w:asciiTheme="majorHAnsi" w:hAnsiTheme="majorHAnsi" w:cstheme="majorHAnsi"/>
                <w:szCs w:val="18"/>
              </w:rPr>
              <w:t xml:space="preserve">The standard terms and requirements for the facility specific terms will be set out in an </w:t>
            </w:r>
            <w:r w:rsidRPr="00FA400C">
              <w:rPr>
                <w:rFonts w:asciiTheme="majorHAnsi" w:hAnsiTheme="majorHAnsi" w:cstheme="majorHAnsi"/>
                <w:b/>
                <w:szCs w:val="18"/>
              </w:rPr>
              <w:t>Operational GTA Code</w:t>
            </w:r>
            <w:r w:rsidRPr="00FA400C">
              <w:rPr>
                <w:rFonts w:asciiTheme="majorHAnsi" w:hAnsiTheme="majorHAnsi" w:cstheme="majorHAnsi"/>
                <w:szCs w:val="18"/>
              </w:rPr>
              <w:t xml:space="preserve">, which will be a new </w:t>
            </w:r>
            <w:r>
              <w:rPr>
                <w:rFonts w:asciiTheme="majorHAnsi" w:hAnsiTheme="majorHAnsi" w:cstheme="majorHAnsi"/>
                <w:szCs w:val="18"/>
              </w:rPr>
              <w:t xml:space="preserve">regulatory </w:t>
            </w:r>
            <w:r w:rsidRPr="00FA400C">
              <w:rPr>
                <w:rFonts w:asciiTheme="majorHAnsi" w:hAnsiTheme="majorHAnsi" w:cstheme="majorHAnsi"/>
                <w:szCs w:val="18"/>
              </w:rPr>
              <w:t>instrument developed under the NGL/NGR. Once the initial Code is made it will be subject to a hybrid governance model, which will involve the following:</w:t>
            </w:r>
          </w:p>
          <w:p w14:paraId="1D2C1DF8" w14:textId="77777777" w:rsidR="00DE0813" w:rsidRPr="00FA400C" w:rsidRDefault="00DE0813" w:rsidP="000C4BF1">
            <w:pPr>
              <w:pStyle w:val="TableBullet1"/>
              <w:spacing w:before="40" w:after="40" w:line="252" w:lineRule="auto"/>
              <w:rPr>
                <w:rFonts w:asciiTheme="majorHAnsi" w:hAnsiTheme="majorHAnsi" w:cstheme="majorHAnsi"/>
                <w:szCs w:val="18"/>
              </w:rPr>
            </w:pPr>
            <w:r w:rsidRPr="00FA400C">
              <w:rPr>
                <w:rFonts w:asciiTheme="majorHAnsi" w:hAnsiTheme="majorHAnsi" w:cstheme="majorHAnsi"/>
                <w:szCs w:val="18"/>
              </w:rPr>
              <w:t xml:space="preserve">AEMO will be responsible for establishing an </w:t>
            </w:r>
            <w:r>
              <w:rPr>
                <w:rFonts w:asciiTheme="majorHAnsi" w:hAnsiTheme="majorHAnsi" w:cstheme="majorHAnsi"/>
                <w:szCs w:val="18"/>
              </w:rPr>
              <w:t>I</w:t>
            </w:r>
            <w:r w:rsidRPr="00FA400C">
              <w:rPr>
                <w:rFonts w:asciiTheme="majorHAnsi" w:hAnsiTheme="majorHAnsi" w:cstheme="majorHAnsi"/>
                <w:szCs w:val="18"/>
              </w:rPr>
              <w:t xml:space="preserve">ndustry </w:t>
            </w:r>
            <w:r>
              <w:rPr>
                <w:rFonts w:asciiTheme="majorHAnsi" w:hAnsiTheme="majorHAnsi" w:cstheme="majorHAnsi"/>
                <w:szCs w:val="18"/>
              </w:rPr>
              <w:t>P</w:t>
            </w:r>
            <w:r w:rsidRPr="00FA400C">
              <w:rPr>
                <w:rFonts w:asciiTheme="majorHAnsi" w:hAnsiTheme="majorHAnsi" w:cstheme="majorHAnsi"/>
                <w:szCs w:val="18"/>
              </w:rPr>
              <w:t xml:space="preserve">anel to consider changes to the Operational GTA Code and provide secretariat services to the panel. AEMO </w:t>
            </w:r>
            <w:r>
              <w:rPr>
                <w:rFonts w:asciiTheme="majorHAnsi" w:hAnsiTheme="majorHAnsi" w:cstheme="majorHAnsi"/>
                <w:szCs w:val="18"/>
              </w:rPr>
              <w:t>will</w:t>
            </w:r>
            <w:r w:rsidRPr="00FA400C">
              <w:rPr>
                <w:rFonts w:asciiTheme="majorHAnsi" w:hAnsiTheme="majorHAnsi" w:cstheme="majorHAnsi"/>
                <w:szCs w:val="18"/>
              </w:rPr>
              <w:t xml:space="preserve"> also be responsible for carrying out consultation on behalf of the </w:t>
            </w:r>
            <w:r>
              <w:rPr>
                <w:rFonts w:asciiTheme="majorHAnsi" w:hAnsiTheme="majorHAnsi" w:cstheme="majorHAnsi"/>
                <w:szCs w:val="18"/>
              </w:rPr>
              <w:t>Industry P</w:t>
            </w:r>
            <w:r w:rsidRPr="00FA400C">
              <w:rPr>
                <w:rFonts w:asciiTheme="majorHAnsi" w:hAnsiTheme="majorHAnsi" w:cstheme="majorHAnsi"/>
                <w:szCs w:val="18"/>
              </w:rPr>
              <w:t>anel and requesting input from the AEMC</w:t>
            </w:r>
            <w:r>
              <w:rPr>
                <w:rFonts w:asciiTheme="majorHAnsi" w:hAnsiTheme="majorHAnsi" w:cstheme="majorHAnsi"/>
                <w:szCs w:val="18"/>
              </w:rPr>
              <w:t>, where required</w:t>
            </w:r>
            <w:r w:rsidRPr="00FA400C">
              <w:rPr>
                <w:rFonts w:asciiTheme="majorHAnsi" w:hAnsiTheme="majorHAnsi" w:cstheme="majorHAnsi"/>
                <w:szCs w:val="18"/>
              </w:rPr>
              <w:t xml:space="preserve">.  </w:t>
            </w:r>
          </w:p>
          <w:p w14:paraId="4086691E" w14:textId="77777777" w:rsidR="00DE0813" w:rsidRPr="00F01112" w:rsidRDefault="00DE0813" w:rsidP="000C4BF1">
            <w:pPr>
              <w:pStyle w:val="TableBullet1"/>
              <w:spacing w:before="40" w:after="40" w:line="252" w:lineRule="auto"/>
              <w:rPr>
                <w:rFonts w:asciiTheme="majorHAnsi" w:hAnsiTheme="majorHAnsi" w:cstheme="majorHAnsi"/>
                <w:szCs w:val="18"/>
              </w:rPr>
            </w:pPr>
            <w:r w:rsidRPr="00FA400C">
              <w:rPr>
                <w:rFonts w:asciiTheme="majorHAnsi" w:hAnsiTheme="majorHAnsi" w:cstheme="majorHAnsi"/>
                <w:szCs w:val="18"/>
              </w:rPr>
              <w:t xml:space="preserve">Changes recommended by the </w:t>
            </w:r>
            <w:r>
              <w:rPr>
                <w:rFonts w:asciiTheme="majorHAnsi" w:hAnsiTheme="majorHAnsi" w:cstheme="majorHAnsi"/>
                <w:szCs w:val="18"/>
              </w:rPr>
              <w:t>Industry P</w:t>
            </w:r>
            <w:r w:rsidRPr="00FA400C">
              <w:rPr>
                <w:rFonts w:asciiTheme="majorHAnsi" w:hAnsiTheme="majorHAnsi" w:cstheme="majorHAnsi"/>
                <w:szCs w:val="18"/>
              </w:rPr>
              <w:t xml:space="preserve">anel </w:t>
            </w:r>
            <w:r>
              <w:rPr>
                <w:rFonts w:asciiTheme="majorHAnsi" w:hAnsiTheme="majorHAnsi" w:cstheme="majorHAnsi"/>
                <w:szCs w:val="18"/>
              </w:rPr>
              <w:t>will</w:t>
            </w:r>
            <w:r w:rsidRPr="00FA400C">
              <w:rPr>
                <w:rFonts w:asciiTheme="majorHAnsi" w:hAnsiTheme="majorHAnsi" w:cstheme="majorHAnsi"/>
                <w:szCs w:val="18"/>
              </w:rPr>
              <w:t xml:space="preserve"> only take effect if approved by the AER.  In deciding whether to approve the changes, the AER </w:t>
            </w:r>
            <w:r>
              <w:rPr>
                <w:rFonts w:asciiTheme="majorHAnsi" w:hAnsiTheme="majorHAnsi" w:cstheme="majorHAnsi"/>
                <w:szCs w:val="18"/>
              </w:rPr>
              <w:t>will be requi</w:t>
            </w:r>
            <w:r w:rsidRPr="00F01112">
              <w:rPr>
                <w:rFonts w:asciiTheme="majorHAnsi" w:hAnsiTheme="majorHAnsi" w:cstheme="majorHAnsi"/>
                <w:szCs w:val="18"/>
              </w:rPr>
              <w:t xml:space="preserve">red to take into account the panel’s recommendation (but will not be bound by it), the NGO and principles in the NGR.  </w:t>
            </w:r>
          </w:p>
          <w:p w14:paraId="7F7B7C4F" w14:textId="77777777" w:rsidR="00DE0813" w:rsidRPr="00F01112" w:rsidRDefault="00DE0813" w:rsidP="000C4BF1">
            <w:pPr>
              <w:pStyle w:val="TableBullet1"/>
              <w:numPr>
                <w:ilvl w:val="0"/>
                <w:numId w:val="0"/>
              </w:numPr>
              <w:spacing w:after="40" w:line="252" w:lineRule="auto"/>
              <w:ind w:left="85"/>
              <w:rPr>
                <w:rFonts w:asciiTheme="majorHAnsi" w:hAnsiTheme="majorHAnsi" w:cstheme="majorHAnsi"/>
                <w:szCs w:val="18"/>
              </w:rPr>
            </w:pPr>
            <w:r w:rsidRPr="00F01112">
              <w:rPr>
                <w:rFonts w:asciiTheme="majorHAnsi" w:hAnsiTheme="majorHAnsi" w:cstheme="majorHAnsi"/>
                <w:szCs w:val="18"/>
              </w:rPr>
              <w:t xml:space="preserve">The AER is considered the most appropriate body to take on this role, because it is consistent with its current role in relation to approving the terms and conditions of access to covered pipelines and is not subject to the same types of conflicts that AEMO or the AEMC would be subject to. </w:t>
            </w:r>
          </w:p>
          <w:p w14:paraId="3F5CEFCA" w14:textId="77777777" w:rsidR="00DE0813" w:rsidRPr="00F01112" w:rsidRDefault="00DE0813" w:rsidP="000C4BF1">
            <w:pPr>
              <w:pStyle w:val="TableBullet1"/>
              <w:numPr>
                <w:ilvl w:val="0"/>
                <w:numId w:val="0"/>
              </w:numPr>
              <w:spacing w:before="40" w:after="40" w:line="252" w:lineRule="auto"/>
              <w:ind w:left="312" w:hanging="227"/>
              <w:rPr>
                <w:rFonts w:asciiTheme="majorHAnsi" w:hAnsiTheme="majorHAnsi" w:cstheme="majorHAnsi"/>
                <w:szCs w:val="18"/>
              </w:rPr>
            </w:pPr>
            <w:r w:rsidRPr="00F01112">
              <w:rPr>
                <w:rFonts w:asciiTheme="majorHAnsi" w:hAnsiTheme="majorHAnsi" w:cstheme="majorHAnsi"/>
                <w:szCs w:val="18"/>
              </w:rPr>
              <w:t xml:space="preserve">Under the proposed governance framework, the AER will also: </w:t>
            </w:r>
          </w:p>
          <w:p w14:paraId="6B67F36B" w14:textId="77777777" w:rsidR="00DE0813" w:rsidRPr="00FA400C" w:rsidRDefault="00DE0813" w:rsidP="000C4BF1">
            <w:pPr>
              <w:pStyle w:val="TableBullet1"/>
              <w:spacing w:before="40" w:after="40" w:line="252" w:lineRule="auto"/>
              <w:rPr>
                <w:rFonts w:asciiTheme="majorHAnsi" w:hAnsiTheme="majorHAnsi" w:cstheme="majorHAnsi"/>
                <w:szCs w:val="18"/>
                <w:lang w:eastAsia="fr-CA"/>
              </w:rPr>
            </w:pPr>
            <w:r w:rsidRPr="00F01112">
              <w:rPr>
                <w:rFonts w:asciiTheme="majorHAnsi" w:hAnsiTheme="majorHAnsi" w:cstheme="majorHAnsi"/>
                <w:szCs w:val="18"/>
              </w:rPr>
              <w:t>be responsible for monitoring service providers’ compliance with the obligation to publish the standard operational GTA and that the facility specific terms and charges levi</w:t>
            </w:r>
            <w:r>
              <w:rPr>
                <w:rFonts w:asciiTheme="majorHAnsi" w:hAnsiTheme="majorHAnsi" w:cstheme="majorHAnsi"/>
                <w:szCs w:val="18"/>
              </w:rPr>
              <w:t xml:space="preserve">ed by service providers for entering into these arrangements, </w:t>
            </w:r>
            <w:r w:rsidRPr="00FA400C">
              <w:rPr>
                <w:rFonts w:asciiTheme="majorHAnsi" w:hAnsiTheme="majorHAnsi" w:cstheme="majorHAnsi"/>
                <w:szCs w:val="18"/>
              </w:rPr>
              <w:t>ar</w:t>
            </w:r>
            <w:r w:rsidRPr="00FA400C">
              <w:rPr>
                <w:rFonts w:asciiTheme="majorHAnsi" w:hAnsiTheme="majorHAnsi" w:cstheme="majorHAnsi"/>
                <w:szCs w:val="18"/>
                <w:lang w:eastAsia="fr-CA"/>
              </w:rPr>
              <w:t>e consistent with the Operational GTA Code and NGR principles</w:t>
            </w:r>
            <w:r>
              <w:rPr>
                <w:rFonts w:asciiTheme="majorHAnsi" w:hAnsiTheme="majorHAnsi" w:cstheme="majorHAnsi"/>
                <w:szCs w:val="18"/>
                <w:lang w:eastAsia="fr-CA"/>
              </w:rPr>
              <w:t xml:space="preserve">; </w:t>
            </w:r>
            <w:r w:rsidR="000C4BF1">
              <w:rPr>
                <w:rFonts w:asciiTheme="majorHAnsi" w:hAnsiTheme="majorHAnsi" w:cstheme="majorHAnsi"/>
                <w:szCs w:val="18"/>
                <w:lang w:eastAsia="fr-CA"/>
              </w:rPr>
              <w:t>and</w:t>
            </w:r>
          </w:p>
          <w:p w14:paraId="0DF24450" w14:textId="77777777" w:rsidR="00DE0813" w:rsidRPr="00FA400C" w:rsidRDefault="00DE0813" w:rsidP="000C4BF1">
            <w:pPr>
              <w:pStyle w:val="TableBullet1"/>
              <w:spacing w:before="40" w:after="40" w:line="252" w:lineRule="auto"/>
              <w:rPr>
                <w:rFonts w:asciiTheme="majorHAnsi" w:hAnsiTheme="majorHAnsi" w:cstheme="majorHAnsi"/>
                <w:szCs w:val="18"/>
              </w:rPr>
            </w:pPr>
            <w:proofErr w:type="gramStart"/>
            <w:r w:rsidRPr="00FA400C">
              <w:rPr>
                <w:rFonts w:asciiTheme="majorHAnsi" w:hAnsiTheme="majorHAnsi" w:cstheme="majorHAnsi"/>
                <w:szCs w:val="18"/>
                <w:lang w:eastAsia="fr-CA"/>
              </w:rPr>
              <w:t>have</w:t>
            </w:r>
            <w:proofErr w:type="gramEnd"/>
            <w:r w:rsidRPr="00FA400C">
              <w:rPr>
                <w:rFonts w:asciiTheme="majorHAnsi" w:hAnsiTheme="majorHAnsi" w:cstheme="majorHAnsi"/>
                <w:szCs w:val="18"/>
                <w:lang w:eastAsia="fr-CA"/>
              </w:rPr>
              <w:t xml:space="preserve"> the power to exempt a facility from the requirement to publish a standardised operational GTA</w:t>
            </w:r>
            <w:r>
              <w:rPr>
                <w:rFonts w:asciiTheme="majorHAnsi" w:hAnsiTheme="majorHAnsi" w:cstheme="majorHAnsi"/>
                <w:szCs w:val="18"/>
                <w:lang w:eastAsia="fr-CA"/>
              </w:rPr>
              <w:t xml:space="preserve"> (e.g. if it is not providing third party access)</w:t>
            </w:r>
            <w:r w:rsidRPr="00FA400C">
              <w:rPr>
                <w:rFonts w:asciiTheme="majorHAnsi" w:hAnsiTheme="majorHAnsi" w:cstheme="majorHAnsi"/>
                <w:szCs w:val="18"/>
                <w:lang w:eastAsia="fr-CA"/>
              </w:rPr>
              <w:t>.</w:t>
            </w:r>
          </w:p>
        </w:tc>
      </w:tr>
      <w:tr w:rsidR="00DE0813" w:rsidRPr="00FA400C" w14:paraId="3C7DF7AA" w14:textId="77777777" w:rsidTr="000C4BF1">
        <w:trPr>
          <w:cnfStyle w:val="000000010000" w:firstRow="0" w:lastRow="0" w:firstColumn="0" w:lastColumn="0" w:oddVBand="0" w:evenVBand="0" w:oddHBand="0" w:evenHBand="1" w:firstRowFirstColumn="0" w:firstRowLastColumn="0" w:lastRowFirstColumn="0" w:lastRowLastColumn="0"/>
          <w:trHeight w:val="1181"/>
        </w:trPr>
        <w:tc>
          <w:tcPr>
            <w:tcW w:w="1565" w:type="dxa"/>
            <w:vMerge w:val="restart"/>
          </w:tcPr>
          <w:p w14:paraId="2A3741B3" w14:textId="77777777" w:rsidR="00DE0813" w:rsidRPr="00FA400C" w:rsidRDefault="00DE0813" w:rsidP="000C4BF1">
            <w:pPr>
              <w:pStyle w:val="BodyText"/>
              <w:spacing w:before="60" w:after="60" w:line="252" w:lineRule="auto"/>
              <w:rPr>
                <w:rFonts w:asciiTheme="majorHAnsi" w:hAnsiTheme="majorHAnsi" w:cstheme="majorHAnsi"/>
                <w:b/>
                <w:szCs w:val="18"/>
              </w:rPr>
            </w:pPr>
            <w:r>
              <w:rPr>
                <w:rFonts w:asciiTheme="majorHAnsi" w:hAnsiTheme="majorHAnsi" w:cstheme="majorHAnsi"/>
                <w:b/>
                <w:szCs w:val="18"/>
              </w:rPr>
              <w:t>Other measures to reduce barriers to secondary trading and participation in the auction</w:t>
            </w:r>
          </w:p>
        </w:tc>
        <w:tc>
          <w:tcPr>
            <w:tcW w:w="12753" w:type="dxa"/>
          </w:tcPr>
          <w:p w14:paraId="24E047EC" w14:textId="77777777" w:rsidR="00DE0813" w:rsidRDefault="00DE0813" w:rsidP="000C4BF1">
            <w:pPr>
              <w:pStyle w:val="TableBullet1"/>
              <w:numPr>
                <w:ilvl w:val="0"/>
                <w:numId w:val="0"/>
              </w:numPr>
              <w:spacing w:after="40" w:line="252" w:lineRule="auto"/>
              <w:ind w:left="85"/>
              <w:rPr>
                <w:rFonts w:asciiTheme="majorHAnsi" w:hAnsiTheme="majorHAnsi" w:cstheme="majorHAnsi"/>
                <w:szCs w:val="18"/>
              </w:rPr>
            </w:pPr>
            <w:r w:rsidRPr="00FA400C">
              <w:rPr>
                <w:rFonts w:asciiTheme="majorHAnsi" w:hAnsiTheme="majorHAnsi" w:cstheme="majorHAnsi"/>
                <w:b/>
                <w:szCs w:val="18"/>
              </w:rPr>
              <w:t>Allocation arrangements</w:t>
            </w:r>
            <w:r w:rsidRPr="00FA400C">
              <w:rPr>
                <w:rFonts w:asciiTheme="majorHAnsi" w:hAnsiTheme="majorHAnsi" w:cstheme="majorHAnsi"/>
                <w:szCs w:val="18"/>
              </w:rPr>
              <w:t xml:space="preserve"> </w:t>
            </w:r>
          </w:p>
          <w:p w14:paraId="4B33DEAF" w14:textId="77777777" w:rsidR="00DE0813" w:rsidRDefault="00DE0813" w:rsidP="000C4BF1">
            <w:pPr>
              <w:pStyle w:val="TableBullet1"/>
              <w:numPr>
                <w:ilvl w:val="0"/>
                <w:numId w:val="0"/>
              </w:numPr>
              <w:spacing w:after="40" w:line="252" w:lineRule="auto"/>
              <w:ind w:left="85"/>
              <w:rPr>
                <w:rFonts w:asciiTheme="majorHAnsi" w:hAnsiTheme="majorHAnsi" w:cstheme="majorHAnsi"/>
                <w:szCs w:val="18"/>
              </w:rPr>
            </w:pPr>
            <w:r w:rsidRPr="00FA400C">
              <w:rPr>
                <w:rFonts w:asciiTheme="majorHAnsi" w:hAnsiTheme="majorHAnsi" w:cstheme="majorHAnsi"/>
                <w:szCs w:val="18"/>
              </w:rPr>
              <w:t xml:space="preserve">To reduce the opaqueness currently surrounding allocation agreements, information on the allocation agents a secondary shipper would need to contact to become a party to an allocation agreement at all the relevant points should be published on the </w:t>
            </w:r>
            <w:r w:rsidR="001753D7">
              <w:rPr>
                <w:rFonts w:asciiTheme="majorHAnsi" w:hAnsiTheme="majorHAnsi" w:cstheme="majorHAnsi"/>
                <w:szCs w:val="18"/>
              </w:rPr>
              <w:t>BB</w:t>
            </w:r>
            <w:r w:rsidRPr="00FA400C">
              <w:rPr>
                <w:rFonts w:asciiTheme="majorHAnsi" w:hAnsiTheme="majorHAnsi" w:cstheme="majorHAnsi"/>
                <w:szCs w:val="18"/>
              </w:rPr>
              <w:t xml:space="preserve">. </w:t>
            </w:r>
          </w:p>
          <w:p w14:paraId="1FF2B106" w14:textId="77777777" w:rsidR="00DE0813" w:rsidRPr="00FA400C" w:rsidRDefault="00DE0813" w:rsidP="000C4BF1">
            <w:pPr>
              <w:pStyle w:val="TableBullet1"/>
              <w:numPr>
                <w:ilvl w:val="0"/>
                <w:numId w:val="0"/>
              </w:numPr>
              <w:spacing w:after="40" w:line="252" w:lineRule="auto"/>
              <w:ind w:left="85"/>
              <w:rPr>
                <w:szCs w:val="18"/>
              </w:rPr>
            </w:pPr>
            <w:r w:rsidRPr="00FA400C">
              <w:rPr>
                <w:rFonts w:asciiTheme="majorHAnsi" w:hAnsiTheme="majorHAnsi" w:cstheme="majorHAnsi"/>
                <w:szCs w:val="18"/>
              </w:rPr>
              <w:t>The GMRG also recommends that</w:t>
            </w:r>
            <w:r>
              <w:rPr>
                <w:rFonts w:asciiTheme="majorHAnsi" w:hAnsiTheme="majorHAnsi" w:cstheme="majorHAnsi"/>
                <w:szCs w:val="18"/>
              </w:rPr>
              <w:t xml:space="preserve"> </w:t>
            </w:r>
            <w:r w:rsidRPr="00FA400C">
              <w:rPr>
                <w:szCs w:val="18"/>
              </w:rPr>
              <w:t xml:space="preserve">further </w:t>
            </w:r>
            <w:r>
              <w:rPr>
                <w:szCs w:val="18"/>
              </w:rPr>
              <w:t>work</w:t>
            </w:r>
            <w:r w:rsidRPr="00FA400C">
              <w:rPr>
                <w:szCs w:val="18"/>
              </w:rPr>
              <w:t xml:space="preserve"> be carried out by the GMRG</w:t>
            </w:r>
            <w:r>
              <w:rPr>
                <w:szCs w:val="18"/>
              </w:rPr>
              <w:t>,</w:t>
            </w:r>
            <w:r w:rsidRPr="00FA400C">
              <w:rPr>
                <w:szCs w:val="18"/>
              </w:rPr>
              <w:t xml:space="preserve"> </w:t>
            </w:r>
            <w:r>
              <w:rPr>
                <w:szCs w:val="18"/>
              </w:rPr>
              <w:t xml:space="preserve">in consultation with AEMO and industry, </w:t>
            </w:r>
            <w:r w:rsidRPr="00FA400C">
              <w:rPr>
                <w:szCs w:val="18"/>
              </w:rPr>
              <w:t xml:space="preserve">in early 2018 to </w:t>
            </w:r>
            <w:r>
              <w:rPr>
                <w:szCs w:val="18"/>
              </w:rPr>
              <w:t xml:space="preserve">address the allocation issues at Moomba and </w:t>
            </w:r>
            <w:r w:rsidRPr="00FA400C">
              <w:rPr>
                <w:szCs w:val="18"/>
              </w:rPr>
              <w:t xml:space="preserve">determine whether </w:t>
            </w:r>
            <w:r>
              <w:rPr>
                <w:szCs w:val="18"/>
              </w:rPr>
              <w:t>additional</w:t>
            </w:r>
            <w:r w:rsidRPr="00FA400C">
              <w:rPr>
                <w:szCs w:val="18"/>
              </w:rPr>
              <w:t xml:space="preserve"> reforms are required to reduce the </w:t>
            </w:r>
            <w:r>
              <w:rPr>
                <w:szCs w:val="18"/>
              </w:rPr>
              <w:t xml:space="preserve">other </w:t>
            </w:r>
            <w:r w:rsidRPr="00FA400C">
              <w:rPr>
                <w:szCs w:val="18"/>
              </w:rPr>
              <w:t>barriers</w:t>
            </w:r>
            <w:r>
              <w:rPr>
                <w:szCs w:val="18"/>
              </w:rPr>
              <w:t xml:space="preserve"> to trade</w:t>
            </w:r>
            <w:r w:rsidRPr="00FA400C">
              <w:rPr>
                <w:szCs w:val="18"/>
              </w:rPr>
              <w:t xml:space="preserve"> posed by allocation arrangements.</w:t>
            </w:r>
            <w:r>
              <w:rPr>
                <w:szCs w:val="18"/>
              </w:rPr>
              <w:t xml:space="preserve"> The GMRG will also work with the ACCC to determine whether any additional transparency measures are required in relation to allocation agreements.</w:t>
            </w:r>
          </w:p>
        </w:tc>
      </w:tr>
      <w:tr w:rsidR="00DE0813" w:rsidRPr="00FA400C" w14:paraId="78AA56BF" w14:textId="77777777" w:rsidTr="000C4BF1">
        <w:trPr>
          <w:trHeight w:val="1728"/>
        </w:trPr>
        <w:tc>
          <w:tcPr>
            <w:tcW w:w="1565" w:type="dxa"/>
            <w:vMerge/>
            <w:shd w:val="clear" w:color="auto" w:fill="E1E2E7" w:themeFill="background2"/>
          </w:tcPr>
          <w:p w14:paraId="47930F59" w14:textId="77777777" w:rsidR="00DE0813" w:rsidRPr="00FA400C" w:rsidRDefault="00DE0813" w:rsidP="000C4BF1">
            <w:pPr>
              <w:pStyle w:val="BodyText"/>
              <w:spacing w:before="60" w:after="60" w:line="252" w:lineRule="auto"/>
              <w:rPr>
                <w:rFonts w:asciiTheme="majorHAnsi" w:hAnsiTheme="majorHAnsi" w:cstheme="majorHAnsi"/>
                <w:b/>
                <w:szCs w:val="18"/>
              </w:rPr>
            </w:pPr>
          </w:p>
        </w:tc>
        <w:tc>
          <w:tcPr>
            <w:tcW w:w="12753" w:type="dxa"/>
            <w:shd w:val="clear" w:color="auto" w:fill="E1E2E7" w:themeFill="background2"/>
          </w:tcPr>
          <w:p w14:paraId="6FC093F5" w14:textId="77777777" w:rsidR="00DE0813" w:rsidRDefault="00DE0813" w:rsidP="000C4BF1">
            <w:pPr>
              <w:pStyle w:val="TableBodyText"/>
              <w:spacing w:before="40" w:after="40" w:line="252" w:lineRule="auto"/>
              <w:rPr>
                <w:rFonts w:asciiTheme="majorHAnsi" w:hAnsiTheme="majorHAnsi" w:cstheme="majorHAnsi"/>
                <w:szCs w:val="18"/>
              </w:rPr>
            </w:pPr>
            <w:r w:rsidRPr="00FA400C">
              <w:rPr>
                <w:rFonts w:asciiTheme="majorHAnsi" w:hAnsiTheme="majorHAnsi" w:cstheme="majorHAnsi"/>
                <w:b/>
                <w:szCs w:val="18"/>
              </w:rPr>
              <w:t>Contractual limitations on capacity trading in primary GTAs</w:t>
            </w:r>
            <w:r w:rsidRPr="00FA400C">
              <w:rPr>
                <w:rFonts w:asciiTheme="majorHAnsi" w:hAnsiTheme="majorHAnsi" w:cstheme="majorHAnsi"/>
                <w:szCs w:val="18"/>
              </w:rPr>
              <w:t xml:space="preserve"> </w:t>
            </w:r>
          </w:p>
          <w:p w14:paraId="49F91AE9" w14:textId="77777777" w:rsidR="00DE0813" w:rsidRPr="00FA400C" w:rsidRDefault="00DE0813" w:rsidP="000C4BF1">
            <w:pPr>
              <w:pStyle w:val="TableBodyText"/>
              <w:spacing w:before="40" w:after="40" w:line="252" w:lineRule="auto"/>
              <w:rPr>
                <w:rFonts w:asciiTheme="majorHAnsi" w:hAnsiTheme="majorHAnsi" w:cstheme="majorHAnsi"/>
                <w:szCs w:val="18"/>
              </w:rPr>
            </w:pPr>
            <w:r w:rsidRPr="00FA400C">
              <w:rPr>
                <w:rFonts w:asciiTheme="majorHAnsi" w:hAnsiTheme="majorHAnsi" w:cstheme="majorHAnsi"/>
                <w:szCs w:val="18"/>
              </w:rPr>
              <w:t>There are a number of provisions in primary GTAs that may prevent or impede secondary trading. To ensure these do not act as a barrier to secondary capacity trading, the GMRG recommends that:</w:t>
            </w:r>
          </w:p>
          <w:p w14:paraId="748A2EB0" w14:textId="77777777" w:rsidR="00DE0813" w:rsidRDefault="00DE0813" w:rsidP="000C4BF1">
            <w:pPr>
              <w:pStyle w:val="TableBullet1"/>
              <w:spacing w:before="40"/>
              <w:rPr>
                <w:lang w:val="en-US" w:eastAsia="fr-CA"/>
              </w:rPr>
            </w:pPr>
            <w:r>
              <w:rPr>
                <w:lang w:val="en-US" w:eastAsia="fr-CA"/>
              </w:rPr>
              <w:t xml:space="preserve">Provisions that prohibit primary shippers from trading capacity, or require primary shippers to obtain a service provider’s consent before they can trade capacity, be addressed through provisions that will require service providers to allow users to transfer </w:t>
            </w:r>
            <w:r>
              <w:t>contracted capacity to another party, without the service provider’s consent, if the user remains liable for capacity payments and the transferee has an operational GTA.</w:t>
            </w:r>
          </w:p>
          <w:p w14:paraId="742E122A" w14:textId="77777777" w:rsidR="00DE0813" w:rsidRDefault="00DE0813" w:rsidP="000C4BF1">
            <w:pPr>
              <w:pStyle w:val="TableBullet1"/>
              <w:spacing w:before="40"/>
            </w:pPr>
            <w:r>
              <w:rPr>
                <w:lang w:val="en-US" w:eastAsia="fr-CA"/>
              </w:rPr>
              <w:t xml:space="preserve">Provisions that prohibit primary shippers from requesting changes to receipt and delivery points, or limit the number of changes that can be requested, be addressed through provisions detailing the rights shippers have to seek changes to receipt or delivery points; the timeframes within which service providers must respond; and the pricing principle to apply to charges levied by the service provider for these changes (i.e. charges should be cost reflective and reflect the outcomes of a workably competitive market). </w:t>
            </w:r>
          </w:p>
          <w:p w14:paraId="267BDBC2" w14:textId="77777777" w:rsidR="00DE0813" w:rsidRPr="00FA400C" w:rsidRDefault="00DE0813" w:rsidP="000C4BF1">
            <w:pPr>
              <w:pStyle w:val="TableBullet1"/>
              <w:numPr>
                <w:ilvl w:val="0"/>
                <w:numId w:val="0"/>
              </w:numPr>
              <w:spacing w:before="40"/>
              <w:ind w:left="85"/>
            </w:pPr>
            <w:r>
              <w:t>The provisions are expected to draw on the approach in rules 105(2) and 106(1) of the NGR, which apply in relation to scheme pipelines.</w:t>
            </w:r>
          </w:p>
        </w:tc>
      </w:tr>
      <w:tr w:rsidR="00DE0813" w:rsidRPr="00FA400C" w14:paraId="78652D63" w14:textId="77777777" w:rsidTr="000C4BF1">
        <w:trPr>
          <w:cnfStyle w:val="000000010000" w:firstRow="0" w:lastRow="0" w:firstColumn="0" w:lastColumn="0" w:oddVBand="0" w:evenVBand="0" w:oddHBand="0" w:evenHBand="1" w:firstRowFirstColumn="0" w:firstRowLastColumn="0" w:lastRowFirstColumn="0" w:lastRowLastColumn="0"/>
        </w:trPr>
        <w:tc>
          <w:tcPr>
            <w:tcW w:w="1565" w:type="dxa"/>
            <w:vMerge/>
            <w:tcBorders>
              <w:bottom w:val="single" w:sz="4" w:space="0" w:color="auto"/>
            </w:tcBorders>
          </w:tcPr>
          <w:p w14:paraId="39CEE336" w14:textId="77777777" w:rsidR="00DE0813" w:rsidRPr="00FA400C" w:rsidRDefault="00DE0813" w:rsidP="000C4BF1">
            <w:pPr>
              <w:pStyle w:val="BodyText"/>
              <w:spacing w:before="60" w:after="60" w:line="252" w:lineRule="auto"/>
              <w:rPr>
                <w:rFonts w:asciiTheme="majorHAnsi" w:hAnsiTheme="majorHAnsi" w:cstheme="majorHAnsi"/>
                <w:b/>
                <w:szCs w:val="18"/>
              </w:rPr>
            </w:pPr>
          </w:p>
        </w:tc>
        <w:tc>
          <w:tcPr>
            <w:tcW w:w="12753" w:type="dxa"/>
            <w:tcBorders>
              <w:bottom w:val="single" w:sz="4" w:space="0" w:color="auto"/>
            </w:tcBorders>
          </w:tcPr>
          <w:p w14:paraId="50EF51FA" w14:textId="77777777" w:rsidR="00DE0813" w:rsidRDefault="00DE0813" w:rsidP="000C4BF1">
            <w:pPr>
              <w:pStyle w:val="TableBullet1"/>
              <w:numPr>
                <w:ilvl w:val="0"/>
                <w:numId w:val="0"/>
              </w:numPr>
              <w:spacing w:before="40" w:after="40" w:line="252" w:lineRule="auto"/>
              <w:ind w:left="85"/>
              <w:rPr>
                <w:rFonts w:asciiTheme="majorHAnsi" w:hAnsiTheme="majorHAnsi" w:cstheme="majorHAnsi"/>
                <w:szCs w:val="18"/>
              </w:rPr>
            </w:pPr>
            <w:r w:rsidRPr="00FA400C">
              <w:rPr>
                <w:rFonts w:asciiTheme="majorHAnsi" w:hAnsiTheme="majorHAnsi" w:cstheme="majorHAnsi"/>
                <w:b/>
                <w:szCs w:val="18"/>
              </w:rPr>
              <w:t>Harmonisation of gas day start times and nomination cut-off times</w:t>
            </w:r>
            <w:r w:rsidRPr="00FA400C">
              <w:rPr>
                <w:rFonts w:asciiTheme="majorHAnsi" w:hAnsiTheme="majorHAnsi" w:cstheme="majorHAnsi"/>
                <w:szCs w:val="18"/>
              </w:rPr>
              <w:t xml:space="preserve"> </w:t>
            </w:r>
          </w:p>
          <w:p w14:paraId="0828C8FA" w14:textId="77777777" w:rsidR="00DE0813" w:rsidRPr="00FA400C" w:rsidRDefault="00DE0813" w:rsidP="000C4BF1">
            <w:pPr>
              <w:pStyle w:val="TableBullet1"/>
              <w:numPr>
                <w:ilvl w:val="0"/>
                <w:numId w:val="0"/>
              </w:numPr>
              <w:spacing w:before="40" w:after="40" w:line="252" w:lineRule="auto"/>
              <w:ind w:left="85"/>
              <w:rPr>
                <w:rFonts w:asciiTheme="majorHAnsi" w:hAnsiTheme="majorHAnsi" w:cstheme="majorHAnsi"/>
                <w:szCs w:val="18"/>
              </w:rPr>
            </w:pPr>
            <w:r w:rsidRPr="00FA400C">
              <w:rPr>
                <w:rFonts w:asciiTheme="majorHAnsi" w:hAnsiTheme="majorHAnsi" w:cstheme="majorHAnsi"/>
                <w:szCs w:val="18"/>
              </w:rPr>
              <w:t xml:space="preserve">To remove the barriers to trade posed by differences in gas day start times and nomination cut-off times, the GMRG recommends that changes be made to the NGL/NGR to require the adoption of: </w:t>
            </w:r>
          </w:p>
          <w:p w14:paraId="1FB2DA8A" w14:textId="77777777" w:rsidR="00DE0813" w:rsidRPr="00FA400C" w:rsidRDefault="00DE0813" w:rsidP="000C4BF1">
            <w:pPr>
              <w:pStyle w:val="TableBullet1"/>
              <w:spacing w:before="40" w:after="40" w:line="252" w:lineRule="auto"/>
              <w:rPr>
                <w:rFonts w:asciiTheme="majorHAnsi" w:hAnsiTheme="majorHAnsi" w:cstheme="majorHAnsi"/>
                <w:szCs w:val="18"/>
              </w:rPr>
            </w:pPr>
            <w:r w:rsidRPr="00FA400C">
              <w:rPr>
                <w:rFonts w:asciiTheme="majorHAnsi" w:hAnsiTheme="majorHAnsi" w:cstheme="majorHAnsi"/>
                <w:szCs w:val="18"/>
              </w:rPr>
              <w:t xml:space="preserve">a common gas day start time of 6 am (AEST) across the east coast (and the </w:t>
            </w:r>
            <w:r>
              <w:rPr>
                <w:rFonts w:asciiTheme="majorHAnsi" w:hAnsiTheme="majorHAnsi" w:cstheme="majorHAnsi"/>
                <w:szCs w:val="18"/>
              </w:rPr>
              <w:t>Northern Territory</w:t>
            </w:r>
            <w:r w:rsidRPr="00FA400C">
              <w:rPr>
                <w:rFonts w:asciiTheme="majorHAnsi" w:hAnsiTheme="majorHAnsi" w:cstheme="majorHAnsi"/>
                <w:szCs w:val="18"/>
              </w:rPr>
              <w:t xml:space="preserve"> once it becomes connected) </w:t>
            </w:r>
            <w:r w:rsidR="000C4BF1">
              <w:rPr>
                <w:rFonts w:asciiTheme="majorHAnsi" w:hAnsiTheme="majorHAnsi" w:cstheme="majorHAnsi"/>
                <w:szCs w:val="18"/>
              </w:rPr>
              <w:t xml:space="preserve">that will </w:t>
            </w:r>
            <w:r w:rsidRPr="00FA400C">
              <w:rPr>
                <w:rFonts w:asciiTheme="majorHAnsi" w:hAnsiTheme="majorHAnsi" w:cstheme="majorHAnsi"/>
                <w:szCs w:val="18"/>
              </w:rPr>
              <w:t>apply to the operators of all production, pipeline, compressor and storage facilities; and</w:t>
            </w:r>
          </w:p>
          <w:p w14:paraId="2B76B10F" w14:textId="77777777" w:rsidR="00DE0813" w:rsidRPr="00FA400C" w:rsidRDefault="00DE0813" w:rsidP="000C4BF1">
            <w:pPr>
              <w:pStyle w:val="TableBullet1"/>
              <w:spacing w:before="40" w:after="40" w:line="252" w:lineRule="auto"/>
              <w:rPr>
                <w:rFonts w:asciiTheme="majorHAnsi" w:hAnsiTheme="majorHAnsi" w:cstheme="majorHAnsi"/>
                <w:szCs w:val="18"/>
              </w:rPr>
            </w:pPr>
            <w:proofErr w:type="gramStart"/>
            <w:r w:rsidRPr="00FA400C">
              <w:rPr>
                <w:rFonts w:asciiTheme="majorHAnsi" w:hAnsiTheme="majorHAnsi" w:cstheme="majorHAnsi"/>
                <w:szCs w:val="18"/>
              </w:rPr>
              <w:t>a</w:t>
            </w:r>
            <w:proofErr w:type="gramEnd"/>
            <w:r w:rsidRPr="00FA400C">
              <w:rPr>
                <w:rFonts w:asciiTheme="majorHAnsi" w:hAnsiTheme="majorHAnsi" w:cstheme="majorHAnsi"/>
                <w:szCs w:val="18"/>
              </w:rPr>
              <w:t xml:space="preserve"> common nomination cut-off time of 3 pm (AEST) for pipelines and other facilities that will be subject to the capacity trading reforms.</w:t>
            </w:r>
          </w:p>
          <w:p w14:paraId="03734686" w14:textId="77777777" w:rsidR="00DE0813" w:rsidRPr="00FA400C" w:rsidRDefault="00DE0813" w:rsidP="000C4BF1">
            <w:pPr>
              <w:pStyle w:val="TableBullet1"/>
              <w:numPr>
                <w:ilvl w:val="0"/>
                <w:numId w:val="0"/>
              </w:numPr>
              <w:spacing w:before="40" w:after="40" w:line="252" w:lineRule="auto"/>
              <w:ind w:left="85"/>
              <w:rPr>
                <w:rFonts w:asciiTheme="majorHAnsi" w:hAnsiTheme="majorHAnsi" w:cstheme="majorHAnsi"/>
                <w:szCs w:val="18"/>
              </w:rPr>
            </w:pPr>
            <w:r w:rsidRPr="00FA400C">
              <w:rPr>
                <w:rFonts w:asciiTheme="majorHAnsi" w:hAnsiTheme="majorHAnsi" w:cstheme="majorHAnsi"/>
                <w:szCs w:val="18"/>
              </w:rPr>
              <w:t xml:space="preserve">The GMRG recommends these changes take effect </w:t>
            </w:r>
            <w:r>
              <w:rPr>
                <w:rFonts w:asciiTheme="majorHAnsi" w:hAnsiTheme="majorHAnsi" w:cstheme="majorHAnsi"/>
                <w:szCs w:val="18"/>
              </w:rPr>
              <w:t xml:space="preserve">by 1 October </w:t>
            </w:r>
            <w:r w:rsidRPr="00FA400C">
              <w:rPr>
                <w:rFonts w:asciiTheme="majorHAnsi" w:hAnsiTheme="majorHAnsi" w:cstheme="majorHAnsi"/>
                <w:szCs w:val="18"/>
              </w:rPr>
              <w:t>2019.</w:t>
            </w:r>
          </w:p>
        </w:tc>
      </w:tr>
    </w:tbl>
    <w:p w14:paraId="5C8B1D55" w14:textId="77777777" w:rsidR="00B065DE" w:rsidRPr="00D604A6" w:rsidRDefault="00B065DE" w:rsidP="004069EF">
      <w:pPr>
        <w:pStyle w:val="BodyText"/>
        <w:spacing w:before="0" w:after="0" w:line="240" w:lineRule="auto"/>
        <w:rPr>
          <w:sz w:val="2"/>
          <w:szCs w:val="2"/>
        </w:rPr>
      </w:pPr>
    </w:p>
    <w:p w14:paraId="5FF13525" w14:textId="77777777" w:rsidR="00B065DE" w:rsidRPr="00D604A6" w:rsidRDefault="00B065DE" w:rsidP="004069EF">
      <w:pPr>
        <w:pStyle w:val="BodyText"/>
        <w:widowControl w:val="0"/>
        <w:spacing w:before="0" w:after="0" w:line="240" w:lineRule="auto"/>
        <w:rPr>
          <w:sz w:val="2"/>
          <w:szCs w:val="2"/>
        </w:rPr>
        <w:sectPr w:rsidR="00B065DE" w:rsidRPr="00D604A6" w:rsidSect="00CD59B9">
          <w:pgSz w:w="16839" w:h="11907" w:orient="landscape" w:code="9"/>
          <w:pgMar w:top="-1560" w:right="1418" w:bottom="567" w:left="1701" w:header="425" w:footer="197" w:gutter="0"/>
          <w:cols w:space="708"/>
          <w:docGrid w:linePitch="360"/>
        </w:sectPr>
      </w:pPr>
    </w:p>
    <w:p w14:paraId="4390C287" w14:textId="77777777" w:rsidR="00523B6D" w:rsidRDefault="00523B6D" w:rsidP="00523B6D">
      <w:pPr>
        <w:pStyle w:val="BodyText"/>
        <w:spacing w:after="0" w:line="259" w:lineRule="auto"/>
      </w:pPr>
      <w:r>
        <w:lastRenderedPageBreak/>
        <w:t>In the GMRG’s view, the recommendations set out in Table A.2 will facilitate a greater level of secondary capacity trading by:</w:t>
      </w:r>
    </w:p>
    <w:p w14:paraId="23839913" w14:textId="77777777" w:rsidR="00523B6D" w:rsidRDefault="00523B6D" w:rsidP="00523B6D">
      <w:pPr>
        <w:pStyle w:val="ListBullet"/>
      </w:pPr>
      <w:r w:rsidRPr="000542A1">
        <w:t xml:space="preserve">making </w:t>
      </w:r>
      <w:r w:rsidRPr="00CA246F">
        <w:t>capacity products more fungible</w:t>
      </w:r>
      <w:r>
        <w:t xml:space="preserve"> and providing secondary shippers with access to secondary capacity on reasonable terms;</w:t>
      </w:r>
    </w:p>
    <w:p w14:paraId="0A943430" w14:textId="77777777" w:rsidR="00523B6D" w:rsidRDefault="00523B6D" w:rsidP="00523B6D">
      <w:pPr>
        <w:pStyle w:val="ListBullet"/>
      </w:pPr>
      <w:r>
        <w:t xml:space="preserve">removing other impediments to trade, including restraints on secondary capacity trading, restrictions on receipt and delivery point flexibility and differences in gas day start times and nomination cut-off times; </w:t>
      </w:r>
    </w:p>
    <w:p w14:paraId="72A2D772" w14:textId="77777777" w:rsidR="00523B6D" w:rsidRDefault="00523B6D" w:rsidP="00523B6D">
      <w:pPr>
        <w:pStyle w:val="ListBullet"/>
      </w:pPr>
      <w:r>
        <w:t>reducing search and transaction costs through the development of the standardised operational GTA; and</w:t>
      </w:r>
    </w:p>
    <w:p w14:paraId="6C303197" w14:textId="77777777" w:rsidR="00523B6D" w:rsidRDefault="00523B6D" w:rsidP="00523B6D">
      <w:pPr>
        <w:pStyle w:val="ListBullet"/>
        <w:rPr>
          <w:rFonts w:eastAsiaTheme="majorEastAsia" w:cs="Arial"/>
        </w:rPr>
      </w:pPr>
      <w:proofErr w:type="gramStart"/>
      <w:r>
        <w:rPr>
          <w:rFonts w:eastAsiaTheme="majorEastAsia" w:cs="Arial"/>
        </w:rPr>
        <w:t>instilling</w:t>
      </w:r>
      <w:proofErr w:type="gramEnd"/>
      <w:r>
        <w:rPr>
          <w:rFonts w:eastAsiaTheme="majorEastAsia" w:cs="Arial"/>
        </w:rPr>
        <w:t xml:space="preserve"> a greater level of confidence in the secondary capacity market through the implementation of robust governance arrangements for the standardisation reforms.</w:t>
      </w:r>
    </w:p>
    <w:p w14:paraId="0FEB4D64" w14:textId="77777777" w:rsidR="00523B6D" w:rsidRDefault="00523B6D" w:rsidP="00523B6D">
      <w:pPr>
        <w:pStyle w:val="BodyText"/>
      </w:pPr>
      <w:r>
        <w:t>The GMRG is also satisfied that the recommendations in this table:</w:t>
      </w:r>
    </w:p>
    <w:p w14:paraId="5104BF95" w14:textId="77777777" w:rsidR="00523B6D" w:rsidRDefault="00523B6D" w:rsidP="00523B6D">
      <w:pPr>
        <w:pStyle w:val="ListBullet"/>
        <w:spacing w:before="80" w:after="80"/>
      </w:pPr>
      <w:r>
        <w:t>appropriately reflect the legitimate business interests of service providers and other parties that have rights to use the transportation services;</w:t>
      </w:r>
    </w:p>
    <w:p w14:paraId="3E369131" w14:textId="77777777" w:rsidR="00523B6D" w:rsidRDefault="00523B6D" w:rsidP="00523B6D">
      <w:pPr>
        <w:pStyle w:val="ListBullet"/>
        <w:spacing w:before="80" w:after="80"/>
      </w:pPr>
      <w:r>
        <w:t>are operationally feasible and recognise the operational and technical requirements necessary for the safe and reliable operation of the transportation assets; and</w:t>
      </w:r>
    </w:p>
    <w:p w14:paraId="4E6CEB61" w14:textId="77777777" w:rsidR="00523B6D" w:rsidRDefault="00523B6D" w:rsidP="00523B6D">
      <w:pPr>
        <w:pStyle w:val="ListBullet"/>
        <w:spacing w:before="80" w:after="80"/>
      </w:pPr>
      <w:proofErr w:type="gramStart"/>
      <w:r>
        <w:t>will</w:t>
      </w:r>
      <w:proofErr w:type="gramEnd"/>
      <w:r>
        <w:t xml:space="preserve"> facilitate the efficient operation and use of the capacity trading platform and day-ahead auction. </w:t>
      </w:r>
    </w:p>
    <w:p w14:paraId="438EB544" w14:textId="77777777" w:rsidR="00523B6D" w:rsidRDefault="00523B6D" w:rsidP="00523B6D">
      <w:pPr>
        <w:pStyle w:val="BodyText"/>
        <w:spacing w:after="0" w:line="259" w:lineRule="auto"/>
        <w:rPr>
          <w:rFonts w:eastAsiaTheme="minorEastAsia"/>
        </w:rPr>
      </w:pPr>
      <w:r>
        <w:t xml:space="preserve">The recommendations can therefore be expected to contribute to the broader objective of the capacity trading reforms, which is to improve the efficiency with which transportation capacity is allocated and utilised and foster the development of a more liquid market for secondary capacity. They will also contribute to the Energy Council’s </w:t>
      </w:r>
      <w:r w:rsidRPr="00104AC3">
        <w:rPr>
          <w:i/>
        </w:rPr>
        <w:t>Vision</w:t>
      </w:r>
      <w:r w:rsidRPr="00104AC3">
        <w:t xml:space="preserve"> </w:t>
      </w:r>
      <w:r>
        <w:t xml:space="preserve">of the direction gas market development should take and a number of the outcomes set out in </w:t>
      </w:r>
      <w:r w:rsidRPr="003957AA">
        <w:rPr>
          <w:rFonts w:eastAsiaTheme="minorEastAsia"/>
        </w:rPr>
        <w:fldChar w:fldCharType="begin"/>
      </w:r>
      <w:r w:rsidRPr="003957AA">
        <w:rPr>
          <w:rFonts w:eastAsiaTheme="minorEastAsia"/>
        </w:rPr>
        <w:instrText xml:space="preserve"> REF _Ref482330736 \h  \* MERGEFORMAT </w:instrText>
      </w:r>
      <w:r w:rsidRPr="003957AA">
        <w:rPr>
          <w:rFonts w:eastAsiaTheme="minorEastAsia"/>
        </w:rPr>
      </w:r>
      <w:r w:rsidRPr="003957AA">
        <w:rPr>
          <w:rFonts w:eastAsiaTheme="minorEastAsia"/>
        </w:rPr>
        <w:fldChar w:fldCharType="separate"/>
      </w:r>
      <w:r w:rsidR="00761861" w:rsidRPr="00761861">
        <w:t xml:space="preserve">Box </w:t>
      </w:r>
      <w:r w:rsidR="00761861" w:rsidRPr="00761861">
        <w:rPr>
          <w:noProof/>
        </w:rPr>
        <w:t>1.1</w:t>
      </w:r>
      <w:r w:rsidRPr="003957AA">
        <w:rPr>
          <w:rFonts w:eastAsiaTheme="minorEastAsia"/>
        </w:rPr>
        <w:fldChar w:fldCharType="end"/>
      </w:r>
      <w:r>
        <w:rPr>
          <w:rFonts w:eastAsiaTheme="minorEastAsia"/>
        </w:rPr>
        <w:t xml:space="preserve"> (</w:t>
      </w:r>
      <w:r>
        <w:t>i.e. 2(b) and 3(b)</w:t>
      </w:r>
      <w:r>
        <w:rPr>
          <w:rFonts w:eastAsiaTheme="minorEastAsia"/>
        </w:rPr>
        <w:t xml:space="preserve">). </w:t>
      </w:r>
      <w:r w:rsidR="00B7362D">
        <w:rPr>
          <w:rFonts w:eastAsiaTheme="minorEastAsia"/>
        </w:rPr>
        <w:t>The GMRG is therefore satisfied that the recommendations will contribute to the achievement of the NGO.</w:t>
      </w:r>
    </w:p>
    <w:p w14:paraId="54CCC10D" w14:textId="77777777" w:rsidR="00523B6D" w:rsidRDefault="00523B6D" w:rsidP="00523B6D">
      <w:pPr>
        <w:pStyle w:val="BodyText"/>
      </w:pPr>
      <w:r>
        <w:t>The remainder of this part of the report provides further detail on the GMRG’s final recommendations on the standardisation related reforms and the feedback stakeholders provided in response to the consultation paper.</w:t>
      </w:r>
    </w:p>
    <w:p w14:paraId="4E16F746" w14:textId="77777777" w:rsidR="00523B6D" w:rsidRDefault="00523B6D" w:rsidP="00523B6D">
      <w:pPr>
        <w:pStyle w:val="BodyText"/>
      </w:pPr>
      <w:r>
        <w:br w:type="page"/>
      </w:r>
    </w:p>
    <w:p w14:paraId="62191351" w14:textId="77777777" w:rsidR="00A74F85" w:rsidRDefault="009134D7" w:rsidP="00523B6D">
      <w:pPr>
        <w:pStyle w:val="Heading1"/>
        <w:spacing w:after="120"/>
      </w:pPr>
      <w:bookmarkStart w:id="74" w:name="_Toc499542647"/>
      <w:r>
        <w:lastRenderedPageBreak/>
        <w:t>Standard</w:t>
      </w:r>
      <w:r w:rsidR="00EF39D4">
        <w:t>isation of Contracts</w:t>
      </w:r>
      <w:bookmarkEnd w:id="74"/>
    </w:p>
    <w:p w14:paraId="7706F0ED" w14:textId="77777777" w:rsidR="00A95EF5" w:rsidRDefault="00E07481" w:rsidP="00C17052">
      <w:pPr>
        <w:pStyle w:val="BodyText"/>
        <w:spacing w:before="0"/>
        <w:rPr>
          <w:rFonts w:asciiTheme="majorHAnsi" w:eastAsiaTheme="majorEastAsia" w:hAnsiTheme="majorHAnsi" w:cstheme="majorBidi"/>
        </w:rPr>
      </w:pPr>
      <w:r>
        <w:t xml:space="preserve">To facilitate a greater level of trade in secondary capacity, the AEMC recommended that </w:t>
      </w:r>
      <w:r w:rsidR="004E2D09">
        <w:t xml:space="preserve">capacity trades conducted through the exchange and auction be given effect through an operational transfer and that key terms and conditions in </w:t>
      </w:r>
      <w:r>
        <w:rPr>
          <w:rFonts w:asciiTheme="majorHAnsi" w:eastAsiaTheme="majorEastAsia" w:hAnsiTheme="majorHAnsi" w:cstheme="majorBidi"/>
        </w:rPr>
        <w:t xml:space="preserve">primary, secondary and operational </w:t>
      </w:r>
      <w:r w:rsidR="0043439D">
        <w:rPr>
          <w:rFonts w:asciiTheme="majorHAnsi" w:eastAsiaTheme="majorEastAsia" w:hAnsiTheme="majorHAnsi" w:cstheme="majorBidi"/>
        </w:rPr>
        <w:t xml:space="preserve">transportation agreements </w:t>
      </w:r>
      <w:r>
        <w:rPr>
          <w:rFonts w:asciiTheme="majorHAnsi" w:eastAsiaTheme="majorEastAsia" w:hAnsiTheme="majorHAnsi" w:cstheme="majorBidi"/>
        </w:rPr>
        <w:t>be standardised</w:t>
      </w:r>
      <w:r w:rsidR="00146643">
        <w:rPr>
          <w:rFonts w:asciiTheme="majorHAnsi" w:eastAsiaTheme="majorEastAsia" w:hAnsiTheme="majorHAnsi" w:cstheme="majorBidi"/>
        </w:rPr>
        <w:t>.</w:t>
      </w:r>
      <w:r w:rsidR="00146643" w:rsidRPr="72697DF9">
        <w:rPr>
          <w:rStyle w:val="FootnoteReference"/>
          <w:rFonts w:asciiTheme="majorHAnsi" w:eastAsiaTheme="majorEastAsia" w:hAnsiTheme="majorHAnsi" w:cstheme="majorBidi"/>
          <w:color w:val="000000"/>
        </w:rPr>
        <w:footnoteReference w:id="29"/>
      </w:r>
      <w:r w:rsidR="00146643" w:rsidRPr="72697DF9">
        <w:rPr>
          <w:rFonts w:asciiTheme="majorHAnsi" w:eastAsiaTheme="majorEastAsia" w:hAnsiTheme="majorHAnsi" w:cstheme="majorBidi"/>
        </w:rPr>
        <w:t xml:space="preserve"> </w:t>
      </w:r>
    </w:p>
    <w:p w14:paraId="6055A084" w14:textId="77777777" w:rsidR="005D21F6" w:rsidRDefault="005D21F6" w:rsidP="005D21F6">
      <w:pPr>
        <w:pStyle w:val="BodyText"/>
      </w:pPr>
      <w:r>
        <w:t xml:space="preserve">The GMRG has worked with </w:t>
      </w:r>
      <w:r w:rsidR="00C303EE">
        <w:t>the Standardisation project team, its legal advisor, JWS, and other stakeholders on these issues when</w:t>
      </w:r>
      <w:r w:rsidR="005E371B">
        <w:t xml:space="preserve"> developing its final recommendations</w:t>
      </w:r>
      <w:r>
        <w:t xml:space="preserve">. In doing so, the GMRG has considered: </w:t>
      </w:r>
    </w:p>
    <w:p w14:paraId="4FFBE1DC" w14:textId="77777777" w:rsidR="005D21F6" w:rsidRPr="004B1484" w:rsidRDefault="005D21F6" w:rsidP="005D21F6">
      <w:pPr>
        <w:pStyle w:val="ListBullet"/>
      </w:pPr>
      <w:r>
        <w:rPr>
          <w:rFonts w:eastAsiaTheme="majorEastAsia"/>
        </w:rPr>
        <w:t>t</w:t>
      </w:r>
      <w:r w:rsidRPr="004B1484">
        <w:t>he types of contracts that should be standardised;</w:t>
      </w:r>
    </w:p>
    <w:p w14:paraId="0D14A312" w14:textId="77777777" w:rsidR="005D21F6" w:rsidRPr="004B1484" w:rsidRDefault="005D21F6" w:rsidP="005D21F6">
      <w:pPr>
        <w:pStyle w:val="ListBullet"/>
      </w:pPr>
      <w:r w:rsidRPr="004B1484">
        <w:t xml:space="preserve">the level of standardisation that </w:t>
      </w:r>
      <w:r>
        <w:t xml:space="preserve">can </w:t>
      </w:r>
      <w:r w:rsidRPr="004B1484">
        <w:t xml:space="preserve">be achieved and </w:t>
      </w:r>
      <w:r>
        <w:t xml:space="preserve">the </w:t>
      </w:r>
      <w:r w:rsidRPr="004B1484">
        <w:t xml:space="preserve">form </w:t>
      </w:r>
      <w:r>
        <w:t xml:space="preserve">of </w:t>
      </w:r>
      <w:r w:rsidRPr="004B1484">
        <w:t>standardised provisions;</w:t>
      </w:r>
    </w:p>
    <w:p w14:paraId="6BC09D76" w14:textId="77777777" w:rsidR="005D21F6" w:rsidRPr="004B1484" w:rsidRDefault="005D21F6" w:rsidP="005D21F6">
      <w:pPr>
        <w:pStyle w:val="ListBullet"/>
      </w:pPr>
      <w:r w:rsidRPr="004B1484">
        <w:t xml:space="preserve">whether the standardised terms should be voluntary or mandatory; </w:t>
      </w:r>
    </w:p>
    <w:p w14:paraId="5765B359" w14:textId="77777777" w:rsidR="005D21F6" w:rsidRDefault="005D21F6" w:rsidP="005D21F6">
      <w:pPr>
        <w:pStyle w:val="ListBullet"/>
      </w:pPr>
      <w:r w:rsidRPr="004B1484">
        <w:t xml:space="preserve">the governance arrangements that could apply to the standardised </w:t>
      </w:r>
      <w:r>
        <w:t>contracts; and</w:t>
      </w:r>
    </w:p>
    <w:p w14:paraId="739E445B" w14:textId="77777777" w:rsidR="005D21F6" w:rsidRPr="004B1484" w:rsidRDefault="005D21F6" w:rsidP="005D21F6">
      <w:pPr>
        <w:pStyle w:val="ListBullet"/>
      </w:pPr>
      <w:proofErr w:type="gramStart"/>
      <w:r>
        <w:t>how</w:t>
      </w:r>
      <w:proofErr w:type="gramEnd"/>
      <w:r>
        <w:t xml:space="preserve"> service providers will recover the costs associated with these reforms. </w:t>
      </w:r>
    </w:p>
    <w:p w14:paraId="19B14DE6" w14:textId="77777777" w:rsidR="00916B98" w:rsidRDefault="005D21F6" w:rsidP="00E52016">
      <w:pPr>
        <w:pStyle w:val="BodyText"/>
      </w:pPr>
      <w:r>
        <w:t xml:space="preserve">These issues are discussed, in turn, in the remainder of this chapter, which </w:t>
      </w:r>
      <w:r w:rsidR="00A95EF5">
        <w:t xml:space="preserve">commences with an overview of the </w:t>
      </w:r>
      <w:r w:rsidR="00CA246F">
        <w:t>AEMC’s recommendations</w:t>
      </w:r>
      <w:r w:rsidR="00EB5597">
        <w:t xml:space="preserve">. </w:t>
      </w:r>
      <w:r w:rsidR="00916B98">
        <w:t xml:space="preserve"> </w:t>
      </w:r>
    </w:p>
    <w:p w14:paraId="42062754" w14:textId="77777777" w:rsidR="0088219D" w:rsidRDefault="00F543AE" w:rsidP="00C17052">
      <w:pPr>
        <w:pStyle w:val="Heading2"/>
        <w:spacing w:before="240" w:after="120"/>
      </w:pPr>
      <w:bookmarkStart w:id="75" w:name="_Toc499542648"/>
      <w:r>
        <w:t>AEMC r</w:t>
      </w:r>
      <w:r w:rsidR="0088219D">
        <w:t>ecommendations</w:t>
      </w:r>
      <w:bookmarkEnd w:id="75"/>
      <w:r w:rsidR="0088219D">
        <w:t xml:space="preserve"> </w:t>
      </w:r>
    </w:p>
    <w:p w14:paraId="011F92E4" w14:textId="77777777" w:rsidR="00845B97" w:rsidRDefault="00E07481" w:rsidP="00C17052">
      <w:pPr>
        <w:pStyle w:val="BodyText"/>
        <w:spacing w:before="0"/>
      </w:pPr>
      <w:r w:rsidRPr="00C900A9">
        <w:t xml:space="preserve">In </w:t>
      </w:r>
      <w:r w:rsidR="008A6399" w:rsidRPr="00C900A9">
        <w:t xml:space="preserve">the </w:t>
      </w:r>
      <w:r w:rsidR="005E3347" w:rsidRPr="005E3347">
        <w:rPr>
          <w:i/>
        </w:rPr>
        <w:t>East Coast Review</w:t>
      </w:r>
      <w:r w:rsidRPr="00C900A9">
        <w:t xml:space="preserve">, the AEMC </w:t>
      </w:r>
      <w:r w:rsidR="0091536A" w:rsidRPr="00C900A9">
        <w:t>recommended that</w:t>
      </w:r>
      <w:r w:rsidR="00845B97">
        <w:t>:</w:t>
      </w:r>
    </w:p>
    <w:p w14:paraId="3352F258" w14:textId="77777777" w:rsidR="00C900A9" w:rsidRDefault="006B6CBE" w:rsidP="00845B97">
      <w:pPr>
        <w:pStyle w:val="ListBullet"/>
        <w:rPr>
          <w:rFonts w:eastAsiaTheme="majorEastAsia"/>
        </w:rPr>
      </w:pPr>
      <w:r>
        <w:t xml:space="preserve">operational transfers be used to give effect to </w:t>
      </w:r>
      <w:r w:rsidR="00845B97">
        <w:t xml:space="preserve">capacity purchased through </w:t>
      </w:r>
      <w:r w:rsidR="0091536A" w:rsidRPr="00C900A9">
        <w:t xml:space="preserve">the capacity trading exchange </w:t>
      </w:r>
      <w:r w:rsidR="00C17052">
        <w:t xml:space="preserve">and </w:t>
      </w:r>
      <w:r w:rsidR="00845B97">
        <w:t xml:space="preserve">the </w:t>
      </w:r>
      <w:r w:rsidR="0091536A" w:rsidRPr="00C900A9">
        <w:t>day-ahead auction</w:t>
      </w:r>
      <w:r w:rsidR="00845B97">
        <w:rPr>
          <w:rFonts w:eastAsiaTheme="majorEastAsia"/>
        </w:rPr>
        <w:t>; and</w:t>
      </w:r>
    </w:p>
    <w:p w14:paraId="1027F8AF" w14:textId="77777777" w:rsidR="00845B97" w:rsidRDefault="006B6CBE" w:rsidP="00845B97">
      <w:pPr>
        <w:pStyle w:val="ListBullet"/>
        <w:rPr>
          <w:rFonts w:eastAsiaTheme="majorEastAsia"/>
        </w:rPr>
      </w:pPr>
      <w:proofErr w:type="gramStart"/>
      <w:r>
        <w:rPr>
          <w:rFonts w:eastAsiaTheme="majorEastAsia"/>
        </w:rPr>
        <w:t>bare</w:t>
      </w:r>
      <w:proofErr w:type="gramEnd"/>
      <w:r>
        <w:rPr>
          <w:rFonts w:eastAsiaTheme="majorEastAsia"/>
        </w:rPr>
        <w:t xml:space="preserve"> transfers be allowed in case</w:t>
      </w:r>
      <w:r w:rsidR="00916B98">
        <w:rPr>
          <w:rFonts w:eastAsiaTheme="majorEastAsia"/>
        </w:rPr>
        <w:t>s</w:t>
      </w:r>
      <w:r>
        <w:rPr>
          <w:rFonts w:eastAsiaTheme="majorEastAsia"/>
        </w:rPr>
        <w:t xml:space="preserve"> </w:t>
      </w:r>
      <w:r w:rsidR="00916B98">
        <w:rPr>
          <w:rFonts w:eastAsiaTheme="majorEastAsia"/>
        </w:rPr>
        <w:t xml:space="preserve">where </w:t>
      </w:r>
      <w:r w:rsidR="00845B97">
        <w:rPr>
          <w:rFonts w:eastAsiaTheme="majorEastAsia"/>
        </w:rPr>
        <w:t xml:space="preserve">capacity </w:t>
      </w:r>
      <w:r w:rsidR="00916B98">
        <w:rPr>
          <w:rFonts w:eastAsiaTheme="majorEastAsia"/>
        </w:rPr>
        <w:t xml:space="preserve">is </w:t>
      </w:r>
      <w:r w:rsidR="00845B97">
        <w:rPr>
          <w:rFonts w:eastAsiaTheme="majorEastAsia"/>
        </w:rPr>
        <w:t>purchased through bilateral trades</w:t>
      </w:r>
      <w:r w:rsidR="00916B98">
        <w:rPr>
          <w:rFonts w:eastAsiaTheme="majorEastAsia"/>
        </w:rPr>
        <w:t xml:space="preserve">, subject to the caveat that the </w:t>
      </w:r>
      <w:r>
        <w:rPr>
          <w:rFonts w:eastAsiaTheme="majorEastAsia"/>
        </w:rPr>
        <w:t>sellers</w:t>
      </w:r>
      <w:r w:rsidR="00845B97">
        <w:rPr>
          <w:rFonts w:eastAsiaTheme="majorEastAsia"/>
        </w:rPr>
        <w:t xml:space="preserve"> </w:t>
      </w:r>
      <w:r w:rsidR="00916B98">
        <w:rPr>
          <w:rFonts w:eastAsiaTheme="majorEastAsia"/>
        </w:rPr>
        <w:t xml:space="preserve">of secondary capacity </w:t>
      </w:r>
      <w:r>
        <w:rPr>
          <w:rFonts w:eastAsiaTheme="majorEastAsia"/>
        </w:rPr>
        <w:t xml:space="preserve">must </w:t>
      </w:r>
      <w:r w:rsidR="00845B97">
        <w:rPr>
          <w:rFonts w:eastAsiaTheme="majorEastAsia"/>
        </w:rPr>
        <w:t xml:space="preserve">offer the buyer the option </w:t>
      </w:r>
      <w:r>
        <w:rPr>
          <w:rFonts w:eastAsiaTheme="majorEastAsia"/>
        </w:rPr>
        <w:t xml:space="preserve">of using </w:t>
      </w:r>
      <w:r w:rsidR="00845B97">
        <w:rPr>
          <w:rFonts w:eastAsiaTheme="majorEastAsia"/>
        </w:rPr>
        <w:t xml:space="preserve">an operational transfer. </w:t>
      </w:r>
    </w:p>
    <w:p w14:paraId="687C00F7" w14:textId="77777777" w:rsidR="00032806" w:rsidRPr="00032806" w:rsidRDefault="00032806" w:rsidP="00032806">
      <w:pPr>
        <w:pStyle w:val="ListBullet"/>
        <w:numPr>
          <w:ilvl w:val="0"/>
          <w:numId w:val="0"/>
        </w:numPr>
      </w:pPr>
      <w:r>
        <w:t>In making this recommendation, the AEMC noted that</w:t>
      </w:r>
      <w:r w:rsidR="00825C03">
        <w:t xml:space="preserve"> operational transfers will</w:t>
      </w:r>
      <w:r w:rsidRPr="00032806">
        <w:t>:</w:t>
      </w:r>
      <w:r>
        <w:rPr>
          <w:rStyle w:val="FootnoteReference"/>
        </w:rPr>
        <w:footnoteReference w:id="30"/>
      </w:r>
      <w:r w:rsidRPr="00032806">
        <w:t xml:space="preserve"> </w:t>
      </w:r>
    </w:p>
    <w:p w14:paraId="783DEC71" w14:textId="77777777" w:rsidR="00032806" w:rsidRPr="00032806" w:rsidRDefault="00032806" w:rsidP="00032806">
      <w:pPr>
        <w:pStyle w:val="ListBullet"/>
      </w:pPr>
      <w:r w:rsidRPr="00032806">
        <w:t xml:space="preserve">provide </w:t>
      </w:r>
      <w:r w:rsidR="00825C03">
        <w:t xml:space="preserve">secondary shippers </w:t>
      </w:r>
      <w:r w:rsidRPr="00032806">
        <w:t>greater anonymity in terms of nominations and its use of the pipeline</w:t>
      </w:r>
      <w:r w:rsidR="00825C03">
        <w:t>, which may encourage more trade</w:t>
      </w:r>
      <w:r>
        <w:t>; and</w:t>
      </w:r>
    </w:p>
    <w:p w14:paraId="7AA49200" w14:textId="77777777" w:rsidR="00032806" w:rsidRPr="00C17052" w:rsidRDefault="00032806" w:rsidP="00032806">
      <w:pPr>
        <w:pStyle w:val="ListBullet"/>
        <w:rPr>
          <w:rFonts w:eastAsiaTheme="majorEastAsia"/>
        </w:rPr>
      </w:pPr>
      <w:proofErr w:type="gramStart"/>
      <w:r w:rsidRPr="00032806">
        <w:t>alleviate</w:t>
      </w:r>
      <w:proofErr w:type="gramEnd"/>
      <w:r w:rsidRPr="00032806">
        <w:t xml:space="preserve"> </w:t>
      </w:r>
      <w:r w:rsidR="00825C03">
        <w:t xml:space="preserve">primary shippers </w:t>
      </w:r>
      <w:r w:rsidRPr="00032806">
        <w:t xml:space="preserve">of the costs that it would otherwise incur in administering the trade and monitoring the </w:t>
      </w:r>
      <w:r w:rsidR="00825C03">
        <w:t>secondary shipper’s</w:t>
      </w:r>
      <w:r w:rsidRPr="00032806">
        <w:t xml:space="preserve"> compliance with various obligations,</w:t>
      </w:r>
      <w:r w:rsidRPr="00032806">
        <w:rPr>
          <w:sz w:val="18"/>
          <w:szCs w:val="18"/>
        </w:rPr>
        <w:t xml:space="preserve"> </w:t>
      </w:r>
      <w:r w:rsidRPr="00032806">
        <w:t xml:space="preserve">which should encourage more primary </w:t>
      </w:r>
      <w:r w:rsidR="00825C03">
        <w:t xml:space="preserve">shippers </w:t>
      </w:r>
      <w:r w:rsidRPr="00032806">
        <w:t>to sell any spare capacity they have.</w:t>
      </w:r>
    </w:p>
    <w:p w14:paraId="1681FA05" w14:textId="77777777" w:rsidR="00C17052" w:rsidRDefault="00C17052" w:rsidP="00C17052">
      <w:pPr>
        <w:pStyle w:val="BodyText"/>
        <w:rPr>
          <w:rFonts w:eastAsiaTheme="majorEastAsia"/>
        </w:rPr>
      </w:pPr>
      <w:r>
        <w:rPr>
          <w:rFonts w:eastAsiaTheme="majorEastAsia"/>
        </w:rPr>
        <w:t xml:space="preserve">Further detail on operational and bare transfers can be found in </w:t>
      </w:r>
      <w:r w:rsidRPr="00C900A9">
        <w:rPr>
          <w:rFonts w:eastAsiaTheme="majorEastAsia"/>
        </w:rPr>
        <w:fldChar w:fldCharType="begin"/>
      </w:r>
      <w:r w:rsidRPr="00C900A9">
        <w:rPr>
          <w:rFonts w:eastAsiaTheme="majorEastAsia"/>
        </w:rPr>
        <w:instrText xml:space="preserve"> REF _Ref489586096 \h </w:instrText>
      </w:r>
      <w:r>
        <w:rPr>
          <w:rFonts w:eastAsiaTheme="majorEastAsia"/>
        </w:rPr>
        <w:instrText xml:space="preserve"> \* MERGEFORMAT </w:instrText>
      </w:r>
      <w:r w:rsidRPr="00C900A9">
        <w:rPr>
          <w:rFonts w:eastAsiaTheme="majorEastAsia"/>
        </w:rPr>
      </w:r>
      <w:r w:rsidRPr="00C900A9">
        <w:rPr>
          <w:rFonts w:eastAsiaTheme="majorEastAsia"/>
        </w:rPr>
        <w:fldChar w:fldCharType="separate"/>
      </w:r>
      <w:r w:rsidR="00761861" w:rsidRPr="00EC75C1">
        <w:t xml:space="preserve">Box </w:t>
      </w:r>
      <w:r w:rsidR="00761861">
        <w:rPr>
          <w:noProof/>
        </w:rPr>
        <w:t>2.1</w:t>
      </w:r>
      <w:r w:rsidRPr="00C900A9">
        <w:rPr>
          <w:rFonts w:eastAsiaTheme="majorEastAsia"/>
        </w:rPr>
        <w:fldChar w:fldCharType="end"/>
      </w:r>
      <w:r>
        <w:rPr>
          <w:rFonts w:eastAsiaTheme="majorEastAsia"/>
        </w:rPr>
        <w:t xml:space="preserve">. </w:t>
      </w:r>
    </w:p>
    <w:p w14:paraId="13615A93" w14:textId="77777777" w:rsidR="003F10B9" w:rsidRDefault="0091536A" w:rsidP="0004619B">
      <w:pPr>
        <w:pStyle w:val="BodyText"/>
        <w:rPr>
          <w:rFonts w:eastAsiaTheme="majorEastAsia"/>
        </w:rPr>
      </w:pPr>
      <w:r w:rsidRPr="00C900A9">
        <w:rPr>
          <w:rFonts w:eastAsiaTheme="majorEastAsia"/>
        </w:rPr>
        <w:t xml:space="preserve">The AEMC also recommended that </w:t>
      </w:r>
      <w:bookmarkStart w:id="76" w:name="_Hlk498166728"/>
      <w:r w:rsidR="00A82787" w:rsidRPr="00C900A9">
        <w:rPr>
          <w:rFonts w:eastAsiaTheme="majorEastAsia"/>
        </w:rPr>
        <w:t xml:space="preserve">the operational, prudential and other contractual provisions </w:t>
      </w:r>
      <w:r w:rsidR="006B6CBE">
        <w:t xml:space="preserve">governing the relationship between the contracting parties and their contractual obligations </w:t>
      </w:r>
      <w:r w:rsidR="008B3812" w:rsidRPr="00C900A9">
        <w:rPr>
          <w:rFonts w:eastAsiaTheme="majorEastAsia"/>
        </w:rPr>
        <w:t xml:space="preserve">in </w:t>
      </w:r>
      <w:r w:rsidR="00C900A9">
        <w:rPr>
          <w:rFonts w:eastAsiaTheme="majorEastAsia"/>
        </w:rPr>
        <w:t>primary</w:t>
      </w:r>
      <w:r w:rsidR="00C203FF">
        <w:rPr>
          <w:rFonts w:eastAsiaTheme="majorEastAsia"/>
        </w:rPr>
        <w:t xml:space="preserve"> GTAs</w:t>
      </w:r>
      <w:r w:rsidR="00C900A9">
        <w:rPr>
          <w:rFonts w:eastAsiaTheme="majorEastAsia"/>
        </w:rPr>
        <w:t xml:space="preserve">, operational </w:t>
      </w:r>
      <w:r w:rsidR="00C203FF">
        <w:rPr>
          <w:rFonts w:eastAsiaTheme="majorEastAsia"/>
        </w:rPr>
        <w:t xml:space="preserve">GTAs </w:t>
      </w:r>
      <w:r w:rsidR="008576DB">
        <w:rPr>
          <w:rFonts w:eastAsiaTheme="majorEastAsia"/>
        </w:rPr>
        <w:t xml:space="preserve">and secondary capacity agreements </w:t>
      </w:r>
      <w:r w:rsidR="00C900A9">
        <w:rPr>
          <w:rFonts w:eastAsiaTheme="majorEastAsia"/>
        </w:rPr>
        <w:t>be standardised</w:t>
      </w:r>
      <w:bookmarkEnd w:id="76"/>
      <w:r w:rsidR="00A874AB">
        <w:rPr>
          <w:rFonts w:eastAsiaTheme="majorEastAsia"/>
        </w:rPr>
        <w:t xml:space="preserve"> </w:t>
      </w:r>
      <w:r w:rsidR="00A874AB" w:rsidRPr="00C900A9">
        <w:rPr>
          <w:rFonts w:eastAsiaTheme="majorEastAsia"/>
        </w:rPr>
        <w:t xml:space="preserve">(see </w:t>
      </w:r>
      <w:r w:rsidR="00DE0813">
        <w:rPr>
          <w:rFonts w:eastAsiaTheme="majorEastAsia"/>
        </w:rPr>
        <w:fldChar w:fldCharType="begin"/>
      </w:r>
      <w:r w:rsidR="00DE0813">
        <w:rPr>
          <w:rFonts w:eastAsiaTheme="majorEastAsia"/>
        </w:rPr>
        <w:instrText xml:space="preserve"> REF _Ref487634854 \h </w:instrText>
      </w:r>
      <w:r w:rsidR="00DE0813">
        <w:rPr>
          <w:rFonts w:eastAsiaTheme="majorEastAsia"/>
        </w:rPr>
      </w:r>
      <w:r w:rsidR="00DE0813">
        <w:rPr>
          <w:rFonts w:eastAsiaTheme="majorEastAsia"/>
        </w:rPr>
        <w:fldChar w:fldCharType="separate"/>
      </w:r>
      <w:r w:rsidR="00761861" w:rsidRPr="00EC75C1">
        <w:t xml:space="preserve">Box </w:t>
      </w:r>
      <w:r w:rsidR="00761861">
        <w:rPr>
          <w:noProof/>
        </w:rPr>
        <w:t>4</w:t>
      </w:r>
      <w:r w:rsidR="00761861">
        <w:t>.</w:t>
      </w:r>
      <w:r w:rsidR="00761861">
        <w:rPr>
          <w:noProof/>
        </w:rPr>
        <w:t>1</w:t>
      </w:r>
      <w:r w:rsidR="00DE0813">
        <w:rPr>
          <w:rFonts w:eastAsiaTheme="majorEastAsia"/>
        </w:rPr>
        <w:fldChar w:fldCharType="end"/>
      </w:r>
      <w:r w:rsidR="00DE0813">
        <w:rPr>
          <w:rFonts w:eastAsiaTheme="majorEastAsia"/>
        </w:rPr>
        <w:t xml:space="preserve"> </w:t>
      </w:r>
      <w:r w:rsidR="008576DB">
        <w:rPr>
          <w:rFonts w:eastAsiaTheme="majorEastAsia"/>
        </w:rPr>
        <w:t>for more detail on contract terms</w:t>
      </w:r>
      <w:r w:rsidR="00A874AB">
        <w:rPr>
          <w:rFonts w:eastAsiaTheme="majorEastAsia"/>
        </w:rPr>
        <w:t>)</w:t>
      </w:r>
      <w:r w:rsidR="00C900A9">
        <w:rPr>
          <w:rFonts w:eastAsiaTheme="majorEastAsia"/>
        </w:rPr>
        <w:t>.</w:t>
      </w:r>
      <w:r w:rsidRPr="00C900A9">
        <w:rPr>
          <w:rStyle w:val="FootnoteReference"/>
          <w:rFonts w:asciiTheme="majorHAnsi" w:eastAsiaTheme="majorEastAsia" w:hAnsiTheme="majorHAnsi" w:cstheme="majorBidi"/>
          <w:color w:val="000000"/>
        </w:rPr>
        <w:t xml:space="preserve"> </w:t>
      </w:r>
      <w:r w:rsidR="00825C03">
        <w:rPr>
          <w:rFonts w:asciiTheme="majorHAnsi" w:eastAsiaTheme="majorEastAsia" w:hAnsiTheme="majorHAnsi" w:cstheme="majorBidi"/>
          <w:color w:val="000000"/>
        </w:rPr>
        <w:t>However, i</w:t>
      </w:r>
      <w:r w:rsidR="003F10B9">
        <w:rPr>
          <w:rFonts w:asciiTheme="majorHAnsi" w:eastAsiaTheme="majorEastAsia" w:hAnsiTheme="majorHAnsi" w:cstheme="majorBidi"/>
          <w:color w:val="000000"/>
        </w:rPr>
        <w:t xml:space="preserve">n response to feedback provided by a number of stakeholders in the </w:t>
      </w:r>
      <w:r w:rsidR="005E3347" w:rsidRPr="005E3347">
        <w:rPr>
          <w:rFonts w:asciiTheme="majorHAnsi" w:eastAsiaTheme="majorEastAsia" w:hAnsiTheme="majorHAnsi" w:cstheme="majorBidi"/>
          <w:i/>
          <w:color w:val="000000"/>
        </w:rPr>
        <w:t>East Coast Review</w:t>
      </w:r>
      <w:r w:rsidR="003F10B9">
        <w:rPr>
          <w:rFonts w:asciiTheme="majorHAnsi" w:eastAsiaTheme="majorEastAsia" w:hAnsiTheme="majorHAnsi" w:cstheme="majorBidi"/>
          <w:color w:val="000000"/>
        </w:rPr>
        <w:t>, the AEMC noted</w:t>
      </w:r>
      <w:r w:rsidR="00825C03">
        <w:rPr>
          <w:rFonts w:asciiTheme="majorHAnsi" w:eastAsiaTheme="majorEastAsia" w:hAnsiTheme="majorHAnsi" w:cstheme="majorBidi"/>
          <w:color w:val="000000"/>
        </w:rPr>
        <w:t xml:space="preserve"> </w:t>
      </w:r>
      <w:r w:rsidR="003F10B9">
        <w:rPr>
          <w:rFonts w:asciiTheme="majorHAnsi" w:eastAsiaTheme="majorEastAsia" w:hAnsiTheme="majorHAnsi" w:cstheme="majorBidi"/>
          <w:color w:val="000000"/>
        </w:rPr>
        <w:t>that it may be appropriate to</w:t>
      </w:r>
      <w:r w:rsidR="00C17052">
        <w:rPr>
          <w:rFonts w:asciiTheme="majorHAnsi" w:eastAsiaTheme="majorEastAsia" w:hAnsiTheme="majorHAnsi" w:cstheme="majorBidi"/>
          <w:color w:val="000000"/>
        </w:rPr>
        <w:t xml:space="preserve"> </w:t>
      </w:r>
      <w:r w:rsidR="003F10B9">
        <w:rPr>
          <w:rFonts w:eastAsiaTheme="majorEastAsia"/>
        </w:rPr>
        <w:t xml:space="preserve">prioritise the standardisation of operational GTAs and </w:t>
      </w:r>
      <w:r w:rsidR="008576DB">
        <w:rPr>
          <w:rFonts w:eastAsiaTheme="majorEastAsia"/>
        </w:rPr>
        <w:lastRenderedPageBreak/>
        <w:t xml:space="preserve">secondary capacity agreements </w:t>
      </w:r>
      <w:r w:rsidR="003F10B9">
        <w:rPr>
          <w:rFonts w:eastAsiaTheme="majorEastAsia"/>
        </w:rPr>
        <w:t>(</w:t>
      </w:r>
      <w:r w:rsidR="00EF1EB5">
        <w:rPr>
          <w:rFonts w:eastAsiaTheme="majorEastAsia"/>
        </w:rPr>
        <w:t xml:space="preserve">i.e. </w:t>
      </w:r>
      <w:r w:rsidR="003F10B9">
        <w:rPr>
          <w:rFonts w:eastAsiaTheme="majorEastAsia"/>
        </w:rPr>
        <w:t>CTAs</w:t>
      </w:r>
      <w:r w:rsidR="00EF1EB5">
        <w:rPr>
          <w:rFonts w:eastAsiaTheme="majorEastAsia"/>
        </w:rPr>
        <w:t>, the Exchange Agreement and Auction Agreement</w:t>
      </w:r>
      <w:r w:rsidR="003F10B9">
        <w:rPr>
          <w:rFonts w:eastAsiaTheme="majorEastAsia"/>
        </w:rPr>
        <w:t>)</w:t>
      </w:r>
      <w:r w:rsidR="00C17052">
        <w:rPr>
          <w:rFonts w:eastAsiaTheme="majorEastAsia"/>
        </w:rPr>
        <w:t xml:space="preserve">. </w:t>
      </w:r>
    </w:p>
    <w:p w14:paraId="18DC7B31" w14:textId="77777777" w:rsidR="0004619B" w:rsidRDefault="0004619B" w:rsidP="0004619B">
      <w:pPr>
        <w:pStyle w:val="BodyText"/>
      </w:pPr>
      <w:r>
        <w:t xml:space="preserve">Elaborating further on this recommendation, the AEMC noted that, with the exception of the </w:t>
      </w:r>
      <w:r w:rsidR="00F1710A">
        <w:t>exchange-based</w:t>
      </w:r>
      <w:r>
        <w:t xml:space="preserve"> capacity trading and auction products, it did not expect the service related provisions in transportation contracts to be standardised. It did, however, think there would be value in making capacity more fungible and reducing search and transaction costs by standardising the operational, prudential and other contract provisions.</w:t>
      </w:r>
      <w:r>
        <w:rPr>
          <w:rStyle w:val="FootnoteReference"/>
        </w:rPr>
        <w:footnoteReference w:id="31"/>
      </w:r>
      <w:r>
        <w:t xml:space="preserve"> At a minimum, the AEMC expected common standards to be developed for </w:t>
      </w:r>
      <w:r w:rsidR="00DF0551">
        <w:t xml:space="preserve">the </w:t>
      </w:r>
      <w:r>
        <w:t>provisions governing the relationships between contracting parties and their contractual obligations, and many of the operational provisions. It did, however, acknowledge that it may be more difficult to develop common standards for more technical provisions, such as imbalance and overrun allowances, because these can depend on the physical characteristics and operating conditions of the pipeline.</w:t>
      </w:r>
      <w:r>
        <w:rPr>
          <w:rStyle w:val="FootnoteReference"/>
        </w:rPr>
        <w:footnoteReference w:id="32"/>
      </w:r>
      <w:r>
        <w:t xml:space="preserve"> </w:t>
      </w:r>
      <w:bookmarkStart w:id="77" w:name="_Hlk490589006"/>
    </w:p>
    <w:tbl>
      <w:tblPr>
        <w:tblStyle w:val="PullOutBoxTable"/>
        <w:tblW w:w="5000" w:type="pct"/>
        <w:tblLook w:val="0600" w:firstRow="0" w:lastRow="0" w:firstColumn="0" w:lastColumn="0" w:noHBand="1" w:noVBand="1"/>
        <w:tblCaption w:val="Box 4.1"/>
        <w:tblDescription w:val="Contract terms "/>
      </w:tblPr>
      <w:tblGrid>
        <w:gridCol w:w="8788"/>
      </w:tblGrid>
      <w:tr w:rsidR="002A4FF3" w:rsidRPr="00AE6D62" w14:paraId="39F18C2A" w14:textId="77777777" w:rsidTr="00D25BEA">
        <w:trPr>
          <w:tblHeader/>
        </w:trPr>
        <w:tc>
          <w:tcPr>
            <w:tcW w:w="5000" w:type="pct"/>
            <w:shd w:val="clear" w:color="auto" w:fill="auto"/>
          </w:tcPr>
          <w:p w14:paraId="7E6D15FD" w14:textId="027D3AD3" w:rsidR="002A4FF3" w:rsidRPr="002A4FF3" w:rsidRDefault="002A4FF3" w:rsidP="002A4FF3">
            <w:pPr>
              <w:pStyle w:val="Default"/>
              <w:keepNext/>
              <w:rPr>
                <w:rFonts w:asciiTheme="majorHAnsi" w:eastAsiaTheme="majorEastAsia" w:hAnsiTheme="majorHAnsi" w:cstheme="majorBidi"/>
                <w:b/>
                <w:sz w:val="20"/>
                <w:szCs w:val="20"/>
              </w:rPr>
            </w:pPr>
            <w:bookmarkStart w:id="78" w:name="_Ref487634854"/>
            <w:bookmarkEnd w:id="77"/>
            <w:r w:rsidRPr="002A4FF3">
              <w:rPr>
                <w:b/>
                <w:sz w:val="22"/>
              </w:rPr>
              <w:t xml:space="preserve">Box </w:t>
            </w:r>
            <w:r w:rsidRPr="002A4FF3">
              <w:rPr>
                <w:b/>
                <w:sz w:val="22"/>
              </w:rPr>
              <w:fldChar w:fldCharType="begin"/>
            </w:r>
            <w:r w:rsidRPr="002A4FF3">
              <w:rPr>
                <w:b/>
                <w:sz w:val="22"/>
              </w:rPr>
              <w:instrText xml:space="preserve"> STYLEREF 1 \s </w:instrText>
            </w:r>
            <w:r w:rsidRPr="002A4FF3">
              <w:rPr>
                <w:b/>
                <w:sz w:val="22"/>
              </w:rPr>
              <w:fldChar w:fldCharType="separate"/>
            </w:r>
            <w:r w:rsidRPr="002A4FF3">
              <w:rPr>
                <w:b/>
                <w:noProof/>
                <w:sz w:val="22"/>
              </w:rPr>
              <w:t>4</w:t>
            </w:r>
            <w:r w:rsidRPr="002A4FF3">
              <w:rPr>
                <w:b/>
                <w:noProof/>
                <w:sz w:val="22"/>
              </w:rPr>
              <w:fldChar w:fldCharType="end"/>
            </w:r>
            <w:r w:rsidRPr="002A4FF3">
              <w:rPr>
                <w:b/>
                <w:sz w:val="22"/>
              </w:rPr>
              <w:t>.</w:t>
            </w:r>
            <w:r w:rsidRPr="002A4FF3">
              <w:rPr>
                <w:b/>
                <w:sz w:val="22"/>
              </w:rPr>
              <w:fldChar w:fldCharType="begin"/>
            </w:r>
            <w:r w:rsidRPr="002A4FF3">
              <w:rPr>
                <w:b/>
                <w:sz w:val="22"/>
              </w:rPr>
              <w:instrText xml:space="preserve"> SEQ Box \* ARABIC \s 1 </w:instrText>
            </w:r>
            <w:r w:rsidRPr="002A4FF3">
              <w:rPr>
                <w:b/>
                <w:sz w:val="22"/>
              </w:rPr>
              <w:fldChar w:fldCharType="separate"/>
            </w:r>
            <w:r w:rsidRPr="002A4FF3">
              <w:rPr>
                <w:b/>
                <w:noProof/>
                <w:sz w:val="22"/>
              </w:rPr>
              <w:t>1</w:t>
            </w:r>
            <w:r w:rsidRPr="002A4FF3">
              <w:rPr>
                <w:b/>
                <w:noProof/>
                <w:sz w:val="22"/>
              </w:rPr>
              <w:fldChar w:fldCharType="end"/>
            </w:r>
            <w:bookmarkEnd w:id="78"/>
            <w:r w:rsidRPr="002A4FF3">
              <w:rPr>
                <w:b/>
                <w:sz w:val="22"/>
              </w:rPr>
              <w:t xml:space="preserve">: </w:t>
            </w:r>
            <w:r w:rsidRPr="002A4FF3">
              <w:rPr>
                <w:b/>
                <w:bCs/>
                <w:sz w:val="22"/>
              </w:rPr>
              <w:t>Contract terms</w:t>
            </w:r>
          </w:p>
        </w:tc>
      </w:tr>
      <w:tr w:rsidR="00EC75C1" w:rsidRPr="00AE6D62" w14:paraId="0A35A2DC" w14:textId="77777777" w:rsidTr="00D25BEA">
        <w:trPr>
          <w:tblHeader/>
        </w:trPr>
        <w:tc>
          <w:tcPr>
            <w:tcW w:w="5000" w:type="pct"/>
          </w:tcPr>
          <w:p w14:paraId="7EB027A6" w14:textId="08EABC9C" w:rsidR="00EC75C1" w:rsidRPr="00AE6D62" w:rsidRDefault="00EC75C1" w:rsidP="00857698">
            <w:pPr>
              <w:pStyle w:val="Default"/>
              <w:keepNext/>
              <w:spacing w:after="40"/>
              <w:rPr>
                <w:rFonts w:asciiTheme="majorHAnsi" w:eastAsiaTheme="majorEastAsia" w:hAnsiTheme="majorHAnsi" w:cstheme="majorBidi"/>
                <w:sz w:val="20"/>
                <w:szCs w:val="20"/>
              </w:rPr>
            </w:pPr>
            <w:r w:rsidRPr="72697DF9">
              <w:rPr>
                <w:rFonts w:asciiTheme="majorHAnsi" w:eastAsiaTheme="majorEastAsia" w:hAnsiTheme="majorHAnsi" w:cstheme="majorBidi"/>
                <w:sz w:val="20"/>
                <w:szCs w:val="20"/>
              </w:rPr>
              <w:t xml:space="preserve">A capacity holder’s right to access pipeline or compression capacity will usually be defined by reference to the service related elements, which include: </w:t>
            </w:r>
          </w:p>
          <w:p w14:paraId="46EDFAB9" w14:textId="77777777" w:rsidR="00EC75C1" w:rsidRPr="00AE6D62" w:rsidRDefault="00EC75C1" w:rsidP="00857698">
            <w:pPr>
              <w:pStyle w:val="ListBullet"/>
              <w:keepNext/>
              <w:tabs>
                <w:tab w:val="num" w:pos="357"/>
              </w:tabs>
              <w:spacing w:before="80" w:after="40"/>
              <w:rPr>
                <w:rFonts w:asciiTheme="majorHAnsi" w:eastAsiaTheme="majorEastAsia" w:hAnsiTheme="majorHAnsi" w:cstheme="majorBidi"/>
                <w:sz w:val="20"/>
                <w:szCs w:val="20"/>
              </w:rPr>
            </w:pPr>
            <w:r w:rsidRPr="72697DF9">
              <w:rPr>
                <w:rFonts w:asciiTheme="majorHAnsi" w:eastAsiaTheme="majorEastAsia" w:hAnsiTheme="majorHAnsi" w:cstheme="majorBidi"/>
                <w:sz w:val="20"/>
                <w:szCs w:val="20"/>
              </w:rPr>
              <w:t xml:space="preserve">the type of service that the capacity is to be used for (e.g. transportation services (forward haul, backhaul or bi-directional), </w:t>
            </w:r>
            <w:r w:rsidR="00C76541">
              <w:rPr>
                <w:rFonts w:asciiTheme="majorHAnsi" w:eastAsiaTheme="majorEastAsia" w:hAnsiTheme="majorHAnsi" w:cstheme="majorBidi"/>
                <w:sz w:val="20"/>
                <w:szCs w:val="20"/>
              </w:rPr>
              <w:t xml:space="preserve">stand-alone compression </w:t>
            </w:r>
            <w:r w:rsidRPr="72697DF9">
              <w:rPr>
                <w:rFonts w:asciiTheme="majorHAnsi" w:eastAsiaTheme="majorEastAsia" w:hAnsiTheme="majorHAnsi" w:cstheme="majorBidi"/>
                <w:sz w:val="20"/>
                <w:szCs w:val="20"/>
              </w:rPr>
              <w:t xml:space="preserve">services or storage services); </w:t>
            </w:r>
          </w:p>
          <w:p w14:paraId="32B868F2" w14:textId="77777777" w:rsidR="00EC75C1" w:rsidRPr="00AE6D62" w:rsidRDefault="00EC75C1" w:rsidP="00857698">
            <w:pPr>
              <w:pStyle w:val="ListBullet"/>
              <w:keepNext/>
              <w:tabs>
                <w:tab w:val="num" w:pos="357"/>
              </w:tabs>
              <w:spacing w:before="80" w:after="40"/>
              <w:rPr>
                <w:rFonts w:asciiTheme="majorHAnsi" w:eastAsiaTheme="majorEastAsia" w:hAnsiTheme="majorHAnsi" w:cstheme="majorBidi"/>
                <w:sz w:val="20"/>
                <w:szCs w:val="20"/>
              </w:rPr>
            </w:pPr>
            <w:r w:rsidRPr="72697DF9">
              <w:rPr>
                <w:rFonts w:asciiTheme="majorHAnsi" w:eastAsiaTheme="majorEastAsia" w:hAnsiTheme="majorHAnsi" w:cstheme="majorBidi"/>
                <w:sz w:val="20"/>
                <w:szCs w:val="20"/>
              </w:rPr>
              <w:t xml:space="preserve">the firmness of the seller’s obligation to provide the service (e.g. firm, as available or interruptible) and the priority in scheduling and curtailment; </w:t>
            </w:r>
          </w:p>
          <w:p w14:paraId="679EC84E" w14:textId="77777777" w:rsidR="00EC75C1" w:rsidRPr="00AE6D62" w:rsidRDefault="00EC75C1" w:rsidP="00857698">
            <w:pPr>
              <w:pStyle w:val="ListBullet"/>
              <w:keepNext/>
              <w:tabs>
                <w:tab w:val="num" w:pos="357"/>
              </w:tabs>
              <w:spacing w:before="80" w:after="40"/>
              <w:rPr>
                <w:rFonts w:asciiTheme="majorHAnsi" w:eastAsiaTheme="majorEastAsia" w:hAnsiTheme="majorHAnsi" w:cstheme="majorBidi"/>
                <w:sz w:val="20"/>
                <w:szCs w:val="20"/>
              </w:rPr>
            </w:pPr>
            <w:r w:rsidRPr="72697DF9">
              <w:rPr>
                <w:rFonts w:asciiTheme="majorHAnsi" w:eastAsiaTheme="majorEastAsia" w:hAnsiTheme="majorHAnsi" w:cstheme="majorBidi"/>
                <w:sz w:val="20"/>
                <w:szCs w:val="20"/>
              </w:rPr>
              <w:t xml:space="preserve">the receipt and delivery points (or zones) that services are provided between and any technical restrictions at those points (e.g. operating pressures); and </w:t>
            </w:r>
          </w:p>
          <w:p w14:paraId="5177419C" w14:textId="77777777" w:rsidR="00EC75C1" w:rsidRPr="00AE6D62" w:rsidRDefault="00EC75C1" w:rsidP="00857698">
            <w:pPr>
              <w:pStyle w:val="ListBullet"/>
              <w:keepNext/>
              <w:tabs>
                <w:tab w:val="num" w:pos="357"/>
              </w:tabs>
              <w:spacing w:before="80" w:after="40"/>
              <w:rPr>
                <w:rFonts w:asciiTheme="majorHAnsi" w:eastAsiaTheme="majorEastAsia" w:hAnsiTheme="majorHAnsi" w:cstheme="majorBidi"/>
                <w:sz w:val="20"/>
                <w:szCs w:val="20"/>
              </w:rPr>
            </w:pPr>
            <w:proofErr w:type="gramStart"/>
            <w:r w:rsidRPr="72697DF9">
              <w:rPr>
                <w:rFonts w:asciiTheme="majorHAnsi" w:eastAsiaTheme="majorEastAsia" w:hAnsiTheme="majorHAnsi" w:cstheme="majorBidi"/>
                <w:sz w:val="20"/>
                <w:szCs w:val="20"/>
              </w:rPr>
              <w:t>the</w:t>
            </w:r>
            <w:proofErr w:type="gramEnd"/>
            <w:r w:rsidRPr="72697DF9">
              <w:rPr>
                <w:rFonts w:asciiTheme="majorHAnsi" w:eastAsiaTheme="majorEastAsia" w:hAnsiTheme="majorHAnsi" w:cstheme="majorBidi"/>
                <w:sz w:val="20"/>
                <w:szCs w:val="20"/>
              </w:rPr>
              <w:t xml:space="preserve"> maximum capacity the shipper can nominate to be supplied at receipt and delivery points, which is usually measured on a daily and hourly basis</w:t>
            </w:r>
            <w:r w:rsidR="00B96F59">
              <w:rPr>
                <w:rFonts w:asciiTheme="majorHAnsi" w:eastAsiaTheme="majorEastAsia" w:hAnsiTheme="majorHAnsi" w:cstheme="majorBidi"/>
                <w:sz w:val="20"/>
                <w:szCs w:val="20"/>
              </w:rPr>
              <w:t>,</w:t>
            </w:r>
            <w:r w:rsidRPr="72697DF9">
              <w:rPr>
                <w:rFonts w:asciiTheme="majorHAnsi" w:eastAsiaTheme="majorEastAsia" w:hAnsiTheme="majorHAnsi" w:cstheme="majorBidi"/>
                <w:sz w:val="20"/>
                <w:szCs w:val="20"/>
              </w:rPr>
              <w:t xml:space="preserve"> and renomination rights. </w:t>
            </w:r>
          </w:p>
          <w:p w14:paraId="671CDF60" w14:textId="77777777" w:rsidR="00EC75C1" w:rsidRPr="00AE6D62" w:rsidRDefault="00EC75C1" w:rsidP="00857698">
            <w:pPr>
              <w:pStyle w:val="Default"/>
              <w:keepNext/>
              <w:spacing w:before="80" w:after="40"/>
              <w:rPr>
                <w:rFonts w:asciiTheme="majorHAnsi" w:eastAsiaTheme="majorEastAsia" w:hAnsiTheme="majorHAnsi" w:cstheme="majorBidi"/>
                <w:sz w:val="20"/>
                <w:szCs w:val="20"/>
              </w:rPr>
            </w:pPr>
            <w:r w:rsidRPr="72697DF9">
              <w:rPr>
                <w:rFonts w:asciiTheme="majorHAnsi" w:eastAsiaTheme="majorEastAsia" w:hAnsiTheme="majorHAnsi" w:cstheme="majorBidi"/>
                <w:sz w:val="20"/>
                <w:szCs w:val="20"/>
              </w:rPr>
              <w:t xml:space="preserve">The contracts will also contain: </w:t>
            </w:r>
          </w:p>
          <w:p w14:paraId="59B260AE" w14:textId="77777777" w:rsidR="00EC75C1" w:rsidRPr="00AE6D62" w:rsidRDefault="00EC75C1" w:rsidP="00857698">
            <w:pPr>
              <w:pStyle w:val="ListBullet"/>
              <w:keepNext/>
              <w:tabs>
                <w:tab w:val="num" w:pos="357"/>
              </w:tabs>
              <w:spacing w:before="80" w:after="40"/>
              <w:rPr>
                <w:rFonts w:asciiTheme="majorHAnsi" w:eastAsiaTheme="majorEastAsia" w:hAnsiTheme="majorHAnsi" w:cstheme="majorBidi"/>
                <w:sz w:val="20"/>
                <w:szCs w:val="20"/>
              </w:rPr>
            </w:pPr>
            <w:r w:rsidRPr="72697DF9">
              <w:rPr>
                <w:rFonts w:asciiTheme="majorHAnsi" w:eastAsiaTheme="majorEastAsia" w:hAnsiTheme="majorHAnsi" w:cstheme="majorBidi"/>
                <w:sz w:val="20"/>
                <w:szCs w:val="20"/>
              </w:rPr>
              <w:t>operational terms and conditions, such as</w:t>
            </w:r>
            <w:r w:rsidR="00291A5F">
              <w:rPr>
                <w:rFonts w:asciiTheme="majorHAnsi" w:eastAsiaTheme="majorEastAsia" w:hAnsiTheme="majorHAnsi" w:cstheme="majorBidi"/>
                <w:sz w:val="20"/>
                <w:szCs w:val="20"/>
              </w:rPr>
              <w:t>:</w:t>
            </w:r>
            <w:r w:rsidRPr="72697DF9">
              <w:rPr>
                <w:rFonts w:asciiTheme="majorHAnsi" w:eastAsiaTheme="majorEastAsia" w:hAnsiTheme="majorHAnsi" w:cstheme="majorBidi"/>
                <w:sz w:val="20"/>
                <w:szCs w:val="20"/>
              </w:rPr>
              <w:t xml:space="preserve"> </w:t>
            </w:r>
          </w:p>
          <w:p w14:paraId="2B33E840" w14:textId="77777777" w:rsidR="00EC75C1" w:rsidRPr="00AE6D62" w:rsidRDefault="00EC75C1" w:rsidP="00857698">
            <w:pPr>
              <w:pStyle w:val="Default"/>
              <w:keepNext/>
              <w:numPr>
                <w:ilvl w:val="0"/>
                <w:numId w:val="17"/>
              </w:numPr>
              <w:spacing w:before="80" w:after="40"/>
              <w:rPr>
                <w:rFonts w:asciiTheme="majorHAnsi" w:eastAsiaTheme="majorEastAsia" w:hAnsiTheme="majorHAnsi" w:cstheme="majorBidi"/>
                <w:sz w:val="20"/>
                <w:szCs w:val="20"/>
              </w:rPr>
            </w:pPr>
            <w:r w:rsidRPr="72697DF9">
              <w:rPr>
                <w:rFonts w:asciiTheme="majorHAnsi" w:eastAsiaTheme="majorEastAsia" w:hAnsiTheme="majorHAnsi" w:cstheme="majorBidi"/>
                <w:sz w:val="20"/>
                <w:szCs w:val="20"/>
              </w:rPr>
              <w:t xml:space="preserve">start of gas day and nomination cut-off times; </w:t>
            </w:r>
          </w:p>
          <w:p w14:paraId="0161AE74" w14:textId="77777777" w:rsidR="00EC75C1" w:rsidRPr="00AE6D62" w:rsidRDefault="00EC75C1" w:rsidP="00857698">
            <w:pPr>
              <w:pStyle w:val="Default"/>
              <w:keepNext/>
              <w:numPr>
                <w:ilvl w:val="0"/>
                <w:numId w:val="17"/>
              </w:numPr>
              <w:spacing w:before="80" w:after="40"/>
              <w:rPr>
                <w:rFonts w:asciiTheme="majorHAnsi" w:eastAsiaTheme="majorEastAsia" w:hAnsiTheme="majorHAnsi" w:cstheme="majorBidi"/>
                <w:sz w:val="20"/>
                <w:szCs w:val="20"/>
              </w:rPr>
            </w:pPr>
            <w:r w:rsidRPr="72697DF9">
              <w:rPr>
                <w:rFonts w:asciiTheme="majorHAnsi" w:eastAsiaTheme="majorEastAsia" w:hAnsiTheme="majorHAnsi" w:cstheme="majorBidi"/>
                <w:sz w:val="20"/>
                <w:szCs w:val="20"/>
              </w:rPr>
              <w:t xml:space="preserve">gas specification, gas quality and metering provisions; </w:t>
            </w:r>
          </w:p>
          <w:p w14:paraId="1B6E4B65" w14:textId="77777777" w:rsidR="00EC75C1" w:rsidRPr="00AE6D62" w:rsidRDefault="00EC75C1" w:rsidP="00857698">
            <w:pPr>
              <w:pStyle w:val="Default"/>
              <w:keepNext/>
              <w:numPr>
                <w:ilvl w:val="0"/>
                <w:numId w:val="17"/>
              </w:numPr>
              <w:spacing w:before="80" w:after="40"/>
              <w:rPr>
                <w:rFonts w:asciiTheme="majorHAnsi" w:eastAsiaTheme="majorEastAsia" w:hAnsiTheme="majorHAnsi" w:cstheme="majorBidi"/>
                <w:sz w:val="20"/>
                <w:szCs w:val="20"/>
              </w:rPr>
            </w:pPr>
            <w:r w:rsidRPr="72697DF9">
              <w:rPr>
                <w:rFonts w:asciiTheme="majorHAnsi" w:eastAsiaTheme="majorEastAsia" w:hAnsiTheme="majorHAnsi" w:cstheme="majorBidi"/>
                <w:sz w:val="20"/>
                <w:szCs w:val="20"/>
              </w:rPr>
              <w:t xml:space="preserve">service definition and the priority accorded to firm, as available and interruptible services in the scheduling and curtailment processes; </w:t>
            </w:r>
          </w:p>
          <w:p w14:paraId="714F1E75" w14:textId="77777777" w:rsidR="00EC75C1" w:rsidRPr="00AE6D62" w:rsidRDefault="00EC75C1" w:rsidP="00857698">
            <w:pPr>
              <w:pStyle w:val="Default"/>
              <w:keepNext/>
              <w:numPr>
                <w:ilvl w:val="0"/>
                <w:numId w:val="17"/>
              </w:numPr>
              <w:spacing w:before="80" w:after="40"/>
              <w:rPr>
                <w:rFonts w:asciiTheme="majorHAnsi" w:eastAsiaTheme="majorEastAsia" w:hAnsiTheme="majorHAnsi" w:cstheme="majorBidi"/>
                <w:sz w:val="20"/>
                <w:szCs w:val="20"/>
              </w:rPr>
            </w:pPr>
            <w:r w:rsidRPr="72697DF9">
              <w:rPr>
                <w:rFonts w:asciiTheme="majorHAnsi" w:eastAsiaTheme="majorEastAsia" w:hAnsiTheme="majorHAnsi" w:cstheme="majorBidi"/>
                <w:sz w:val="20"/>
                <w:szCs w:val="20"/>
              </w:rPr>
              <w:t xml:space="preserve">nomination, scheduling, curtailment and allocation procedures; </w:t>
            </w:r>
          </w:p>
          <w:p w14:paraId="03505FC3" w14:textId="77777777" w:rsidR="00EC75C1" w:rsidRPr="00AE6D62" w:rsidRDefault="00EC75C1" w:rsidP="00857698">
            <w:pPr>
              <w:pStyle w:val="Default"/>
              <w:keepNext/>
              <w:numPr>
                <w:ilvl w:val="0"/>
                <w:numId w:val="17"/>
              </w:numPr>
              <w:spacing w:before="80" w:after="40"/>
              <w:rPr>
                <w:rFonts w:asciiTheme="majorHAnsi" w:eastAsiaTheme="majorEastAsia" w:hAnsiTheme="majorHAnsi" w:cstheme="majorBidi"/>
                <w:sz w:val="20"/>
                <w:szCs w:val="20"/>
              </w:rPr>
            </w:pPr>
            <w:r w:rsidRPr="72697DF9">
              <w:rPr>
                <w:rFonts w:asciiTheme="majorHAnsi" w:eastAsiaTheme="majorEastAsia" w:hAnsiTheme="majorHAnsi" w:cstheme="majorBidi"/>
                <w:sz w:val="20"/>
                <w:szCs w:val="20"/>
              </w:rPr>
              <w:t xml:space="preserve">imbalance and overrun tolerance levels and </w:t>
            </w:r>
            <w:r w:rsidR="009F4EFA">
              <w:rPr>
                <w:rFonts w:asciiTheme="majorHAnsi" w:eastAsiaTheme="majorEastAsia" w:hAnsiTheme="majorHAnsi" w:cstheme="majorBidi"/>
                <w:sz w:val="20"/>
                <w:szCs w:val="20"/>
              </w:rPr>
              <w:t>charges</w:t>
            </w:r>
            <w:r w:rsidRPr="72697DF9">
              <w:rPr>
                <w:rFonts w:asciiTheme="majorHAnsi" w:eastAsiaTheme="majorEastAsia" w:hAnsiTheme="majorHAnsi" w:cstheme="majorBidi"/>
                <w:sz w:val="20"/>
                <w:szCs w:val="20"/>
              </w:rPr>
              <w:t xml:space="preserve">; </w:t>
            </w:r>
          </w:p>
          <w:p w14:paraId="3D767144" w14:textId="77777777" w:rsidR="00EC75C1" w:rsidRPr="00AE6D62" w:rsidRDefault="00EC75C1" w:rsidP="00857698">
            <w:pPr>
              <w:pStyle w:val="Default"/>
              <w:keepNext/>
              <w:numPr>
                <w:ilvl w:val="0"/>
                <w:numId w:val="17"/>
              </w:numPr>
              <w:spacing w:before="80" w:after="40"/>
              <w:rPr>
                <w:rFonts w:asciiTheme="majorHAnsi" w:eastAsiaTheme="majorEastAsia" w:hAnsiTheme="majorHAnsi" w:cstheme="majorBidi"/>
                <w:sz w:val="20"/>
                <w:szCs w:val="20"/>
              </w:rPr>
            </w:pPr>
            <w:r w:rsidRPr="72697DF9">
              <w:rPr>
                <w:rFonts w:asciiTheme="majorHAnsi" w:eastAsiaTheme="majorEastAsia" w:hAnsiTheme="majorHAnsi" w:cstheme="majorBidi"/>
                <w:sz w:val="20"/>
                <w:szCs w:val="20"/>
              </w:rPr>
              <w:t xml:space="preserve">the process for making changes to receipt and delivery points; and </w:t>
            </w:r>
          </w:p>
          <w:p w14:paraId="03E404BE" w14:textId="77777777" w:rsidR="00EC75C1" w:rsidRPr="00AE6D62" w:rsidRDefault="00EC75C1" w:rsidP="00857698">
            <w:pPr>
              <w:pStyle w:val="Default"/>
              <w:keepNext/>
              <w:numPr>
                <w:ilvl w:val="0"/>
                <w:numId w:val="17"/>
              </w:numPr>
              <w:spacing w:before="80" w:after="40"/>
              <w:rPr>
                <w:rFonts w:asciiTheme="majorHAnsi" w:eastAsiaTheme="majorEastAsia" w:hAnsiTheme="majorHAnsi" w:cstheme="majorBidi"/>
                <w:sz w:val="20"/>
                <w:szCs w:val="20"/>
              </w:rPr>
            </w:pPr>
            <w:proofErr w:type="gramStart"/>
            <w:r w:rsidRPr="72697DF9">
              <w:rPr>
                <w:rFonts w:asciiTheme="majorHAnsi" w:eastAsiaTheme="majorEastAsia" w:hAnsiTheme="majorHAnsi" w:cstheme="majorBidi"/>
                <w:sz w:val="20"/>
                <w:szCs w:val="20"/>
              </w:rPr>
              <w:t>provisions</w:t>
            </w:r>
            <w:proofErr w:type="gramEnd"/>
            <w:r w:rsidRPr="72697DF9">
              <w:rPr>
                <w:rFonts w:asciiTheme="majorHAnsi" w:eastAsiaTheme="majorEastAsia" w:hAnsiTheme="majorHAnsi" w:cstheme="majorBidi"/>
                <w:sz w:val="20"/>
                <w:szCs w:val="20"/>
              </w:rPr>
              <w:t xml:space="preserve"> relating to transfers, assignments and </w:t>
            </w:r>
            <w:proofErr w:type="spellStart"/>
            <w:r w:rsidRPr="72697DF9">
              <w:rPr>
                <w:rFonts w:asciiTheme="majorHAnsi" w:eastAsiaTheme="majorEastAsia" w:hAnsiTheme="majorHAnsi" w:cstheme="majorBidi"/>
                <w:sz w:val="20"/>
                <w:szCs w:val="20"/>
              </w:rPr>
              <w:t>novations</w:t>
            </w:r>
            <w:proofErr w:type="spellEnd"/>
            <w:r w:rsidRPr="72697DF9">
              <w:rPr>
                <w:rFonts w:asciiTheme="majorHAnsi" w:eastAsiaTheme="majorEastAsia" w:hAnsiTheme="majorHAnsi" w:cstheme="majorBidi"/>
                <w:sz w:val="20"/>
                <w:szCs w:val="20"/>
              </w:rPr>
              <w:t xml:space="preserve"> of capacity</w:t>
            </w:r>
            <w:r w:rsidR="00172008">
              <w:rPr>
                <w:rFonts w:asciiTheme="majorHAnsi" w:eastAsiaTheme="majorEastAsia" w:hAnsiTheme="majorHAnsi" w:cstheme="majorBidi"/>
                <w:sz w:val="20"/>
                <w:szCs w:val="20"/>
              </w:rPr>
              <w:t>.</w:t>
            </w:r>
            <w:r w:rsidRPr="72697DF9">
              <w:rPr>
                <w:rFonts w:asciiTheme="majorHAnsi" w:eastAsiaTheme="majorEastAsia" w:hAnsiTheme="majorHAnsi" w:cstheme="majorBidi"/>
                <w:sz w:val="20"/>
                <w:szCs w:val="20"/>
              </w:rPr>
              <w:t xml:space="preserve"> </w:t>
            </w:r>
          </w:p>
          <w:p w14:paraId="5D9698A1" w14:textId="77777777" w:rsidR="00EC75C1" w:rsidRPr="00AE6D62" w:rsidRDefault="00EC75C1" w:rsidP="00857698">
            <w:pPr>
              <w:pStyle w:val="ListBullet"/>
              <w:keepNext/>
              <w:tabs>
                <w:tab w:val="num" w:pos="357"/>
              </w:tabs>
              <w:spacing w:before="80" w:after="40"/>
              <w:rPr>
                <w:rFonts w:asciiTheme="majorHAnsi" w:eastAsiaTheme="majorEastAsia" w:hAnsiTheme="majorHAnsi" w:cstheme="majorBidi"/>
                <w:sz w:val="20"/>
                <w:szCs w:val="20"/>
              </w:rPr>
            </w:pPr>
            <w:r w:rsidRPr="72697DF9">
              <w:rPr>
                <w:rFonts w:asciiTheme="majorHAnsi" w:eastAsiaTheme="majorEastAsia" w:hAnsiTheme="majorHAnsi" w:cstheme="majorBidi"/>
                <w:sz w:val="20"/>
                <w:szCs w:val="20"/>
              </w:rPr>
              <w:t xml:space="preserve">prudential requirements; and </w:t>
            </w:r>
          </w:p>
          <w:p w14:paraId="756A4DC0" w14:textId="77777777" w:rsidR="00B1074C" w:rsidRPr="00AE6D62" w:rsidRDefault="00EC75C1" w:rsidP="00857698">
            <w:pPr>
              <w:pStyle w:val="ListBullet"/>
              <w:keepNext/>
              <w:tabs>
                <w:tab w:val="num" w:pos="357"/>
              </w:tabs>
              <w:spacing w:before="80" w:after="0"/>
              <w:rPr>
                <w:rFonts w:asciiTheme="majorHAnsi" w:eastAsiaTheme="majorEastAsia" w:hAnsiTheme="majorHAnsi" w:cstheme="majorBidi"/>
                <w:sz w:val="20"/>
                <w:szCs w:val="20"/>
              </w:rPr>
            </w:pPr>
            <w:r w:rsidRPr="72697DF9">
              <w:rPr>
                <w:rFonts w:asciiTheme="majorHAnsi" w:eastAsiaTheme="majorEastAsia" w:hAnsiTheme="majorHAnsi" w:cstheme="majorBidi"/>
                <w:sz w:val="20"/>
                <w:szCs w:val="20"/>
              </w:rPr>
              <w:t xml:space="preserve">other contract provisions governing the relationships and contractual obligations between parties, such as warranties, representations, possession, responsibility, title, control, liability and indemnities, default, force majeure, confidentiality and dispute resolution. </w:t>
            </w:r>
          </w:p>
        </w:tc>
      </w:tr>
    </w:tbl>
    <w:p w14:paraId="46B578CF" w14:textId="77777777" w:rsidR="00EC75C1" w:rsidRPr="00EC75C1" w:rsidRDefault="00EC75C1" w:rsidP="00EC75C1">
      <w:pPr>
        <w:pStyle w:val="BodyText"/>
        <w:spacing w:before="0" w:after="0"/>
        <w:rPr>
          <w:sz w:val="18"/>
          <w:szCs w:val="18"/>
        </w:rPr>
      </w:pPr>
      <w:r w:rsidRPr="00EC75C1">
        <w:rPr>
          <w:sz w:val="18"/>
          <w:szCs w:val="18"/>
        </w:rPr>
        <w:t>Source: AEMC, Pipeline Access Discussion Paper, 3 March 2016, p. 12.</w:t>
      </w:r>
    </w:p>
    <w:p w14:paraId="3AE88174" w14:textId="77777777" w:rsidR="00AF0EEF" w:rsidRDefault="00AF0EEF" w:rsidP="00053FEC">
      <w:pPr>
        <w:pStyle w:val="BodyText"/>
        <w:spacing w:line="252" w:lineRule="auto"/>
      </w:pPr>
      <w:r>
        <w:t>Some of the other matters that the AEMC recommended the GMRG consider in this context include whether:</w:t>
      </w:r>
      <w:r>
        <w:rPr>
          <w:rStyle w:val="FootnoteReference"/>
        </w:rPr>
        <w:footnoteReference w:id="33"/>
      </w:r>
    </w:p>
    <w:p w14:paraId="04BB1A55" w14:textId="77777777" w:rsidR="00AF0EEF" w:rsidRPr="00E10DF6" w:rsidRDefault="00AF0EEF" w:rsidP="00053FEC">
      <w:pPr>
        <w:pStyle w:val="ListBullet"/>
        <w:spacing w:line="252" w:lineRule="auto"/>
      </w:pPr>
      <w:r>
        <w:lastRenderedPageBreak/>
        <w:t>a single standard can be developed for each term and condition</w:t>
      </w:r>
      <w:r w:rsidR="00D1703E">
        <w:t>,</w:t>
      </w:r>
      <w:r>
        <w:t xml:space="preserve"> or if a range of standards may be more appropriate in some circumstances; </w:t>
      </w:r>
    </w:p>
    <w:p w14:paraId="18EDE488" w14:textId="77777777" w:rsidR="00AF0EEF" w:rsidRPr="00E10DF6" w:rsidRDefault="00AF0EEF" w:rsidP="00053FEC">
      <w:pPr>
        <w:pStyle w:val="ListBullet"/>
        <w:spacing w:line="252" w:lineRule="auto"/>
        <w:rPr>
          <w:color w:val="000000" w:themeColor="text1"/>
        </w:rPr>
      </w:pPr>
      <w:r w:rsidRPr="72697DF9">
        <w:rPr>
          <w:color w:val="000000" w:themeColor="text1"/>
        </w:rPr>
        <w:t xml:space="preserve">a credit support mechanism should be developed to manage the risk to one counterparty when the other counterparty has low credit worthiness because this would no longer be managed through bespoke prudential requirements; </w:t>
      </w:r>
    </w:p>
    <w:p w14:paraId="7964EAFA" w14:textId="77777777" w:rsidR="00AF0EEF" w:rsidRPr="006B6CBE" w:rsidRDefault="00B70854" w:rsidP="00053FEC">
      <w:pPr>
        <w:pStyle w:val="ListBullet"/>
        <w:spacing w:line="252" w:lineRule="auto"/>
      </w:pPr>
      <w:r>
        <w:rPr>
          <w:color w:val="000000" w:themeColor="text1"/>
        </w:rPr>
        <w:t>the adoption of the</w:t>
      </w:r>
      <w:r w:rsidR="00AF0EEF" w:rsidRPr="72697DF9">
        <w:rPr>
          <w:color w:val="000000" w:themeColor="text1"/>
        </w:rPr>
        <w:t xml:space="preserve"> standardised </w:t>
      </w:r>
      <w:r>
        <w:rPr>
          <w:color w:val="000000" w:themeColor="text1"/>
        </w:rPr>
        <w:t xml:space="preserve">terms </w:t>
      </w:r>
      <w:r w:rsidR="00AF0EEF" w:rsidRPr="72697DF9">
        <w:rPr>
          <w:color w:val="000000" w:themeColor="text1"/>
        </w:rPr>
        <w:t>should be compulsory, or if shippers and pipelines should be able to negotiate around any provisions</w:t>
      </w:r>
      <w:r w:rsidR="006B6CBE">
        <w:rPr>
          <w:color w:val="000000" w:themeColor="text1"/>
        </w:rPr>
        <w:t>; and</w:t>
      </w:r>
    </w:p>
    <w:p w14:paraId="2F977427" w14:textId="77777777" w:rsidR="006B6CBE" w:rsidRPr="00A839BE" w:rsidRDefault="006B6CBE" w:rsidP="00053FEC">
      <w:pPr>
        <w:pStyle w:val="ListBullet"/>
        <w:spacing w:line="252" w:lineRule="auto"/>
      </w:pPr>
      <w:r>
        <w:rPr>
          <w:color w:val="000000" w:themeColor="text1"/>
        </w:rPr>
        <w:t xml:space="preserve">changes to the </w:t>
      </w:r>
      <w:r w:rsidR="00A839BE">
        <w:rPr>
          <w:color w:val="000000" w:themeColor="text1"/>
        </w:rPr>
        <w:t>fu</w:t>
      </w:r>
      <w:r w:rsidR="00A839BE">
        <w:t xml:space="preserve">nctions and powers of the AEMC, AER or AEMO and/or </w:t>
      </w:r>
      <w:r w:rsidR="00B96F59">
        <w:t>wh</w:t>
      </w:r>
      <w:r w:rsidR="00172008">
        <w:t>e</w:t>
      </w:r>
      <w:r w:rsidR="00B96F59">
        <w:t xml:space="preserve">ther changes to </w:t>
      </w:r>
      <w:r w:rsidR="00A839BE">
        <w:t xml:space="preserve">the NGL, the NGR or subordinate instruments would </w:t>
      </w:r>
      <w:r w:rsidR="00BB0225">
        <w:rPr>
          <w:color w:val="000000" w:themeColor="text1"/>
        </w:rPr>
        <w:t xml:space="preserve">be required </w:t>
      </w:r>
      <w:r>
        <w:rPr>
          <w:color w:val="000000" w:themeColor="text1"/>
        </w:rPr>
        <w:t xml:space="preserve">to give effect to the </w:t>
      </w:r>
      <w:r w:rsidR="00536D6E">
        <w:rPr>
          <w:color w:val="000000" w:themeColor="text1"/>
        </w:rPr>
        <w:t xml:space="preserve">standardised terms and what, if any, governance arrangements </w:t>
      </w:r>
      <w:r w:rsidR="00B44D97">
        <w:rPr>
          <w:color w:val="000000" w:themeColor="text1"/>
        </w:rPr>
        <w:t xml:space="preserve">would need to </w:t>
      </w:r>
      <w:r w:rsidR="00536D6E">
        <w:rPr>
          <w:color w:val="000000" w:themeColor="text1"/>
        </w:rPr>
        <w:t>be implemented to enable the standards to be amended over time.</w:t>
      </w:r>
    </w:p>
    <w:p w14:paraId="604FD568" w14:textId="77777777" w:rsidR="008B3812" w:rsidRPr="00CB1B46" w:rsidRDefault="008B3812" w:rsidP="00C55948">
      <w:pPr>
        <w:pStyle w:val="Heading2"/>
      </w:pPr>
      <w:bookmarkStart w:id="79" w:name="_Toc499542649"/>
      <w:r w:rsidRPr="00CB1B46">
        <w:t xml:space="preserve">Contracts to be </w:t>
      </w:r>
      <w:r w:rsidR="00F543AE" w:rsidRPr="00CB1B46">
        <w:t>s</w:t>
      </w:r>
      <w:r w:rsidRPr="00CB1B46">
        <w:t>tandardised</w:t>
      </w:r>
      <w:bookmarkEnd w:id="79"/>
      <w:r w:rsidRPr="00CB1B46">
        <w:t xml:space="preserve"> </w:t>
      </w:r>
    </w:p>
    <w:p w14:paraId="71BADD6E" w14:textId="77777777" w:rsidR="00D1703E" w:rsidRDefault="00D1703E" w:rsidP="00053FEC">
      <w:pPr>
        <w:pStyle w:val="Heading6"/>
        <w:spacing w:line="252" w:lineRule="auto"/>
        <w:rPr>
          <w:color w:val="0099CC"/>
        </w:rPr>
      </w:pPr>
      <w:r w:rsidRPr="00CB1B46">
        <w:rPr>
          <w:color w:val="0099CC"/>
        </w:rPr>
        <w:t>Background</w:t>
      </w:r>
    </w:p>
    <w:p w14:paraId="28CDBF52" w14:textId="77777777" w:rsidR="00C018EA" w:rsidRDefault="00C018EA" w:rsidP="00053FEC">
      <w:pPr>
        <w:pStyle w:val="BodyText"/>
        <w:spacing w:before="0" w:line="252" w:lineRule="auto"/>
      </w:pPr>
      <w:r>
        <w:t xml:space="preserve">One of the first </w:t>
      </w:r>
      <w:r w:rsidR="00606C29">
        <w:t xml:space="preserve">issues </w:t>
      </w:r>
      <w:r w:rsidR="0011526B">
        <w:t xml:space="preserve">the Standardisation project team </w:t>
      </w:r>
      <w:r w:rsidR="004C675D">
        <w:t>consider</w:t>
      </w:r>
      <w:r>
        <w:t>ed</w:t>
      </w:r>
      <w:r w:rsidR="004C675D">
        <w:t xml:space="preserve"> </w:t>
      </w:r>
      <w:r w:rsidR="0011526B">
        <w:t xml:space="preserve">was </w:t>
      </w:r>
      <w:r w:rsidR="0004619B">
        <w:t xml:space="preserve">whether </w:t>
      </w:r>
      <w:r w:rsidR="00606C29">
        <w:t xml:space="preserve">it was necessary to standardise </w:t>
      </w:r>
      <w:r w:rsidR="00A010AB">
        <w:t xml:space="preserve">both </w:t>
      </w:r>
      <w:r w:rsidR="00F474FB">
        <w:t>primary</w:t>
      </w:r>
      <w:r w:rsidR="00606C29">
        <w:t xml:space="preserve"> GTAs</w:t>
      </w:r>
      <w:r w:rsidR="00A010AB">
        <w:t xml:space="preserve"> </w:t>
      </w:r>
      <w:r w:rsidR="00F474FB">
        <w:t xml:space="preserve">and operational </w:t>
      </w:r>
      <w:r w:rsidR="00606C29">
        <w:t xml:space="preserve">GTAs </w:t>
      </w:r>
      <w:r w:rsidR="0004619B">
        <w:t xml:space="preserve">to </w:t>
      </w:r>
      <w:r w:rsidR="00606C29">
        <w:t xml:space="preserve">make </w:t>
      </w:r>
      <w:r w:rsidR="0004619B">
        <w:t>cap</w:t>
      </w:r>
      <w:r w:rsidR="00606C29">
        <w:t>acity more fungible and reduce</w:t>
      </w:r>
      <w:r w:rsidR="0004619B">
        <w:t xml:space="preserve"> search and transaction costs</w:t>
      </w:r>
      <w:r w:rsidR="00606C29">
        <w:t>.</w:t>
      </w:r>
      <w:r w:rsidR="009330FA">
        <w:t xml:space="preserve"> </w:t>
      </w:r>
    </w:p>
    <w:p w14:paraId="78317817" w14:textId="77777777" w:rsidR="00A010AB" w:rsidRDefault="00606C29" w:rsidP="00053FEC">
      <w:pPr>
        <w:pStyle w:val="BodyText"/>
        <w:spacing w:line="252" w:lineRule="auto"/>
      </w:pPr>
      <w:r>
        <w:t>In short, t</w:t>
      </w:r>
      <w:r w:rsidR="0004619B">
        <w:t xml:space="preserve">he Standardisation project team </w:t>
      </w:r>
      <w:r w:rsidR="00A010AB">
        <w:t xml:space="preserve">was of the view that if operational transfers are to become the primary means by which capacity trades are given effect, then it may be sufficient to standardise operational GTAs because any </w:t>
      </w:r>
      <w:r w:rsidR="00CA1B13">
        <w:t xml:space="preserve">capacity released by the primary shipper would be subject to the terms in the operational GTA rather than the primary GTA. </w:t>
      </w:r>
      <w:r w:rsidR="00A010AB">
        <w:t xml:space="preserve">The project team decided therefore to prioritise the standardisation of </w:t>
      </w:r>
      <w:r w:rsidR="00825C03">
        <w:t>the operational GTA</w:t>
      </w:r>
      <w:r w:rsidR="00A010AB">
        <w:t xml:space="preserve"> and to only consider amending primary GTAs where it was necessary </w:t>
      </w:r>
      <w:r w:rsidR="003563BB">
        <w:t xml:space="preserve">to </w:t>
      </w:r>
      <w:r w:rsidR="003B21BA">
        <w:t xml:space="preserve">give effect to operational GTAs or to </w:t>
      </w:r>
      <w:r w:rsidR="003824E2">
        <w:t xml:space="preserve">facilitate </w:t>
      </w:r>
      <w:r w:rsidR="000D77EE">
        <w:t>secondary trading</w:t>
      </w:r>
      <w:r w:rsidR="00A010AB">
        <w:t>.</w:t>
      </w:r>
    </w:p>
    <w:p w14:paraId="1CD8F940" w14:textId="77777777" w:rsidR="004C675D" w:rsidRDefault="00A010AB" w:rsidP="00053FEC">
      <w:pPr>
        <w:pStyle w:val="BodyText"/>
        <w:spacing w:line="252" w:lineRule="auto"/>
      </w:pPr>
      <w:r>
        <w:t xml:space="preserve">The position the project team reached on this issue </w:t>
      </w:r>
      <w:r w:rsidR="00CA1B13">
        <w:t xml:space="preserve">is consistent with the </w:t>
      </w:r>
      <w:r>
        <w:t xml:space="preserve">feedback that other stakeholders provided during the </w:t>
      </w:r>
      <w:r w:rsidR="005E3347" w:rsidRPr="005E3347">
        <w:rPr>
          <w:i/>
        </w:rPr>
        <w:t>East Coast Review</w:t>
      </w:r>
      <w:r>
        <w:t xml:space="preserve">. It is also consistent with the following </w:t>
      </w:r>
      <w:r w:rsidR="00CA1B13">
        <w:t xml:space="preserve">observation </w:t>
      </w:r>
      <w:r>
        <w:t xml:space="preserve">that </w:t>
      </w:r>
      <w:r w:rsidR="00CA1B13">
        <w:t xml:space="preserve">the AEMC made in </w:t>
      </w:r>
      <w:r>
        <w:t>one of its initial d</w:t>
      </w:r>
      <w:r w:rsidR="00CA1B13">
        <w:t xml:space="preserve">iscussion </w:t>
      </w:r>
      <w:r>
        <w:t>p</w:t>
      </w:r>
      <w:r w:rsidR="00CA1B13">
        <w:t>aper</w:t>
      </w:r>
      <w:r>
        <w:t>s</w:t>
      </w:r>
      <w:r w:rsidR="00CA1B13">
        <w:t>:</w:t>
      </w:r>
      <w:r w:rsidR="00CA1B13" w:rsidRPr="00CA1B13">
        <w:rPr>
          <w:rStyle w:val="FootnoteReference"/>
        </w:rPr>
        <w:t xml:space="preserve"> </w:t>
      </w:r>
      <w:r w:rsidR="00CA1B13">
        <w:rPr>
          <w:rStyle w:val="FootnoteReference"/>
        </w:rPr>
        <w:footnoteReference w:id="34"/>
      </w:r>
    </w:p>
    <w:p w14:paraId="4ADEDF7F" w14:textId="77777777" w:rsidR="00CA1B13" w:rsidRDefault="00CA1B13" w:rsidP="00053FEC">
      <w:pPr>
        <w:pStyle w:val="Quote"/>
        <w:spacing w:line="252" w:lineRule="auto"/>
      </w:pPr>
      <w:r>
        <w:t>“</w:t>
      </w:r>
      <w:r w:rsidRPr="00D14CF9">
        <w:t xml:space="preserve">For trades that are given effect through an operational transfer there may be less of a need to align the primary capacity holder’s GTA and the CTA because the Operational GTA will set out the operational and many of the other contractual provisions that apply to the trade </w:t>
      </w:r>
      <w:r>
        <w:t>..</w:t>
      </w:r>
      <w:r w:rsidRPr="00D14CF9">
        <w:t>. That is not to say that some degree of standardisation would not be required in the CTAs and Operational GTAs, in order to facilitate a more liquid secondary capacity trading market. It is just that the terms and conditions in the Operational GTA do not necessarily need to align with the primary capacity holder’s GTA.</w:t>
      </w:r>
      <w:r>
        <w:t>”</w:t>
      </w:r>
      <w:r w:rsidRPr="00D14CF9">
        <w:t xml:space="preserve"> </w:t>
      </w:r>
      <w:r>
        <w:t xml:space="preserve"> </w:t>
      </w:r>
    </w:p>
    <w:p w14:paraId="6330DD68" w14:textId="77777777" w:rsidR="006B0DE2" w:rsidRDefault="003563BB" w:rsidP="00053FEC">
      <w:pPr>
        <w:pStyle w:val="BodyText"/>
        <w:spacing w:line="252" w:lineRule="auto"/>
      </w:pPr>
      <w:r>
        <w:t>T</w:t>
      </w:r>
      <w:r w:rsidR="00A010AB">
        <w:t xml:space="preserve">he project team </w:t>
      </w:r>
      <w:r>
        <w:t xml:space="preserve">also observed that while standardisation of primary GTAs was not required to </w:t>
      </w:r>
      <w:r w:rsidR="006C651F">
        <w:t xml:space="preserve">achieve the AEMC’s objectives, the </w:t>
      </w:r>
      <w:r>
        <w:t xml:space="preserve">standards developed for the </w:t>
      </w:r>
      <w:r w:rsidR="00D1703E">
        <w:t xml:space="preserve">operational, prudential and other legal provisions in the </w:t>
      </w:r>
      <w:r w:rsidR="00A67BDE">
        <w:t xml:space="preserve">operational GTA </w:t>
      </w:r>
      <w:r w:rsidR="00B96F59">
        <w:t xml:space="preserve">may </w:t>
      </w:r>
      <w:r w:rsidR="003824E2">
        <w:t xml:space="preserve">drive </w:t>
      </w:r>
      <w:r w:rsidR="004D1E24">
        <w:t xml:space="preserve">the </w:t>
      </w:r>
      <w:r w:rsidR="00D74A5C">
        <w:t xml:space="preserve">standardisation of primary </w:t>
      </w:r>
      <w:r>
        <w:t xml:space="preserve">GTAs </w:t>
      </w:r>
      <w:r w:rsidR="006C651F">
        <w:t>over time.</w:t>
      </w:r>
    </w:p>
    <w:p w14:paraId="64AAC98D" w14:textId="77777777" w:rsidR="00432D3D" w:rsidRDefault="003563BB" w:rsidP="00053FEC">
      <w:pPr>
        <w:pStyle w:val="BodyText"/>
        <w:widowControl w:val="0"/>
        <w:spacing w:line="252" w:lineRule="auto"/>
      </w:pPr>
      <w:r>
        <w:t xml:space="preserve">In relation to CTAs, the project team </w:t>
      </w:r>
      <w:r w:rsidR="00432D3D">
        <w:t xml:space="preserve">noted </w:t>
      </w:r>
      <w:r w:rsidR="00EA6498">
        <w:t>that AEMO has</w:t>
      </w:r>
      <w:r w:rsidR="00EA6498" w:rsidRPr="00EA6498">
        <w:t xml:space="preserve"> already developed a standardised CTA for bilateral trades</w:t>
      </w:r>
      <w:r w:rsidR="00EA6498">
        <w:t xml:space="preserve"> that are given effect through a bare transfer</w:t>
      </w:r>
      <w:r w:rsidR="00EA6498">
        <w:rPr>
          <w:rStyle w:val="FootnoteReference"/>
        </w:rPr>
        <w:footnoteReference w:id="35"/>
      </w:r>
      <w:r w:rsidR="00EA6498">
        <w:t xml:space="preserve"> and that </w:t>
      </w:r>
      <w:r w:rsidR="00BE2600">
        <w:t xml:space="preserve">there would be little value in </w:t>
      </w:r>
      <w:r w:rsidR="00EA6498">
        <w:t xml:space="preserve">carrying out </w:t>
      </w:r>
      <w:r w:rsidR="00B96F59">
        <w:t xml:space="preserve">further </w:t>
      </w:r>
      <w:r w:rsidR="00EA6498">
        <w:t xml:space="preserve">work to standardise </w:t>
      </w:r>
      <w:r>
        <w:t xml:space="preserve">these </w:t>
      </w:r>
      <w:r w:rsidR="00EA6498">
        <w:t xml:space="preserve">types of </w:t>
      </w:r>
      <w:r>
        <w:t>contracts because</w:t>
      </w:r>
      <w:r w:rsidR="00432D3D">
        <w:t>:</w:t>
      </w:r>
      <w:r>
        <w:t xml:space="preserve"> </w:t>
      </w:r>
    </w:p>
    <w:p w14:paraId="07032036" w14:textId="77777777" w:rsidR="00432D3D" w:rsidRDefault="003563BB" w:rsidP="00053FEC">
      <w:pPr>
        <w:pStyle w:val="ListBullet"/>
        <w:widowControl w:val="0"/>
        <w:spacing w:line="252" w:lineRule="auto"/>
      </w:pPr>
      <w:r>
        <w:lastRenderedPageBreak/>
        <w:t xml:space="preserve">secondary shippers would always have the option to use </w:t>
      </w:r>
      <w:r w:rsidR="00786D70">
        <w:t xml:space="preserve">an operational transfer so </w:t>
      </w:r>
      <w:r w:rsidR="00983BA9">
        <w:t xml:space="preserve">any </w:t>
      </w:r>
      <w:r>
        <w:t xml:space="preserve">standardised </w:t>
      </w:r>
      <w:r w:rsidR="00825C03">
        <w:t xml:space="preserve">CTA would only need to set out the details of the </w:t>
      </w:r>
      <w:r w:rsidR="00D1703E">
        <w:t xml:space="preserve">capacity </w:t>
      </w:r>
      <w:r w:rsidR="00825C03">
        <w:t>being sold and the financial terms of the sale</w:t>
      </w:r>
      <w:r w:rsidR="00D1703E">
        <w:t xml:space="preserve"> between the primary shipper and the secondary shipper</w:t>
      </w:r>
      <w:r w:rsidR="00825C03">
        <w:t>, which would be trade specific</w:t>
      </w:r>
      <w:r w:rsidR="00432D3D">
        <w:t>;</w:t>
      </w:r>
      <w:r>
        <w:t xml:space="preserve"> and </w:t>
      </w:r>
    </w:p>
    <w:p w14:paraId="1DF76002" w14:textId="77777777" w:rsidR="00432D3D" w:rsidRDefault="003563BB" w:rsidP="00053FEC">
      <w:pPr>
        <w:pStyle w:val="ListBullet"/>
        <w:spacing w:line="252" w:lineRule="auto"/>
      </w:pPr>
      <w:proofErr w:type="gramStart"/>
      <w:r>
        <w:t>if</w:t>
      </w:r>
      <w:proofErr w:type="gramEnd"/>
      <w:r>
        <w:t xml:space="preserve"> </w:t>
      </w:r>
      <w:r w:rsidR="00432D3D">
        <w:t xml:space="preserve">the secondary shipper </w:t>
      </w:r>
      <w:r>
        <w:t xml:space="preserve">decided to </w:t>
      </w:r>
      <w:r w:rsidR="00432D3D">
        <w:t xml:space="preserve">proceed with </w:t>
      </w:r>
      <w:r>
        <w:t xml:space="preserve">a bare transfer, the </w:t>
      </w:r>
      <w:r w:rsidR="00BE2600">
        <w:t xml:space="preserve">terms in the </w:t>
      </w:r>
      <w:r>
        <w:t xml:space="preserve">CTA </w:t>
      </w:r>
      <w:r w:rsidR="00432D3D">
        <w:t xml:space="preserve">would in most cases need to mirror those in the primary </w:t>
      </w:r>
      <w:r w:rsidR="00EA6498">
        <w:t xml:space="preserve">shipper’s </w:t>
      </w:r>
      <w:r>
        <w:t xml:space="preserve">GTA to minimise </w:t>
      </w:r>
      <w:r w:rsidR="00EA6498">
        <w:t xml:space="preserve">its </w:t>
      </w:r>
      <w:r>
        <w:t xml:space="preserve">risk exposure. </w:t>
      </w:r>
      <w:r w:rsidR="00432D3D">
        <w:t xml:space="preserve"> </w:t>
      </w:r>
    </w:p>
    <w:p w14:paraId="362ADC88" w14:textId="77777777" w:rsidR="006C6315" w:rsidRDefault="004E791B" w:rsidP="006C6315">
      <w:pPr>
        <w:pStyle w:val="Heading6"/>
        <w:spacing w:line="252" w:lineRule="auto"/>
        <w:rPr>
          <w:color w:val="0099CC"/>
        </w:rPr>
      </w:pPr>
      <w:bookmarkStart w:id="80" w:name="_Hlk490978136"/>
      <w:r>
        <w:rPr>
          <w:color w:val="0099CC"/>
        </w:rPr>
        <w:t>GMRG’s p</w:t>
      </w:r>
      <w:r w:rsidR="006C6315">
        <w:rPr>
          <w:color w:val="0099CC"/>
        </w:rPr>
        <w:t>reliminary view</w:t>
      </w:r>
    </w:p>
    <w:p w14:paraId="255B22E7" w14:textId="77777777" w:rsidR="006C6315" w:rsidRDefault="006C6315" w:rsidP="006C6315">
      <w:pPr>
        <w:pStyle w:val="BodyText"/>
      </w:pPr>
      <w:r>
        <w:rPr>
          <w:lang w:eastAsia="en-US"/>
        </w:rPr>
        <w:t>In the consultation paper, the GMRG agreed with the project team that</w:t>
      </w:r>
      <w:r>
        <w:t xml:space="preserve"> priority </w:t>
      </w:r>
      <w:r w:rsidR="000C2297">
        <w:t xml:space="preserve">should </w:t>
      </w:r>
      <w:r>
        <w:t>be given to developing a standardised operational GTA</w:t>
      </w:r>
      <w:r w:rsidR="000C2297">
        <w:t>,</w:t>
      </w:r>
      <w:r>
        <w:t xml:space="preserve"> given that all trades conducted through the exchange and day-ahead auction </w:t>
      </w:r>
      <w:r w:rsidR="000C2297">
        <w:t xml:space="preserve">would </w:t>
      </w:r>
      <w:r>
        <w:t xml:space="preserve">need to be given effect through an operational transfer and secondary shippers </w:t>
      </w:r>
      <w:r w:rsidR="000C2297">
        <w:t xml:space="preserve">must </w:t>
      </w:r>
      <w:r>
        <w:t xml:space="preserve">be offered </w:t>
      </w:r>
      <w:r w:rsidR="000C2297">
        <w:t xml:space="preserve">this </w:t>
      </w:r>
      <w:r>
        <w:t xml:space="preserve">option </w:t>
      </w:r>
      <w:r w:rsidR="000C2297">
        <w:t>in bilateral trades</w:t>
      </w:r>
      <w:r>
        <w:t>.</w:t>
      </w:r>
      <w:r w:rsidR="000C2297">
        <w:t xml:space="preserve"> </w:t>
      </w:r>
      <w:r w:rsidR="00F453C6">
        <w:t>The GMRG also noted that there was likely to be little value in standardising primary GTAs and CTAs</w:t>
      </w:r>
      <w:r w:rsidR="000D7B15">
        <w:t xml:space="preserve"> that use a bare transfer mechanism,</w:t>
      </w:r>
      <w:r w:rsidR="00F453C6">
        <w:t xml:space="preserve"> if operational transfers become the primary means by which trades are conducted</w:t>
      </w:r>
      <w:r w:rsidR="000D7B15">
        <w:t xml:space="preserve">. The GMRG did, however, note that </w:t>
      </w:r>
      <w:r w:rsidR="00F453C6">
        <w:t xml:space="preserve">some changes to primary GTAs </w:t>
      </w:r>
      <w:r w:rsidR="000D7B15">
        <w:t xml:space="preserve">may </w:t>
      </w:r>
      <w:r w:rsidR="00F453C6">
        <w:t xml:space="preserve">be necessary to accommodate secondary trading. </w:t>
      </w:r>
    </w:p>
    <w:p w14:paraId="3456B50F" w14:textId="77777777" w:rsidR="006D41E9" w:rsidRPr="00D1703E" w:rsidRDefault="006D41E9" w:rsidP="006D41E9">
      <w:pPr>
        <w:pStyle w:val="Heading6"/>
        <w:spacing w:line="252" w:lineRule="auto"/>
        <w:rPr>
          <w:color w:val="0099CC"/>
        </w:rPr>
      </w:pPr>
      <w:r w:rsidRPr="0007566B">
        <w:rPr>
          <w:color w:val="0099CC"/>
        </w:rPr>
        <w:t xml:space="preserve">Feedback provided through the consultation process </w:t>
      </w:r>
    </w:p>
    <w:p w14:paraId="7D6CE2AD" w14:textId="77777777" w:rsidR="000D7B15" w:rsidRDefault="00F453C6" w:rsidP="00987877">
      <w:pPr>
        <w:pStyle w:val="BodyText"/>
      </w:pPr>
      <w:r>
        <w:t xml:space="preserve">Stakeholders </w:t>
      </w:r>
      <w:r w:rsidR="00911E8C">
        <w:t xml:space="preserve">generally </w:t>
      </w:r>
      <w:r w:rsidR="000D7B15">
        <w:t xml:space="preserve">supported </w:t>
      </w:r>
      <w:r>
        <w:t xml:space="preserve">the </w:t>
      </w:r>
      <w:r w:rsidR="00B96F59">
        <w:t xml:space="preserve">GMRG’s preliminary view, </w:t>
      </w:r>
      <w:r w:rsidR="00911E8C">
        <w:t xml:space="preserve">with most submissions </w:t>
      </w:r>
      <w:r w:rsidR="000D7B15">
        <w:t xml:space="preserve">agreeing </w:t>
      </w:r>
      <w:r w:rsidR="00911E8C">
        <w:t>that</w:t>
      </w:r>
      <w:r w:rsidR="000D7B15">
        <w:t xml:space="preserve">: </w:t>
      </w:r>
    </w:p>
    <w:p w14:paraId="55410C12" w14:textId="77777777" w:rsidR="000D7B15" w:rsidRDefault="00911E8C" w:rsidP="000D7B15">
      <w:pPr>
        <w:pStyle w:val="ListBullet"/>
      </w:pPr>
      <w:r>
        <w:t>priority should be given to standardising operational GTAs</w:t>
      </w:r>
      <w:r w:rsidR="000D7B15">
        <w:t>;</w:t>
      </w:r>
      <w:r>
        <w:t xml:space="preserve"> and </w:t>
      </w:r>
    </w:p>
    <w:p w14:paraId="3B78E6E1" w14:textId="77777777" w:rsidR="000D7B15" w:rsidRDefault="00911E8C" w:rsidP="000D7B15">
      <w:pPr>
        <w:pStyle w:val="ListBullet"/>
      </w:pPr>
      <w:proofErr w:type="gramStart"/>
      <w:r>
        <w:t>there</w:t>
      </w:r>
      <w:proofErr w:type="gramEnd"/>
      <w:r>
        <w:t xml:space="preserve"> </w:t>
      </w:r>
      <w:r w:rsidR="00B96F59">
        <w:t>is likely to be</w:t>
      </w:r>
      <w:r>
        <w:t xml:space="preserve"> little value in standardising primary GTAs </w:t>
      </w:r>
      <w:r w:rsidR="0007566B">
        <w:t>or</w:t>
      </w:r>
      <w:r>
        <w:t xml:space="preserve"> CTAs that use a bare transfer mechanism to facilitate secondary capacity trading. </w:t>
      </w:r>
    </w:p>
    <w:p w14:paraId="283E2580" w14:textId="77777777" w:rsidR="00987877" w:rsidRDefault="000D7B15" w:rsidP="00987877">
      <w:pPr>
        <w:pStyle w:val="BodyText"/>
      </w:pPr>
      <w:proofErr w:type="spellStart"/>
      <w:r>
        <w:t>Alinta</w:t>
      </w:r>
      <w:proofErr w:type="spellEnd"/>
      <w:r>
        <w:t xml:space="preserve"> </w:t>
      </w:r>
      <w:r w:rsidR="00987877">
        <w:t>did, however, suggest that there may be value in developing a standardised operational mechanism that c</w:t>
      </w:r>
      <w:r>
        <w:t xml:space="preserve">an be included in primary GTAs. </w:t>
      </w:r>
      <w:proofErr w:type="spellStart"/>
      <w:r w:rsidR="00987877">
        <w:t>Senex</w:t>
      </w:r>
      <w:proofErr w:type="spellEnd"/>
      <w:r w:rsidR="00987877">
        <w:t xml:space="preserve"> and APLNG</w:t>
      </w:r>
      <w:r>
        <w:t xml:space="preserve"> also noted that while standardisation of primary GTAs may not be required to facilitate secondary trade, there may still be value in standardising these contracts</w:t>
      </w:r>
      <w:r w:rsidR="00B96F59">
        <w:t xml:space="preserve"> in the future</w:t>
      </w:r>
      <w:r w:rsidR="00987877">
        <w:t xml:space="preserve">.  Shell also </w:t>
      </w:r>
      <w:r w:rsidR="00B96F59">
        <w:t xml:space="preserve">indicated that </w:t>
      </w:r>
      <w:r w:rsidR="00987877">
        <w:t xml:space="preserve">there may be value in </w:t>
      </w:r>
      <w:r>
        <w:t xml:space="preserve">revisiting this issue following </w:t>
      </w:r>
      <w:r w:rsidR="00987877">
        <w:t xml:space="preserve">a review of the operation of the reforms. Stanwell, on the other hand, thought that the standards developed for the operational GTA would drive </w:t>
      </w:r>
      <w:r w:rsidR="0007566B">
        <w:t xml:space="preserve">the </w:t>
      </w:r>
      <w:r w:rsidR="00987877">
        <w:t>standardisation of primary GTAs over time</w:t>
      </w:r>
      <w:r>
        <w:t xml:space="preserve">. In contrast to these positions, </w:t>
      </w:r>
      <w:r w:rsidR="00987877">
        <w:t>AGL, Origin, Jemena, Epic, TGP</w:t>
      </w:r>
      <w:r w:rsidR="009D4400">
        <w:t xml:space="preserve"> Pty Ltd</w:t>
      </w:r>
      <w:r w:rsidR="00987877">
        <w:t xml:space="preserve"> and APA, </w:t>
      </w:r>
      <w:r w:rsidR="00B96F59">
        <w:t xml:space="preserve">were of the view </w:t>
      </w:r>
      <w:r w:rsidR="00987877">
        <w:t xml:space="preserve">that </w:t>
      </w:r>
      <w:r w:rsidR="00B96F59">
        <w:t xml:space="preserve">the </w:t>
      </w:r>
      <w:r w:rsidR="00987877">
        <w:t xml:space="preserve">standardisation of primary GTAs </w:t>
      </w:r>
      <w:r w:rsidR="00B96F59">
        <w:t xml:space="preserve">is </w:t>
      </w:r>
      <w:r w:rsidR="00987877">
        <w:t>unnecessary and could result in a loss of flexibility for shippers.</w:t>
      </w:r>
    </w:p>
    <w:p w14:paraId="73315838" w14:textId="77777777" w:rsidR="00D1703E" w:rsidRPr="00D1703E" w:rsidRDefault="00D1703E" w:rsidP="00053FEC">
      <w:pPr>
        <w:pStyle w:val="Heading6"/>
        <w:spacing w:line="252" w:lineRule="auto"/>
        <w:rPr>
          <w:color w:val="0099CC"/>
        </w:rPr>
      </w:pPr>
      <w:r w:rsidRPr="00DE30B9">
        <w:rPr>
          <w:color w:val="0099CC"/>
        </w:rPr>
        <w:t xml:space="preserve">GMRG’s </w:t>
      </w:r>
      <w:r w:rsidR="006D41E9" w:rsidRPr="00DE30B9">
        <w:rPr>
          <w:color w:val="0099CC"/>
        </w:rPr>
        <w:t>final recommendations</w:t>
      </w:r>
      <w:r w:rsidR="006D41E9">
        <w:rPr>
          <w:color w:val="0099CC"/>
        </w:rPr>
        <w:t xml:space="preserve"> </w:t>
      </w:r>
    </w:p>
    <w:bookmarkEnd w:id="80"/>
    <w:p w14:paraId="47124970" w14:textId="77777777" w:rsidR="00793E8E" w:rsidRDefault="008557C3" w:rsidP="00793E8E">
      <w:pPr>
        <w:pStyle w:val="BodyText"/>
        <w:spacing w:before="0" w:line="252" w:lineRule="auto"/>
      </w:pPr>
      <w:r>
        <w:t xml:space="preserve">The GMRG has considered the feedback </w:t>
      </w:r>
      <w:r w:rsidR="00BE2600">
        <w:t>provided by stakeholders</w:t>
      </w:r>
      <w:r>
        <w:t xml:space="preserve"> and </w:t>
      </w:r>
      <w:r w:rsidR="00793E8E">
        <w:t xml:space="preserve">remains of the view that: </w:t>
      </w:r>
    </w:p>
    <w:p w14:paraId="23983983" w14:textId="77777777" w:rsidR="002276FF" w:rsidRDefault="001F6ED8" w:rsidP="00793E8E">
      <w:pPr>
        <w:pStyle w:val="ListBullet"/>
      </w:pPr>
      <w:r>
        <w:t>P</w:t>
      </w:r>
      <w:r w:rsidR="002276FF">
        <w:t xml:space="preserve">riority </w:t>
      </w:r>
      <w:r w:rsidR="00793E8E">
        <w:t xml:space="preserve">should </w:t>
      </w:r>
      <w:r w:rsidR="002276FF">
        <w:t>be given to developing a standardised operational GTA</w:t>
      </w:r>
      <w:r w:rsidR="00793E8E">
        <w:t xml:space="preserve"> given </w:t>
      </w:r>
      <w:r>
        <w:t xml:space="preserve">that </w:t>
      </w:r>
      <w:r w:rsidR="002276FF">
        <w:t>all trades conducted through the exchange and day-ahead auction will be given effect through an operational transfer and secondary shippers will need to be offered the option of using an operational transfer</w:t>
      </w:r>
      <w:r>
        <w:t>.</w:t>
      </w:r>
    </w:p>
    <w:p w14:paraId="21E318AE" w14:textId="77777777" w:rsidR="001F6ED8" w:rsidRDefault="001F6ED8" w:rsidP="001F6ED8">
      <w:pPr>
        <w:pStyle w:val="ListBullet"/>
        <w:spacing w:line="252" w:lineRule="auto"/>
      </w:pPr>
      <w:r>
        <w:t xml:space="preserve">There is little value in standardising primary GTAs if operational transfers become the primary means by which trades are conducted, but some changes to primary GTAs </w:t>
      </w:r>
      <w:r>
        <w:lastRenderedPageBreak/>
        <w:t>will be necessary to accommodate secondary trading and/or facilitate the operation of the trading platform and/or auction.</w:t>
      </w:r>
    </w:p>
    <w:p w14:paraId="203686A2" w14:textId="77777777" w:rsidR="001F6ED8" w:rsidRDefault="001F6ED8" w:rsidP="001F6ED8">
      <w:pPr>
        <w:pStyle w:val="ListBullet"/>
        <w:spacing w:line="252" w:lineRule="auto"/>
      </w:pPr>
      <w:r>
        <w:t xml:space="preserve">There is little value in carrying out </w:t>
      </w:r>
      <w:r w:rsidR="00B96F59">
        <w:t xml:space="preserve">further </w:t>
      </w:r>
      <w:r>
        <w:t>work on developing a standardised CTA that uses a bare transfer mechanism</w:t>
      </w:r>
      <w:r w:rsidR="00B96F59">
        <w:t>. S</w:t>
      </w:r>
      <w:r>
        <w:t>tandardised terms will</w:t>
      </w:r>
      <w:r w:rsidR="00B96F59">
        <w:t>, however,</w:t>
      </w:r>
      <w:r>
        <w:t xml:space="preserve"> be available for trades conducted through the capacity trading platform and the day-ahead auction and for bilateral trades that use the operational transfer mechanism. </w:t>
      </w:r>
    </w:p>
    <w:p w14:paraId="66D7A9E6" w14:textId="77777777" w:rsidR="001F6ED8" w:rsidRDefault="00793E8E" w:rsidP="008557C3">
      <w:pPr>
        <w:pStyle w:val="BodyText"/>
      </w:pPr>
      <w:r>
        <w:t>The GMRG</w:t>
      </w:r>
      <w:r w:rsidR="008557C3">
        <w:t>’s final recommendation</w:t>
      </w:r>
      <w:r>
        <w:t xml:space="preserve"> is therefore that operational GTA</w:t>
      </w:r>
      <w:r w:rsidR="00F74886">
        <w:t>s</w:t>
      </w:r>
      <w:r>
        <w:t xml:space="preserve"> be </w:t>
      </w:r>
      <w:r w:rsidR="00F74886">
        <w:t>standardised</w:t>
      </w:r>
      <w:r w:rsidR="008557C3">
        <w:t xml:space="preserve"> and that, to the extent necessary, primary GTAs be amended to accommodate secondary trading and/or facilitate the operation of the trading platform and/or auction.</w:t>
      </w:r>
      <w:r w:rsidR="008557C3">
        <w:rPr>
          <w:rStyle w:val="FootnoteReference"/>
        </w:rPr>
        <w:footnoteReference w:id="36"/>
      </w:r>
      <w:r w:rsidR="00F74886">
        <w:t xml:space="preserve"> </w:t>
      </w:r>
    </w:p>
    <w:p w14:paraId="7A9DCD78" w14:textId="77777777" w:rsidR="0007566B" w:rsidRDefault="00B96F59" w:rsidP="008557C3">
      <w:pPr>
        <w:pStyle w:val="BodyText"/>
      </w:pPr>
      <w:r>
        <w:t>W</w:t>
      </w:r>
      <w:r w:rsidR="001F6ED8">
        <w:t xml:space="preserve">hile the GMRG does not think the standardisation of </w:t>
      </w:r>
      <w:r w:rsidR="0007566B">
        <w:t>primary GTAs is necessary to facilitate secondary trading, there may</w:t>
      </w:r>
      <w:r w:rsidR="008557C3">
        <w:t>, as some stakeholders have suggested,</w:t>
      </w:r>
      <w:r w:rsidR="0007566B">
        <w:t xml:space="preserve"> be value in </w:t>
      </w:r>
      <w:r w:rsidR="002107D3">
        <w:t xml:space="preserve">considering this in the future </w:t>
      </w:r>
      <w:r w:rsidR="00BF4CF0">
        <w:t xml:space="preserve">if </w:t>
      </w:r>
      <w:r w:rsidR="002107D3">
        <w:t xml:space="preserve">there are concerns </w:t>
      </w:r>
      <w:r w:rsidR="00BF4CF0">
        <w:t xml:space="preserve">about the terms on which access </w:t>
      </w:r>
      <w:r w:rsidR="004D1E24">
        <w:t xml:space="preserve">is provided </w:t>
      </w:r>
      <w:r w:rsidR="00BF4CF0">
        <w:t>to primary capacity</w:t>
      </w:r>
      <w:r w:rsidR="004D1E24">
        <w:t xml:space="preserve">. </w:t>
      </w:r>
    </w:p>
    <w:p w14:paraId="12E06A89" w14:textId="77777777" w:rsidR="003B6D60" w:rsidRDefault="003B6D60" w:rsidP="00E87773">
      <w:pPr>
        <w:pStyle w:val="Heading2"/>
        <w:spacing w:before="200" w:after="120"/>
      </w:pPr>
      <w:bookmarkStart w:id="81" w:name="_Ref491757029"/>
      <w:bookmarkStart w:id="82" w:name="_Ref491775536"/>
      <w:bookmarkStart w:id="83" w:name="_Toc499542650"/>
      <w:r>
        <w:t>Standardis</w:t>
      </w:r>
      <w:r w:rsidR="00A55205">
        <w:t>ation of</w:t>
      </w:r>
      <w:r>
        <w:t xml:space="preserve"> </w:t>
      </w:r>
      <w:r w:rsidR="00B70854">
        <w:t>the operational GTA</w:t>
      </w:r>
      <w:bookmarkEnd w:id="81"/>
      <w:bookmarkEnd w:id="82"/>
      <w:bookmarkEnd w:id="83"/>
    </w:p>
    <w:p w14:paraId="4663B9A6" w14:textId="77777777" w:rsidR="00DE30B9" w:rsidRPr="00D1703E" w:rsidRDefault="00DE30B9" w:rsidP="00DE30B9">
      <w:pPr>
        <w:pStyle w:val="Heading6"/>
        <w:spacing w:line="252" w:lineRule="auto"/>
        <w:rPr>
          <w:color w:val="0099CC"/>
        </w:rPr>
      </w:pPr>
      <w:r>
        <w:rPr>
          <w:color w:val="0099CC"/>
        </w:rPr>
        <w:t xml:space="preserve">Background </w:t>
      </w:r>
    </w:p>
    <w:p w14:paraId="7AD5F1C3" w14:textId="77777777" w:rsidR="00A2464A" w:rsidRDefault="00A61499" w:rsidP="00053FEC">
      <w:pPr>
        <w:pStyle w:val="BodyText"/>
        <w:spacing w:before="60" w:line="252" w:lineRule="auto"/>
      </w:pPr>
      <w:bookmarkStart w:id="84" w:name="_Hlk498317663"/>
      <w:r>
        <w:t xml:space="preserve">The </w:t>
      </w:r>
      <w:r w:rsidR="00DE30B9">
        <w:t xml:space="preserve">GMRG </w:t>
      </w:r>
      <w:r>
        <w:t xml:space="preserve">has </w:t>
      </w:r>
      <w:r w:rsidR="00DE30B9">
        <w:t xml:space="preserve">worked with the </w:t>
      </w:r>
      <w:r w:rsidR="005D313B">
        <w:t>Standardisation project team and its legal advisor, JWS</w:t>
      </w:r>
      <w:r w:rsidR="000C2607">
        <w:t>,</w:t>
      </w:r>
      <w:r w:rsidR="005D313B">
        <w:t xml:space="preserve"> to develop </w:t>
      </w:r>
      <w:r w:rsidR="00D1703E">
        <w:t xml:space="preserve">the key elements of the </w:t>
      </w:r>
      <w:r w:rsidR="005D313B">
        <w:t>standardised operational GTA</w:t>
      </w:r>
      <w:r w:rsidR="00983BA9">
        <w:t xml:space="preserve"> that will establish the contractual terms between secondary shippers and service providers for </w:t>
      </w:r>
      <w:r w:rsidR="00053FEC">
        <w:t xml:space="preserve">capacity procured through the </w:t>
      </w:r>
      <w:r w:rsidR="00983BA9">
        <w:t xml:space="preserve">capacity trading </w:t>
      </w:r>
      <w:r w:rsidR="00053FEC">
        <w:t xml:space="preserve">platform, day-ahead auction or bilaterally if an operational transfer is used. </w:t>
      </w:r>
      <w:r w:rsidR="00DE30B9">
        <w:t xml:space="preserve">Through this process it was established that the </w:t>
      </w:r>
      <w:r w:rsidR="00053FEC">
        <w:t>operational GTA</w:t>
      </w:r>
      <w:r w:rsidR="00A2464A">
        <w:t xml:space="preserve"> </w:t>
      </w:r>
      <w:r w:rsidR="00DE30B9">
        <w:t xml:space="preserve">would need to </w:t>
      </w:r>
      <w:r w:rsidR="00A2464A">
        <w:t>include</w:t>
      </w:r>
      <w:r>
        <w:t xml:space="preserve"> both</w:t>
      </w:r>
      <w:r w:rsidR="00A2464A">
        <w:t>:</w:t>
      </w:r>
      <w:r w:rsidR="00FE6EA7">
        <w:t xml:space="preserve"> </w:t>
      </w:r>
    </w:p>
    <w:p w14:paraId="7CA8CB95" w14:textId="77777777" w:rsidR="00D1703E" w:rsidRDefault="00996004" w:rsidP="00053FEC">
      <w:pPr>
        <w:pStyle w:val="ListBullet"/>
        <w:spacing w:before="60" w:line="252" w:lineRule="auto"/>
      </w:pPr>
      <w:r w:rsidRPr="00996004">
        <w:rPr>
          <w:b/>
        </w:rPr>
        <w:t>s</w:t>
      </w:r>
      <w:r w:rsidR="00D1703E" w:rsidRPr="00996004">
        <w:rPr>
          <w:b/>
        </w:rPr>
        <w:t xml:space="preserve">tandard </w:t>
      </w:r>
      <w:r w:rsidRPr="00996004">
        <w:rPr>
          <w:b/>
        </w:rPr>
        <w:t>t</w:t>
      </w:r>
      <w:r w:rsidR="00D1703E" w:rsidRPr="00996004">
        <w:rPr>
          <w:b/>
        </w:rPr>
        <w:t>erms</w:t>
      </w:r>
      <w:r w:rsidR="00D1703E">
        <w:t xml:space="preserve"> that </w:t>
      </w:r>
      <w:r w:rsidR="00DE30B9">
        <w:t xml:space="preserve">will </w:t>
      </w:r>
      <w:r w:rsidR="00D1703E">
        <w:t xml:space="preserve">apply to all </w:t>
      </w:r>
      <w:r w:rsidR="00813AB6">
        <w:t>transportation assets; and</w:t>
      </w:r>
    </w:p>
    <w:p w14:paraId="72971C2C" w14:textId="77777777" w:rsidR="00A61499" w:rsidRDefault="00996004" w:rsidP="00A61499">
      <w:pPr>
        <w:pStyle w:val="ListBullet"/>
        <w:spacing w:line="252" w:lineRule="auto"/>
      </w:pPr>
      <w:r w:rsidRPr="00996004">
        <w:rPr>
          <w:b/>
        </w:rPr>
        <w:t>f</w:t>
      </w:r>
      <w:r w:rsidR="00857698" w:rsidRPr="00996004">
        <w:rPr>
          <w:b/>
        </w:rPr>
        <w:t xml:space="preserve">acility </w:t>
      </w:r>
      <w:r w:rsidRPr="00996004">
        <w:rPr>
          <w:b/>
        </w:rPr>
        <w:t>s</w:t>
      </w:r>
      <w:r w:rsidR="00813AB6" w:rsidRPr="00996004">
        <w:rPr>
          <w:b/>
        </w:rPr>
        <w:t xml:space="preserve">pecific </w:t>
      </w:r>
      <w:r w:rsidRPr="00996004">
        <w:rPr>
          <w:b/>
        </w:rPr>
        <w:t>t</w:t>
      </w:r>
      <w:r w:rsidR="00813AB6" w:rsidRPr="00996004">
        <w:rPr>
          <w:b/>
        </w:rPr>
        <w:t>erms</w:t>
      </w:r>
      <w:r w:rsidR="00A61499">
        <w:rPr>
          <w:b/>
        </w:rPr>
        <w:t xml:space="preserve"> </w:t>
      </w:r>
      <w:r w:rsidR="00A61499">
        <w:t xml:space="preserve">that </w:t>
      </w:r>
      <w:r w:rsidR="00813AB6">
        <w:t xml:space="preserve">may differ across service providers or </w:t>
      </w:r>
      <w:r w:rsidR="003A00BE">
        <w:t>facilities</w:t>
      </w:r>
      <w:r w:rsidR="00053FEC">
        <w:t xml:space="preserve"> (e.g. pipeline or compression assets)</w:t>
      </w:r>
      <w:r w:rsidR="00A61499">
        <w:t xml:space="preserve"> as a result of differences in:</w:t>
      </w:r>
    </w:p>
    <w:p w14:paraId="2A20A65E" w14:textId="77777777" w:rsidR="00A61499" w:rsidRDefault="00A61499" w:rsidP="00A61499">
      <w:pPr>
        <w:pStyle w:val="ListBullet2"/>
      </w:pPr>
      <w:r>
        <w:t>the operational characteristics of the facility (for example, hourly limitations, pressure, temperature and metering requirements); and</w:t>
      </w:r>
    </w:p>
    <w:p w14:paraId="419B2AA8" w14:textId="77777777" w:rsidR="00A61499" w:rsidRDefault="00A61499" w:rsidP="00A61499">
      <w:pPr>
        <w:pStyle w:val="ListBullet2"/>
      </w:pPr>
      <w:proofErr w:type="gramStart"/>
      <w:r>
        <w:t>the</w:t>
      </w:r>
      <w:proofErr w:type="gramEnd"/>
      <w:r>
        <w:t xml:space="preserve"> contractual arrangements of the facility (for example, differences in the prioritisation principles that apply to scheduling and curtailment).</w:t>
      </w:r>
      <w:r>
        <w:rPr>
          <w:rStyle w:val="FootnoteReference"/>
        </w:rPr>
        <w:footnoteReference w:id="37"/>
      </w:r>
      <w:r>
        <w:t xml:space="preserve"> </w:t>
      </w:r>
    </w:p>
    <w:p w14:paraId="78C045F2" w14:textId="77777777" w:rsidR="004E791B" w:rsidRDefault="004E791B" w:rsidP="004E791B">
      <w:pPr>
        <w:pStyle w:val="Heading6"/>
        <w:spacing w:line="252" w:lineRule="auto"/>
        <w:rPr>
          <w:color w:val="0099CC"/>
        </w:rPr>
      </w:pPr>
      <w:bookmarkStart w:id="85" w:name="_Hlk498317589"/>
      <w:bookmarkEnd w:id="84"/>
      <w:r>
        <w:rPr>
          <w:color w:val="0099CC"/>
        </w:rPr>
        <w:t>GMRG’s preliminary view</w:t>
      </w:r>
    </w:p>
    <w:p w14:paraId="034849BB" w14:textId="77777777" w:rsidR="00FA0D61" w:rsidRDefault="00DE30B9" w:rsidP="002107D3">
      <w:pPr>
        <w:pStyle w:val="BodyText"/>
        <w:spacing w:before="0"/>
        <w:rPr>
          <w:lang w:eastAsia="fr-CA"/>
        </w:rPr>
      </w:pPr>
      <w:r>
        <w:rPr>
          <w:lang w:eastAsia="fr-CA"/>
        </w:rPr>
        <w:t>In the consultation paper, the GMRG agreed with the project team that the standardised operational GTA would need to include both standard and facility specific terms</w:t>
      </w:r>
      <w:bookmarkStart w:id="86" w:name="_Hlk498315387"/>
      <w:r w:rsidR="005B3CDB">
        <w:rPr>
          <w:lang w:eastAsia="fr-CA"/>
        </w:rPr>
        <w:t xml:space="preserve">. The GMRG also proposed </w:t>
      </w:r>
      <w:r w:rsidR="00FA0D61">
        <w:rPr>
          <w:lang w:eastAsia="fr-CA"/>
        </w:rPr>
        <w:t xml:space="preserve">the development of a new regulatory instrument, the </w:t>
      </w:r>
      <w:r w:rsidR="00FA0D61" w:rsidRPr="00034D96">
        <w:rPr>
          <w:lang w:eastAsia="fr-CA"/>
        </w:rPr>
        <w:t xml:space="preserve">Operational </w:t>
      </w:r>
      <w:r w:rsidR="00FA0D61" w:rsidRPr="00034D96">
        <w:rPr>
          <w:lang w:eastAsia="fr-CA"/>
        </w:rPr>
        <w:lastRenderedPageBreak/>
        <w:t>GTA Code</w:t>
      </w:r>
      <w:r w:rsidR="005B3CDB" w:rsidRPr="005B3CDB">
        <w:rPr>
          <w:lang w:eastAsia="fr-CA"/>
        </w:rPr>
        <w:t xml:space="preserve">, which service providers would have to have regard to when developing their standard form operational GTA and </w:t>
      </w:r>
      <w:r w:rsidR="00FA0D61" w:rsidRPr="005B3CDB">
        <w:rPr>
          <w:lang w:eastAsia="fr-CA"/>
        </w:rPr>
        <w:t>would set out</w:t>
      </w:r>
      <w:r w:rsidR="00FA0D61">
        <w:rPr>
          <w:lang w:eastAsia="fr-CA"/>
        </w:rPr>
        <w:t xml:space="preserve">: </w:t>
      </w:r>
    </w:p>
    <w:p w14:paraId="0741454E" w14:textId="77777777" w:rsidR="00FA0D61" w:rsidRDefault="00FA0D61" w:rsidP="00FA0D61">
      <w:pPr>
        <w:pStyle w:val="ListBullet"/>
        <w:rPr>
          <w:lang w:eastAsia="fr-CA"/>
        </w:rPr>
      </w:pPr>
      <w:r>
        <w:rPr>
          <w:lang w:eastAsia="fr-CA"/>
        </w:rPr>
        <w:t xml:space="preserve">the standard terms </w:t>
      </w:r>
      <w:r w:rsidR="005B3CDB">
        <w:rPr>
          <w:lang w:eastAsia="fr-CA"/>
        </w:rPr>
        <w:t xml:space="preserve">to </w:t>
      </w:r>
      <w:r>
        <w:rPr>
          <w:lang w:eastAsia="fr-CA"/>
        </w:rPr>
        <w:t xml:space="preserve">be adopted by all service providers; </w:t>
      </w:r>
    </w:p>
    <w:p w14:paraId="6E0C87EB" w14:textId="77777777" w:rsidR="00FA0D61" w:rsidRDefault="00FA0D61" w:rsidP="00FA0D61">
      <w:pPr>
        <w:pStyle w:val="ListBullet"/>
        <w:rPr>
          <w:lang w:eastAsia="fr-CA"/>
        </w:rPr>
      </w:pPr>
      <w:r>
        <w:rPr>
          <w:lang w:eastAsia="fr-CA"/>
        </w:rPr>
        <w:t xml:space="preserve">the requirements for the facility specific terms; and </w:t>
      </w:r>
    </w:p>
    <w:p w14:paraId="71C7373F" w14:textId="77777777" w:rsidR="00FA0D61" w:rsidRDefault="00FA0D61" w:rsidP="00FA0D61">
      <w:pPr>
        <w:pStyle w:val="ListBullet"/>
        <w:rPr>
          <w:lang w:eastAsia="fr-CA"/>
        </w:rPr>
      </w:pPr>
      <w:proofErr w:type="gramStart"/>
      <w:r>
        <w:rPr>
          <w:lang w:eastAsia="fr-CA"/>
        </w:rPr>
        <w:t>the</w:t>
      </w:r>
      <w:proofErr w:type="gramEnd"/>
      <w:r>
        <w:rPr>
          <w:lang w:eastAsia="fr-CA"/>
        </w:rPr>
        <w:t xml:space="preserve"> form of agreement allowing these </w:t>
      </w:r>
      <w:r w:rsidR="005B3CDB">
        <w:rPr>
          <w:lang w:eastAsia="fr-CA"/>
        </w:rPr>
        <w:t xml:space="preserve">two elements of the operational GTA </w:t>
      </w:r>
      <w:r>
        <w:rPr>
          <w:lang w:eastAsia="fr-CA"/>
        </w:rPr>
        <w:t>to be incorporated into a binding contract.</w:t>
      </w:r>
    </w:p>
    <w:p w14:paraId="029F6ABF" w14:textId="77777777" w:rsidR="00DB6F49" w:rsidRDefault="00FA0D61" w:rsidP="00FA0D61">
      <w:pPr>
        <w:pStyle w:val="BodyText"/>
        <w:rPr>
          <w:lang w:eastAsia="fr-CA"/>
        </w:rPr>
      </w:pPr>
      <w:bookmarkStart w:id="87" w:name="_Hlk498315393"/>
      <w:bookmarkEnd w:id="86"/>
      <w:r>
        <w:rPr>
          <w:lang w:eastAsia="fr-CA"/>
        </w:rPr>
        <w:t xml:space="preserve">The GMRG also set out its </w:t>
      </w:r>
      <w:r w:rsidR="00965A38">
        <w:rPr>
          <w:lang w:eastAsia="fr-CA"/>
        </w:rPr>
        <w:t>preliminary view</w:t>
      </w:r>
      <w:r w:rsidR="00DB6F49">
        <w:rPr>
          <w:lang w:eastAsia="fr-CA"/>
        </w:rPr>
        <w:t>s</w:t>
      </w:r>
      <w:r w:rsidR="00965A38">
        <w:rPr>
          <w:lang w:eastAsia="fr-CA"/>
        </w:rPr>
        <w:t xml:space="preserve"> on the form </w:t>
      </w:r>
      <w:r>
        <w:rPr>
          <w:lang w:eastAsia="fr-CA"/>
        </w:rPr>
        <w:t xml:space="preserve">the standard terms and the facility specific requirements </w:t>
      </w:r>
      <w:r w:rsidR="00DB6F49">
        <w:rPr>
          <w:lang w:eastAsia="fr-CA"/>
        </w:rPr>
        <w:t xml:space="preserve">should </w:t>
      </w:r>
      <w:r w:rsidR="00965A38">
        <w:rPr>
          <w:lang w:eastAsia="fr-CA"/>
        </w:rPr>
        <w:t>take</w:t>
      </w:r>
      <w:r w:rsidR="00DB6F49">
        <w:rPr>
          <w:lang w:eastAsia="fr-CA"/>
        </w:rPr>
        <w:t xml:space="preserve">, which were reflected in a </w:t>
      </w:r>
      <w:r w:rsidR="00984A91">
        <w:rPr>
          <w:lang w:eastAsia="fr-CA"/>
        </w:rPr>
        <w:t>draft Operational GTA Code</w:t>
      </w:r>
      <w:r w:rsidR="00DB6F49">
        <w:rPr>
          <w:lang w:eastAsia="fr-CA"/>
        </w:rPr>
        <w:t xml:space="preserve"> that </w:t>
      </w:r>
      <w:r w:rsidR="00984A91">
        <w:rPr>
          <w:lang w:eastAsia="fr-CA"/>
        </w:rPr>
        <w:t xml:space="preserve">was </w:t>
      </w:r>
      <w:r w:rsidR="00B96F59">
        <w:rPr>
          <w:lang w:eastAsia="fr-CA"/>
        </w:rPr>
        <w:t xml:space="preserve">published with </w:t>
      </w:r>
      <w:r w:rsidR="00984A91">
        <w:rPr>
          <w:lang w:eastAsia="fr-CA"/>
        </w:rPr>
        <w:t xml:space="preserve">the consultation paper. </w:t>
      </w:r>
    </w:p>
    <w:bookmarkEnd w:id="87"/>
    <w:p w14:paraId="38CEC26E" w14:textId="77777777" w:rsidR="004E791B" w:rsidRDefault="004E791B" w:rsidP="004E791B">
      <w:pPr>
        <w:pStyle w:val="BodyText"/>
      </w:pPr>
      <w:r>
        <w:t xml:space="preserve">While the GMRG recognised the need to include facility specific terms in the standardised operational GTA, it noted the potential for these terms to be used to impede trade because: </w:t>
      </w:r>
    </w:p>
    <w:p w14:paraId="6F05D3C5" w14:textId="77777777" w:rsidR="004E791B" w:rsidRDefault="004E791B" w:rsidP="004E791B">
      <w:pPr>
        <w:pStyle w:val="ListBullet"/>
      </w:pPr>
      <w:r>
        <w:t xml:space="preserve">service providers’ </w:t>
      </w:r>
      <w:r w:rsidRPr="0057020B">
        <w:t xml:space="preserve">interests in facilitating secondary capacity trades may not be closely aligned with the interests of shippers </w:t>
      </w:r>
      <w:r>
        <w:t xml:space="preserve">that want to trade capacity; and </w:t>
      </w:r>
    </w:p>
    <w:p w14:paraId="4D9A2D4B" w14:textId="77777777" w:rsidR="004E791B" w:rsidRDefault="004E791B" w:rsidP="004E791B">
      <w:pPr>
        <w:pStyle w:val="ListBullet"/>
      </w:pPr>
      <w:proofErr w:type="gramStart"/>
      <w:r>
        <w:t>service</w:t>
      </w:r>
      <w:proofErr w:type="gramEnd"/>
      <w:r>
        <w:t xml:space="preserve"> providers will face </w:t>
      </w:r>
      <w:r w:rsidRPr="0057020B">
        <w:t>no competition for the provision of operational transfer services</w:t>
      </w:r>
      <w:r>
        <w:t xml:space="preserve">. </w:t>
      </w:r>
    </w:p>
    <w:p w14:paraId="2EC8727C" w14:textId="77777777" w:rsidR="00FA0D61" w:rsidRDefault="004E791B" w:rsidP="004E791B">
      <w:pPr>
        <w:pStyle w:val="BodyText"/>
      </w:pPr>
      <w:r>
        <w:t xml:space="preserve">The GMRG therefore suggested the following measures be used to </w:t>
      </w:r>
      <w:r w:rsidR="00FA0D61">
        <w:t xml:space="preserve">limit the discretion service providers have </w:t>
      </w:r>
      <w:r w:rsidR="005B3CDB">
        <w:t xml:space="preserve">in relation to </w:t>
      </w:r>
      <w:r w:rsidR="00FA0D61">
        <w:t>facility specific terms:</w:t>
      </w:r>
      <w:r w:rsidR="00404F1E">
        <w:t xml:space="preserve"> </w:t>
      </w:r>
    </w:p>
    <w:p w14:paraId="5ADCC986" w14:textId="77777777" w:rsidR="00FA0D61" w:rsidRPr="00FA0D61" w:rsidRDefault="00404F1E" w:rsidP="00FA0D61">
      <w:pPr>
        <w:pStyle w:val="ListBullet"/>
      </w:pPr>
      <w:r w:rsidRPr="00FA0D61">
        <w:t xml:space="preserve">service providers </w:t>
      </w:r>
      <w:r w:rsidR="00DE0813">
        <w:t xml:space="preserve">should </w:t>
      </w:r>
      <w:r w:rsidRPr="00FA0D61">
        <w:t xml:space="preserve">be required to comply with </w:t>
      </w:r>
      <w:r w:rsidR="00FA0D61" w:rsidRPr="00FA0D61">
        <w:t xml:space="preserve">the </w:t>
      </w:r>
      <w:r w:rsidR="005B3CDB">
        <w:t xml:space="preserve">facility specific </w:t>
      </w:r>
      <w:r w:rsidR="00FA0D61" w:rsidRPr="00FA0D61">
        <w:t xml:space="preserve">requirements in the Operational GTA Code and </w:t>
      </w:r>
      <w:r w:rsidRPr="00FA0D61">
        <w:t xml:space="preserve">a number of </w:t>
      </w:r>
      <w:r w:rsidR="006113A2">
        <w:t xml:space="preserve">guiding </w:t>
      </w:r>
      <w:r w:rsidRPr="00FA0D61">
        <w:t xml:space="preserve">principles in the NGR when developing </w:t>
      </w:r>
      <w:r w:rsidR="00FA0D61" w:rsidRPr="00FA0D61">
        <w:t xml:space="preserve">these </w:t>
      </w:r>
      <w:r w:rsidRPr="00FA0D61">
        <w:t>terms</w:t>
      </w:r>
      <w:r w:rsidR="00FA0D61" w:rsidRPr="00FA0D61">
        <w:t>;</w:t>
      </w:r>
      <w:r w:rsidRPr="00FA0D61">
        <w:t xml:space="preserve"> and </w:t>
      </w:r>
    </w:p>
    <w:p w14:paraId="632C08A6" w14:textId="77777777" w:rsidR="00FA0D61" w:rsidRDefault="00FA0D61" w:rsidP="00FA0D61">
      <w:pPr>
        <w:pStyle w:val="ListBullet"/>
      </w:pPr>
      <w:proofErr w:type="gramStart"/>
      <w:r w:rsidRPr="00FA0D61">
        <w:rPr>
          <w:rFonts w:eastAsiaTheme="majorEastAsia"/>
        </w:rPr>
        <w:t>the</w:t>
      </w:r>
      <w:proofErr w:type="gramEnd"/>
      <w:r w:rsidRPr="00FA0D61">
        <w:rPr>
          <w:rFonts w:eastAsiaTheme="majorEastAsia"/>
        </w:rPr>
        <w:t xml:space="preserve"> AER should be able to monitor the compliance of a service provider’s facility specific terms with the requirements in the Operational GTA Code and the principles in the NGR</w:t>
      </w:r>
      <w:r>
        <w:rPr>
          <w:rFonts w:eastAsiaTheme="majorEastAsia"/>
        </w:rPr>
        <w:t>.</w:t>
      </w:r>
      <w:r w:rsidRPr="00FA0D61">
        <w:t xml:space="preserve"> </w:t>
      </w:r>
    </w:p>
    <w:p w14:paraId="2B54A285" w14:textId="77777777" w:rsidR="007D20E7" w:rsidRPr="0057020B" w:rsidRDefault="007D20E7" w:rsidP="004E791B">
      <w:pPr>
        <w:pStyle w:val="BodyText"/>
        <w:spacing w:before="60" w:after="60"/>
      </w:pPr>
      <w:r>
        <w:t xml:space="preserve">The </w:t>
      </w:r>
      <w:r w:rsidR="00404F1E">
        <w:t xml:space="preserve">principles </w:t>
      </w:r>
      <w:r w:rsidR="00FA0D61">
        <w:t xml:space="preserve">the GMRG </w:t>
      </w:r>
      <w:r w:rsidR="00B96F59">
        <w:t xml:space="preserve">suggested </w:t>
      </w:r>
      <w:r w:rsidR="006113A2">
        <w:t xml:space="preserve">could be included in the NGR </w:t>
      </w:r>
      <w:r w:rsidR="004E791B">
        <w:t xml:space="preserve">to guide the development of facility specific terms </w:t>
      </w:r>
      <w:r w:rsidR="006113A2">
        <w:t>were as follows</w:t>
      </w:r>
      <w:r w:rsidRPr="0057020B">
        <w:t>:</w:t>
      </w:r>
    </w:p>
    <w:p w14:paraId="68EB9677" w14:textId="77777777" w:rsidR="007D20E7" w:rsidRPr="0057020B" w:rsidRDefault="007D20E7" w:rsidP="00CF4594">
      <w:pPr>
        <w:pStyle w:val="ListBullet"/>
        <w:numPr>
          <w:ilvl w:val="0"/>
          <w:numId w:val="63"/>
        </w:numPr>
        <w:spacing w:before="60" w:after="60"/>
        <w:ind w:left="357" w:hanging="357"/>
      </w:pPr>
      <w:r w:rsidRPr="0057020B">
        <w:t xml:space="preserve">An overriding requirement </w:t>
      </w:r>
      <w:r>
        <w:t xml:space="preserve">that </w:t>
      </w:r>
      <w:r w:rsidRPr="0057020B">
        <w:t xml:space="preserve">the </w:t>
      </w:r>
      <w:r>
        <w:t xml:space="preserve">facility </w:t>
      </w:r>
      <w:r w:rsidRPr="0057020B">
        <w:t>specific terms be reasonable</w:t>
      </w:r>
      <w:r>
        <w:t xml:space="preserve">, which is </w:t>
      </w:r>
      <w:r w:rsidRPr="0057020B">
        <w:t>to be assessed having regard to the terms that would be negotiated in a workably competitive market.</w:t>
      </w:r>
    </w:p>
    <w:p w14:paraId="30F83E61" w14:textId="77777777" w:rsidR="007D20E7" w:rsidRPr="0057020B" w:rsidRDefault="007D20E7" w:rsidP="00CF4594">
      <w:pPr>
        <w:pStyle w:val="ListBullet"/>
        <w:numPr>
          <w:ilvl w:val="0"/>
          <w:numId w:val="63"/>
        </w:numPr>
        <w:spacing w:before="60" w:after="60"/>
        <w:ind w:left="357" w:hanging="357"/>
      </w:pPr>
      <w:r w:rsidRPr="0057020B">
        <w:t xml:space="preserve">A requirement that, where applicable, </w:t>
      </w:r>
      <w:r>
        <w:t xml:space="preserve">facility </w:t>
      </w:r>
      <w:r w:rsidRPr="0057020B">
        <w:t xml:space="preserve">specific terms, must be consistent with the terms of an Access Arrangement </w:t>
      </w:r>
      <w:r>
        <w:t xml:space="preserve">(AA) </w:t>
      </w:r>
      <w:r w:rsidRPr="0057020B">
        <w:t xml:space="preserve">for the pipeline or an </w:t>
      </w:r>
      <w:r>
        <w:t xml:space="preserve">AA </w:t>
      </w:r>
      <w:r w:rsidRPr="0057020B">
        <w:t xml:space="preserve">for another transmission pipeline equivalent in nature to the pipeline and not impose obligations, requirements or other limitations on the secondary shipper’s rights that are more restrictive than those in the AA. </w:t>
      </w:r>
    </w:p>
    <w:p w14:paraId="3E7DDF56" w14:textId="77777777" w:rsidR="007D20E7" w:rsidRPr="0057020B" w:rsidRDefault="007D20E7" w:rsidP="00CF4594">
      <w:pPr>
        <w:pStyle w:val="ListBullet"/>
        <w:numPr>
          <w:ilvl w:val="0"/>
          <w:numId w:val="63"/>
        </w:numPr>
        <w:spacing w:before="60" w:after="60"/>
        <w:ind w:left="357" w:hanging="357"/>
      </w:pPr>
      <w:r w:rsidRPr="0057020B">
        <w:t>Provision for the reasonableness of a facility specific term to be assessed by reference to the terms on which the services are available to other primary and secondary s</w:t>
      </w:r>
      <w:r>
        <w:t xml:space="preserve">hippers and industry practice. </w:t>
      </w:r>
      <w:r w:rsidRPr="0057020B">
        <w:t xml:space="preserve">This would be qualified where pipelines have </w:t>
      </w:r>
      <w:r>
        <w:t>f</w:t>
      </w:r>
      <w:r w:rsidRPr="0057020B">
        <w:t xml:space="preserve">oundation </w:t>
      </w:r>
      <w:r>
        <w:t>s</w:t>
      </w:r>
      <w:r w:rsidRPr="0057020B">
        <w:t>hipper</w:t>
      </w:r>
      <w:r>
        <w:rPr>
          <w:rStyle w:val="FootnoteReference"/>
        </w:rPr>
        <w:footnoteReference w:id="38"/>
      </w:r>
      <w:r w:rsidRPr="0057020B">
        <w:t xml:space="preserve"> contracts containing provisions </w:t>
      </w:r>
      <w:r>
        <w:t xml:space="preserve">that </w:t>
      </w:r>
      <w:r w:rsidRPr="0057020B">
        <w:t>no longer represent current contrac</w:t>
      </w:r>
      <w:r>
        <w:t>ting practice on the pipeline.</w:t>
      </w:r>
    </w:p>
    <w:p w14:paraId="7DEDC6BF" w14:textId="77777777" w:rsidR="007D20E7" w:rsidRDefault="007D20E7" w:rsidP="00CF4594">
      <w:pPr>
        <w:pStyle w:val="ListBullet"/>
        <w:numPr>
          <w:ilvl w:val="0"/>
          <w:numId w:val="63"/>
        </w:numPr>
        <w:spacing w:before="60" w:after="60"/>
        <w:ind w:left="357" w:hanging="357"/>
      </w:pPr>
      <w:r w:rsidRPr="0057020B">
        <w:lastRenderedPageBreak/>
        <w:t xml:space="preserve">A requirement that, except where expressly permitted by the </w:t>
      </w:r>
      <w:r>
        <w:t>standard terms</w:t>
      </w:r>
      <w:r w:rsidRPr="0057020B">
        <w:t xml:space="preserve"> or where required to comply with a law or undertaking given to the Crown or a regulator, </w:t>
      </w:r>
      <w:r>
        <w:t>f</w:t>
      </w:r>
      <w:r w:rsidRPr="0057020B">
        <w:t xml:space="preserve">acility </w:t>
      </w:r>
      <w:r>
        <w:t>s</w:t>
      </w:r>
      <w:r w:rsidRPr="0057020B">
        <w:t xml:space="preserve">pecific </w:t>
      </w:r>
      <w:r>
        <w:t>t</w:t>
      </w:r>
      <w:r w:rsidRPr="0057020B">
        <w:t xml:space="preserve">erms may </w:t>
      </w:r>
      <w:r>
        <w:t>not vary the s</w:t>
      </w:r>
      <w:r w:rsidRPr="0057020B">
        <w:t xml:space="preserve">tandard </w:t>
      </w:r>
      <w:r>
        <w:t>t</w:t>
      </w:r>
      <w:r w:rsidRPr="0057020B">
        <w:t>erms.</w:t>
      </w:r>
    </w:p>
    <w:bookmarkEnd w:id="85"/>
    <w:p w14:paraId="25EE8BCB" w14:textId="77777777" w:rsidR="00DE30B9" w:rsidRDefault="00984A91" w:rsidP="002107D3">
      <w:pPr>
        <w:pStyle w:val="Heading6"/>
        <w:spacing w:after="0" w:line="252" w:lineRule="auto"/>
        <w:rPr>
          <w:color w:val="0099CC"/>
        </w:rPr>
      </w:pPr>
      <w:r>
        <w:rPr>
          <w:color w:val="0099CC"/>
        </w:rPr>
        <w:t>Feedback provided thr</w:t>
      </w:r>
      <w:r w:rsidR="00BE7777">
        <w:rPr>
          <w:color w:val="0099CC"/>
        </w:rPr>
        <w:t>ough the consultation process</w:t>
      </w:r>
    </w:p>
    <w:p w14:paraId="4B75AEB5" w14:textId="77777777" w:rsidR="00BE7777" w:rsidRDefault="00BE7777" w:rsidP="002107D3">
      <w:pPr>
        <w:pStyle w:val="BodyText"/>
        <w:spacing w:before="120"/>
      </w:pPr>
      <w:r>
        <w:t xml:space="preserve">In the consultation paper, stakeholders were asked to provide their views on the standard terms and facility specific requirements set out in the draft Operational GTA Code and the governance arrangements </w:t>
      </w:r>
      <w:r w:rsidR="004E791B">
        <w:t xml:space="preserve">to </w:t>
      </w:r>
      <w:r>
        <w:t>apply to facility specific terms. An overview of the feedback that stakeholders provided on these two matters is set out below.</w:t>
      </w:r>
    </w:p>
    <w:p w14:paraId="7CBC25EC" w14:textId="77777777" w:rsidR="00E32380" w:rsidRPr="00E32380" w:rsidRDefault="00E32380" w:rsidP="002107D3">
      <w:pPr>
        <w:pStyle w:val="BodyText"/>
        <w:spacing w:before="120"/>
        <w:rPr>
          <w:i/>
          <w:color w:val="0099CC"/>
          <w:lang w:eastAsia="en-US"/>
        </w:rPr>
      </w:pPr>
      <w:r w:rsidRPr="00E32380">
        <w:rPr>
          <w:i/>
          <w:color w:val="0099CC"/>
        </w:rPr>
        <w:t>Draft Operational GTA Code</w:t>
      </w:r>
    </w:p>
    <w:p w14:paraId="5907DC93" w14:textId="77777777" w:rsidR="00041130" w:rsidRDefault="00041130" w:rsidP="002107D3">
      <w:pPr>
        <w:pStyle w:val="BodyText"/>
        <w:spacing w:before="120"/>
        <w:rPr>
          <w:lang w:eastAsia="fr-CA"/>
        </w:rPr>
      </w:pPr>
      <w:r>
        <w:rPr>
          <w:lang w:eastAsia="fr-CA"/>
        </w:rPr>
        <w:t xml:space="preserve">The </w:t>
      </w:r>
      <w:r w:rsidR="001A2DE0">
        <w:rPr>
          <w:lang w:eastAsia="fr-CA"/>
        </w:rPr>
        <w:t xml:space="preserve">majority of </w:t>
      </w:r>
      <w:r>
        <w:rPr>
          <w:lang w:eastAsia="fr-CA"/>
        </w:rPr>
        <w:t xml:space="preserve">stakeholders that provided </w:t>
      </w:r>
      <w:r w:rsidR="00B96F59">
        <w:rPr>
          <w:lang w:eastAsia="fr-CA"/>
        </w:rPr>
        <w:t>feedback</w:t>
      </w:r>
      <w:r>
        <w:rPr>
          <w:lang w:eastAsia="fr-CA"/>
        </w:rPr>
        <w:t xml:space="preserve"> on the draft Operational GTA Code were supportive of the </w:t>
      </w:r>
      <w:r w:rsidR="002107D3">
        <w:rPr>
          <w:lang w:eastAsia="fr-CA"/>
        </w:rPr>
        <w:t xml:space="preserve">general </w:t>
      </w:r>
      <w:r>
        <w:rPr>
          <w:lang w:eastAsia="fr-CA"/>
        </w:rPr>
        <w:t>approach that had been taken and the delineation between standard terms and facility specific requirements</w:t>
      </w:r>
      <w:r w:rsidR="001A2DE0">
        <w:rPr>
          <w:lang w:eastAsia="fr-CA"/>
        </w:rPr>
        <w:t xml:space="preserve">. </w:t>
      </w:r>
      <w:r w:rsidR="00DB527B">
        <w:rPr>
          <w:lang w:eastAsia="fr-CA"/>
        </w:rPr>
        <w:t>There were, however, some exceptions to this</w:t>
      </w:r>
      <w:r w:rsidR="009551D6">
        <w:rPr>
          <w:lang w:eastAsia="fr-CA"/>
        </w:rPr>
        <w:t>:</w:t>
      </w:r>
      <w:r w:rsidR="00DB527B">
        <w:rPr>
          <w:lang w:eastAsia="fr-CA"/>
        </w:rPr>
        <w:t xml:space="preserve"> </w:t>
      </w:r>
    </w:p>
    <w:p w14:paraId="1DA5C766" w14:textId="77777777" w:rsidR="001A2DE0" w:rsidRDefault="001A2DE0" w:rsidP="00FE4256">
      <w:pPr>
        <w:pStyle w:val="ListBullet"/>
        <w:rPr>
          <w:lang w:eastAsia="fr-CA"/>
        </w:rPr>
      </w:pPr>
      <w:r>
        <w:rPr>
          <w:lang w:eastAsia="fr-CA"/>
        </w:rPr>
        <w:t>Jemena</w:t>
      </w:r>
      <w:r w:rsidR="00DB527B">
        <w:rPr>
          <w:lang w:eastAsia="fr-CA"/>
        </w:rPr>
        <w:t>, for example,</w:t>
      </w:r>
      <w:r>
        <w:rPr>
          <w:lang w:eastAsia="fr-CA"/>
        </w:rPr>
        <w:t xml:space="preserve"> did not believe that a standard operational GTA was required for the entire east coast and </w:t>
      </w:r>
      <w:r w:rsidR="00B96F59">
        <w:rPr>
          <w:lang w:eastAsia="fr-CA"/>
        </w:rPr>
        <w:t>suggested</w:t>
      </w:r>
      <w:r>
        <w:rPr>
          <w:lang w:eastAsia="fr-CA"/>
        </w:rPr>
        <w:t xml:space="preserve"> that a better approach would have been to require service providers to offer standard operational GTAs for their respective assets. </w:t>
      </w:r>
      <w:r w:rsidR="00DB527B">
        <w:rPr>
          <w:lang w:eastAsia="fr-CA"/>
        </w:rPr>
        <w:t xml:space="preserve">APA </w:t>
      </w:r>
      <w:r w:rsidR="004E791B">
        <w:rPr>
          <w:lang w:eastAsia="fr-CA"/>
        </w:rPr>
        <w:t xml:space="preserve">stated </w:t>
      </w:r>
      <w:r w:rsidR="00B96F59">
        <w:rPr>
          <w:lang w:eastAsia="fr-CA"/>
        </w:rPr>
        <w:t xml:space="preserve">that </w:t>
      </w:r>
      <w:r w:rsidR="00DB527B">
        <w:rPr>
          <w:lang w:eastAsia="fr-CA"/>
        </w:rPr>
        <w:t xml:space="preserve">the level of standardisation proposed in the Operational GTA Code went beyond what was required to facilitate more secondary trading.  </w:t>
      </w:r>
      <w:r>
        <w:rPr>
          <w:lang w:eastAsia="fr-CA"/>
        </w:rPr>
        <w:t xml:space="preserve">The MEU, on the other hand, thought it was essential for standardisation to occur across the east coast </w:t>
      </w:r>
      <w:r w:rsidR="00DB527B">
        <w:rPr>
          <w:lang w:eastAsia="fr-CA"/>
        </w:rPr>
        <w:t xml:space="preserve">and for facility specific provisions to be minimised </w:t>
      </w:r>
      <w:r>
        <w:rPr>
          <w:lang w:eastAsia="fr-CA"/>
        </w:rPr>
        <w:t xml:space="preserve">to enable shippers to enter into trades across a number of pipelines and compression services </w:t>
      </w:r>
      <w:r w:rsidR="00DB527B">
        <w:rPr>
          <w:lang w:eastAsia="fr-CA"/>
        </w:rPr>
        <w:t xml:space="preserve">(irrespective of ownership) </w:t>
      </w:r>
      <w:r>
        <w:rPr>
          <w:lang w:eastAsia="fr-CA"/>
        </w:rPr>
        <w:t xml:space="preserve">without a loss of continuity. </w:t>
      </w:r>
    </w:p>
    <w:p w14:paraId="7BDF5F48" w14:textId="77777777" w:rsidR="00DB527B" w:rsidRDefault="001A2DE0" w:rsidP="00DB527B">
      <w:pPr>
        <w:pStyle w:val="ListBullet"/>
        <w:rPr>
          <w:lang w:eastAsia="fr-CA"/>
        </w:rPr>
      </w:pPr>
      <w:r>
        <w:rPr>
          <w:lang w:eastAsia="fr-CA"/>
        </w:rPr>
        <w:t xml:space="preserve">APGA </w:t>
      </w:r>
      <w:r w:rsidR="00B96F59">
        <w:rPr>
          <w:lang w:eastAsia="fr-CA"/>
        </w:rPr>
        <w:t xml:space="preserve">was of the view that </w:t>
      </w:r>
      <w:r>
        <w:rPr>
          <w:lang w:eastAsia="fr-CA"/>
        </w:rPr>
        <w:t>the facility specific requirements were too prescriptive and that the Operational GTA Code should just set out a descriptor list for each term to be covered in each facility’s operational GTA.</w:t>
      </w:r>
      <w:r w:rsidR="00DB527B">
        <w:rPr>
          <w:lang w:eastAsia="fr-CA"/>
        </w:rPr>
        <w:t xml:space="preserve"> </w:t>
      </w:r>
      <w:proofErr w:type="spellStart"/>
      <w:r>
        <w:rPr>
          <w:lang w:eastAsia="fr-CA"/>
        </w:rPr>
        <w:t>Senex</w:t>
      </w:r>
      <w:proofErr w:type="spellEnd"/>
      <w:r w:rsidR="00DB527B">
        <w:rPr>
          <w:lang w:eastAsia="fr-CA"/>
        </w:rPr>
        <w:t>, on the other hand,</w:t>
      </w:r>
      <w:r>
        <w:rPr>
          <w:lang w:eastAsia="fr-CA"/>
        </w:rPr>
        <w:t xml:space="preserve"> thought that further standardisation would be desirable</w:t>
      </w:r>
      <w:r w:rsidR="00DB527B">
        <w:rPr>
          <w:lang w:eastAsia="fr-CA"/>
        </w:rPr>
        <w:t xml:space="preserve"> and that more detail was required</w:t>
      </w:r>
      <w:r>
        <w:rPr>
          <w:lang w:eastAsia="fr-CA"/>
        </w:rPr>
        <w:t>, particularly in relation to facility specific terms.</w:t>
      </w:r>
      <w:r w:rsidR="00DB527B">
        <w:rPr>
          <w:lang w:eastAsia="fr-CA"/>
        </w:rPr>
        <w:t xml:space="preserve"> APLNG also </w:t>
      </w:r>
      <w:r w:rsidR="00B96F59">
        <w:rPr>
          <w:lang w:eastAsia="fr-CA"/>
        </w:rPr>
        <w:t>indicated</w:t>
      </w:r>
      <w:r w:rsidR="00DB527B">
        <w:rPr>
          <w:lang w:eastAsia="fr-CA"/>
        </w:rPr>
        <w:t xml:space="preserve"> that some of the facility specific terms, such as the imbalance arrangements, could be standardised.</w:t>
      </w:r>
      <w:r w:rsidR="007216D2">
        <w:rPr>
          <w:lang w:eastAsia="fr-CA"/>
        </w:rPr>
        <w:t xml:space="preserve"> </w:t>
      </w:r>
    </w:p>
    <w:p w14:paraId="43573515" w14:textId="77777777" w:rsidR="00901056" w:rsidRDefault="00901056" w:rsidP="00DB6F49">
      <w:pPr>
        <w:pStyle w:val="BodyText"/>
        <w:rPr>
          <w:lang w:eastAsia="fr-CA"/>
        </w:rPr>
      </w:pPr>
      <w:r>
        <w:rPr>
          <w:lang w:eastAsia="fr-CA"/>
        </w:rPr>
        <w:t>In the consultation paper, stakeholders were asked to provide specific feedback on the proposed drafting of the following provisions:</w:t>
      </w:r>
    </w:p>
    <w:p w14:paraId="039C3E13" w14:textId="77777777" w:rsidR="00901056" w:rsidRPr="0057020B" w:rsidRDefault="00901056" w:rsidP="00901056">
      <w:pPr>
        <w:numPr>
          <w:ilvl w:val="0"/>
          <w:numId w:val="12"/>
        </w:numPr>
        <w:spacing w:before="120" w:after="120"/>
        <w:ind w:left="357" w:hanging="357"/>
      </w:pPr>
      <w:r w:rsidRPr="0057020B">
        <w:t xml:space="preserve">the </w:t>
      </w:r>
      <w:r>
        <w:t>liability provisions relating to off-specification gas</w:t>
      </w:r>
      <w:r w:rsidRPr="0057020B">
        <w:t xml:space="preserve">; </w:t>
      </w:r>
    </w:p>
    <w:p w14:paraId="1C061168" w14:textId="77777777" w:rsidR="00901056" w:rsidRDefault="00901056" w:rsidP="00901056">
      <w:pPr>
        <w:numPr>
          <w:ilvl w:val="0"/>
          <w:numId w:val="12"/>
        </w:numPr>
        <w:spacing w:before="120" w:after="120"/>
        <w:ind w:left="357" w:hanging="357"/>
      </w:pPr>
      <w:r>
        <w:t>the general liability provisions;</w:t>
      </w:r>
    </w:p>
    <w:p w14:paraId="2FD68698" w14:textId="77777777" w:rsidR="00901056" w:rsidRDefault="00901056" w:rsidP="00901056">
      <w:pPr>
        <w:numPr>
          <w:ilvl w:val="0"/>
          <w:numId w:val="12"/>
        </w:numPr>
        <w:spacing w:before="120" w:after="120"/>
        <w:ind w:left="357" w:hanging="357"/>
      </w:pPr>
      <w:r w:rsidRPr="0057020B">
        <w:t xml:space="preserve">the credit support requirements; </w:t>
      </w:r>
      <w:r w:rsidR="0093467E">
        <w:t>and</w:t>
      </w:r>
    </w:p>
    <w:p w14:paraId="53F63774" w14:textId="77777777" w:rsidR="00901056" w:rsidRPr="0057020B" w:rsidRDefault="00901056" w:rsidP="00901056">
      <w:pPr>
        <w:numPr>
          <w:ilvl w:val="0"/>
          <w:numId w:val="12"/>
        </w:numPr>
        <w:spacing w:before="120" w:after="120"/>
        <w:ind w:left="357" w:hanging="357"/>
      </w:pPr>
      <w:proofErr w:type="gramStart"/>
      <w:r>
        <w:t>the</w:t>
      </w:r>
      <w:proofErr w:type="gramEnd"/>
      <w:r>
        <w:t xml:space="preserve"> imbalance management provisions</w:t>
      </w:r>
      <w:r w:rsidR="0093467E">
        <w:t>.</w:t>
      </w:r>
    </w:p>
    <w:p w14:paraId="27BA4CDC" w14:textId="77777777" w:rsidR="00901056" w:rsidRDefault="00635D18" w:rsidP="00DB6F49">
      <w:pPr>
        <w:pStyle w:val="BodyText"/>
        <w:rPr>
          <w:lang w:eastAsia="fr-CA"/>
        </w:rPr>
      </w:pPr>
      <w:r w:rsidRPr="004F5C1C">
        <w:rPr>
          <w:lang w:eastAsia="fr-CA"/>
        </w:rPr>
        <w:fldChar w:fldCharType="begin"/>
      </w:r>
      <w:r w:rsidRPr="004F5C1C">
        <w:rPr>
          <w:lang w:eastAsia="fr-CA"/>
        </w:rPr>
        <w:instrText xml:space="preserve"> REF _Ref498314659 \h </w:instrText>
      </w:r>
      <w:r w:rsidR="004F5C1C">
        <w:rPr>
          <w:lang w:eastAsia="fr-CA"/>
        </w:rPr>
        <w:instrText xml:space="preserve"> \* MERGEFORMAT </w:instrText>
      </w:r>
      <w:r w:rsidRPr="004F5C1C">
        <w:rPr>
          <w:lang w:eastAsia="fr-CA"/>
        </w:rPr>
      </w:r>
      <w:r w:rsidRPr="004F5C1C">
        <w:rPr>
          <w:lang w:eastAsia="fr-CA"/>
        </w:rPr>
        <w:fldChar w:fldCharType="separate"/>
      </w:r>
      <w:r w:rsidR="00761861" w:rsidRPr="00120702">
        <w:t xml:space="preserve">Table </w:t>
      </w:r>
      <w:r w:rsidR="00761861">
        <w:rPr>
          <w:noProof/>
        </w:rPr>
        <w:t>4</w:t>
      </w:r>
      <w:r w:rsidR="00761861" w:rsidRPr="00120702">
        <w:rPr>
          <w:noProof/>
        </w:rPr>
        <w:t>.</w:t>
      </w:r>
      <w:r w:rsidR="00761861">
        <w:rPr>
          <w:noProof/>
        </w:rPr>
        <w:t>1</w:t>
      </w:r>
      <w:r w:rsidRPr="004F5C1C">
        <w:rPr>
          <w:lang w:eastAsia="fr-CA"/>
        </w:rPr>
        <w:fldChar w:fldCharType="end"/>
      </w:r>
      <w:r w:rsidRPr="004F5C1C">
        <w:rPr>
          <w:lang w:eastAsia="fr-CA"/>
        </w:rPr>
        <w:t xml:space="preserve"> </w:t>
      </w:r>
      <w:r w:rsidR="00901056" w:rsidRPr="004F5C1C">
        <w:rPr>
          <w:lang w:eastAsia="fr-CA"/>
        </w:rPr>
        <w:t xml:space="preserve">provides a summary of </w:t>
      </w:r>
      <w:r w:rsidR="00B96F59">
        <w:rPr>
          <w:lang w:eastAsia="fr-CA"/>
        </w:rPr>
        <w:t xml:space="preserve">stakeholder </w:t>
      </w:r>
      <w:r w:rsidR="00901056" w:rsidRPr="004F5C1C">
        <w:rPr>
          <w:lang w:eastAsia="fr-CA"/>
        </w:rPr>
        <w:t xml:space="preserve">views on these provisions. As this table highlights, stakeholders were divided on a number of these </w:t>
      </w:r>
      <w:r w:rsidR="00B96F59">
        <w:rPr>
          <w:lang w:eastAsia="fr-CA"/>
        </w:rPr>
        <w:t>provisions</w:t>
      </w:r>
      <w:r w:rsidR="00901056" w:rsidRPr="004F5C1C">
        <w:rPr>
          <w:lang w:eastAsia="fr-CA"/>
        </w:rPr>
        <w:t xml:space="preserve">, particularly in relation to the way in which </w:t>
      </w:r>
      <w:r w:rsidR="005E7358" w:rsidRPr="004F5C1C">
        <w:rPr>
          <w:lang w:eastAsia="fr-CA"/>
        </w:rPr>
        <w:t xml:space="preserve">risks and liabilities </w:t>
      </w:r>
      <w:r w:rsidR="00901056" w:rsidRPr="004F5C1C">
        <w:rPr>
          <w:lang w:eastAsia="fr-CA"/>
        </w:rPr>
        <w:t xml:space="preserve">are </w:t>
      </w:r>
      <w:r w:rsidR="005E7358" w:rsidRPr="004F5C1C">
        <w:rPr>
          <w:lang w:eastAsia="fr-CA"/>
        </w:rPr>
        <w:t>assumed to be allocated between</w:t>
      </w:r>
      <w:r w:rsidR="005E7358">
        <w:rPr>
          <w:lang w:eastAsia="fr-CA"/>
        </w:rPr>
        <w:t xml:space="preserve"> service providers and secondary shippers and the credit support requirements. </w:t>
      </w:r>
    </w:p>
    <w:p w14:paraId="31236718" w14:textId="77777777" w:rsidR="00901056" w:rsidRDefault="00901056" w:rsidP="00DB6F49">
      <w:pPr>
        <w:pStyle w:val="BodyText"/>
        <w:rPr>
          <w:lang w:eastAsia="fr-CA"/>
        </w:rPr>
        <w:sectPr w:rsidR="00901056" w:rsidSect="00CF1252">
          <w:headerReference w:type="even" r:id="rId57"/>
          <w:headerReference w:type="default" r:id="rId58"/>
          <w:footerReference w:type="default" r:id="rId59"/>
          <w:headerReference w:type="first" r:id="rId60"/>
          <w:pgSz w:w="11907" w:h="16839" w:code="9"/>
          <w:pgMar w:top="1361" w:right="1418" w:bottom="992" w:left="1701" w:header="567" w:footer="397" w:gutter="0"/>
          <w:cols w:space="708"/>
          <w:docGrid w:linePitch="360"/>
        </w:sectPr>
      </w:pPr>
    </w:p>
    <w:tbl>
      <w:tblPr>
        <w:tblStyle w:val="TableGrid"/>
        <w:tblW w:w="5000" w:type="pct"/>
        <w:shd w:val="clear" w:color="auto" w:fill="E1E2E7" w:themeFill="background2"/>
        <w:tblLayout w:type="fixed"/>
        <w:tblLook w:val="0420" w:firstRow="1" w:lastRow="0" w:firstColumn="0" w:lastColumn="0" w:noHBand="0" w:noVBand="1"/>
        <w:tblCaption w:val="Table 4.1"/>
        <w:tblDescription w:val="Feedback on specific provisions"/>
      </w:tblPr>
      <w:tblGrid>
        <w:gridCol w:w="425"/>
        <w:gridCol w:w="1844"/>
        <w:gridCol w:w="11451"/>
      </w:tblGrid>
      <w:tr w:rsidR="00D25BEA" w:rsidRPr="00216207" w14:paraId="599BACDB" w14:textId="77777777" w:rsidTr="003022E1">
        <w:trPr>
          <w:cnfStyle w:val="100000000000" w:firstRow="1" w:lastRow="0" w:firstColumn="0" w:lastColumn="0" w:oddVBand="0" w:evenVBand="0" w:oddHBand="0" w:evenHBand="0" w:firstRowFirstColumn="0" w:firstRowLastColumn="0" w:lastRowFirstColumn="0" w:lastRowLastColumn="0"/>
          <w:cantSplit/>
          <w:trHeight w:val="321"/>
          <w:tblHeader/>
        </w:trPr>
        <w:tc>
          <w:tcPr>
            <w:tcW w:w="5000" w:type="pct"/>
            <w:gridSpan w:val="3"/>
            <w:tcBorders>
              <w:top w:val="nil"/>
              <w:bottom w:val="single" w:sz="4" w:space="0" w:color="auto"/>
            </w:tcBorders>
            <w:shd w:val="clear" w:color="auto" w:fill="auto"/>
          </w:tcPr>
          <w:p w14:paraId="68EFFBCC" w14:textId="637A14CB" w:rsidR="00D25BEA" w:rsidRPr="00DE0813" w:rsidRDefault="00D25BEA" w:rsidP="00120702">
            <w:pPr>
              <w:pStyle w:val="TableBodyText"/>
              <w:spacing w:line="247" w:lineRule="auto"/>
              <w:rPr>
                <w:b w:val="0"/>
                <w:sz w:val="17"/>
                <w:szCs w:val="17"/>
                <w:lang w:eastAsia="fr-CA"/>
              </w:rPr>
            </w:pPr>
            <w:bookmarkStart w:id="88" w:name="ReturnHere"/>
            <w:bookmarkStart w:id="89" w:name="_Ref498314659"/>
            <w:bookmarkEnd w:id="88"/>
            <w:r w:rsidRPr="00D25BEA">
              <w:rPr>
                <w:color w:val="auto"/>
              </w:rPr>
              <w:lastRenderedPageBreak/>
              <w:t xml:space="preserve">Table </w:t>
            </w:r>
            <w:r w:rsidRPr="00D25BEA">
              <w:fldChar w:fldCharType="begin"/>
            </w:r>
            <w:r w:rsidRPr="00D25BEA">
              <w:rPr>
                <w:color w:val="auto"/>
              </w:rPr>
              <w:instrText xml:space="preserve"> STYLEREF 1 \s </w:instrText>
            </w:r>
            <w:r w:rsidRPr="00D25BEA">
              <w:fldChar w:fldCharType="separate"/>
            </w:r>
            <w:r w:rsidRPr="00D25BEA">
              <w:rPr>
                <w:noProof/>
                <w:color w:val="auto"/>
              </w:rPr>
              <w:t>4</w:t>
            </w:r>
            <w:r w:rsidRPr="00D25BEA">
              <w:rPr>
                <w:noProof/>
              </w:rPr>
              <w:fldChar w:fldCharType="end"/>
            </w:r>
            <w:r w:rsidRPr="00D25BEA">
              <w:rPr>
                <w:color w:val="auto"/>
              </w:rPr>
              <w:t>.</w:t>
            </w:r>
            <w:r w:rsidRPr="00D25BEA">
              <w:fldChar w:fldCharType="begin"/>
            </w:r>
            <w:r w:rsidRPr="00D25BEA">
              <w:rPr>
                <w:color w:val="auto"/>
              </w:rPr>
              <w:instrText xml:space="preserve"> SEQ Table \* ARABIC \s 1 </w:instrText>
            </w:r>
            <w:r w:rsidRPr="00D25BEA">
              <w:fldChar w:fldCharType="separate"/>
            </w:r>
            <w:r w:rsidRPr="00D25BEA">
              <w:rPr>
                <w:noProof/>
                <w:color w:val="auto"/>
              </w:rPr>
              <w:t>1</w:t>
            </w:r>
            <w:r w:rsidRPr="00D25BEA">
              <w:rPr>
                <w:noProof/>
              </w:rPr>
              <w:fldChar w:fldCharType="end"/>
            </w:r>
            <w:bookmarkEnd w:id="89"/>
            <w:r w:rsidRPr="00D25BEA">
              <w:rPr>
                <w:color w:val="auto"/>
              </w:rPr>
              <w:t>: Feedback on specific provisions</w:t>
            </w:r>
          </w:p>
        </w:tc>
      </w:tr>
      <w:tr w:rsidR="00216207" w:rsidRPr="00216207" w14:paraId="4656F757" w14:textId="77777777" w:rsidTr="003022E1">
        <w:trPr>
          <w:cantSplit/>
        </w:trPr>
        <w:tc>
          <w:tcPr>
            <w:tcW w:w="155" w:type="pct"/>
            <w:vMerge w:val="restart"/>
            <w:tcBorders>
              <w:top w:val="single" w:sz="4" w:space="0" w:color="auto"/>
            </w:tcBorders>
            <w:shd w:val="clear" w:color="auto" w:fill="E1E2E7" w:themeFill="background2"/>
            <w:textDirection w:val="btLr"/>
          </w:tcPr>
          <w:p w14:paraId="6FB0E1B5" w14:textId="77777777" w:rsidR="005E17D5" w:rsidRPr="00DE0813" w:rsidRDefault="005E17D5" w:rsidP="00120702">
            <w:pPr>
              <w:pStyle w:val="TableBodyText"/>
              <w:spacing w:line="247" w:lineRule="auto"/>
              <w:jc w:val="center"/>
              <w:rPr>
                <w:b/>
                <w:sz w:val="17"/>
                <w:szCs w:val="17"/>
                <w:lang w:eastAsia="fr-CA"/>
              </w:rPr>
            </w:pPr>
            <w:r w:rsidRPr="00DE0813">
              <w:rPr>
                <w:b/>
                <w:sz w:val="17"/>
                <w:szCs w:val="17"/>
                <w:lang w:eastAsia="fr-CA"/>
              </w:rPr>
              <w:t>Liability for off-specification gas</w:t>
            </w:r>
          </w:p>
        </w:tc>
        <w:tc>
          <w:tcPr>
            <w:tcW w:w="672" w:type="pct"/>
            <w:tcBorders>
              <w:top w:val="single" w:sz="4" w:space="0" w:color="auto"/>
            </w:tcBorders>
            <w:shd w:val="clear" w:color="auto" w:fill="E1E2E7" w:themeFill="background2"/>
          </w:tcPr>
          <w:p w14:paraId="6FCFD65C" w14:textId="77777777" w:rsidR="005E17D5" w:rsidRPr="00D25BEA" w:rsidRDefault="0093467E" w:rsidP="00120702">
            <w:pPr>
              <w:pStyle w:val="TableBodyText"/>
              <w:spacing w:line="247" w:lineRule="auto"/>
              <w:rPr>
                <w:sz w:val="17"/>
                <w:szCs w:val="17"/>
                <w:lang w:eastAsia="fr-CA"/>
              </w:rPr>
            </w:pPr>
            <w:r w:rsidRPr="00D25BEA">
              <w:rPr>
                <w:sz w:val="17"/>
                <w:szCs w:val="17"/>
                <w:lang w:eastAsia="fr-CA"/>
              </w:rPr>
              <w:t>Preliminary view</w:t>
            </w:r>
          </w:p>
        </w:tc>
        <w:tc>
          <w:tcPr>
            <w:tcW w:w="4173" w:type="pct"/>
            <w:tcBorders>
              <w:top w:val="single" w:sz="4" w:space="0" w:color="auto"/>
            </w:tcBorders>
            <w:shd w:val="clear" w:color="auto" w:fill="E1E2E7" w:themeFill="background2"/>
          </w:tcPr>
          <w:p w14:paraId="135F8022" w14:textId="77777777" w:rsidR="005E17D5" w:rsidRPr="00D25BEA" w:rsidRDefault="005E17D5" w:rsidP="00120702">
            <w:pPr>
              <w:pStyle w:val="TableBodyText"/>
              <w:spacing w:line="247" w:lineRule="auto"/>
              <w:rPr>
                <w:sz w:val="17"/>
                <w:szCs w:val="17"/>
                <w:lang w:eastAsia="fr-CA"/>
              </w:rPr>
            </w:pPr>
            <w:r w:rsidRPr="00D25BEA">
              <w:rPr>
                <w:sz w:val="17"/>
                <w:szCs w:val="17"/>
                <w:lang w:eastAsia="fr-CA"/>
              </w:rPr>
              <w:t xml:space="preserve">The </w:t>
            </w:r>
            <w:r w:rsidR="0093467E" w:rsidRPr="00D25BEA">
              <w:rPr>
                <w:sz w:val="17"/>
                <w:szCs w:val="17"/>
                <w:lang w:eastAsia="fr-CA"/>
              </w:rPr>
              <w:t xml:space="preserve">standard terms in the </w:t>
            </w:r>
            <w:r w:rsidRPr="00D25BEA">
              <w:rPr>
                <w:sz w:val="17"/>
                <w:szCs w:val="17"/>
                <w:lang w:eastAsia="fr-CA"/>
              </w:rPr>
              <w:t xml:space="preserve">draft Operational GTA </w:t>
            </w:r>
            <w:r w:rsidR="0093467E" w:rsidRPr="00D25BEA">
              <w:rPr>
                <w:sz w:val="17"/>
                <w:szCs w:val="17"/>
                <w:lang w:eastAsia="fr-CA"/>
              </w:rPr>
              <w:t xml:space="preserve">Code </w:t>
            </w:r>
            <w:r w:rsidRPr="00D25BEA">
              <w:rPr>
                <w:sz w:val="17"/>
                <w:szCs w:val="17"/>
                <w:lang w:eastAsia="fr-CA"/>
              </w:rPr>
              <w:t>provided for:</w:t>
            </w:r>
          </w:p>
          <w:p w14:paraId="51C363CE" w14:textId="77777777" w:rsidR="005E17D5" w:rsidRPr="00D25BEA" w:rsidRDefault="005E17D5" w:rsidP="00120702">
            <w:pPr>
              <w:pStyle w:val="TableBullet1"/>
              <w:spacing w:line="247" w:lineRule="auto"/>
              <w:rPr>
                <w:sz w:val="17"/>
                <w:szCs w:val="17"/>
                <w:lang w:eastAsia="fr-CA"/>
              </w:rPr>
            </w:pPr>
            <w:r w:rsidRPr="00D25BEA">
              <w:rPr>
                <w:sz w:val="17"/>
                <w:szCs w:val="17"/>
                <w:lang w:eastAsia="fr-CA"/>
              </w:rPr>
              <w:t xml:space="preserve">Secondary shippers to indemnify the service provider against the losses the service provider suffers due to supply of off-specification gas, excluding losses the service provider would have avoided had the service provider acted as a reasonable and prudent operator. </w:t>
            </w:r>
          </w:p>
          <w:p w14:paraId="4FD8AC4D" w14:textId="77777777" w:rsidR="005E17D5" w:rsidRPr="00D25BEA" w:rsidRDefault="005E17D5" w:rsidP="00120702">
            <w:pPr>
              <w:pStyle w:val="TableBullet1"/>
              <w:spacing w:line="247" w:lineRule="auto"/>
              <w:rPr>
                <w:sz w:val="17"/>
                <w:szCs w:val="17"/>
                <w:lang w:eastAsia="fr-CA"/>
              </w:rPr>
            </w:pPr>
            <w:r w:rsidRPr="00D25BEA">
              <w:rPr>
                <w:sz w:val="17"/>
                <w:szCs w:val="17"/>
                <w:lang w:eastAsia="fr-CA"/>
              </w:rPr>
              <w:t>Service providers to only be liable for delivering off-specification gas at a delivery point where the service provider agreed to accept off-specification gas into the pipeline from another shipper, or where the service provider could, as a reasonable and prudent operator, have avoided delivering off-specification gas to the secondary shipper.</w:t>
            </w:r>
          </w:p>
        </w:tc>
      </w:tr>
      <w:tr w:rsidR="005E17D5" w:rsidRPr="00120702" w14:paraId="221E0C5B" w14:textId="77777777" w:rsidTr="003022E1">
        <w:trPr>
          <w:cnfStyle w:val="000000010000" w:firstRow="0" w:lastRow="0" w:firstColumn="0" w:lastColumn="0" w:oddVBand="0" w:evenVBand="0" w:oddHBand="0" w:evenHBand="1" w:firstRowFirstColumn="0" w:firstRowLastColumn="0" w:lastRowFirstColumn="0" w:lastRowLastColumn="0"/>
          <w:cantSplit/>
        </w:trPr>
        <w:tc>
          <w:tcPr>
            <w:tcW w:w="155" w:type="pct"/>
            <w:vMerge/>
          </w:tcPr>
          <w:p w14:paraId="115B97A1" w14:textId="77777777" w:rsidR="005E17D5" w:rsidRPr="00120702" w:rsidRDefault="005E17D5" w:rsidP="00120702">
            <w:pPr>
              <w:pStyle w:val="TableBodyText"/>
              <w:spacing w:line="247" w:lineRule="auto"/>
              <w:rPr>
                <w:sz w:val="17"/>
                <w:szCs w:val="17"/>
                <w:lang w:eastAsia="fr-CA"/>
              </w:rPr>
            </w:pPr>
          </w:p>
        </w:tc>
        <w:tc>
          <w:tcPr>
            <w:tcW w:w="672" w:type="pct"/>
            <w:shd w:val="clear" w:color="auto" w:fill="auto"/>
          </w:tcPr>
          <w:p w14:paraId="01D4B8DC" w14:textId="77777777" w:rsidR="005E17D5" w:rsidRPr="00216207" w:rsidRDefault="005E17D5" w:rsidP="00120702">
            <w:pPr>
              <w:pStyle w:val="TableBodyText"/>
              <w:spacing w:line="247" w:lineRule="auto"/>
              <w:rPr>
                <w:sz w:val="17"/>
                <w:szCs w:val="17"/>
                <w:lang w:eastAsia="fr-CA"/>
              </w:rPr>
            </w:pPr>
            <w:r w:rsidRPr="00216207">
              <w:rPr>
                <w:sz w:val="17"/>
                <w:szCs w:val="17"/>
                <w:lang w:eastAsia="fr-CA"/>
              </w:rPr>
              <w:t>Feedback on secondary shipper’s liability</w:t>
            </w:r>
            <w:r w:rsidR="00682A95" w:rsidRPr="00216207">
              <w:rPr>
                <w:sz w:val="17"/>
                <w:szCs w:val="17"/>
                <w:lang w:eastAsia="fr-CA"/>
              </w:rPr>
              <w:t xml:space="preserve"> for off-spec</w:t>
            </w:r>
            <w:r w:rsidR="009551D6">
              <w:rPr>
                <w:sz w:val="17"/>
                <w:szCs w:val="17"/>
                <w:lang w:eastAsia="fr-CA"/>
              </w:rPr>
              <w:t>ification</w:t>
            </w:r>
            <w:r w:rsidR="00682A95" w:rsidRPr="00216207">
              <w:rPr>
                <w:sz w:val="17"/>
                <w:szCs w:val="17"/>
                <w:lang w:eastAsia="fr-CA"/>
              </w:rPr>
              <w:t xml:space="preserve"> gas</w:t>
            </w:r>
          </w:p>
        </w:tc>
        <w:tc>
          <w:tcPr>
            <w:tcW w:w="4173" w:type="pct"/>
            <w:shd w:val="clear" w:color="auto" w:fill="auto"/>
          </w:tcPr>
          <w:p w14:paraId="58C47A55" w14:textId="77777777" w:rsidR="005E17D5" w:rsidRPr="00216207" w:rsidRDefault="00BA1BB4" w:rsidP="00120702">
            <w:pPr>
              <w:pStyle w:val="TableBodyText"/>
              <w:spacing w:line="247" w:lineRule="auto"/>
              <w:rPr>
                <w:sz w:val="17"/>
                <w:szCs w:val="17"/>
                <w:lang w:eastAsia="fr-CA"/>
              </w:rPr>
            </w:pPr>
            <w:r w:rsidRPr="00216207">
              <w:rPr>
                <w:sz w:val="17"/>
                <w:szCs w:val="17"/>
                <w:lang w:eastAsia="fr-CA"/>
              </w:rPr>
              <w:t xml:space="preserve">Shippers and service providers </w:t>
            </w:r>
            <w:r w:rsidR="005E17D5" w:rsidRPr="00216207">
              <w:rPr>
                <w:sz w:val="17"/>
                <w:szCs w:val="17"/>
                <w:lang w:eastAsia="fr-CA"/>
              </w:rPr>
              <w:t xml:space="preserve">views </w:t>
            </w:r>
            <w:r w:rsidRPr="00216207">
              <w:rPr>
                <w:sz w:val="17"/>
                <w:szCs w:val="17"/>
                <w:lang w:eastAsia="fr-CA"/>
              </w:rPr>
              <w:t xml:space="preserve">divided </w:t>
            </w:r>
            <w:r w:rsidR="005E17D5" w:rsidRPr="00216207">
              <w:rPr>
                <w:sz w:val="17"/>
                <w:szCs w:val="17"/>
                <w:lang w:eastAsia="fr-CA"/>
              </w:rPr>
              <w:t xml:space="preserve">on </w:t>
            </w:r>
            <w:r w:rsidRPr="00216207">
              <w:rPr>
                <w:sz w:val="17"/>
                <w:szCs w:val="17"/>
                <w:lang w:eastAsia="fr-CA"/>
              </w:rPr>
              <w:t>the liability that secondary shippers</w:t>
            </w:r>
            <w:r w:rsidR="005E17D5" w:rsidRPr="00216207">
              <w:rPr>
                <w:sz w:val="17"/>
                <w:szCs w:val="17"/>
                <w:lang w:eastAsia="fr-CA"/>
              </w:rPr>
              <w:t xml:space="preserve"> </w:t>
            </w:r>
            <w:r w:rsidRPr="00216207">
              <w:rPr>
                <w:sz w:val="17"/>
                <w:szCs w:val="17"/>
                <w:lang w:eastAsia="fr-CA"/>
              </w:rPr>
              <w:t xml:space="preserve">should have in relation to off-specification gas </w:t>
            </w:r>
            <w:r w:rsidR="005E17D5" w:rsidRPr="00216207">
              <w:rPr>
                <w:sz w:val="17"/>
                <w:szCs w:val="17"/>
                <w:lang w:eastAsia="fr-CA"/>
              </w:rPr>
              <w:t>with:</w:t>
            </w:r>
          </w:p>
          <w:p w14:paraId="0495E162" w14:textId="77777777" w:rsidR="005E17D5" w:rsidRPr="00216207" w:rsidRDefault="005E17D5" w:rsidP="00120702">
            <w:pPr>
              <w:pStyle w:val="TableBullet1"/>
              <w:spacing w:line="247" w:lineRule="auto"/>
              <w:rPr>
                <w:sz w:val="17"/>
                <w:szCs w:val="17"/>
                <w:lang w:eastAsia="fr-CA"/>
              </w:rPr>
            </w:pPr>
            <w:r w:rsidRPr="00216207">
              <w:rPr>
                <w:sz w:val="17"/>
                <w:szCs w:val="17"/>
                <w:lang w:eastAsia="fr-CA"/>
              </w:rPr>
              <w:t xml:space="preserve">service providers </w:t>
            </w:r>
            <w:r w:rsidR="004069EF" w:rsidRPr="00216207">
              <w:rPr>
                <w:sz w:val="17"/>
                <w:szCs w:val="17"/>
                <w:lang w:eastAsia="fr-CA"/>
              </w:rPr>
              <w:t xml:space="preserve">suggesting </w:t>
            </w:r>
            <w:r w:rsidRPr="00216207">
              <w:rPr>
                <w:sz w:val="17"/>
                <w:szCs w:val="17"/>
                <w:lang w:eastAsia="fr-CA"/>
              </w:rPr>
              <w:t>that there should no</w:t>
            </w:r>
            <w:r w:rsidR="004069EF" w:rsidRPr="00216207">
              <w:rPr>
                <w:sz w:val="17"/>
                <w:szCs w:val="17"/>
                <w:lang w:eastAsia="fr-CA"/>
              </w:rPr>
              <w:t>t be</w:t>
            </w:r>
            <w:r w:rsidRPr="00216207">
              <w:rPr>
                <w:sz w:val="17"/>
                <w:szCs w:val="17"/>
                <w:lang w:eastAsia="fr-CA"/>
              </w:rPr>
              <w:t xml:space="preserve"> </w:t>
            </w:r>
            <w:r w:rsidR="009551D6">
              <w:rPr>
                <w:sz w:val="17"/>
                <w:szCs w:val="17"/>
                <w:lang w:eastAsia="fr-CA"/>
              </w:rPr>
              <w:t xml:space="preserve">a </w:t>
            </w:r>
            <w:r w:rsidRPr="00216207">
              <w:rPr>
                <w:sz w:val="17"/>
                <w:szCs w:val="17"/>
                <w:lang w:eastAsia="fr-CA"/>
              </w:rPr>
              <w:t>cap on the secondary shipper’s liability and in some cases that liability should extend to consequential losses (APGA, Jemena, APA and TGP</w:t>
            </w:r>
            <w:r w:rsidR="009D4400">
              <w:rPr>
                <w:sz w:val="17"/>
                <w:szCs w:val="17"/>
                <w:lang w:eastAsia="fr-CA"/>
              </w:rPr>
              <w:t xml:space="preserve"> Pty Ltd</w:t>
            </w:r>
            <w:r w:rsidRPr="00216207">
              <w:rPr>
                <w:sz w:val="17"/>
                <w:szCs w:val="17"/>
                <w:lang w:eastAsia="fr-CA"/>
              </w:rPr>
              <w:t xml:space="preserve"> stated that liability should extend to consequential losses while Epic was satisfied with the proposed drafting) – the submissions from service providers noted that this reflects current practice and that allocating this risk to service providers would be inappropriate because they do not have a contractual relationship with producers; and</w:t>
            </w:r>
          </w:p>
          <w:p w14:paraId="04F41032" w14:textId="77777777" w:rsidR="005E17D5" w:rsidRPr="00216207" w:rsidRDefault="005E17D5" w:rsidP="00120702">
            <w:pPr>
              <w:pStyle w:val="TableBullet1"/>
              <w:spacing w:line="247" w:lineRule="auto"/>
              <w:rPr>
                <w:sz w:val="17"/>
                <w:szCs w:val="17"/>
                <w:lang w:eastAsia="fr-CA"/>
              </w:rPr>
            </w:pPr>
            <w:r w:rsidRPr="00216207">
              <w:rPr>
                <w:sz w:val="17"/>
                <w:szCs w:val="17"/>
                <w:lang w:eastAsia="fr-CA"/>
              </w:rPr>
              <w:t xml:space="preserve">shippers </w:t>
            </w:r>
            <w:r w:rsidR="004069EF" w:rsidRPr="00216207">
              <w:rPr>
                <w:sz w:val="17"/>
                <w:szCs w:val="17"/>
                <w:lang w:eastAsia="fr-CA"/>
              </w:rPr>
              <w:t>suggesting</w:t>
            </w:r>
            <w:r w:rsidRPr="00216207">
              <w:rPr>
                <w:sz w:val="17"/>
                <w:szCs w:val="17"/>
                <w:lang w:eastAsia="fr-CA"/>
              </w:rPr>
              <w:t xml:space="preserve"> that liability should be capped and/or limited to direct losses (AGL, </w:t>
            </w:r>
            <w:proofErr w:type="spellStart"/>
            <w:r w:rsidRPr="00216207">
              <w:rPr>
                <w:sz w:val="17"/>
                <w:szCs w:val="17"/>
                <w:lang w:eastAsia="fr-CA"/>
              </w:rPr>
              <w:t>EnergyAustralia</w:t>
            </w:r>
            <w:proofErr w:type="spellEnd"/>
            <w:r w:rsidRPr="00216207">
              <w:rPr>
                <w:sz w:val="17"/>
                <w:szCs w:val="17"/>
                <w:lang w:eastAsia="fr-CA"/>
              </w:rPr>
              <w:t xml:space="preserve"> and Shell proposed a cap and limitation of liability to direct loss, APLNG proposed a limitation to direct loss and </w:t>
            </w:r>
            <w:proofErr w:type="spellStart"/>
            <w:r w:rsidRPr="00216207">
              <w:rPr>
                <w:sz w:val="17"/>
                <w:szCs w:val="17"/>
                <w:lang w:eastAsia="fr-CA"/>
              </w:rPr>
              <w:t>Senex</w:t>
            </w:r>
            <w:proofErr w:type="spellEnd"/>
            <w:r w:rsidRPr="00216207">
              <w:rPr>
                <w:sz w:val="17"/>
                <w:szCs w:val="17"/>
                <w:lang w:eastAsia="fr-CA"/>
              </w:rPr>
              <w:t xml:space="preserve"> proposed a </w:t>
            </w:r>
            <w:r w:rsidR="00120702" w:rsidRPr="00216207">
              <w:rPr>
                <w:sz w:val="17"/>
                <w:szCs w:val="17"/>
                <w:lang w:eastAsia="fr-CA"/>
              </w:rPr>
              <w:t xml:space="preserve">standard cap of </w:t>
            </w:r>
            <w:r w:rsidRPr="00216207">
              <w:rPr>
                <w:sz w:val="17"/>
                <w:szCs w:val="17"/>
                <w:lang w:eastAsia="fr-CA"/>
              </w:rPr>
              <w:t>$20 million covering direct and consequential loss) – the submissions from shippers noted that these limitations were required to ensure that this does not act as a barrier to trade and that limitations were consistent with what applies under some GTAs and gas supply agreements.</w:t>
            </w:r>
          </w:p>
        </w:tc>
      </w:tr>
      <w:tr w:rsidR="005E17D5" w:rsidRPr="00120702" w14:paraId="2CE1C75A" w14:textId="77777777" w:rsidTr="003022E1">
        <w:trPr>
          <w:cantSplit/>
        </w:trPr>
        <w:tc>
          <w:tcPr>
            <w:tcW w:w="155" w:type="pct"/>
            <w:vMerge/>
            <w:shd w:val="clear" w:color="auto" w:fill="E1E2E7" w:themeFill="background2"/>
          </w:tcPr>
          <w:p w14:paraId="75CCCFC1" w14:textId="77777777" w:rsidR="005E17D5" w:rsidRPr="00120702" w:rsidRDefault="005E17D5" w:rsidP="00120702">
            <w:pPr>
              <w:pStyle w:val="TableBodyText"/>
              <w:spacing w:line="247" w:lineRule="auto"/>
              <w:rPr>
                <w:sz w:val="17"/>
                <w:szCs w:val="17"/>
                <w:lang w:eastAsia="fr-CA"/>
              </w:rPr>
            </w:pPr>
          </w:p>
        </w:tc>
        <w:tc>
          <w:tcPr>
            <w:tcW w:w="672" w:type="pct"/>
            <w:shd w:val="clear" w:color="auto" w:fill="E1E2E7" w:themeFill="background2"/>
          </w:tcPr>
          <w:p w14:paraId="4D4B1101" w14:textId="77777777" w:rsidR="005E17D5" w:rsidRPr="00216207" w:rsidRDefault="005E17D5" w:rsidP="00120702">
            <w:pPr>
              <w:pStyle w:val="TableBodyText"/>
              <w:spacing w:line="247" w:lineRule="auto"/>
              <w:rPr>
                <w:sz w:val="17"/>
                <w:szCs w:val="17"/>
                <w:lang w:eastAsia="fr-CA"/>
              </w:rPr>
            </w:pPr>
            <w:r w:rsidRPr="00216207">
              <w:rPr>
                <w:sz w:val="17"/>
                <w:szCs w:val="17"/>
                <w:lang w:eastAsia="fr-CA"/>
              </w:rPr>
              <w:t>Feedback on service provider’s liability</w:t>
            </w:r>
            <w:r w:rsidR="00682A95" w:rsidRPr="00216207">
              <w:rPr>
                <w:sz w:val="17"/>
                <w:szCs w:val="17"/>
                <w:lang w:eastAsia="fr-CA"/>
              </w:rPr>
              <w:t xml:space="preserve"> for off-spec</w:t>
            </w:r>
            <w:r w:rsidR="009551D6">
              <w:rPr>
                <w:sz w:val="17"/>
                <w:szCs w:val="17"/>
                <w:lang w:eastAsia="fr-CA"/>
              </w:rPr>
              <w:t>ification</w:t>
            </w:r>
            <w:r w:rsidR="00682A95" w:rsidRPr="00216207">
              <w:rPr>
                <w:sz w:val="17"/>
                <w:szCs w:val="17"/>
                <w:lang w:eastAsia="fr-CA"/>
              </w:rPr>
              <w:t xml:space="preserve"> gas</w:t>
            </w:r>
            <w:r w:rsidRPr="00216207">
              <w:rPr>
                <w:sz w:val="17"/>
                <w:szCs w:val="17"/>
                <w:lang w:eastAsia="fr-CA"/>
              </w:rPr>
              <w:t xml:space="preserve"> </w:t>
            </w:r>
          </w:p>
        </w:tc>
        <w:tc>
          <w:tcPr>
            <w:tcW w:w="4173" w:type="pct"/>
            <w:shd w:val="clear" w:color="auto" w:fill="E1E2E7" w:themeFill="background2"/>
          </w:tcPr>
          <w:p w14:paraId="53D830CC" w14:textId="77777777" w:rsidR="00BA1BB4" w:rsidRPr="00216207" w:rsidRDefault="00BA1BB4" w:rsidP="00120702">
            <w:pPr>
              <w:pStyle w:val="TableBodyText"/>
              <w:spacing w:line="247" w:lineRule="auto"/>
              <w:rPr>
                <w:sz w:val="17"/>
                <w:szCs w:val="17"/>
                <w:lang w:eastAsia="fr-CA"/>
              </w:rPr>
            </w:pPr>
            <w:r w:rsidRPr="00216207">
              <w:rPr>
                <w:sz w:val="17"/>
                <w:szCs w:val="17"/>
                <w:lang w:eastAsia="fr-CA"/>
              </w:rPr>
              <w:t>Mixed views were expressed about the liability service providers should have in relation to off-specification gas, with:</w:t>
            </w:r>
          </w:p>
          <w:p w14:paraId="27D4EF5B" w14:textId="77777777" w:rsidR="00BA1BB4" w:rsidRPr="00216207" w:rsidRDefault="00BA1BB4" w:rsidP="00120702">
            <w:pPr>
              <w:pStyle w:val="TableBullet1"/>
              <w:spacing w:line="247" w:lineRule="auto"/>
              <w:rPr>
                <w:sz w:val="17"/>
                <w:szCs w:val="17"/>
                <w:lang w:eastAsia="fr-CA"/>
              </w:rPr>
            </w:pPr>
            <w:r w:rsidRPr="00216207">
              <w:rPr>
                <w:sz w:val="17"/>
                <w:szCs w:val="17"/>
                <w:lang w:eastAsia="fr-CA"/>
              </w:rPr>
              <w:t xml:space="preserve">A number of shippers </w:t>
            </w:r>
            <w:r w:rsidR="004069EF" w:rsidRPr="00216207">
              <w:rPr>
                <w:sz w:val="17"/>
                <w:szCs w:val="17"/>
                <w:lang w:eastAsia="fr-CA"/>
              </w:rPr>
              <w:t>suggested</w:t>
            </w:r>
            <w:r w:rsidRPr="00216207">
              <w:rPr>
                <w:sz w:val="17"/>
                <w:szCs w:val="17"/>
                <w:lang w:eastAsia="fr-CA"/>
              </w:rPr>
              <w:t xml:space="preserve"> that service providers should </w:t>
            </w:r>
            <w:r w:rsidR="0093467E" w:rsidRPr="00216207">
              <w:rPr>
                <w:sz w:val="17"/>
                <w:szCs w:val="17"/>
                <w:lang w:eastAsia="fr-CA"/>
              </w:rPr>
              <w:t xml:space="preserve">have a reciprocal level of liability </w:t>
            </w:r>
            <w:r w:rsidRPr="00216207">
              <w:rPr>
                <w:sz w:val="17"/>
                <w:szCs w:val="17"/>
                <w:lang w:eastAsia="fr-CA"/>
              </w:rPr>
              <w:t xml:space="preserve">for off-specification gas (AGL, </w:t>
            </w:r>
            <w:proofErr w:type="spellStart"/>
            <w:r w:rsidRPr="00216207">
              <w:rPr>
                <w:sz w:val="17"/>
                <w:szCs w:val="17"/>
                <w:lang w:eastAsia="fr-CA"/>
              </w:rPr>
              <w:t>Senex</w:t>
            </w:r>
            <w:proofErr w:type="spellEnd"/>
            <w:r w:rsidR="0093467E" w:rsidRPr="00216207">
              <w:rPr>
                <w:sz w:val="17"/>
                <w:szCs w:val="17"/>
                <w:lang w:eastAsia="fr-CA"/>
              </w:rPr>
              <w:t>,</w:t>
            </w:r>
            <w:r w:rsidRPr="00216207">
              <w:rPr>
                <w:sz w:val="17"/>
                <w:szCs w:val="17"/>
                <w:lang w:eastAsia="fr-CA"/>
              </w:rPr>
              <w:t xml:space="preserve"> Shell and APLNG)</w:t>
            </w:r>
            <w:r w:rsidR="0093467E" w:rsidRPr="00216207">
              <w:rPr>
                <w:sz w:val="17"/>
                <w:szCs w:val="17"/>
                <w:lang w:eastAsia="fr-CA"/>
              </w:rPr>
              <w:t xml:space="preserve">, while </w:t>
            </w:r>
            <w:proofErr w:type="spellStart"/>
            <w:r w:rsidR="0093467E" w:rsidRPr="00216207">
              <w:rPr>
                <w:sz w:val="17"/>
                <w:szCs w:val="17"/>
                <w:lang w:eastAsia="fr-CA"/>
              </w:rPr>
              <w:t>EnergyAustralia</w:t>
            </w:r>
            <w:proofErr w:type="spellEnd"/>
            <w:r w:rsidR="0093467E" w:rsidRPr="00216207">
              <w:rPr>
                <w:sz w:val="17"/>
                <w:szCs w:val="17"/>
                <w:lang w:eastAsia="fr-CA"/>
              </w:rPr>
              <w:t xml:space="preserve"> did not think this was appropriate if it was not the service provider’s fault.</w:t>
            </w:r>
          </w:p>
          <w:p w14:paraId="2EEF4975" w14:textId="77777777" w:rsidR="005E17D5" w:rsidRPr="00216207" w:rsidRDefault="00BA1BB4" w:rsidP="00120702">
            <w:pPr>
              <w:pStyle w:val="TableBullet1"/>
              <w:spacing w:line="247" w:lineRule="auto"/>
              <w:rPr>
                <w:sz w:val="17"/>
                <w:szCs w:val="17"/>
                <w:lang w:eastAsia="fr-CA"/>
              </w:rPr>
            </w:pPr>
            <w:r w:rsidRPr="00216207">
              <w:rPr>
                <w:sz w:val="17"/>
                <w:szCs w:val="17"/>
                <w:lang w:eastAsia="fr-CA"/>
              </w:rPr>
              <w:t xml:space="preserve">Service providers agreeing with the approach </w:t>
            </w:r>
            <w:r w:rsidR="0093467E" w:rsidRPr="00216207">
              <w:rPr>
                <w:sz w:val="17"/>
                <w:szCs w:val="17"/>
                <w:lang w:eastAsia="fr-CA"/>
              </w:rPr>
              <w:t>set out in the draft Operational GTA Code.</w:t>
            </w:r>
          </w:p>
        </w:tc>
      </w:tr>
      <w:tr w:rsidR="00682A95" w:rsidRPr="00120702" w14:paraId="258E49E8" w14:textId="77777777" w:rsidTr="003022E1">
        <w:trPr>
          <w:cnfStyle w:val="000000010000" w:firstRow="0" w:lastRow="0" w:firstColumn="0" w:lastColumn="0" w:oddVBand="0" w:evenVBand="0" w:oddHBand="0" w:evenHBand="1" w:firstRowFirstColumn="0" w:firstRowLastColumn="0" w:lastRowFirstColumn="0" w:lastRowLastColumn="0"/>
          <w:cantSplit/>
        </w:trPr>
        <w:tc>
          <w:tcPr>
            <w:tcW w:w="155" w:type="pct"/>
            <w:vMerge w:val="restart"/>
            <w:shd w:val="clear" w:color="auto" w:fill="auto"/>
            <w:textDirection w:val="btLr"/>
          </w:tcPr>
          <w:p w14:paraId="6CA983DC" w14:textId="77777777" w:rsidR="00682A95" w:rsidRPr="00120702" w:rsidRDefault="00682A95" w:rsidP="00120702">
            <w:pPr>
              <w:pStyle w:val="TableBodyText"/>
              <w:spacing w:line="247" w:lineRule="auto"/>
              <w:rPr>
                <w:sz w:val="17"/>
                <w:szCs w:val="17"/>
                <w:lang w:eastAsia="fr-CA"/>
              </w:rPr>
            </w:pPr>
            <w:r w:rsidRPr="00120702">
              <w:rPr>
                <w:sz w:val="17"/>
                <w:szCs w:val="17"/>
                <w:lang w:eastAsia="fr-CA"/>
              </w:rPr>
              <w:t xml:space="preserve">General liability </w:t>
            </w:r>
          </w:p>
        </w:tc>
        <w:tc>
          <w:tcPr>
            <w:tcW w:w="672" w:type="pct"/>
            <w:shd w:val="clear" w:color="auto" w:fill="auto"/>
          </w:tcPr>
          <w:p w14:paraId="3E3489A8" w14:textId="77777777" w:rsidR="00682A95" w:rsidRPr="00120702" w:rsidRDefault="00682A95" w:rsidP="00120702">
            <w:pPr>
              <w:pStyle w:val="TableBodyText"/>
              <w:spacing w:line="247" w:lineRule="auto"/>
              <w:rPr>
                <w:sz w:val="17"/>
                <w:szCs w:val="17"/>
                <w:lang w:eastAsia="fr-CA"/>
              </w:rPr>
            </w:pPr>
            <w:r w:rsidRPr="00120702">
              <w:rPr>
                <w:sz w:val="17"/>
                <w:szCs w:val="17"/>
                <w:lang w:eastAsia="fr-CA"/>
              </w:rPr>
              <w:t>Preliminary View</w:t>
            </w:r>
          </w:p>
        </w:tc>
        <w:tc>
          <w:tcPr>
            <w:tcW w:w="4173" w:type="pct"/>
            <w:shd w:val="clear" w:color="auto" w:fill="auto"/>
          </w:tcPr>
          <w:p w14:paraId="0091B9E4" w14:textId="77777777" w:rsidR="00682A95" w:rsidRPr="00120702" w:rsidRDefault="00682A95" w:rsidP="00120702">
            <w:pPr>
              <w:pStyle w:val="TableBodyText"/>
              <w:spacing w:line="247" w:lineRule="auto"/>
              <w:rPr>
                <w:sz w:val="17"/>
                <w:szCs w:val="17"/>
                <w:lang w:eastAsia="fr-CA"/>
              </w:rPr>
            </w:pPr>
            <w:r w:rsidRPr="00120702">
              <w:rPr>
                <w:sz w:val="17"/>
                <w:szCs w:val="17"/>
                <w:lang w:eastAsia="fr-CA"/>
              </w:rPr>
              <w:t>The standard terms in the draft Operational GTA Code provided for the following in relation to general liability:</w:t>
            </w:r>
          </w:p>
          <w:p w14:paraId="71951AB8" w14:textId="77777777" w:rsidR="00682A95" w:rsidRPr="00120702" w:rsidRDefault="00682A95" w:rsidP="00120702">
            <w:pPr>
              <w:pStyle w:val="TableBullet1"/>
              <w:spacing w:line="247" w:lineRule="auto"/>
              <w:rPr>
                <w:sz w:val="17"/>
                <w:szCs w:val="17"/>
                <w:lang w:eastAsia="fr-CA"/>
              </w:rPr>
            </w:pPr>
            <w:r w:rsidRPr="00120702">
              <w:rPr>
                <w:b/>
                <w:sz w:val="17"/>
                <w:szCs w:val="17"/>
                <w:lang w:eastAsia="fr-CA"/>
              </w:rPr>
              <w:t>Secondary shippers</w:t>
            </w:r>
            <w:r w:rsidRPr="00120702">
              <w:rPr>
                <w:sz w:val="17"/>
                <w:szCs w:val="17"/>
                <w:lang w:eastAsia="fr-CA"/>
              </w:rPr>
              <w:t xml:space="preserve"> – no proposed limits on liability for secondary shippers with the exception that, other than in the case of the secondary shipper’s wilful misconduct (and potentially liability for the supply of off-specification gas) the secondary shipper is not liable for the service provider’s loss of profits or revenue; and</w:t>
            </w:r>
          </w:p>
          <w:p w14:paraId="002EFC36" w14:textId="77777777" w:rsidR="00682A95" w:rsidRPr="00120702" w:rsidRDefault="00682A95" w:rsidP="00120702">
            <w:pPr>
              <w:pStyle w:val="TableBullet1"/>
              <w:spacing w:line="247" w:lineRule="auto"/>
              <w:rPr>
                <w:sz w:val="17"/>
                <w:szCs w:val="17"/>
                <w:lang w:eastAsia="fr-CA"/>
              </w:rPr>
            </w:pPr>
            <w:r w:rsidRPr="00120702">
              <w:rPr>
                <w:b/>
                <w:sz w:val="17"/>
                <w:szCs w:val="17"/>
                <w:lang w:eastAsia="fr-CA"/>
              </w:rPr>
              <w:t>Service providers</w:t>
            </w:r>
            <w:r w:rsidRPr="00120702">
              <w:rPr>
                <w:sz w:val="17"/>
                <w:szCs w:val="17"/>
                <w:lang w:eastAsia="fr-CA"/>
              </w:rPr>
              <w:t xml:space="preserve"> – except in the case of wilful misconduct, the service provider’s liability is capped at a monetary amount and the service provider is not liable for the secondary shipper’s consequential losses.</w:t>
            </w:r>
          </w:p>
        </w:tc>
      </w:tr>
      <w:tr w:rsidR="00120702" w:rsidRPr="00120702" w14:paraId="63CF6B5B" w14:textId="77777777" w:rsidTr="003022E1">
        <w:trPr>
          <w:cantSplit/>
        </w:trPr>
        <w:tc>
          <w:tcPr>
            <w:tcW w:w="155" w:type="pct"/>
            <w:vMerge/>
            <w:shd w:val="clear" w:color="auto" w:fill="auto"/>
            <w:textDirection w:val="btLr"/>
          </w:tcPr>
          <w:p w14:paraId="5EB61C27" w14:textId="77777777" w:rsidR="00120702" w:rsidRPr="00120702" w:rsidRDefault="00120702" w:rsidP="00120702">
            <w:pPr>
              <w:pStyle w:val="TableBodyText"/>
              <w:spacing w:line="247" w:lineRule="auto"/>
              <w:rPr>
                <w:sz w:val="17"/>
                <w:szCs w:val="17"/>
                <w:lang w:eastAsia="fr-CA"/>
              </w:rPr>
            </w:pPr>
          </w:p>
        </w:tc>
        <w:tc>
          <w:tcPr>
            <w:tcW w:w="672" w:type="pct"/>
            <w:shd w:val="clear" w:color="auto" w:fill="E1E2E7" w:themeFill="background2"/>
          </w:tcPr>
          <w:p w14:paraId="0B62E85A" w14:textId="77777777" w:rsidR="00120702" w:rsidRPr="00120702" w:rsidRDefault="00120702" w:rsidP="00120702">
            <w:pPr>
              <w:pStyle w:val="TableBodyText"/>
              <w:spacing w:line="247" w:lineRule="auto"/>
              <w:rPr>
                <w:sz w:val="17"/>
                <w:szCs w:val="17"/>
                <w:lang w:eastAsia="fr-CA"/>
              </w:rPr>
            </w:pPr>
            <w:r w:rsidRPr="00120702">
              <w:rPr>
                <w:sz w:val="17"/>
                <w:szCs w:val="17"/>
                <w:lang w:eastAsia="fr-CA"/>
              </w:rPr>
              <w:t xml:space="preserve">Feedback on service provider’s liability </w:t>
            </w:r>
          </w:p>
        </w:tc>
        <w:tc>
          <w:tcPr>
            <w:tcW w:w="4173" w:type="pct"/>
            <w:shd w:val="clear" w:color="auto" w:fill="E1E2E7" w:themeFill="background2"/>
          </w:tcPr>
          <w:p w14:paraId="6C78728D" w14:textId="77777777" w:rsidR="00120702" w:rsidRPr="00120702" w:rsidRDefault="00120702" w:rsidP="00120702">
            <w:pPr>
              <w:pStyle w:val="TableBodyText"/>
              <w:spacing w:line="247" w:lineRule="auto"/>
              <w:rPr>
                <w:sz w:val="17"/>
                <w:szCs w:val="17"/>
                <w:lang w:eastAsia="fr-CA"/>
              </w:rPr>
            </w:pPr>
            <w:r w:rsidRPr="00120702">
              <w:rPr>
                <w:sz w:val="17"/>
                <w:szCs w:val="17"/>
                <w:lang w:eastAsia="fr-CA"/>
              </w:rPr>
              <w:t xml:space="preserve">Most stakeholders agreed that a service provider’s liability should be capped, but differing views were expressed on the level of the cap. For example, AGL thought the cap should be a function of the face value of the transaction; Shell suggested the limits be mutual and set at $5 million per event; </w:t>
            </w:r>
            <w:proofErr w:type="spellStart"/>
            <w:r w:rsidRPr="00120702">
              <w:rPr>
                <w:sz w:val="17"/>
                <w:szCs w:val="17"/>
                <w:lang w:eastAsia="fr-CA"/>
              </w:rPr>
              <w:t>Senex</w:t>
            </w:r>
            <w:proofErr w:type="spellEnd"/>
            <w:r w:rsidRPr="00120702">
              <w:rPr>
                <w:sz w:val="17"/>
                <w:szCs w:val="17"/>
                <w:lang w:eastAsia="fr-CA"/>
              </w:rPr>
              <w:t xml:space="preserve"> </w:t>
            </w:r>
            <w:r w:rsidR="004069EF">
              <w:rPr>
                <w:sz w:val="17"/>
                <w:szCs w:val="17"/>
                <w:lang w:eastAsia="fr-CA"/>
              </w:rPr>
              <w:t>proposed</w:t>
            </w:r>
            <w:r w:rsidRPr="00120702">
              <w:rPr>
                <w:sz w:val="17"/>
                <w:szCs w:val="17"/>
                <w:lang w:eastAsia="fr-CA"/>
              </w:rPr>
              <w:t xml:space="preserve"> a standard cap of $20 million; APA suggested the cap be set at 10% of the charges paid by the user. APLNG, on the other hand, </w:t>
            </w:r>
            <w:r w:rsidR="004069EF">
              <w:rPr>
                <w:sz w:val="17"/>
                <w:szCs w:val="17"/>
                <w:lang w:eastAsia="fr-CA"/>
              </w:rPr>
              <w:t xml:space="preserve">suggested </w:t>
            </w:r>
            <w:r w:rsidRPr="00120702">
              <w:rPr>
                <w:sz w:val="17"/>
                <w:szCs w:val="17"/>
                <w:lang w:eastAsia="fr-CA"/>
              </w:rPr>
              <w:t>there be no monetary cap, but consequential loss should be excluded.</w:t>
            </w:r>
          </w:p>
        </w:tc>
      </w:tr>
      <w:tr w:rsidR="006E51A1" w:rsidRPr="00120702" w14:paraId="59B636B0" w14:textId="77777777" w:rsidTr="003022E1">
        <w:trPr>
          <w:cnfStyle w:val="000000010000" w:firstRow="0" w:lastRow="0" w:firstColumn="0" w:lastColumn="0" w:oddVBand="0" w:evenVBand="0" w:oddHBand="0" w:evenHBand="1" w:firstRowFirstColumn="0" w:firstRowLastColumn="0" w:lastRowFirstColumn="0" w:lastRowLastColumn="0"/>
          <w:cantSplit/>
        </w:trPr>
        <w:tc>
          <w:tcPr>
            <w:tcW w:w="155" w:type="pct"/>
            <w:vMerge/>
            <w:shd w:val="clear" w:color="auto" w:fill="auto"/>
          </w:tcPr>
          <w:p w14:paraId="27565DB3" w14:textId="77777777" w:rsidR="006E51A1" w:rsidRPr="00120702" w:rsidRDefault="006E51A1" w:rsidP="00120702">
            <w:pPr>
              <w:pStyle w:val="TableBodyText"/>
              <w:spacing w:line="247" w:lineRule="auto"/>
              <w:rPr>
                <w:sz w:val="17"/>
                <w:szCs w:val="17"/>
                <w:lang w:eastAsia="fr-CA"/>
              </w:rPr>
            </w:pPr>
          </w:p>
        </w:tc>
        <w:tc>
          <w:tcPr>
            <w:tcW w:w="672" w:type="pct"/>
            <w:shd w:val="clear" w:color="auto" w:fill="auto"/>
          </w:tcPr>
          <w:p w14:paraId="37555520" w14:textId="77777777" w:rsidR="006E51A1" w:rsidRPr="00120702" w:rsidRDefault="006E51A1" w:rsidP="00120702">
            <w:pPr>
              <w:pStyle w:val="TableBodyText"/>
              <w:spacing w:line="247" w:lineRule="auto"/>
              <w:rPr>
                <w:sz w:val="17"/>
                <w:szCs w:val="17"/>
                <w:lang w:eastAsia="fr-CA"/>
              </w:rPr>
            </w:pPr>
            <w:r w:rsidRPr="00120702">
              <w:rPr>
                <w:sz w:val="17"/>
                <w:szCs w:val="17"/>
                <w:lang w:eastAsia="fr-CA"/>
              </w:rPr>
              <w:t xml:space="preserve">Feedback on secondary shipper’s liability </w:t>
            </w:r>
          </w:p>
        </w:tc>
        <w:tc>
          <w:tcPr>
            <w:tcW w:w="4173" w:type="pct"/>
            <w:shd w:val="clear" w:color="auto" w:fill="auto"/>
          </w:tcPr>
          <w:p w14:paraId="5FAF6FD6" w14:textId="77777777" w:rsidR="006E51A1" w:rsidRPr="00120702" w:rsidRDefault="006E51A1" w:rsidP="003022E1">
            <w:pPr>
              <w:pStyle w:val="TableBodyText"/>
              <w:spacing w:before="0" w:line="247" w:lineRule="auto"/>
              <w:rPr>
                <w:sz w:val="17"/>
                <w:szCs w:val="17"/>
                <w:lang w:eastAsia="fr-CA"/>
              </w:rPr>
            </w:pPr>
            <w:r w:rsidRPr="00120702">
              <w:rPr>
                <w:sz w:val="17"/>
                <w:szCs w:val="17"/>
                <w:lang w:eastAsia="fr-CA"/>
              </w:rPr>
              <w:t xml:space="preserve">Shippers and service providers views </w:t>
            </w:r>
            <w:r w:rsidR="004069EF">
              <w:rPr>
                <w:sz w:val="17"/>
                <w:szCs w:val="17"/>
                <w:lang w:eastAsia="fr-CA"/>
              </w:rPr>
              <w:t xml:space="preserve">were </w:t>
            </w:r>
            <w:r w:rsidRPr="00120702">
              <w:rPr>
                <w:sz w:val="17"/>
                <w:szCs w:val="17"/>
                <w:lang w:eastAsia="fr-CA"/>
              </w:rPr>
              <w:t>divided on the general liability that secondary shippers should have with:</w:t>
            </w:r>
          </w:p>
          <w:p w14:paraId="68623BF5" w14:textId="77777777" w:rsidR="00120702" w:rsidRPr="00120702" w:rsidRDefault="006E51A1" w:rsidP="003022E1">
            <w:pPr>
              <w:pStyle w:val="TableBullet1"/>
              <w:spacing w:before="0" w:line="247" w:lineRule="auto"/>
              <w:rPr>
                <w:sz w:val="17"/>
                <w:szCs w:val="17"/>
                <w:lang w:eastAsia="fr-CA"/>
              </w:rPr>
            </w:pPr>
            <w:r w:rsidRPr="00120702">
              <w:rPr>
                <w:sz w:val="17"/>
                <w:szCs w:val="17"/>
                <w:lang w:eastAsia="fr-CA"/>
              </w:rPr>
              <w:t xml:space="preserve">Shippers </w:t>
            </w:r>
            <w:r w:rsidR="004069EF">
              <w:rPr>
                <w:sz w:val="17"/>
                <w:szCs w:val="17"/>
                <w:lang w:eastAsia="fr-CA"/>
              </w:rPr>
              <w:t xml:space="preserve">claiming </w:t>
            </w:r>
            <w:r w:rsidRPr="00120702">
              <w:rPr>
                <w:sz w:val="17"/>
                <w:szCs w:val="17"/>
                <w:lang w:eastAsia="fr-CA"/>
              </w:rPr>
              <w:t xml:space="preserve">that </w:t>
            </w:r>
            <w:r w:rsidR="00120702" w:rsidRPr="00120702">
              <w:rPr>
                <w:sz w:val="17"/>
                <w:szCs w:val="17"/>
                <w:lang w:eastAsia="fr-CA"/>
              </w:rPr>
              <w:t xml:space="preserve">uncapped liability will act as a barrier to entry and </w:t>
            </w:r>
            <w:r w:rsidRPr="00120702">
              <w:rPr>
                <w:sz w:val="17"/>
                <w:szCs w:val="17"/>
                <w:lang w:eastAsia="fr-CA"/>
              </w:rPr>
              <w:t xml:space="preserve">should </w:t>
            </w:r>
            <w:r w:rsidR="00120702" w:rsidRPr="00120702">
              <w:rPr>
                <w:sz w:val="17"/>
                <w:szCs w:val="17"/>
                <w:lang w:eastAsia="fr-CA"/>
              </w:rPr>
              <w:t xml:space="preserve">therefore </w:t>
            </w:r>
            <w:r w:rsidRPr="00120702">
              <w:rPr>
                <w:sz w:val="17"/>
                <w:szCs w:val="17"/>
                <w:lang w:eastAsia="fr-CA"/>
              </w:rPr>
              <w:t>be capped</w:t>
            </w:r>
            <w:r w:rsidR="00120702" w:rsidRPr="00120702">
              <w:rPr>
                <w:sz w:val="17"/>
                <w:szCs w:val="17"/>
                <w:lang w:eastAsia="fr-CA"/>
              </w:rPr>
              <w:t xml:space="preserve">. Shippers expressed differing views though on the level of the cap and whether it should be limited to direct losses. For example: </w:t>
            </w:r>
            <w:r w:rsidRPr="00120702">
              <w:rPr>
                <w:sz w:val="17"/>
                <w:szCs w:val="17"/>
                <w:lang w:eastAsia="fr-CA"/>
              </w:rPr>
              <w:t xml:space="preserve">AGL </w:t>
            </w:r>
            <w:r w:rsidR="00120702" w:rsidRPr="00120702">
              <w:rPr>
                <w:sz w:val="17"/>
                <w:szCs w:val="17"/>
                <w:lang w:eastAsia="fr-CA"/>
              </w:rPr>
              <w:t xml:space="preserve">suggested </w:t>
            </w:r>
            <w:r w:rsidRPr="00120702">
              <w:rPr>
                <w:sz w:val="17"/>
                <w:szCs w:val="17"/>
                <w:lang w:eastAsia="fr-CA"/>
              </w:rPr>
              <w:t xml:space="preserve">the cap be </w:t>
            </w:r>
            <w:r w:rsidR="00120702" w:rsidRPr="00120702">
              <w:rPr>
                <w:sz w:val="17"/>
                <w:szCs w:val="17"/>
                <w:lang w:eastAsia="fr-CA"/>
              </w:rPr>
              <w:t xml:space="preserve">expressed as </w:t>
            </w:r>
            <w:r w:rsidRPr="00120702">
              <w:rPr>
                <w:sz w:val="17"/>
                <w:szCs w:val="17"/>
                <w:lang w:eastAsia="fr-CA"/>
              </w:rPr>
              <w:t>a function of the face value of the transaction</w:t>
            </w:r>
            <w:r w:rsidR="00120702" w:rsidRPr="00120702">
              <w:rPr>
                <w:sz w:val="17"/>
                <w:szCs w:val="17"/>
                <w:lang w:eastAsia="fr-CA"/>
              </w:rPr>
              <w:t>;</w:t>
            </w:r>
            <w:r w:rsidRPr="00120702">
              <w:rPr>
                <w:sz w:val="17"/>
                <w:szCs w:val="17"/>
                <w:lang w:eastAsia="fr-CA"/>
              </w:rPr>
              <w:t xml:space="preserve"> </w:t>
            </w:r>
            <w:proofErr w:type="spellStart"/>
            <w:r w:rsidRPr="00120702">
              <w:rPr>
                <w:sz w:val="17"/>
                <w:szCs w:val="17"/>
                <w:lang w:eastAsia="fr-CA"/>
              </w:rPr>
              <w:t>EnergyAustralia</w:t>
            </w:r>
            <w:proofErr w:type="spellEnd"/>
            <w:r w:rsidRPr="00120702">
              <w:rPr>
                <w:sz w:val="17"/>
                <w:szCs w:val="17"/>
                <w:lang w:eastAsia="fr-CA"/>
              </w:rPr>
              <w:t xml:space="preserve"> suggested </w:t>
            </w:r>
            <w:r w:rsidR="00120702" w:rsidRPr="00120702">
              <w:rPr>
                <w:sz w:val="17"/>
                <w:szCs w:val="17"/>
                <w:lang w:eastAsia="fr-CA"/>
              </w:rPr>
              <w:t xml:space="preserve">the cap be </w:t>
            </w:r>
            <w:r w:rsidRPr="00120702">
              <w:rPr>
                <w:sz w:val="17"/>
                <w:szCs w:val="17"/>
                <w:lang w:eastAsia="fr-CA"/>
              </w:rPr>
              <w:t xml:space="preserve">based on the percentage of value of </w:t>
            </w:r>
            <w:r w:rsidR="004069EF">
              <w:rPr>
                <w:sz w:val="17"/>
                <w:szCs w:val="17"/>
                <w:lang w:eastAsia="fr-CA"/>
              </w:rPr>
              <w:t xml:space="preserve">the </w:t>
            </w:r>
            <w:r w:rsidRPr="00120702">
              <w:rPr>
                <w:sz w:val="17"/>
                <w:szCs w:val="17"/>
                <w:lang w:eastAsia="fr-CA"/>
              </w:rPr>
              <w:t xml:space="preserve">remaining contract; Shell </w:t>
            </w:r>
            <w:r w:rsidR="00120702" w:rsidRPr="00120702">
              <w:rPr>
                <w:sz w:val="17"/>
                <w:szCs w:val="17"/>
                <w:lang w:eastAsia="fr-CA"/>
              </w:rPr>
              <w:t xml:space="preserve">suggested </w:t>
            </w:r>
            <w:r w:rsidRPr="00120702">
              <w:rPr>
                <w:sz w:val="17"/>
                <w:szCs w:val="17"/>
                <w:lang w:eastAsia="fr-CA"/>
              </w:rPr>
              <w:t xml:space="preserve">a </w:t>
            </w:r>
            <w:r w:rsidR="00120702" w:rsidRPr="00120702">
              <w:rPr>
                <w:sz w:val="17"/>
                <w:szCs w:val="17"/>
                <w:lang w:eastAsia="fr-CA"/>
              </w:rPr>
              <w:t xml:space="preserve">monetary </w:t>
            </w:r>
            <w:r w:rsidRPr="00120702">
              <w:rPr>
                <w:sz w:val="17"/>
                <w:szCs w:val="17"/>
                <w:lang w:eastAsia="fr-CA"/>
              </w:rPr>
              <w:t xml:space="preserve">cap and </w:t>
            </w:r>
            <w:r w:rsidR="00120702" w:rsidRPr="00120702">
              <w:rPr>
                <w:sz w:val="17"/>
                <w:szCs w:val="17"/>
                <w:lang w:eastAsia="fr-CA"/>
              </w:rPr>
              <w:t>limitation</w:t>
            </w:r>
            <w:r w:rsidRPr="00120702">
              <w:rPr>
                <w:sz w:val="17"/>
                <w:szCs w:val="17"/>
                <w:lang w:eastAsia="fr-CA"/>
              </w:rPr>
              <w:t xml:space="preserve"> of liability to direct losses</w:t>
            </w:r>
            <w:r w:rsidR="004069EF">
              <w:rPr>
                <w:sz w:val="17"/>
                <w:szCs w:val="17"/>
                <w:lang w:eastAsia="fr-CA"/>
              </w:rPr>
              <w:t>;</w:t>
            </w:r>
            <w:r w:rsidRPr="00120702">
              <w:rPr>
                <w:sz w:val="17"/>
                <w:szCs w:val="17"/>
                <w:lang w:eastAsia="fr-CA"/>
              </w:rPr>
              <w:t xml:space="preserve"> </w:t>
            </w:r>
            <w:proofErr w:type="spellStart"/>
            <w:r w:rsidRPr="00120702">
              <w:rPr>
                <w:sz w:val="17"/>
                <w:szCs w:val="17"/>
                <w:lang w:eastAsia="fr-CA"/>
              </w:rPr>
              <w:t>Senex</w:t>
            </w:r>
            <w:proofErr w:type="spellEnd"/>
            <w:r w:rsidRPr="00120702">
              <w:rPr>
                <w:sz w:val="17"/>
                <w:szCs w:val="17"/>
                <w:lang w:eastAsia="fr-CA"/>
              </w:rPr>
              <w:t xml:space="preserve"> suggested a </w:t>
            </w:r>
            <w:r w:rsidR="00120702" w:rsidRPr="00120702">
              <w:rPr>
                <w:sz w:val="17"/>
                <w:szCs w:val="17"/>
                <w:lang w:eastAsia="fr-CA"/>
              </w:rPr>
              <w:t xml:space="preserve">standard cap of </w:t>
            </w:r>
            <w:r w:rsidRPr="00120702">
              <w:rPr>
                <w:sz w:val="17"/>
                <w:szCs w:val="17"/>
                <w:lang w:eastAsia="fr-CA"/>
              </w:rPr>
              <w:t>$20 million</w:t>
            </w:r>
            <w:r w:rsidR="004069EF">
              <w:rPr>
                <w:sz w:val="17"/>
                <w:szCs w:val="17"/>
                <w:lang w:eastAsia="fr-CA"/>
              </w:rPr>
              <w:t>;</w:t>
            </w:r>
            <w:r w:rsidRPr="00120702">
              <w:rPr>
                <w:sz w:val="17"/>
                <w:szCs w:val="17"/>
                <w:lang w:eastAsia="fr-CA"/>
              </w:rPr>
              <w:t xml:space="preserve"> APLNG suggested a monetary cap </w:t>
            </w:r>
            <w:r w:rsidR="00120702" w:rsidRPr="00120702">
              <w:rPr>
                <w:sz w:val="17"/>
                <w:szCs w:val="17"/>
                <w:lang w:eastAsia="fr-CA"/>
              </w:rPr>
              <w:t>and proposed a limitation to direct loss;</w:t>
            </w:r>
            <w:r w:rsidR="009551D6">
              <w:rPr>
                <w:sz w:val="17"/>
                <w:szCs w:val="17"/>
                <w:lang w:eastAsia="fr-CA"/>
              </w:rPr>
              <w:t xml:space="preserve"> and</w:t>
            </w:r>
          </w:p>
          <w:p w14:paraId="1BA31054" w14:textId="77777777" w:rsidR="006E51A1" w:rsidRPr="00120702" w:rsidRDefault="00120702" w:rsidP="003022E1">
            <w:pPr>
              <w:pStyle w:val="TableBullet1"/>
              <w:spacing w:before="0" w:line="247" w:lineRule="auto"/>
              <w:rPr>
                <w:sz w:val="17"/>
                <w:szCs w:val="17"/>
                <w:lang w:eastAsia="fr-CA"/>
              </w:rPr>
            </w:pPr>
            <w:r w:rsidRPr="00120702">
              <w:rPr>
                <w:sz w:val="17"/>
                <w:szCs w:val="17"/>
                <w:lang w:eastAsia="fr-CA"/>
              </w:rPr>
              <w:t xml:space="preserve">Service providers generally comfortable with the proposed approach in the draft Operational GTA Code, subject to some caveats. Jemena also stated that it is common in competitive markets for a service provider’s liability to be limited, but not that of the shipper. APA also stated that it was speculative whether these arrangements would act as a barrier to entry.  </w:t>
            </w:r>
          </w:p>
        </w:tc>
      </w:tr>
      <w:tr w:rsidR="004E61EA" w:rsidRPr="00120702" w14:paraId="70BB6D34" w14:textId="77777777" w:rsidTr="003022E1">
        <w:trPr>
          <w:cantSplit/>
          <w:trHeight w:val="90"/>
        </w:trPr>
        <w:tc>
          <w:tcPr>
            <w:tcW w:w="155" w:type="pct"/>
            <w:vMerge w:val="restart"/>
            <w:shd w:val="clear" w:color="auto" w:fill="E1E2E7" w:themeFill="background2"/>
            <w:textDirection w:val="btLr"/>
          </w:tcPr>
          <w:p w14:paraId="3E5CE56A" w14:textId="77777777" w:rsidR="004E61EA" w:rsidRPr="00120702" w:rsidRDefault="004E61EA" w:rsidP="00120702">
            <w:pPr>
              <w:pStyle w:val="TableBodyText"/>
              <w:spacing w:line="247" w:lineRule="auto"/>
              <w:jc w:val="center"/>
              <w:rPr>
                <w:sz w:val="17"/>
                <w:szCs w:val="17"/>
                <w:lang w:eastAsia="fr-CA"/>
              </w:rPr>
            </w:pPr>
            <w:r w:rsidRPr="00120702">
              <w:rPr>
                <w:sz w:val="17"/>
                <w:szCs w:val="17"/>
                <w:lang w:eastAsia="fr-CA"/>
              </w:rPr>
              <w:t>Credit support</w:t>
            </w:r>
          </w:p>
        </w:tc>
        <w:tc>
          <w:tcPr>
            <w:tcW w:w="672" w:type="pct"/>
            <w:shd w:val="clear" w:color="auto" w:fill="E1E2E7" w:themeFill="background2"/>
          </w:tcPr>
          <w:p w14:paraId="0CD9E76E" w14:textId="77777777" w:rsidR="004E61EA" w:rsidRPr="00120702" w:rsidRDefault="004E61EA" w:rsidP="00120702">
            <w:pPr>
              <w:pStyle w:val="TableBodyText"/>
              <w:spacing w:line="247" w:lineRule="auto"/>
              <w:rPr>
                <w:sz w:val="17"/>
                <w:szCs w:val="17"/>
                <w:lang w:eastAsia="fr-CA"/>
              </w:rPr>
            </w:pPr>
            <w:r w:rsidRPr="00120702">
              <w:rPr>
                <w:sz w:val="17"/>
                <w:szCs w:val="17"/>
                <w:lang w:eastAsia="fr-CA"/>
              </w:rPr>
              <w:t>Preliminary View</w:t>
            </w:r>
          </w:p>
        </w:tc>
        <w:tc>
          <w:tcPr>
            <w:tcW w:w="4173" w:type="pct"/>
            <w:shd w:val="clear" w:color="auto" w:fill="E1E2E7" w:themeFill="background2"/>
          </w:tcPr>
          <w:p w14:paraId="1E902B39" w14:textId="77777777" w:rsidR="001F523F" w:rsidRPr="00120702" w:rsidRDefault="001F523F" w:rsidP="003022E1">
            <w:pPr>
              <w:pStyle w:val="TableBodyText"/>
              <w:spacing w:before="0" w:line="247" w:lineRule="auto"/>
              <w:rPr>
                <w:sz w:val="17"/>
                <w:szCs w:val="17"/>
                <w:lang w:eastAsia="fr-CA"/>
              </w:rPr>
            </w:pPr>
            <w:r w:rsidRPr="00120702">
              <w:rPr>
                <w:sz w:val="17"/>
                <w:szCs w:val="17"/>
                <w:lang w:eastAsia="fr-CA"/>
              </w:rPr>
              <w:t xml:space="preserve">The standard terms in the </w:t>
            </w:r>
            <w:r w:rsidR="004069EF">
              <w:rPr>
                <w:sz w:val="17"/>
                <w:szCs w:val="17"/>
                <w:lang w:eastAsia="fr-CA"/>
              </w:rPr>
              <w:t xml:space="preserve">draft </w:t>
            </w:r>
            <w:r w:rsidRPr="00120702">
              <w:rPr>
                <w:sz w:val="17"/>
                <w:szCs w:val="17"/>
                <w:lang w:eastAsia="fr-CA"/>
              </w:rPr>
              <w:t>Operational GTA Code provide</w:t>
            </w:r>
            <w:r w:rsidR="004069EF">
              <w:rPr>
                <w:sz w:val="17"/>
                <w:szCs w:val="17"/>
                <w:lang w:eastAsia="fr-CA"/>
              </w:rPr>
              <w:t>d</w:t>
            </w:r>
            <w:r w:rsidRPr="00120702">
              <w:rPr>
                <w:sz w:val="17"/>
                <w:szCs w:val="17"/>
                <w:lang w:eastAsia="fr-CA"/>
              </w:rPr>
              <w:t xml:space="preserve"> for:</w:t>
            </w:r>
          </w:p>
          <w:p w14:paraId="1BD6EF65" w14:textId="77777777" w:rsidR="004E61EA" w:rsidRPr="00120702" w:rsidRDefault="001F523F" w:rsidP="003022E1">
            <w:pPr>
              <w:pStyle w:val="TableBullet1"/>
              <w:spacing w:before="0" w:line="247" w:lineRule="auto"/>
              <w:rPr>
                <w:sz w:val="17"/>
                <w:szCs w:val="17"/>
                <w:lang w:eastAsia="fr-CA"/>
              </w:rPr>
            </w:pPr>
            <w:r w:rsidRPr="00120702">
              <w:rPr>
                <w:sz w:val="17"/>
                <w:szCs w:val="17"/>
                <w:lang w:eastAsia="fr-CA"/>
              </w:rPr>
              <w:t>secondary shippers to have appropriate third party public and product liability insurance; and</w:t>
            </w:r>
          </w:p>
          <w:p w14:paraId="1FAAA652" w14:textId="77777777" w:rsidR="001F523F" w:rsidRPr="00120702" w:rsidRDefault="001F523F" w:rsidP="003022E1">
            <w:pPr>
              <w:pStyle w:val="TableBullet1"/>
              <w:spacing w:before="0" w:line="247" w:lineRule="auto"/>
              <w:rPr>
                <w:sz w:val="17"/>
                <w:szCs w:val="17"/>
                <w:lang w:eastAsia="fr-CA"/>
              </w:rPr>
            </w:pPr>
            <w:proofErr w:type="gramStart"/>
            <w:r w:rsidRPr="00120702">
              <w:rPr>
                <w:sz w:val="17"/>
                <w:szCs w:val="17"/>
                <w:lang w:eastAsia="fr-CA"/>
              </w:rPr>
              <w:t>service</w:t>
            </w:r>
            <w:proofErr w:type="gramEnd"/>
            <w:r w:rsidRPr="00120702">
              <w:rPr>
                <w:sz w:val="17"/>
                <w:szCs w:val="17"/>
                <w:lang w:eastAsia="fr-CA"/>
              </w:rPr>
              <w:t xml:space="preserve"> providers to require credit support from the secondary shipper if the shipper’s credit rating (either directly or indirectly through a guarantee) is lower than BBB-, with the amount of credit support to be calculated as 60 days x tradable Maximum Daily Quantity</w:t>
            </w:r>
            <w:r w:rsidR="00083C01" w:rsidRPr="00120702">
              <w:rPr>
                <w:sz w:val="17"/>
                <w:szCs w:val="17"/>
                <w:lang w:eastAsia="fr-CA"/>
              </w:rPr>
              <w:t xml:space="preserve"> (MDQ)</w:t>
            </w:r>
            <w:r w:rsidRPr="00120702">
              <w:rPr>
                <w:sz w:val="17"/>
                <w:szCs w:val="17"/>
                <w:lang w:eastAsia="fr-CA"/>
              </w:rPr>
              <w:t xml:space="preserve"> (agreed to by the service provider and secondary shipper) x firm tariff.</w:t>
            </w:r>
          </w:p>
        </w:tc>
      </w:tr>
      <w:tr w:rsidR="004E61EA" w:rsidRPr="00120702" w14:paraId="17E8A143" w14:textId="77777777" w:rsidTr="003022E1">
        <w:trPr>
          <w:cnfStyle w:val="000000010000" w:firstRow="0" w:lastRow="0" w:firstColumn="0" w:lastColumn="0" w:oddVBand="0" w:evenVBand="0" w:oddHBand="0" w:evenHBand="1" w:firstRowFirstColumn="0" w:firstRowLastColumn="0" w:lastRowFirstColumn="0" w:lastRowLastColumn="0"/>
          <w:cantSplit/>
          <w:trHeight w:val="90"/>
        </w:trPr>
        <w:tc>
          <w:tcPr>
            <w:tcW w:w="155" w:type="pct"/>
            <w:vMerge/>
          </w:tcPr>
          <w:p w14:paraId="615966CA" w14:textId="77777777" w:rsidR="004E61EA" w:rsidRPr="00120702" w:rsidRDefault="004E61EA" w:rsidP="00120702">
            <w:pPr>
              <w:pStyle w:val="TableBodyText"/>
              <w:spacing w:line="247" w:lineRule="auto"/>
              <w:rPr>
                <w:sz w:val="17"/>
                <w:szCs w:val="17"/>
                <w:lang w:eastAsia="fr-CA"/>
              </w:rPr>
            </w:pPr>
          </w:p>
        </w:tc>
        <w:tc>
          <w:tcPr>
            <w:tcW w:w="672" w:type="pct"/>
            <w:shd w:val="clear" w:color="auto" w:fill="auto"/>
          </w:tcPr>
          <w:p w14:paraId="3DC939CF" w14:textId="77777777" w:rsidR="004E61EA" w:rsidRPr="00120702" w:rsidRDefault="004E61EA" w:rsidP="00120702">
            <w:pPr>
              <w:pStyle w:val="TableBodyText"/>
              <w:spacing w:line="247" w:lineRule="auto"/>
              <w:rPr>
                <w:sz w:val="17"/>
                <w:szCs w:val="17"/>
                <w:lang w:eastAsia="fr-CA"/>
              </w:rPr>
            </w:pPr>
            <w:r w:rsidRPr="00120702">
              <w:rPr>
                <w:sz w:val="17"/>
                <w:szCs w:val="17"/>
                <w:lang w:eastAsia="fr-CA"/>
              </w:rPr>
              <w:t xml:space="preserve">Feedback </w:t>
            </w:r>
            <w:r w:rsidR="001F523F" w:rsidRPr="00120702">
              <w:rPr>
                <w:sz w:val="17"/>
                <w:szCs w:val="17"/>
                <w:lang w:eastAsia="fr-CA"/>
              </w:rPr>
              <w:t>on credit rating</w:t>
            </w:r>
          </w:p>
        </w:tc>
        <w:tc>
          <w:tcPr>
            <w:tcW w:w="4173" w:type="pct"/>
            <w:shd w:val="clear" w:color="auto" w:fill="auto"/>
          </w:tcPr>
          <w:p w14:paraId="6BBB9FA6" w14:textId="77777777" w:rsidR="004E61EA" w:rsidRPr="00120702" w:rsidRDefault="001F523F" w:rsidP="003022E1">
            <w:pPr>
              <w:pStyle w:val="TableBodyText"/>
              <w:spacing w:before="0" w:line="247" w:lineRule="auto"/>
              <w:rPr>
                <w:sz w:val="17"/>
                <w:szCs w:val="17"/>
                <w:lang w:eastAsia="fr-CA"/>
              </w:rPr>
            </w:pPr>
            <w:r w:rsidRPr="00120702">
              <w:rPr>
                <w:sz w:val="17"/>
                <w:szCs w:val="17"/>
                <w:lang w:eastAsia="fr-CA"/>
              </w:rPr>
              <w:t xml:space="preserve">While shippers agreed that a credit rating threshold of BBB- was appropriate, a number of service providers opposed its use. APA, for example, </w:t>
            </w:r>
            <w:r w:rsidR="004069EF">
              <w:rPr>
                <w:sz w:val="17"/>
                <w:szCs w:val="17"/>
                <w:lang w:eastAsia="fr-CA"/>
              </w:rPr>
              <w:t>suggested</w:t>
            </w:r>
            <w:r w:rsidRPr="00120702">
              <w:rPr>
                <w:sz w:val="17"/>
                <w:szCs w:val="17"/>
                <w:lang w:eastAsia="fr-CA"/>
              </w:rPr>
              <w:t xml:space="preserve"> that service providers should be able to determine the credit support requirements in the same way they do with primary shippers and noted that a decline in credit rating may lag a deterioration in the shipper’s position. Jemena noted that BBB- was a minimum acceptable rating and that it would usually look at a broad range of factors when assessing the suitability of a shipper. Epic indicated that the requirement to assess whether a shipper had financial substance equivalent to a BBB- rating was too onerous.   </w:t>
            </w:r>
          </w:p>
        </w:tc>
      </w:tr>
      <w:tr w:rsidR="004E61EA" w:rsidRPr="00120702" w14:paraId="498364F7" w14:textId="77777777" w:rsidTr="003022E1">
        <w:trPr>
          <w:cantSplit/>
          <w:trHeight w:val="90"/>
        </w:trPr>
        <w:tc>
          <w:tcPr>
            <w:tcW w:w="155" w:type="pct"/>
            <w:vMerge/>
            <w:shd w:val="clear" w:color="auto" w:fill="E1E2E7" w:themeFill="background2"/>
          </w:tcPr>
          <w:p w14:paraId="527F47DA" w14:textId="77777777" w:rsidR="004E61EA" w:rsidRPr="00120702" w:rsidRDefault="004E61EA" w:rsidP="00120702">
            <w:pPr>
              <w:pStyle w:val="TableBodyText"/>
              <w:spacing w:line="247" w:lineRule="auto"/>
              <w:rPr>
                <w:sz w:val="17"/>
                <w:szCs w:val="17"/>
                <w:lang w:eastAsia="fr-CA"/>
              </w:rPr>
            </w:pPr>
          </w:p>
        </w:tc>
        <w:tc>
          <w:tcPr>
            <w:tcW w:w="672" w:type="pct"/>
            <w:shd w:val="clear" w:color="auto" w:fill="E1E2E7" w:themeFill="background2"/>
          </w:tcPr>
          <w:p w14:paraId="77F45F18" w14:textId="77777777" w:rsidR="004E61EA" w:rsidRPr="00120702" w:rsidRDefault="001F523F" w:rsidP="00120702">
            <w:pPr>
              <w:pStyle w:val="TableBodyText"/>
              <w:spacing w:line="247" w:lineRule="auto"/>
              <w:rPr>
                <w:sz w:val="17"/>
                <w:szCs w:val="17"/>
                <w:lang w:eastAsia="fr-CA"/>
              </w:rPr>
            </w:pPr>
            <w:r w:rsidRPr="00120702">
              <w:rPr>
                <w:sz w:val="17"/>
                <w:szCs w:val="17"/>
                <w:lang w:eastAsia="fr-CA"/>
              </w:rPr>
              <w:t>Feedback on level of credit support</w:t>
            </w:r>
          </w:p>
        </w:tc>
        <w:tc>
          <w:tcPr>
            <w:tcW w:w="4173" w:type="pct"/>
            <w:shd w:val="clear" w:color="auto" w:fill="E1E2E7" w:themeFill="background2"/>
          </w:tcPr>
          <w:p w14:paraId="74F100F2" w14:textId="77777777" w:rsidR="00083C01" w:rsidRPr="00120702" w:rsidRDefault="00083C01" w:rsidP="003022E1">
            <w:pPr>
              <w:pStyle w:val="TableBodyText"/>
              <w:spacing w:before="0" w:line="247" w:lineRule="auto"/>
              <w:rPr>
                <w:sz w:val="17"/>
                <w:szCs w:val="17"/>
                <w:lang w:eastAsia="fr-CA"/>
              </w:rPr>
            </w:pPr>
            <w:r w:rsidRPr="00120702">
              <w:rPr>
                <w:sz w:val="17"/>
                <w:szCs w:val="17"/>
                <w:lang w:eastAsia="fr-CA"/>
              </w:rPr>
              <w:t xml:space="preserve">Most stakeholders were comfortable with the formulaic approach to calculating the level of credit support but a number of shippers stated that the amount of credit support should not be equal to 100% of the face value of the MDQ and suggested that: </w:t>
            </w:r>
          </w:p>
          <w:p w14:paraId="5CBE2D09" w14:textId="77777777" w:rsidR="00083C01" w:rsidRPr="00120702" w:rsidRDefault="00083C01" w:rsidP="003022E1">
            <w:pPr>
              <w:pStyle w:val="TableBullet1"/>
              <w:spacing w:before="0" w:line="247" w:lineRule="auto"/>
              <w:rPr>
                <w:sz w:val="17"/>
                <w:szCs w:val="17"/>
                <w:lang w:eastAsia="fr-CA"/>
              </w:rPr>
            </w:pPr>
            <w:r w:rsidRPr="00120702">
              <w:rPr>
                <w:sz w:val="17"/>
                <w:szCs w:val="17"/>
                <w:lang w:eastAsia="fr-CA"/>
              </w:rPr>
              <w:t xml:space="preserve">a percentage of 20-40% may be more appropriate (AGL, </w:t>
            </w:r>
            <w:proofErr w:type="spellStart"/>
            <w:r w:rsidRPr="00120702">
              <w:rPr>
                <w:sz w:val="17"/>
                <w:szCs w:val="17"/>
                <w:lang w:eastAsia="fr-CA"/>
              </w:rPr>
              <w:t>EnergyAustralia</w:t>
            </w:r>
            <w:proofErr w:type="spellEnd"/>
            <w:r w:rsidRPr="00120702">
              <w:rPr>
                <w:sz w:val="17"/>
                <w:szCs w:val="17"/>
                <w:lang w:eastAsia="fr-CA"/>
              </w:rPr>
              <w:t>);</w:t>
            </w:r>
          </w:p>
          <w:p w14:paraId="06D2AC7B" w14:textId="77777777" w:rsidR="00083C01" w:rsidRPr="00120702" w:rsidRDefault="00083C01" w:rsidP="003022E1">
            <w:pPr>
              <w:pStyle w:val="TableBullet1"/>
              <w:spacing w:before="0" w:line="247" w:lineRule="auto"/>
              <w:rPr>
                <w:sz w:val="17"/>
                <w:szCs w:val="17"/>
                <w:lang w:eastAsia="fr-CA"/>
              </w:rPr>
            </w:pPr>
            <w:r w:rsidRPr="00120702">
              <w:rPr>
                <w:sz w:val="17"/>
                <w:szCs w:val="17"/>
                <w:lang w:eastAsia="fr-CA"/>
              </w:rPr>
              <w:t xml:space="preserve">the percentage be based on the proportion of the revenue imbalance </w:t>
            </w:r>
            <w:r w:rsidR="00682A95" w:rsidRPr="00120702">
              <w:rPr>
                <w:sz w:val="17"/>
                <w:szCs w:val="17"/>
                <w:lang w:eastAsia="fr-CA"/>
              </w:rPr>
              <w:t xml:space="preserve">and </w:t>
            </w:r>
            <w:r w:rsidRPr="00120702">
              <w:rPr>
                <w:sz w:val="17"/>
                <w:szCs w:val="17"/>
                <w:lang w:eastAsia="fr-CA"/>
              </w:rPr>
              <w:t>overrun charges typically account</w:t>
            </w:r>
            <w:r w:rsidR="00616DE7">
              <w:rPr>
                <w:sz w:val="17"/>
                <w:szCs w:val="17"/>
                <w:lang w:eastAsia="fr-CA"/>
              </w:rPr>
              <w:t>ed</w:t>
            </w:r>
            <w:r w:rsidRPr="00120702">
              <w:rPr>
                <w:sz w:val="17"/>
                <w:szCs w:val="17"/>
                <w:lang w:eastAsia="fr-CA"/>
              </w:rPr>
              <w:t xml:space="preserve"> for (</w:t>
            </w:r>
            <w:proofErr w:type="spellStart"/>
            <w:r w:rsidRPr="00120702">
              <w:rPr>
                <w:sz w:val="17"/>
                <w:szCs w:val="17"/>
                <w:lang w:eastAsia="fr-CA"/>
              </w:rPr>
              <w:t>Alinta</w:t>
            </w:r>
            <w:proofErr w:type="spellEnd"/>
            <w:r w:rsidRPr="00120702">
              <w:rPr>
                <w:sz w:val="17"/>
                <w:szCs w:val="17"/>
                <w:lang w:eastAsia="fr-CA"/>
              </w:rPr>
              <w:t>); or</w:t>
            </w:r>
          </w:p>
          <w:p w14:paraId="5B2FA7F9" w14:textId="77777777" w:rsidR="004E61EA" w:rsidRPr="00120702" w:rsidRDefault="00083C01" w:rsidP="003022E1">
            <w:pPr>
              <w:pStyle w:val="TableBullet1"/>
              <w:spacing w:before="0" w:line="247" w:lineRule="auto"/>
              <w:rPr>
                <w:sz w:val="17"/>
                <w:szCs w:val="17"/>
                <w:lang w:eastAsia="fr-CA"/>
              </w:rPr>
            </w:pPr>
            <w:proofErr w:type="gramStart"/>
            <w:r w:rsidRPr="00120702">
              <w:rPr>
                <w:sz w:val="17"/>
                <w:szCs w:val="17"/>
                <w:lang w:eastAsia="fr-CA"/>
              </w:rPr>
              <w:t>the</w:t>
            </w:r>
            <w:proofErr w:type="gramEnd"/>
            <w:r w:rsidRPr="00120702">
              <w:rPr>
                <w:sz w:val="17"/>
                <w:szCs w:val="17"/>
                <w:lang w:eastAsia="fr-CA"/>
              </w:rPr>
              <w:t xml:space="preserve"> percentage should be based on the proportion of MDQ that is being used (</w:t>
            </w:r>
            <w:proofErr w:type="spellStart"/>
            <w:r w:rsidRPr="00120702">
              <w:rPr>
                <w:sz w:val="17"/>
                <w:szCs w:val="17"/>
                <w:lang w:eastAsia="fr-CA"/>
              </w:rPr>
              <w:t>Senex</w:t>
            </w:r>
            <w:proofErr w:type="spellEnd"/>
            <w:r w:rsidRPr="00120702">
              <w:rPr>
                <w:sz w:val="17"/>
                <w:szCs w:val="17"/>
                <w:lang w:eastAsia="fr-CA"/>
              </w:rPr>
              <w:t xml:space="preserve">). </w:t>
            </w:r>
          </w:p>
          <w:p w14:paraId="4E4BEBA0" w14:textId="77777777" w:rsidR="00682A95" w:rsidRPr="00120702" w:rsidRDefault="00682A95" w:rsidP="003022E1">
            <w:pPr>
              <w:pStyle w:val="TableBullet1"/>
              <w:numPr>
                <w:ilvl w:val="0"/>
                <w:numId w:val="0"/>
              </w:numPr>
              <w:spacing w:before="0" w:line="247" w:lineRule="auto"/>
              <w:ind w:left="85"/>
              <w:rPr>
                <w:sz w:val="17"/>
                <w:szCs w:val="17"/>
                <w:lang w:eastAsia="fr-CA"/>
              </w:rPr>
            </w:pPr>
            <w:r w:rsidRPr="00120702">
              <w:rPr>
                <w:sz w:val="17"/>
                <w:szCs w:val="17"/>
                <w:lang w:eastAsia="fr-CA"/>
              </w:rPr>
              <w:t xml:space="preserve">Other shippers, on the other hand, were comfortable with the formula in the draft Operational </w:t>
            </w:r>
            <w:r w:rsidR="004069EF">
              <w:rPr>
                <w:sz w:val="17"/>
                <w:szCs w:val="17"/>
                <w:lang w:eastAsia="fr-CA"/>
              </w:rPr>
              <w:t xml:space="preserve">GTA </w:t>
            </w:r>
            <w:r w:rsidRPr="00120702">
              <w:rPr>
                <w:sz w:val="17"/>
                <w:szCs w:val="17"/>
                <w:lang w:eastAsia="fr-CA"/>
              </w:rPr>
              <w:t>Code. A number of shippers also noted that the higher the level of credit support, the more likely it was to act as a barrier to entry. AGL also noted that credit support should be designed to cover charges such as imbalance and overrun charges and not to deal with risks such as off-specification gas.</w:t>
            </w:r>
          </w:p>
          <w:p w14:paraId="519B2FBE" w14:textId="77777777" w:rsidR="00083C01" w:rsidRPr="00120702" w:rsidRDefault="00083C01" w:rsidP="003022E1">
            <w:pPr>
              <w:pStyle w:val="TableBodyText"/>
              <w:spacing w:before="0" w:line="247" w:lineRule="auto"/>
              <w:rPr>
                <w:sz w:val="17"/>
                <w:szCs w:val="17"/>
                <w:lang w:eastAsia="fr-CA"/>
              </w:rPr>
            </w:pPr>
            <w:r w:rsidRPr="00120702">
              <w:rPr>
                <w:sz w:val="17"/>
                <w:szCs w:val="17"/>
                <w:lang w:eastAsia="fr-CA"/>
              </w:rPr>
              <w:t xml:space="preserve">APA and APGA, on the other hand, </w:t>
            </w:r>
            <w:r w:rsidR="004069EF">
              <w:rPr>
                <w:sz w:val="17"/>
                <w:szCs w:val="17"/>
                <w:lang w:eastAsia="fr-CA"/>
              </w:rPr>
              <w:t>suggested</w:t>
            </w:r>
            <w:r w:rsidRPr="00120702">
              <w:rPr>
                <w:sz w:val="17"/>
                <w:szCs w:val="17"/>
                <w:lang w:eastAsia="fr-CA"/>
              </w:rPr>
              <w:t xml:space="preserve"> that the quantum of credit support should be up to the service provider and the standard terms should just require the service provider to act reasonably and consistently with primary shipper practice. Jemena also noted that the proposed levels of credit support did not adequately replace the ability to choose who will have access to the infrastructure. </w:t>
            </w:r>
          </w:p>
        </w:tc>
      </w:tr>
      <w:tr w:rsidR="0093467E" w:rsidRPr="00120702" w14:paraId="152C4AB3" w14:textId="77777777" w:rsidTr="003022E1">
        <w:trPr>
          <w:cnfStyle w:val="000000010000" w:firstRow="0" w:lastRow="0" w:firstColumn="0" w:lastColumn="0" w:oddVBand="0" w:evenVBand="0" w:oddHBand="0" w:evenHBand="1" w:firstRowFirstColumn="0" w:firstRowLastColumn="0" w:lastRowFirstColumn="0" w:lastRowLastColumn="0"/>
          <w:cantSplit/>
          <w:trHeight w:val="206"/>
        </w:trPr>
        <w:tc>
          <w:tcPr>
            <w:tcW w:w="155" w:type="pct"/>
            <w:vMerge w:val="restart"/>
            <w:shd w:val="clear" w:color="auto" w:fill="auto"/>
            <w:textDirection w:val="btLr"/>
          </w:tcPr>
          <w:p w14:paraId="50C52282" w14:textId="77777777" w:rsidR="0093467E" w:rsidRPr="00120702" w:rsidRDefault="0093467E" w:rsidP="00120702">
            <w:pPr>
              <w:pStyle w:val="TableBodyText"/>
              <w:spacing w:line="247" w:lineRule="auto"/>
              <w:jc w:val="center"/>
              <w:rPr>
                <w:sz w:val="17"/>
                <w:szCs w:val="17"/>
                <w:lang w:eastAsia="fr-CA"/>
              </w:rPr>
            </w:pPr>
            <w:r w:rsidRPr="00120702">
              <w:rPr>
                <w:sz w:val="17"/>
                <w:szCs w:val="17"/>
                <w:lang w:eastAsia="fr-CA"/>
              </w:rPr>
              <w:t>Imbalance trades</w:t>
            </w:r>
          </w:p>
        </w:tc>
        <w:tc>
          <w:tcPr>
            <w:tcW w:w="672" w:type="pct"/>
            <w:shd w:val="clear" w:color="auto" w:fill="auto"/>
          </w:tcPr>
          <w:p w14:paraId="35C9B9B5" w14:textId="77777777" w:rsidR="0093467E" w:rsidRPr="00120702" w:rsidRDefault="0093467E" w:rsidP="00120702">
            <w:pPr>
              <w:pStyle w:val="TableBodyText"/>
              <w:spacing w:line="247" w:lineRule="auto"/>
              <w:rPr>
                <w:sz w:val="17"/>
                <w:szCs w:val="17"/>
                <w:lang w:eastAsia="fr-CA"/>
              </w:rPr>
            </w:pPr>
            <w:r w:rsidRPr="00120702">
              <w:rPr>
                <w:sz w:val="17"/>
                <w:szCs w:val="17"/>
                <w:lang w:eastAsia="fr-CA"/>
              </w:rPr>
              <w:t>Preliminary view</w:t>
            </w:r>
          </w:p>
        </w:tc>
        <w:tc>
          <w:tcPr>
            <w:tcW w:w="4173" w:type="pct"/>
            <w:shd w:val="clear" w:color="auto" w:fill="auto"/>
          </w:tcPr>
          <w:p w14:paraId="16E61E7C" w14:textId="77777777" w:rsidR="0093467E" w:rsidRPr="00120702" w:rsidRDefault="0093467E" w:rsidP="003022E1">
            <w:pPr>
              <w:pStyle w:val="TableBodyText"/>
              <w:spacing w:before="0" w:line="247" w:lineRule="auto"/>
              <w:rPr>
                <w:sz w:val="17"/>
                <w:szCs w:val="17"/>
                <w:lang w:eastAsia="fr-CA"/>
              </w:rPr>
            </w:pPr>
            <w:r w:rsidRPr="00120702">
              <w:rPr>
                <w:sz w:val="17"/>
                <w:szCs w:val="17"/>
                <w:lang w:eastAsia="fr-CA"/>
              </w:rPr>
              <w:t xml:space="preserve">The standard terms in the draft Operational GTA Code provided for imbalances to be managed through an imbalance trade. Stakeholders were, however, asked whether there would be value in allowing service providers the option to offer either imbalance trading or an in-pipe trading, or if in-pipe trading should be the standard position rather than imbalance trades. </w:t>
            </w:r>
          </w:p>
        </w:tc>
      </w:tr>
      <w:tr w:rsidR="0093467E" w:rsidRPr="00120702" w14:paraId="2566EEDD" w14:textId="77777777" w:rsidTr="003022E1">
        <w:trPr>
          <w:cantSplit/>
          <w:trHeight w:val="205"/>
        </w:trPr>
        <w:tc>
          <w:tcPr>
            <w:tcW w:w="155" w:type="pct"/>
            <w:vMerge/>
            <w:shd w:val="clear" w:color="auto" w:fill="auto"/>
          </w:tcPr>
          <w:p w14:paraId="5F3A6BB9" w14:textId="77777777" w:rsidR="0093467E" w:rsidRPr="00120702" w:rsidRDefault="0093467E" w:rsidP="00120702">
            <w:pPr>
              <w:pStyle w:val="TableBodyText"/>
              <w:spacing w:line="247" w:lineRule="auto"/>
              <w:rPr>
                <w:sz w:val="17"/>
                <w:szCs w:val="17"/>
                <w:lang w:eastAsia="fr-CA"/>
              </w:rPr>
            </w:pPr>
          </w:p>
        </w:tc>
        <w:tc>
          <w:tcPr>
            <w:tcW w:w="672" w:type="pct"/>
            <w:shd w:val="clear" w:color="auto" w:fill="E1E2E7" w:themeFill="background2"/>
          </w:tcPr>
          <w:p w14:paraId="5F4388F9" w14:textId="77777777" w:rsidR="0093467E" w:rsidRPr="00120702" w:rsidRDefault="0093467E" w:rsidP="00120702">
            <w:pPr>
              <w:pStyle w:val="TableBodyText"/>
              <w:spacing w:line="247" w:lineRule="auto"/>
              <w:rPr>
                <w:sz w:val="17"/>
                <w:szCs w:val="17"/>
                <w:lang w:eastAsia="fr-CA"/>
              </w:rPr>
            </w:pPr>
            <w:r w:rsidRPr="00120702">
              <w:rPr>
                <w:sz w:val="17"/>
                <w:szCs w:val="17"/>
                <w:lang w:eastAsia="fr-CA"/>
              </w:rPr>
              <w:t>Feedback</w:t>
            </w:r>
          </w:p>
          <w:p w14:paraId="3CEAA075" w14:textId="77777777" w:rsidR="0093467E" w:rsidRPr="00120702" w:rsidRDefault="0093467E" w:rsidP="00120702">
            <w:pPr>
              <w:pStyle w:val="TableBodyText"/>
              <w:spacing w:line="247" w:lineRule="auto"/>
              <w:rPr>
                <w:sz w:val="17"/>
                <w:szCs w:val="17"/>
                <w:lang w:eastAsia="fr-CA"/>
              </w:rPr>
            </w:pPr>
          </w:p>
          <w:p w14:paraId="101A86D8" w14:textId="77777777" w:rsidR="0093467E" w:rsidRPr="00120702" w:rsidRDefault="0093467E" w:rsidP="00120702">
            <w:pPr>
              <w:pStyle w:val="TableBodyText"/>
              <w:spacing w:line="247" w:lineRule="auto"/>
              <w:rPr>
                <w:sz w:val="17"/>
                <w:szCs w:val="17"/>
                <w:lang w:eastAsia="fr-CA"/>
              </w:rPr>
            </w:pPr>
          </w:p>
        </w:tc>
        <w:tc>
          <w:tcPr>
            <w:tcW w:w="4173" w:type="pct"/>
            <w:shd w:val="clear" w:color="auto" w:fill="E1E2E7" w:themeFill="background2"/>
          </w:tcPr>
          <w:p w14:paraId="64B3B3E1" w14:textId="77777777" w:rsidR="004E61EA" w:rsidRPr="00120702" w:rsidRDefault="004E61EA" w:rsidP="003022E1">
            <w:pPr>
              <w:pStyle w:val="TableBodyText"/>
              <w:spacing w:before="0" w:line="247" w:lineRule="auto"/>
              <w:rPr>
                <w:sz w:val="17"/>
                <w:szCs w:val="17"/>
                <w:lang w:eastAsia="fr-CA"/>
              </w:rPr>
            </w:pPr>
            <w:r w:rsidRPr="00120702">
              <w:rPr>
                <w:sz w:val="17"/>
                <w:szCs w:val="17"/>
                <w:lang w:eastAsia="fr-CA"/>
              </w:rPr>
              <w:t xml:space="preserve">Stakeholders agreed that imbalance trading and in-pipe trades can be used to achieve the same outcome, but expressed a range of views </w:t>
            </w:r>
            <w:r w:rsidR="004069EF">
              <w:rPr>
                <w:sz w:val="17"/>
                <w:szCs w:val="17"/>
                <w:lang w:eastAsia="fr-CA"/>
              </w:rPr>
              <w:t xml:space="preserve">on </w:t>
            </w:r>
            <w:r w:rsidRPr="00120702">
              <w:rPr>
                <w:sz w:val="17"/>
                <w:szCs w:val="17"/>
                <w:lang w:eastAsia="fr-CA"/>
              </w:rPr>
              <w:t xml:space="preserve">the mechanism that should be included in the draft Operational GTA Code, with: </w:t>
            </w:r>
          </w:p>
          <w:p w14:paraId="5D08AD68" w14:textId="77777777" w:rsidR="004E61EA" w:rsidRPr="00120702" w:rsidRDefault="004E61EA" w:rsidP="003022E1">
            <w:pPr>
              <w:pStyle w:val="TableBullet1"/>
              <w:spacing w:before="0" w:line="247" w:lineRule="auto"/>
              <w:rPr>
                <w:sz w:val="17"/>
                <w:szCs w:val="17"/>
                <w:lang w:eastAsia="fr-CA"/>
              </w:rPr>
            </w:pPr>
            <w:r w:rsidRPr="00120702">
              <w:rPr>
                <w:sz w:val="17"/>
                <w:szCs w:val="17"/>
                <w:lang w:eastAsia="fr-CA"/>
              </w:rPr>
              <w:t xml:space="preserve">AGL, Jemena and APA stating that the mechanism should reflect the standard mechanism available to all shippers using the pipeline; </w:t>
            </w:r>
          </w:p>
          <w:p w14:paraId="30F1537C" w14:textId="77777777" w:rsidR="004E61EA" w:rsidRPr="00120702" w:rsidRDefault="004E61EA" w:rsidP="003022E1">
            <w:pPr>
              <w:pStyle w:val="TableBullet1"/>
              <w:spacing w:before="0" w:line="247" w:lineRule="auto"/>
              <w:rPr>
                <w:sz w:val="17"/>
                <w:szCs w:val="17"/>
                <w:lang w:eastAsia="fr-CA"/>
              </w:rPr>
            </w:pPr>
            <w:proofErr w:type="spellStart"/>
            <w:r w:rsidRPr="00120702">
              <w:rPr>
                <w:sz w:val="17"/>
                <w:szCs w:val="17"/>
                <w:lang w:eastAsia="fr-CA"/>
              </w:rPr>
              <w:t>Senex</w:t>
            </w:r>
            <w:proofErr w:type="spellEnd"/>
            <w:r w:rsidRPr="00120702">
              <w:rPr>
                <w:sz w:val="17"/>
                <w:szCs w:val="17"/>
                <w:lang w:eastAsia="fr-CA"/>
              </w:rPr>
              <w:t xml:space="preserve"> and Epic stating that service providers should have the option to offer one or the other; and</w:t>
            </w:r>
          </w:p>
          <w:p w14:paraId="351C9AAF" w14:textId="77777777" w:rsidR="0093467E" w:rsidRPr="00120702" w:rsidRDefault="004E61EA" w:rsidP="003022E1">
            <w:pPr>
              <w:pStyle w:val="TableBullet1"/>
              <w:spacing w:before="0" w:line="247" w:lineRule="auto"/>
              <w:rPr>
                <w:sz w:val="17"/>
                <w:szCs w:val="17"/>
                <w:lang w:eastAsia="fr-CA"/>
              </w:rPr>
            </w:pPr>
            <w:r w:rsidRPr="00120702">
              <w:rPr>
                <w:sz w:val="17"/>
                <w:szCs w:val="17"/>
                <w:lang w:eastAsia="fr-CA"/>
              </w:rPr>
              <w:t xml:space="preserve">APLNG stating that the standard terms should offer the most efficient option. </w:t>
            </w:r>
          </w:p>
        </w:tc>
      </w:tr>
    </w:tbl>
    <w:p w14:paraId="78E64C1B" w14:textId="77777777" w:rsidR="00901056" w:rsidRDefault="00901056" w:rsidP="00DB6F49">
      <w:pPr>
        <w:pStyle w:val="BodyText"/>
        <w:rPr>
          <w:lang w:eastAsia="fr-CA"/>
        </w:rPr>
        <w:sectPr w:rsidR="00901056" w:rsidSect="0094109D">
          <w:headerReference w:type="even" r:id="rId61"/>
          <w:headerReference w:type="default" r:id="rId62"/>
          <w:headerReference w:type="first" r:id="rId63"/>
          <w:pgSz w:w="16839" w:h="11907" w:orient="landscape" w:code="9"/>
          <w:pgMar w:top="1135" w:right="1418" w:bottom="709" w:left="1701" w:header="567" w:footer="397" w:gutter="0"/>
          <w:cols w:space="708"/>
          <w:docGrid w:linePitch="360"/>
        </w:sectPr>
      </w:pPr>
    </w:p>
    <w:p w14:paraId="36028E03" w14:textId="77777777" w:rsidR="00901056" w:rsidRDefault="00635D18" w:rsidP="00DB6F49">
      <w:pPr>
        <w:pStyle w:val="BodyText"/>
        <w:rPr>
          <w:lang w:eastAsia="fr-CA"/>
        </w:rPr>
      </w:pPr>
      <w:r>
        <w:rPr>
          <w:lang w:eastAsia="fr-CA"/>
        </w:rPr>
        <w:t xml:space="preserve">In addition to providing feedback on the provisions set out above, a number of stakeholders also provided feedback on a range of other standard terms and facility specific requirements, which the GMRG intends to take into account </w:t>
      </w:r>
      <w:r w:rsidR="00B96F59">
        <w:rPr>
          <w:lang w:eastAsia="fr-CA"/>
        </w:rPr>
        <w:t xml:space="preserve">in </w:t>
      </w:r>
      <w:r>
        <w:rPr>
          <w:lang w:eastAsia="fr-CA"/>
        </w:rPr>
        <w:t>developing the next draft of the Operational GTA Code</w:t>
      </w:r>
      <w:r w:rsidR="00B96F59">
        <w:rPr>
          <w:lang w:eastAsia="fr-CA"/>
        </w:rPr>
        <w:t xml:space="preserve"> early in 2018</w:t>
      </w:r>
      <w:r>
        <w:rPr>
          <w:lang w:eastAsia="fr-CA"/>
        </w:rPr>
        <w:t xml:space="preserve">. </w:t>
      </w:r>
    </w:p>
    <w:p w14:paraId="1B0ED9A4" w14:textId="77777777" w:rsidR="00DB6F49" w:rsidRPr="003F44C8" w:rsidRDefault="00041130" w:rsidP="00DB6F49">
      <w:pPr>
        <w:pStyle w:val="BodyText"/>
        <w:rPr>
          <w:i/>
          <w:color w:val="0099CC"/>
          <w:sz w:val="20"/>
          <w:szCs w:val="20"/>
          <w:lang w:eastAsia="fr-CA"/>
        </w:rPr>
      </w:pPr>
      <w:r>
        <w:rPr>
          <w:i/>
          <w:color w:val="0099CC"/>
          <w:sz w:val="20"/>
          <w:szCs w:val="20"/>
          <w:lang w:eastAsia="fr-CA"/>
        </w:rPr>
        <w:t>Governance arrangements</w:t>
      </w:r>
      <w:r w:rsidR="00DB6F49" w:rsidRPr="003F44C8">
        <w:rPr>
          <w:i/>
          <w:color w:val="0099CC"/>
          <w:sz w:val="20"/>
          <w:szCs w:val="20"/>
          <w:lang w:eastAsia="fr-CA"/>
        </w:rPr>
        <w:t xml:space="preserve"> applying to the facility specific provisions</w:t>
      </w:r>
    </w:p>
    <w:p w14:paraId="23C0262C" w14:textId="77777777" w:rsidR="004E791B" w:rsidRDefault="00B96F59" w:rsidP="00066B18">
      <w:pPr>
        <w:pStyle w:val="BodyText"/>
      </w:pPr>
      <w:r>
        <w:t>S</w:t>
      </w:r>
      <w:r w:rsidR="00041130">
        <w:t xml:space="preserve">takeholder </w:t>
      </w:r>
      <w:r>
        <w:t xml:space="preserve">feedback </w:t>
      </w:r>
      <w:r w:rsidR="00041130">
        <w:t xml:space="preserve">provided </w:t>
      </w:r>
      <w:r>
        <w:t xml:space="preserve">in relation to </w:t>
      </w:r>
      <w:r w:rsidR="00041130">
        <w:t>the facility specific provisions centred on</w:t>
      </w:r>
      <w:r w:rsidR="004E791B">
        <w:t>:</w:t>
      </w:r>
      <w:r w:rsidR="00041130">
        <w:t xml:space="preserve"> </w:t>
      </w:r>
    </w:p>
    <w:p w14:paraId="1D85254D" w14:textId="77777777" w:rsidR="004E791B" w:rsidRDefault="00041130" w:rsidP="004E791B">
      <w:pPr>
        <w:pStyle w:val="ListBullet"/>
      </w:pPr>
      <w:r>
        <w:t>the principles to be included in the NGR that service providers would be required to have regard to when developing the facility specific terms</w:t>
      </w:r>
      <w:r w:rsidR="004E791B">
        <w:t>;</w:t>
      </w:r>
      <w:r>
        <w:t xml:space="preserve"> and </w:t>
      </w:r>
    </w:p>
    <w:p w14:paraId="17F4C11C" w14:textId="77777777" w:rsidR="00041130" w:rsidRDefault="00041130" w:rsidP="004E791B">
      <w:pPr>
        <w:pStyle w:val="ListBullet"/>
      </w:pPr>
      <w:proofErr w:type="gramStart"/>
      <w:r>
        <w:t>the</w:t>
      </w:r>
      <w:proofErr w:type="gramEnd"/>
      <w:r>
        <w:t xml:space="preserve"> role </w:t>
      </w:r>
      <w:r w:rsidR="00B96F59">
        <w:t xml:space="preserve">of </w:t>
      </w:r>
      <w:r>
        <w:t>the AER.</w:t>
      </w:r>
    </w:p>
    <w:p w14:paraId="23A10340" w14:textId="77777777" w:rsidR="007C6BB9" w:rsidRDefault="004E791B" w:rsidP="00066B18">
      <w:pPr>
        <w:pStyle w:val="BodyText"/>
      </w:pPr>
      <w:r>
        <w:t xml:space="preserve">In relation to the principles, </w:t>
      </w:r>
      <w:r w:rsidR="00560A53">
        <w:t xml:space="preserve">the majority of </w:t>
      </w:r>
      <w:r w:rsidR="00652829">
        <w:t xml:space="preserve">stakeholders supported the inclusion of the overriding principle that facility specific terms be reasonable and the requirement that </w:t>
      </w:r>
      <w:r w:rsidR="00066B18">
        <w:t xml:space="preserve">facility specific terms </w:t>
      </w:r>
      <w:r w:rsidR="00652829">
        <w:t>not vary the standard terms</w:t>
      </w:r>
      <w:r w:rsidR="00041130">
        <w:t>. T</w:t>
      </w:r>
      <w:r w:rsidR="00652829">
        <w:t>here was</w:t>
      </w:r>
      <w:r w:rsidR="00041130">
        <w:t>, however,</w:t>
      </w:r>
      <w:r w:rsidR="00652829">
        <w:t xml:space="preserve"> some debate about whether the principles should</w:t>
      </w:r>
      <w:r w:rsidR="007C6BB9">
        <w:t xml:space="preserve"> require:</w:t>
      </w:r>
      <w:r w:rsidR="00652829">
        <w:t xml:space="preserve"> </w:t>
      </w:r>
    </w:p>
    <w:p w14:paraId="73066AF0" w14:textId="77777777" w:rsidR="007C6BB9" w:rsidRDefault="00560A53" w:rsidP="007C6BB9">
      <w:pPr>
        <w:pStyle w:val="ListBullet"/>
      </w:pPr>
      <w:r>
        <w:t>t</w:t>
      </w:r>
      <w:r w:rsidR="007C6BB9">
        <w:t>he facility specific terms to be consistent with the terms set out in AAs</w:t>
      </w:r>
      <w:r w:rsidR="00652829">
        <w:t>:</w:t>
      </w:r>
      <w:r w:rsidR="007C6BB9">
        <w:t xml:space="preserve"> While </w:t>
      </w:r>
      <w:r>
        <w:t xml:space="preserve">this proposal was supported by </w:t>
      </w:r>
      <w:proofErr w:type="spellStart"/>
      <w:r w:rsidR="007C6BB9">
        <w:t>EnergyAustralia</w:t>
      </w:r>
      <w:proofErr w:type="spellEnd"/>
      <w:r w:rsidR="007C6BB9">
        <w:t xml:space="preserve">, Shell and APA, it was opposed by a number of other stakeholders, including: </w:t>
      </w:r>
    </w:p>
    <w:p w14:paraId="58417E55" w14:textId="77777777" w:rsidR="007C6BB9" w:rsidRDefault="007C6BB9" w:rsidP="00560A53">
      <w:pPr>
        <w:pStyle w:val="ListBullet2"/>
      </w:pPr>
      <w:r>
        <w:t xml:space="preserve">AGL who </w:t>
      </w:r>
      <w:bookmarkStart w:id="90" w:name="_Hlk498482326"/>
      <w:r w:rsidR="004E791B">
        <w:t>stated</w:t>
      </w:r>
      <w:bookmarkEnd w:id="90"/>
      <w:r>
        <w:t xml:space="preserve"> that the reliance on AAs could have unintended consequences. </w:t>
      </w:r>
    </w:p>
    <w:p w14:paraId="63987A8A" w14:textId="77777777" w:rsidR="00652829" w:rsidRDefault="007C6BB9" w:rsidP="00560A53">
      <w:pPr>
        <w:pStyle w:val="ListBullet2"/>
      </w:pPr>
      <w:r>
        <w:t xml:space="preserve">APLNG who </w:t>
      </w:r>
      <w:r w:rsidR="004E791B">
        <w:t xml:space="preserve">stated </w:t>
      </w:r>
      <w:r>
        <w:t>that AAs may not be the best reference point to assess the reasonableness of terms</w:t>
      </w:r>
      <w:r w:rsidR="00472277">
        <w:t xml:space="preserve"> and that primary GTAs (excluding foundation contracts) and secondary GTAs would be a better reference point</w:t>
      </w:r>
      <w:r w:rsidR="00B96F59">
        <w:t>.</w:t>
      </w:r>
    </w:p>
    <w:p w14:paraId="6BA1DD0B" w14:textId="77777777" w:rsidR="007C6BB9" w:rsidRDefault="007C6BB9" w:rsidP="00560A53">
      <w:pPr>
        <w:pStyle w:val="ListBullet2"/>
      </w:pPr>
      <w:r>
        <w:t>Epic</w:t>
      </w:r>
      <w:r w:rsidR="00560A53">
        <w:t xml:space="preserve"> who </w:t>
      </w:r>
      <w:r w:rsidR="004E791B">
        <w:t xml:space="preserve">stated </w:t>
      </w:r>
      <w:r w:rsidR="00560A53">
        <w:t>that utilisation of prior AAs or an AA for an equivalent pipeline would introduce increased complexity into the operation of the pipeline by introducing new operational requirements that are inconsistent with standard operational procedures</w:t>
      </w:r>
      <w:r w:rsidR="00B96F59">
        <w:t>.</w:t>
      </w:r>
    </w:p>
    <w:p w14:paraId="3BA9D1D4" w14:textId="77777777" w:rsidR="00560A53" w:rsidRDefault="007C6BB9" w:rsidP="00560A53">
      <w:pPr>
        <w:pStyle w:val="ListBullet2"/>
      </w:pPr>
      <w:r>
        <w:t>Jemena</w:t>
      </w:r>
      <w:r w:rsidR="00560A53">
        <w:t xml:space="preserve"> who </w:t>
      </w:r>
      <w:r w:rsidR="004E791B">
        <w:t xml:space="preserve">stated </w:t>
      </w:r>
      <w:r w:rsidR="00560A53">
        <w:t xml:space="preserve">that the application of an AA for an equivalent pipeline would have the effect of applying coverage to unregulated pipelines. </w:t>
      </w:r>
    </w:p>
    <w:p w14:paraId="7CE37BF7" w14:textId="77777777" w:rsidR="00472277" w:rsidRDefault="00560A53" w:rsidP="00216B52">
      <w:pPr>
        <w:pStyle w:val="ListBullet"/>
      </w:pPr>
      <w:proofErr w:type="gramStart"/>
      <w:r>
        <w:t>the</w:t>
      </w:r>
      <w:proofErr w:type="gramEnd"/>
      <w:r>
        <w:t xml:space="preserve"> reasonableness of facility specific terms to be assessed by reference to the terms on which services are available to </w:t>
      </w:r>
      <w:r w:rsidR="007C6BB9">
        <w:t xml:space="preserve">primary </w:t>
      </w:r>
      <w:r>
        <w:t>shippers (excluding foundation contracts)</w:t>
      </w:r>
      <w:r w:rsidR="007C6BB9">
        <w:t xml:space="preserve">: </w:t>
      </w:r>
      <w:r>
        <w:t xml:space="preserve">This proposal was supported by AGL, </w:t>
      </w:r>
      <w:proofErr w:type="spellStart"/>
      <w:r>
        <w:t>EnergyAustralia</w:t>
      </w:r>
      <w:proofErr w:type="spellEnd"/>
      <w:r>
        <w:t>, APLNG, Shell</w:t>
      </w:r>
      <w:r w:rsidR="00472277">
        <w:t xml:space="preserve"> and Epic, but opposed by Jemena, who noted that primary shippers should be able to retain preferential terms relative to secondary shippers. APA, on the other hand, agreed that primary GTAs could be an appropriate reference point, but did not </w:t>
      </w:r>
      <w:r w:rsidR="00573592">
        <w:t>think</w:t>
      </w:r>
      <w:r w:rsidR="00472277">
        <w:t xml:space="preserve"> a carve</w:t>
      </w:r>
      <w:r w:rsidR="00616DE7">
        <w:t>-</w:t>
      </w:r>
      <w:r w:rsidR="00472277">
        <w:t>out for foundation shipper contracts</w:t>
      </w:r>
      <w:r w:rsidR="00573592">
        <w:t xml:space="preserve"> was required</w:t>
      </w:r>
      <w:r w:rsidR="00B96F59">
        <w:t>. APA also</w:t>
      </w:r>
      <w:r w:rsidR="00573592">
        <w:t xml:space="preserve"> noted that the reference to industry practice should be sufficient to direct decision making towards modern contracts. </w:t>
      </w:r>
      <w:r w:rsidR="00472277">
        <w:t xml:space="preserve"> </w:t>
      </w:r>
    </w:p>
    <w:p w14:paraId="3E17BDA6" w14:textId="77777777" w:rsidR="00066B18" w:rsidRPr="003F44C8" w:rsidRDefault="004E791B" w:rsidP="003F44C8">
      <w:pPr>
        <w:pStyle w:val="BodyText"/>
      </w:pPr>
      <w:r>
        <w:rPr>
          <w:lang w:val="en-US"/>
        </w:rPr>
        <w:t>S</w:t>
      </w:r>
      <w:r w:rsidR="00B96F59">
        <w:rPr>
          <w:lang w:val="en-US"/>
        </w:rPr>
        <w:t xml:space="preserve">takeholders were </w:t>
      </w:r>
      <w:r>
        <w:rPr>
          <w:lang w:val="en-US"/>
        </w:rPr>
        <w:t xml:space="preserve">also </w:t>
      </w:r>
      <w:r w:rsidR="00B96F59">
        <w:rPr>
          <w:lang w:val="en-US"/>
        </w:rPr>
        <w:t xml:space="preserve">divided on </w:t>
      </w:r>
      <w:r w:rsidR="00066B18" w:rsidRPr="003F44C8">
        <w:rPr>
          <w:lang w:val="en-US"/>
        </w:rPr>
        <w:t>whether the AER should monitor the compliance of the facility specific terms with the Operational GTA Code and NGR principles. For example:</w:t>
      </w:r>
    </w:p>
    <w:p w14:paraId="2FD35A27" w14:textId="77777777" w:rsidR="00041130" w:rsidRPr="003F44C8" w:rsidRDefault="00041130" w:rsidP="00041130">
      <w:pPr>
        <w:pStyle w:val="ListBullet"/>
      </w:pPr>
      <w:r w:rsidRPr="003F44C8">
        <w:rPr>
          <w:lang w:val="en-US"/>
        </w:rPr>
        <w:t xml:space="preserve">AGL </w:t>
      </w:r>
      <w:r w:rsidR="00B96F59">
        <w:rPr>
          <w:lang w:val="en-US"/>
        </w:rPr>
        <w:t xml:space="preserve">was of the view that </w:t>
      </w:r>
      <w:r>
        <w:rPr>
          <w:lang w:val="en-US"/>
        </w:rPr>
        <w:t xml:space="preserve">this type of </w:t>
      </w:r>
      <w:r w:rsidRPr="003F44C8">
        <w:rPr>
          <w:lang w:val="en-US"/>
        </w:rPr>
        <w:t xml:space="preserve">oversight </w:t>
      </w:r>
      <w:r w:rsidR="00B96F59">
        <w:rPr>
          <w:lang w:val="en-US"/>
        </w:rPr>
        <w:t xml:space="preserve">is </w:t>
      </w:r>
      <w:r w:rsidRPr="003F44C8">
        <w:rPr>
          <w:lang w:val="en-US"/>
        </w:rPr>
        <w:t xml:space="preserve">unnecessary and </w:t>
      </w:r>
      <w:r>
        <w:rPr>
          <w:lang w:val="en-US"/>
        </w:rPr>
        <w:t xml:space="preserve">stated that shippers should be able to have recourse to </w:t>
      </w:r>
      <w:r w:rsidRPr="003F44C8">
        <w:rPr>
          <w:lang w:val="en-US"/>
        </w:rPr>
        <w:t xml:space="preserve">contractual </w:t>
      </w:r>
      <w:r>
        <w:rPr>
          <w:lang w:val="en-US"/>
        </w:rPr>
        <w:t xml:space="preserve">remedies </w:t>
      </w:r>
      <w:r w:rsidRPr="003F44C8">
        <w:rPr>
          <w:lang w:val="en-US"/>
        </w:rPr>
        <w:t>if service providers act outside their contractual bounds.</w:t>
      </w:r>
    </w:p>
    <w:p w14:paraId="5A3663A2" w14:textId="77777777" w:rsidR="00066B18" w:rsidRPr="003F44C8" w:rsidRDefault="00066B18" w:rsidP="003F44C8">
      <w:pPr>
        <w:pStyle w:val="ListBullet"/>
      </w:pPr>
      <w:proofErr w:type="spellStart"/>
      <w:r w:rsidRPr="003F44C8">
        <w:rPr>
          <w:lang w:val="en-US"/>
        </w:rPr>
        <w:t>EnergyAustralia</w:t>
      </w:r>
      <w:proofErr w:type="spellEnd"/>
      <w:r w:rsidRPr="003F44C8">
        <w:rPr>
          <w:lang w:val="en-US"/>
        </w:rPr>
        <w:t xml:space="preserve"> and APA thought the AER should have a compliance monitoring role.</w:t>
      </w:r>
    </w:p>
    <w:p w14:paraId="7399130B" w14:textId="77777777" w:rsidR="00066B18" w:rsidRPr="003F44C8" w:rsidRDefault="00066B18" w:rsidP="003F44C8">
      <w:pPr>
        <w:pStyle w:val="ListBullet"/>
      </w:pPr>
      <w:r w:rsidRPr="003F44C8">
        <w:rPr>
          <w:lang w:val="en-US"/>
        </w:rPr>
        <w:lastRenderedPageBreak/>
        <w:t>Jemena</w:t>
      </w:r>
      <w:r w:rsidR="003F44C8">
        <w:rPr>
          <w:lang w:val="en-US"/>
        </w:rPr>
        <w:t>,</w:t>
      </w:r>
      <w:r w:rsidRPr="003F44C8">
        <w:rPr>
          <w:lang w:val="en-US"/>
        </w:rPr>
        <w:t xml:space="preserve"> APLNG </w:t>
      </w:r>
      <w:r w:rsidR="003F44C8">
        <w:rPr>
          <w:lang w:val="en-US"/>
        </w:rPr>
        <w:t xml:space="preserve">and Epic </w:t>
      </w:r>
      <w:r w:rsidR="00B96F59">
        <w:rPr>
          <w:lang w:val="en-US"/>
        </w:rPr>
        <w:t xml:space="preserve">were of the view that </w:t>
      </w:r>
      <w:r w:rsidRPr="003F44C8">
        <w:rPr>
          <w:lang w:val="en-US"/>
        </w:rPr>
        <w:t xml:space="preserve">the AER should have a compliance monitoring role but </w:t>
      </w:r>
      <w:r w:rsidR="003F44C8">
        <w:rPr>
          <w:lang w:val="en-US"/>
        </w:rPr>
        <w:t xml:space="preserve">that it </w:t>
      </w:r>
      <w:r w:rsidRPr="003F44C8">
        <w:rPr>
          <w:lang w:val="en-US"/>
        </w:rPr>
        <w:t xml:space="preserve">should </w:t>
      </w:r>
      <w:r w:rsidR="003F44C8">
        <w:rPr>
          <w:lang w:val="en-US"/>
        </w:rPr>
        <w:t xml:space="preserve">only </w:t>
      </w:r>
      <w:r w:rsidRPr="003F44C8">
        <w:rPr>
          <w:lang w:val="en-US"/>
        </w:rPr>
        <w:t>be triggered by a customer complaint</w:t>
      </w:r>
      <w:r w:rsidR="003F44C8">
        <w:rPr>
          <w:lang w:val="en-US"/>
        </w:rPr>
        <w:t>, or if there was a valid reason</w:t>
      </w:r>
      <w:r w:rsidRPr="003F44C8">
        <w:rPr>
          <w:lang w:val="en-US"/>
        </w:rPr>
        <w:t>.</w:t>
      </w:r>
    </w:p>
    <w:p w14:paraId="527C7AFD" w14:textId="77777777" w:rsidR="007D20E7" w:rsidRDefault="007D20E7" w:rsidP="007D20E7">
      <w:pPr>
        <w:pStyle w:val="Heading6"/>
        <w:rPr>
          <w:color w:val="0099CC"/>
        </w:rPr>
      </w:pPr>
      <w:r w:rsidRPr="004E791B">
        <w:rPr>
          <w:color w:val="0099CC"/>
        </w:rPr>
        <w:t>GMRG’s final recommendation</w:t>
      </w:r>
      <w:r>
        <w:rPr>
          <w:color w:val="0099CC"/>
        </w:rPr>
        <w:t xml:space="preserve"> </w:t>
      </w:r>
    </w:p>
    <w:p w14:paraId="0C872EA1" w14:textId="77777777" w:rsidR="00EE6669" w:rsidRPr="00624B98" w:rsidRDefault="00145D10" w:rsidP="00C83B84">
      <w:pPr>
        <w:pStyle w:val="BodyText"/>
        <w:rPr>
          <w:rFonts w:asciiTheme="majorHAnsi" w:hAnsiTheme="majorHAnsi" w:cstheme="majorHAnsi"/>
          <w:szCs w:val="18"/>
        </w:rPr>
      </w:pPr>
      <w:r>
        <w:t xml:space="preserve">The GMRG has considered the feedback provided by stakeholders, but </w:t>
      </w:r>
      <w:r w:rsidR="00A8205D">
        <w:t xml:space="preserve">remains of the view that </w:t>
      </w:r>
      <w:r w:rsidR="00C83B84">
        <w:t xml:space="preserve">service providers should, subject to the exemptions outlined in section 4.4, be required to develop a </w:t>
      </w:r>
      <w:r w:rsidR="00A8205D">
        <w:t>standardised operational GTA</w:t>
      </w:r>
      <w:r w:rsidR="00C83B84">
        <w:t xml:space="preserve"> for each asset, which will consist of </w:t>
      </w:r>
      <w:r w:rsidR="00EE6669" w:rsidRPr="00624B98">
        <w:rPr>
          <w:rFonts w:asciiTheme="majorHAnsi" w:hAnsiTheme="majorHAnsi" w:cstheme="majorHAnsi"/>
          <w:szCs w:val="18"/>
        </w:rPr>
        <w:t xml:space="preserve">a set of: </w:t>
      </w:r>
    </w:p>
    <w:p w14:paraId="39148D7D" w14:textId="77777777" w:rsidR="00EE6669" w:rsidRPr="00624B98" w:rsidRDefault="00EE6669" w:rsidP="00C83B84">
      <w:pPr>
        <w:pStyle w:val="ListBullet"/>
      </w:pPr>
      <w:r w:rsidRPr="00624B98">
        <w:t xml:space="preserve">standard </w:t>
      </w:r>
      <w:r w:rsidR="00C83B84">
        <w:t xml:space="preserve">terms </w:t>
      </w:r>
      <w:r w:rsidRPr="00624B98">
        <w:t>that will apply to all transportation assets; and</w:t>
      </w:r>
    </w:p>
    <w:p w14:paraId="6484B452" w14:textId="77777777" w:rsidR="00EE6669" w:rsidRDefault="00EE6669" w:rsidP="00C83B84">
      <w:pPr>
        <w:pStyle w:val="ListBullet"/>
      </w:pPr>
      <w:proofErr w:type="gramStart"/>
      <w:r w:rsidRPr="00624B98">
        <w:t>facility</w:t>
      </w:r>
      <w:proofErr w:type="gramEnd"/>
      <w:r w:rsidRPr="00624B98">
        <w:t xml:space="preserve"> specific terms, which may differ across service providers or facilities due to differences in </w:t>
      </w:r>
      <w:r w:rsidR="00C83B84">
        <w:t xml:space="preserve">the </w:t>
      </w:r>
      <w:r w:rsidRPr="00624B98">
        <w:t xml:space="preserve">operational </w:t>
      </w:r>
      <w:r w:rsidR="00C83B84">
        <w:t xml:space="preserve">characteristics of the facility </w:t>
      </w:r>
      <w:r w:rsidRPr="00624B98">
        <w:t xml:space="preserve">or </w:t>
      </w:r>
      <w:r w:rsidR="00C83B84">
        <w:t xml:space="preserve">the </w:t>
      </w:r>
      <w:r w:rsidRPr="00624B98">
        <w:t>contractual arrangements</w:t>
      </w:r>
      <w:r w:rsidR="00C83B84">
        <w:t xml:space="preserve"> of the facility</w:t>
      </w:r>
      <w:r w:rsidRPr="00624B98">
        <w:t xml:space="preserve">.  </w:t>
      </w:r>
    </w:p>
    <w:p w14:paraId="5206ABAB" w14:textId="77777777" w:rsidR="00C83B84" w:rsidRDefault="00EE6669" w:rsidP="00C83B84">
      <w:pPr>
        <w:pStyle w:val="BodyText"/>
      </w:pPr>
      <w:r w:rsidRPr="00624B98">
        <w:t>While service providers will have some discretion in relation to the facility specific terms, these terms will need to comply with</w:t>
      </w:r>
      <w:r w:rsidR="00C83B84">
        <w:t>:</w:t>
      </w:r>
      <w:r w:rsidRPr="00624B98">
        <w:t xml:space="preserve"> </w:t>
      </w:r>
    </w:p>
    <w:p w14:paraId="64F49EF4" w14:textId="77777777" w:rsidR="00C83B84" w:rsidRDefault="00C83B84" w:rsidP="00C83B84">
      <w:pPr>
        <w:pStyle w:val="ListBullet"/>
      </w:pPr>
      <w:r>
        <w:t>the facility specific requirements set out in the Operational GTA Code; and</w:t>
      </w:r>
    </w:p>
    <w:p w14:paraId="1782DCB2" w14:textId="77777777" w:rsidR="00C83B84" w:rsidRDefault="00C83B84" w:rsidP="00C83B84">
      <w:pPr>
        <w:pStyle w:val="ListBullet"/>
      </w:pPr>
      <w:r>
        <w:t xml:space="preserve">the following </w:t>
      </w:r>
      <w:r w:rsidR="00EE6669" w:rsidRPr="00624B98">
        <w:t>principles</w:t>
      </w:r>
      <w:r>
        <w:t>, which</w:t>
      </w:r>
      <w:r w:rsidR="00EE6669" w:rsidRPr="00624B98">
        <w:t xml:space="preserve"> will be set out in the NGR</w:t>
      </w:r>
      <w:r w:rsidR="00B96F59">
        <w:t>:</w:t>
      </w:r>
    </w:p>
    <w:p w14:paraId="12595B47" w14:textId="77777777" w:rsidR="00C83B84" w:rsidRPr="0057020B" w:rsidRDefault="00C83B84" w:rsidP="00C83B84">
      <w:pPr>
        <w:pStyle w:val="ListNumber2"/>
      </w:pPr>
      <w:r w:rsidRPr="0057020B">
        <w:t xml:space="preserve">An overriding requirement </w:t>
      </w:r>
      <w:r>
        <w:t xml:space="preserve">that </w:t>
      </w:r>
      <w:r w:rsidRPr="0057020B">
        <w:t xml:space="preserve">the </w:t>
      </w:r>
      <w:r>
        <w:t xml:space="preserve">facility </w:t>
      </w:r>
      <w:r w:rsidRPr="0057020B">
        <w:t>specific terms be reasonable</w:t>
      </w:r>
      <w:r>
        <w:t xml:space="preserve">, which is </w:t>
      </w:r>
      <w:r w:rsidRPr="0057020B">
        <w:t>to be assessed having regard to the terms that would be negotiated in a workably competitive market.</w:t>
      </w:r>
    </w:p>
    <w:p w14:paraId="090F78A1" w14:textId="77777777" w:rsidR="00C83B84" w:rsidRPr="0057020B" w:rsidRDefault="00C83B84" w:rsidP="00C83B84">
      <w:pPr>
        <w:pStyle w:val="ListNumber2"/>
      </w:pPr>
      <w:r w:rsidRPr="0057020B">
        <w:t>A requirement that</w:t>
      </w:r>
      <w:r>
        <w:t xml:space="preserve"> if a pipeline is subject to full regulation then</w:t>
      </w:r>
      <w:r w:rsidRPr="0057020B">
        <w:t xml:space="preserve">, where applicable, </w:t>
      </w:r>
      <w:r>
        <w:t xml:space="preserve">the facility </w:t>
      </w:r>
      <w:r w:rsidRPr="0057020B">
        <w:t xml:space="preserve">specific terms, must be consistent with the terms of </w:t>
      </w:r>
      <w:r>
        <w:t xml:space="preserve">the approved </w:t>
      </w:r>
      <w:r w:rsidRPr="0057020B">
        <w:t xml:space="preserve">Access Arrangement </w:t>
      </w:r>
      <w:r>
        <w:t xml:space="preserve">(AA) </w:t>
      </w:r>
      <w:r w:rsidRPr="0057020B">
        <w:t xml:space="preserve">for </w:t>
      </w:r>
      <w:r>
        <w:t xml:space="preserve">that </w:t>
      </w:r>
      <w:r w:rsidRPr="0057020B">
        <w:t xml:space="preserve">pipeline and not impose obligations, requirements or other limitations on the secondary shipper’s rights that are more restrictive than those in the AA. </w:t>
      </w:r>
    </w:p>
    <w:p w14:paraId="3193770E" w14:textId="77777777" w:rsidR="00C83B84" w:rsidRPr="0057020B" w:rsidRDefault="00C83B84" w:rsidP="00C83B84">
      <w:pPr>
        <w:pStyle w:val="ListNumber2"/>
      </w:pPr>
      <w:r w:rsidRPr="0057020B">
        <w:t>Provision for the reasonableness of a facility specific term to be assessed by reference to the terms on which the services are available to other primary and secondary s</w:t>
      </w:r>
      <w:r>
        <w:t xml:space="preserve">hippers and industry practice. </w:t>
      </w:r>
      <w:r w:rsidRPr="0057020B">
        <w:t xml:space="preserve">This would be qualified where pipelines have </w:t>
      </w:r>
      <w:r>
        <w:t>f</w:t>
      </w:r>
      <w:r w:rsidRPr="0057020B">
        <w:t xml:space="preserve">oundation </w:t>
      </w:r>
      <w:r>
        <w:t>s</w:t>
      </w:r>
      <w:r w:rsidRPr="0057020B">
        <w:t>hipper</w:t>
      </w:r>
      <w:r>
        <w:rPr>
          <w:rStyle w:val="FootnoteReference"/>
        </w:rPr>
        <w:footnoteReference w:id="39"/>
      </w:r>
      <w:r w:rsidRPr="0057020B">
        <w:t xml:space="preserve"> contracts containing provisions </w:t>
      </w:r>
      <w:r>
        <w:t xml:space="preserve">that </w:t>
      </w:r>
      <w:r w:rsidRPr="0057020B">
        <w:t>no longer represent current contrac</w:t>
      </w:r>
      <w:r>
        <w:t>ting practice on the pipeline.</w:t>
      </w:r>
    </w:p>
    <w:p w14:paraId="014B2144" w14:textId="77777777" w:rsidR="00C83B84" w:rsidRDefault="00C83B84" w:rsidP="00C83B84">
      <w:pPr>
        <w:pStyle w:val="ListNumber2"/>
      </w:pPr>
      <w:r w:rsidRPr="0057020B">
        <w:t xml:space="preserve">A requirement that, except where expressly permitted by the </w:t>
      </w:r>
      <w:r>
        <w:t>standard terms</w:t>
      </w:r>
      <w:r w:rsidRPr="0057020B">
        <w:t xml:space="preserve"> or where required to comply with a law or undertaking given to the Crown or a regulator, </w:t>
      </w:r>
      <w:r>
        <w:t>f</w:t>
      </w:r>
      <w:r w:rsidRPr="0057020B">
        <w:t xml:space="preserve">acility </w:t>
      </w:r>
      <w:r>
        <w:t>s</w:t>
      </w:r>
      <w:r w:rsidRPr="0057020B">
        <w:t xml:space="preserve">pecific </w:t>
      </w:r>
      <w:r>
        <w:t>t</w:t>
      </w:r>
      <w:r w:rsidRPr="0057020B">
        <w:t xml:space="preserve">erms may </w:t>
      </w:r>
      <w:r>
        <w:t>not vary the s</w:t>
      </w:r>
      <w:r w:rsidRPr="0057020B">
        <w:t xml:space="preserve">tandard </w:t>
      </w:r>
      <w:r>
        <w:t>t</w:t>
      </w:r>
      <w:r w:rsidRPr="0057020B">
        <w:t>erms.</w:t>
      </w:r>
    </w:p>
    <w:p w14:paraId="3A47E4A0" w14:textId="77777777" w:rsidR="007F0D36" w:rsidRDefault="007F0D36" w:rsidP="00E3089E">
      <w:pPr>
        <w:pStyle w:val="BodyText"/>
        <w:ind w:left="357"/>
      </w:pPr>
      <w:r>
        <w:t xml:space="preserve">The second of these principles has been amended </w:t>
      </w:r>
      <w:r w:rsidR="00B96F59">
        <w:t xml:space="preserve">in response to stakeholder </w:t>
      </w:r>
      <w:r>
        <w:t>feedback</w:t>
      </w:r>
      <w:r w:rsidR="00B96F59">
        <w:t xml:space="preserve"> and </w:t>
      </w:r>
      <w:r>
        <w:t xml:space="preserve">now only requires the facility specific terms to comply with the terms in an AA if the pipeline is subject to full regulation and there is an approved AA in place. If the pipeline is not subject to full regulation, then it will not be required to comply with this principle. The third principle, on the other hand, has not been amended because in the GMRG’s view it is relevant to assess the reasonableness of the terms and conditions of access having regard to the terms and conditions </w:t>
      </w:r>
      <w:r w:rsidR="00E3089E">
        <w:t xml:space="preserve">applying to </w:t>
      </w:r>
      <w:r>
        <w:t xml:space="preserve">both </w:t>
      </w:r>
      <w:r>
        <w:lastRenderedPageBreak/>
        <w:t xml:space="preserve">primary </w:t>
      </w:r>
      <w:r w:rsidR="00E3089E">
        <w:t xml:space="preserve">and secondary shippers and to expressly exclude foundation contracts from this assessment. </w:t>
      </w:r>
    </w:p>
    <w:p w14:paraId="731AAD6F" w14:textId="77777777" w:rsidR="00D45668" w:rsidRDefault="00D45668" w:rsidP="00D45668">
      <w:pPr>
        <w:pStyle w:val="BodyText"/>
        <w:rPr>
          <w:rFonts w:eastAsiaTheme="majorEastAsia"/>
          <w:sz w:val="20"/>
          <w:szCs w:val="20"/>
        </w:rPr>
      </w:pPr>
      <w:r>
        <w:t xml:space="preserve">The AER will also have the power to conduct a review of a service provider’s facility specific terms if it has any concerns about the terms that have been adopted (or if </w:t>
      </w:r>
      <w:r w:rsidR="007F0D36">
        <w:t xml:space="preserve">bona fide </w:t>
      </w:r>
      <w:r>
        <w:t xml:space="preserve">concerns are raised by interested parties) and to require amendments if it finds they are inconsistent with </w:t>
      </w:r>
      <w:r w:rsidR="00E3089E">
        <w:t xml:space="preserve">the </w:t>
      </w:r>
      <w:r>
        <w:t xml:space="preserve">requirements in the Operational GTA Code and/or </w:t>
      </w:r>
      <w:r w:rsidR="00E3089E">
        <w:t xml:space="preserve">the </w:t>
      </w:r>
      <w:r>
        <w:t xml:space="preserve">principles </w:t>
      </w:r>
      <w:r w:rsidR="00E3089E">
        <w:t xml:space="preserve">set out </w:t>
      </w:r>
      <w:r>
        <w:t>in the NGR.</w:t>
      </w:r>
    </w:p>
    <w:p w14:paraId="617C626D" w14:textId="77777777" w:rsidR="00017884" w:rsidRDefault="00D45668" w:rsidP="007F0D36">
      <w:pPr>
        <w:pStyle w:val="BodyText"/>
      </w:pPr>
      <w:r>
        <w:t>In the GMRG’s view, these measures are required because</w:t>
      </w:r>
      <w:r w:rsidR="00017884">
        <w:t>:</w:t>
      </w:r>
      <w:r>
        <w:t xml:space="preserve"> </w:t>
      </w:r>
    </w:p>
    <w:p w14:paraId="7BD8C709" w14:textId="77777777" w:rsidR="00017884" w:rsidRDefault="007F0D36" w:rsidP="00017884">
      <w:pPr>
        <w:pStyle w:val="ListBullet"/>
      </w:pPr>
      <w:r>
        <w:t xml:space="preserve">service providers’ </w:t>
      </w:r>
      <w:r w:rsidR="00D45668" w:rsidRPr="0057020B">
        <w:t xml:space="preserve">interests in facilitating secondary capacity trades may not be closely aligned with the interests of shippers </w:t>
      </w:r>
      <w:r w:rsidR="00D45668">
        <w:t>that want to trade capacity</w:t>
      </w:r>
      <w:r w:rsidR="00017884">
        <w:t>;</w:t>
      </w:r>
      <w:r w:rsidR="00D45668">
        <w:t xml:space="preserve"> and</w:t>
      </w:r>
      <w:r>
        <w:t xml:space="preserve"> </w:t>
      </w:r>
    </w:p>
    <w:p w14:paraId="4658A37F" w14:textId="77777777" w:rsidR="00017884" w:rsidRDefault="00017884" w:rsidP="00017884">
      <w:pPr>
        <w:pStyle w:val="ListBullet"/>
      </w:pPr>
      <w:proofErr w:type="gramStart"/>
      <w:r>
        <w:t>service</w:t>
      </w:r>
      <w:proofErr w:type="gramEnd"/>
      <w:r>
        <w:t xml:space="preserve"> providers </w:t>
      </w:r>
      <w:r w:rsidR="007F0D36">
        <w:t xml:space="preserve">will face </w:t>
      </w:r>
      <w:r w:rsidR="00D45668" w:rsidRPr="0057020B">
        <w:t>no competition for the provision of operational transfer services</w:t>
      </w:r>
      <w:r w:rsidR="00D45668">
        <w:t>.</w:t>
      </w:r>
      <w:r w:rsidR="007F0D36">
        <w:t xml:space="preserve"> </w:t>
      </w:r>
    </w:p>
    <w:p w14:paraId="51852976" w14:textId="77777777" w:rsidR="00D45668" w:rsidRDefault="007F0D36" w:rsidP="007F0D36">
      <w:pPr>
        <w:pStyle w:val="BodyText"/>
      </w:pPr>
      <w:r>
        <w:t>Facility specific terms could therefore be used to impede trade if service providers were provided unfettered discretion in this area.</w:t>
      </w:r>
    </w:p>
    <w:p w14:paraId="7C946409" w14:textId="77777777" w:rsidR="00A73032" w:rsidRDefault="00E3089E" w:rsidP="00A73032">
      <w:pPr>
        <w:pStyle w:val="BodyText"/>
        <w:rPr>
          <w:lang w:eastAsia="fr-CA"/>
        </w:rPr>
      </w:pPr>
      <w:r>
        <w:t xml:space="preserve">In relation to the </w:t>
      </w:r>
      <w:r w:rsidR="00A73032">
        <w:t xml:space="preserve">feedback provided on specific provisions in the draft Operational </w:t>
      </w:r>
      <w:r w:rsidR="003032AD">
        <w:t xml:space="preserve">GTA </w:t>
      </w:r>
      <w:r w:rsidR="00A73032">
        <w:t xml:space="preserve">Code, the GMRG intends to take this into account when </w:t>
      </w:r>
      <w:r w:rsidR="00A73032">
        <w:rPr>
          <w:lang w:eastAsia="fr-CA"/>
        </w:rPr>
        <w:t xml:space="preserve">developing the next draft of the Operational GTA Code, which will be released for consultation in early 2018.  The next draft will also include the provisions required to accommodate the day-ahead auction product and stand-alone compression services. </w:t>
      </w:r>
    </w:p>
    <w:p w14:paraId="63CEBB1B" w14:textId="77777777" w:rsidR="0057020B" w:rsidRPr="00404F1E" w:rsidRDefault="0057020B" w:rsidP="0057020B">
      <w:pPr>
        <w:keepNext/>
        <w:keepLines/>
        <w:numPr>
          <w:ilvl w:val="1"/>
          <w:numId w:val="9"/>
        </w:numPr>
        <w:spacing w:before="360" w:after="240"/>
        <w:ind w:left="624"/>
        <w:outlineLvl w:val="1"/>
        <w:rPr>
          <w:rFonts w:asciiTheme="majorHAnsi" w:eastAsiaTheme="majorEastAsia" w:hAnsiTheme="majorHAnsi" w:cstheme="majorBidi"/>
          <w:b/>
          <w:bCs/>
          <w:color w:val="007BC1"/>
          <w:sz w:val="28"/>
          <w:szCs w:val="26"/>
        </w:rPr>
      </w:pPr>
      <w:bookmarkStart w:id="91" w:name="_Ref490989573"/>
      <w:bookmarkStart w:id="92" w:name="_Toc491443344"/>
      <w:bookmarkStart w:id="93" w:name="_Toc499542651"/>
      <w:r w:rsidRPr="00404F1E">
        <w:rPr>
          <w:rFonts w:asciiTheme="majorHAnsi" w:eastAsiaTheme="majorEastAsia" w:hAnsiTheme="majorHAnsi" w:cstheme="majorBidi"/>
          <w:b/>
          <w:bCs/>
          <w:color w:val="007BC1"/>
          <w:sz w:val="28"/>
          <w:szCs w:val="26"/>
        </w:rPr>
        <w:t>Application of the standardised operational GTA</w:t>
      </w:r>
      <w:bookmarkEnd w:id="91"/>
      <w:bookmarkEnd w:id="92"/>
      <w:bookmarkEnd w:id="93"/>
    </w:p>
    <w:p w14:paraId="0CECF52C" w14:textId="77777777" w:rsidR="0057020B" w:rsidRPr="0057020B" w:rsidRDefault="0057020B" w:rsidP="0057020B">
      <w:pPr>
        <w:keepNext/>
        <w:keepLines/>
        <w:spacing w:before="240" w:after="120"/>
        <w:outlineLvl w:val="5"/>
        <w:rPr>
          <w:rFonts w:asciiTheme="majorHAnsi" w:eastAsiaTheme="majorEastAsia" w:hAnsiTheme="majorHAnsi" w:cstheme="majorBidi"/>
          <w:b/>
          <w:iCs/>
          <w:color w:val="0099CC"/>
          <w:lang w:eastAsia="en-US"/>
        </w:rPr>
      </w:pPr>
      <w:r w:rsidRPr="0057020B">
        <w:rPr>
          <w:rFonts w:asciiTheme="majorHAnsi" w:eastAsiaTheme="majorEastAsia" w:hAnsiTheme="majorHAnsi" w:cstheme="majorBidi"/>
          <w:b/>
          <w:iCs/>
          <w:color w:val="0099CC"/>
          <w:lang w:eastAsia="en-US"/>
        </w:rPr>
        <w:t xml:space="preserve">Background </w:t>
      </w:r>
    </w:p>
    <w:p w14:paraId="79863DD9" w14:textId="77777777" w:rsidR="0057020B" w:rsidRPr="0057020B" w:rsidRDefault="00B96F59" w:rsidP="0057020B">
      <w:pPr>
        <w:tabs>
          <w:tab w:val="left" w:pos="2268"/>
          <w:tab w:val="left" w:pos="4536"/>
          <w:tab w:val="left" w:pos="6804"/>
          <w:tab w:val="right" w:pos="9638"/>
        </w:tabs>
        <w:spacing w:before="240" w:after="120"/>
      </w:pPr>
      <w:r>
        <w:t xml:space="preserve">In developing the standardised terms, the </w:t>
      </w:r>
      <w:r w:rsidR="0057020B" w:rsidRPr="0057020B">
        <w:t xml:space="preserve">AEMC suggested the GMRG consider whether all of the terms </w:t>
      </w:r>
      <w:r w:rsidR="001D05A2">
        <w:t>sh</w:t>
      </w:r>
      <w:r w:rsidR="0057020B" w:rsidRPr="0057020B">
        <w:t xml:space="preserve">ould be mandatory, or if shippers and service providers </w:t>
      </w:r>
      <w:r w:rsidR="001D05A2">
        <w:t>sh</w:t>
      </w:r>
      <w:r w:rsidR="0057020B" w:rsidRPr="0057020B">
        <w:t>ould have the option to negotiate some of the terms and conditions. This issue was discussed with the Standardisation project team</w:t>
      </w:r>
      <w:r w:rsidR="00A92455">
        <w:t>, which made the following observations:</w:t>
      </w:r>
    </w:p>
    <w:p w14:paraId="2DFF95C2" w14:textId="77777777" w:rsidR="0057020B" w:rsidRPr="0057020B" w:rsidRDefault="0057020B" w:rsidP="0057020B">
      <w:pPr>
        <w:numPr>
          <w:ilvl w:val="0"/>
          <w:numId w:val="12"/>
        </w:numPr>
        <w:spacing w:before="120" w:after="120"/>
        <w:ind w:left="357" w:hanging="357"/>
      </w:pPr>
      <w:r w:rsidRPr="0057020B">
        <w:t>It needs to be clear whether the negotiate/arbitrate framework in Part 23 of the NGR applies to the standardised terms. If it does, service provider</w:t>
      </w:r>
      <w:r w:rsidR="001D05A2">
        <w:t>s</w:t>
      </w:r>
      <w:r w:rsidRPr="0057020B">
        <w:t xml:space="preserve"> would be required to negotiate within that framework. If it does not, negotiation would be discretionary.</w:t>
      </w:r>
    </w:p>
    <w:p w14:paraId="41210AEB" w14:textId="77777777" w:rsidR="0057020B" w:rsidRPr="0057020B" w:rsidRDefault="00211830" w:rsidP="0057020B">
      <w:pPr>
        <w:numPr>
          <w:ilvl w:val="0"/>
          <w:numId w:val="12"/>
        </w:numPr>
        <w:spacing w:before="120" w:after="120"/>
        <w:ind w:left="357" w:hanging="357"/>
      </w:pPr>
      <w:r>
        <w:t>Secondary s</w:t>
      </w:r>
      <w:r w:rsidR="0057020B" w:rsidRPr="0057020B">
        <w:t xml:space="preserve">hippers seeking an </w:t>
      </w:r>
      <w:r w:rsidR="00D4786D">
        <w:t>o</w:t>
      </w:r>
      <w:r w:rsidR="0057020B" w:rsidRPr="0057020B">
        <w:t xml:space="preserve">perational GTA on the standardised terms should not be required or expected to negotiate with service providers before the agreement is entered into. </w:t>
      </w:r>
    </w:p>
    <w:p w14:paraId="2BACB23D" w14:textId="77777777" w:rsidR="0057020B" w:rsidRPr="0057020B" w:rsidRDefault="0057020B" w:rsidP="0057020B">
      <w:pPr>
        <w:numPr>
          <w:ilvl w:val="0"/>
          <w:numId w:val="12"/>
        </w:numPr>
        <w:spacing w:before="120" w:after="120"/>
        <w:ind w:left="357" w:hanging="357"/>
      </w:pPr>
      <w:r w:rsidRPr="0057020B">
        <w:t xml:space="preserve">Negotiations will be </w:t>
      </w:r>
      <w:r w:rsidR="001D05A2">
        <w:t>required if</w:t>
      </w:r>
      <w:r w:rsidRPr="0057020B">
        <w:t xml:space="preserve"> other services </w:t>
      </w:r>
      <w:r w:rsidR="001D05A2">
        <w:t xml:space="preserve">are </w:t>
      </w:r>
      <w:r w:rsidRPr="0057020B">
        <w:t xml:space="preserve">to be added to the </w:t>
      </w:r>
      <w:r w:rsidR="00D4786D">
        <w:t>o</w:t>
      </w:r>
      <w:r w:rsidRPr="0057020B">
        <w:t xml:space="preserve">perational GTA. However, it will not be mandatory for other services to be provided under the </w:t>
      </w:r>
      <w:r w:rsidR="00D4786D">
        <w:t>o</w:t>
      </w:r>
      <w:r w:rsidRPr="0057020B">
        <w:t>perational GTA and a different form of agreement could be used for those services.</w:t>
      </w:r>
    </w:p>
    <w:p w14:paraId="1B3E91F9" w14:textId="77777777" w:rsidR="0057020B" w:rsidRPr="0057020B" w:rsidRDefault="0057020B" w:rsidP="0057020B">
      <w:pPr>
        <w:numPr>
          <w:ilvl w:val="0"/>
          <w:numId w:val="12"/>
        </w:numPr>
        <w:spacing w:before="120" w:after="120"/>
        <w:ind w:left="357" w:hanging="357"/>
      </w:pPr>
      <w:r w:rsidRPr="0057020B">
        <w:t xml:space="preserve">There may be value in allowing shippers that have a primary GTA to negotiate to include an operational transfer mechanism in their primary GTA, so that any </w:t>
      </w:r>
      <w:r w:rsidRPr="0057020B">
        <w:lastRenderedPageBreak/>
        <w:t xml:space="preserve">purchases of secondary capacity </w:t>
      </w:r>
      <w:r w:rsidR="001D05A2">
        <w:t>can</w:t>
      </w:r>
      <w:r w:rsidRPr="0057020B">
        <w:t xml:space="preserve"> be added to this contract rather than a separate operational GTA.</w:t>
      </w:r>
      <w:r w:rsidRPr="0057020B">
        <w:rPr>
          <w:vertAlign w:val="superscript"/>
        </w:rPr>
        <w:footnoteReference w:id="40"/>
      </w:r>
      <w:r w:rsidRPr="0057020B">
        <w:t xml:space="preserve"> </w:t>
      </w:r>
    </w:p>
    <w:p w14:paraId="4A72BFB1" w14:textId="77777777" w:rsidR="00B43DCB" w:rsidRPr="0057020B" w:rsidRDefault="001D05A2" w:rsidP="00FB6BDD">
      <w:pPr>
        <w:pStyle w:val="ListBullet"/>
      </w:pPr>
      <w:r>
        <w:t xml:space="preserve">Some </w:t>
      </w:r>
      <w:r w:rsidR="00B43DCB" w:rsidRPr="00B43DCB">
        <w:t>qualification</w:t>
      </w:r>
      <w:r>
        <w:t>s</w:t>
      </w:r>
      <w:r w:rsidR="00B43DCB" w:rsidRPr="00B43DCB">
        <w:t xml:space="preserve"> or exceptions to the obligation to offer a standard form operational GTA</w:t>
      </w:r>
      <w:r>
        <w:t xml:space="preserve"> will be required</w:t>
      </w:r>
      <w:r w:rsidR="00B43DCB" w:rsidRPr="00B43DCB">
        <w:t xml:space="preserve">.  </w:t>
      </w:r>
    </w:p>
    <w:p w14:paraId="2F30D905" w14:textId="77777777" w:rsidR="004E791B" w:rsidRDefault="004E791B" w:rsidP="004E791B">
      <w:pPr>
        <w:pStyle w:val="Heading6"/>
        <w:spacing w:line="252" w:lineRule="auto"/>
        <w:rPr>
          <w:color w:val="0099CC"/>
        </w:rPr>
      </w:pPr>
      <w:r>
        <w:rPr>
          <w:color w:val="0099CC"/>
        </w:rPr>
        <w:t>GMRG’s preliminary view</w:t>
      </w:r>
    </w:p>
    <w:p w14:paraId="000267FE" w14:textId="77777777" w:rsidR="001D05A2" w:rsidRDefault="004E791B" w:rsidP="00A92455">
      <w:pPr>
        <w:pStyle w:val="BodyText"/>
      </w:pPr>
      <w:r>
        <w:rPr>
          <w:lang w:eastAsia="en-US"/>
        </w:rPr>
        <w:t>T</w:t>
      </w:r>
      <w:r w:rsidR="00A92455" w:rsidRPr="008B6C73">
        <w:rPr>
          <w:lang w:eastAsia="en-US"/>
        </w:rPr>
        <w:t>he GMRG</w:t>
      </w:r>
      <w:r>
        <w:rPr>
          <w:lang w:eastAsia="en-US"/>
        </w:rPr>
        <w:t xml:space="preserve">’s preliminary view on this issue was </w:t>
      </w:r>
      <w:r w:rsidR="00A92455" w:rsidRPr="008B6C73">
        <w:rPr>
          <w:lang w:eastAsia="en-US"/>
        </w:rPr>
        <w:t xml:space="preserve">that it be mandatory for service providers that provide third party access </w:t>
      </w:r>
      <w:r w:rsidR="00A92455" w:rsidRPr="008B6C73">
        <w:t>to</w:t>
      </w:r>
      <w:r w:rsidR="001D05A2">
        <w:t>:</w:t>
      </w:r>
      <w:r w:rsidR="00A92455" w:rsidRPr="008B6C73">
        <w:t xml:space="preserve"> </w:t>
      </w:r>
    </w:p>
    <w:p w14:paraId="775C2036" w14:textId="77777777" w:rsidR="001D05A2" w:rsidRDefault="00604342" w:rsidP="001D05A2">
      <w:pPr>
        <w:pStyle w:val="ListBullet"/>
      </w:pPr>
      <w:r>
        <w:t>publish a standard form</w:t>
      </w:r>
      <w:r w:rsidR="00A92455" w:rsidRPr="008B6C73">
        <w:t xml:space="preserve"> operational GTA that complies with the Operational GTA Code and principles in the </w:t>
      </w:r>
      <w:r w:rsidR="001D05A2">
        <w:t xml:space="preserve">NGR; </w:t>
      </w:r>
      <w:r w:rsidR="00A92455" w:rsidRPr="008B6C73">
        <w:t xml:space="preserve">and </w:t>
      </w:r>
    </w:p>
    <w:p w14:paraId="244CA684" w14:textId="77777777" w:rsidR="001D05A2" w:rsidRDefault="00A92455" w:rsidP="001D05A2">
      <w:pPr>
        <w:pStyle w:val="ListBullet"/>
      </w:pPr>
      <w:proofErr w:type="gramStart"/>
      <w:r w:rsidRPr="008B6C73">
        <w:t>offer</w:t>
      </w:r>
      <w:proofErr w:type="gramEnd"/>
      <w:r w:rsidRPr="008B6C73">
        <w:t xml:space="preserve"> to enter into this agreement with secondary shippers</w:t>
      </w:r>
      <w:r w:rsidR="001D05A2">
        <w:t>,</w:t>
      </w:r>
      <w:r w:rsidRPr="008B6C73">
        <w:t xml:space="preserve"> subject to some limitations. </w:t>
      </w:r>
    </w:p>
    <w:p w14:paraId="2B9CD0C6" w14:textId="77777777" w:rsidR="00A92455" w:rsidRPr="008B6C73" w:rsidRDefault="00A92455" w:rsidP="00A92455">
      <w:pPr>
        <w:pStyle w:val="BodyText"/>
      </w:pPr>
      <w:r w:rsidRPr="008B6C73">
        <w:t xml:space="preserve">The GMRG also </w:t>
      </w:r>
      <w:r w:rsidR="001D05A2">
        <w:t xml:space="preserve">proposed </w:t>
      </w:r>
      <w:r w:rsidRPr="008B6C73">
        <w:t>that:</w:t>
      </w:r>
    </w:p>
    <w:p w14:paraId="3A0205F6" w14:textId="77777777" w:rsidR="00A92455" w:rsidRPr="0057020B" w:rsidRDefault="00A92455" w:rsidP="008B6C73">
      <w:pPr>
        <w:numPr>
          <w:ilvl w:val="0"/>
          <w:numId w:val="12"/>
        </w:numPr>
        <w:spacing w:before="120" w:after="120"/>
        <w:ind w:left="357" w:hanging="357"/>
      </w:pPr>
      <w:r>
        <w:t>t</w:t>
      </w:r>
      <w:r w:rsidRPr="0057020B">
        <w:t xml:space="preserve">he standard </w:t>
      </w:r>
      <w:r>
        <w:t xml:space="preserve">terms </w:t>
      </w:r>
      <w:r w:rsidRPr="0057020B">
        <w:t>be excluded from the negotiation and arbitration framework in Part 23 of the NGR</w:t>
      </w:r>
      <w:r>
        <w:t xml:space="preserve">, but </w:t>
      </w:r>
      <w:r w:rsidR="008B6C73">
        <w:t>if ‘</w:t>
      </w:r>
      <w:r>
        <w:t>O</w:t>
      </w:r>
      <w:r w:rsidRPr="0057020B">
        <w:t xml:space="preserve">ther </w:t>
      </w:r>
      <w:r>
        <w:t>S</w:t>
      </w:r>
      <w:r w:rsidRPr="0057020B">
        <w:t>ervices</w:t>
      </w:r>
      <w:r w:rsidR="008B6C73">
        <w:t xml:space="preserve">’ are offered then </w:t>
      </w:r>
      <w:r w:rsidR="001D05A2">
        <w:t xml:space="preserve">the </w:t>
      </w:r>
      <w:r w:rsidRPr="0057020B">
        <w:t xml:space="preserve">negotiation </w:t>
      </w:r>
      <w:r w:rsidR="001D05A2">
        <w:t xml:space="preserve">of </w:t>
      </w:r>
      <w:r w:rsidRPr="0057020B">
        <w:t xml:space="preserve">these services </w:t>
      </w:r>
      <w:r w:rsidR="008B6C73">
        <w:t xml:space="preserve">would </w:t>
      </w:r>
      <w:r w:rsidRPr="0057020B">
        <w:t xml:space="preserve">be </w:t>
      </w:r>
      <w:r w:rsidR="008B6C73">
        <w:t xml:space="preserve">subject to </w:t>
      </w:r>
      <w:r w:rsidRPr="0057020B">
        <w:t>Part 23</w:t>
      </w:r>
      <w:r w:rsidR="008B6C73">
        <w:t>;</w:t>
      </w:r>
      <w:r w:rsidR="001D05A2">
        <w:t xml:space="preserve"> and</w:t>
      </w:r>
    </w:p>
    <w:p w14:paraId="7AAB7386" w14:textId="77777777" w:rsidR="00A92455" w:rsidRPr="0057020B" w:rsidRDefault="008B6C73" w:rsidP="00A92455">
      <w:pPr>
        <w:numPr>
          <w:ilvl w:val="0"/>
          <w:numId w:val="12"/>
        </w:numPr>
        <w:spacing w:before="120" w:after="120"/>
        <w:ind w:left="357" w:hanging="357"/>
      </w:pPr>
      <w:proofErr w:type="gramStart"/>
      <w:r>
        <w:t>t</w:t>
      </w:r>
      <w:r w:rsidR="00A92455" w:rsidRPr="0057020B">
        <w:t>he</w:t>
      </w:r>
      <w:proofErr w:type="gramEnd"/>
      <w:r w:rsidR="00A92455" w:rsidRPr="0057020B">
        <w:t xml:space="preserve"> NGL/NGR should not prohibit service providers and shippers from agreeing </w:t>
      </w:r>
      <w:r>
        <w:t xml:space="preserve">to </w:t>
      </w:r>
      <w:r w:rsidR="00A92455" w:rsidRPr="0057020B">
        <w:t>terms negotiated between them</w:t>
      </w:r>
      <w:r>
        <w:t xml:space="preserve"> (including to agree to incorporate an operational transfer mechanism in </w:t>
      </w:r>
      <w:r w:rsidR="00A92455" w:rsidRPr="0057020B">
        <w:t>their primary GTA</w:t>
      </w:r>
      <w:r>
        <w:t>)</w:t>
      </w:r>
      <w:r w:rsidR="001D05A2">
        <w:t>.</w:t>
      </w:r>
    </w:p>
    <w:p w14:paraId="1E7BCE9F" w14:textId="77777777" w:rsidR="00A92455" w:rsidRPr="0057020B" w:rsidRDefault="008B6C73" w:rsidP="008B6C73">
      <w:pPr>
        <w:spacing w:before="120" w:after="120"/>
      </w:pPr>
      <w:r>
        <w:t>The GMRG also noted that t</w:t>
      </w:r>
      <w:r w:rsidR="00A92455" w:rsidRPr="0057020B">
        <w:t xml:space="preserve">he </w:t>
      </w:r>
      <w:r w:rsidR="00A92455">
        <w:t xml:space="preserve">capacity </w:t>
      </w:r>
      <w:r w:rsidR="00A92455" w:rsidRPr="0057020B">
        <w:t xml:space="preserve">trading platform and auction should be designed, operated and developed on the assumption that standard form operational GTAs are used to deliver all trades. Individual requirements arising out of negotiated operational GTAs or the use of primary GTAs </w:t>
      </w:r>
      <w:r w:rsidR="004E791B">
        <w:t xml:space="preserve">would therefore </w:t>
      </w:r>
      <w:r w:rsidR="00A92455" w:rsidRPr="0057020B">
        <w:t xml:space="preserve">be for the shipper and </w:t>
      </w:r>
      <w:r>
        <w:t xml:space="preserve">the service provider to manage and </w:t>
      </w:r>
      <w:r w:rsidR="00A92455" w:rsidRPr="0057020B">
        <w:t xml:space="preserve">AEMO </w:t>
      </w:r>
      <w:r w:rsidR="004E791B">
        <w:t>would</w:t>
      </w:r>
      <w:r w:rsidR="00A92455" w:rsidRPr="0057020B">
        <w:t xml:space="preserve"> not be required to look into the </w:t>
      </w:r>
      <w:r w:rsidR="00A92455">
        <w:t xml:space="preserve">specific terms and conditions of the </w:t>
      </w:r>
      <w:r w:rsidR="00A92455" w:rsidRPr="0057020B">
        <w:t>contract being used.</w:t>
      </w:r>
    </w:p>
    <w:p w14:paraId="0EB275D1" w14:textId="77777777" w:rsidR="006D41E9" w:rsidRPr="00D1703E" w:rsidRDefault="006D41E9" w:rsidP="006D41E9">
      <w:pPr>
        <w:pStyle w:val="Heading6"/>
        <w:spacing w:line="252" w:lineRule="auto"/>
        <w:rPr>
          <w:color w:val="0099CC"/>
        </w:rPr>
      </w:pPr>
      <w:r w:rsidRPr="001D05A2">
        <w:rPr>
          <w:color w:val="0099CC"/>
        </w:rPr>
        <w:t xml:space="preserve">Feedback provided through the consultation process </w:t>
      </w:r>
    </w:p>
    <w:p w14:paraId="6F5E9469" w14:textId="77777777" w:rsidR="00604342" w:rsidRDefault="00B96F59" w:rsidP="006D41E9">
      <w:pPr>
        <w:pStyle w:val="BodyText"/>
      </w:pPr>
      <w:r>
        <w:t>S</w:t>
      </w:r>
      <w:r w:rsidR="00604342">
        <w:t xml:space="preserve">takeholders did not raise any specific objections to the proposal to require service providers that are providing third party access to publish a standard form operational GTA on their website </w:t>
      </w:r>
      <w:r w:rsidR="004E791B">
        <w:t>or</w:t>
      </w:r>
      <w:r w:rsidR="00604342">
        <w:t xml:space="preserve"> to offer to enter into this agreement with secondary shippers. A number of stakeholders did, however, suggest </w:t>
      </w:r>
      <w:r>
        <w:t xml:space="preserve">the adoption of </w:t>
      </w:r>
      <w:r w:rsidR="00604342">
        <w:t>additional</w:t>
      </w:r>
      <w:bookmarkStart w:id="94" w:name="_Hlk498247653"/>
      <w:r w:rsidR="00604342">
        <w:t>:</w:t>
      </w:r>
    </w:p>
    <w:p w14:paraId="1A7076E9" w14:textId="77777777" w:rsidR="001F2D4C" w:rsidRDefault="004E791B" w:rsidP="00822F90">
      <w:pPr>
        <w:pStyle w:val="ListBullet"/>
      </w:pPr>
      <w:r>
        <w:t>e</w:t>
      </w:r>
      <w:r w:rsidR="001F2D4C">
        <w:t xml:space="preserve">xemptions from </w:t>
      </w:r>
      <w:r w:rsidR="00B96F59">
        <w:t xml:space="preserve">the </w:t>
      </w:r>
      <w:r w:rsidR="001F2D4C">
        <w:t>obligation to publish and enter into standard form operational GTAs</w:t>
      </w:r>
      <w:r>
        <w:t xml:space="preserve"> – for example</w:t>
      </w:r>
      <w:r w:rsidR="001F2D4C">
        <w:t xml:space="preserve">: </w:t>
      </w:r>
    </w:p>
    <w:p w14:paraId="678E785F" w14:textId="77777777" w:rsidR="001F2D4C" w:rsidRDefault="00604342" w:rsidP="001F2D4C">
      <w:pPr>
        <w:pStyle w:val="ListBullet2"/>
      </w:pPr>
      <w:r>
        <w:t xml:space="preserve">Jemena suggested that the obligation </w:t>
      </w:r>
      <w:r w:rsidR="00F163EC">
        <w:t xml:space="preserve">to publish a standard form operational GTA </w:t>
      </w:r>
      <w:r>
        <w:t xml:space="preserve">should only apply to pipelines and services that are traded on the capacity trading platform and auction and should not extend to pipelines servicing a single user. </w:t>
      </w:r>
      <w:r w:rsidR="001F2D4C">
        <w:t xml:space="preserve"> </w:t>
      </w:r>
    </w:p>
    <w:p w14:paraId="5FACC966" w14:textId="77777777" w:rsidR="00E464FD" w:rsidRDefault="001F2D4C" w:rsidP="001F2D4C">
      <w:pPr>
        <w:pStyle w:val="ListBullet2"/>
      </w:pPr>
      <w:r>
        <w:t xml:space="preserve">APA </w:t>
      </w:r>
      <w:r w:rsidR="00B96F59">
        <w:t xml:space="preserve">indicated that </w:t>
      </w:r>
      <w:r>
        <w:t xml:space="preserve">the exemptions in Part 23 of the NGR may be appropriate. </w:t>
      </w:r>
    </w:p>
    <w:p w14:paraId="02B735AF" w14:textId="77777777" w:rsidR="001F2D4C" w:rsidRDefault="004E791B" w:rsidP="00822F90">
      <w:pPr>
        <w:pStyle w:val="ListBullet"/>
      </w:pPr>
      <w:r>
        <w:t>l</w:t>
      </w:r>
      <w:r w:rsidR="001F2D4C">
        <w:t>imitations on the obligation to offer to enter into agreements</w:t>
      </w:r>
      <w:r>
        <w:t xml:space="preserve"> – for example</w:t>
      </w:r>
      <w:r w:rsidR="001F2D4C">
        <w:t xml:space="preserve">: </w:t>
      </w:r>
    </w:p>
    <w:p w14:paraId="49933611" w14:textId="77777777" w:rsidR="00604342" w:rsidRDefault="00604342" w:rsidP="001F2D4C">
      <w:pPr>
        <w:pStyle w:val="ListBullet2"/>
      </w:pPr>
      <w:r>
        <w:lastRenderedPageBreak/>
        <w:t xml:space="preserve">Epic </w:t>
      </w:r>
      <w:r w:rsidR="00F163EC">
        <w:t xml:space="preserve">suggested that the </w:t>
      </w:r>
      <w:r>
        <w:t xml:space="preserve">obligation to offer to enter into an operational GTA </w:t>
      </w:r>
      <w:r w:rsidR="00F163EC">
        <w:t xml:space="preserve">not extend to </w:t>
      </w:r>
      <w:r>
        <w:t>secondary shipper</w:t>
      </w:r>
      <w:r w:rsidR="00F163EC">
        <w:t>s</w:t>
      </w:r>
      <w:r>
        <w:t xml:space="preserve"> </w:t>
      </w:r>
      <w:r w:rsidR="00F163EC">
        <w:t xml:space="preserve">that are </w:t>
      </w:r>
      <w:r>
        <w:t>not registered GSH member</w:t>
      </w:r>
      <w:r w:rsidR="00F163EC">
        <w:t>s</w:t>
      </w:r>
      <w:r>
        <w:t xml:space="preserve">, or </w:t>
      </w:r>
      <w:r w:rsidR="00F163EC">
        <w:t>shippers that have previously breached the operational GTA.</w:t>
      </w:r>
    </w:p>
    <w:p w14:paraId="2F8E0C8F" w14:textId="77777777" w:rsidR="00F163EC" w:rsidRDefault="00F163EC" w:rsidP="001F2D4C">
      <w:pPr>
        <w:pStyle w:val="ListBullet2"/>
      </w:pPr>
      <w:r>
        <w:t xml:space="preserve">APA suggested that the obligation to offer to enter into an operational GTA not extend to shippers that </w:t>
      </w:r>
      <w:r w:rsidR="00B96F59">
        <w:t xml:space="preserve">cannot </w:t>
      </w:r>
      <w:r>
        <w:t xml:space="preserve">demonstrate they have the technical and financial capability to </w:t>
      </w:r>
      <w:r w:rsidR="00B96F59">
        <w:t xml:space="preserve">meet </w:t>
      </w:r>
      <w:r>
        <w:t>their contractual obligations</w:t>
      </w:r>
      <w:r w:rsidR="0090175F">
        <w:t>.</w:t>
      </w:r>
      <w:r>
        <w:t xml:space="preserve"> </w:t>
      </w:r>
    </w:p>
    <w:p w14:paraId="7784A762" w14:textId="77777777" w:rsidR="00E464FD" w:rsidRDefault="00E464FD" w:rsidP="001F2D4C">
      <w:pPr>
        <w:pStyle w:val="ListBullet2"/>
      </w:pPr>
      <w:proofErr w:type="spellStart"/>
      <w:r>
        <w:t>E</w:t>
      </w:r>
      <w:r w:rsidR="00F163EC">
        <w:t>nergyAustralia</w:t>
      </w:r>
      <w:proofErr w:type="spellEnd"/>
      <w:r w:rsidR="00F163EC">
        <w:t xml:space="preserve"> suggested </w:t>
      </w:r>
      <w:r w:rsidR="00B96F59">
        <w:t xml:space="preserve">that </w:t>
      </w:r>
      <w:r w:rsidR="00F163EC">
        <w:t xml:space="preserve">the obligation to offer to enter into an operational GTA should not apply if the shipper fails the ‘Know Your </w:t>
      </w:r>
      <w:r w:rsidR="00DE0813">
        <w:t>Customer</w:t>
      </w:r>
      <w:r w:rsidR="00F163EC">
        <w:t>’ test</w:t>
      </w:r>
      <w:r w:rsidR="00822F90">
        <w:t>, which is used to assess the compliance of companies with anti-money laundering, anti-bribery and anti-corruption regulations.</w:t>
      </w:r>
      <w:r>
        <w:t xml:space="preserve"> </w:t>
      </w:r>
    </w:p>
    <w:bookmarkEnd w:id="94"/>
    <w:p w14:paraId="371647D9" w14:textId="77777777" w:rsidR="00822F90" w:rsidRDefault="00822F90" w:rsidP="006D41E9">
      <w:pPr>
        <w:pStyle w:val="BodyText"/>
      </w:pPr>
      <w:r>
        <w:t xml:space="preserve">The majority of stakeholders </w:t>
      </w:r>
      <w:r w:rsidR="00B96F59">
        <w:t xml:space="preserve">were of the view that </w:t>
      </w:r>
      <w:r>
        <w:t>service providers and secondary shippers should be able to:</w:t>
      </w:r>
    </w:p>
    <w:p w14:paraId="6CCF2360" w14:textId="77777777" w:rsidR="00604342" w:rsidRDefault="00822F90" w:rsidP="009E0352">
      <w:pPr>
        <w:pStyle w:val="ListBullet"/>
      </w:pPr>
      <w:r>
        <w:t xml:space="preserve">agree to different terms and conditions than those specified in the operational GTA – the exceptions to this were </w:t>
      </w:r>
      <w:proofErr w:type="spellStart"/>
      <w:r>
        <w:t>EnergyAustralia</w:t>
      </w:r>
      <w:proofErr w:type="spellEnd"/>
      <w:r>
        <w:t xml:space="preserve"> and Epic who did not think this was appropriate for the operational GTA; and </w:t>
      </w:r>
    </w:p>
    <w:p w14:paraId="618D0805" w14:textId="77777777" w:rsidR="009E0352" w:rsidRDefault="00822F90" w:rsidP="009E0352">
      <w:pPr>
        <w:pStyle w:val="ListBullet"/>
      </w:pPr>
      <w:r>
        <w:t xml:space="preserve">agree to include the operational transfer mechanism in a primary GTA, although there was some debate about whether </w:t>
      </w:r>
      <w:r w:rsidR="009E0352">
        <w:t xml:space="preserve">this should just be left to negotiations between the parties, or if </w:t>
      </w:r>
      <w:r>
        <w:t>service providers should</w:t>
      </w:r>
      <w:r w:rsidR="009E0352">
        <w:t>:</w:t>
      </w:r>
      <w:r>
        <w:t xml:space="preserve"> </w:t>
      </w:r>
    </w:p>
    <w:p w14:paraId="7A798240" w14:textId="77777777" w:rsidR="009E0352" w:rsidRDefault="00822F90" w:rsidP="009E0352">
      <w:pPr>
        <w:pStyle w:val="ListBullet2"/>
      </w:pPr>
      <w:r>
        <w:t xml:space="preserve">be </w:t>
      </w:r>
      <w:r w:rsidR="009E0352">
        <w:t xml:space="preserve">required to allow this to occur if requested by the shipper (or not unreasonably withhold their consent) (AGL, </w:t>
      </w:r>
      <w:proofErr w:type="spellStart"/>
      <w:r w:rsidR="009E0352">
        <w:t>EnergyAustralia</w:t>
      </w:r>
      <w:proofErr w:type="spellEnd"/>
      <w:r w:rsidR="009E0352">
        <w:t xml:space="preserve"> and </w:t>
      </w:r>
      <w:proofErr w:type="spellStart"/>
      <w:r w:rsidR="009E0352">
        <w:t>Alinta</w:t>
      </w:r>
      <w:proofErr w:type="spellEnd"/>
      <w:r w:rsidR="009E0352">
        <w:t xml:space="preserve">); or </w:t>
      </w:r>
    </w:p>
    <w:p w14:paraId="2286DAAC" w14:textId="77777777" w:rsidR="00822F90" w:rsidRDefault="009E0352" w:rsidP="009E0352">
      <w:pPr>
        <w:pStyle w:val="ListBullet2"/>
      </w:pPr>
      <w:proofErr w:type="gramStart"/>
      <w:r>
        <w:t>have</w:t>
      </w:r>
      <w:proofErr w:type="gramEnd"/>
      <w:r>
        <w:t xml:space="preserve"> the discretion to determine whether to allow this to occur if requested by the shipper (Epic).</w:t>
      </w:r>
    </w:p>
    <w:p w14:paraId="2A7FB10F" w14:textId="77777777" w:rsidR="006D41E9" w:rsidRDefault="006D41E9" w:rsidP="006D41E9">
      <w:pPr>
        <w:pStyle w:val="Heading6"/>
        <w:spacing w:line="252" w:lineRule="auto"/>
        <w:rPr>
          <w:color w:val="0099CC"/>
        </w:rPr>
      </w:pPr>
      <w:r w:rsidRPr="008563DB">
        <w:rPr>
          <w:color w:val="0099CC"/>
        </w:rPr>
        <w:t>GMRG’s final recommendations</w:t>
      </w:r>
      <w:r>
        <w:rPr>
          <w:color w:val="0099CC"/>
        </w:rPr>
        <w:t xml:space="preserve"> </w:t>
      </w:r>
    </w:p>
    <w:p w14:paraId="7FB8453E" w14:textId="77777777" w:rsidR="00262683" w:rsidRPr="006D7232" w:rsidRDefault="00262683" w:rsidP="006D7232">
      <w:pPr>
        <w:pStyle w:val="BodyText"/>
        <w:keepNext/>
        <w:rPr>
          <w:i/>
          <w:color w:val="0099CC"/>
          <w:lang w:eastAsia="en-US"/>
        </w:rPr>
      </w:pPr>
      <w:r w:rsidRPr="006D7232">
        <w:rPr>
          <w:i/>
          <w:color w:val="0099CC"/>
          <w:lang w:eastAsia="en-US"/>
        </w:rPr>
        <w:t>Service provider obligations</w:t>
      </w:r>
    </w:p>
    <w:p w14:paraId="5B454F96" w14:textId="77777777" w:rsidR="003D5FC0" w:rsidRDefault="004E791B" w:rsidP="003D5FC0">
      <w:pPr>
        <w:pStyle w:val="BodyText"/>
      </w:pPr>
      <w:r>
        <w:rPr>
          <w:lang w:eastAsia="en-US"/>
        </w:rPr>
        <w:t xml:space="preserve">In keeping with </w:t>
      </w:r>
      <w:r w:rsidR="00B4324F">
        <w:rPr>
          <w:lang w:eastAsia="en-US"/>
        </w:rPr>
        <w:t xml:space="preserve">the feedback provided by stakeholders and the assessment framework set out in Chapter 3, the GMRG </w:t>
      </w:r>
      <w:r w:rsidR="003D5FC0">
        <w:rPr>
          <w:lang w:eastAsia="en-US"/>
        </w:rPr>
        <w:t xml:space="preserve">recommends that provisions be included in the NGL and NGR to require </w:t>
      </w:r>
      <w:r w:rsidR="003D5FC0" w:rsidRPr="008B6C73">
        <w:rPr>
          <w:lang w:eastAsia="en-US"/>
        </w:rPr>
        <w:t xml:space="preserve">service providers that </w:t>
      </w:r>
      <w:r w:rsidR="003D5FC0">
        <w:rPr>
          <w:lang w:eastAsia="en-US"/>
        </w:rPr>
        <w:t xml:space="preserve">are not subject to an exemption </w:t>
      </w:r>
      <w:r w:rsidR="003D5FC0" w:rsidRPr="008B6C73">
        <w:t>to</w:t>
      </w:r>
      <w:r w:rsidR="003D5FC0">
        <w:t>:</w:t>
      </w:r>
      <w:r w:rsidR="003D5FC0" w:rsidRPr="008B6C73">
        <w:t xml:space="preserve"> </w:t>
      </w:r>
    </w:p>
    <w:p w14:paraId="0D0B1545" w14:textId="77777777" w:rsidR="003D5FC0" w:rsidRDefault="003D5FC0" w:rsidP="003D5FC0">
      <w:pPr>
        <w:pStyle w:val="ListBullet"/>
      </w:pPr>
      <w:r>
        <w:t>publish a standard form</w:t>
      </w:r>
      <w:r w:rsidRPr="008B6C73">
        <w:t xml:space="preserve"> operational GTA </w:t>
      </w:r>
      <w:r w:rsidR="00075B7F">
        <w:t xml:space="preserve">on their website </w:t>
      </w:r>
      <w:r w:rsidRPr="008B6C73">
        <w:t xml:space="preserve">that </w:t>
      </w:r>
      <w:r w:rsidR="00075B7F">
        <w:t xml:space="preserve">incorporates the standard terms and facility specific terms for each facility and </w:t>
      </w:r>
      <w:r w:rsidRPr="008B6C73">
        <w:t xml:space="preserve">complies with the Operational GTA Code and principles in the </w:t>
      </w:r>
      <w:r>
        <w:t xml:space="preserve">NGR; </w:t>
      </w:r>
      <w:r w:rsidRPr="008B6C73">
        <w:t xml:space="preserve">and </w:t>
      </w:r>
    </w:p>
    <w:p w14:paraId="7D3BC17E" w14:textId="77777777" w:rsidR="003D5FC0" w:rsidRDefault="003D5FC0" w:rsidP="003D5FC0">
      <w:pPr>
        <w:pStyle w:val="ListBullet"/>
      </w:pPr>
      <w:proofErr w:type="gramStart"/>
      <w:r w:rsidRPr="008B6C73">
        <w:t>offer</w:t>
      </w:r>
      <w:proofErr w:type="gramEnd"/>
      <w:r w:rsidRPr="008B6C73">
        <w:t xml:space="preserve"> to enter into </w:t>
      </w:r>
      <w:r w:rsidR="00075B7F">
        <w:t xml:space="preserve">the standard form operational GTA on request by a shipper, for one or more facilities as selected by the shipper, </w:t>
      </w:r>
      <w:r w:rsidRPr="008B6C73">
        <w:t xml:space="preserve">subject to </w:t>
      </w:r>
      <w:r>
        <w:t xml:space="preserve">the </w:t>
      </w:r>
      <w:r w:rsidR="006F7634">
        <w:t xml:space="preserve">conditions and </w:t>
      </w:r>
      <w:r>
        <w:t>limitations</w:t>
      </w:r>
      <w:r w:rsidR="006F7634">
        <w:t xml:space="preserve"> specified in the </w:t>
      </w:r>
      <w:r w:rsidR="00075B7F">
        <w:t>o</w:t>
      </w:r>
      <w:r w:rsidR="006F7634">
        <w:t>perational GTA</w:t>
      </w:r>
      <w:r w:rsidR="00075B7F" w:rsidRPr="0057020B">
        <w:rPr>
          <w:vertAlign w:val="superscript"/>
        </w:rPr>
        <w:footnoteReference w:id="41"/>
      </w:r>
      <w:r w:rsidR="006F7634">
        <w:t xml:space="preserve"> and/or the NGR.</w:t>
      </w:r>
      <w:r w:rsidRPr="008B6C73">
        <w:t xml:space="preserve"> </w:t>
      </w:r>
    </w:p>
    <w:p w14:paraId="787AFF46" w14:textId="77777777" w:rsidR="001B7A26" w:rsidRPr="0057020B" w:rsidRDefault="00D671B3" w:rsidP="001B7A26">
      <w:pPr>
        <w:tabs>
          <w:tab w:val="left" w:pos="2268"/>
          <w:tab w:val="left" w:pos="4536"/>
          <w:tab w:val="left" w:pos="6804"/>
          <w:tab w:val="right" w:pos="9638"/>
        </w:tabs>
        <w:spacing w:before="240" w:after="120"/>
      </w:pPr>
      <w:r>
        <w:t xml:space="preserve">The GMRG also recommends that these </w:t>
      </w:r>
      <w:r w:rsidR="001B7A26" w:rsidRPr="0057020B">
        <w:t>obligation</w:t>
      </w:r>
      <w:r>
        <w:t xml:space="preserve">s </w:t>
      </w:r>
      <w:r w:rsidR="001B7A26" w:rsidRPr="0057020B">
        <w:t>be classified as civil penalty provisions in the regulations made under the NGL</w:t>
      </w:r>
      <w:r>
        <w:t xml:space="preserve"> and that, c</w:t>
      </w:r>
      <w:r w:rsidR="001B7A26" w:rsidRPr="0057020B">
        <w:t xml:space="preserve">onsistent with the role it plays in other markets, </w:t>
      </w:r>
      <w:r>
        <w:t xml:space="preserve">the </w:t>
      </w:r>
      <w:r w:rsidR="001B7A26" w:rsidRPr="0057020B">
        <w:t xml:space="preserve">AER: </w:t>
      </w:r>
    </w:p>
    <w:p w14:paraId="21A00E0D" w14:textId="77777777" w:rsidR="001B7A26" w:rsidRPr="0057020B" w:rsidRDefault="001B7A26" w:rsidP="001B7A26">
      <w:pPr>
        <w:numPr>
          <w:ilvl w:val="0"/>
          <w:numId w:val="12"/>
        </w:numPr>
        <w:spacing w:before="120" w:after="120"/>
        <w:ind w:left="357" w:hanging="357"/>
      </w:pPr>
      <w:r w:rsidRPr="0057020B">
        <w:t xml:space="preserve">be responsible for monitoring the service provider’s compliance with the obligation to publish the standard operational GTA and that the </w:t>
      </w:r>
      <w:r>
        <w:t xml:space="preserve">facility specific </w:t>
      </w:r>
      <w:r w:rsidRPr="0057020B">
        <w:t xml:space="preserve">terms are consistent </w:t>
      </w:r>
      <w:r w:rsidRPr="0057020B">
        <w:lastRenderedPageBreak/>
        <w:t xml:space="preserve">with the </w:t>
      </w:r>
      <w:r>
        <w:t>O</w:t>
      </w:r>
      <w:r w:rsidRPr="0057020B">
        <w:t xml:space="preserve">perational GTA </w:t>
      </w:r>
      <w:r>
        <w:t>Code and the principles applicable to the facility specific terms in the NGR</w:t>
      </w:r>
      <w:r w:rsidRPr="0057020B">
        <w:t>; and</w:t>
      </w:r>
    </w:p>
    <w:p w14:paraId="1447D8AD" w14:textId="77777777" w:rsidR="001B7A26" w:rsidRPr="0057020B" w:rsidRDefault="001B7A26" w:rsidP="001B7A26">
      <w:pPr>
        <w:numPr>
          <w:ilvl w:val="0"/>
          <w:numId w:val="12"/>
        </w:numPr>
        <w:spacing w:before="120" w:after="120"/>
        <w:ind w:left="357" w:hanging="357"/>
      </w:pPr>
      <w:proofErr w:type="gramStart"/>
      <w:r w:rsidRPr="0057020B">
        <w:t>have</w:t>
      </w:r>
      <w:proofErr w:type="gramEnd"/>
      <w:r w:rsidRPr="0057020B">
        <w:t xml:space="preserve"> the power to exempt a pipeline (or other facility) from the regime </w:t>
      </w:r>
      <w:r w:rsidR="00D671B3">
        <w:t>if it meets the exemption criteria set out in the NGR</w:t>
      </w:r>
      <w:r w:rsidRPr="0057020B">
        <w:t xml:space="preserve">. </w:t>
      </w:r>
    </w:p>
    <w:p w14:paraId="2350110F" w14:textId="77777777" w:rsidR="001B7A26" w:rsidRPr="0057020B" w:rsidRDefault="001B7A26" w:rsidP="001B7A26">
      <w:pPr>
        <w:tabs>
          <w:tab w:val="left" w:pos="2268"/>
          <w:tab w:val="left" w:pos="4536"/>
          <w:tab w:val="left" w:pos="6804"/>
          <w:tab w:val="right" w:pos="9638"/>
        </w:tabs>
        <w:spacing w:before="240" w:after="120"/>
      </w:pPr>
      <w:r w:rsidRPr="0057020B">
        <w:t xml:space="preserve">These functions and powers </w:t>
      </w:r>
      <w:r w:rsidR="00D671B3">
        <w:t>will</w:t>
      </w:r>
      <w:r w:rsidRPr="0057020B">
        <w:t xml:space="preserve"> need to be reflected in the NGL and NGR.</w:t>
      </w:r>
    </w:p>
    <w:p w14:paraId="51AB265E" w14:textId="77777777" w:rsidR="0090175F" w:rsidRDefault="006F7634" w:rsidP="00262683">
      <w:pPr>
        <w:pStyle w:val="BodyText"/>
        <w:rPr>
          <w:lang w:eastAsia="en-US"/>
        </w:rPr>
      </w:pPr>
      <w:r>
        <w:rPr>
          <w:lang w:eastAsia="en-US"/>
        </w:rPr>
        <w:t xml:space="preserve">Consistent with the position taken in other areas of the capacity trading reform package, the GMRG recommends that </w:t>
      </w:r>
      <w:r w:rsidR="003D5FC0">
        <w:rPr>
          <w:lang w:eastAsia="en-US"/>
        </w:rPr>
        <w:t xml:space="preserve">exemptions </w:t>
      </w:r>
      <w:r>
        <w:rPr>
          <w:lang w:eastAsia="en-US"/>
        </w:rPr>
        <w:t xml:space="preserve">be </w:t>
      </w:r>
      <w:r w:rsidR="003D5FC0">
        <w:rPr>
          <w:lang w:eastAsia="en-US"/>
        </w:rPr>
        <w:t>available to service providers if the pipeline or compression facility they operate</w:t>
      </w:r>
      <w:r w:rsidR="0090175F">
        <w:rPr>
          <w:lang w:eastAsia="en-US"/>
        </w:rPr>
        <w:t>:</w:t>
      </w:r>
      <w:r w:rsidR="003D5FC0">
        <w:rPr>
          <w:lang w:eastAsia="en-US"/>
        </w:rPr>
        <w:t xml:space="preserve"> </w:t>
      </w:r>
    </w:p>
    <w:p w14:paraId="2DEBCDA6" w14:textId="77777777" w:rsidR="0090175F" w:rsidRDefault="003D5FC0" w:rsidP="0090175F">
      <w:pPr>
        <w:pStyle w:val="ListBullet"/>
        <w:rPr>
          <w:lang w:eastAsia="en-US"/>
        </w:rPr>
      </w:pPr>
      <w:r>
        <w:rPr>
          <w:lang w:eastAsia="en-US"/>
        </w:rPr>
        <w:t>does not provide third party access</w:t>
      </w:r>
      <w:r w:rsidR="0090175F">
        <w:rPr>
          <w:lang w:eastAsia="en-US"/>
        </w:rPr>
        <w:t>;</w:t>
      </w:r>
      <w:r>
        <w:rPr>
          <w:lang w:eastAsia="en-US"/>
        </w:rPr>
        <w:t xml:space="preserve"> or </w:t>
      </w:r>
    </w:p>
    <w:p w14:paraId="4A3D298D" w14:textId="77777777" w:rsidR="0090175F" w:rsidRDefault="003D5FC0" w:rsidP="0090175F">
      <w:pPr>
        <w:pStyle w:val="ListBullet"/>
        <w:rPr>
          <w:lang w:eastAsia="en-US"/>
        </w:rPr>
      </w:pPr>
      <w:proofErr w:type="gramStart"/>
      <w:r>
        <w:rPr>
          <w:lang w:eastAsia="en-US"/>
        </w:rPr>
        <w:t>services</w:t>
      </w:r>
      <w:proofErr w:type="gramEnd"/>
      <w:r>
        <w:rPr>
          <w:lang w:eastAsia="en-US"/>
        </w:rPr>
        <w:t xml:space="preserve"> a single facility</w:t>
      </w:r>
      <w:r w:rsidR="0090175F">
        <w:rPr>
          <w:lang w:eastAsia="en-US"/>
        </w:rPr>
        <w:t>.</w:t>
      </w:r>
      <w:r w:rsidR="006F7634">
        <w:rPr>
          <w:lang w:eastAsia="en-US"/>
        </w:rPr>
        <w:t xml:space="preserve"> </w:t>
      </w:r>
    </w:p>
    <w:p w14:paraId="276FF4AB" w14:textId="77777777" w:rsidR="004E791B" w:rsidRPr="00E75B47" w:rsidRDefault="004E791B" w:rsidP="004E791B">
      <w:pPr>
        <w:pStyle w:val="BodyText"/>
        <w:rPr>
          <w:lang w:eastAsia="fr-CA"/>
        </w:rPr>
      </w:pPr>
      <w:r>
        <w:rPr>
          <w:lang w:eastAsia="en-US"/>
        </w:rPr>
        <w:t xml:space="preserve">These exemptions will be set out in the NGR, which will also provide for </w:t>
      </w:r>
      <w:r w:rsidRPr="00E75B47">
        <w:rPr>
          <w:lang w:eastAsia="fr-CA"/>
        </w:rPr>
        <w:t>exemption</w:t>
      </w:r>
      <w:r>
        <w:rPr>
          <w:lang w:eastAsia="fr-CA"/>
        </w:rPr>
        <w:t>s</w:t>
      </w:r>
      <w:r w:rsidRPr="00E75B47">
        <w:rPr>
          <w:lang w:eastAsia="fr-CA"/>
        </w:rPr>
        <w:t xml:space="preserve"> </w:t>
      </w:r>
      <w:r>
        <w:rPr>
          <w:lang w:eastAsia="fr-CA"/>
        </w:rPr>
        <w:t xml:space="preserve">to </w:t>
      </w:r>
      <w:r w:rsidRPr="00E75B47">
        <w:rPr>
          <w:lang w:eastAsia="fr-CA"/>
        </w:rPr>
        <w:t>be extinguished</w:t>
      </w:r>
      <w:r>
        <w:rPr>
          <w:lang w:eastAsia="fr-CA"/>
        </w:rPr>
        <w:t xml:space="preserve"> by the AER in the event conditions change</w:t>
      </w:r>
      <w:r w:rsidRPr="00E75B47">
        <w:rPr>
          <w:lang w:eastAsia="fr-CA"/>
        </w:rPr>
        <w:t xml:space="preserve">. </w:t>
      </w:r>
    </w:p>
    <w:p w14:paraId="0D0A13EC" w14:textId="77777777" w:rsidR="0090175F" w:rsidRDefault="0090175F" w:rsidP="00262683">
      <w:pPr>
        <w:pStyle w:val="BodyText"/>
        <w:rPr>
          <w:lang w:eastAsia="en-US"/>
        </w:rPr>
      </w:pPr>
      <w:r>
        <w:rPr>
          <w:lang w:eastAsia="en-US"/>
        </w:rPr>
        <w:t xml:space="preserve">The GMRG has proposed these exemptions because </w:t>
      </w:r>
      <w:r w:rsidR="00E75B47">
        <w:rPr>
          <w:lang w:eastAsia="en-US"/>
        </w:rPr>
        <w:t xml:space="preserve">it is unlikely that any secondary capacity trading will occur on transportation assets that are servicing a single facility or are not providing third party access. </w:t>
      </w:r>
      <w:r w:rsidR="004E791B">
        <w:rPr>
          <w:lang w:eastAsia="en-US"/>
        </w:rPr>
        <w:t>There would therefore be no benefit in requiring the service providers of these facilities to prepare a standardised operational GTA.</w:t>
      </w:r>
    </w:p>
    <w:p w14:paraId="56AB095E" w14:textId="77777777" w:rsidR="008166D2" w:rsidRDefault="00075B7F" w:rsidP="00262683">
      <w:pPr>
        <w:pStyle w:val="BodyText"/>
        <w:rPr>
          <w:lang w:eastAsia="en-US"/>
        </w:rPr>
      </w:pPr>
      <w:r>
        <w:rPr>
          <w:lang w:eastAsia="en-US"/>
        </w:rPr>
        <w:t xml:space="preserve">The NGR will also specify the limitations on the service provider’s obligation to offer to enter into the </w:t>
      </w:r>
      <w:r w:rsidR="00B96F59">
        <w:rPr>
          <w:lang w:eastAsia="en-US"/>
        </w:rPr>
        <w:t xml:space="preserve">standard form operational GTA. </w:t>
      </w:r>
      <w:r w:rsidR="008166D2">
        <w:rPr>
          <w:lang w:eastAsia="en-US"/>
        </w:rPr>
        <w:t xml:space="preserve">While the GMRG can see merit in some of the </w:t>
      </w:r>
      <w:r w:rsidR="00E75B47">
        <w:rPr>
          <w:lang w:eastAsia="en-US"/>
        </w:rPr>
        <w:t xml:space="preserve">suggestions </w:t>
      </w:r>
      <w:r w:rsidR="008166D2">
        <w:rPr>
          <w:lang w:eastAsia="en-US"/>
        </w:rPr>
        <w:t xml:space="preserve">that have been </w:t>
      </w:r>
      <w:r w:rsidR="00E75B47">
        <w:rPr>
          <w:lang w:eastAsia="en-US"/>
        </w:rPr>
        <w:t xml:space="preserve">made </w:t>
      </w:r>
      <w:r w:rsidR="008166D2">
        <w:rPr>
          <w:lang w:eastAsia="en-US"/>
        </w:rPr>
        <w:t xml:space="preserve">by Epic and </w:t>
      </w:r>
      <w:proofErr w:type="spellStart"/>
      <w:r w:rsidR="008166D2">
        <w:rPr>
          <w:lang w:eastAsia="en-US"/>
        </w:rPr>
        <w:t>EnergyAustralia</w:t>
      </w:r>
      <w:proofErr w:type="spellEnd"/>
      <w:r w:rsidR="008166D2">
        <w:rPr>
          <w:lang w:eastAsia="en-US"/>
        </w:rPr>
        <w:t xml:space="preserve">, </w:t>
      </w:r>
      <w:r w:rsidR="001B7A26">
        <w:rPr>
          <w:lang w:eastAsia="en-US"/>
        </w:rPr>
        <w:t>it does not think the technical competence qualification proposed by APA is required and notes that financial competence will be dealt with through the credit support requirements</w:t>
      </w:r>
      <w:r w:rsidR="008563DB">
        <w:rPr>
          <w:lang w:eastAsia="en-US"/>
        </w:rPr>
        <w:t xml:space="preserve"> in the operational GTA</w:t>
      </w:r>
      <w:r w:rsidR="001B7A26">
        <w:rPr>
          <w:lang w:eastAsia="en-US"/>
        </w:rPr>
        <w:t>. The GMRG intends to consult with stakeholders further upon the scope of the limitations in early 2018 when it develops the draft initial Rules.</w:t>
      </w:r>
    </w:p>
    <w:p w14:paraId="7A9343AC" w14:textId="77777777" w:rsidR="00262683" w:rsidRPr="006D7232" w:rsidRDefault="008563DB" w:rsidP="006D7232">
      <w:pPr>
        <w:pStyle w:val="BodyText"/>
        <w:keepNext/>
        <w:rPr>
          <w:i/>
          <w:color w:val="0099CC"/>
          <w:lang w:eastAsia="en-US"/>
        </w:rPr>
      </w:pPr>
      <w:r w:rsidRPr="006D7232">
        <w:rPr>
          <w:i/>
          <w:color w:val="0099CC"/>
          <w:lang w:eastAsia="en-US"/>
        </w:rPr>
        <w:t>Ability to negotiate</w:t>
      </w:r>
    </w:p>
    <w:p w14:paraId="7E98063B" w14:textId="77777777" w:rsidR="008563DB" w:rsidRDefault="008563DB" w:rsidP="00262683">
      <w:pPr>
        <w:pStyle w:val="BodyText"/>
      </w:pPr>
      <w:r w:rsidRPr="008563DB">
        <w:rPr>
          <w:lang w:eastAsia="en-US"/>
        </w:rPr>
        <w:t>The GMRG</w:t>
      </w:r>
      <w:r>
        <w:rPr>
          <w:lang w:eastAsia="en-US"/>
        </w:rPr>
        <w:t xml:space="preserve"> has considered the issues </w:t>
      </w:r>
      <w:r w:rsidR="00E75B47">
        <w:rPr>
          <w:lang w:eastAsia="en-US"/>
        </w:rPr>
        <w:t xml:space="preserve">stakeholders have </w:t>
      </w:r>
      <w:r>
        <w:rPr>
          <w:lang w:eastAsia="en-US"/>
        </w:rPr>
        <w:t xml:space="preserve">raised about the ability to negotiate alternative terms to the standard form operational GTA and agrees with the majority of stakeholders that </w:t>
      </w:r>
      <w:r w:rsidRPr="0057020B">
        <w:t xml:space="preserve">service providers and shippers </w:t>
      </w:r>
      <w:r>
        <w:t xml:space="preserve">should not be prevented </w:t>
      </w:r>
      <w:r w:rsidRPr="0057020B">
        <w:t xml:space="preserve">from </w:t>
      </w:r>
      <w:r w:rsidR="00E75B47">
        <w:t>negotiating alternative terms</w:t>
      </w:r>
      <w:r>
        <w:t xml:space="preserve">, </w:t>
      </w:r>
      <w:r w:rsidR="006D7232">
        <w:t xml:space="preserve">which </w:t>
      </w:r>
      <w:r w:rsidR="00E75B47">
        <w:t>could occur if</w:t>
      </w:r>
      <w:r>
        <w:t>:</w:t>
      </w:r>
    </w:p>
    <w:p w14:paraId="2934033D" w14:textId="77777777" w:rsidR="008563DB" w:rsidRDefault="006D7232" w:rsidP="006D7232">
      <w:pPr>
        <w:pStyle w:val="ListBullet"/>
      </w:pPr>
      <w:r>
        <w:t xml:space="preserve">the shipper wants to acquire </w:t>
      </w:r>
      <w:r w:rsidR="008563DB">
        <w:t xml:space="preserve">‘Other Services’ </w:t>
      </w:r>
      <w:r>
        <w:t xml:space="preserve">through </w:t>
      </w:r>
      <w:r w:rsidR="008563DB">
        <w:t xml:space="preserve">the operational GTA; or </w:t>
      </w:r>
    </w:p>
    <w:p w14:paraId="4B6D141A" w14:textId="2ABF155D" w:rsidR="008563DB" w:rsidRDefault="006D7232" w:rsidP="006D7232">
      <w:pPr>
        <w:pStyle w:val="ListBullet"/>
        <w:rPr>
          <w:lang w:eastAsia="en-US"/>
        </w:rPr>
      </w:pPr>
      <w:proofErr w:type="gramStart"/>
      <w:r>
        <w:t>the</w:t>
      </w:r>
      <w:proofErr w:type="gramEnd"/>
      <w:r>
        <w:t xml:space="preserve"> shipper wants to incorporate </w:t>
      </w:r>
      <w:r w:rsidR="008563DB">
        <w:t xml:space="preserve">an </w:t>
      </w:r>
      <w:r>
        <w:t xml:space="preserve">operational </w:t>
      </w:r>
      <w:r w:rsidR="008563DB">
        <w:t>transfer mechanism</w:t>
      </w:r>
      <w:r>
        <w:t xml:space="preserve"> in</w:t>
      </w:r>
      <w:r w:rsidR="00E41A75">
        <w:t>to</w:t>
      </w:r>
      <w:r>
        <w:t xml:space="preserve"> its primary GTA</w:t>
      </w:r>
      <w:r w:rsidR="008563DB">
        <w:t xml:space="preserve">. </w:t>
      </w:r>
    </w:p>
    <w:p w14:paraId="32A8F43A" w14:textId="77777777" w:rsidR="00C05A25" w:rsidRDefault="00E75B47" w:rsidP="004B2C78">
      <w:pPr>
        <w:pStyle w:val="BodyText"/>
      </w:pPr>
      <w:r>
        <w:t>T</w:t>
      </w:r>
      <w:r w:rsidR="00C05A25">
        <w:t xml:space="preserve">he GMRG understands that </w:t>
      </w:r>
      <w:r>
        <w:t>in the latter of these cases</w:t>
      </w:r>
      <w:r w:rsidR="004E791B">
        <w:t>,</w:t>
      </w:r>
      <w:r>
        <w:t xml:space="preserve"> </w:t>
      </w:r>
      <w:r w:rsidR="00C05A25">
        <w:t xml:space="preserve">shippers would prefer that service providers </w:t>
      </w:r>
      <w:r>
        <w:t xml:space="preserve">be required to include the </w:t>
      </w:r>
      <w:r w:rsidR="00C05A25">
        <w:t>operational transfer mechanism in a primary GTA</w:t>
      </w:r>
      <w:r>
        <w:t xml:space="preserve"> if requested by the shipper</w:t>
      </w:r>
      <w:r w:rsidR="00C05A25">
        <w:t>. However, it is important to recognise that the inclusion of this mechanism in the primary GTA may allow the shipper to access</w:t>
      </w:r>
      <w:r w:rsidR="004B2C78">
        <w:t xml:space="preserve"> the capacity on more flexible terms than what they are paying the service provider for.</w:t>
      </w:r>
      <w:r w:rsidR="004B2C78">
        <w:rPr>
          <w:rStyle w:val="FootnoteReference"/>
        </w:rPr>
        <w:footnoteReference w:id="42"/>
      </w:r>
      <w:r w:rsidR="004B2C78">
        <w:t xml:space="preserve"> While this issue could be overcome by including a standardised operational transfer mechanism into primary </w:t>
      </w:r>
      <w:r w:rsidR="004B2C78">
        <w:lastRenderedPageBreak/>
        <w:t>GTAs as</w:t>
      </w:r>
      <w:r>
        <w:t xml:space="preserve"> proposed by</w:t>
      </w:r>
      <w:r w:rsidR="004B2C78">
        <w:t xml:space="preserve"> </w:t>
      </w:r>
      <w:proofErr w:type="spellStart"/>
      <w:r w:rsidR="004B2C78">
        <w:t>Alinta</w:t>
      </w:r>
      <w:proofErr w:type="spellEnd"/>
      <w:r w:rsidR="004B2C78">
        <w:t xml:space="preserve">, the GMRG understands there may be other cases where it is mutually beneficial to the service provider and shipper to leverage existing provisions in a primary GTA. The GMRG is therefore of the view that service providers and shippers should be able to negotiate the inclusion of the transfer mechanism in primary GTAs, but it should not be compulsory for service providers to allow this to occur.  </w:t>
      </w:r>
    </w:p>
    <w:p w14:paraId="16AE1330" w14:textId="77777777" w:rsidR="008563DB" w:rsidRPr="0057020B" w:rsidRDefault="004B2C78" w:rsidP="006D7232">
      <w:pPr>
        <w:pStyle w:val="BodyText"/>
      </w:pPr>
      <w:r>
        <w:t>For the reasons set out above, the GMRG recommends that t</w:t>
      </w:r>
      <w:r w:rsidRPr="0057020B">
        <w:t>he NGL</w:t>
      </w:r>
      <w:r w:rsidR="004E791B">
        <w:t xml:space="preserve"> and </w:t>
      </w:r>
      <w:r w:rsidRPr="0057020B">
        <w:t xml:space="preserve">NGR not prohibit service providers and shippers from agreeing </w:t>
      </w:r>
      <w:r>
        <w:t xml:space="preserve">to </w:t>
      </w:r>
      <w:r w:rsidRPr="0057020B">
        <w:t>terms negotiated between them</w:t>
      </w:r>
      <w:r>
        <w:t xml:space="preserve">. The GMRG also recommends that </w:t>
      </w:r>
      <w:r w:rsidR="008563DB" w:rsidRPr="0057020B">
        <w:t xml:space="preserve">standard </w:t>
      </w:r>
      <w:r w:rsidR="008563DB">
        <w:t xml:space="preserve">terms </w:t>
      </w:r>
      <w:r w:rsidR="006D7232">
        <w:t xml:space="preserve">in operational GTAs be </w:t>
      </w:r>
      <w:r w:rsidR="008563DB" w:rsidRPr="0057020B">
        <w:t>excluded from the negotiation and arbitration framework in Part 23 of the NGR</w:t>
      </w:r>
      <w:r w:rsidR="006D7232">
        <w:t xml:space="preserve"> if they mirror the provisions in the Operational GTA Code. However, </w:t>
      </w:r>
      <w:r w:rsidR="008563DB">
        <w:t>if ‘O</w:t>
      </w:r>
      <w:r w:rsidR="008563DB" w:rsidRPr="0057020B">
        <w:t xml:space="preserve">ther </w:t>
      </w:r>
      <w:r w:rsidR="008563DB">
        <w:t>S</w:t>
      </w:r>
      <w:r w:rsidR="008563DB" w:rsidRPr="0057020B">
        <w:t>ervices</w:t>
      </w:r>
      <w:r w:rsidR="008563DB">
        <w:t xml:space="preserve">’ are offered then the </w:t>
      </w:r>
      <w:r w:rsidR="008563DB" w:rsidRPr="0057020B">
        <w:t xml:space="preserve">negotiation </w:t>
      </w:r>
      <w:r w:rsidR="008563DB">
        <w:t xml:space="preserve">of </w:t>
      </w:r>
      <w:r w:rsidR="008563DB" w:rsidRPr="0057020B">
        <w:t xml:space="preserve">these services </w:t>
      </w:r>
      <w:r w:rsidR="008563DB">
        <w:t xml:space="preserve">would </w:t>
      </w:r>
      <w:r w:rsidR="008563DB" w:rsidRPr="0057020B">
        <w:t xml:space="preserve">be </w:t>
      </w:r>
      <w:r w:rsidR="008563DB">
        <w:t xml:space="preserve">subject to </w:t>
      </w:r>
      <w:r w:rsidR="008563DB" w:rsidRPr="0057020B">
        <w:t>Part 23</w:t>
      </w:r>
      <w:r w:rsidR="006D7232">
        <w:t>.</w:t>
      </w:r>
    </w:p>
    <w:p w14:paraId="2F22E22B" w14:textId="77777777" w:rsidR="00DE0813" w:rsidRDefault="00DE0813" w:rsidP="006D7232">
      <w:pPr>
        <w:pStyle w:val="BodyText"/>
      </w:pPr>
      <w:r>
        <w:t>Whether in standard form or with negotiated changes, operational GTAs will be governed by usual principles of contract law and enforceable as a contract by the parties.  They will not have any status as a regulatory instrument.</w:t>
      </w:r>
    </w:p>
    <w:p w14:paraId="684B5B45" w14:textId="77777777" w:rsidR="003C4A69" w:rsidRDefault="003C4A69" w:rsidP="003C4A69">
      <w:pPr>
        <w:pStyle w:val="Heading2"/>
      </w:pPr>
      <w:bookmarkStart w:id="95" w:name="_Ref491430422"/>
      <w:bookmarkStart w:id="96" w:name="_Toc499542652"/>
      <w:bookmarkStart w:id="97" w:name="_Toc491443345"/>
      <w:r>
        <w:t>Cost recovery for provision of operational transfer services</w:t>
      </w:r>
      <w:bookmarkEnd w:id="95"/>
      <w:bookmarkEnd w:id="96"/>
    </w:p>
    <w:p w14:paraId="2DF94321" w14:textId="77777777" w:rsidR="003C4A69" w:rsidRPr="00D1703E" w:rsidRDefault="003C4A69" w:rsidP="003C4A69">
      <w:pPr>
        <w:pStyle w:val="Heading6"/>
        <w:rPr>
          <w:color w:val="0099CC"/>
        </w:rPr>
      </w:pPr>
      <w:bookmarkStart w:id="98" w:name="_Hlk490393548"/>
      <w:r>
        <w:rPr>
          <w:color w:val="0099CC"/>
        </w:rPr>
        <w:t xml:space="preserve">Background </w:t>
      </w:r>
    </w:p>
    <w:p w14:paraId="4E911364" w14:textId="77777777" w:rsidR="003C4A69" w:rsidRPr="00565CA0" w:rsidRDefault="003C4A69" w:rsidP="003C4A69">
      <w:pPr>
        <w:pStyle w:val="BodyText"/>
      </w:pPr>
      <w:r w:rsidRPr="00565CA0">
        <w:t xml:space="preserve">The use of operational transfers and the capacity trading </w:t>
      </w:r>
      <w:r w:rsidR="00D95543">
        <w:t xml:space="preserve">platform </w:t>
      </w:r>
      <w:r w:rsidRPr="00565CA0">
        <w:t xml:space="preserve">will </w:t>
      </w:r>
      <w:r>
        <w:t xml:space="preserve">impose </w:t>
      </w:r>
      <w:r w:rsidRPr="00565CA0">
        <w:t xml:space="preserve">a number of </w:t>
      </w:r>
      <w:r>
        <w:t xml:space="preserve">incremental </w:t>
      </w:r>
      <w:r w:rsidRPr="00565CA0">
        <w:t xml:space="preserve">costs </w:t>
      </w:r>
      <w:r>
        <w:t xml:space="preserve">on </w:t>
      </w:r>
      <w:r w:rsidRPr="00565CA0">
        <w:t>service providers. Service providers will, for example, incur</w:t>
      </w:r>
      <w:r>
        <w:t xml:space="preserve"> the following types of costs</w:t>
      </w:r>
      <w:r w:rsidRPr="00565CA0">
        <w:t>:</w:t>
      </w:r>
    </w:p>
    <w:p w14:paraId="2EA1CB54" w14:textId="77777777" w:rsidR="003C4A69" w:rsidRPr="00565CA0" w:rsidRDefault="003C4A69" w:rsidP="00CF4594">
      <w:pPr>
        <w:pStyle w:val="BodyText"/>
        <w:numPr>
          <w:ilvl w:val="0"/>
          <w:numId w:val="25"/>
        </w:numPr>
        <w:spacing w:before="60"/>
        <w:ind w:left="357" w:hanging="357"/>
      </w:pPr>
      <w:r w:rsidRPr="00F06F26">
        <w:rPr>
          <w:b/>
        </w:rPr>
        <w:t xml:space="preserve">establishment costs – </w:t>
      </w:r>
      <w:r>
        <w:t xml:space="preserve">this category of costs </w:t>
      </w:r>
      <w:r w:rsidRPr="00565CA0">
        <w:t xml:space="preserve">include the </w:t>
      </w:r>
      <w:r>
        <w:t xml:space="preserve">incremental </w:t>
      </w:r>
      <w:r w:rsidRPr="00565CA0">
        <w:t xml:space="preserve">costs </w:t>
      </w:r>
      <w:r>
        <w:t xml:space="preserve">that service providers will incur </w:t>
      </w:r>
      <w:r w:rsidRPr="00565CA0">
        <w:t xml:space="preserve">entering into operational GTAs with secondary shippers </w:t>
      </w:r>
      <w:r>
        <w:t xml:space="preserve">that want to use the capacity trading platform and/or day-ahead auction </w:t>
      </w:r>
      <w:r w:rsidRPr="00565CA0">
        <w:t xml:space="preserve">and setting </w:t>
      </w:r>
      <w:r>
        <w:t xml:space="preserve">the </w:t>
      </w:r>
      <w:r w:rsidRPr="00565CA0">
        <w:t xml:space="preserve">secondary shippers up in </w:t>
      </w:r>
      <w:r>
        <w:t xml:space="preserve">their </w:t>
      </w:r>
      <w:r w:rsidRPr="00565CA0">
        <w:t>systems;</w:t>
      </w:r>
    </w:p>
    <w:p w14:paraId="100233DB" w14:textId="77777777" w:rsidR="003C4A69" w:rsidRDefault="003C4A69" w:rsidP="00CF4594">
      <w:pPr>
        <w:pStyle w:val="BodyText"/>
        <w:numPr>
          <w:ilvl w:val="0"/>
          <w:numId w:val="25"/>
        </w:numPr>
        <w:spacing w:before="60"/>
        <w:ind w:left="357" w:hanging="357"/>
      </w:pPr>
      <w:r w:rsidRPr="00F06F26">
        <w:rPr>
          <w:b/>
        </w:rPr>
        <w:t xml:space="preserve">capacity trading costs </w:t>
      </w:r>
      <w:r>
        <w:t xml:space="preserve">– this category of costs </w:t>
      </w:r>
      <w:r w:rsidRPr="00565CA0">
        <w:t>include</w:t>
      </w:r>
      <w:r>
        <w:t>s the incremental</w:t>
      </w:r>
      <w:r w:rsidRPr="00565CA0">
        <w:t xml:space="preserve">: </w:t>
      </w:r>
    </w:p>
    <w:p w14:paraId="3F8BFFF9" w14:textId="77777777" w:rsidR="003C4A69" w:rsidRPr="00565CA0" w:rsidRDefault="003C4A69" w:rsidP="00DE0813">
      <w:pPr>
        <w:pStyle w:val="ListNumber2"/>
        <w:numPr>
          <w:ilvl w:val="1"/>
          <w:numId w:val="83"/>
        </w:numPr>
        <w:spacing w:before="60"/>
      </w:pPr>
      <w:r w:rsidRPr="00F06F26">
        <w:t>system and communication</w:t>
      </w:r>
      <w:r>
        <w:t xml:space="preserve"> costs that service providers incur:</w:t>
      </w:r>
    </w:p>
    <w:p w14:paraId="78E7BBC2" w14:textId="77777777" w:rsidR="003C4A69" w:rsidRPr="00565CA0" w:rsidRDefault="003C4A69" w:rsidP="003C4A69">
      <w:pPr>
        <w:pStyle w:val="ListBullet2"/>
        <w:spacing w:before="60"/>
        <w:ind w:left="1071"/>
      </w:pPr>
      <w:r w:rsidRPr="00565CA0">
        <w:t>receiving information from AEMO about any trades conducted through the platform and providing AEMO with any confirmations it may require; and</w:t>
      </w:r>
    </w:p>
    <w:p w14:paraId="6D1B0C8B" w14:textId="77777777" w:rsidR="003C4A69" w:rsidRDefault="003C4A69" w:rsidP="003C4A69">
      <w:pPr>
        <w:pStyle w:val="ListBullet2"/>
        <w:spacing w:before="60"/>
        <w:ind w:left="1071"/>
      </w:pPr>
      <w:r w:rsidRPr="00565CA0">
        <w:t xml:space="preserve">automating their systems to deal with the information </w:t>
      </w:r>
      <w:r>
        <w:t xml:space="preserve">that needs to be </w:t>
      </w:r>
      <w:r w:rsidRPr="00565CA0">
        <w:t xml:space="preserve">provided </w:t>
      </w:r>
      <w:r>
        <w:t xml:space="preserve">to and received from </w:t>
      </w:r>
      <w:r w:rsidRPr="00565CA0">
        <w:t>AEMO</w:t>
      </w:r>
      <w:r>
        <w:t>; and</w:t>
      </w:r>
      <w:r w:rsidRPr="00565CA0">
        <w:t xml:space="preserve"> </w:t>
      </w:r>
    </w:p>
    <w:p w14:paraId="41BD0F21" w14:textId="77777777" w:rsidR="003C4A69" w:rsidRDefault="003C4A69" w:rsidP="003C4A69">
      <w:pPr>
        <w:pStyle w:val="ListNumber2"/>
        <w:spacing w:before="60"/>
      </w:pPr>
      <w:r>
        <w:t xml:space="preserve">trading related costs that service providers incur: </w:t>
      </w:r>
    </w:p>
    <w:p w14:paraId="0CFA4EB7" w14:textId="77777777" w:rsidR="003C4A69" w:rsidRDefault="003C4A69" w:rsidP="003C4A69">
      <w:pPr>
        <w:pStyle w:val="ListBullet2"/>
        <w:spacing w:before="60"/>
        <w:ind w:left="1071"/>
      </w:pPr>
      <w:r w:rsidRPr="00565CA0">
        <w:t>adjusting primary and secondary shippers</w:t>
      </w:r>
      <w:r>
        <w:t>’</w:t>
      </w:r>
      <w:r w:rsidRPr="00565CA0">
        <w:t xml:space="preserve"> operational MDQ when trades occur</w:t>
      </w:r>
      <w:r>
        <w:t>;</w:t>
      </w:r>
      <w:r w:rsidRPr="00565CA0">
        <w:t xml:space="preserve"> and </w:t>
      </w:r>
    </w:p>
    <w:p w14:paraId="79AA8144" w14:textId="77777777" w:rsidR="003C4A69" w:rsidRDefault="003C4A69" w:rsidP="003C4A69">
      <w:pPr>
        <w:pStyle w:val="ListBullet2"/>
        <w:spacing w:before="60"/>
        <w:ind w:left="1071"/>
      </w:pPr>
      <w:proofErr w:type="gramStart"/>
      <w:r w:rsidRPr="00565CA0">
        <w:t>managing</w:t>
      </w:r>
      <w:proofErr w:type="gramEnd"/>
      <w:r w:rsidRPr="00565CA0">
        <w:t xml:space="preserve"> the secondary shipper’s nominations, allocations and billing for overrun and imbalance charges</w:t>
      </w:r>
      <w:r w:rsidR="005035F3">
        <w:t>.</w:t>
      </w:r>
    </w:p>
    <w:p w14:paraId="1D2E1626" w14:textId="77777777" w:rsidR="003C4A69" w:rsidRDefault="00D95543" w:rsidP="003C4A69">
      <w:pPr>
        <w:pStyle w:val="BodyText"/>
      </w:pPr>
      <w:r>
        <w:t xml:space="preserve">No guidance was provided in the </w:t>
      </w:r>
      <w:r>
        <w:rPr>
          <w:i/>
        </w:rPr>
        <w:t xml:space="preserve">East Coast Review </w:t>
      </w:r>
      <w:r>
        <w:t>on</w:t>
      </w:r>
      <w:r w:rsidR="003C4A69">
        <w:t xml:space="preserve">: </w:t>
      </w:r>
    </w:p>
    <w:p w14:paraId="0C1480CE" w14:textId="77777777" w:rsidR="003C4A69" w:rsidRDefault="003C4A69" w:rsidP="003C4A69">
      <w:pPr>
        <w:pStyle w:val="ListBullet"/>
      </w:pPr>
      <w:r>
        <w:t xml:space="preserve">who should bear the establishment and capacity trading costs; </w:t>
      </w:r>
    </w:p>
    <w:p w14:paraId="099E1FE1" w14:textId="77777777" w:rsidR="003C4A69" w:rsidRDefault="003C4A69" w:rsidP="003C4A69">
      <w:pPr>
        <w:pStyle w:val="ListBullet"/>
      </w:pPr>
      <w:r>
        <w:t>the cost recovery mechanism that should be used by service providers; or</w:t>
      </w:r>
    </w:p>
    <w:p w14:paraId="1239A154" w14:textId="77777777" w:rsidR="003C4A69" w:rsidRDefault="003C4A69" w:rsidP="003C4A69">
      <w:pPr>
        <w:pStyle w:val="ListBullet"/>
      </w:pPr>
      <w:proofErr w:type="gramStart"/>
      <w:r>
        <w:t>whether</w:t>
      </w:r>
      <w:proofErr w:type="gramEnd"/>
      <w:r>
        <w:t xml:space="preserve"> there should be any oversight of the costs recovered by service providers.</w:t>
      </w:r>
    </w:p>
    <w:p w14:paraId="47EEDBE5" w14:textId="77777777" w:rsidR="003C4A69" w:rsidRDefault="003C4A69" w:rsidP="003C4A69">
      <w:pPr>
        <w:pStyle w:val="BodyText"/>
      </w:pPr>
      <w:r>
        <w:lastRenderedPageBreak/>
        <w:t xml:space="preserve">The options that the Standardisation project team considered and the views that they expressed on each option are summarised in </w:t>
      </w:r>
      <w:r>
        <w:fldChar w:fldCharType="begin"/>
      </w:r>
      <w:r>
        <w:instrText xml:space="preserve"> REF _Ref491439567 \h </w:instrText>
      </w:r>
      <w:r>
        <w:fldChar w:fldCharType="separate"/>
      </w:r>
      <w:r w:rsidR="00761861">
        <w:t xml:space="preserve">Table </w:t>
      </w:r>
      <w:r w:rsidR="00761861">
        <w:rPr>
          <w:noProof/>
        </w:rPr>
        <w:t>4</w:t>
      </w:r>
      <w:r w:rsidR="00761861">
        <w:t>.</w:t>
      </w:r>
      <w:r w:rsidR="00761861">
        <w:rPr>
          <w:noProof/>
        </w:rPr>
        <w:t>2</w:t>
      </w:r>
      <w:r>
        <w:fldChar w:fldCharType="end"/>
      </w:r>
      <w:r>
        <w:t>.</w:t>
      </w:r>
    </w:p>
    <w:p w14:paraId="3176CBDD" w14:textId="77777777" w:rsidR="003C4A69" w:rsidRDefault="003C4A69" w:rsidP="003C4A69">
      <w:pPr>
        <w:pStyle w:val="Caption"/>
        <w:spacing w:after="0"/>
      </w:pPr>
      <w:bookmarkStart w:id="99" w:name="_Ref491439567"/>
      <w:r>
        <w:t xml:space="preserve">Table </w:t>
      </w:r>
      <w:r w:rsidR="00983431">
        <w:fldChar w:fldCharType="begin"/>
      </w:r>
      <w:r w:rsidR="00983431">
        <w:instrText xml:space="preserve"> STYLEREF 1 \s </w:instrText>
      </w:r>
      <w:r w:rsidR="00983431">
        <w:fldChar w:fldCharType="separate"/>
      </w:r>
      <w:r w:rsidR="00761861">
        <w:rPr>
          <w:noProof/>
        </w:rPr>
        <w:t>4</w:t>
      </w:r>
      <w:r w:rsidR="00983431">
        <w:rPr>
          <w:noProof/>
        </w:rPr>
        <w:fldChar w:fldCharType="end"/>
      </w:r>
      <w:r w:rsidR="00901056">
        <w:t>.</w:t>
      </w:r>
      <w:r w:rsidR="00983431">
        <w:fldChar w:fldCharType="begin"/>
      </w:r>
      <w:r w:rsidR="00983431">
        <w:instrText xml:space="preserve"> SEQ Table \* ARABIC \s 1 </w:instrText>
      </w:r>
      <w:r w:rsidR="00983431">
        <w:fldChar w:fldCharType="separate"/>
      </w:r>
      <w:r w:rsidR="00761861">
        <w:rPr>
          <w:noProof/>
        </w:rPr>
        <w:t>2</w:t>
      </w:r>
      <w:r w:rsidR="00983431">
        <w:rPr>
          <w:noProof/>
        </w:rPr>
        <w:fldChar w:fldCharType="end"/>
      </w:r>
      <w:bookmarkEnd w:id="99"/>
      <w:r>
        <w:t>: Cost recovery options</w:t>
      </w:r>
    </w:p>
    <w:tbl>
      <w:tblPr>
        <w:tblStyle w:val="TableGrid"/>
        <w:tblW w:w="5244" w:type="pct"/>
        <w:tblLayout w:type="fixed"/>
        <w:tblLook w:val="0420" w:firstRow="1" w:lastRow="0" w:firstColumn="0" w:lastColumn="0" w:noHBand="0" w:noVBand="1"/>
        <w:tblCaption w:val="Table 4.2"/>
        <w:tblDescription w:val="Cost recovery options"/>
      </w:tblPr>
      <w:tblGrid>
        <w:gridCol w:w="4820"/>
        <w:gridCol w:w="4397"/>
      </w:tblGrid>
      <w:tr w:rsidR="003C4A69" w14:paraId="545FAE04" w14:textId="77777777" w:rsidTr="003C4A69">
        <w:trPr>
          <w:cnfStyle w:val="100000000000" w:firstRow="1" w:lastRow="0" w:firstColumn="0" w:lastColumn="0" w:oddVBand="0" w:evenVBand="0" w:oddHBand="0" w:evenHBand="0" w:firstRowFirstColumn="0" w:firstRowLastColumn="0" w:lastRowFirstColumn="0" w:lastRowLastColumn="0"/>
          <w:cantSplit/>
          <w:tblHeader/>
        </w:trPr>
        <w:tc>
          <w:tcPr>
            <w:tcW w:w="2615" w:type="pct"/>
            <w:shd w:val="clear" w:color="auto" w:fill="0099CC"/>
          </w:tcPr>
          <w:p w14:paraId="3577B7CD" w14:textId="77777777" w:rsidR="003C4A69" w:rsidRDefault="003C4A69" w:rsidP="003C4A69">
            <w:pPr>
              <w:pStyle w:val="TableHeading"/>
              <w:spacing w:before="40" w:after="40"/>
              <w:rPr>
                <w:lang w:eastAsia="fr-CA"/>
              </w:rPr>
            </w:pPr>
            <w:r>
              <w:rPr>
                <w:lang w:eastAsia="fr-CA"/>
              </w:rPr>
              <w:t>Options considered</w:t>
            </w:r>
          </w:p>
        </w:tc>
        <w:tc>
          <w:tcPr>
            <w:tcW w:w="2385" w:type="pct"/>
            <w:shd w:val="clear" w:color="auto" w:fill="0099CC"/>
          </w:tcPr>
          <w:p w14:paraId="4CD2F722" w14:textId="77777777" w:rsidR="003C4A69" w:rsidRDefault="003C4A69" w:rsidP="003C4A69">
            <w:pPr>
              <w:pStyle w:val="TableHeading"/>
              <w:spacing w:before="40" w:after="40"/>
              <w:rPr>
                <w:lang w:eastAsia="fr-CA"/>
              </w:rPr>
            </w:pPr>
            <w:r>
              <w:rPr>
                <w:lang w:eastAsia="fr-CA"/>
              </w:rPr>
              <w:t>Summary of project team’s view</w:t>
            </w:r>
          </w:p>
        </w:tc>
      </w:tr>
      <w:tr w:rsidR="003C4A69" w:rsidRPr="00363448" w14:paraId="21664225" w14:textId="77777777" w:rsidTr="003C4A69">
        <w:trPr>
          <w:cantSplit/>
          <w:trHeight w:val="94"/>
        </w:trPr>
        <w:tc>
          <w:tcPr>
            <w:tcW w:w="5000" w:type="pct"/>
            <w:gridSpan w:val="2"/>
          </w:tcPr>
          <w:p w14:paraId="75A3A10C" w14:textId="77777777" w:rsidR="003C4A69" w:rsidRPr="00363448" w:rsidRDefault="003C4A69" w:rsidP="003C4A69">
            <w:pPr>
              <w:pStyle w:val="Heading6"/>
              <w:spacing w:before="40" w:after="40"/>
              <w:jc w:val="center"/>
              <w:outlineLvl w:val="5"/>
              <w:rPr>
                <w:color w:val="auto"/>
              </w:rPr>
            </w:pPr>
            <w:r w:rsidRPr="00363448">
              <w:rPr>
                <w:color w:val="auto"/>
              </w:rPr>
              <w:t>Who should bear the establishment and capacity trading platform costs?</w:t>
            </w:r>
          </w:p>
        </w:tc>
      </w:tr>
      <w:tr w:rsidR="003C4A69" w14:paraId="09ABEDDF" w14:textId="77777777" w:rsidTr="003C4A69">
        <w:trPr>
          <w:cnfStyle w:val="000000010000" w:firstRow="0" w:lastRow="0" w:firstColumn="0" w:lastColumn="0" w:oddVBand="0" w:evenVBand="0" w:oddHBand="0" w:evenHBand="1" w:firstRowFirstColumn="0" w:firstRowLastColumn="0" w:lastRowFirstColumn="0" w:lastRowLastColumn="0"/>
          <w:cantSplit/>
        </w:trPr>
        <w:tc>
          <w:tcPr>
            <w:tcW w:w="2615" w:type="pct"/>
          </w:tcPr>
          <w:p w14:paraId="6B0457C9" w14:textId="77777777" w:rsidR="003C4A69" w:rsidRDefault="003C4A69" w:rsidP="003C4A69">
            <w:pPr>
              <w:pStyle w:val="BodyText"/>
              <w:spacing w:before="40" w:after="40"/>
            </w:pPr>
            <w:r>
              <w:t xml:space="preserve">The list of potential candidates that could be required to fund the establishment and capacity trading costs listed in (1) and (2) includes: </w:t>
            </w:r>
          </w:p>
          <w:p w14:paraId="20A8ABC3" w14:textId="77777777" w:rsidR="003C4A69" w:rsidRDefault="003C4A69" w:rsidP="00CF4594">
            <w:pPr>
              <w:pStyle w:val="ListBullet"/>
              <w:numPr>
                <w:ilvl w:val="0"/>
                <w:numId w:val="27"/>
              </w:numPr>
              <w:spacing w:before="40" w:after="40"/>
              <w:ind w:left="442" w:hanging="357"/>
            </w:pPr>
            <w:r>
              <w:t>secondary shippers only;</w:t>
            </w:r>
          </w:p>
          <w:p w14:paraId="01D2277E" w14:textId="77777777" w:rsidR="003C4A69" w:rsidRDefault="003C4A69" w:rsidP="00CF4594">
            <w:pPr>
              <w:pStyle w:val="ListBullet"/>
              <w:numPr>
                <w:ilvl w:val="0"/>
                <w:numId w:val="27"/>
              </w:numPr>
              <w:spacing w:before="40" w:after="40"/>
              <w:ind w:left="442" w:hanging="357"/>
            </w:pPr>
            <w:r>
              <w:t xml:space="preserve">secondary shippers and primary shippers that sell their capacity; </w:t>
            </w:r>
          </w:p>
          <w:p w14:paraId="7641C378" w14:textId="77777777" w:rsidR="003C4A69" w:rsidRDefault="003C4A69" w:rsidP="00CF4594">
            <w:pPr>
              <w:pStyle w:val="ListBullet"/>
              <w:numPr>
                <w:ilvl w:val="0"/>
                <w:numId w:val="27"/>
              </w:numPr>
              <w:spacing w:before="40" w:after="40"/>
              <w:ind w:left="442" w:hanging="357"/>
            </w:pPr>
            <w:r>
              <w:t>secondary shippers and all primary shippers; or</w:t>
            </w:r>
          </w:p>
          <w:p w14:paraId="53F4C35D" w14:textId="77777777" w:rsidR="003C4A69" w:rsidRDefault="003C4A69" w:rsidP="00CF4594">
            <w:pPr>
              <w:pStyle w:val="ListBullet"/>
              <w:numPr>
                <w:ilvl w:val="0"/>
                <w:numId w:val="27"/>
              </w:numPr>
              <w:spacing w:before="40" w:after="40"/>
              <w:ind w:left="442" w:hanging="357"/>
            </w:pPr>
            <w:proofErr w:type="gramStart"/>
            <w:r>
              <w:t>secondary</w:t>
            </w:r>
            <w:proofErr w:type="gramEnd"/>
            <w:r>
              <w:t xml:space="preserve"> shippers, all primary shippers and the service provider.</w:t>
            </w:r>
          </w:p>
        </w:tc>
        <w:tc>
          <w:tcPr>
            <w:tcW w:w="2385" w:type="pct"/>
          </w:tcPr>
          <w:p w14:paraId="6FF79F6C" w14:textId="77777777" w:rsidR="003C4A69" w:rsidRDefault="003C4A69" w:rsidP="003C4A69">
            <w:pPr>
              <w:pStyle w:val="BodyText"/>
              <w:spacing w:before="40" w:after="40"/>
            </w:pPr>
            <w:r>
              <w:t xml:space="preserve">Of the four options, the Standardisation project team were indifferent between options (a) and (b), although it was noted by some team members that option (a) may be easier to implement (i.e. because changes to primary GTAs would not be required) and it may reduce the perceived impediments to primary shippers selling capacity. It was also noted in this context that even if the costs were recovered from primary shippers, they were likely to be reflected in the price charged by the primary shipper for secondary capacity, so the secondary shipper would still be liable for the costs. </w:t>
            </w:r>
          </w:p>
        </w:tc>
      </w:tr>
      <w:tr w:rsidR="003C4A69" w:rsidRPr="00363448" w14:paraId="2AA11B39" w14:textId="77777777" w:rsidTr="003C4A69">
        <w:trPr>
          <w:cantSplit/>
        </w:trPr>
        <w:tc>
          <w:tcPr>
            <w:tcW w:w="5000" w:type="pct"/>
            <w:gridSpan w:val="2"/>
          </w:tcPr>
          <w:p w14:paraId="23D12C66" w14:textId="77777777" w:rsidR="003C4A69" w:rsidRPr="00363448" w:rsidRDefault="003C4A69" w:rsidP="003C4A69">
            <w:pPr>
              <w:pStyle w:val="Heading6"/>
              <w:spacing w:before="40" w:after="40"/>
              <w:jc w:val="center"/>
              <w:outlineLvl w:val="5"/>
              <w:rPr>
                <w:color w:val="auto"/>
              </w:rPr>
            </w:pPr>
            <w:r w:rsidRPr="00363448">
              <w:rPr>
                <w:color w:val="auto"/>
              </w:rPr>
              <w:t>How should costs be recovered?</w:t>
            </w:r>
          </w:p>
        </w:tc>
      </w:tr>
      <w:tr w:rsidR="003C4A69" w14:paraId="57E1D34B" w14:textId="77777777" w:rsidTr="003C4A69">
        <w:trPr>
          <w:cnfStyle w:val="000000010000" w:firstRow="0" w:lastRow="0" w:firstColumn="0" w:lastColumn="0" w:oddVBand="0" w:evenVBand="0" w:oddHBand="0" w:evenHBand="1" w:firstRowFirstColumn="0" w:firstRowLastColumn="0" w:lastRowFirstColumn="0" w:lastRowLastColumn="0"/>
          <w:cantSplit/>
        </w:trPr>
        <w:tc>
          <w:tcPr>
            <w:tcW w:w="2615" w:type="pct"/>
          </w:tcPr>
          <w:p w14:paraId="019E2F34" w14:textId="77777777" w:rsidR="003C4A69" w:rsidRDefault="003C4A69" w:rsidP="003C4A69">
            <w:pPr>
              <w:pStyle w:val="BodyText"/>
              <w:spacing w:before="40" w:after="40"/>
            </w:pPr>
            <w:r>
              <w:t>If a decision is made that shippers should fund the establishment and capacity trading costs listed in (1) and (2), then there are a number of different ways these costs could be recovered, including:</w:t>
            </w:r>
          </w:p>
          <w:p w14:paraId="2C859B09" w14:textId="77777777" w:rsidR="003C4A69" w:rsidRDefault="003C4A69" w:rsidP="00CF4594">
            <w:pPr>
              <w:pStyle w:val="ListBullet"/>
              <w:numPr>
                <w:ilvl w:val="0"/>
                <w:numId w:val="28"/>
              </w:numPr>
              <w:spacing w:before="40" w:after="40"/>
              <w:ind w:left="442" w:hanging="357"/>
            </w:pPr>
            <w:r>
              <w:t xml:space="preserve">recovering the costs through a fixed monthly administrative charge; </w:t>
            </w:r>
          </w:p>
          <w:p w14:paraId="1C996424" w14:textId="77777777" w:rsidR="003C4A69" w:rsidRDefault="003C4A69" w:rsidP="00CF4594">
            <w:pPr>
              <w:pStyle w:val="ListBullet"/>
              <w:numPr>
                <w:ilvl w:val="0"/>
                <w:numId w:val="28"/>
              </w:numPr>
              <w:spacing w:before="40" w:after="40"/>
              <w:ind w:left="442" w:hanging="357"/>
            </w:pPr>
            <w:r>
              <w:t>recovering the costs through a per transaction or per GJ of capacity basis; or</w:t>
            </w:r>
          </w:p>
          <w:p w14:paraId="43A37D13" w14:textId="77777777" w:rsidR="003C4A69" w:rsidRDefault="003C4A69" w:rsidP="00CF4594">
            <w:pPr>
              <w:pStyle w:val="ListBullet"/>
              <w:numPr>
                <w:ilvl w:val="0"/>
                <w:numId w:val="28"/>
              </w:numPr>
              <w:spacing w:before="40" w:after="40"/>
              <w:ind w:left="442" w:hanging="357"/>
            </w:pPr>
            <w:proofErr w:type="gramStart"/>
            <w:r>
              <w:t>a</w:t>
            </w:r>
            <w:proofErr w:type="gramEnd"/>
            <w:r>
              <w:t xml:space="preserve"> combination of (i) and (ii) (e.g. establishment costs recovered through an administrative fee and trading costs through a $ per GJ charge). </w:t>
            </w:r>
          </w:p>
        </w:tc>
        <w:tc>
          <w:tcPr>
            <w:tcW w:w="2385" w:type="pct"/>
          </w:tcPr>
          <w:p w14:paraId="720228BD" w14:textId="77777777" w:rsidR="003C4A69" w:rsidRDefault="003C4A69" w:rsidP="003C4A69">
            <w:pPr>
              <w:pStyle w:val="BodyText"/>
              <w:spacing w:before="40" w:after="40"/>
            </w:pPr>
            <w:r>
              <w:t xml:space="preserve">Project team members were of the view that option (i) or option (iii) could be used, although it was noted that option (iii) may be more appropriate given the nature of the costs. </w:t>
            </w:r>
          </w:p>
        </w:tc>
      </w:tr>
      <w:tr w:rsidR="003C4A69" w:rsidRPr="00363448" w14:paraId="2EDF862E" w14:textId="77777777" w:rsidTr="003C4A69">
        <w:trPr>
          <w:cantSplit/>
        </w:trPr>
        <w:tc>
          <w:tcPr>
            <w:tcW w:w="5000" w:type="pct"/>
            <w:gridSpan w:val="2"/>
          </w:tcPr>
          <w:p w14:paraId="0D73CF2C" w14:textId="77777777" w:rsidR="003C4A69" w:rsidRPr="00363448" w:rsidRDefault="003C4A69" w:rsidP="003C4A69">
            <w:pPr>
              <w:pStyle w:val="Heading6"/>
              <w:spacing w:before="40" w:after="40"/>
              <w:jc w:val="center"/>
              <w:outlineLvl w:val="5"/>
              <w:rPr>
                <w:color w:val="auto"/>
              </w:rPr>
            </w:pPr>
            <w:r>
              <w:rPr>
                <w:color w:val="auto"/>
              </w:rPr>
              <w:t>S</w:t>
            </w:r>
            <w:r w:rsidRPr="00363448">
              <w:rPr>
                <w:color w:val="auto"/>
              </w:rPr>
              <w:t xml:space="preserve">hould </w:t>
            </w:r>
            <w:r>
              <w:rPr>
                <w:color w:val="auto"/>
              </w:rPr>
              <w:t xml:space="preserve">there be any oversight of the </w:t>
            </w:r>
            <w:r w:rsidRPr="00363448">
              <w:rPr>
                <w:color w:val="auto"/>
              </w:rPr>
              <w:t>costs recovered</w:t>
            </w:r>
            <w:r>
              <w:rPr>
                <w:color w:val="auto"/>
              </w:rPr>
              <w:t xml:space="preserve"> by service providers</w:t>
            </w:r>
            <w:r w:rsidRPr="00363448">
              <w:rPr>
                <w:color w:val="auto"/>
              </w:rPr>
              <w:t>?</w:t>
            </w:r>
          </w:p>
        </w:tc>
      </w:tr>
      <w:tr w:rsidR="003C4A69" w14:paraId="1713516C" w14:textId="77777777" w:rsidTr="003C4A69">
        <w:trPr>
          <w:cnfStyle w:val="000000010000" w:firstRow="0" w:lastRow="0" w:firstColumn="0" w:lastColumn="0" w:oddVBand="0" w:evenVBand="0" w:oddHBand="0" w:evenHBand="1" w:firstRowFirstColumn="0" w:firstRowLastColumn="0" w:lastRowFirstColumn="0" w:lastRowLastColumn="0"/>
          <w:cantSplit/>
        </w:trPr>
        <w:tc>
          <w:tcPr>
            <w:tcW w:w="2615" w:type="pct"/>
          </w:tcPr>
          <w:p w14:paraId="502B5938" w14:textId="77777777" w:rsidR="003C4A69" w:rsidRDefault="003C4A69" w:rsidP="003C4A69">
            <w:pPr>
              <w:pStyle w:val="TableBodyText"/>
              <w:spacing w:before="40" w:after="40"/>
              <w:rPr>
                <w:lang w:eastAsia="fr-CA"/>
              </w:rPr>
            </w:pPr>
            <w:r>
              <w:rPr>
                <w:lang w:eastAsia="fr-CA"/>
              </w:rPr>
              <w:t>The options in this case include:</w:t>
            </w:r>
          </w:p>
          <w:p w14:paraId="2A0A9043" w14:textId="77777777" w:rsidR="003C4A69" w:rsidRDefault="003C4A69" w:rsidP="003C4A69">
            <w:pPr>
              <w:pStyle w:val="TableListNumber"/>
              <w:numPr>
                <w:ilvl w:val="0"/>
                <w:numId w:val="8"/>
              </w:numPr>
              <w:rPr>
                <w:lang w:eastAsia="fr-CA"/>
              </w:rPr>
            </w:pPr>
            <w:r>
              <w:rPr>
                <w:lang w:eastAsia="fr-CA"/>
              </w:rPr>
              <w:t>providing service providers complete discretion;</w:t>
            </w:r>
          </w:p>
          <w:p w14:paraId="724D28C9" w14:textId="77777777" w:rsidR="003C4A69" w:rsidRDefault="003C4A69" w:rsidP="003C4A69">
            <w:pPr>
              <w:pStyle w:val="TableListNumber"/>
              <w:numPr>
                <w:ilvl w:val="0"/>
                <w:numId w:val="8"/>
              </w:numPr>
              <w:rPr>
                <w:lang w:eastAsia="fr-CA"/>
              </w:rPr>
            </w:pPr>
            <w:r>
              <w:rPr>
                <w:lang w:eastAsia="fr-CA"/>
              </w:rPr>
              <w:t>including a principle in the facility specific principles that requires these types of charges to reflect the cost of providing the service (including a commercial rate of return) and allowing the AER to review the charges in the same way it can review a service provider’s compliance with other facility specific principles; or</w:t>
            </w:r>
          </w:p>
          <w:p w14:paraId="1522AE0B" w14:textId="77777777" w:rsidR="003C4A69" w:rsidRDefault="003C4A69" w:rsidP="003C4A69">
            <w:pPr>
              <w:pStyle w:val="TableListNumber"/>
              <w:numPr>
                <w:ilvl w:val="0"/>
                <w:numId w:val="8"/>
              </w:numPr>
              <w:rPr>
                <w:lang w:eastAsia="fr-CA"/>
              </w:rPr>
            </w:pPr>
            <w:proofErr w:type="gramStart"/>
            <w:r>
              <w:rPr>
                <w:lang w:eastAsia="fr-CA"/>
              </w:rPr>
              <w:t>requiring</w:t>
            </w:r>
            <w:proofErr w:type="gramEnd"/>
            <w:r>
              <w:rPr>
                <w:lang w:eastAsia="fr-CA"/>
              </w:rPr>
              <w:t xml:space="preserve"> the AER to conduct an ex-ante review of the charges to ensure they are prudent and efficient. </w:t>
            </w:r>
          </w:p>
        </w:tc>
        <w:tc>
          <w:tcPr>
            <w:tcW w:w="2385" w:type="pct"/>
          </w:tcPr>
          <w:p w14:paraId="6E7B9BC2" w14:textId="77777777" w:rsidR="003C4A69" w:rsidRDefault="003C4A69" w:rsidP="003C4A69">
            <w:pPr>
              <w:pStyle w:val="TableBodyText"/>
              <w:spacing w:before="40" w:after="40"/>
              <w:rPr>
                <w:lang w:eastAsia="fr-CA"/>
              </w:rPr>
            </w:pPr>
            <w:r>
              <w:rPr>
                <w:lang w:eastAsia="fr-CA"/>
              </w:rPr>
              <w:t xml:space="preserve">Project team members were of the view that if there was to be some level of oversight, then option (2) would be preferable to the other options and cost less to implement than option (3). </w:t>
            </w:r>
          </w:p>
        </w:tc>
      </w:tr>
    </w:tbl>
    <w:p w14:paraId="5B275E18" w14:textId="77777777" w:rsidR="004E791B" w:rsidRDefault="004E791B" w:rsidP="004E791B">
      <w:pPr>
        <w:pStyle w:val="Heading6"/>
        <w:spacing w:line="252" w:lineRule="auto"/>
        <w:rPr>
          <w:color w:val="0099CC"/>
        </w:rPr>
      </w:pPr>
      <w:r>
        <w:rPr>
          <w:color w:val="0099CC"/>
        </w:rPr>
        <w:t>GMRG’s preliminary view</w:t>
      </w:r>
    </w:p>
    <w:p w14:paraId="1051B1F6" w14:textId="77777777" w:rsidR="003C4A69" w:rsidRDefault="00D95543" w:rsidP="003C4A69">
      <w:pPr>
        <w:pStyle w:val="BodyText"/>
      </w:pPr>
      <w:r>
        <w:rPr>
          <w:lang w:eastAsia="en-US"/>
        </w:rPr>
        <w:t xml:space="preserve">The </w:t>
      </w:r>
      <w:r w:rsidR="003C4A69">
        <w:rPr>
          <w:lang w:eastAsia="en-US"/>
        </w:rPr>
        <w:t>GMRG</w:t>
      </w:r>
      <w:r>
        <w:rPr>
          <w:lang w:eastAsia="en-US"/>
        </w:rPr>
        <w:t>’s</w:t>
      </w:r>
      <w:r w:rsidR="003C4A69">
        <w:rPr>
          <w:lang w:eastAsia="en-US"/>
        </w:rPr>
        <w:t xml:space="preserve"> preliminary view was that </w:t>
      </w:r>
      <w:r w:rsidR="003C4A69">
        <w:t xml:space="preserve">service providers should have the opportunity to recover the incremental </w:t>
      </w:r>
      <w:r>
        <w:t xml:space="preserve">establishment and capacity trading </w:t>
      </w:r>
      <w:r w:rsidR="003C4A69">
        <w:t xml:space="preserve">costs from </w:t>
      </w:r>
      <w:r w:rsidR="003C4A69" w:rsidRPr="00A41752">
        <w:t>secondary shippers</w:t>
      </w:r>
      <w:r w:rsidR="003C4A69">
        <w:t xml:space="preserve"> through a combination of a monthly administrative and per GJ charge, subject to the caveat that the charges are cost reflective and, so far as practical, reflect the outcomes of a workably competitive market. </w:t>
      </w:r>
    </w:p>
    <w:p w14:paraId="2924EBC8" w14:textId="77777777" w:rsidR="003C4A69" w:rsidRDefault="003C4A69" w:rsidP="003C4A69">
      <w:pPr>
        <w:pStyle w:val="BodyText"/>
      </w:pPr>
      <w:r>
        <w:t xml:space="preserve">The GMRG also noted that </w:t>
      </w:r>
      <w:r w:rsidR="00E33752">
        <w:t xml:space="preserve">while </w:t>
      </w:r>
      <w:r>
        <w:t xml:space="preserve">it did not </w:t>
      </w:r>
      <w:r w:rsidR="00D95543">
        <w:t>consider</w:t>
      </w:r>
      <w:r>
        <w:t xml:space="preserve"> it necessary to require the AER to conduct an </w:t>
      </w:r>
      <w:r>
        <w:rPr>
          <w:i/>
        </w:rPr>
        <w:t>ex-ante</w:t>
      </w:r>
      <w:r>
        <w:t xml:space="preserve"> review of the charges levied by service providers</w:t>
      </w:r>
      <w:r w:rsidR="00E33752">
        <w:t xml:space="preserve">, there would be </w:t>
      </w:r>
      <w:r w:rsidR="00E33752">
        <w:lastRenderedPageBreak/>
        <w:t xml:space="preserve">value in </w:t>
      </w:r>
      <w:r>
        <w:t>allowing the AER to conduct a review of a service provider’s charges if it has concerns about the</w:t>
      </w:r>
      <w:r w:rsidR="00E33752">
        <w:t>ir</w:t>
      </w:r>
      <w:r>
        <w:t xml:space="preserve"> level (or if genuine concerns are raised by an interested party). </w:t>
      </w:r>
    </w:p>
    <w:p w14:paraId="08762117" w14:textId="77777777" w:rsidR="003C4A69" w:rsidRPr="00D1703E" w:rsidRDefault="003C4A69" w:rsidP="003C4A69">
      <w:pPr>
        <w:pStyle w:val="Heading6"/>
        <w:spacing w:line="252" w:lineRule="auto"/>
        <w:rPr>
          <w:color w:val="0099CC"/>
        </w:rPr>
      </w:pPr>
      <w:r w:rsidRPr="00FC637A">
        <w:rPr>
          <w:color w:val="0099CC"/>
        </w:rPr>
        <w:t xml:space="preserve">Feedback provided through the consultation process </w:t>
      </w:r>
    </w:p>
    <w:p w14:paraId="36E02322" w14:textId="77777777" w:rsidR="003C4A69" w:rsidRDefault="00B01ECB" w:rsidP="003C4A69">
      <w:pPr>
        <w:pStyle w:val="BodyText"/>
      </w:pPr>
      <w:r>
        <w:t>The</w:t>
      </w:r>
      <w:r w:rsidR="004E791B">
        <w:t>re was widespread support from</w:t>
      </w:r>
      <w:r>
        <w:t xml:space="preserve"> stakeholders that service providers be able to recover the </w:t>
      </w:r>
      <w:r w:rsidR="00D95543">
        <w:t xml:space="preserve">incremental establishment and capacity trading </w:t>
      </w:r>
      <w:r>
        <w:t xml:space="preserve">costs. APA did, however, seek to clarify </w:t>
      </w:r>
      <w:r w:rsidR="00E15222">
        <w:t xml:space="preserve">whether service providers that have already incurred </w:t>
      </w:r>
      <w:r>
        <w:t>costs developing operational transfer service</w:t>
      </w:r>
      <w:r w:rsidR="00E15222">
        <w:t>s would be able to recover these costs</w:t>
      </w:r>
      <w:r>
        <w:t>.</w:t>
      </w:r>
    </w:p>
    <w:p w14:paraId="4FB09688" w14:textId="77777777" w:rsidR="00B01ECB" w:rsidRDefault="00B01ECB" w:rsidP="003C4A69">
      <w:pPr>
        <w:pStyle w:val="BodyText"/>
      </w:pPr>
      <w:r>
        <w:t xml:space="preserve">The majority of stakeholders also agreed that service providers should be able to recover these costs from secondary shippers. The exceptions to this were: </w:t>
      </w:r>
    </w:p>
    <w:p w14:paraId="448BCEAD" w14:textId="77777777" w:rsidR="00B01ECB" w:rsidRDefault="00B01ECB" w:rsidP="00B01ECB">
      <w:pPr>
        <w:pStyle w:val="ListBullet"/>
      </w:pPr>
      <w:r>
        <w:t xml:space="preserve">APLNG, who </w:t>
      </w:r>
      <w:r w:rsidR="00D95543">
        <w:t>suggested</w:t>
      </w:r>
      <w:r>
        <w:t xml:space="preserve"> that the costs should be recovered from both trading parties; </w:t>
      </w:r>
    </w:p>
    <w:p w14:paraId="42849292" w14:textId="77777777" w:rsidR="009132C0" w:rsidRDefault="00B01ECB" w:rsidP="003C4A69">
      <w:pPr>
        <w:pStyle w:val="ListBullet"/>
      </w:pPr>
      <w:r>
        <w:t>TGP</w:t>
      </w:r>
      <w:r w:rsidR="009D4400">
        <w:t xml:space="preserve"> Pty Ltd</w:t>
      </w:r>
      <w:r>
        <w:t>, who stated that if there were no secondary shippers</w:t>
      </w:r>
      <w:r w:rsidR="00040AF7">
        <w:t>,</w:t>
      </w:r>
      <w:r>
        <w:t xml:space="preserve"> service providers may </w:t>
      </w:r>
      <w:r w:rsidR="00040AF7">
        <w:t xml:space="preserve">need to recover the </w:t>
      </w:r>
      <w:r>
        <w:t xml:space="preserve">costs </w:t>
      </w:r>
      <w:r w:rsidR="00040AF7">
        <w:t xml:space="preserve">from </w:t>
      </w:r>
      <w:r>
        <w:t>primary shippers</w:t>
      </w:r>
      <w:r w:rsidR="009132C0">
        <w:t>; and</w:t>
      </w:r>
    </w:p>
    <w:p w14:paraId="72F7CF11" w14:textId="77777777" w:rsidR="00B01ECB" w:rsidRDefault="00B01ECB" w:rsidP="003C4A69">
      <w:pPr>
        <w:pStyle w:val="ListBullet"/>
      </w:pPr>
      <w:r>
        <w:t xml:space="preserve">APA, who </w:t>
      </w:r>
      <w:r w:rsidR="00D95543">
        <w:t xml:space="preserve">was of the view that </w:t>
      </w:r>
      <w:r>
        <w:t xml:space="preserve">the costs should be recovered from all shippers that have an operational </w:t>
      </w:r>
      <w:r w:rsidR="009132C0">
        <w:t xml:space="preserve">transfer </w:t>
      </w:r>
      <w:r>
        <w:t>facility in place</w:t>
      </w:r>
      <w:r w:rsidR="00D12C6B">
        <w:t xml:space="preserve"> (i.e. primary and secondary shippers)</w:t>
      </w:r>
      <w:proofErr w:type="gramStart"/>
      <w:r>
        <w:t>.</w:t>
      </w:r>
      <w:proofErr w:type="gramEnd"/>
    </w:p>
    <w:p w14:paraId="27CFABD3" w14:textId="77777777" w:rsidR="00FC09AB" w:rsidRDefault="009132C0" w:rsidP="003C4A69">
      <w:pPr>
        <w:pStyle w:val="BodyText"/>
      </w:pPr>
      <w:r>
        <w:t xml:space="preserve">Mixed views were, however, expressed about how the costs should be recovered.  </w:t>
      </w:r>
      <w:proofErr w:type="spellStart"/>
      <w:r>
        <w:t>EnergyAustralia</w:t>
      </w:r>
      <w:proofErr w:type="spellEnd"/>
      <w:r>
        <w:t xml:space="preserve">, AGL and Epic, for example, suggested that </w:t>
      </w:r>
      <w:r w:rsidR="00D95543">
        <w:t xml:space="preserve">costs </w:t>
      </w:r>
      <w:r>
        <w:t xml:space="preserve">be recovered through a combination of a fixed monthly administrative fee and a per trade fee. APA, on the other hand, </w:t>
      </w:r>
      <w:r w:rsidR="00D95543">
        <w:t xml:space="preserve">indicated that costs </w:t>
      </w:r>
      <w:r>
        <w:t>should be recovered through a fixed monthly fee only and noted that this would reduce forecasting risks for service providers. In contrast to the position taken by APA, APLNG suggested that the costs just be recovered through a per trade fee.</w:t>
      </w:r>
    </w:p>
    <w:p w14:paraId="64FF7FD0" w14:textId="77777777" w:rsidR="009132C0" w:rsidRDefault="009132C0" w:rsidP="003C4A69">
      <w:pPr>
        <w:pStyle w:val="BodyText"/>
      </w:pPr>
      <w:r>
        <w:t>Mixed views were also expressed about whether the charges levied by service providers should be subject to any form of oversight by the AER and the pricing principles that should apply to these charges.  For example:</w:t>
      </w:r>
    </w:p>
    <w:p w14:paraId="38D73750" w14:textId="77777777" w:rsidR="009132C0" w:rsidRDefault="009132C0" w:rsidP="00FC637A">
      <w:pPr>
        <w:pStyle w:val="ListBullet"/>
      </w:pPr>
      <w:r>
        <w:t xml:space="preserve">AGL </w:t>
      </w:r>
      <w:r w:rsidR="00D95543">
        <w:t xml:space="preserve">suggested </w:t>
      </w:r>
      <w:r>
        <w:t xml:space="preserve">service providers should be able to recover the costs on a cost pass-through basis, provided the costs are transparent and a fair and reasonable methodology is employed. </w:t>
      </w:r>
    </w:p>
    <w:p w14:paraId="3371CF5B" w14:textId="77777777" w:rsidR="009132C0" w:rsidRDefault="009132C0" w:rsidP="00FC637A">
      <w:pPr>
        <w:pStyle w:val="ListBullet"/>
      </w:pPr>
      <w:proofErr w:type="spellStart"/>
      <w:r>
        <w:t>EnergyAustralia</w:t>
      </w:r>
      <w:proofErr w:type="spellEnd"/>
      <w:r>
        <w:t xml:space="preserve"> and APLNG </w:t>
      </w:r>
      <w:r w:rsidR="00D95543">
        <w:t xml:space="preserve">were of the view that </w:t>
      </w:r>
      <w:r>
        <w:t xml:space="preserve">the AER should be able to review the charges levied by service providers.  </w:t>
      </w:r>
    </w:p>
    <w:p w14:paraId="302CA0FD" w14:textId="77777777" w:rsidR="00FC637A" w:rsidRDefault="00FC637A" w:rsidP="00FC637A">
      <w:pPr>
        <w:pStyle w:val="ListBullet"/>
      </w:pPr>
      <w:r>
        <w:t xml:space="preserve">APGA suggested the use of a similar cost recovery mechanism to that used for market operator service costs (MOS) in the STTM, which allows service providers to submit an invoice to AEMO to recover its MOS allocation service costs and the AER to approve the payment if it is satisfied the costs have been incurred and are reasonable. </w:t>
      </w:r>
    </w:p>
    <w:p w14:paraId="3B28D5F7" w14:textId="77777777" w:rsidR="009132C0" w:rsidRDefault="009132C0" w:rsidP="00FC637A">
      <w:pPr>
        <w:pStyle w:val="ListBullet"/>
      </w:pPr>
      <w:r>
        <w:t xml:space="preserve">Epic </w:t>
      </w:r>
      <w:r w:rsidR="00D95543">
        <w:t xml:space="preserve">was of the view that </w:t>
      </w:r>
      <w:r>
        <w:t xml:space="preserve">regulatory oversight </w:t>
      </w:r>
      <w:r w:rsidR="00D95543">
        <w:t>is un</w:t>
      </w:r>
      <w:r>
        <w:t xml:space="preserve">necessary, but </w:t>
      </w:r>
      <w:r w:rsidR="009405F1">
        <w:t xml:space="preserve">noted that if it was to be implemented it would prefer the AEMC </w:t>
      </w:r>
      <w:r w:rsidR="00FC637A">
        <w:t>to conduct the review</w:t>
      </w:r>
      <w:r w:rsidR="00017884">
        <w:t>.</w:t>
      </w:r>
      <w:r w:rsidR="00FC637A">
        <w:t xml:space="preserve"> </w:t>
      </w:r>
      <w:r w:rsidR="009405F1">
        <w:t xml:space="preserve">Epic also </w:t>
      </w:r>
      <w:r w:rsidR="00FC637A">
        <w:t>suggested</w:t>
      </w:r>
      <w:r w:rsidR="009405F1">
        <w:t xml:space="preserve"> that </w:t>
      </w:r>
      <w:r w:rsidR="00FC637A">
        <w:t xml:space="preserve">if a pricing principle is employed, it </w:t>
      </w:r>
      <w:r w:rsidR="009405F1">
        <w:t xml:space="preserve">should </w:t>
      </w:r>
      <w:r w:rsidR="00FC637A">
        <w:t xml:space="preserve">require charges to </w:t>
      </w:r>
      <w:r w:rsidR="009405F1">
        <w:t>be cost reflective and reflect the outcomes of a workably competitive market.</w:t>
      </w:r>
    </w:p>
    <w:p w14:paraId="28A52638" w14:textId="77777777" w:rsidR="00BF5CBB" w:rsidRDefault="009405F1" w:rsidP="00FC637A">
      <w:pPr>
        <w:pStyle w:val="ListBullet"/>
      </w:pPr>
      <w:r>
        <w:t xml:space="preserve">APA and Jemena expressed some concern about the </w:t>
      </w:r>
      <w:r w:rsidR="00FC637A">
        <w:t xml:space="preserve">extension of a regulatory approval process to </w:t>
      </w:r>
      <w:r>
        <w:t>unregulated pipelines</w:t>
      </w:r>
      <w:r w:rsidR="00FC637A">
        <w:t xml:space="preserve">. APA did, however, agree that the AER should be able to conduct a review of charges if a </w:t>
      </w:r>
      <w:r w:rsidR="00E33752">
        <w:t>“</w:t>
      </w:r>
      <w:r w:rsidR="00FC637A">
        <w:t>bona fide</w:t>
      </w:r>
      <w:r w:rsidR="00E33752">
        <w:t>”</w:t>
      </w:r>
      <w:r w:rsidR="00FC637A">
        <w:t xml:space="preserve"> complaint is made. APA added that if this occurred, the AER’s assessment should be limited to considering whether the costs have been incurred and are necessary to support the capacity trading market. </w:t>
      </w:r>
    </w:p>
    <w:p w14:paraId="62B802BD" w14:textId="77777777" w:rsidR="003C4A69" w:rsidRPr="00D1703E" w:rsidRDefault="003C4A69" w:rsidP="003C4A69">
      <w:pPr>
        <w:pStyle w:val="Heading6"/>
        <w:spacing w:line="252" w:lineRule="auto"/>
        <w:rPr>
          <w:color w:val="0099CC"/>
        </w:rPr>
      </w:pPr>
      <w:r w:rsidRPr="001C3C36">
        <w:rPr>
          <w:color w:val="0099CC"/>
        </w:rPr>
        <w:lastRenderedPageBreak/>
        <w:t>GMRG’s final recommendations</w:t>
      </w:r>
      <w:r>
        <w:rPr>
          <w:color w:val="0099CC"/>
        </w:rPr>
        <w:t xml:space="preserve"> </w:t>
      </w:r>
    </w:p>
    <w:p w14:paraId="484E090A" w14:textId="77777777" w:rsidR="00E51B99" w:rsidRDefault="00E51B99" w:rsidP="0013316E">
      <w:pPr>
        <w:pStyle w:val="BodyText"/>
        <w:spacing w:before="0"/>
      </w:pPr>
      <w:r>
        <w:t xml:space="preserve">The GMRG has considered the feedback provided by stakeholders </w:t>
      </w:r>
      <w:r w:rsidR="004E791B">
        <w:t xml:space="preserve">and, in short, </w:t>
      </w:r>
      <w:r w:rsidR="0013316E">
        <w:t>recommends that</w:t>
      </w:r>
      <w:r w:rsidR="006D3A95">
        <w:t>:</w:t>
      </w:r>
    </w:p>
    <w:p w14:paraId="74BDB28D" w14:textId="77777777" w:rsidR="006D3A95" w:rsidRDefault="006D3A95" w:rsidP="00CF4594">
      <w:pPr>
        <w:pStyle w:val="BodyText"/>
        <w:numPr>
          <w:ilvl w:val="0"/>
          <w:numId w:val="61"/>
        </w:numPr>
        <w:spacing w:before="0"/>
        <w:ind w:left="357" w:hanging="357"/>
      </w:pPr>
      <w:r>
        <w:t>Service providers</w:t>
      </w:r>
      <w:r w:rsidR="00040AF7">
        <w:t xml:space="preserve"> should</w:t>
      </w:r>
      <w:r>
        <w:t xml:space="preserve"> </w:t>
      </w:r>
      <w:r w:rsidR="0013316E">
        <w:t xml:space="preserve">have </w:t>
      </w:r>
      <w:r w:rsidR="003C4A69">
        <w:t xml:space="preserve">the </w:t>
      </w:r>
      <w:r w:rsidR="003C4A69" w:rsidRPr="0042545D">
        <w:t>opportunity</w:t>
      </w:r>
      <w:r w:rsidR="003C4A69">
        <w:t xml:space="preserve"> to recover the incremental </w:t>
      </w:r>
      <w:r w:rsidR="00D95543">
        <w:t xml:space="preserve">establishment and capacity trading </w:t>
      </w:r>
      <w:r w:rsidR="003C4A69">
        <w:t xml:space="preserve">costs </w:t>
      </w:r>
      <w:r>
        <w:t>and, in the case of service providers that have already invested in systems to facilitate operational transfers</w:t>
      </w:r>
      <w:r w:rsidR="004E791B">
        <w:t xml:space="preserve"> that will continue to be used under the new framework</w:t>
      </w:r>
      <w:r>
        <w:t xml:space="preserve">, </w:t>
      </w:r>
      <w:r w:rsidR="0042545D">
        <w:t>these costs should also be recoverable</w:t>
      </w:r>
      <w:r>
        <w:t xml:space="preserve">. </w:t>
      </w:r>
    </w:p>
    <w:p w14:paraId="2C77B6F9" w14:textId="77777777" w:rsidR="006D3A95" w:rsidRDefault="006D3A95" w:rsidP="00CF4594">
      <w:pPr>
        <w:pStyle w:val="BodyText"/>
        <w:numPr>
          <w:ilvl w:val="0"/>
          <w:numId w:val="61"/>
        </w:numPr>
        <w:spacing w:before="0"/>
        <w:ind w:left="357" w:hanging="357"/>
      </w:pPr>
      <w:r>
        <w:t xml:space="preserve">The charges </w:t>
      </w:r>
      <w:r w:rsidR="0042545D">
        <w:t xml:space="preserve">used </w:t>
      </w:r>
      <w:r>
        <w:t xml:space="preserve">to recover the costs in (a) should be cost reflective and, so far as practicable, reflect the outcomes of a workably competitive market. </w:t>
      </w:r>
      <w:r w:rsidR="00254F71">
        <w:t>In the GMRG’s view, this pricing principle is more appropriate than the cost pass through principle</w:t>
      </w:r>
      <w:r>
        <w:t xml:space="preserve"> proposed by AGL and APA, </w:t>
      </w:r>
      <w:r w:rsidR="00254F71">
        <w:t xml:space="preserve">because it will impose more </w:t>
      </w:r>
      <w:r>
        <w:t xml:space="preserve">discipline on service providers when incurring costs </w:t>
      </w:r>
      <w:r w:rsidR="00254F71">
        <w:t>and</w:t>
      </w:r>
      <w:r>
        <w:t xml:space="preserve"> setting charges. </w:t>
      </w:r>
    </w:p>
    <w:p w14:paraId="07B329BB" w14:textId="77777777" w:rsidR="006D3A95" w:rsidRDefault="006D3A95" w:rsidP="00CF4594">
      <w:pPr>
        <w:pStyle w:val="BodyText"/>
        <w:numPr>
          <w:ilvl w:val="0"/>
          <w:numId w:val="61"/>
        </w:numPr>
        <w:spacing w:before="0"/>
        <w:ind w:left="357" w:hanging="357"/>
      </w:pPr>
      <w:r>
        <w:t xml:space="preserve">The AER should be able to conduct a </w:t>
      </w:r>
      <w:r w:rsidR="0042545D">
        <w:t xml:space="preserve">compliance </w:t>
      </w:r>
      <w:r>
        <w:t xml:space="preserve">review of </w:t>
      </w:r>
      <w:r w:rsidR="003C4A69">
        <w:t xml:space="preserve">a service provider’s charges if it has concerns about the level of these charges (or if </w:t>
      </w:r>
      <w:r>
        <w:t xml:space="preserve">bona fide </w:t>
      </w:r>
      <w:r w:rsidR="003C4A69">
        <w:t xml:space="preserve">concerns are raised by </w:t>
      </w:r>
      <w:r>
        <w:t xml:space="preserve">another </w:t>
      </w:r>
      <w:r w:rsidR="003C4A69">
        <w:t>party)</w:t>
      </w:r>
      <w:r>
        <w:t xml:space="preserve"> and have the power to require amendments to the charges if it finds they are inconsistent with the pricing principle in (b).</w:t>
      </w:r>
      <w:r w:rsidR="00254F71">
        <w:t xml:space="preserve"> While the GMRG did </w:t>
      </w:r>
      <w:r w:rsidR="00D95543">
        <w:t xml:space="preserve">consider </w:t>
      </w:r>
      <w:r w:rsidR="00254F71">
        <w:t xml:space="preserve">the cost recovery model proposed by APGA, it understands this process is administratively burdensome. The </w:t>
      </w:r>
      <w:r w:rsidR="0013316E">
        <w:t xml:space="preserve">GMRG is also not convinced this type of approval process is required, because </w:t>
      </w:r>
      <w:r w:rsidR="00040AF7">
        <w:t xml:space="preserve">the </w:t>
      </w:r>
      <w:r w:rsidR="0013316E">
        <w:t xml:space="preserve">threat of </w:t>
      </w:r>
      <w:r w:rsidR="00040AF7">
        <w:t xml:space="preserve">a </w:t>
      </w:r>
      <w:r w:rsidR="0013316E">
        <w:t xml:space="preserve">review by the AER </w:t>
      </w:r>
      <w:r w:rsidR="00040AF7">
        <w:t xml:space="preserve">should </w:t>
      </w:r>
      <w:r w:rsidR="0042545D">
        <w:t xml:space="preserve">be sufficient </w:t>
      </w:r>
      <w:r w:rsidR="00040AF7">
        <w:t xml:space="preserve">in most cases </w:t>
      </w:r>
      <w:r w:rsidR="0042545D">
        <w:t xml:space="preserve">to </w:t>
      </w:r>
      <w:r w:rsidR="0013316E">
        <w:t>encourage service providers to set charges at an appropriate level.</w:t>
      </w:r>
    </w:p>
    <w:p w14:paraId="7F54920B" w14:textId="77777777" w:rsidR="006D3A95" w:rsidRDefault="006D3A95" w:rsidP="00CF4594">
      <w:pPr>
        <w:pStyle w:val="BodyText"/>
        <w:numPr>
          <w:ilvl w:val="0"/>
          <w:numId w:val="61"/>
        </w:numPr>
        <w:spacing w:before="0"/>
        <w:ind w:left="357" w:hanging="357"/>
      </w:pPr>
      <w:r>
        <w:t>Service providers should have the discretion to determine</w:t>
      </w:r>
      <w:r w:rsidR="00254F71">
        <w:t xml:space="preserve"> whether</w:t>
      </w:r>
      <w:r>
        <w:t>:</w:t>
      </w:r>
    </w:p>
    <w:p w14:paraId="6A73A927" w14:textId="77777777" w:rsidR="00254F71" w:rsidRDefault="006D3A95" w:rsidP="00CF4594">
      <w:pPr>
        <w:pStyle w:val="BodyText"/>
        <w:numPr>
          <w:ilvl w:val="0"/>
          <w:numId w:val="62"/>
        </w:numPr>
        <w:spacing w:before="0"/>
      </w:pPr>
      <w:r>
        <w:t>charges are imposed on secondary shippers only or a combination of primary and secondary shippers</w:t>
      </w:r>
      <w:r w:rsidR="00254F71">
        <w:t>; and</w:t>
      </w:r>
    </w:p>
    <w:p w14:paraId="722D326E" w14:textId="77777777" w:rsidR="006D3A95" w:rsidRDefault="00254F71" w:rsidP="00CF4594">
      <w:pPr>
        <w:pStyle w:val="BodyText"/>
        <w:numPr>
          <w:ilvl w:val="0"/>
          <w:numId w:val="62"/>
        </w:numPr>
        <w:spacing w:before="0"/>
      </w:pPr>
      <w:proofErr w:type="gramStart"/>
      <w:r>
        <w:t>charges</w:t>
      </w:r>
      <w:proofErr w:type="gramEnd"/>
      <w:r>
        <w:t xml:space="preserve"> are recovered through a fixed monthly administrative fee, a combination of a fixed monthly administrative fee and a per trade fee, or a per trade fee. </w:t>
      </w:r>
    </w:p>
    <w:p w14:paraId="4AF48A11" w14:textId="77777777" w:rsidR="0013316E" w:rsidRDefault="0042545D" w:rsidP="0042545D">
      <w:pPr>
        <w:pStyle w:val="BodyText"/>
        <w:spacing w:before="0"/>
      </w:pPr>
      <w:r>
        <w:t xml:space="preserve">In the GMRG’s view, these measures are required because service providers will not face any competition for the provision of operational transfer services on their assets and may not have an incentive to minimise costs or encourage secondary trade. </w:t>
      </w:r>
      <w:r w:rsidR="00EC28FE">
        <w:t xml:space="preserve">The GMRG is also satisfied that the measures </w:t>
      </w:r>
      <w:r w:rsidR="007D20E7">
        <w:t>are fit for purpose, targeted and proportionate to the issue they are intended to address and appropriately reflect the legitimate business interests of service providers.</w:t>
      </w:r>
    </w:p>
    <w:p w14:paraId="22617B6E" w14:textId="77777777" w:rsidR="0057020B" w:rsidRPr="0057020B" w:rsidRDefault="0057020B" w:rsidP="004476B0">
      <w:pPr>
        <w:pStyle w:val="Heading2"/>
        <w:spacing w:after="120"/>
      </w:pPr>
      <w:bookmarkStart w:id="100" w:name="_Ref498878718"/>
      <w:bookmarkStart w:id="101" w:name="_Ref498878719"/>
      <w:bookmarkStart w:id="102" w:name="_Toc499542653"/>
      <w:bookmarkEnd w:id="98"/>
      <w:r w:rsidRPr="0057020B">
        <w:t xml:space="preserve">Governance arrangements for </w:t>
      </w:r>
      <w:r w:rsidR="008C27E8">
        <w:t xml:space="preserve">the </w:t>
      </w:r>
      <w:r w:rsidRPr="0057020B">
        <w:t>operational GTA</w:t>
      </w:r>
      <w:bookmarkEnd w:id="97"/>
      <w:bookmarkEnd w:id="100"/>
      <w:bookmarkEnd w:id="101"/>
      <w:bookmarkEnd w:id="102"/>
    </w:p>
    <w:p w14:paraId="10C8E8DB" w14:textId="77777777" w:rsidR="00736189" w:rsidRDefault="00736189" w:rsidP="00736189">
      <w:pPr>
        <w:pStyle w:val="Heading6"/>
        <w:rPr>
          <w:color w:val="0099CC"/>
        </w:rPr>
      </w:pPr>
      <w:r>
        <w:rPr>
          <w:color w:val="0099CC"/>
        </w:rPr>
        <w:t xml:space="preserve">Background </w:t>
      </w:r>
    </w:p>
    <w:p w14:paraId="0699CE63" w14:textId="77777777" w:rsidR="00CC4C0F" w:rsidRDefault="00435F45" w:rsidP="00CC4C0F">
      <w:pPr>
        <w:pStyle w:val="BodyText"/>
      </w:pPr>
      <w:r>
        <w:rPr>
          <w:lang w:eastAsia="en-US"/>
        </w:rPr>
        <w:t xml:space="preserve">The governance arrangements for the operational GTA will need to specify the arrangements for the </w:t>
      </w:r>
      <w:r w:rsidRPr="0057020B">
        <w:t>development, pu</w:t>
      </w:r>
      <w:r>
        <w:t>blication and amendment of both elements of the standardised operational GTA (the standard terms</w:t>
      </w:r>
      <w:r w:rsidRPr="0057020B">
        <w:t xml:space="preserve"> and </w:t>
      </w:r>
      <w:r>
        <w:t xml:space="preserve">the requirements for </w:t>
      </w:r>
      <w:r w:rsidRPr="0057020B">
        <w:t xml:space="preserve">the </w:t>
      </w:r>
      <w:r>
        <w:t xml:space="preserve">facility specific terms), which will be published together as an </w:t>
      </w:r>
      <w:r w:rsidRPr="00DF0551">
        <w:rPr>
          <w:b/>
        </w:rPr>
        <w:t>Operational GTA Code</w:t>
      </w:r>
      <w:r>
        <w:t>.</w:t>
      </w:r>
      <w:r w:rsidR="00CC4C0F">
        <w:t xml:space="preserve"> </w:t>
      </w:r>
    </w:p>
    <w:p w14:paraId="558F619D" w14:textId="77777777" w:rsidR="00040AF7" w:rsidRDefault="00040AF7" w:rsidP="00CC4C0F">
      <w:pPr>
        <w:pStyle w:val="BodyText"/>
      </w:pPr>
      <w:r>
        <w:t xml:space="preserve">One of the main </w:t>
      </w:r>
      <w:r w:rsidR="0057020B" w:rsidRPr="0057020B">
        <w:t>question</w:t>
      </w:r>
      <w:r>
        <w:t>s</w:t>
      </w:r>
      <w:r w:rsidR="0057020B" w:rsidRPr="0057020B">
        <w:t xml:space="preserve"> that must be considered </w:t>
      </w:r>
      <w:r>
        <w:t xml:space="preserve">in this context is </w:t>
      </w:r>
      <w:r w:rsidR="0057020B" w:rsidRPr="0057020B">
        <w:t xml:space="preserve">whether the </w:t>
      </w:r>
      <w:r w:rsidR="00B43DCB">
        <w:t xml:space="preserve">Operational GTA Code </w:t>
      </w:r>
      <w:r w:rsidR="0057020B" w:rsidRPr="0057020B">
        <w:t xml:space="preserve">should be included in the NGR or </w:t>
      </w:r>
      <w:r w:rsidR="00B43DCB">
        <w:t>should be a separate</w:t>
      </w:r>
      <w:r w:rsidR="0057020B" w:rsidRPr="0057020B">
        <w:t xml:space="preserve"> instrument</w:t>
      </w:r>
      <w:r w:rsidR="00D95543">
        <w:t>.</w:t>
      </w:r>
      <w:r w:rsidR="0057020B" w:rsidRPr="0057020B">
        <w:t xml:space="preserve"> If </w:t>
      </w:r>
      <w:r w:rsidR="00B43DCB">
        <w:t xml:space="preserve">it is </w:t>
      </w:r>
      <w:r>
        <w:t xml:space="preserve">to constitute </w:t>
      </w:r>
      <w:r w:rsidR="00B43DCB">
        <w:t>a separate</w:t>
      </w:r>
      <w:r w:rsidR="0057020B" w:rsidRPr="0057020B">
        <w:t xml:space="preserve"> instrument</w:t>
      </w:r>
      <w:r w:rsidR="00B43DCB">
        <w:t xml:space="preserve">, </w:t>
      </w:r>
      <w:r>
        <w:t xml:space="preserve">then </w:t>
      </w:r>
      <w:r w:rsidR="0057020B" w:rsidRPr="0057020B">
        <w:t xml:space="preserve">consideration </w:t>
      </w:r>
      <w:r w:rsidR="00435F45">
        <w:t xml:space="preserve">must </w:t>
      </w:r>
      <w:r>
        <w:t xml:space="preserve">also </w:t>
      </w:r>
      <w:r w:rsidR="00435F45">
        <w:t xml:space="preserve">be </w:t>
      </w:r>
      <w:r w:rsidR="0057020B" w:rsidRPr="0057020B">
        <w:t>given to</w:t>
      </w:r>
      <w:r>
        <w:t>:</w:t>
      </w:r>
      <w:r w:rsidR="0057020B" w:rsidRPr="0057020B">
        <w:t xml:space="preserve"> </w:t>
      </w:r>
    </w:p>
    <w:p w14:paraId="78A09FF8" w14:textId="77777777" w:rsidR="00040AF7" w:rsidRDefault="0057020B" w:rsidP="00040AF7">
      <w:pPr>
        <w:pStyle w:val="ListBullet"/>
      </w:pPr>
      <w:r w:rsidRPr="0057020B">
        <w:lastRenderedPageBreak/>
        <w:t xml:space="preserve">who </w:t>
      </w:r>
      <w:r w:rsidR="00040AF7">
        <w:t xml:space="preserve">will be </w:t>
      </w:r>
      <w:r w:rsidRPr="0057020B">
        <w:t xml:space="preserve">responsible for </w:t>
      </w:r>
      <w:r w:rsidR="00040AF7">
        <w:t>making the initial instrument; and</w:t>
      </w:r>
    </w:p>
    <w:p w14:paraId="4525E86D" w14:textId="77777777" w:rsidR="0057020B" w:rsidRPr="0057020B" w:rsidRDefault="00040AF7" w:rsidP="00040AF7">
      <w:pPr>
        <w:pStyle w:val="ListBullet"/>
      </w:pPr>
      <w:proofErr w:type="gramStart"/>
      <w:r>
        <w:t>how</w:t>
      </w:r>
      <w:proofErr w:type="gramEnd"/>
      <w:r>
        <w:t xml:space="preserve"> the </w:t>
      </w:r>
      <w:r w:rsidR="0057020B" w:rsidRPr="0057020B">
        <w:t xml:space="preserve">instrument </w:t>
      </w:r>
      <w:r>
        <w:t xml:space="preserve">will be amended </w:t>
      </w:r>
      <w:r w:rsidR="0057020B" w:rsidRPr="0057020B">
        <w:t>over time</w:t>
      </w:r>
      <w:r>
        <w:t xml:space="preserve"> and how these changes will take effect</w:t>
      </w:r>
      <w:r w:rsidR="0057020B" w:rsidRPr="0057020B">
        <w:t xml:space="preserve">. </w:t>
      </w:r>
    </w:p>
    <w:p w14:paraId="5A5276D6" w14:textId="77777777" w:rsidR="0057020B" w:rsidRPr="0057020B" w:rsidRDefault="0057020B" w:rsidP="0057020B">
      <w:pPr>
        <w:tabs>
          <w:tab w:val="left" w:pos="2268"/>
          <w:tab w:val="left" w:pos="4536"/>
          <w:tab w:val="left" w:pos="6804"/>
          <w:tab w:val="right" w:pos="9638"/>
        </w:tabs>
        <w:spacing w:before="240" w:after="120"/>
      </w:pPr>
      <w:r w:rsidRPr="0057020B">
        <w:t xml:space="preserve">In assessing these options, </w:t>
      </w:r>
      <w:r w:rsidR="00736189">
        <w:t xml:space="preserve">consideration needs to be given to </w:t>
      </w:r>
      <w:r w:rsidRPr="0057020B">
        <w:t>the following factors:</w:t>
      </w:r>
    </w:p>
    <w:p w14:paraId="28A5D665" w14:textId="77777777" w:rsidR="0057020B" w:rsidRPr="0057020B" w:rsidRDefault="0057020B" w:rsidP="0057020B">
      <w:pPr>
        <w:numPr>
          <w:ilvl w:val="0"/>
          <w:numId w:val="12"/>
        </w:numPr>
        <w:spacing w:before="120" w:after="120"/>
        <w:ind w:left="357" w:hanging="357"/>
      </w:pPr>
      <w:r w:rsidRPr="0057020B">
        <w:rPr>
          <w:b/>
        </w:rPr>
        <w:t>Alignment with other roles</w:t>
      </w:r>
      <w:r w:rsidR="001C3C36">
        <w:t xml:space="preserve">: </w:t>
      </w:r>
      <w:r w:rsidRPr="0057020B">
        <w:t xml:space="preserve">Determining the terms and conditions of </w:t>
      </w:r>
      <w:r w:rsidR="008C27E8">
        <w:t>an operational GTA</w:t>
      </w:r>
      <w:r w:rsidRPr="0057020B">
        <w:t xml:space="preserve"> </w:t>
      </w:r>
      <w:r w:rsidR="007B4229">
        <w:t xml:space="preserve">through the Operational GTA Code </w:t>
      </w:r>
      <w:r w:rsidRPr="0057020B">
        <w:t>would be a new role for the AEMC or any panel established by it and also for AEMO. The AER already has a role in approving the terms and conditions of access in AA</w:t>
      </w:r>
      <w:r w:rsidR="00826583">
        <w:t>s</w:t>
      </w:r>
      <w:r w:rsidRPr="0057020B">
        <w:t xml:space="preserve"> for full regulation pipelines. AEMO will run the </w:t>
      </w:r>
      <w:r w:rsidR="00D4786D">
        <w:t xml:space="preserve">capacity </w:t>
      </w:r>
      <w:r w:rsidRPr="0057020B">
        <w:t xml:space="preserve">trading platform and </w:t>
      </w:r>
      <w:r w:rsidR="00D4786D">
        <w:t xml:space="preserve">day-ahead </w:t>
      </w:r>
      <w:r w:rsidRPr="0057020B">
        <w:t>auction.</w:t>
      </w:r>
      <w:r w:rsidR="00B43DCB">
        <w:t xml:space="preserve"> The AEMC is responsible for market development through the NGR rule change process, which will include any provisions in the NGR applicable to the Operational GTA Code, the </w:t>
      </w:r>
      <w:r w:rsidR="00D4786D">
        <w:t xml:space="preserve">capacity </w:t>
      </w:r>
      <w:r w:rsidR="00B43DCB">
        <w:t xml:space="preserve">trading platform </w:t>
      </w:r>
      <w:r w:rsidR="000463D7">
        <w:t xml:space="preserve">and </w:t>
      </w:r>
      <w:r w:rsidR="00B43DCB">
        <w:t>the day-ahead auction.</w:t>
      </w:r>
    </w:p>
    <w:p w14:paraId="7D1EB4AF" w14:textId="77777777" w:rsidR="0057020B" w:rsidRPr="0057020B" w:rsidRDefault="0057020B" w:rsidP="0057020B">
      <w:pPr>
        <w:numPr>
          <w:ilvl w:val="0"/>
          <w:numId w:val="12"/>
        </w:numPr>
        <w:spacing w:before="120" w:after="120"/>
        <w:ind w:left="357" w:hanging="357"/>
      </w:pPr>
      <w:r w:rsidRPr="0057020B">
        <w:rPr>
          <w:b/>
        </w:rPr>
        <w:t>Allocation of roles</w:t>
      </w:r>
      <w:r w:rsidR="001C3C36">
        <w:t>:</w:t>
      </w:r>
      <w:r w:rsidRPr="0057020B">
        <w:t xml:space="preserve"> The NGL and NGR framework separate</w:t>
      </w:r>
      <w:r w:rsidR="00017884">
        <w:t>s</w:t>
      </w:r>
      <w:r w:rsidRPr="0057020B">
        <w:t xml:space="preserve"> the roles of the rule maker and market developer (AEMC), the regulator (AER) and market operator (AEMO) in order to, among other things, avoid potential conflicts of interest that might arise when roles are combined in one entity. Responsibility for amendments can be further allocated among a process administrator, the body responsible fo</w:t>
      </w:r>
      <w:r w:rsidRPr="00012827">
        <w:t xml:space="preserve">r recommending changes and the body responsible for approving changes. </w:t>
      </w:r>
      <w:r w:rsidRPr="00012827">
        <w:fldChar w:fldCharType="begin"/>
      </w:r>
      <w:r w:rsidRPr="00012827">
        <w:instrText xml:space="preserve"> REF _Ref490988577 \h </w:instrText>
      </w:r>
      <w:r w:rsidR="008C27E8" w:rsidRPr="00012827">
        <w:instrText xml:space="preserve"> \* MERGEFORMAT </w:instrText>
      </w:r>
      <w:r w:rsidRPr="00012827">
        <w:fldChar w:fldCharType="separate"/>
      </w:r>
      <w:r w:rsidR="00761861" w:rsidRPr="00761861">
        <w:rPr>
          <w:rFonts w:eastAsiaTheme="minorHAnsi" w:cstheme="minorBidi"/>
          <w:bCs/>
          <w:lang w:eastAsia="fr-CA"/>
        </w:rPr>
        <w:t xml:space="preserve">Table </w:t>
      </w:r>
      <w:r w:rsidR="00761861" w:rsidRPr="00761861">
        <w:rPr>
          <w:rFonts w:eastAsiaTheme="minorHAnsi" w:cstheme="minorBidi"/>
          <w:bCs/>
          <w:noProof/>
          <w:lang w:eastAsia="fr-CA"/>
        </w:rPr>
        <w:t>4.3</w:t>
      </w:r>
      <w:r w:rsidRPr="00012827">
        <w:fldChar w:fldCharType="end"/>
      </w:r>
      <w:r w:rsidRPr="00012827">
        <w:t xml:space="preserve"> </w:t>
      </w:r>
      <w:r w:rsidRPr="0057020B">
        <w:t>sets out examples of the options that could be employed when these roles are allocated among different entities.</w:t>
      </w:r>
    </w:p>
    <w:p w14:paraId="1E068F2B" w14:textId="77777777" w:rsidR="0057020B" w:rsidRPr="0057020B" w:rsidRDefault="0057020B" w:rsidP="0057020B">
      <w:pPr>
        <w:numPr>
          <w:ilvl w:val="0"/>
          <w:numId w:val="12"/>
        </w:numPr>
        <w:spacing w:before="120" w:after="120"/>
        <w:ind w:left="357" w:hanging="357"/>
      </w:pPr>
      <w:r w:rsidRPr="0057020B">
        <w:rPr>
          <w:b/>
        </w:rPr>
        <w:t>Nature of the instrument</w:t>
      </w:r>
      <w:r w:rsidR="001C3C36">
        <w:t xml:space="preserve">: </w:t>
      </w:r>
      <w:r w:rsidRPr="0057020B">
        <w:t xml:space="preserve">Operational GTAs complying with </w:t>
      </w:r>
      <w:r w:rsidR="007B4229">
        <w:t xml:space="preserve">the Operational GTA Code </w:t>
      </w:r>
      <w:r w:rsidRPr="0057020B">
        <w:t>and</w:t>
      </w:r>
      <w:r w:rsidR="007B4229">
        <w:t xml:space="preserve"> principles in the NGR </w:t>
      </w:r>
      <w:r w:rsidRPr="0057020B">
        <w:t xml:space="preserve">will be mandatory for service providers to offer but optional for shippers to request (although it is assumed that shippers will generally seek to trade using these terms, since the </w:t>
      </w:r>
      <w:r w:rsidR="00D4786D">
        <w:t xml:space="preserve">day-ahead </w:t>
      </w:r>
      <w:r w:rsidRPr="0057020B">
        <w:t xml:space="preserve">auction and the </w:t>
      </w:r>
      <w:r w:rsidR="00D4786D">
        <w:t xml:space="preserve">capacity </w:t>
      </w:r>
      <w:r w:rsidRPr="0057020B">
        <w:t>trading platform will assume these terms apply to all trades).</w:t>
      </w:r>
    </w:p>
    <w:p w14:paraId="7CAF262E" w14:textId="77777777" w:rsidR="0057020B" w:rsidRPr="0057020B" w:rsidRDefault="0057020B" w:rsidP="0057020B">
      <w:pPr>
        <w:numPr>
          <w:ilvl w:val="0"/>
          <w:numId w:val="12"/>
        </w:numPr>
        <w:spacing w:before="120" w:after="120"/>
        <w:ind w:left="357" w:hanging="357"/>
      </w:pPr>
      <w:r w:rsidRPr="0057020B">
        <w:rPr>
          <w:b/>
        </w:rPr>
        <w:t>Interaction with other mechanisms</w:t>
      </w:r>
      <w:r w:rsidR="001C3C36">
        <w:t xml:space="preserve">: </w:t>
      </w:r>
      <w:r w:rsidRPr="0057020B">
        <w:t xml:space="preserve">Changes to the </w:t>
      </w:r>
      <w:r w:rsidR="007B4229">
        <w:t>Operational GTA Code</w:t>
      </w:r>
      <w:r w:rsidRPr="0057020B">
        <w:t xml:space="preserve"> may impact on the capaci</w:t>
      </w:r>
      <w:r w:rsidR="008C27E8">
        <w:t>ty trading platform and the day-</w:t>
      </w:r>
      <w:r w:rsidRPr="0057020B">
        <w:t xml:space="preserve">ahead auction and conversely changes to those platforms may require changes to the standard terms instrument.  </w:t>
      </w:r>
    </w:p>
    <w:p w14:paraId="6658B070" w14:textId="77777777" w:rsidR="0057020B" w:rsidRPr="0057020B" w:rsidRDefault="0057020B" w:rsidP="0057020B">
      <w:pPr>
        <w:numPr>
          <w:ilvl w:val="0"/>
          <w:numId w:val="12"/>
        </w:numPr>
        <w:spacing w:before="120" w:after="120"/>
        <w:ind w:left="357" w:hanging="357"/>
      </w:pPr>
      <w:r w:rsidRPr="0057020B">
        <w:rPr>
          <w:b/>
        </w:rPr>
        <w:t xml:space="preserve">How the initial </w:t>
      </w:r>
      <w:r w:rsidR="007B4229">
        <w:rPr>
          <w:b/>
        </w:rPr>
        <w:t>Operational GTA Code</w:t>
      </w:r>
      <w:r w:rsidRPr="0057020B">
        <w:rPr>
          <w:b/>
        </w:rPr>
        <w:t xml:space="preserve"> will be made</w:t>
      </w:r>
      <w:r w:rsidR="001C3C36">
        <w:t xml:space="preserve">: </w:t>
      </w:r>
      <w:r w:rsidRPr="0057020B">
        <w:t>The</w:t>
      </w:r>
      <w:r w:rsidR="00080774">
        <w:t xml:space="preserve">re are a number of options for how the initial </w:t>
      </w:r>
      <w:r w:rsidR="007B4229">
        <w:t>Oper</w:t>
      </w:r>
      <w:r w:rsidR="00826583">
        <w:t>a</w:t>
      </w:r>
      <w:r w:rsidR="007B4229">
        <w:t>tional GTA Code</w:t>
      </w:r>
      <w:r w:rsidR="00080774">
        <w:t xml:space="preserve"> could be made, including requiring the market body that is responsible for approving changes to do so, or having </w:t>
      </w:r>
      <w:r w:rsidRPr="0057020B">
        <w:t xml:space="preserve">the SA Minister </w:t>
      </w:r>
      <w:r w:rsidR="00080774">
        <w:t xml:space="preserve">make the initial </w:t>
      </w:r>
      <w:r w:rsidR="007B4229">
        <w:t xml:space="preserve">Code </w:t>
      </w:r>
      <w:r w:rsidR="00080774">
        <w:t xml:space="preserve">in a similar manner to the way in which </w:t>
      </w:r>
      <w:r w:rsidRPr="0057020B">
        <w:t xml:space="preserve">initial Rules under the NGL </w:t>
      </w:r>
      <w:r w:rsidR="00080774">
        <w:t xml:space="preserve">can be made </w:t>
      </w:r>
      <w:r w:rsidRPr="0057020B">
        <w:t>for specified purposes.</w:t>
      </w:r>
    </w:p>
    <w:p w14:paraId="7375B118" w14:textId="77777777" w:rsidR="0057020B" w:rsidRPr="0057020B" w:rsidRDefault="0057020B" w:rsidP="00736189">
      <w:pPr>
        <w:keepNext/>
        <w:keepLines/>
        <w:rPr>
          <w:rFonts w:eastAsiaTheme="minorHAnsi" w:cstheme="minorBidi"/>
          <w:b/>
          <w:bCs/>
          <w:lang w:eastAsia="fr-CA"/>
        </w:rPr>
      </w:pPr>
      <w:bookmarkStart w:id="103" w:name="_Ref490988577"/>
      <w:r w:rsidRPr="0057020B">
        <w:rPr>
          <w:rFonts w:eastAsiaTheme="minorHAnsi" w:cstheme="minorBidi"/>
          <w:b/>
          <w:bCs/>
          <w:lang w:eastAsia="fr-CA"/>
        </w:rPr>
        <w:lastRenderedPageBreak/>
        <w:t xml:space="preserve">Table </w:t>
      </w:r>
      <w:r w:rsidR="00901056">
        <w:rPr>
          <w:rFonts w:eastAsiaTheme="minorHAnsi" w:cstheme="minorBidi"/>
          <w:b/>
          <w:bCs/>
          <w:lang w:eastAsia="fr-CA"/>
        </w:rPr>
        <w:fldChar w:fldCharType="begin"/>
      </w:r>
      <w:r w:rsidR="00901056">
        <w:rPr>
          <w:rFonts w:eastAsiaTheme="minorHAnsi" w:cstheme="minorBidi"/>
          <w:b/>
          <w:bCs/>
          <w:lang w:eastAsia="fr-CA"/>
        </w:rPr>
        <w:instrText xml:space="preserve"> STYLEREF 1 \s </w:instrText>
      </w:r>
      <w:r w:rsidR="00901056">
        <w:rPr>
          <w:rFonts w:eastAsiaTheme="minorHAnsi" w:cstheme="minorBidi"/>
          <w:b/>
          <w:bCs/>
          <w:lang w:eastAsia="fr-CA"/>
        </w:rPr>
        <w:fldChar w:fldCharType="separate"/>
      </w:r>
      <w:r w:rsidR="00761861">
        <w:rPr>
          <w:rFonts w:eastAsiaTheme="minorHAnsi" w:cstheme="minorBidi"/>
          <w:b/>
          <w:bCs/>
          <w:noProof/>
          <w:lang w:eastAsia="fr-CA"/>
        </w:rPr>
        <w:t>4</w:t>
      </w:r>
      <w:r w:rsidR="00901056">
        <w:rPr>
          <w:rFonts w:eastAsiaTheme="minorHAnsi" w:cstheme="minorBidi"/>
          <w:b/>
          <w:bCs/>
          <w:lang w:eastAsia="fr-CA"/>
        </w:rPr>
        <w:fldChar w:fldCharType="end"/>
      </w:r>
      <w:r w:rsidR="00901056">
        <w:rPr>
          <w:rFonts w:eastAsiaTheme="minorHAnsi" w:cstheme="minorBidi"/>
          <w:b/>
          <w:bCs/>
          <w:lang w:eastAsia="fr-CA"/>
        </w:rPr>
        <w:t>.</w:t>
      </w:r>
      <w:r w:rsidR="00901056">
        <w:rPr>
          <w:rFonts w:eastAsiaTheme="minorHAnsi" w:cstheme="minorBidi"/>
          <w:b/>
          <w:bCs/>
          <w:lang w:eastAsia="fr-CA"/>
        </w:rPr>
        <w:fldChar w:fldCharType="begin"/>
      </w:r>
      <w:r w:rsidR="00901056">
        <w:rPr>
          <w:rFonts w:eastAsiaTheme="minorHAnsi" w:cstheme="minorBidi"/>
          <w:b/>
          <w:bCs/>
          <w:lang w:eastAsia="fr-CA"/>
        </w:rPr>
        <w:instrText xml:space="preserve"> SEQ Table \* ARABIC \s 1 </w:instrText>
      </w:r>
      <w:r w:rsidR="00901056">
        <w:rPr>
          <w:rFonts w:eastAsiaTheme="minorHAnsi" w:cstheme="minorBidi"/>
          <w:b/>
          <w:bCs/>
          <w:lang w:eastAsia="fr-CA"/>
        </w:rPr>
        <w:fldChar w:fldCharType="separate"/>
      </w:r>
      <w:r w:rsidR="00761861">
        <w:rPr>
          <w:rFonts w:eastAsiaTheme="minorHAnsi" w:cstheme="minorBidi"/>
          <w:b/>
          <w:bCs/>
          <w:noProof/>
          <w:lang w:eastAsia="fr-CA"/>
        </w:rPr>
        <w:t>3</w:t>
      </w:r>
      <w:r w:rsidR="00901056">
        <w:rPr>
          <w:rFonts w:eastAsiaTheme="minorHAnsi" w:cstheme="minorBidi"/>
          <w:b/>
          <w:bCs/>
          <w:lang w:eastAsia="fr-CA"/>
        </w:rPr>
        <w:fldChar w:fldCharType="end"/>
      </w:r>
      <w:bookmarkEnd w:id="103"/>
      <w:r w:rsidRPr="0057020B">
        <w:rPr>
          <w:rFonts w:eastAsiaTheme="minorHAnsi" w:cstheme="minorBidi"/>
          <w:b/>
          <w:bCs/>
          <w:lang w:eastAsia="fr-CA"/>
        </w:rPr>
        <w:t xml:space="preserve">: </w:t>
      </w:r>
      <w:r w:rsidR="00080774">
        <w:rPr>
          <w:rFonts w:eastAsiaTheme="minorHAnsi" w:cstheme="minorBidi"/>
          <w:b/>
          <w:bCs/>
          <w:lang w:eastAsia="fr-CA"/>
        </w:rPr>
        <w:t>G</w:t>
      </w:r>
      <w:r w:rsidRPr="0057020B">
        <w:rPr>
          <w:rFonts w:eastAsiaTheme="minorHAnsi" w:cstheme="minorBidi"/>
          <w:b/>
          <w:bCs/>
          <w:lang w:eastAsia="fr-CA"/>
        </w:rPr>
        <w:t xml:space="preserve">overnance options for the </w:t>
      </w:r>
      <w:r w:rsidR="007B4229">
        <w:rPr>
          <w:rFonts w:eastAsiaTheme="minorHAnsi" w:cstheme="minorBidi"/>
          <w:b/>
          <w:bCs/>
          <w:lang w:eastAsia="fr-CA"/>
        </w:rPr>
        <w:t>Operational GTA Code</w:t>
      </w:r>
    </w:p>
    <w:tbl>
      <w:tblPr>
        <w:tblStyle w:val="TableGrid"/>
        <w:tblW w:w="0" w:type="auto"/>
        <w:tblLook w:val="04A0" w:firstRow="1" w:lastRow="0" w:firstColumn="1" w:lastColumn="0" w:noHBand="0" w:noVBand="1"/>
        <w:tblCaption w:val="Table 4.3"/>
        <w:tblDescription w:val="Governance options for the Operational GTA Code"/>
      </w:tblPr>
      <w:tblGrid>
        <w:gridCol w:w="1701"/>
        <w:gridCol w:w="7087"/>
      </w:tblGrid>
      <w:tr w:rsidR="0057020B" w:rsidRPr="0057020B" w14:paraId="4CDD22B5" w14:textId="77777777" w:rsidTr="00F44BBB">
        <w:trPr>
          <w:cnfStyle w:val="100000000000" w:firstRow="1" w:lastRow="0" w:firstColumn="0" w:lastColumn="0" w:oddVBand="0" w:evenVBand="0" w:oddHBand="0" w:evenHBand="0" w:firstRowFirstColumn="0" w:firstRowLastColumn="0" w:lastRowFirstColumn="0" w:lastRowLastColumn="0"/>
          <w:tblHeader/>
        </w:trPr>
        <w:tc>
          <w:tcPr>
            <w:tcW w:w="1701" w:type="dxa"/>
            <w:tcBorders>
              <w:top w:val="single" w:sz="4" w:space="0" w:color="auto"/>
              <w:left w:val="nil"/>
              <w:bottom w:val="single" w:sz="4" w:space="0" w:color="auto"/>
              <w:right w:val="single" w:sz="4" w:space="0" w:color="auto"/>
            </w:tcBorders>
            <w:shd w:val="clear" w:color="auto" w:fill="0099CC"/>
            <w:hideMark/>
          </w:tcPr>
          <w:p w14:paraId="0517E1F4" w14:textId="77777777" w:rsidR="0057020B" w:rsidRPr="0057020B" w:rsidRDefault="0057020B" w:rsidP="0057020B">
            <w:pPr>
              <w:keepNext/>
              <w:tabs>
                <w:tab w:val="left" w:pos="2268"/>
                <w:tab w:val="left" w:pos="4536"/>
                <w:tab w:val="left" w:pos="6804"/>
                <w:tab w:val="right" w:pos="9638"/>
              </w:tabs>
              <w:spacing w:before="40" w:after="40"/>
            </w:pPr>
            <w:r w:rsidRPr="0057020B">
              <w:t>Option</w:t>
            </w:r>
          </w:p>
        </w:tc>
        <w:tc>
          <w:tcPr>
            <w:tcW w:w="7087" w:type="dxa"/>
            <w:tcBorders>
              <w:top w:val="single" w:sz="4" w:space="0" w:color="auto"/>
              <w:left w:val="single" w:sz="4" w:space="0" w:color="auto"/>
              <w:bottom w:val="single" w:sz="4" w:space="0" w:color="auto"/>
              <w:right w:val="nil"/>
            </w:tcBorders>
            <w:shd w:val="clear" w:color="auto" w:fill="0099CC"/>
            <w:hideMark/>
          </w:tcPr>
          <w:p w14:paraId="0044076A" w14:textId="77777777" w:rsidR="0057020B" w:rsidRPr="0057020B" w:rsidRDefault="0057020B" w:rsidP="0057020B">
            <w:pPr>
              <w:keepNext/>
              <w:tabs>
                <w:tab w:val="left" w:pos="2268"/>
                <w:tab w:val="left" w:pos="4536"/>
                <w:tab w:val="left" w:pos="6804"/>
                <w:tab w:val="right" w:pos="9638"/>
              </w:tabs>
              <w:spacing w:before="40" w:after="40"/>
            </w:pPr>
            <w:r w:rsidRPr="0057020B">
              <w:t>Overview</w:t>
            </w:r>
          </w:p>
        </w:tc>
      </w:tr>
      <w:tr w:rsidR="0057020B" w:rsidRPr="0057020B" w14:paraId="63E464ED" w14:textId="77777777" w:rsidTr="00F243A1">
        <w:tc>
          <w:tcPr>
            <w:tcW w:w="1701" w:type="dxa"/>
            <w:tcBorders>
              <w:top w:val="single" w:sz="4" w:space="0" w:color="auto"/>
              <w:left w:val="nil"/>
              <w:bottom w:val="single" w:sz="4" w:space="0" w:color="auto"/>
              <w:right w:val="single" w:sz="4" w:space="0" w:color="auto"/>
            </w:tcBorders>
            <w:hideMark/>
          </w:tcPr>
          <w:p w14:paraId="5A89523F" w14:textId="77777777" w:rsidR="0057020B" w:rsidRPr="0057020B" w:rsidRDefault="0057020B" w:rsidP="0057020B">
            <w:pPr>
              <w:keepNext/>
              <w:tabs>
                <w:tab w:val="left" w:pos="2268"/>
                <w:tab w:val="left" w:pos="4536"/>
                <w:tab w:val="left" w:pos="6804"/>
                <w:tab w:val="right" w:pos="9638"/>
              </w:tabs>
              <w:spacing w:before="40" w:after="40"/>
            </w:pPr>
            <w:r w:rsidRPr="0057020B">
              <w:t>AEMC</w:t>
            </w:r>
          </w:p>
        </w:tc>
        <w:tc>
          <w:tcPr>
            <w:tcW w:w="7087" w:type="dxa"/>
            <w:tcBorders>
              <w:top w:val="single" w:sz="4" w:space="0" w:color="auto"/>
              <w:left w:val="single" w:sz="4" w:space="0" w:color="auto"/>
              <w:bottom w:val="single" w:sz="4" w:space="0" w:color="auto"/>
              <w:right w:val="nil"/>
            </w:tcBorders>
            <w:hideMark/>
          </w:tcPr>
          <w:p w14:paraId="6125109A" w14:textId="77777777" w:rsidR="0057020B" w:rsidRPr="0057020B" w:rsidRDefault="0057020B" w:rsidP="0057020B">
            <w:pPr>
              <w:keepNext/>
              <w:tabs>
                <w:tab w:val="left" w:pos="2268"/>
                <w:tab w:val="left" w:pos="4536"/>
                <w:tab w:val="left" w:pos="6804"/>
                <w:tab w:val="right" w:pos="9638"/>
              </w:tabs>
              <w:spacing w:before="40" w:after="40"/>
            </w:pPr>
            <w:r w:rsidRPr="0057020B">
              <w:t xml:space="preserve">The initial </w:t>
            </w:r>
            <w:r w:rsidR="007B4229">
              <w:t>Operational GTA Code</w:t>
            </w:r>
            <w:r w:rsidRPr="0057020B">
              <w:t xml:space="preserve"> would be made when the initial </w:t>
            </w:r>
            <w:r w:rsidR="00F7735F">
              <w:t>R</w:t>
            </w:r>
            <w:r w:rsidRPr="0057020B">
              <w:t xml:space="preserve">ules are made and would be published by the AEMC. </w:t>
            </w:r>
          </w:p>
          <w:p w14:paraId="65FADC5A" w14:textId="77777777" w:rsidR="0057020B" w:rsidRPr="0057020B" w:rsidRDefault="0057020B" w:rsidP="0057020B">
            <w:pPr>
              <w:keepNext/>
              <w:tabs>
                <w:tab w:val="left" w:pos="2268"/>
                <w:tab w:val="left" w:pos="4536"/>
                <w:tab w:val="left" w:pos="6804"/>
                <w:tab w:val="right" w:pos="9638"/>
              </w:tabs>
              <w:spacing w:before="40" w:after="40"/>
            </w:pPr>
            <w:r w:rsidRPr="0057020B">
              <w:t xml:space="preserve">The </w:t>
            </w:r>
            <w:r w:rsidR="007B4229">
              <w:t>Operational GTA Code</w:t>
            </w:r>
            <w:r w:rsidRPr="0057020B">
              <w:t xml:space="preserve"> would be amended by the AEMC following the usual rule change process, as if the instrument formed part of the rules.</w:t>
            </w:r>
          </w:p>
        </w:tc>
      </w:tr>
      <w:tr w:rsidR="0057020B" w:rsidRPr="0057020B" w14:paraId="5475E5EA" w14:textId="77777777" w:rsidTr="00F243A1">
        <w:trPr>
          <w:cnfStyle w:val="000000010000" w:firstRow="0" w:lastRow="0" w:firstColumn="0" w:lastColumn="0" w:oddVBand="0" w:evenVBand="0" w:oddHBand="0" w:evenHBand="1" w:firstRowFirstColumn="0" w:firstRowLastColumn="0" w:lastRowFirstColumn="0" w:lastRowLastColumn="0"/>
        </w:trPr>
        <w:tc>
          <w:tcPr>
            <w:tcW w:w="1701" w:type="dxa"/>
            <w:tcBorders>
              <w:top w:val="single" w:sz="4" w:space="0" w:color="auto"/>
              <w:left w:val="nil"/>
              <w:bottom w:val="single" w:sz="4" w:space="0" w:color="auto"/>
              <w:right w:val="single" w:sz="4" w:space="0" w:color="auto"/>
            </w:tcBorders>
            <w:hideMark/>
          </w:tcPr>
          <w:p w14:paraId="4C00B815" w14:textId="77777777" w:rsidR="0057020B" w:rsidRPr="0057020B" w:rsidRDefault="0057020B" w:rsidP="0057020B">
            <w:pPr>
              <w:keepNext/>
              <w:tabs>
                <w:tab w:val="left" w:pos="2268"/>
                <w:tab w:val="left" w:pos="4536"/>
                <w:tab w:val="left" w:pos="6804"/>
                <w:tab w:val="right" w:pos="9638"/>
              </w:tabs>
              <w:spacing w:before="40" w:after="40"/>
            </w:pPr>
            <w:r w:rsidRPr="0057020B">
              <w:t>AEMC panel</w:t>
            </w:r>
          </w:p>
        </w:tc>
        <w:tc>
          <w:tcPr>
            <w:tcW w:w="7087" w:type="dxa"/>
            <w:tcBorders>
              <w:top w:val="single" w:sz="4" w:space="0" w:color="auto"/>
              <w:left w:val="single" w:sz="4" w:space="0" w:color="auto"/>
              <w:bottom w:val="single" w:sz="4" w:space="0" w:color="auto"/>
              <w:right w:val="nil"/>
            </w:tcBorders>
            <w:hideMark/>
          </w:tcPr>
          <w:p w14:paraId="52A2CB41" w14:textId="77777777" w:rsidR="0057020B" w:rsidRPr="0057020B" w:rsidRDefault="0057020B" w:rsidP="0057020B">
            <w:pPr>
              <w:keepNext/>
              <w:tabs>
                <w:tab w:val="left" w:pos="2268"/>
                <w:tab w:val="left" w:pos="4536"/>
                <w:tab w:val="left" w:pos="6804"/>
                <w:tab w:val="right" w:pos="9638"/>
              </w:tabs>
              <w:spacing w:before="40" w:after="40"/>
            </w:pPr>
            <w:r w:rsidRPr="0057020B">
              <w:t xml:space="preserve">The initial </w:t>
            </w:r>
            <w:r w:rsidR="007B4229">
              <w:t>Operational GTA Code</w:t>
            </w:r>
            <w:r w:rsidRPr="0057020B">
              <w:t xml:space="preserve"> would be made when the initial rules are made and would be published by the AEMC. </w:t>
            </w:r>
          </w:p>
          <w:p w14:paraId="4A5C5D58" w14:textId="77777777" w:rsidR="0057020B" w:rsidRPr="0057020B" w:rsidRDefault="0057020B" w:rsidP="00457FC4">
            <w:pPr>
              <w:keepNext/>
              <w:tabs>
                <w:tab w:val="left" w:pos="2268"/>
                <w:tab w:val="left" w:pos="4536"/>
                <w:tab w:val="left" w:pos="6804"/>
                <w:tab w:val="right" w:pos="9638"/>
              </w:tabs>
              <w:spacing w:before="40" w:after="40"/>
            </w:pPr>
            <w:r w:rsidRPr="0057020B">
              <w:t xml:space="preserve">The AEMC would be responsible for establishing a panel of experts to determine and recommend changes to the </w:t>
            </w:r>
            <w:r w:rsidR="00457FC4">
              <w:t>Operational GTA Code</w:t>
            </w:r>
            <w:r w:rsidRPr="0057020B">
              <w:t>.  Change requests would be submitted to the panel via the AEMC.  The panel would be required to consult on changes.</w:t>
            </w:r>
            <w:r w:rsidR="00457FC4">
              <w:t xml:space="preserve"> </w:t>
            </w:r>
            <w:r w:rsidRPr="0057020B">
              <w:t xml:space="preserve">The AEMC would amend the </w:t>
            </w:r>
            <w:r w:rsidR="007B4229">
              <w:t>Operational GTA Code</w:t>
            </w:r>
            <w:r w:rsidRPr="0057020B">
              <w:t xml:space="preserve"> on the recommendation of the panel, having regard to the NGO.</w:t>
            </w:r>
          </w:p>
        </w:tc>
      </w:tr>
      <w:tr w:rsidR="0057020B" w:rsidRPr="0057020B" w14:paraId="3FED39CA" w14:textId="77777777" w:rsidTr="00F243A1">
        <w:tc>
          <w:tcPr>
            <w:tcW w:w="1701" w:type="dxa"/>
            <w:tcBorders>
              <w:top w:val="single" w:sz="4" w:space="0" w:color="auto"/>
              <w:left w:val="nil"/>
              <w:bottom w:val="single" w:sz="4" w:space="0" w:color="auto"/>
              <w:right w:val="single" w:sz="4" w:space="0" w:color="auto"/>
            </w:tcBorders>
            <w:hideMark/>
          </w:tcPr>
          <w:p w14:paraId="4A021FE5" w14:textId="77777777" w:rsidR="0057020B" w:rsidRPr="0057020B" w:rsidRDefault="0057020B" w:rsidP="0057020B">
            <w:pPr>
              <w:keepNext/>
              <w:tabs>
                <w:tab w:val="left" w:pos="2268"/>
                <w:tab w:val="left" w:pos="4536"/>
                <w:tab w:val="left" w:pos="6804"/>
                <w:tab w:val="right" w:pos="9638"/>
              </w:tabs>
              <w:spacing w:before="40" w:after="40"/>
            </w:pPr>
            <w:r w:rsidRPr="0057020B">
              <w:t>AEMO</w:t>
            </w:r>
          </w:p>
        </w:tc>
        <w:tc>
          <w:tcPr>
            <w:tcW w:w="7087" w:type="dxa"/>
            <w:tcBorders>
              <w:top w:val="single" w:sz="4" w:space="0" w:color="auto"/>
              <w:left w:val="single" w:sz="4" w:space="0" w:color="auto"/>
              <w:bottom w:val="single" w:sz="4" w:space="0" w:color="auto"/>
              <w:right w:val="nil"/>
            </w:tcBorders>
            <w:hideMark/>
          </w:tcPr>
          <w:p w14:paraId="4E8E5E85" w14:textId="77777777" w:rsidR="0057020B" w:rsidRPr="0057020B" w:rsidRDefault="0057020B" w:rsidP="0057020B">
            <w:pPr>
              <w:keepNext/>
              <w:tabs>
                <w:tab w:val="left" w:pos="2268"/>
                <w:tab w:val="left" w:pos="4536"/>
                <w:tab w:val="left" w:pos="6804"/>
                <w:tab w:val="right" w:pos="9638"/>
              </w:tabs>
              <w:spacing w:before="40" w:after="40"/>
            </w:pPr>
            <w:r w:rsidRPr="0057020B">
              <w:t xml:space="preserve">The initial </w:t>
            </w:r>
            <w:r w:rsidR="007B4229">
              <w:t>Operational GTA Code</w:t>
            </w:r>
            <w:r w:rsidRPr="0057020B">
              <w:t xml:space="preserve"> would be made when the initial rules are made and would be published by AEMO. </w:t>
            </w:r>
          </w:p>
          <w:p w14:paraId="46CCF559" w14:textId="77777777" w:rsidR="0057020B" w:rsidRPr="0057020B" w:rsidRDefault="0057020B" w:rsidP="00F10541">
            <w:pPr>
              <w:keepNext/>
              <w:tabs>
                <w:tab w:val="left" w:pos="2268"/>
                <w:tab w:val="left" w:pos="4536"/>
                <w:tab w:val="left" w:pos="6804"/>
                <w:tab w:val="right" w:pos="9638"/>
              </w:tabs>
              <w:spacing w:before="40" w:after="40"/>
            </w:pPr>
            <w:r w:rsidRPr="0057020B">
              <w:t xml:space="preserve">The </w:t>
            </w:r>
            <w:r w:rsidR="007B4229">
              <w:t>Operational GTA Code</w:t>
            </w:r>
            <w:r w:rsidRPr="0057020B">
              <w:t xml:space="preserve"> would be subject to a change process aligned with the change process followed by AEMO for the STTM / </w:t>
            </w:r>
            <w:r w:rsidR="00F7735F">
              <w:t>D</w:t>
            </w:r>
            <w:r w:rsidRPr="0057020B">
              <w:t>WGM procedures, which requires consideration to be given to the NGO.</w:t>
            </w:r>
          </w:p>
        </w:tc>
      </w:tr>
      <w:tr w:rsidR="0057020B" w:rsidRPr="0057020B" w14:paraId="59E6D921" w14:textId="77777777" w:rsidTr="00F243A1">
        <w:trPr>
          <w:cnfStyle w:val="000000010000" w:firstRow="0" w:lastRow="0" w:firstColumn="0" w:lastColumn="0" w:oddVBand="0" w:evenVBand="0" w:oddHBand="0" w:evenHBand="1" w:firstRowFirstColumn="0" w:firstRowLastColumn="0" w:lastRowFirstColumn="0" w:lastRowLastColumn="0"/>
        </w:trPr>
        <w:tc>
          <w:tcPr>
            <w:tcW w:w="1701" w:type="dxa"/>
            <w:tcBorders>
              <w:top w:val="single" w:sz="4" w:space="0" w:color="auto"/>
              <w:left w:val="nil"/>
              <w:bottom w:val="single" w:sz="4" w:space="0" w:color="auto"/>
              <w:right w:val="single" w:sz="4" w:space="0" w:color="auto"/>
            </w:tcBorders>
            <w:hideMark/>
          </w:tcPr>
          <w:p w14:paraId="0ACEC7CA" w14:textId="77777777" w:rsidR="0057020B" w:rsidRPr="0057020B" w:rsidRDefault="0057020B" w:rsidP="00F44BBB">
            <w:pPr>
              <w:tabs>
                <w:tab w:val="left" w:pos="2268"/>
                <w:tab w:val="left" w:pos="4536"/>
                <w:tab w:val="left" w:pos="6804"/>
                <w:tab w:val="right" w:pos="9638"/>
              </w:tabs>
              <w:spacing w:before="40" w:after="40"/>
            </w:pPr>
            <w:r w:rsidRPr="0057020B">
              <w:t>AEMO panel</w:t>
            </w:r>
          </w:p>
        </w:tc>
        <w:tc>
          <w:tcPr>
            <w:tcW w:w="7087" w:type="dxa"/>
            <w:tcBorders>
              <w:top w:val="single" w:sz="4" w:space="0" w:color="auto"/>
              <w:left w:val="single" w:sz="4" w:space="0" w:color="auto"/>
              <w:bottom w:val="single" w:sz="4" w:space="0" w:color="auto"/>
              <w:right w:val="nil"/>
            </w:tcBorders>
            <w:hideMark/>
          </w:tcPr>
          <w:p w14:paraId="39D335D9" w14:textId="77777777" w:rsidR="0057020B" w:rsidRPr="0057020B" w:rsidRDefault="0057020B" w:rsidP="00F44BBB">
            <w:pPr>
              <w:tabs>
                <w:tab w:val="left" w:pos="2268"/>
                <w:tab w:val="left" w:pos="4536"/>
                <w:tab w:val="left" w:pos="6804"/>
                <w:tab w:val="right" w:pos="9638"/>
              </w:tabs>
              <w:spacing w:before="40" w:after="40"/>
            </w:pPr>
            <w:r w:rsidRPr="0057020B">
              <w:t xml:space="preserve">The initial </w:t>
            </w:r>
            <w:r w:rsidR="007B4229">
              <w:t>Operational GTA Code</w:t>
            </w:r>
            <w:r w:rsidRPr="0057020B">
              <w:t xml:space="preserve"> would be made when the initial rules are made and would be published by AEMO. </w:t>
            </w:r>
          </w:p>
          <w:p w14:paraId="76C598C6" w14:textId="77777777" w:rsidR="0057020B" w:rsidRPr="0057020B" w:rsidRDefault="0057020B" w:rsidP="00F44BBB">
            <w:pPr>
              <w:tabs>
                <w:tab w:val="left" w:pos="2268"/>
                <w:tab w:val="left" w:pos="4536"/>
                <w:tab w:val="left" w:pos="6804"/>
                <w:tab w:val="right" w:pos="9638"/>
              </w:tabs>
              <w:spacing w:before="40" w:after="40"/>
            </w:pPr>
            <w:r w:rsidRPr="0057020B">
              <w:t xml:space="preserve">AEMO would be responsible for establishing an industry representative panel to consider and recommend changes to the </w:t>
            </w:r>
            <w:r w:rsidR="00457FC4">
              <w:t>Operational GTA Code</w:t>
            </w:r>
            <w:r w:rsidRPr="0057020B">
              <w:t xml:space="preserve">.  The panel would be modelled on the </w:t>
            </w:r>
            <w:r w:rsidR="00012827">
              <w:t>Settlement Residue Auction (SRA)</w:t>
            </w:r>
            <w:r w:rsidRPr="0057020B">
              <w:t xml:space="preserve"> panel under the </w:t>
            </w:r>
            <w:r w:rsidR="00F77449">
              <w:t>National Electricity Rules (</w:t>
            </w:r>
            <w:r w:rsidRPr="0057020B">
              <w:t>NER</w:t>
            </w:r>
            <w:r w:rsidR="00F77449">
              <w:t>)</w:t>
            </w:r>
            <w:r w:rsidRPr="0057020B">
              <w:t>.  AEMO would provide secretariat services to the panel and change requests would be submitted to the panel via AEMO.</w:t>
            </w:r>
          </w:p>
          <w:p w14:paraId="1582E70F" w14:textId="77777777" w:rsidR="0057020B" w:rsidRPr="0057020B" w:rsidRDefault="0057020B" w:rsidP="00F44BBB">
            <w:pPr>
              <w:tabs>
                <w:tab w:val="left" w:pos="2268"/>
                <w:tab w:val="left" w:pos="4536"/>
                <w:tab w:val="left" w:pos="6804"/>
                <w:tab w:val="right" w:pos="9638"/>
              </w:tabs>
              <w:spacing w:before="40" w:after="40"/>
            </w:pPr>
            <w:r w:rsidRPr="0057020B">
              <w:t xml:space="preserve">AEMO could amend the </w:t>
            </w:r>
            <w:r w:rsidR="007B4229">
              <w:t>Operational GTA Code</w:t>
            </w:r>
            <w:r w:rsidRPr="0057020B">
              <w:t xml:space="preserve"> on the recommendation of the panel but would not be required to do so.  </w:t>
            </w:r>
          </w:p>
        </w:tc>
      </w:tr>
      <w:tr w:rsidR="0057020B" w:rsidRPr="0057020B" w14:paraId="2D040093" w14:textId="77777777" w:rsidTr="00F243A1">
        <w:tc>
          <w:tcPr>
            <w:tcW w:w="1701" w:type="dxa"/>
            <w:tcBorders>
              <w:top w:val="single" w:sz="4" w:space="0" w:color="auto"/>
              <w:left w:val="nil"/>
              <w:bottom w:val="single" w:sz="4" w:space="0" w:color="auto"/>
              <w:right w:val="single" w:sz="4" w:space="0" w:color="auto"/>
            </w:tcBorders>
            <w:hideMark/>
          </w:tcPr>
          <w:p w14:paraId="0824A70D" w14:textId="77777777" w:rsidR="0057020B" w:rsidRPr="0057020B" w:rsidRDefault="0057020B" w:rsidP="00F44BBB">
            <w:pPr>
              <w:keepNext/>
              <w:widowControl w:val="0"/>
              <w:tabs>
                <w:tab w:val="left" w:pos="2268"/>
                <w:tab w:val="left" w:pos="4536"/>
                <w:tab w:val="left" w:pos="6804"/>
                <w:tab w:val="right" w:pos="9638"/>
              </w:tabs>
              <w:spacing w:before="40" w:after="40"/>
            </w:pPr>
            <w:r w:rsidRPr="0057020B">
              <w:t>AER</w:t>
            </w:r>
          </w:p>
        </w:tc>
        <w:tc>
          <w:tcPr>
            <w:tcW w:w="7087" w:type="dxa"/>
            <w:tcBorders>
              <w:top w:val="single" w:sz="4" w:space="0" w:color="auto"/>
              <w:left w:val="single" w:sz="4" w:space="0" w:color="auto"/>
              <w:bottom w:val="single" w:sz="4" w:space="0" w:color="auto"/>
              <w:right w:val="nil"/>
            </w:tcBorders>
            <w:hideMark/>
          </w:tcPr>
          <w:p w14:paraId="01294BF5" w14:textId="77777777" w:rsidR="0057020B" w:rsidRPr="0057020B" w:rsidRDefault="0057020B" w:rsidP="00F44BBB">
            <w:pPr>
              <w:keepNext/>
              <w:widowControl w:val="0"/>
              <w:tabs>
                <w:tab w:val="left" w:pos="2268"/>
                <w:tab w:val="left" w:pos="4536"/>
                <w:tab w:val="left" w:pos="6804"/>
                <w:tab w:val="right" w:pos="9638"/>
              </w:tabs>
              <w:spacing w:before="40" w:after="40"/>
            </w:pPr>
            <w:r w:rsidRPr="0057020B">
              <w:t xml:space="preserve">The initial </w:t>
            </w:r>
            <w:r w:rsidR="007B4229">
              <w:t>Operational GTA Code</w:t>
            </w:r>
            <w:r w:rsidRPr="0057020B">
              <w:t xml:space="preserve"> would be made when the initial rules are made and would be published by the AER. </w:t>
            </w:r>
          </w:p>
          <w:p w14:paraId="2853AC41" w14:textId="77777777" w:rsidR="0057020B" w:rsidRPr="0057020B" w:rsidRDefault="0057020B" w:rsidP="00F44BBB">
            <w:pPr>
              <w:keepNext/>
              <w:widowControl w:val="0"/>
              <w:tabs>
                <w:tab w:val="left" w:pos="2268"/>
                <w:tab w:val="left" w:pos="4536"/>
                <w:tab w:val="left" w:pos="6804"/>
                <w:tab w:val="right" w:pos="9638"/>
              </w:tabs>
              <w:spacing w:before="40" w:after="40"/>
            </w:pPr>
            <w:r w:rsidRPr="0057020B">
              <w:t xml:space="preserve">The instrument would be subject to change by the AER following public consultation. </w:t>
            </w:r>
          </w:p>
        </w:tc>
      </w:tr>
      <w:tr w:rsidR="0057020B" w:rsidRPr="0057020B" w14:paraId="6A0BDE0C" w14:textId="77777777" w:rsidTr="00F243A1">
        <w:trPr>
          <w:cnfStyle w:val="000000010000" w:firstRow="0" w:lastRow="0" w:firstColumn="0" w:lastColumn="0" w:oddVBand="0" w:evenVBand="0" w:oddHBand="0" w:evenHBand="1" w:firstRowFirstColumn="0" w:firstRowLastColumn="0" w:lastRowFirstColumn="0" w:lastRowLastColumn="0"/>
        </w:trPr>
        <w:tc>
          <w:tcPr>
            <w:tcW w:w="1701" w:type="dxa"/>
            <w:tcBorders>
              <w:top w:val="single" w:sz="4" w:space="0" w:color="auto"/>
              <w:left w:val="nil"/>
              <w:bottom w:val="single" w:sz="4" w:space="0" w:color="auto"/>
              <w:right w:val="single" w:sz="4" w:space="0" w:color="auto"/>
            </w:tcBorders>
            <w:hideMark/>
          </w:tcPr>
          <w:p w14:paraId="0D96C6E8" w14:textId="77777777" w:rsidR="0057020B" w:rsidRPr="0057020B" w:rsidRDefault="0057020B" w:rsidP="00F44BBB">
            <w:pPr>
              <w:widowControl w:val="0"/>
              <w:tabs>
                <w:tab w:val="left" w:pos="2268"/>
                <w:tab w:val="left" w:pos="4536"/>
                <w:tab w:val="left" w:pos="6804"/>
                <w:tab w:val="right" w:pos="9638"/>
              </w:tabs>
              <w:spacing w:before="40" w:after="40"/>
            </w:pPr>
            <w:r w:rsidRPr="0057020B">
              <w:t>AER panel</w:t>
            </w:r>
          </w:p>
        </w:tc>
        <w:tc>
          <w:tcPr>
            <w:tcW w:w="7087" w:type="dxa"/>
            <w:tcBorders>
              <w:top w:val="single" w:sz="4" w:space="0" w:color="auto"/>
              <w:left w:val="single" w:sz="4" w:space="0" w:color="auto"/>
              <w:bottom w:val="single" w:sz="4" w:space="0" w:color="auto"/>
              <w:right w:val="nil"/>
            </w:tcBorders>
            <w:hideMark/>
          </w:tcPr>
          <w:p w14:paraId="6C5976A7" w14:textId="77777777" w:rsidR="0057020B" w:rsidRPr="0057020B" w:rsidRDefault="0057020B" w:rsidP="00F44BBB">
            <w:pPr>
              <w:widowControl w:val="0"/>
              <w:tabs>
                <w:tab w:val="left" w:pos="2268"/>
                <w:tab w:val="left" w:pos="4536"/>
                <w:tab w:val="left" w:pos="6804"/>
                <w:tab w:val="right" w:pos="9638"/>
              </w:tabs>
              <w:spacing w:before="40" w:after="40"/>
            </w:pPr>
            <w:r w:rsidRPr="0057020B">
              <w:t xml:space="preserve">The initial </w:t>
            </w:r>
            <w:r w:rsidR="007B4229">
              <w:t>Operational GTA Code</w:t>
            </w:r>
            <w:r w:rsidRPr="0057020B">
              <w:t xml:space="preserve"> would be made when the initial rules are made and would be published by the AER.</w:t>
            </w:r>
          </w:p>
          <w:p w14:paraId="3F29C7FC" w14:textId="77777777" w:rsidR="0057020B" w:rsidRPr="0057020B" w:rsidRDefault="0057020B" w:rsidP="00F44BBB">
            <w:pPr>
              <w:widowControl w:val="0"/>
              <w:tabs>
                <w:tab w:val="left" w:pos="2268"/>
                <w:tab w:val="left" w:pos="4536"/>
                <w:tab w:val="left" w:pos="6804"/>
                <w:tab w:val="right" w:pos="9638"/>
              </w:tabs>
              <w:spacing w:before="40" w:after="40"/>
            </w:pPr>
            <w:r w:rsidRPr="0057020B">
              <w:t xml:space="preserve">The AER would be responsible for establishing an industry panel to determine and recommend changes to the </w:t>
            </w:r>
            <w:r w:rsidR="00457FC4">
              <w:t>Operational GTA Code</w:t>
            </w:r>
            <w:r w:rsidRPr="0057020B">
              <w:t>.  The panel would be modelled on the SRA panel under the NER.  The AER could also undertake public consultation on behalf of the panel.  The AER would provide secretariat services and change requests would be submitted to the panel via the AER.</w:t>
            </w:r>
          </w:p>
          <w:p w14:paraId="40E9F294" w14:textId="77777777" w:rsidR="0057020B" w:rsidRPr="0057020B" w:rsidRDefault="0057020B" w:rsidP="00F44BBB">
            <w:pPr>
              <w:widowControl w:val="0"/>
              <w:tabs>
                <w:tab w:val="left" w:pos="2268"/>
                <w:tab w:val="left" w:pos="4536"/>
                <w:tab w:val="left" w:pos="6804"/>
                <w:tab w:val="right" w:pos="9638"/>
              </w:tabs>
              <w:spacing w:before="40" w:after="40"/>
            </w:pPr>
            <w:r w:rsidRPr="0057020B">
              <w:t xml:space="preserve">The AER would amend the </w:t>
            </w:r>
            <w:r w:rsidR="007B4229">
              <w:t>Operational GTA Code</w:t>
            </w:r>
            <w:r w:rsidRPr="0057020B">
              <w:t xml:space="preserve"> taking into account any recommendation of the panel.</w:t>
            </w:r>
          </w:p>
        </w:tc>
      </w:tr>
      <w:tr w:rsidR="0057020B" w:rsidRPr="0057020B" w14:paraId="11F03EEC" w14:textId="77777777" w:rsidTr="00F243A1">
        <w:tc>
          <w:tcPr>
            <w:tcW w:w="1701" w:type="dxa"/>
            <w:tcBorders>
              <w:top w:val="single" w:sz="4" w:space="0" w:color="auto"/>
              <w:left w:val="nil"/>
              <w:bottom w:val="single" w:sz="4" w:space="0" w:color="auto"/>
              <w:right w:val="single" w:sz="4" w:space="0" w:color="auto"/>
            </w:tcBorders>
            <w:hideMark/>
          </w:tcPr>
          <w:p w14:paraId="64525ABC" w14:textId="77777777" w:rsidR="0057020B" w:rsidRPr="0057020B" w:rsidRDefault="0057020B" w:rsidP="00F44BBB">
            <w:pPr>
              <w:widowControl w:val="0"/>
              <w:tabs>
                <w:tab w:val="left" w:pos="2268"/>
                <w:tab w:val="left" w:pos="4536"/>
                <w:tab w:val="left" w:pos="6804"/>
                <w:tab w:val="right" w:pos="9638"/>
              </w:tabs>
              <w:spacing w:before="40" w:after="40"/>
            </w:pPr>
            <w:r w:rsidRPr="0057020B">
              <w:t>AEMO panel/AER oversight hybrid model</w:t>
            </w:r>
          </w:p>
        </w:tc>
        <w:tc>
          <w:tcPr>
            <w:tcW w:w="7087" w:type="dxa"/>
            <w:tcBorders>
              <w:top w:val="single" w:sz="4" w:space="0" w:color="auto"/>
              <w:left w:val="single" w:sz="4" w:space="0" w:color="auto"/>
              <w:bottom w:val="single" w:sz="4" w:space="0" w:color="auto"/>
              <w:right w:val="nil"/>
            </w:tcBorders>
            <w:hideMark/>
          </w:tcPr>
          <w:p w14:paraId="466FB91C" w14:textId="77777777" w:rsidR="0057020B" w:rsidRPr="0057020B" w:rsidRDefault="0057020B" w:rsidP="00F44BBB">
            <w:pPr>
              <w:widowControl w:val="0"/>
              <w:tabs>
                <w:tab w:val="left" w:pos="2268"/>
                <w:tab w:val="left" w:pos="4536"/>
                <w:tab w:val="left" w:pos="6804"/>
                <w:tab w:val="right" w:pos="9638"/>
              </w:tabs>
              <w:spacing w:before="40" w:after="40"/>
            </w:pPr>
            <w:r w:rsidRPr="0057020B">
              <w:t xml:space="preserve">The initial </w:t>
            </w:r>
            <w:r w:rsidR="007B4229">
              <w:t>Operational GTA Code</w:t>
            </w:r>
            <w:r w:rsidRPr="0057020B">
              <w:t xml:space="preserve"> would be made when the initial rules are made and published by the AER.</w:t>
            </w:r>
          </w:p>
          <w:p w14:paraId="471D46B5" w14:textId="77777777" w:rsidR="0057020B" w:rsidRPr="0057020B" w:rsidRDefault="0057020B" w:rsidP="00F44BBB">
            <w:pPr>
              <w:widowControl w:val="0"/>
              <w:tabs>
                <w:tab w:val="left" w:pos="2268"/>
                <w:tab w:val="left" w:pos="4536"/>
                <w:tab w:val="left" w:pos="6804"/>
                <w:tab w:val="right" w:pos="9638"/>
              </w:tabs>
              <w:spacing w:before="40" w:after="40"/>
            </w:pPr>
            <w:r w:rsidRPr="0057020B">
              <w:t xml:space="preserve">AEMO would be responsible for establishing </w:t>
            </w:r>
            <w:r w:rsidR="00080774">
              <w:t xml:space="preserve">a formal </w:t>
            </w:r>
            <w:r w:rsidRPr="0057020B">
              <w:t xml:space="preserve">panel to consider and recommend changes to the </w:t>
            </w:r>
            <w:r w:rsidR="00457FC4">
              <w:t>Operational GTA Code</w:t>
            </w:r>
            <w:r w:rsidRPr="0057020B">
              <w:t xml:space="preserve">.  The panel would </w:t>
            </w:r>
            <w:r w:rsidR="00080774">
              <w:t xml:space="preserve">consist of industry representatives across the gas supply chain and </w:t>
            </w:r>
            <w:r w:rsidRPr="0057020B">
              <w:t xml:space="preserve">be modelled on the SRA panel under the NER.  AEMO would provide secretariat services to the panel and change requests would be submitted to the panel via AEMO. AEMO could undertake public consultation on behalf of the panel.  </w:t>
            </w:r>
          </w:p>
          <w:p w14:paraId="492E57EF" w14:textId="77777777" w:rsidR="0057020B" w:rsidRPr="0057020B" w:rsidRDefault="0057020B" w:rsidP="00F44BBB">
            <w:pPr>
              <w:widowControl w:val="0"/>
              <w:tabs>
                <w:tab w:val="left" w:pos="2268"/>
                <w:tab w:val="left" w:pos="4536"/>
                <w:tab w:val="left" w:pos="6804"/>
                <w:tab w:val="right" w:pos="9638"/>
              </w:tabs>
              <w:spacing w:before="40" w:after="40"/>
            </w:pPr>
            <w:r w:rsidRPr="0057020B">
              <w:t xml:space="preserve">Changes recommended by </w:t>
            </w:r>
            <w:r w:rsidR="007B4229">
              <w:t xml:space="preserve">the panel </w:t>
            </w:r>
            <w:r w:rsidRPr="0057020B">
              <w:t>after being considered through the panel process would only take effect if approved by the AER.  In deciding whether to approve</w:t>
            </w:r>
            <w:r w:rsidR="00826583">
              <w:t xml:space="preserve"> th</w:t>
            </w:r>
            <w:r w:rsidR="00080774">
              <w:t>e</w:t>
            </w:r>
            <w:r w:rsidR="00826583">
              <w:t xml:space="preserve"> </w:t>
            </w:r>
            <w:r w:rsidR="00080774">
              <w:t>change</w:t>
            </w:r>
            <w:r w:rsidRPr="0057020B">
              <w:t>, the AER would take into account any recommendation of the panel (but would not be bound by it)</w:t>
            </w:r>
            <w:r w:rsidR="00794258">
              <w:t xml:space="preserve"> and principles in the NGR</w:t>
            </w:r>
            <w:r w:rsidRPr="0057020B">
              <w:t>.</w:t>
            </w:r>
          </w:p>
        </w:tc>
      </w:tr>
    </w:tbl>
    <w:p w14:paraId="48AAA812" w14:textId="77777777" w:rsidR="004E791B" w:rsidRDefault="004E791B" w:rsidP="004E791B">
      <w:pPr>
        <w:pStyle w:val="Heading6"/>
        <w:spacing w:line="252" w:lineRule="auto"/>
        <w:rPr>
          <w:color w:val="0099CC"/>
        </w:rPr>
      </w:pPr>
      <w:r>
        <w:rPr>
          <w:color w:val="0099CC"/>
        </w:rPr>
        <w:lastRenderedPageBreak/>
        <w:t>GMRG’s preliminary view</w:t>
      </w:r>
    </w:p>
    <w:p w14:paraId="55FE8731" w14:textId="77777777" w:rsidR="00736189" w:rsidRPr="0057020B" w:rsidRDefault="004E791B" w:rsidP="00040AF7">
      <w:pPr>
        <w:pStyle w:val="BodyText"/>
        <w:spacing w:before="0"/>
      </w:pPr>
      <w:r>
        <w:t>T</w:t>
      </w:r>
      <w:r w:rsidR="00736189">
        <w:t>he GMRG</w:t>
      </w:r>
      <w:r>
        <w:t>’s preliminary view</w:t>
      </w:r>
      <w:r w:rsidR="00736189">
        <w:t xml:space="preserve"> </w:t>
      </w:r>
      <w:r>
        <w:t xml:space="preserve">was </w:t>
      </w:r>
      <w:r w:rsidR="00BB3689">
        <w:t xml:space="preserve">that the </w:t>
      </w:r>
      <w:r w:rsidR="007B4229">
        <w:t xml:space="preserve">Operational GTA Code </w:t>
      </w:r>
      <w:r w:rsidR="0057020B" w:rsidRPr="0057020B">
        <w:t>be published as a separate instrument</w:t>
      </w:r>
      <w:r w:rsidR="00040AF7">
        <w:t xml:space="preserve">, with the initial </w:t>
      </w:r>
      <w:r w:rsidR="0023441A">
        <w:t xml:space="preserve">Code made by the South Australian Minister </w:t>
      </w:r>
      <w:r w:rsidR="00736189" w:rsidRPr="0057020B">
        <w:t>at the same time the initial Rules are made</w:t>
      </w:r>
      <w:r w:rsidR="0023441A">
        <w:t xml:space="preserve">. The GMRG also </w:t>
      </w:r>
      <w:r w:rsidR="004421CD">
        <w:t xml:space="preserve">proposed </w:t>
      </w:r>
      <w:r w:rsidR="007546C6">
        <w:t xml:space="preserve">that future changes to the </w:t>
      </w:r>
      <w:r w:rsidR="0023441A">
        <w:t>Operational GTA Code</w:t>
      </w:r>
      <w:r w:rsidR="00794258">
        <w:t xml:space="preserve"> be subject to the hybrid governance</w:t>
      </w:r>
      <w:r w:rsidR="00040AF7">
        <w:t xml:space="preserve"> model set out in Table 4.</w:t>
      </w:r>
      <w:r w:rsidR="00D95543">
        <w:t>3</w:t>
      </w:r>
      <w:r w:rsidR="00040AF7">
        <w:t xml:space="preserve"> and that </w:t>
      </w:r>
      <w:bookmarkStart w:id="104" w:name="_Hlk498239459"/>
      <w:r w:rsidR="00040AF7">
        <w:t>any changes to the Operational GTA Code be dealt with as follows</w:t>
      </w:r>
      <w:r w:rsidR="00736189" w:rsidRPr="0057020B">
        <w:t>:</w:t>
      </w:r>
    </w:p>
    <w:p w14:paraId="209535AC" w14:textId="77777777" w:rsidR="00736189" w:rsidRPr="0057020B" w:rsidRDefault="003A18D3" w:rsidP="005B7093">
      <w:pPr>
        <w:pStyle w:val="ListBullet"/>
      </w:pPr>
      <w:r>
        <w:t>c</w:t>
      </w:r>
      <w:r w:rsidR="00040AF7">
        <w:t xml:space="preserve">hanges to </w:t>
      </w:r>
      <w:r w:rsidR="00794258">
        <w:t xml:space="preserve">the standard terms </w:t>
      </w:r>
      <w:r>
        <w:t xml:space="preserve">should, subject to any transitional arrangements that are put in place when the change is made, </w:t>
      </w:r>
      <w:r w:rsidR="00FD3D7E" w:rsidRPr="0057020B">
        <w:t xml:space="preserve">automatically apply to </w:t>
      </w:r>
      <w:r w:rsidR="00FF54CE">
        <w:t>o</w:t>
      </w:r>
      <w:r w:rsidR="00FD3D7E" w:rsidRPr="0057020B">
        <w:t xml:space="preserve">perational GTAs </w:t>
      </w:r>
      <w:r>
        <w:t xml:space="preserve">that are </w:t>
      </w:r>
      <w:r w:rsidR="00FD3D7E" w:rsidRPr="0057020B">
        <w:t xml:space="preserve">already in place and new </w:t>
      </w:r>
      <w:r w:rsidR="00FF54CE">
        <w:t>o</w:t>
      </w:r>
      <w:r w:rsidR="00FD3D7E" w:rsidRPr="0057020B">
        <w:t>perational GTAs</w:t>
      </w:r>
      <w:r>
        <w:t>; and</w:t>
      </w:r>
    </w:p>
    <w:p w14:paraId="1738DD48" w14:textId="77777777" w:rsidR="00FD3D7E" w:rsidRDefault="003A18D3" w:rsidP="005B7093">
      <w:pPr>
        <w:pStyle w:val="ListBullet"/>
      </w:pPr>
      <w:proofErr w:type="gramStart"/>
      <w:r>
        <w:t>c</w:t>
      </w:r>
      <w:r w:rsidR="00794258">
        <w:t>hanges</w:t>
      </w:r>
      <w:proofErr w:type="gramEnd"/>
      <w:r w:rsidR="00794258">
        <w:t xml:space="preserve"> </w:t>
      </w:r>
      <w:r w:rsidR="00FD3D7E">
        <w:t xml:space="preserve">to </w:t>
      </w:r>
      <w:r w:rsidR="00736189">
        <w:t xml:space="preserve">facility specific </w:t>
      </w:r>
      <w:r w:rsidR="00FD3D7E">
        <w:t xml:space="preserve">requirements </w:t>
      </w:r>
      <w:r>
        <w:t xml:space="preserve">should, subject to any transitional arrangements that are put in place when the change is made, </w:t>
      </w:r>
      <w:r w:rsidR="00FD3D7E" w:rsidRPr="0057020B">
        <w:t xml:space="preserve">automatically apply to </w:t>
      </w:r>
      <w:r w:rsidR="00FF54CE">
        <w:t>o</w:t>
      </w:r>
      <w:r w:rsidR="00FD3D7E" w:rsidRPr="0057020B">
        <w:t xml:space="preserve">perational GTAs </w:t>
      </w:r>
      <w:r>
        <w:t xml:space="preserve">that are </w:t>
      </w:r>
      <w:r w:rsidR="00FD3D7E" w:rsidRPr="0057020B">
        <w:t xml:space="preserve">already in place and new </w:t>
      </w:r>
      <w:r w:rsidR="00FF54CE">
        <w:t>o</w:t>
      </w:r>
      <w:r w:rsidR="00FD3D7E" w:rsidRPr="0057020B">
        <w:t>perational GTAs</w:t>
      </w:r>
      <w:r>
        <w:t>,</w:t>
      </w:r>
      <w:r w:rsidR="00794258">
        <w:t xml:space="preserve"> once the service provider has implemented the necessary changes</w:t>
      </w:r>
      <w:r w:rsidR="00FD3D7E" w:rsidRPr="0057020B">
        <w:t>.</w:t>
      </w:r>
    </w:p>
    <w:p w14:paraId="7B8DC5CE" w14:textId="77777777" w:rsidR="004E791B" w:rsidRDefault="004E791B" w:rsidP="004E791B">
      <w:pPr>
        <w:pStyle w:val="BodyText"/>
      </w:pPr>
      <w:r>
        <w:t xml:space="preserve">It was also noted in this context that if a service provider has to make changes to its </w:t>
      </w:r>
      <w:r w:rsidRPr="0057020B">
        <w:t>facility specific terms</w:t>
      </w:r>
      <w:r>
        <w:t xml:space="preserve">, then it should </w:t>
      </w:r>
      <w:r w:rsidRPr="0057020B">
        <w:t xml:space="preserve">be permitted to </w:t>
      </w:r>
      <w:r>
        <w:t>do so (</w:t>
      </w:r>
      <w:r w:rsidRPr="0057020B">
        <w:t xml:space="preserve">subject to the principles in the </w:t>
      </w:r>
      <w:r>
        <w:t xml:space="preserve">NGR </w:t>
      </w:r>
      <w:r w:rsidRPr="0057020B">
        <w:t>and reasonable transitional arrangements</w:t>
      </w:r>
      <w:r>
        <w:t xml:space="preserve">) and that these changes could </w:t>
      </w:r>
      <w:r w:rsidRPr="0057020B">
        <w:t xml:space="preserve">apply to </w:t>
      </w:r>
      <w:r>
        <w:t>o</w:t>
      </w:r>
      <w:r w:rsidRPr="0057020B">
        <w:t xml:space="preserve">perational GTAs already in place and new </w:t>
      </w:r>
      <w:r>
        <w:t>o</w:t>
      </w:r>
      <w:r w:rsidRPr="0057020B">
        <w:t xml:space="preserve">perational GTAs. </w:t>
      </w:r>
    </w:p>
    <w:bookmarkEnd w:id="104"/>
    <w:p w14:paraId="08EA67F3" w14:textId="77777777" w:rsidR="00FD3D7E" w:rsidRPr="00D1703E" w:rsidRDefault="00FD3D7E" w:rsidP="004E791B">
      <w:pPr>
        <w:pStyle w:val="Heading6"/>
        <w:spacing w:line="252" w:lineRule="auto"/>
        <w:rPr>
          <w:color w:val="0099CC"/>
        </w:rPr>
      </w:pPr>
      <w:r w:rsidRPr="001C1C57">
        <w:rPr>
          <w:color w:val="0099CC"/>
        </w:rPr>
        <w:t xml:space="preserve">Feedback provided </w:t>
      </w:r>
      <w:r w:rsidR="004E791B">
        <w:rPr>
          <w:color w:val="0099CC"/>
        </w:rPr>
        <w:t>through</w:t>
      </w:r>
      <w:r w:rsidRPr="001C1C57">
        <w:rPr>
          <w:color w:val="0099CC"/>
        </w:rPr>
        <w:t xml:space="preserve"> the consultation process</w:t>
      </w:r>
    </w:p>
    <w:p w14:paraId="23A28F59" w14:textId="77777777" w:rsidR="0096311D" w:rsidRDefault="003A18D3" w:rsidP="0096311D">
      <w:pPr>
        <w:tabs>
          <w:tab w:val="left" w:pos="2268"/>
          <w:tab w:val="left" w:pos="4536"/>
          <w:tab w:val="left" w:pos="6804"/>
          <w:tab w:val="right" w:pos="9638"/>
        </w:tabs>
        <w:spacing w:before="240" w:after="120"/>
      </w:pPr>
      <w:r>
        <w:t xml:space="preserve">The stakeholders that provided feedback on this issue agreed with </w:t>
      </w:r>
      <w:r w:rsidR="0096311D">
        <w:t>the proposal</w:t>
      </w:r>
      <w:r>
        <w:t xml:space="preserve"> to</w:t>
      </w:r>
      <w:r w:rsidR="0096311D">
        <w:t xml:space="preserve">: </w:t>
      </w:r>
    </w:p>
    <w:p w14:paraId="2E621A68" w14:textId="77777777" w:rsidR="0096311D" w:rsidRDefault="003A18D3" w:rsidP="0096311D">
      <w:pPr>
        <w:pStyle w:val="ListBullet"/>
      </w:pPr>
      <w:r>
        <w:t xml:space="preserve">publish </w:t>
      </w:r>
      <w:r w:rsidR="005B7093">
        <w:t>the Operational GTA Code as a separate instrument</w:t>
      </w:r>
      <w:r w:rsidR="0096311D">
        <w:t xml:space="preserve">; and </w:t>
      </w:r>
    </w:p>
    <w:p w14:paraId="049BCFCB" w14:textId="77777777" w:rsidR="005B7093" w:rsidRDefault="003A18D3" w:rsidP="00457FC4">
      <w:pPr>
        <w:pStyle w:val="ListBullet"/>
        <w:spacing w:after="240"/>
      </w:pPr>
      <w:proofErr w:type="gramStart"/>
      <w:r>
        <w:t>adopt</w:t>
      </w:r>
      <w:proofErr w:type="gramEnd"/>
      <w:r>
        <w:t xml:space="preserve"> </w:t>
      </w:r>
      <w:r w:rsidR="0096311D">
        <w:t>a hybrid governance model for the Operational GTA Code</w:t>
      </w:r>
      <w:r w:rsidR="001C1C57">
        <w:t xml:space="preserve">, with </w:t>
      </w:r>
      <w:r w:rsidR="0096311D">
        <w:t xml:space="preserve">an industry panel </w:t>
      </w:r>
      <w:r w:rsidR="001C1C57">
        <w:t xml:space="preserve">established to </w:t>
      </w:r>
      <w:r w:rsidR="00794258">
        <w:t>consider</w:t>
      </w:r>
      <w:r w:rsidR="001C1C57">
        <w:t xml:space="preserve"> </w:t>
      </w:r>
      <w:r w:rsidR="00794258">
        <w:t xml:space="preserve">and recommend </w:t>
      </w:r>
      <w:r w:rsidR="001C1C57">
        <w:t>changes to the Code</w:t>
      </w:r>
      <w:r w:rsidR="0096311D">
        <w:t xml:space="preserve"> and </w:t>
      </w:r>
      <w:r w:rsidR="00794258">
        <w:t xml:space="preserve">AEMO to provide secretariat services to the panel. </w:t>
      </w:r>
    </w:p>
    <w:p w14:paraId="687F4136" w14:textId="77777777" w:rsidR="005B7093" w:rsidRDefault="005B7093" w:rsidP="005B7093">
      <w:pPr>
        <w:pStyle w:val="ListBullet"/>
        <w:numPr>
          <w:ilvl w:val="0"/>
          <w:numId w:val="0"/>
        </w:numPr>
      </w:pPr>
      <w:r>
        <w:t>Mixed views were, however, expressed about which market body should be responsible for approving changes to the Operational GTA Code. For example:</w:t>
      </w:r>
    </w:p>
    <w:p w14:paraId="74F5A3BC" w14:textId="77777777" w:rsidR="001C1C57" w:rsidRDefault="001C1C57" w:rsidP="001C1C57">
      <w:pPr>
        <w:pStyle w:val="ListBullet"/>
      </w:pPr>
      <w:r>
        <w:t xml:space="preserve">Origin, AGL and </w:t>
      </w:r>
      <w:proofErr w:type="spellStart"/>
      <w:r>
        <w:t>EnergyAustralia</w:t>
      </w:r>
      <w:proofErr w:type="spellEnd"/>
      <w:r>
        <w:t xml:space="preserve"> agreed with the </w:t>
      </w:r>
      <w:r w:rsidR="00D95543">
        <w:t xml:space="preserve">GMRG’s preliminary view </w:t>
      </w:r>
      <w:r>
        <w:t>that the AER carry out this role, with Origin noting the AER seemed well placed to do so given its role in approving terms and conditions of access to covered pipelines</w:t>
      </w:r>
      <w:r w:rsidR="00890A15">
        <w:t>.</w:t>
      </w:r>
      <w:r>
        <w:t xml:space="preserve"> </w:t>
      </w:r>
    </w:p>
    <w:p w14:paraId="0E974B73" w14:textId="77777777" w:rsidR="005B7093" w:rsidRDefault="005B7093" w:rsidP="005B7093">
      <w:pPr>
        <w:pStyle w:val="ListBullet"/>
      </w:pPr>
      <w:r>
        <w:t xml:space="preserve">APGA, Jemena and Epic were of the view that this role should be carried out by the AEMC because </w:t>
      </w:r>
      <w:r w:rsidR="003A18D3">
        <w:t>in their view</w:t>
      </w:r>
      <w:r w:rsidR="001C1C57">
        <w:t xml:space="preserve"> </w:t>
      </w:r>
      <w:r>
        <w:t xml:space="preserve">it is closer to a rule making role than a regulation </w:t>
      </w:r>
      <w:r w:rsidR="003A18D3">
        <w:t xml:space="preserve">or </w:t>
      </w:r>
      <w:r>
        <w:t>compliance role</w:t>
      </w:r>
      <w:r w:rsidR="001C1C57">
        <w:t>.</w:t>
      </w:r>
    </w:p>
    <w:p w14:paraId="5D3640D5" w14:textId="77777777" w:rsidR="00890A15" w:rsidRDefault="00890A15" w:rsidP="00890A15">
      <w:pPr>
        <w:pStyle w:val="ListBullet"/>
        <w:numPr>
          <w:ilvl w:val="0"/>
          <w:numId w:val="0"/>
        </w:numPr>
      </w:pPr>
      <w:bookmarkStart w:id="105" w:name="_Hlk498239410"/>
      <w:r>
        <w:t>Mixed views were also expressed about how changes to the Operational GTA Code and facility specific terms should be given effect</w:t>
      </w:r>
      <w:r w:rsidR="00D95543">
        <w:t xml:space="preserve">. </w:t>
      </w:r>
      <w:r>
        <w:t xml:space="preserve">AGL, </w:t>
      </w:r>
      <w:proofErr w:type="spellStart"/>
      <w:r>
        <w:t>EnergyA</w:t>
      </w:r>
      <w:r w:rsidR="00D95543">
        <w:t>ustralia</w:t>
      </w:r>
      <w:proofErr w:type="spellEnd"/>
      <w:r w:rsidR="00D95543">
        <w:t xml:space="preserve"> and Epic, for example, agreed </w:t>
      </w:r>
      <w:r>
        <w:t xml:space="preserve">with the </w:t>
      </w:r>
      <w:r w:rsidR="00D95543">
        <w:t>GMRG’s preliminary view</w:t>
      </w:r>
      <w:r>
        <w:t xml:space="preserve">, while Jemena thought that this should be determined by the industry panel. APA, on the other hand, thought that changes to standard terms and facility specific terms should not automatically apply to contracts that have already been signed because it would undermine ‘contractual certainty’. APA added that if such changes made </w:t>
      </w:r>
      <w:r w:rsidR="00D95543">
        <w:t xml:space="preserve">amendments </w:t>
      </w:r>
      <w:r>
        <w:t xml:space="preserve">to the existing contracts necessary then the parties to the contract will be sufficiently incentivised to vary existing agreements bilaterally. </w:t>
      </w:r>
    </w:p>
    <w:bookmarkEnd w:id="105"/>
    <w:p w14:paraId="05622537" w14:textId="77777777" w:rsidR="00736189" w:rsidRPr="00D1703E" w:rsidRDefault="00736189" w:rsidP="00736189">
      <w:pPr>
        <w:pStyle w:val="Heading6"/>
        <w:rPr>
          <w:color w:val="0099CC"/>
        </w:rPr>
      </w:pPr>
      <w:r w:rsidRPr="00CC4C0F">
        <w:rPr>
          <w:color w:val="0099CC"/>
        </w:rPr>
        <w:lastRenderedPageBreak/>
        <w:t>GMRG’s final recommendations</w:t>
      </w:r>
      <w:r>
        <w:rPr>
          <w:color w:val="0099CC"/>
        </w:rPr>
        <w:t xml:space="preserve"> </w:t>
      </w:r>
    </w:p>
    <w:p w14:paraId="213A6FCC" w14:textId="77777777" w:rsidR="003A18D3" w:rsidRDefault="003A18D3" w:rsidP="000D474C">
      <w:pPr>
        <w:tabs>
          <w:tab w:val="left" w:pos="2268"/>
          <w:tab w:val="left" w:pos="4536"/>
          <w:tab w:val="left" w:pos="6804"/>
          <w:tab w:val="right" w:pos="9638"/>
        </w:tabs>
        <w:spacing w:before="240" w:after="120"/>
      </w:pPr>
      <w:r>
        <w:t xml:space="preserve">The GMRG has considered </w:t>
      </w:r>
      <w:r w:rsidR="007546C6">
        <w:t xml:space="preserve">the feedback provided by stakeholders </w:t>
      </w:r>
      <w:r>
        <w:t xml:space="preserve">on the governance arrangements for the Operational GTA Code and, in keeping with the position that was taken in the consultation paper, recommends that: </w:t>
      </w:r>
    </w:p>
    <w:p w14:paraId="59DF9D28" w14:textId="77777777" w:rsidR="003A18D3" w:rsidRDefault="003A18D3" w:rsidP="003A18D3">
      <w:pPr>
        <w:pStyle w:val="ListBullet"/>
      </w:pPr>
      <w:r>
        <w:t xml:space="preserve">the </w:t>
      </w:r>
      <w:r w:rsidR="004421CD">
        <w:t xml:space="preserve">Operational GTA Code </w:t>
      </w:r>
      <w:r w:rsidR="004421CD" w:rsidRPr="0057020B">
        <w:t>be published as a separate instrument</w:t>
      </w:r>
      <w:r>
        <w:t>; and</w:t>
      </w:r>
    </w:p>
    <w:p w14:paraId="729CDC46" w14:textId="77777777" w:rsidR="003A18D3" w:rsidRDefault="003A18D3" w:rsidP="003A18D3">
      <w:pPr>
        <w:pStyle w:val="ListBullet"/>
      </w:pPr>
      <w:proofErr w:type="gramStart"/>
      <w:r>
        <w:t>the</w:t>
      </w:r>
      <w:proofErr w:type="gramEnd"/>
      <w:r>
        <w:t xml:space="preserve"> </w:t>
      </w:r>
      <w:r w:rsidR="004421CD">
        <w:t xml:space="preserve">initial </w:t>
      </w:r>
      <w:r>
        <w:t xml:space="preserve">Operational GTA </w:t>
      </w:r>
      <w:r w:rsidR="004421CD">
        <w:t xml:space="preserve">Code </w:t>
      </w:r>
      <w:r w:rsidR="00794258">
        <w:t xml:space="preserve">be </w:t>
      </w:r>
      <w:r w:rsidR="004421CD">
        <w:t xml:space="preserve">made by the South Australian Minister </w:t>
      </w:r>
      <w:r w:rsidR="004421CD" w:rsidRPr="0057020B">
        <w:t>at the same time the initial Rules are made</w:t>
      </w:r>
      <w:r w:rsidR="00794258">
        <w:t>.</w:t>
      </w:r>
      <w:r w:rsidR="00CC4C0F">
        <w:t xml:space="preserve"> </w:t>
      </w:r>
    </w:p>
    <w:p w14:paraId="06BB53FB" w14:textId="77777777" w:rsidR="00CC4C0F" w:rsidRDefault="00CC4C0F" w:rsidP="000D474C">
      <w:pPr>
        <w:tabs>
          <w:tab w:val="left" w:pos="2268"/>
          <w:tab w:val="left" w:pos="4536"/>
          <w:tab w:val="left" w:pos="6804"/>
          <w:tab w:val="right" w:pos="9638"/>
        </w:tabs>
        <w:spacing w:before="240" w:after="120"/>
      </w:pPr>
      <w:r>
        <w:t xml:space="preserve">The way in which the Operational GTA Code will interact with other </w:t>
      </w:r>
      <w:r w:rsidR="003A18D3">
        <w:t xml:space="preserve">regulatory and contractual </w:t>
      </w:r>
      <w:r>
        <w:t xml:space="preserve">instruments is set out in </w:t>
      </w:r>
      <w:r>
        <w:fldChar w:fldCharType="begin"/>
      </w:r>
      <w:r>
        <w:instrText xml:space="preserve"> REF _Ref491756190 \h </w:instrText>
      </w:r>
      <w:r>
        <w:fldChar w:fldCharType="separate"/>
      </w:r>
      <w:r w:rsidR="00761861">
        <w:t xml:space="preserve">Table </w:t>
      </w:r>
      <w:r w:rsidR="00761861">
        <w:rPr>
          <w:noProof/>
        </w:rPr>
        <w:t>4</w:t>
      </w:r>
      <w:r w:rsidR="00761861">
        <w:t>.</w:t>
      </w:r>
      <w:r w:rsidR="00761861">
        <w:rPr>
          <w:noProof/>
        </w:rPr>
        <w:t>4</w:t>
      </w:r>
      <w:r>
        <w:fldChar w:fldCharType="end"/>
      </w:r>
      <w:r w:rsidRPr="0057020B">
        <w:t>.</w:t>
      </w:r>
    </w:p>
    <w:p w14:paraId="5B91830C" w14:textId="77777777" w:rsidR="000D474C" w:rsidRPr="0057020B" w:rsidRDefault="000D474C" w:rsidP="000D474C">
      <w:pPr>
        <w:pStyle w:val="Caption"/>
        <w:spacing w:after="0"/>
      </w:pPr>
      <w:bookmarkStart w:id="106" w:name="_Ref491756190"/>
      <w:r>
        <w:t xml:space="preserve">Table </w:t>
      </w:r>
      <w:r w:rsidR="00983431">
        <w:fldChar w:fldCharType="begin"/>
      </w:r>
      <w:r w:rsidR="00983431">
        <w:instrText xml:space="preserve"> STYLEREF 1 \s </w:instrText>
      </w:r>
      <w:r w:rsidR="00983431">
        <w:fldChar w:fldCharType="separate"/>
      </w:r>
      <w:r w:rsidR="00761861">
        <w:rPr>
          <w:noProof/>
        </w:rPr>
        <w:t>4</w:t>
      </w:r>
      <w:r w:rsidR="00983431">
        <w:rPr>
          <w:noProof/>
        </w:rPr>
        <w:fldChar w:fldCharType="end"/>
      </w:r>
      <w:r w:rsidR="00901056">
        <w:t>.</w:t>
      </w:r>
      <w:r w:rsidR="00983431">
        <w:fldChar w:fldCharType="begin"/>
      </w:r>
      <w:r w:rsidR="00983431">
        <w:instrText xml:space="preserve"> SEQ Table \* ARABIC \s 1 </w:instrText>
      </w:r>
      <w:r w:rsidR="00983431">
        <w:fldChar w:fldCharType="separate"/>
      </w:r>
      <w:r w:rsidR="00761861">
        <w:rPr>
          <w:noProof/>
        </w:rPr>
        <w:t>4</w:t>
      </w:r>
      <w:r w:rsidR="00983431">
        <w:rPr>
          <w:noProof/>
        </w:rPr>
        <w:fldChar w:fldCharType="end"/>
      </w:r>
      <w:bookmarkEnd w:id="106"/>
      <w:r>
        <w:t>: Interaction of instruments</w:t>
      </w:r>
    </w:p>
    <w:tbl>
      <w:tblPr>
        <w:tblStyle w:val="TableGrid"/>
        <w:tblW w:w="0" w:type="auto"/>
        <w:tblLook w:val="04A0" w:firstRow="1" w:lastRow="0" w:firstColumn="1" w:lastColumn="0" w:noHBand="0" w:noVBand="1"/>
        <w:tblCaption w:val="Table 4.4"/>
        <w:tblDescription w:val="Interaction of instruments"/>
      </w:tblPr>
      <w:tblGrid>
        <w:gridCol w:w="2552"/>
        <w:gridCol w:w="6236"/>
      </w:tblGrid>
      <w:tr w:rsidR="000D474C" w:rsidRPr="00080774" w14:paraId="471B38CC" w14:textId="77777777" w:rsidTr="009A1E7D">
        <w:trPr>
          <w:cnfStyle w:val="100000000000" w:firstRow="1" w:lastRow="0" w:firstColumn="0" w:lastColumn="0" w:oddVBand="0" w:evenVBand="0" w:oddHBand="0" w:evenHBand="0" w:firstRowFirstColumn="0" w:firstRowLastColumn="0" w:lastRowFirstColumn="0" w:lastRowLastColumn="0"/>
          <w:trHeight w:val="252"/>
          <w:tblHeader/>
        </w:trPr>
        <w:tc>
          <w:tcPr>
            <w:tcW w:w="2552" w:type="dxa"/>
            <w:shd w:val="clear" w:color="auto" w:fill="0099CC"/>
          </w:tcPr>
          <w:p w14:paraId="785D4C68" w14:textId="77777777" w:rsidR="000D474C" w:rsidRPr="00080774" w:rsidRDefault="000D474C" w:rsidP="00FF54CE">
            <w:pPr>
              <w:keepNext/>
              <w:tabs>
                <w:tab w:val="left" w:pos="2268"/>
                <w:tab w:val="left" w:pos="4536"/>
                <w:tab w:val="left" w:pos="6804"/>
                <w:tab w:val="right" w:pos="9638"/>
              </w:tabs>
              <w:spacing w:before="40" w:after="40"/>
              <w:rPr>
                <w:sz w:val="20"/>
                <w:szCs w:val="20"/>
              </w:rPr>
            </w:pPr>
            <w:r w:rsidRPr="00080774">
              <w:rPr>
                <w:sz w:val="20"/>
                <w:szCs w:val="20"/>
              </w:rPr>
              <w:t>Instrument</w:t>
            </w:r>
          </w:p>
        </w:tc>
        <w:tc>
          <w:tcPr>
            <w:tcW w:w="6236" w:type="dxa"/>
            <w:shd w:val="clear" w:color="auto" w:fill="0099CC"/>
          </w:tcPr>
          <w:p w14:paraId="2E4924F3" w14:textId="77777777" w:rsidR="000D474C" w:rsidRPr="00080774" w:rsidRDefault="000D474C" w:rsidP="00FF54CE">
            <w:pPr>
              <w:keepNext/>
              <w:tabs>
                <w:tab w:val="left" w:pos="2268"/>
                <w:tab w:val="left" w:pos="4536"/>
                <w:tab w:val="left" w:pos="6804"/>
                <w:tab w:val="right" w:pos="9638"/>
              </w:tabs>
              <w:spacing w:before="40" w:after="40"/>
              <w:rPr>
                <w:sz w:val="20"/>
                <w:szCs w:val="20"/>
              </w:rPr>
            </w:pPr>
            <w:r w:rsidRPr="00080774">
              <w:rPr>
                <w:sz w:val="20"/>
                <w:szCs w:val="20"/>
              </w:rPr>
              <w:t>Role</w:t>
            </w:r>
          </w:p>
        </w:tc>
      </w:tr>
      <w:tr w:rsidR="000D474C" w:rsidRPr="00080774" w14:paraId="3CAC6F81" w14:textId="77777777" w:rsidTr="00FF54CE">
        <w:tc>
          <w:tcPr>
            <w:tcW w:w="2552" w:type="dxa"/>
          </w:tcPr>
          <w:p w14:paraId="7A5EBEA0" w14:textId="77777777" w:rsidR="000D474C" w:rsidRPr="00080774" w:rsidRDefault="000D474C" w:rsidP="00FF54CE">
            <w:pPr>
              <w:keepNext/>
              <w:tabs>
                <w:tab w:val="left" w:pos="2268"/>
                <w:tab w:val="left" w:pos="4536"/>
                <w:tab w:val="left" w:pos="6804"/>
                <w:tab w:val="right" w:pos="9638"/>
              </w:tabs>
              <w:spacing w:before="40" w:after="40"/>
              <w:rPr>
                <w:sz w:val="20"/>
                <w:szCs w:val="20"/>
              </w:rPr>
            </w:pPr>
            <w:r w:rsidRPr="00080774">
              <w:rPr>
                <w:sz w:val="20"/>
                <w:szCs w:val="20"/>
              </w:rPr>
              <w:t>NGL</w:t>
            </w:r>
          </w:p>
        </w:tc>
        <w:tc>
          <w:tcPr>
            <w:tcW w:w="6236" w:type="dxa"/>
          </w:tcPr>
          <w:p w14:paraId="1FC3FC22" w14:textId="77777777" w:rsidR="000D474C" w:rsidRPr="00080774" w:rsidRDefault="000D474C" w:rsidP="00FF54CE">
            <w:pPr>
              <w:keepNext/>
              <w:tabs>
                <w:tab w:val="left" w:pos="2268"/>
                <w:tab w:val="left" w:pos="4536"/>
                <w:tab w:val="left" w:pos="6804"/>
                <w:tab w:val="right" w:pos="9638"/>
              </w:tabs>
              <w:spacing w:before="40" w:after="40"/>
              <w:rPr>
                <w:sz w:val="20"/>
                <w:szCs w:val="20"/>
              </w:rPr>
            </w:pPr>
            <w:r w:rsidRPr="00080774">
              <w:rPr>
                <w:sz w:val="20"/>
                <w:szCs w:val="20"/>
              </w:rPr>
              <w:t>Would contain high level legal framework for standardised terms.</w:t>
            </w:r>
          </w:p>
        </w:tc>
      </w:tr>
      <w:tr w:rsidR="000D474C" w:rsidRPr="00080774" w14:paraId="73682761" w14:textId="77777777" w:rsidTr="00FF54CE">
        <w:trPr>
          <w:cnfStyle w:val="000000010000" w:firstRow="0" w:lastRow="0" w:firstColumn="0" w:lastColumn="0" w:oddVBand="0" w:evenVBand="0" w:oddHBand="0" w:evenHBand="1" w:firstRowFirstColumn="0" w:firstRowLastColumn="0" w:lastRowFirstColumn="0" w:lastRowLastColumn="0"/>
        </w:trPr>
        <w:tc>
          <w:tcPr>
            <w:tcW w:w="2552" w:type="dxa"/>
          </w:tcPr>
          <w:p w14:paraId="3E3E88D2" w14:textId="77777777" w:rsidR="000D474C" w:rsidRPr="00080774" w:rsidRDefault="000D474C" w:rsidP="00FF54CE">
            <w:pPr>
              <w:keepNext/>
              <w:tabs>
                <w:tab w:val="left" w:pos="2268"/>
                <w:tab w:val="left" w:pos="4536"/>
                <w:tab w:val="left" w:pos="6804"/>
                <w:tab w:val="right" w:pos="9638"/>
              </w:tabs>
              <w:spacing w:before="40" w:after="40"/>
              <w:rPr>
                <w:sz w:val="20"/>
                <w:szCs w:val="20"/>
              </w:rPr>
            </w:pPr>
            <w:r w:rsidRPr="00080774">
              <w:rPr>
                <w:sz w:val="20"/>
                <w:szCs w:val="20"/>
              </w:rPr>
              <w:t>NGR</w:t>
            </w:r>
          </w:p>
        </w:tc>
        <w:tc>
          <w:tcPr>
            <w:tcW w:w="6236" w:type="dxa"/>
          </w:tcPr>
          <w:p w14:paraId="0013BBC8" w14:textId="77777777" w:rsidR="000D474C" w:rsidRPr="00080774" w:rsidRDefault="000D474C" w:rsidP="00FF54CE">
            <w:pPr>
              <w:keepNext/>
              <w:tabs>
                <w:tab w:val="left" w:pos="2268"/>
                <w:tab w:val="left" w:pos="4536"/>
                <w:tab w:val="left" w:pos="6804"/>
                <w:tab w:val="right" w:pos="9638"/>
              </w:tabs>
              <w:spacing w:before="40" w:after="40"/>
              <w:rPr>
                <w:sz w:val="20"/>
                <w:szCs w:val="20"/>
              </w:rPr>
            </w:pPr>
            <w:r w:rsidRPr="00080774">
              <w:rPr>
                <w:sz w:val="20"/>
                <w:szCs w:val="20"/>
              </w:rPr>
              <w:t xml:space="preserve">Would contain the detailed obligations to develop and offer standard terms, the principles for developing </w:t>
            </w:r>
            <w:r>
              <w:rPr>
                <w:sz w:val="20"/>
                <w:szCs w:val="20"/>
              </w:rPr>
              <w:t>the facility specific terms</w:t>
            </w:r>
            <w:r w:rsidRPr="00080774">
              <w:rPr>
                <w:sz w:val="20"/>
                <w:szCs w:val="20"/>
              </w:rPr>
              <w:t xml:space="preserve"> and define the mechanism for publishing and amending the </w:t>
            </w:r>
            <w:r>
              <w:rPr>
                <w:sz w:val="20"/>
                <w:szCs w:val="20"/>
              </w:rPr>
              <w:t>Operational GTA Code</w:t>
            </w:r>
            <w:r w:rsidRPr="00080774">
              <w:rPr>
                <w:sz w:val="20"/>
                <w:szCs w:val="20"/>
              </w:rPr>
              <w:t>.</w:t>
            </w:r>
          </w:p>
          <w:p w14:paraId="101792D1" w14:textId="77777777" w:rsidR="000D474C" w:rsidRPr="00080774" w:rsidRDefault="000D474C" w:rsidP="00FF54CE">
            <w:pPr>
              <w:keepNext/>
              <w:tabs>
                <w:tab w:val="left" w:pos="2268"/>
                <w:tab w:val="left" w:pos="4536"/>
                <w:tab w:val="left" w:pos="6804"/>
                <w:tab w:val="right" w:pos="9638"/>
              </w:tabs>
              <w:spacing w:before="40" w:after="40"/>
              <w:rPr>
                <w:sz w:val="20"/>
                <w:szCs w:val="20"/>
              </w:rPr>
            </w:pPr>
            <w:r w:rsidRPr="00080774">
              <w:rPr>
                <w:sz w:val="20"/>
                <w:szCs w:val="20"/>
              </w:rPr>
              <w:t>The AER would have its usual enforcement role and would also be responsible for issuing any exemptions under the NGR.</w:t>
            </w:r>
          </w:p>
        </w:tc>
      </w:tr>
      <w:tr w:rsidR="000D474C" w:rsidRPr="00080774" w14:paraId="07987678" w14:textId="77777777" w:rsidTr="00FF54CE">
        <w:tc>
          <w:tcPr>
            <w:tcW w:w="2552" w:type="dxa"/>
          </w:tcPr>
          <w:p w14:paraId="7DBB985C" w14:textId="77777777" w:rsidR="000D474C" w:rsidRPr="00DF0551" w:rsidRDefault="000D474C" w:rsidP="00FF54CE">
            <w:pPr>
              <w:keepNext/>
              <w:tabs>
                <w:tab w:val="left" w:pos="2268"/>
                <w:tab w:val="left" w:pos="4536"/>
                <w:tab w:val="left" w:pos="6804"/>
                <w:tab w:val="right" w:pos="9638"/>
              </w:tabs>
              <w:spacing w:before="40" w:after="40"/>
              <w:rPr>
                <w:sz w:val="20"/>
                <w:szCs w:val="20"/>
              </w:rPr>
            </w:pPr>
            <w:r w:rsidRPr="00080774">
              <w:rPr>
                <w:sz w:val="20"/>
                <w:szCs w:val="20"/>
              </w:rPr>
              <w:t xml:space="preserve">Operational GTA </w:t>
            </w:r>
            <w:r w:rsidRPr="00DF0551">
              <w:rPr>
                <w:sz w:val="20"/>
                <w:szCs w:val="20"/>
              </w:rPr>
              <w:t>instrument</w:t>
            </w:r>
          </w:p>
          <w:p w14:paraId="20D0ED3F" w14:textId="77777777" w:rsidR="000D474C" w:rsidRPr="00080774" w:rsidRDefault="000D474C" w:rsidP="00FF54CE">
            <w:pPr>
              <w:keepNext/>
              <w:tabs>
                <w:tab w:val="left" w:pos="2268"/>
                <w:tab w:val="left" w:pos="4536"/>
                <w:tab w:val="left" w:pos="6804"/>
                <w:tab w:val="right" w:pos="9638"/>
              </w:tabs>
              <w:spacing w:before="40" w:after="40"/>
              <w:rPr>
                <w:sz w:val="20"/>
                <w:szCs w:val="20"/>
              </w:rPr>
            </w:pPr>
            <w:r w:rsidRPr="00DF0551">
              <w:rPr>
                <w:sz w:val="20"/>
                <w:szCs w:val="20"/>
              </w:rPr>
              <w:t>(Operational GTA Code)</w:t>
            </w:r>
          </w:p>
        </w:tc>
        <w:tc>
          <w:tcPr>
            <w:tcW w:w="6236" w:type="dxa"/>
          </w:tcPr>
          <w:p w14:paraId="0A2A4C0D" w14:textId="77777777" w:rsidR="000D474C" w:rsidRPr="00080774" w:rsidRDefault="000D474C" w:rsidP="00FF54CE">
            <w:pPr>
              <w:keepNext/>
              <w:tabs>
                <w:tab w:val="left" w:pos="2268"/>
                <w:tab w:val="left" w:pos="4536"/>
                <w:tab w:val="left" w:pos="6804"/>
                <w:tab w:val="right" w:pos="9638"/>
              </w:tabs>
              <w:spacing w:before="40" w:after="40"/>
              <w:rPr>
                <w:sz w:val="20"/>
                <w:szCs w:val="20"/>
              </w:rPr>
            </w:pPr>
            <w:r w:rsidRPr="00080774">
              <w:rPr>
                <w:sz w:val="20"/>
                <w:szCs w:val="20"/>
              </w:rPr>
              <w:t xml:space="preserve">The instrument containing the standard terms and the requirements for </w:t>
            </w:r>
            <w:r>
              <w:rPr>
                <w:sz w:val="20"/>
                <w:szCs w:val="20"/>
              </w:rPr>
              <w:t>the facility specific terms</w:t>
            </w:r>
            <w:r w:rsidRPr="00080774">
              <w:rPr>
                <w:sz w:val="20"/>
                <w:szCs w:val="20"/>
              </w:rPr>
              <w:t xml:space="preserve"> and the form of agreement allowing these to be incorporated in a binding contract. </w:t>
            </w:r>
          </w:p>
          <w:p w14:paraId="13B4511D" w14:textId="77777777" w:rsidR="000D474C" w:rsidRPr="00080774" w:rsidRDefault="000D474C" w:rsidP="00FF54CE">
            <w:pPr>
              <w:keepNext/>
              <w:tabs>
                <w:tab w:val="left" w:pos="2268"/>
                <w:tab w:val="left" w:pos="4536"/>
                <w:tab w:val="left" w:pos="6804"/>
                <w:tab w:val="right" w:pos="9638"/>
              </w:tabs>
              <w:spacing w:before="40" w:after="40"/>
              <w:rPr>
                <w:sz w:val="20"/>
                <w:szCs w:val="20"/>
              </w:rPr>
            </w:pPr>
            <w:r w:rsidRPr="00080774">
              <w:rPr>
                <w:sz w:val="20"/>
                <w:szCs w:val="20"/>
              </w:rPr>
              <w:t>Does not form part of the NGR.</w:t>
            </w:r>
          </w:p>
        </w:tc>
      </w:tr>
      <w:tr w:rsidR="000D474C" w:rsidRPr="00080774" w14:paraId="0C0849D8" w14:textId="77777777" w:rsidTr="00FF54CE">
        <w:trPr>
          <w:cnfStyle w:val="000000010000" w:firstRow="0" w:lastRow="0" w:firstColumn="0" w:lastColumn="0" w:oddVBand="0" w:evenVBand="0" w:oddHBand="0" w:evenHBand="1" w:firstRowFirstColumn="0" w:firstRowLastColumn="0" w:lastRowFirstColumn="0" w:lastRowLastColumn="0"/>
        </w:trPr>
        <w:tc>
          <w:tcPr>
            <w:tcW w:w="2552" w:type="dxa"/>
          </w:tcPr>
          <w:p w14:paraId="7F057E28" w14:textId="77777777" w:rsidR="000D474C" w:rsidRPr="00080774" w:rsidRDefault="000D474C" w:rsidP="00FF54CE">
            <w:pPr>
              <w:keepNext/>
              <w:tabs>
                <w:tab w:val="left" w:pos="2268"/>
                <w:tab w:val="left" w:pos="4536"/>
                <w:tab w:val="left" w:pos="6804"/>
                <w:tab w:val="right" w:pos="9638"/>
              </w:tabs>
              <w:spacing w:before="40" w:after="40"/>
              <w:rPr>
                <w:sz w:val="20"/>
                <w:szCs w:val="20"/>
              </w:rPr>
            </w:pPr>
            <w:r w:rsidRPr="00080774">
              <w:rPr>
                <w:sz w:val="20"/>
                <w:szCs w:val="20"/>
              </w:rPr>
              <w:t xml:space="preserve">Service provider's standard offer for an operational GTA for each of its facilities </w:t>
            </w:r>
          </w:p>
        </w:tc>
        <w:tc>
          <w:tcPr>
            <w:tcW w:w="6236" w:type="dxa"/>
          </w:tcPr>
          <w:p w14:paraId="10C5B6F3" w14:textId="77777777" w:rsidR="000D474C" w:rsidRPr="00080774" w:rsidRDefault="000D474C" w:rsidP="00FF54CE">
            <w:pPr>
              <w:keepNext/>
              <w:tabs>
                <w:tab w:val="left" w:pos="2268"/>
                <w:tab w:val="left" w:pos="4536"/>
                <w:tab w:val="left" w:pos="6804"/>
                <w:tab w:val="right" w:pos="9638"/>
              </w:tabs>
              <w:spacing w:before="40" w:after="40"/>
              <w:rPr>
                <w:sz w:val="20"/>
                <w:szCs w:val="20"/>
              </w:rPr>
            </w:pPr>
            <w:r w:rsidRPr="00080774">
              <w:rPr>
                <w:sz w:val="20"/>
                <w:szCs w:val="20"/>
              </w:rPr>
              <w:t xml:space="preserve">Published by the service provider on its website, incorporating the standard terms and </w:t>
            </w:r>
            <w:r>
              <w:rPr>
                <w:sz w:val="20"/>
                <w:szCs w:val="20"/>
              </w:rPr>
              <w:t>facility specific terms</w:t>
            </w:r>
            <w:r w:rsidRPr="00080774">
              <w:rPr>
                <w:sz w:val="20"/>
                <w:szCs w:val="20"/>
              </w:rPr>
              <w:t xml:space="preserve"> developed by the service provider applying the principles in the NGR and the requirements for </w:t>
            </w:r>
            <w:r>
              <w:rPr>
                <w:sz w:val="20"/>
                <w:szCs w:val="20"/>
              </w:rPr>
              <w:t>facility specific terms</w:t>
            </w:r>
            <w:r w:rsidRPr="00080774">
              <w:rPr>
                <w:sz w:val="20"/>
                <w:szCs w:val="20"/>
              </w:rPr>
              <w:t xml:space="preserve"> in the Operational GTA Code.</w:t>
            </w:r>
          </w:p>
        </w:tc>
      </w:tr>
      <w:tr w:rsidR="000D474C" w:rsidRPr="00080774" w14:paraId="3923147E" w14:textId="77777777" w:rsidTr="00FF54CE">
        <w:tc>
          <w:tcPr>
            <w:tcW w:w="2552" w:type="dxa"/>
          </w:tcPr>
          <w:p w14:paraId="35059479" w14:textId="77777777" w:rsidR="000D474C" w:rsidRPr="00080774" w:rsidRDefault="000D474C" w:rsidP="00FF54CE">
            <w:pPr>
              <w:tabs>
                <w:tab w:val="left" w:pos="2268"/>
                <w:tab w:val="left" w:pos="4536"/>
                <w:tab w:val="left" w:pos="6804"/>
                <w:tab w:val="right" w:pos="9638"/>
              </w:tabs>
              <w:spacing w:before="40" w:after="40"/>
              <w:rPr>
                <w:sz w:val="20"/>
                <w:szCs w:val="20"/>
              </w:rPr>
            </w:pPr>
            <w:r w:rsidRPr="00080774">
              <w:rPr>
                <w:sz w:val="20"/>
                <w:szCs w:val="20"/>
              </w:rPr>
              <w:t>Operational GTA</w:t>
            </w:r>
          </w:p>
        </w:tc>
        <w:tc>
          <w:tcPr>
            <w:tcW w:w="6236" w:type="dxa"/>
          </w:tcPr>
          <w:p w14:paraId="321DB7DB" w14:textId="77777777" w:rsidR="000D474C" w:rsidRPr="00080774" w:rsidRDefault="000D474C" w:rsidP="00FF54CE">
            <w:pPr>
              <w:tabs>
                <w:tab w:val="left" w:pos="2268"/>
                <w:tab w:val="left" w:pos="4536"/>
                <w:tab w:val="left" w:pos="6804"/>
                <w:tab w:val="right" w:pos="9638"/>
              </w:tabs>
              <w:spacing w:before="40" w:after="40"/>
              <w:rPr>
                <w:sz w:val="20"/>
                <w:szCs w:val="20"/>
              </w:rPr>
            </w:pPr>
            <w:r w:rsidRPr="00080774">
              <w:rPr>
                <w:sz w:val="20"/>
                <w:szCs w:val="20"/>
              </w:rPr>
              <w:t xml:space="preserve">Refers to the contractually binding agreement between a service provider and a secondary shipper formed when the shipper accepts the service provider's standard offer for an operational GTA.  </w:t>
            </w:r>
          </w:p>
        </w:tc>
      </w:tr>
    </w:tbl>
    <w:p w14:paraId="11D5E7A3" w14:textId="77777777" w:rsidR="004421CD" w:rsidRDefault="000D474C" w:rsidP="000D474C">
      <w:pPr>
        <w:tabs>
          <w:tab w:val="left" w:pos="2268"/>
          <w:tab w:val="left" w:pos="4536"/>
          <w:tab w:val="left" w:pos="6804"/>
          <w:tab w:val="right" w:pos="9638"/>
        </w:tabs>
        <w:spacing w:before="240" w:after="120"/>
      </w:pPr>
      <w:r>
        <w:t xml:space="preserve">The GMRG also recommends </w:t>
      </w:r>
      <w:r w:rsidR="00CB223A">
        <w:t xml:space="preserve">the adoption of a hybrid governance model to deal with </w:t>
      </w:r>
      <w:r>
        <w:t>f</w:t>
      </w:r>
      <w:r w:rsidR="00794258">
        <w:t>uture changes to the Operational GTA Code</w:t>
      </w:r>
      <w:r w:rsidR="00CB223A">
        <w:t>, which will require</w:t>
      </w:r>
      <w:r w:rsidR="002B706F">
        <w:t>:</w:t>
      </w:r>
    </w:p>
    <w:p w14:paraId="56242517" w14:textId="77777777" w:rsidR="00CB223A" w:rsidRDefault="00CB223A" w:rsidP="000D474C">
      <w:pPr>
        <w:pStyle w:val="ListBullet"/>
      </w:pPr>
      <w:r>
        <w:t>A</w:t>
      </w:r>
      <w:r w:rsidR="00794258" w:rsidRPr="00794258">
        <w:t xml:space="preserve">n </w:t>
      </w:r>
      <w:r w:rsidR="00794258" w:rsidRPr="00794258">
        <w:rPr>
          <w:bCs/>
        </w:rPr>
        <w:t xml:space="preserve">industry panel </w:t>
      </w:r>
      <w:r w:rsidR="00794258" w:rsidRPr="00794258">
        <w:t xml:space="preserve">to be </w:t>
      </w:r>
      <w:r>
        <w:t xml:space="preserve">formally constituted by AEMO </w:t>
      </w:r>
      <w:r w:rsidR="00794258" w:rsidRPr="00794258">
        <w:t xml:space="preserve">and accorded responsibility for considering </w:t>
      </w:r>
      <w:r>
        <w:t xml:space="preserve">any proposed changes </w:t>
      </w:r>
      <w:r w:rsidR="000D474C">
        <w:t>to the Operational GTA Code</w:t>
      </w:r>
      <w:r>
        <w:t xml:space="preserve"> and making recommendations to the AER on: </w:t>
      </w:r>
    </w:p>
    <w:p w14:paraId="43AFCB22" w14:textId="77777777" w:rsidR="00CB223A" w:rsidRDefault="00CB223A" w:rsidP="00CB223A">
      <w:pPr>
        <w:pStyle w:val="ListBullet2"/>
      </w:pPr>
      <w:r>
        <w:t xml:space="preserve">whether the proposed changes should be accepted, rejected or accepted in a modified form; and </w:t>
      </w:r>
    </w:p>
    <w:p w14:paraId="4A10A0C8" w14:textId="77777777" w:rsidR="00794258" w:rsidRDefault="00CB223A" w:rsidP="00CB223A">
      <w:pPr>
        <w:pStyle w:val="ListBullet2"/>
      </w:pPr>
      <w:proofErr w:type="gramStart"/>
      <w:r>
        <w:t>any</w:t>
      </w:r>
      <w:proofErr w:type="gramEnd"/>
      <w:r>
        <w:t xml:space="preserve"> transitional arrangements that may be required when implementing the changes.</w:t>
      </w:r>
    </w:p>
    <w:p w14:paraId="7AF4F2CB" w14:textId="77777777" w:rsidR="00CB223A" w:rsidRPr="00794258" w:rsidRDefault="00CB223A" w:rsidP="00CB223A">
      <w:pPr>
        <w:pStyle w:val="ListBullet2"/>
        <w:numPr>
          <w:ilvl w:val="0"/>
          <w:numId w:val="0"/>
        </w:numPr>
        <w:ind w:left="357"/>
      </w:pPr>
      <w:r>
        <w:t xml:space="preserve">The requirement to establish the panel </w:t>
      </w:r>
      <w:r w:rsidRPr="0057020B">
        <w:t xml:space="preserve">and its membership </w:t>
      </w:r>
      <w:r>
        <w:t xml:space="preserve">will </w:t>
      </w:r>
      <w:r w:rsidRPr="0057020B">
        <w:t>be specified in the NGR</w:t>
      </w:r>
      <w:r>
        <w:t>.</w:t>
      </w:r>
    </w:p>
    <w:p w14:paraId="2213434B" w14:textId="77777777" w:rsidR="00794258" w:rsidRPr="00794258" w:rsidRDefault="00794258" w:rsidP="000D474C">
      <w:pPr>
        <w:pStyle w:val="ListBullet"/>
      </w:pPr>
      <w:r w:rsidRPr="00794258">
        <w:rPr>
          <w:bCs/>
        </w:rPr>
        <w:t xml:space="preserve">AEMO </w:t>
      </w:r>
      <w:r w:rsidRPr="00794258">
        <w:t xml:space="preserve">to provide secretariat services to the </w:t>
      </w:r>
      <w:r w:rsidR="00CB223A">
        <w:t xml:space="preserve">industry </w:t>
      </w:r>
      <w:r w:rsidRPr="00794258">
        <w:t>panel, including running consultation processes and requesting any specific input or analysis from the AEMC</w:t>
      </w:r>
      <w:r w:rsidR="000D474C">
        <w:t xml:space="preserve"> on market development issues if the industry panel </w:t>
      </w:r>
      <w:r w:rsidR="00D95543">
        <w:t xml:space="preserve">believes </w:t>
      </w:r>
      <w:r w:rsidR="000D474C">
        <w:t xml:space="preserve">it </w:t>
      </w:r>
      <w:r w:rsidR="00D95543">
        <w:t xml:space="preserve">is </w:t>
      </w:r>
      <w:r w:rsidR="000D474C">
        <w:t>relevant to do so</w:t>
      </w:r>
      <w:r w:rsidR="00D95543">
        <w:t>.</w:t>
      </w:r>
    </w:p>
    <w:p w14:paraId="58095D4D" w14:textId="77777777" w:rsidR="00794258" w:rsidRDefault="00CB223A" w:rsidP="00FF54CE">
      <w:pPr>
        <w:pStyle w:val="ListBullet"/>
      </w:pPr>
      <w:r>
        <w:lastRenderedPageBreak/>
        <w:t>T</w:t>
      </w:r>
      <w:r w:rsidR="00794258" w:rsidRPr="00794258">
        <w:t xml:space="preserve">he </w:t>
      </w:r>
      <w:r>
        <w:t xml:space="preserve">AER to decide whether or not to approve changes to the Operational GTA Code and, in doing so, to have regard to the industry panel’s </w:t>
      </w:r>
      <w:r w:rsidR="00794258" w:rsidRPr="0057020B">
        <w:t>recommendation (but not be bound by it)</w:t>
      </w:r>
      <w:r w:rsidR="00794258">
        <w:t xml:space="preserve"> and principles specified in the NGR</w:t>
      </w:r>
      <w:r w:rsidR="00794258" w:rsidRPr="0057020B">
        <w:t xml:space="preserve">.  </w:t>
      </w:r>
      <w:r w:rsidR="00794258">
        <w:t xml:space="preserve">The AER would also have the power to </w:t>
      </w:r>
      <w:r w:rsidR="00794258" w:rsidRPr="0057020B">
        <w:t xml:space="preserve">remit a matter to the </w:t>
      </w:r>
      <w:r w:rsidR="00794258">
        <w:t xml:space="preserve">industry </w:t>
      </w:r>
      <w:r w:rsidR="00794258" w:rsidRPr="0057020B">
        <w:t>panel for further consideration.</w:t>
      </w:r>
      <w:r w:rsidR="00794258">
        <w:t xml:space="preserve"> </w:t>
      </w:r>
    </w:p>
    <w:p w14:paraId="7A4D30A1" w14:textId="77777777" w:rsidR="00457FC4" w:rsidRDefault="00457FC4" w:rsidP="00457FC4">
      <w:pPr>
        <w:tabs>
          <w:tab w:val="left" w:pos="2268"/>
          <w:tab w:val="left" w:pos="4536"/>
          <w:tab w:val="left" w:pos="6804"/>
          <w:tab w:val="right" w:pos="9638"/>
        </w:tabs>
        <w:spacing w:before="240" w:after="120"/>
      </w:pPr>
      <w:r w:rsidRPr="0057020B">
        <w:t xml:space="preserve">The </w:t>
      </w:r>
      <w:r>
        <w:t xml:space="preserve">main benefits of this hybrid governance </w:t>
      </w:r>
      <w:r w:rsidRPr="0057020B">
        <w:t xml:space="preserve">model </w:t>
      </w:r>
      <w:r>
        <w:t xml:space="preserve">are that it will: </w:t>
      </w:r>
    </w:p>
    <w:p w14:paraId="7E4F92A3" w14:textId="77777777" w:rsidR="00457FC4" w:rsidRDefault="00457FC4" w:rsidP="00457FC4">
      <w:pPr>
        <w:pStyle w:val="ListBullet"/>
      </w:pPr>
      <w:r>
        <w:t xml:space="preserve">draw on industry expertise through the establishment of a panel that will consist of industry representatives across the gas supply chain; </w:t>
      </w:r>
    </w:p>
    <w:p w14:paraId="4DB964AF" w14:textId="77777777" w:rsidR="00457FC4" w:rsidRDefault="00457FC4" w:rsidP="00457FC4">
      <w:pPr>
        <w:pStyle w:val="ListBullet"/>
      </w:pPr>
      <w:r>
        <w:t xml:space="preserve">enable the change process for the Operational GTA Code to be run in parallel </w:t>
      </w:r>
      <w:r w:rsidRPr="0057020B">
        <w:t xml:space="preserve">with any related changes to the </w:t>
      </w:r>
      <w:r>
        <w:t xml:space="preserve">capacity </w:t>
      </w:r>
      <w:r w:rsidRPr="0057020B">
        <w:t xml:space="preserve">trading platform, </w:t>
      </w:r>
      <w:r>
        <w:t xml:space="preserve">day-ahead </w:t>
      </w:r>
      <w:r w:rsidRPr="0057020B">
        <w:t>auction rules and related procedures</w:t>
      </w:r>
      <w:r>
        <w:t xml:space="preserve"> through the involvement of AEMO; and</w:t>
      </w:r>
    </w:p>
    <w:p w14:paraId="5C5875F3" w14:textId="77777777" w:rsidR="00457FC4" w:rsidRDefault="00457FC4" w:rsidP="00457FC4">
      <w:pPr>
        <w:pStyle w:val="ListBullet"/>
      </w:pPr>
      <w:proofErr w:type="gramStart"/>
      <w:r w:rsidRPr="0057020B">
        <w:t>provide</w:t>
      </w:r>
      <w:proofErr w:type="gramEnd"/>
      <w:r w:rsidRPr="0057020B">
        <w:t xml:space="preserve"> independent oversight of changes through the </w:t>
      </w:r>
      <w:r>
        <w:t xml:space="preserve">involvement of the AER. </w:t>
      </w:r>
    </w:p>
    <w:p w14:paraId="48B1C617" w14:textId="77777777" w:rsidR="00056B3B" w:rsidRDefault="00457FC4" w:rsidP="00457FC4">
      <w:pPr>
        <w:tabs>
          <w:tab w:val="left" w:pos="2268"/>
          <w:tab w:val="left" w:pos="4536"/>
          <w:tab w:val="left" w:pos="6804"/>
          <w:tab w:val="right" w:pos="9638"/>
        </w:tabs>
        <w:spacing w:before="240" w:after="120"/>
      </w:pPr>
      <w:r w:rsidRPr="0057020B">
        <w:t xml:space="preserve">In the GMRG’s view, </w:t>
      </w:r>
      <w:r>
        <w:t xml:space="preserve">independent </w:t>
      </w:r>
      <w:r w:rsidRPr="0057020B">
        <w:t xml:space="preserve">oversight is required given the mandatory nature of the </w:t>
      </w:r>
      <w:r>
        <w:t>O</w:t>
      </w:r>
      <w:r w:rsidRPr="0057020B">
        <w:t xml:space="preserve">perational GTA </w:t>
      </w:r>
      <w:r>
        <w:t>Code</w:t>
      </w:r>
      <w:r w:rsidRPr="0057020B">
        <w:t xml:space="preserve">.  </w:t>
      </w:r>
      <w:r w:rsidR="00D95543">
        <w:t>As highlighted i</w:t>
      </w:r>
      <w:r w:rsidR="00056B3B">
        <w:t xml:space="preserve">n the consultation paper, the GMRG </w:t>
      </w:r>
      <w:r w:rsidR="00D95543">
        <w:t xml:space="preserve">considered </w:t>
      </w:r>
      <w:r w:rsidR="00056B3B">
        <w:t>which market body should take on this role and concluded that the AER was the most appropriate body to take on this role because:</w:t>
      </w:r>
    </w:p>
    <w:p w14:paraId="67093FE3" w14:textId="77777777" w:rsidR="00457FC4" w:rsidRDefault="00457FC4" w:rsidP="00457FC4">
      <w:pPr>
        <w:pStyle w:val="ListBullet"/>
      </w:pPr>
      <w:r w:rsidRPr="0057020B">
        <w:t>it is consistent with the AER’s current role in relation to approving the terms and conditions of access to covered pipelines</w:t>
      </w:r>
      <w:r>
        <w:t>;</w:t>
      </w:r>
    </w:p>
    <w:p w14:paraId="68E4D801" w14:textId="77777777" w:rsidR="00056B3B" w:rsidRDefault="00056B3B" w:rsidP="00056B3B">
      <w:pPr>
        <w:pStyle w:val="ListBullet"/>
      </w:pPr>
      <w:r w:rsidRPr="0057020B">
        <w:t xml:space="preserve">AEMO may not be regarded as sufficiently independent to provide that oversight since it is also the operator of the </w:t>
      </w:r>
      <w:r>
        <w:t xml:space="preserve">capacity </w:t>
      </w:r>
      <w:r w:rsidRPr="0057020B">
        <w:t xml:space="preserve">trading </w:t>
      </w:r>
      <w:r>
        <w:t xml:space="preserve">platform </w:t>
      </w:r>
      <w:r w:rsidRPr="0057020B">
        <w:t xml:space="preserve">and </w:t>
      </w:r>
      <w:r>
        <w:t xml:space="preserve">day-ahead </w:t>
      </w:r>
      <w:r w:rsidRPr="0057020B">
        <w:t>auction</w:t>
      </w:r>
      <w:r>
        <w:t>; and</w:t>
      </w:r>
    </w:p>
    <w:p w14:paraId="2E3F97D3" w14:textId="77777777" w:rsidR="00457FC4" w:rsidRPr="0057020B" w:rsidRDefault="00056B3B" w:rsidP="00457FC4">
      <w:pPr>
        <w:pStyle w:val="ListBullet"/>
      </w:pPr>
      <w:proofErr w:type="gramStart"/>
      <w:r>
        <w:t>the</w:t>
      </w:r>
      <w:proofErr w:type="gramEnd"/>
      <w:r w:rsidR="00457FC4">
        <w:t xml:space="preserve"> role may be perceived as a conflict of interest for the AEMC </w:t>
      </w:r>
      <w:r>
        <w:t xml:space="preserve">because it </w:t>
      </w:r>
      <w:r w:rsidR="00457FC4">
        <w:t>would be both rule maker and regulator.</w:t>
      </w:r>
    </w:p>
    <w:p w14:paraId="58B03DFC" w14:textId="77777777" w:rsidR="00056B3B" w:rsidRDefault="00056B3B" w:rsidP="000D474C">
      <w:pPr>
        <w:pStyle w:val="BodyText"/>
      </w:pPr>
      <w:r>
        <w:t>While APGA, Epic and Jemena have suggested the role is more akin to a rule making function than a regulatory function, the GMRG is not convinced that this is the case and notes that if the AEMC was accorded this role then:</w:t>
      </w:r>
    </w:p>
    <w:p w14:paraId="7C46DF8F" w14:textId="77777777" w:rsidR="00CC4C0F" w:rsidRDefault="00CC4C0F" w:rsidP="00CC4C0F">
      <w:pPr>
        <w:pStyle w:val="ListBullet"/>
      </w:pPr>
      <w:r>
        <w:t xml:space="preserve">it would </w:t>
      </w:r>
      <w:r w:rsidR="00056B3B">
        <w:t xml:space="preserve">be able to determine the principles to be considered when assessing changes to the Operational GTA </w:t>
      </w:r>
      <w:r>
        <w:t xml:space="preserve">Code through its rule making function; </w:t>
      </w:r>
      <w:r w:rsidR="00056B3B">
        <w:t xml:space="preserve">and </w:t>
      </w:r>
    </w:p>
    <w:p w14:paraId="45FB6A2F" w14:textId="77777777" w:rsidR="00457FC4" w:rsidRDefault="00CC4C0F" w:rsidP="00CC4C0F">
      <w:pPr>
        <w:pStyle w:val="ListBullet"/>
      </w:pPr>
      <w:proofErr w:type="gramStart"/>
      <w:r>
        <w:t>it</w:t>
      </w:r>
      <w:proofErr w:type="gramEnd"/>
      <w:r>
        <w:t xml:space="preserve"> would be </w:t>
      </w:r>
      <w:r w:rsidR="00056B3B">
        <w:t>required to apply these rules</w:t>
      </w:r>
      <w:r>
        <w:t xml:space="preserve"> in any assessment of the proposed changes to the Operational GTA Code</w:t>
      </w:r>
      <w:r w:rsidR="00056B3B">
        <w:t xml:space="preserve">. </w:t>
      </w:r>
    </w:p>
    <w:p w14:paraId="59256304" w14:textId="77777777" w:rsidR="00457FC4" w:rsidRDefault="00CC4C0F" w:rsidP="00CC4C0F">
      <w:pPr>
        <w:pStyle w:val="BodyText"/>
        <w:rPr>
          <w:rFonts w:asciiTheme="majorHAnsi" w:hAnsiTheme="majorHAnsi" w:cstheme="majorHAnsi"/>
        </w:rPr>
      </w:pPr>
      <w:r w:rsidRPr="00CC4C0F">
        <w:rPr>
          <w:rFonts w:asciiTheme="majorHAnsi" w:hAnsiTheme="majorHAnsi" w:cstheme="majorHAnsi"/>
        </w:rPr>
        <w:t xml:space="preserve">In the GMRG’s view, this </w:t>
      </w:r>
      <w:r w:rsidR="00CB223A">
        <w:rPr>
          <w:rFonts w:asciiTheme="majorHAnsi" w:hAnsiTheme="majorHAnsi" w:cstheme="majorHAnsi"/>
        </w:rPr>
        <w:t>could</w:t>
      </w:r>
      <w:r w:rsidRPr="00CC4C0F">
        <w:rPr>
          <w:rFonts w:asciiTheme="majorHAnsi" w:hAnsiTheme="majorHAnsi" w:cstheme="majorHAnsi"/>
        </w:rPr>
        <w:t xml:space="preserve"> be </w:t>
      </w:r>
      <w:r w:rsidR="00CB223A">
        <w:rPr>
          <w:rFonts w:asciiTheme="majorHAnsi" w:hAnsiTheme="majorHAnsi" w:cstheme="majorHAnsi"/>
        </w:rPr>
        <w:t xml:space="preserve">viewed as </w:t>
      </w:r>
      <w:r w:rsidRPr="00CC4C0F">
        <w:rPr>
          <w:rFonts w:asciiTheme="majorHAnsi" w:hAnsiTheme="majorHAnsi" w:cstheme="majorHAnsi"/>
        </w:rPr>
        <w:t xml:space="preserve">a conflict of interest. The GMRG is therefore recommending that the </w:t>
      </w:r>
      <w:r w:rsidR="00457FC4" w:rsidRPr="00CC4C0F">
        <w:rPr>
          <w:rFonts w:asciiTheme="majorHAnsi" w:hAnsiTheme="majorHAnsi" w:cstheme="majorHAnsi"/>
        </w:rPr>
        <w:t xml:space="preserve">AER </w:t>
      </w:r>
      <w:r>
        <w:rPr>
          <w:rFonts w:asciiTheme="majorHAnsi" w:hAnsiTheme="majorHAnsi" w:cstheme="majorHAnsi"/>
        </w:rPr>
        <w:t>be accorded</w:t>
      </w:r>
      <w:r w:rsidR="00457FC4" w:rsidRPr="00CC4C0F">
        <w:rPr>
          <w:rFonts w:asciiTheme="majorHAnsi" w:hAnsiTheme="majorHAnsi" w:cstheme="majorHAnsi"/>
        </w:rPr>
        <w:t xml:space="preserve"> this role</w:t>
      </w:r>
      <w:r>
        <w:rPr>
          <w:rFonts w:asciiTheme="majorHAnsi" w:hAnsiTheme="majorHAnsi" w:cstheme="majorHAnsi"/>
        </w:rPr>
        <w:t>.</w:t>
      </w:r>
    </w:p>
    <w:p w14:paraId="0A547768" w14:textId="77777777" w:rsidR="000D474C" w:rsidRDefault="000D474C" w:rsidP="000D474C">
      <w:pPr>
        <w:pStyle w:val="BodyText"/>
      </w:pPr>
      <w:r>
        <w:rPr>
          <w:rFonts w:asciiTheme="majorHAnsi" w:hAnsiTheme="majorHAnsi" w:cstheme="majorHAnsi"/>
        </w:rPr>
        <w:t xml:space="preserve">As to how changes to the Operational GTA Code will be given effect, the GMRG </w:t>
      </w:r>
      <w:r w:rsidR="00087FC5">
        <w:rPr>
          <w:rFonts w:asciiTheme="majorHAnsi" w:hAnsiTheme="majorHAnsi" w:cstheme="majorHAnsi"/>
        </w:rPr>
        <w:t>recommends that</w:t>
      </w:r>
      <w:r>
        <w:t>:</w:t>
      </w:r>
    </w:p>
    <w:p w14:paraId="65759A49" w14:textId="77777777" w:rsidR="00087FC5" w:rsidRDefault="000D474C" w:rsidP="00087FC5">
      <w:pPr>
        <w:pStyle w:val="ListBullet"/>
      </w:pPr>
      <w:r w:rsidRPr="0057020B">
        <w:t xml:space="preserve">changes </w:t>
      </w:r>
      <w:r>
        <w:t>to the standard terms</w:t>
      </w:r>
      <w:r w:rsidR="00087FC5">
        <w:t xml:space="preserve"> </w:t>
      </w:r>
      <w:r w:rsidRPr="0057020B">
        <w:t xml:space="preserve">automatically apply </w:t>
      </w:r>
      <w:r w:rsidR="00FF54CE">
        <w:t>to o</w:t>
      </w:r>
      <w:r w:rsidRPr="0057020B">
        <w:t xml:space="preserve">perational GTAs </w:t>
      </w:r>
      <w:r>
        <w:t xml:space="preserve">that are </w:t>
      </w:r>
      <w:r w:rsidRPr="0057020B">
        <w:t xml:space="preserve">in place and new </w:t>
      </w:r>
      <w:r w:rsidR="00FF54CE">
        <w:t>o</w:t>
      </w:r>
      <w:r w:rsidRPr="0057020B">
        <w:t xml:space="preserve">perational GTAs, subject to any transitional arrangements </w:t>
      </w:r>
      <w:r w:rsidR="00087FC5">
        <w:t xml:space="preserve">that are </w:t>
      </w:r>
      <w:r w:rsidRPr="0057020B">
        <w:t>put in place</w:t>
      </w:r>
      <w:r w:rsidR="00087FC5">
        <w:t xml:space="preserve">, which the industry panel would be expected to </w:t>
      </w:r>
      <w:r w:rsidR="007B16C9">
        <w:t xml:space="preserve">advise the </w:t>
      </w:r>
      <w:r w:rsidR="00087FC5">
        <w:t xml:space="preserve">AER </w:t>
      </w:r>
      <w:r w:rsidR="007B16C9">
        <w:t>on</w:t>
      </w:r>
      <w:r w:rsidR="00087FC5">
        <w:t>; and</w:t>
      </w:r>
    </w:p>
    <w:p w14:paraId="6BACC3A0" w14:textId="77777777" w:rsidR="00087FC5" w:rsidRPr="0057020B" w:rsidRDefault="000D474C" w:rsidP="00087FC5">
      <w:pPr>
        <w:pStyle w:val="ListBullet"/>
      </w:pPr>
      <w:proofErr w:type="gramStart"/>
      <w:r>
        <w:t>c</w:t>
      </w:r>
      <w:r w:rsidRPr="0057020B">
        <w:t>hanges</w:t>
      </w:r>
      <w:proofErr w:type="gramEnd"/>
      <w:r w:rsidRPr="0057020B">
        <w:t xml:space="preserve"> </w:t>
      </w:r>
      <w:r>
        <w:t>to the facility specific requirements</w:t>
      </w:r>
      <w:r w:rsidR="00087FC5">
        <w:t xml:space="preserve"> automatically </w:t>
      </w:r>
      <w:r w:rsidR="00087FC5" w:rsidRPr="0057020B">
        <w:t xml:space="preserve">apply to </w:t>
      </w:r>
      <w:r w:rsidR="00FF54CE">
        <w:t>o</w:t>
      </w:r>
      <w:r w:rsidR="00087FC5" w:rsidRPr="0057020B">
        <w:t xml:space="preserve">perational GTAs </w:t>
      </w:r>
      <w:r w:rsidR="00087FC5">
        <w:t xml:space="preserve">that are </w:t>
      </w:r>
      <w:r w:rsidR="00087FC5" w:rsidRPr="0057020B">
        <w:t xml:space="preserve">in place and new </w:t>
      </w:r>
      <w:r w:rsidR="00FF54CE">
        <w:t>o</w:t>
      </w:r>
      <w:r w:rsidR="00087FC5" w:rsidRPr="0057020B">
        <w:t>perational GTAs</w:t>
      </w:r>
      <w:r w:rsidR="00087FC5">
        <w:t xml:space="preserve"> once the service provider has implemented the necessary changes</w:t>
      </w:r>
      <w:r w:rsidR="00087FC5" w:rsidRPr="0057020B">
        <w:t>, subject to any transitional arrangements</w:t>
      </w:r>
      <w:r w:rsidR="00087FC5">
        <w:t xml:space="preserve"> that are put in place</w:t>
      </w:r>
      <w:r w:rsidR="00993A3C">
        <w:t xml:space="preserve"> by service providers, subject to the principles in the NGR</w:t>
      </w:r>
      <w:r w:rsidR="00087FC5" w:rsidRPr="0057020B">
        <w:t>.</w:t>
      </w:r>
    </w:p>
    <w:p w14:paraId="5DD9BA8C" w14:textId="77777777" w:rsidR="00084CAC" w:rsidRDefault="007B16C9" w:rsidP="00084CAC">
      <w:pPr>
        <w:pStyle w:val="BodyText"/>
      </w:pPr>
      <w:bookmarkStart w:id="107" w:name="_Hlk498242348"/>
      <w:r>
        <w:lastRenderedPageBreak/>
        <w:t xml:space="preserve">In relation to the concerns that </w:t>
      </w:r>
      <w:r w:rsidR="00087FC5">
        <w:t xml:space="preserve">APA has </w:t>
      </w:r>
      <w:r>
        <w:t xml:space="preserve">raised about the potential for automatic changes to existing </w:t>
      </w:r>
      <w:r w:rsidR="00FF54CE">
        <w:t>o</w:t>
      </w:r>
      <w:r>
        <w:t xml:space="preserve">perational GTAs to undermine contractual certainty, </w:t>
      </w:r>
      <w:r w:rsidR="00084CAC">
        <w:t xml:space="preserve">the GMRG considers that the key issue is the impact of changes on particular trades given effect to under Operational GTAs and not on the date of the Operational GTA itself (since focusing on the date of the Operational GTA may lock out any change at all, even for trades not yet entered into).  </w:t>
      </w:r>
    </w:p>
    <w:p w14:paraId="04D67C95" w14:textId="77777777" w:rsidR="00993A3C" w:rsidRDefault="00084CAC" w:rsidP="00084CAC">
      <w:pPr>
        <w:pStyle w:val="BodyText"/>
      </w:pPr>
      <w:r>
        <w:t>As noted in Chapter 2, the Operational GTA is intended to operate like a master agreement, with the majority of terms and conditions only being of practical effect when</w:t>
      </w:r>
      <w:r w:rsidR="00365D2A">
        <w:t xml:space="preserve"> a capacity trade is on foot. </w:t>
      </w:r>
      <w:r>
        <w:t>If a change to existing Operational GTAs is made and no trade is on foot at the time the change comes into effect, there is no question of contractual certainty – the parties will know what terms apply the nex</w:t>
      </w:r>
      <w:r w:rsidR="00365D2A">
        <w:t>t time a trade is entered into.</w:t>
      </w:r>
      <w:r>
        <w:t xml:space="preserve"> If a change comes into effect when a trade is already on foot (say, half way through a 3-month trade), transitional arrangements are expected to be made. For example</w:t>
      </w:r>
      <w:r w:rsidR="00052927">
        <w:t>,</w:t>
      </w:r>
      <w:r>
        <w:t xml:space="preserve"> the old terms could be grandfathered for trades on foot when the changes comes into effect and the new terms could apply to any new trades entered into from that date, or the effective date of the change could be delayed until all current trades have come to an end. While the form that the transitional arrangements take would be a matter for the industry panel to advise the AER on, the consultation process is intended to allow shippers and gas transporters to have a say and to give parties notice of forthcoming changes.</w:t>
      </w:r>
      <w:r w:rsidR="00365D2A">
        <w:t xml:space="preserve"> </w:t>
      </w:r>
    </w:p>
    <w:p w14:paraId="33760CF0" w14:textId="77777777" w:rsidR="00084CAC" w:rsidRDefault="00365D2A" w:rsidP="00084CAC">
      <w:pPr>
        <w:pStyle w:val="BodyText"/>
        <w:rPr>
          <w:rFonts w:ascii="Calibri" w:hAnsi="Calibri"/>
        </w:rPr>
      </w:pPr>
      <w:r>
        <w:t>The</w:t>
      </w:r>
      <w:r w:rsidR="00084CAC">
        <w:t xml:space="preserve"> GMRG believes that this approach strikes an appropriate balance between giving the market certainty about the terms applicable to the use of secondary capacity and ensuring change can be implemented on a consistent basis for all market participants.</w:t>
      </w:r>
    </w:p>
    <w:p w14:paraId="52DB1E7D" w14:textId="77777777" w:rsidR="00084CAC" w:rsidRDefault="00084CAC" w:rsidP="00FF54CE">
      <w:pPr>
        <w:pStyle w:val="BodyText"/>
      </w:pPr>
    </w:p>
    <w:bookmarkEnd w:id="107"/>
    <w:p w14:paraId="3B2D904E" w14:textId="77777777" w:rsidR="00990B69" w:rsidRDefault="00990B69" w:rsidP="00B543A9">
      <w:pPr>
        <w:pStyle w:val="BodyText"/>
      </w:pPr>
      <w:r>
        <w:br w:type="page"/>
      </w:r>
    </w:p>
    <w:p w14:paraId="5E05D394" w14:textId="77777777" w:rsidR="008200C8" w:rsidRDefault="0088219D" w:rsidP="008200C8">
      <w:pPr>
        <w:pStyle w:val="Heading1"/>
        <w:ind w:right="-143"/>
      </w:pPr>
      <w:bookmarkStart w:id="108" w:name="_Toc499542654"/>
      <w:r>
        <w:lastRenderedPageBreak/>
        <w:t xml:space="preserve">Other Measures to Reduce Barriers to </w:t>
      </w:r>
      <w:r w:rsidR="00452E80">
        <w:t>Trade</w:t>
      </w:r>
      <w:bookmarkEnd w:id="108"/>
    </w:p>
    <w:p w14:paraId="2092CD67" w14:textId="77777777" w:rsidR="00E52016" w:rsidRPr="00E15C33" w:rsidRDefault="00E52016" w:rsidP="008200C8">
      <w:pPr>
        <w:pStyle w:val="BodyText"/>
      </w:pPr>
      <w:r>
        <w:t xml:space="preserve">In addition to the </w:t>
      </w:r>
      <w:r w:rsidR="004069EF">
        <w:t xml:space="preserve">standardisation reforms </w:t>
      </w:r>
      <w:r>
        <w:t xml:space="preserve">outlined in </w:t>
      </w:r>
      <w:r w:rsidR="00A34B05">
        <w:t xml:space="preserve">Chapter </w:t>
      </w:r>
      <w:r w:rsidR="00452E80">
        <w:t>4</w:t>
      </w:r>
      <w:r>
        <w:t>, the</w:t>
      </w:r>
      <w:r w:rsidR="001631C0">
        <w:t xml:space="preserve">re are a </w:t>
      </w:r>
      <w:r>
        <w:t>number of other measures that could be implemented to reduce the barriers to secondary capacity</w:t>
      </w:r>
      <w:r w:rsidR="002C7228">
        <w:t xml:space="preserve"> trading and participation in the day-ahead auction</w:t>
      </w:r>
      <w:r>
        <w:t xml:space="preserve">. These </w:t>
      </w:r>
      <w:r w:rsidRPr="00E15C33">
        <w:t>measures include:</w:t>
      </w:r>
    </w:p>
    <w:p w14:paraId="3ADEACD4" w14:textId="77777777" w:rsidR="00E52016" w:rsidRPr="00E15C33" w:rsidRDefault="00452E80" w:rsidP="00E52016">
      <w:pPr>
        <w:pStyle w:val="ListBullet"/>
      </w:pPr>
      <w:r w:rsidRPr="00E15C33">
        <w:t xml:space="preserve">improving </w:t>
      </w:r>
      <w:r w:rsidR="004C4A76">
        <w:t xml:space="preserve">access to </w:t>
      </w:r>
      <w:r w:rsidR="00592FE3">
        <w:t xml:space="preserve">the </w:t>
      </w:r>
      <w:r w:rsidRPr="00E15C33">
        <w:t>a</w:t>
      </w:r>
      <w:r w:rsidR="00E52016" w:rsidRPr="00E15C33">
        <w:t>llocation agreements</w:t>
      </w:r>
      <w:r w:rsidR="007E377A">
        <w:t xml:space="preserve"> </w:t>
      </w:r>
      <w:r w:rsidR="00592FE3">
        <w:t xml:space="preserve">in place at </w:t>
      </w:r>
      <w:r w:rsidR="007E377A">
        <w:t>receipt and delivery points</w:t>
      </w:r>
      <w:r w:rsidRPr="00E15C33">
        <w:t>;</w:t>
      </w:r>
      <w:r w:rsidR="00E52016" w:rsidRPr="00E15C33">
        <w:t xml:space="preserve"> </w:t>
      </w:r>
    </w:p>
    <w:p w14:paraId="0B9914A4" w14:textId="77777777" w:rsidR="001631C0" w:rsidRDefault="001044BF" w:rsidP="00E52016">
      <w:pPr>
        <w:pStyle w:val="ListBullet"/>
      </w:pPr>
      <w:r>
        <w:t xml:space="preserve">addressing </w:t>
      </w:r>
      <w:r w:rsidR="00CC0B85">
        <w:t xml:space="preserve">other contractual </w:t>
      </w:r>
      <w:r>
        <w:t xml:space="preserve">impediments to </w:t>
      </w:r>
      <w:r w:rsidR="00CC0B85">
        <w:t xml:space="preserve">trade </w:t>
      </w:r>
      <w:r w:rsidR="001631C0">
        <w:t>in primary GTAs</w:t>
      </w:r>
      <w:r w:rsidR="00A34B05">
        <w:t>; and</w:t>
      </w:r>
    </w:p>
    <w:p w14:paraId="0AB97FF8" w14:textId="77777777" w:rsidR="00A34B05" w:rsidRPr="00E15C33" w:rsidRDefault="00A34B05" w:rsidP="0013374B">
      <w:pPr>
        <w:pStyle w:val="ListBullet"/>
      </w:pPr>
      <w:proofErr w:type="gramStart"/>
      <w:r w:rsidRPr="00E15C33">
        <w:t>harmonising</w:t>
      </w:r>
      <w:proofErr w:type="gramEnd"/>
      <w:r w:rsidRPr="00E15C33">
        <w:t xml:space="preserve"> gas day start times and nomination cut-off times across jurisdictions</w:t>
      </w:r>
      <w:r>
        <w:t xml:space="preserve">. </w:t>
      </w:r>
    </w:p>
    <w:p w14:paraId="096EFCE7" w14:textId="77777777" w:rsidR="008200C8" w:rsidRDefault="00C303EE" w:rsidP="00A34B05">
      <w:pPr>
        <w:pStyle w:val="BodyText"/>
      </w:pPr>
      <w:r>
        <w:t>The remainder of this chapter sets out the GMRG’s final recommendations on whether these measures should be implemented.</w:t>
      </w:r>
    </w:p>
    <w:p w14:paraId="01E8D90D" w14:textId="77777777" w:rsidR="008200C8" w:rsidRDefault="0088219D" w:rsidP="00A34B05">
      <w:pPr>
        <w:pStyle w:val="Heading2"/>
        <w:spacing w:before="240" w:after="0"/>
      </w:pPr>
      <w:bookmarkStart w:id="109" w:name="_Ref491759111"/>
      <w:bookmarkStart w:id="110" w:name="_Toc499542655"/>
      <w:r>
        <w:t>Allocation agreements</w:t>
      </w:r>
      <w:r w:rsidR="007E377A">
        <w:t xml:space="preserve"> and access to receipt/delivery points</w:t>
      </w:r>
      <w:bookmarkEnd w:id="109"/>
      <w:bookmarkEnd w:id="110"/>
    </w:p>
    <w:p w14:paraId="5CDB84DD" w14:textId="77777777" w:rsidR="006D41E9" w:rsidRPr="00A34B05" w:rsidRDefault="006D41E9" w:rsidP="00A34B05">
      <w:pPr>
        <w:pStyle w:val="Heading6"/>
        <w:spacing w:before="120" w:after="0" w:line="252" w:lineRule="auto"/>
        <w:rPr>
          <w:color w:val="0099CC"/>
        </w:rPr>
      </w:pPr>
      <w:r w:rsidRPr="00A34B05">
        <w:rPr>
          <w:color w:val="0099CC"/>
        </w:rPr>
        <w:t xml:space="preserve">Background </w:t>
      </w:r>
    </w:p>
    <w:p w14:paraId="6C84F484" w14:textId="77777777" w:rsidR="00BB3C99" w:rsidRDefault="004C4A76" w:rsidP="00A34B05">
      <w:pPr>
        <w:pStyle w:val="BodyText"/>
        <w:spacing w:before="120"/>
      </w:pPr>
      <w:r>
        <w:t xml:space="preserve">Allocation agreements </w:t>
      </w:r>
      <w:r w:rsidR="00F270C5">
        <w:t xml:space="preserve">specify </w:t>
      </w:r>
      <w:r>
        <w:t xml:space="preserve">the rules that </w:t>
      </w:r>
      <w:r w:rsidR="00924E75">
        <w:t xml:space="preserve">are to </w:t>
      </w:r>
      <w:r>
        <w:t xml:space="preserve">be used </w:t>
      </w:r>
      <w:r w:rsidR="00F37CE1">
        <w:t>by the allocation agent</w:t>
      </w:r>
      <w:r w:rsidR="00F37CE1">
        <w:rPr>
          <w:rStyle w:val="FootnoteReference"/>
        </w:rPr>
        <w:footnoteReference w:id="43"/>
      </w:r>
      <w:r w:rsidR="00F37CE1">
        <w:t xml:space="preserve"> </w:t>
      </w:r>
      <w:r>
        <w:t xml:space="preserve">to allocate </w:t>
      </w:r>
      <w:r w:rsidR="00F270C5">
        <w:t xml:space="preserve">gas </w:t>
      </w:r>
      <w:r w:rsidR="00E16FB5">
        <w:t xml:space="preserve">that is metered </w:t>
      </w:r>
      <w:r w:rsidR="00E80FD3">
        <w:t xml:space="preserve">as having been supplied (or deemed to have been delivered) </w:t>
      </w:r>
      <w:r>
        <w:t xml:space="preserve">to a </w:t>
      </w:r>
      <w:r w:rsidR="00F37CE1">
        <w:t xml:space="preserve">multi-user </w:t>
      </w:r>
      <w:r w:rsidR="00F270C5">
        <w:t xml:space="preserve">receipt </w:t>
      </w:r>
      <w:r>
        <w:t xml:space="preserve">or </w:t>
      </w:r>
      <w:r w:rsidR="00F270C5">
        <w:t>delivery point</w:t>
      </w:r>
      <w:r w:rsidR="00F37CE1">
        <w:t xml:space="preserve"> between shippers using these points</w:t>
      </w:r>
      <w:r w:rsidR="0057466E">
        <w:t xml:space="preserve">. These rules can include, allocating gas on a </w:t>
      </w:r>
      <w:r w:rsidR="00912EA2">
        <w:t>pro-rata</w:t>
      </w:r>
      <w:r w:rsidR="00D914EE">
        <w:t xml:space="preserve"> basis</w:t>
      </w:r>
      <w:r w:rsidR="0057466E">
        <w:t>, a swing shipper</w:t>
      </w:r>
      <w:r w:rsidR="00D914EE">
        <w:t xml:space="preserve"> basis</w:t>
      </w:r>
      <w:r w:rsidR="0057466E">
        <w:t xml:space="preserve">, a defined formula </w:t>
      </w:r>
      <w:r w:rsidR="00D914EE">
        <w:t xml:space="preserve">basis </w:t>
      </w:r>
      <w:r w:rsidR="0057466E">
        <w:t xml:space="preserve">or </w:t>
      </w:r>
      <w:r w:rsidR="00D914EE">
        <w:t xml:space="preserve">using a </w:t>
      </w:r>
      <w:r w:rsidR="0057466E">
        <w:t>marked</w:t>
      </w:r>
      <w:r w:rsidR="00912EA2">
        <w:t xml:space="preserve"> </w:t>
      </w:r>
      <w:r w:rsidR="0057466E">
        <w:t xml:space="preserve">based approach. </w:t>
      </w:r>
      <w:r w:rsidR="00F270C5">
        <w:t>The GMRG understands that</w:t>
      </w:r>
      <w:r w:rsidR="009E0991">
        <w:t xml:space="preserve"> the scope of the allocation agreements and the allocation rules specified therein can vary markedly</w:t>
      </w:r>
      <w:r w:rsidR="00924E75">
        <w:t xml:space="preserve"> across receipt and delivery points</w:t>
      </w:r>
      <w:r w:rsidR="009E0991">
        <w:t>. The GMRG also understands that:</w:t>
      </w:r>
      <w:r w:rsidR="00F270C5">
        <w:t xml:space="preserve"> </w:t>
      </w:r>
    </w:p>
    <w:p w14:paraId="43A561D1" w14:textId="77777777" w:rsidR="00BB3C99" w:rsidRDefault="00F37CE1" w:rsidP="001C4E1C">
      <w:pPr>
        <w:pStyle w:val="ListBullet"/>
      </w:pPr>
      <w:r>
        <w:t>S</w:t>
      </w:r>
      <w:r w:rsidR="00BB3C99">
        <w:t>hippers wish</w:t>
      </w:r>
      <w:r>
        <w:t>ing</w:t>
      </w:r>
      <w:r w:rsidR="00BB3C99">
        <w:t xml:space="preserve"> to </w:t>
      </w:r>
      <w:r>
        <w:t>transport</w:t>
      </w:r>
      <w:r w:rsidR="00BB3C99">
        <w:t xml:space="preserve"> gas to or from </w:t>
      </w:r>
      <w:r>
        <w:t xml:space="preserve">a multi-user receipt or delivery point </w:t>
      </w:r>
      <w:r w:rsidR="00BB3C99">
        <w:t xml:space="preserve">must be a party to the allocation agreement to nominate gas at </w:t>
      </w:r>
      <w:r w:rsidR="00993A3C">
        <w:t xml:space="preserve">the </w:t>
      </w:r>
      <w:r w:rsidR="00BB3C99">
        <w:t>point.</w:t>
      </w:r>
      <w:r w:rsidR="001C4E1C">
        <w:t xml:space="preserve"> </w:t>
      </w:r>
      <w:r w:rsidR="00125FCE">
        <w:t>I</w:t>
      </w:r>
      <w:r w:rsidR="00BB3C99">
        <w:t>f there is no agreement</w:t>
      </w:r>
      <w:r w:rsidR="00125FCE">
        <w:t xml:space="preserve"> in place at a delivery point then </w:t>
      </w:r>
      <w:r w:rsidR="00BB3C99">
        <w:t xml:space="preserve">pipeline operators </w:t>
      </w:r>
      <w:r w:rsidR="00125FCE">
        <w:t xml:space="preserve">can </w:t>
      </w:r>
      <w:r>
        <w:t>apply</w:t>
      </w:r>
      <w:r w:rsidR="00BB3C99">
        <w:t xml:space="preserve"> a default allocation rule. </w:t>
      </w:r>
      <w:r w:rsidR="00125FCE">
        <w:t>The default rule cannot, however, be applied at most receipt points because these points are controlled by the producers.</w:t>
      </w:r>
    </w:p>
    <w:p w14:paraId="3AA65E20" w14:textId="77777777" w:rsidR="00BB3C99" w:rsidRDefault="00BB3C99" w:rsidP="009466E7">
      <w:pPr>
        <w:pStyle w:val="ListBullet"/>
      </w:pPr>
      <w:r>
        <w:t xml:space="preserve">Contribution agreements may be used in conjunction </w:t>
      </w:r>
      <w:r w:rsidR="009E0991">
        <w:t>with</w:t>
      </w:r>
      <w:r w:rsidR="005B364C">
        <w:t xml:space="preserve"> </w:t>
      </w:r>
      <w:r>
        <w:t>allocation agreement</w:t>
      </w:r>
      <w:r w:rsidR="00E36FD2">
        <w:t>s</w:t>
      </w:r>
      <w:r w:rsidR="00F37CE1">
        <w:t xml:space="preserve"> at points </w:t>
      </w:r>
      <w:r>
        <w:t>where shippers have invested in the construction of a receipt or delivery point</w:t>
      </w:r>
      <w:r w:rsidR="00F37CE1">
        <w:t xml:space="preserve"> and </w:t>
      </w:r>
      <w:r w:rsidR="00A34B05">
        <w:t xml:space="preserve">require the payment of </w:t>
      </w:r>
      <w:r w:rsidR="00F37CE1">
        <w:t xml:space="preserve">a fee </w:t>
      </w:r>
      <w:r w:rsidR="00A34B05">
        <w:t xml:space="preserve">to </w:t>
      </w:r>
      <w:r w:rsidR="00F37CE1">
        <w:t xml:space="preserve">use </w:t>
      </w:r>
      <w:r w:rsidR="00A34B05">
        <w:t xml:space="preserve">this </w:t>
      </w:r>
      <w:r w:rsidR="00F37CE1">
        <w:t>point</w:t>
      </w:r>
      <w:r>
        <w:t>.</w:t>
      </w:r>
      <w:r w:rsidR="001C4E1C">
        <w:t xml:space="preserve"> Access to these points </w:t>
      </w:r>
      <w:proofErr w:type="gramStart"/>
      <w:r w:rsidR="001C4E1C">
        <w:t>may</w:t>
      </w:r>
      <w:proofErr w:type="gramEnd"/>
      <w:r w:rsidR="001C4E1C">
        <w:t>, depending on the arrangement that has been reached with the service provider, require the approval of the shipper(s) that funded the point, or may just require a contribution to the costs.</w:t>
      </w:r>
    </w:p>
    <w:p w14:paraId="1B75CB3E" w14:textId="77777777" w:rsidR="00BB3C99" w:rsidRDefault="00BB3C99" w:rsidP="009466E7">
      <w:pPr>
        <w:pStyle w:val="ListBullet"/>
      </w:pPr>
      <w:r>
        <w:t xml:space="preserve">Some allocation agreements </w:t>
      </w:r>
      <w:r w:rsidR="00F37CE1">
        <w:t xml:space="preserve">provide for </w:t>
      </w:r>
      <w:r>
        <w:t>sub-allocation levels</w:t>
      </w:r>
      <w:r w:rsidR="00F37CE1">
        <w:t xml:space="preserve"> and accord the </w:t>
      </w:r>
      <w:r>
        <w:t xml:space="preserve">shipper </w:t>
      </w:r>
      <w:r w:rsidR="00F37CE1">
        <w:t xml:space="preserve">responsibility </w:t>
      </w:r>
      <w:r>
        <w:t xml:space="preserve">for sub-allocating the gas </w:t>
      </w:r>
      <w:r w:rsidR="00F37CE1">
        <w:t xml:space="preserve">to </w:t>
      </w:r>
      <w:r>
        <w:t>parties they have traded with.</w:t>
      </w:r>
    </w:p>
    <w:p w14:paraId="1102C64B" w14:textId="77777777" w:rsidR="009E0991" w:rsidRDefault="00F37CE1" w:rsidP="009E0991">
      <w:pPr>
        <w:pStyle w:val="BodyText"/>
      </w:pPr>
      <w:r>
        <w:t xml:space="preserve">In the </w:t>
      </w:r>
      <w:r w:rsidR="005E3347" w:rsidRPr="005E3347">
        <w:rPr>
          <w:i/>
        </w:rPr>
        <w:t>East Coast Review</w:t>
      </w:r>
      <w:r>
        <w:t xml:space="preserve">, the AEMC noted that some changes to </w:t>
      </w:r>
      <w:r w:rsidR="00924E75">
        <w:t xml:space="preserve">these </w:t>
      </w:r>
      <w:r>
        <w:t xml:space="preserve">agreements may be required to enable capacity to be traded and to </w:t>
      </w:r>
      <w:r w:rsidR="00924E75">
        <w:t>facilitate</w:t>
      </w:r>
      <w:r>
        <w:t xml:space="preserve"> greater receipt and delivery point flexibility.</w:t>
      </w:r>
      <w:r>
        <w:rPr>
          <w:rStyle w:val="FootnoteReference"/>
        </w:rPr>
        <w:footnoteReference w:id="44"/>
      </w:r>
      <w:r>
        <w:t xml:space="preserve"> </w:t>
      </w:r>
      <w:r w:rsidR="00924E75">
        <w:t xml:space="preserve">These issues were </w:t>
      </w:r>
      <w:r w:rsidR="004069EF">
        <w:t xml:space="preserve">considered by </w:t>
      </w:r>
      <w:r w:rsidR="00924E75">
        <w:t xml:space="preserve">the </w:t>
      </w:r>
      <w:r w:rsidR="009E0991">
        <w:t>Standardisation project team</w:t>
      </w:r>
      <w:r w:rsidR="00924E75">
        <w:t xml:space="preserve">, who informed the GMRG that </w:t>
      </w:r>
      <w:r w:rsidR="009E0991">
        <w:t xml:space="preserve">allocation agreements may act as an impediment to </w:t>
      </w:r>
      <w:r w:rsidR="00924E75">
        <w:t xml:space="preserve">capacity trading </w:t>
      </w:r>
      <w:r w:rsidR="009E0991">
        <w:t xml:space="preserve">because: </w:t>
      </w:r>
    </w:p>
    <w:p w14:paraId="327DEAA3" w14:textId="77777777" w:rsidR="009E0991" w:rsidRDefault="009E0991" w:rsidP="00E16FB5">
      <w:pPr>
        <w:pStyle w:val="ListBullet"/>
      </w:pPr>
      <w:r>
        <w:lastRenderedPageBreak/>
        <w:t xml:space="preserve">there is limited publicly available information on allocation agreements </w:t>
      </w:r>
      <w:r w:rsidR="00F243A1">
        <w:t xml:space="preserve">or </w:t>
      </w:r>
      <w:r>
        <w:t xml:space="preserve">the </w:t>
      </w:r>
      <w:r w:rsidR="00BB3C99">
        <w:t xml:space="preserve">process </w:t>
      </w:r>
      <w:r>
        <w:t>a shipper needs to follow and who it needs to contact to become a party to an allocation agreement at a particular point</w:t>
      </w:r>
      <w:r w:rsidR="00E16FB5">
        <w:t xml:space="preserve">; </w:t>
      </w:r>
    </w:p>
    <w:p w14:paraId="239F3C51" w14:textId="77777777" w:rsidR="001C4E1C" w:rsidRDefault="0088300B" w:rsidP="00E16FB5">
      <w:pPr>
        <w:pStyle w:val="ListBullet"/>
      </w:pPr>
      <w:r>
        <w:t xml:space="preserve">there are some allocation agreements that restrict </w:t>
      </w:r>
      <w:r w:rsidR="006356E3">
        <w:t xml:space="preserve">the number of shippers that can </w:t>
      </w:r>
      <w:r w:rsidR="00E11693">
        <w:t>become a party to the agreement</w:t>
      </w:r>
      <w:r w:rsidR="006356E3">
        <w:t xml:space="preserve">, or otherwise </w:t>
      </w:r>
      <w:r w:rsidR="001C4E1C">
        <w:t>limit</w:t>
      </w:r>
      <w:r w:rsidR="006356E3">
        <w:t xml:space="preserve"> access to a particular receipt or delivery point</w:t>
      </w:r>
      <w:r w:rsidR="006356E3" w:rsidRPr="006356E3">
        <w:t xml:space="preserve"> </w:t>
      </w:r>
      <w:r w:rsidR="001C4E1C">
        <w:t xml:space="preserve">- </w:t>
      </w:r>
      <w:r w:rsidR="006356E3">
        <w:t>it was noted that this tends to occur at</w:t>
      </w:r>
      <w:r w:rsidR="001C4E1C">
        <w:t>:</w:t>
      </w:r>
      <w:r w:rsidR="006356E3">
        <w:t xml:space="preserve"> </w:t>
      </w:r>
    </w:p>
    <w:p w14:paraId="2ED9C5BF" w14:textId="77777777" w:rsidR="001C4E1C" w:rsidRDefault="006356E3" w:rsidP="001C4E1C">
      <w:pPr>
        <w:pStyle w:val="ListBullet2"/>
      </w:pPr>
      <w:r>
        <w:t>locations where there is also a contribution agreement in place</w:t>
      </w:r>
      <w:r w:rsidR="001C4E1C">
        <w:t>; and</w:t>
      </w:r>
    </w:p>
    <w:p w14:paraId="7383ED73" w14:textId="77777777" w:rsidR="0088300B" w:rsidRDefault="001C4E1C" w:rsidP="001C4E1C">
      <w:pPr>
        <w:pStyle w:val="ListBullet2"/>
      </w:pPr>
      <w:r>
        <w:t>receipt points controlled by producers, with some producers reportedly requiring shippers to have a Gas Supply Agreement with the producer to become a party to the allocation agreement</w:t>
      </w:r>
      <w:r w:rsidR="007E377A">
        <w:t>; and</w:t>
      </w:r>
    </w:p>
    <w:p w14:paraId="27395668" w14:textId="77777777" w:rsidR="00E16FB5" w:rsidRDefault="00E16FB5" w:rsidP="000E7E62">
      <w:pPr>
        <w:pStyle w:val="ListBullet"/>
      </w:pPr>
      <w:r>
        <w:t xml:space="preserve">differences in </w:t>
      </w:r>
      <w:r w:rsidR="000E7E62">
        <w:t xml:space="preserve">the </w:t>
      </w:r>
      <w:r>
        <w:t xml:space="preserve">allocation rules used at </w:t>
      </w:r>
      <w:r w:rsidR="000E7E62">
        <w:t xml:space="preserve">some points (e.g. </w:t>
      </w:r>
      <w:r w:rsidR="001C4E1C">
        <w:t xml:space="preserve">at </w:t>
      </w:r>
      <w:r>
        <w:t xml:space="preserve">pipeline </w:t>
      </w:r>
      <w:r w:rsidR="001C4E1C">
        <w:t>interconnection points</w:t>
      </w:r>
      <w:r w:rsidR="000E7E62">
        <w:t>)</w:t>
      </w:r>
      <w:r>
        <w:t xml:space="preserve"> may </w:t>
      </w:r>
      <w:r w:rsidR="000E7E62">
        <w:t xml:space="preserve">result in </w:t>
      </w:r>
      <w:r>
        <w:t xml:space="preserve">differences in the volume of gas a shipper is </w:t>
      </w:r>
      <w:r w:rsidR="005B364C">
        <w:t xml:space="preserve">allocated </w:t>
      </w:r>
      <w:r>
        <w:t>to have supplied into</w:t>
      </w:r>
      <w:r w:rsidR="004069EF">
        <w:t>,</w:t>
      </w:r>
      <w:r>
        <w:t xml:space="preserve"> or taken from</w:t>
      </w:r>
      <w:r w:rsidR="004069EF">
        <w:t>,</w:t>
      </w:r>
      <w:r>
        <w:t xml:space="preserve"> the pipeline</w:t>
      </w:r>
      <w:r w:rsidR="000E7E62">
        <w:t xml:space="preserve"> and result in an imbalance</w:t>
      </w:r>
      <w:r w:rsidR="00A34B05">
        <w:t xml:space="preserve"> and ‘loss’ of gas</w:t>
      </w:r>
      <w:r>
        <w:t>.</w:t>
      </w:r>
      <w:r w:rsidR="000E7E62">
        <w:t xml:space="preserve"> </w:t>
      </w:r>
    </w:p>
    <w:p w14:paraId="5DB4908C" w14:textId="77777777" w:rsidR="0088300B" w:rsidRDefault="00BB3C99" w:rsidP="0088300B">
      <w:pPr>
        <w:pStyle w:val="BodyText"/>
      </w:pPr>
      <w:r>
        <w:t xml:space="preserve">The Standardisation project team </w:t>
      </w:r>
      <w:r w:rsidR="004069EF">
        <w:t xml:space="preserve">identified </w:t>
      </w:r>
      <w:r w:rsidR="00E16FB5">
        <w:t xml:space="preserve">a number of </w:t>
      </w:r>
      <w:r w:rsidR="00FF2DE7">
        <w:t xml:space="preserve">measures </w:t>
      </w:r>
      <w:r>
        <w:t xml:space="preserve">to </w:t>
      </w:r>
      <w:r w:rsidR="00E16FB5">
        <w:t xml:space="preserve">try and overcome </w:t>
      </w:r>
      <w:r>
        <w:t>the</w:t>
      </w:r>
      <w:r w:rsidR="000E7E62">
        <w:t>se</w:t>
      </w:r>
      <w:r>
        <w:t xml:space="preserve"> impediment</w:t>
      </w:r>
      <w:r w:rsidR="00E16FB5">
        <w:t>s</w:t>
      </w:r>
      <w:r w:rsidR="0088300B">
        <w:t>, including:</w:t>
      </w:r>
    </w:p>
    <w:p w14:paraId="731A309C" w14:textId="77777777" w:rsidR="000E7E62" w:rsidRDefault="000E7E62" w:rsidP="0088300B">
      <w:pPr>
        <w:pStyle w:val="ListBullet"/>
      </w:pPr>
      <w:r>
        <w:t>publishing information on how shippers can become a p</w:t>
      </w:r>
      <w:r w:rsidR="0088300B">
        <w:t>arty to an allocation agreement</w:t>
      </w:r>
      <w:r w:rsidR="00164F8C">
        <w:t xml:space="preserve"> at each point</w:t>
      </w:r>
      <w:r w:rsidR="0088300B">
        <w:t>;</w:t>
      </w:r>
    </w:p>
    <w:p w14:paraId="4EC7C423" w14:textId="04F09F12" w:rsidR="00164F8C" w:rsidRDefault="00164F8C" w:rsidP="009466E7">
      <w:pPr>
        <w:pStyle w:val="ListBullet"/>
      </w:pPr>
      <w:r>
        <w:t>options to reduce the administrative costs, time and complexities that may be associated with becoming a party to a number of allocation agreements,</w:t>
      </w:r>
      <w:r w:rsidR="00170068">
        <w:t xml:space="preserve"> such as</w:t>
      </w:r>
      <w:r>
        <w:t xml:space="preserve">: </w:t>
      </w:r>
    </w:p>
    <w:p w14:paraId="60BC491B" w14:textId="77777777" w:rsidR="00915A98" w:rsidRDefault="00E16FB5" w:rsidP="00164F8C">
      <w:pPr>
        <w:pStyle w:val="ListBullet2"/>
      </w:pPr>
      <w:r>
        <w:t>d</w:t>
      </w:r>
      <w:r w:rsidR="00BB3C99">
        <w:t xml:space="preserve">eeming </w:t>
      </w:r>
      <w:r>
        <w:t xml:space="preserve">secondary shippers </w:t>
      </w:r>
      <w:r w:rsidR="00915A98">
        <w:t xml:space="preserve">to be </w:t>
      </w:r>
      <w:r w:rsidR="00BB3C99">
        <w:t>a party</w:t>
      </w:r>
      <w:r>
        <w:t xml:space="preserve"> to </w:t>
      </w:r>
      <w:r w:rsidR="00912EA2">
        <w:t xml:space="preserve">any </w:t>
      </w:r>
      <w:r>
        <w:t>allocation agreement</w:t>
      </w:r>
      <w:r w:rsidR="00912EA2">
        <w:t xml:space="preserve"> </w:t>
      </w:r>
      <w:r w:rsidR="00915A98">
        <w:t xml:space="preserve">that may be in place at the </w:t>
      </w:r>
      <w:r w:rsidR="00912EA2">
        <w:t>receipt and delivery points they want to use</w:t>
      </w:r>
      <w:r w:rsidR="00915A98">
        <w:t>;</w:t>
      </w:r>
    </w:p>
    <w:p w14:paraId="324D7B35" w14:textId="77777777" w:rsidR="005B364C" w:rsidRDefault="00915A98" w:rsidP="00164F8C">
      <w:pPr>
        <w:pStyle w:val="ListBullet2"/>
      </w:pPr>
      <w:r>
        <w:t>including all the allocation agreements as schedules to the operational GTA</w:t>
      </w:r>
      <w:r w:rsidR="005B364C">
        <w:t>;</w:t>
      </w:r>
      <w:r w:rsidR="00164F8C">
        <w:t xml:space="preserve"> or</w:t>
      </w:r>
    </w:p>
    <w:p w14:paraId="617C7765" w14:textId="77777777" w:rsidR="00BB3C99" w:rsidRDefault="00912EA2" w:rsidP="00164F8C">
      <w:pPr>
        <w:pStyle w:val="ListBullet2"/>
      </w:pPr>
      <w:r>
        <w:t xml:space="preserve">allowing AEMO to become a party to </w:t>
      </w:r>
      <w:r w:rsidR="000E7E62">
        <w:t xml:space="preserve">all the allocation agreements and to </w:t>
      </w:r>
      <w:r>
        <w:t>be responsible for sub-allocating</w:t>
      </w:r>
      <w:r w:rsidR="000E7E62">
        <w:t xml:space="preserve"> gas to secondary shippers; and</w:t>
      </w:r>
    </w:p>
    <w:p w14:paraId="7EFD410B" w14:textId="77777777" w:rsidR="00BB3C99" w:rsidRDefault="000E7E62" w:rsidP="00A54E31">
      <w:pPr>
        <w:pStyle w:val="ListBullet"/>
      </w:pPr>
      <w:proofErr w:type="gramStart"/>
      <w:r>
        <w:t>standardising</w:t>
      </w:r>
      <w:proofErr w:type="gramEnd"/>
      <w:r>
        <w:t xml:space="preserve"> the allocation rules in </w:t>
      </w:r>
      <w:r w:rsidR="00D914EE">
        <w:t xml:space="preserve">all </w:t>
      </w:r>
      <w:r>
        <w:t>allocation agreements</w:t>
      </w:r>
      <w:r w:rsidR="00D914EE">
        <w:t xml:space="preserve"> or at key interconnection points</w:t>
      </w:r>
      <w:r>
        <w:t xml:space="preserve">. </w:t>
      </w:r>
    </w:p>
    <w:p w14:paraId="54B53DA7" w14:textId="77777777" w:rsidR="00D914EE" w:rsidRPr="001258F5" w:rsidRDefault="0088300B" w:rsidP="00D914EE">
      <w:pPr>
        <w:pStyle w:val="BodyText"/>
      </w:pPr>
      <w:r>
        <w:t xml:space="preserve">While some consideration was given to the latter </w:t>
      </w:r>
      <w:r w:rsidR="008E2712">
        <w:t>two</w:t>
      </w:r>
      <w:r>
        <w:t xml:space="preserve"> options, the project team </w:t>
      </w:r>
      <w:r w:rsidR="006356E3">
        <w:t>identified a number of specific issues with each option</w:t>
      </w:r>
      <w:r w:rsidR="00D914EE">
        <w:t xml:space="preserve"> (see </w:t>
      </w:r>
      <w:r w:rsidR="006356E3">
        <w:fldChar w:fldCharType="begin"/>
      </w:r>
      <w:r w:rsidR="006356E3">
        <w:instrText xml:space="preserve"> REF _Ref491424696 \h </w:instrText>
      </w:r>
      <w:r w:rsidR="006356E3">
        <w:fldChar w:fldCharType="separate"/>
      </w:r>
      <w:r w:rsidR="00761861">
        <w:t xml:space="preserve">Table </w:t>
      </w:r>
      <w:r w:rsidR="00761861">
        <w:rPr>
          <w:noProof/>
        </w:rPr>
        <w:t>5</w:t>
      </w:r>
      <w:r w:rsidR="00761861">
        <w:t>.</w:t>
      </w:r>
      <w:r w:rsidR="00761861">
        <w:rPr>
          <w:noProof/>
        </w:rPr>
        <w:t>1</w:t>
      </w:r>
      <w:r w:rsidR="006356E3">
        <w:fldChar w:fldCharType="end"/>
      </w:r>
      <w:r w:rsidR="00D914EE">
        <w:t>) and therefore suggested that the GMRG focus on the transparency measures</w:t>
      </w:r>
      <w:r w:rsidR="006356E3">
        <w:t>.</w:t>
      </w:r>
      <w:r w:rsidR="00164F8C">
        <w:t xml:space="preserve"> </w:t>
      </w:r>
      <w:r w:rsidR="00D914EE">
        <w:t xml:space="preserve">The project team stopped short, however, of recommending the allocation agreements be </w:t>
      </w:r>
      <w:r w:rsidR="00D914EE" w:rsidRPr="001258F5">
        <w:t xml:space="preserve">made public, because they noted the agreements can contain confidential information. </w:t>
      </w:r>
    </w:p>
    <w:p w14:paraId="480B16D8" w14:textId="77777777" w:rsidR="0088300B" w:rsidRDefault="0088300B" w:rsidP="006676B1">
      <w:pPr>
        <w:pStyle w:val="Caption"/>
        <w:spacing w:after="0"/>
      </w:pPr>
      <w:bookmarkStart w:id="111" w:name="_Ref491424696"/>
      <w:r>
        <w:t xml:space="preserve">Table </w:t>
      </w:r>
      <w:r w:rsidR="00983431">
        <w:fldChar w:fldCharType="begin"/>
      </w:r>
      <w:r w:rsidR="00983431">
        <w:instrText xml:space="preserve"> STYLEREF 1 \s </w:instrText>
      </w:r>
      <w:r w:rsidR="00983431">
        <w:fldChar w:fldCharType="separate"/>
      </w:r>
      <w:r w:rsidR="00761861">
        <w:rPr>
          <w:noProof/>
        </w:rPr>
        <w:t>5</w:t>
      </w:r>
      <w:r w:rsidR="00983431">
        <w:rPr>
          <w:noProof/>
        </w:rPr>
        <w:fldChar w:fldCharType="end"/>
      </w:r>
      <w:r w:rsidR="00901056">
        <w:t>.</w:t>
      </w:r>
      <w:r w:rsidR="00983431">
        <w:fldChar w:fldCharType="begin"/>
      </w:r>
      <w:r w:rsidR="00983431">
        <w:instrText xml:space="preserve"> SEQ Table \* ARABIC \s 1 </w:instrText>
      </w:r>
      <w:r w:rsidR="00983431">
        <w:fldChar w:fldCharType="separate"/>
      </w:r>
      <w:r w:rsidR="00761861">
        <w:rPr>
          <w:noProof/>
        </w:rPr>
        <w:t>1</w:t>
      </w:r>
      <w:r w:rsidR="00983431">
        <w:rPr>
          <w:noProof/>
        </w:rPr>
        <w:fldChar w:fldCharType="end"/>
      </w:r>
      <w:bookmarkEnd w:id="111"/>
      <w:r>
        <w:t xml:space="preserve">: </w:t>
      </w:r>
      <w:r w:rsidR="005F1123">
        <w:t xml:space="preserve">Project team feedback on </w:t>
      </w:r>
      <w:r w:rsidR="0091147B">
        <w:t xml:space="preserve">other </w:t>
      </w:r>
      <w:r>
        <w:t xml:space="preserve">options </w:t>
      </w:r>
      <w:r w:rsidR="0091147B">
        <w:t>to reduce the barriers posed by allocation arrangements</w:t>
      </w:r>
    </w:p>
    <w:tbl>
      <w:tblPr>
        <w:tblStyle w:val="TableGrid"/>
        <w:tblW w:w="5001" w:type="pct"/>
        <w:tblLayout w:type="fixed"/>
        <w:tblLook w:val="0420" w:firstRow="1" w:lastRow="0" w:firstColumn="0" w:lastColumn="0" w:noHBand="0" w:noVBand="1"/>
        <w:tblCaption w:val="Table 5.1"/>
        <w:tblDescription w:val="Project team feedback on other options to reduce the barriers posed by allocation arrangements"/>
      </w:tblPr>
      <w:tblGrid>
        <w:gridCol w:w="1985"/>
        <w:gridCol w:w="6805"/>
      </w:tblGrid>
      <w:tr w:rsidR="0088300B" w14:paraId="1707BF4F" w14:textId="77777777" w:rsidTr="0091147B">
        <w:trPr>
          <w:cnfStyle w:val="100000000000" w:firstRow="1" w:lastRow="0" w:firstColumn="0" w:lastColumn="0" w:oddVBand="0" w:evenVBand="0" w:oddHBand="0" w:evenHBand="0" w:firstRowFirstColumn="0" w:firstRowLastColumn="0" w:lastRowFirstColumn="0" w:lastRowLastColumn="0"/>
          <w:cantSplit/>
          <w:tblHeader/>
        </w:trPr>
        <w:tc>
          <w:tcPr>
            <w:tcW w:w="1129" w:type="pct"/>
            <w:shd w:val="clear" w:color="auto" w:fill="0099CC"/>
          </w:tcPr>
          <w:p w14:paraId="6C783AE0" w14:textId="77777777" w:rsidR="0088300B" w:rsidRDefault="0088300B" w:rsidP="006676B1">
            <w:pPr>
              <w:pStyle w:val="TableHeading"/>
              <w:keepNext/>
              <w:rPr>
                <w:lang w:eastAsia="fr-CA"/>
              </w:rPr>
            </w:pPr>
            <w:r>
              <w:rPr>
                <w:lang w:eastAsia="fr-CA"/>
              </w:rPr>
              <w:t>Options considered</w:t>
            </w:r>
          </w:p>
        </w:tc>
        <w:tc>
          <w:tcPr>
            <w:tcW w:w="3871" w:type="pct"/>
            <w:shd w:val="clear" w:color="auto" w:fill="0099CC"/>
          </w:tcPr>
          <w:p w14:paraId="5B779E7B" w14:textId="77777777" w:rsidR="0088300B" w:rsidRDefault="0088300B" w:rsidP="006676B1">
            <w:pPr>
              <w:pStyle w:val="TableHeading"/>
              <w:keepNext/>
              <w:rPr>
                <w:lang w:eastAsia="fr-CA"/>
              </w:rPr>
            </w:pPr>
            <w:r>
              <w:rPr>
                <w:lang w:eastAsia="fr-CA"/>
              </w:rPr>
              <w:t>Project team’s view on the options</w:t>
            </w:r>
          </w:p>
        </w:tc>
      </w:tr>
      <w:tr w:rsidR="0088300B" w14:paraId="4CE481A3" w14:textId="77777777" w:rsidTr="0091147B">
        <w:trPr>
          <w:cantSplit/>
        </w:trPr>
        <w:tc>
          <w:tcPr>
            <w:tcW w:w="1129" w:type="pct"/>
          </w:tcPr>
          <w:p w14:paraId="1F42FF63" w14:textId="77777777" w:rsidR="0088300B" w:rsidRPr="0088300B" w:rsidRDefault="0088300B" w:rsidP="00A34B05">
            <w:pPr>
              <w:pStyle w:val="TableBodyText"/>
              <w:widowControl w:val="0"/>
              <w:rPr>
                <w:lang w:eastAsia="fr-CA"/>
              </w:rPr>
            </w:pPr>
            <w:r w:rsidRPr="0088300B">
              <w:t>Deeming secondary shippers party to the agreements</w:t>
            </w:r>
          </w:p>
        </w:tc>
        <w:tc>
          <w:tcPr>
            <w:tcW w:w="3871" w:type="pct"/>
          </w:tcPr>
          <w:p w14:paraId="684C2997" w14:textId="77777777" w:rsidR="0088300B" w:rsidRDefault="0088300B" w:rsidP="00A34B05">
            <w:pPr>
              <w:pStyle w:val="TableBodyText"/>
              <w:widowControl w:val="0"/>
              <w:rPr>
                <w:lang w:eastAsia="fr-CA"/>
              </w:rPr>
            </w:pPr>
            <w:r>
              <w:t>Some project team members noted that deeming secondary shippers as a party to an allocation agreement could be disputed, which would affect the integrity of the operational GTA and secondary capacity market.</w:t>
            </w:r>
          </w:p>
        </w:tc>
      </w:tr>
      <w:tr w:rsidR="0088300B" w14:paraId="4F261614" w14:textId="77777777" w:rsidTr="0091147B">
        <w:trPr>
          <w:cnfStyle w:val="000000010000" w:firstRow="0" w:lastRow="0" w:firstColumn="0" w:lastColumn="0" w:oddVBand="0" w:evenVBand="0" w:oddHBand="0" w:evenHBand="1" w:firstRowFirstColumn="0" w:firstRowLastColumn="0" w:lastRowFirstColumn="0" w:lastRowLastColumn="0"/>
          <w:cantSplit/>
        </w:trPr>
        <w:tc>
          <w:tcPr>
            <w:tcW w:w="1129" w:type="pct"/>
          </w:tcPr>
          <w:p w14:paraId="754E26C0" w14:textId="77777777" w:rsidR="0088300B" w:rsidRPr="0088300B" w:rsidRDefault="0088300B" w:rsidP="00A34B05">
            <w:pPr>
              <w:pStyle w:val="TableBodyText"/>
              <w:widowControl w:val="0"/>
              <w:rPr>
                <w:lang w:eastAsia="fr-CA"/>
              </w:rPr>
            </w:pPr>
            <w:r w:rsidRPr="0088300B">
              <w:lastRenderedPageBreak/>
              <w:t>Adding allocation agreements as schedules to the operational GTA</w:t>
            </w:r>
          </w:p>
        </w:tc>
        <w:tc>
          <w:tcPr>
            <w:tcW w:w="3871" w:type="pct"/>
          </w:tcPr>
          <w:p w14:paraId="52317A1A" w14:textId="77777777" w:rsidR="0088300B" w:rsidRDefault="0088300B" w:rsidP="00A34B05">
            <w:pPr>
              <w:pStyle w:val="TableBodyText"/>
              <w:widowControl w:val="0"/>
              <w:rPr>
                <w:lang w:eastAsia="fr-CA"/>
              </w:rPr>
            </w:pPr>
            <w:r>
              <w:t>The project team noted that before adding the allocation agreements to the operational GTA, service providers need to seek the agreement of the relevant parties, which they suggested could be a complex and costly undertaking for service providers and raise further change management issues. The project team also noted that there may be confidentiality concerns because allocation agreements are not generally made public, nor available to the service provider when they are not the allocation agent.</w:t>
            </w:r>
          </w:p>
        </w:tc>
      </w:tr>
      <w:tr w:rsidR="0088300B" w14:paraId="1DABA702" w14:textId="77777777" w:rsidTr="0091147B">
        <w:trPr>
          <w:cantSplit/>
        </w:trPr>
        <w:tc>
          <w:tcPr>
            <w:tcW w:w="1129" w:type="pct"/>
          </w:tcPr>
          <w:p w14:paraId="0329E6EB" w14:textId="77777777" w:rsidR="0088300B" w:rsidRPr="0088300B" w:rsidRDefault="0088300B" w:rsidP="00A34B05">
            <w:pPr>
              <w:pStyle w:val="TableBodyText"/>
              <w:widowControl w:val="0"/>
              <w:rPr>
                <w:lang w:eastAsia="fr-CA"/>
              </w:rPr>
            </w:pPr>
            <w:r w:rsidRPr="0088300B">
              <w:t>AEMO as sub-allocation agent</w:t>
            </w:r>
          </w:p>
        </w:tc>
        <w:tc>
          <w:tcPr>
            <w:tcW w:w="3871" w:type="pct"/>
          </w:tcPr>
          <w:p w14:paraId="798C7D31" w14:textId="0E8FABE4" w:rsidR="0088300B" w:rsidRDefault="0088300B" w:rsidP="00A34B05">
            <w:pPr>
              <w:pStyle w:val="TableBodyText"/>
              <w:widowControl w:val="0"/>
              <w:rPr>
                <w:lang w:eastAsia="fr-CA"/>
              </w:rPr>
            </w:pPr>
            <w:r>
              <w:t xml:space="preserve">Project team members noted that having AEMO </w:t>
            </w:r>
            <w:r w:rsidR="00F7735F">
              <w:t xml:space="preserve">as </w:t>
            </w:r>
            <w:r>
              <w:t xml:space="preserve">a sub-allocation agent in all agreements would restrict the way parties manage their imbalance accounts, introduce an additional level of complexity in these agreements and </w:t>
            </w:r>
            <w:r w:rsidR="004069EF">
              <w:t>a</w:t>
            </w:r>
            <w:r w:rsidR="00865CD2">
              <w:t>d</w:t>
            </w:r>
            <w:r w:rsidR="004069EF">
              <w:t xml:space="preserve">d </w:t>
            </w:r>
            <w:r>
              <w:t>additional administration cost.</w:t>
            </w:r>
          </w:p>
        </w:tc>
      </w:tr>
      <w:tr w:rsidR="0088300B" w14:paraId="6D6A7895" w14:textId="77777777" w:rsidTr="0091147B">
        <w:trPr>
          <w:cnfStyle w:val="000000010000" w:firstRow="0" w:lastRow="0" w:firstColumn="0" w:lastColumn="0" w:oddVBand="0" w:evenVBand="0" w:oddHBand="0" w:evenHBand="1" w:firstRowFirstColumn="0" w:firstRowLastColumn="0" w:lastRowFirstColumn="0" w:lastRowLastColumn="0"/>
          <w:cantSplit/>
        </w:trPr>
        <w:tc>
          <w:tcPr>
            <w:tcW w:w="1129" w:type="pct"/>
          </w:tcPr>
          <w:p w14:paraId="5D32B8FD" w14:textId="77777777" w:rsidR="0088300B" w:rsidRPr="0088300B" w:rsidRDefault="0088300B" w:rsidP="00A34B05">
            <w:pPr>
              <w:pStyle w:val="TableBodyText"/>
              <w:widowControl w:val="0"/>
            </w:pPr>
            <w:r w:rsidRPr="0088300B">
              <w:t>Standardisation of allocation rules</w:t>
            </w:r>
          </w:p>
        </w:tc>
        <w:tc>
          <w:tcPr>
            <w:tcW w:w="3871" w:type="pct"/>
          </w:tcPr>
          <w:p w14:paraId="7DEFA3C3" w14:textId="77777777" w:rsidR="0088300B" w:rsidRDefault="0088300B" w:rsidP="00A34B05">
            <w:pPr>
              <w:pStyle w:val="TableBodyText"/>
              <w:widowControl w:val="0"/>
            </w:pPr>
            <w:r>
              <w:t>A number of team members noted that standardising allocation rules could adversely affect parties operating under legacy arrangements and added that this could conflict with the AEMC’s recommendation that counterparties</w:t>
            </w:r>
            <w:r w:rsidRPr="00974249">
              <w:rPr>
                <w:szCs w:val="18"/>
              </w:rPr>
              <w:t xml:space="preserve"> to existing contracts should not be materially disadvantaged through the standardisation process</w:t>
            </w:r>
            <w:r>
              <w:rPr>
                <w:szCs w:val="18"/>
              </w:rPr>
              <w:t>.</w:t>
            </w:r>
          </w:p>
        </w:tc>
      </w:tr>
    </w:tbl>
    <w:p w14:paraId="28A0D900" w14:textId="77777777" w:rsidR="004E791B" w:rsidRDefault="004E791B" w:rsidP="004E791B">
      <w:pPr>
        <w:pStyle w:val="Heading6"/>
        <w:spacing w:line="252" w:lineRule="auto"/>
        <w:rPr>
          <w:color w:val="0099CC"/>
        </w:rPr>
      </w:pPr>
      <w:r>
        <w:rPr>
          <w:color w:val="0099CC"/>
        </w:rPr>
        <w:t>GMRG’s preliminary view</w:t>
      </w:r>
    </w:p>
    <w:p w14:paraId="3DB1ABFE" w14:textId="77777777" w:rsidR="00A34B05" w:rsidRDefault="00A34B05" w:rsidP="00A34B05">
      <w:pPr>
        <w:pStyle w:val="BodyText"/>
      </w:pPr>
      <w:r w:rsidRPr="001258F5">
        <w:t xml:space="preserve">In the consultation paper, the GMRG </w:t>
      </w:r>
      <w:r w:rsidR="00074F01" w:rsidRPr="001258F5">
        <w:t xml:space="preserve">agreed with the Standardisation project team’s suggestion that </w:t>
      </w:r>
      <w:r w:rsidRPr="001258F5">
        <w:t>information on the allocation agent and contact details at all the relevant</w:t>
      </w:r>
      <w:r>
        <w:t xml:space="preserve"> points should be published on the BB. </w:t>
      </w:r>
      <w:r w:rsidR="0081513E">
        <w:t xml:space="preserve">The GMRG </w:t>
      </w:r>
      <w:r w:rsidR="00D914EE">
        <w:t xml:space="preserve">did, however, note </w:t>
      </w:r>
      <w:r w:rsidR="00074F01">
        <w:t>that w</w:t>
      </w:r>
      <w:r>
        <w:t xml:space="preserve">hile this may reduce some of the impediments posed by allocation agreements, </w:t>
      </w:r>
      <w:r w:rsidR="00074F01">
        <w:t>it would not address</w:t>
      </w:r>
      <w:r>
        <w:t>:</w:t>
      </w:r>
    </w:p>
    <w:p w14:paraId="642004B1" w14:textId="77777777" w:rsidR="00A34B05" w:rsidRDefault="00074F01" w:rsidP="00A34B05">
      <w:pPr>
        <w:pStyle w:val="ListBullet"/>
      </w:pPr>
      <w:r>
        <w:t xml:space="preserve">the impediments posed by having to </w:t>
      </w:r>
      <w:r w:rsidR="00A34B05">
        <w:t xml:space="preserve">sign up to a number of allocation agreements and to potentially incur administrative costs at all of these points; </w:t>
      </w:r>
    </w:p>
    <w:p w14:paraId="3B60D6D6" w14:textId="77777777" w:rsidR="00A34B05" w:rsidRDefault="00074F01" w:rsidP="00A34B05">
      <w:pPr>
        <w:pStyle w:val="ListBullet"/>
      </w:pPr>
      <w:r>
        <w:t xml:space="preserve">the concerns that had been raised about the potential for </w:t>
      </w:r>
      <w:r w:rsidR="00A34B05">
        <w:t xml:space="preserve">differences in allocation rules where pipelines interconnect </w:t>
      </w:r>
      <w:r>
        <w:t xml:space="preserve">to </w:t>
      </w:r>
      <w:r w:rsidR="00A34B05">
        <w:t>expose shippers to significant costs and risks; and</w:t>
      </w:r>
    </w:p>
    <w:p w14:paraId="0D1EB619" w14:textId="77777777" w:rsidR="00A34B05" w:rsidRDefault="00A34B05" w:rsidP="00A34B05">
      <w:pPr>
        <w:pStyle w:val="ListBullet"/>
      </w:pPr>
      <w:proofErr w:type="gramStart"/>
      <w:r>
        <w:t>the</w:t>
      </w:r>
      <w:proofErr w:type="gramEnd"/>
      <w:r>
        <w:t xml:space="preserve"> </w:t>
      </w:r>
      <w:r w:rsidR="00074F01">
        <w:t xml:space="preserve">potential for contribution agreements and the </w:t>
      </w:r>
      <w:r>
        <w:t xml:space="preserve">control of some receipt and delivery points by shippers </w:t>
      </w:r>
      <w:r w:rsidR="00074F01">
        <w:t xml:space="preserve">to </w:t>
      </w:r>
      <w:r>
        <w:t>impede access</w:t>
      </w:r>
      <w:r w:rsidR="0013374B">
        <w:t xml:space="preserve"> at these points</w:t>
      </w:r>
      <w:r>
        <w:t>.</w:t>
      </w:r>
    </w:p>
    <w:p w14:paraId="6E3C9533" w14:textId="77777777" w:rsidR="00A34B05" w:rsidRDefault="00074F01" w:rsidP="00A34B05">
      <w:pPr>
        <w:pStyle w:val="BodyText"/>
      </w:pPr>
      <w:r>
        <w:t xml:space="preserve">The GMRG therefore sought feedback on </w:t>
      </w:r>
      <w:r w:rsidR="0013374B">
        <w:t xml:space="preserve">how significant these issues were and </w:t>
      </w:r>
      <w:r>
        <w:t>whether additional measures were required</w:t>
      </w:r>
      <w:r w:rsidR="0081513E">
        <w:t xml:space="preserve"> to address these impediments</w:t>
      </w:r>
      <w:r>
        <w:t xml:space="preserve">. </w:t>
      </w:r>
    </w:p>
    <w:p w14:paraId="2534C79B" w14:textId="77777777" w:rsidR="006D41E9" w:rsidRPr="004C667D" w:rsidRDefault="006D41E9" w:rsidP="006D41E9">
      <w:pPr>
        <w:pStyle w:val="Heading6"/>
        <w:spacing w:line="252" w:lineRule="auto"/>
        <w:rPr>
          <w:color w:val="0099CC"/>
        </w:rPr>
      </w:pPr>
      <w:r w:rsidRPr="004C667D">
        <w:rPr>
          <w:color w:val="0099CC"/>
        </w:rPr>
        <w:t xml:space="preserve">Feedback provided </w:t>
      </w:r>
      <w:r w:rsidR="004E791B">
        <w:rPr>
          <w:color w:val="0099CC"/>
        </w:rPr>
        <w:t>through</w:t>
      </w:r>
      <w:r w:rsidRPr="004C667D">
        <w:rPr>
          <w:color w:val="0099CC"/>
        </w:rPr>
        <w:t xml:space="preserve"> the consultation process</w:t>
      </w:r>
    </w:p>
    <w:p w14:paraId="74DA455F" w14:textId="77777777" w:rsidR="00F0670E" w:rsidRDefault="0013374B" w:rsidP="00F0670E">
      <w:pPr>
        <w:pStyle w:val="BodyText"/>
        <w:rPr>
          <w:lang w:eastAsia="en-US"/>
        </w:rPr>
      </w:pPr>
      <w:r w:rsidRPr="004C667D">
        <w:rPr>
          <w:lang w:eastAsia="en-US"/>
        </w:rPr>
        <w:t xml:space="preserve">Stakeholders were generally supportive of the proposal to require information on allocation agents and contact details to be published (either on the BB or service providers’ websites). Mixed views were, however, expressed about </w:t>
      </w:r>
      <w:r w:rsidR="002A7E56">
        <w:rPr>
          <w:lang w:eastAsia="en-US"/>
        </w:rPr>
        <w:t>whether additional measures are required to address the impediments posed by having to sign up to</w:t>
      </w:r>
      <w:r w:rsidR="0013298B">
        <w:rPr>
          <w:lang w:eastAsia="en-US"/>
        </w:rPr>
        <w:t xml:space="preserve"> multiple allocation agreements.</w:t>
      </w:r>
    </w:p>
    <w:p w14:paraId="74A432F6" w14:textId="77777777" w:rsidR="002A7E56" w:rsidRDefault="0032138A" w:rsidP="0013298B">
      <w:pPr>
        <w:pStyle w:val="BodyText"/>
        <w:rPr>
          <w:lang w:eastAsia="en-US"/>
        </w:rPr>
      </w:pPr>
      <w:r w:rsidRPr="004C667D">
        <w:rPr>
          <w:lang w:eastAsia="en-US"/>
        </w:rPr>
        <w:t xml:space="preserve">Shell and APLNG, for example, </w:t>
      </w:r>
      <w:r w:rsidR="004069EF">
        <w:rPr>
          <w:lang w:eastAsia="en-US"/>
        </w:rPr>
        <w:t xml:space="preserve">were of the view </w:t>
      </w:r>
      <w:r w:rsidR="00F0670E">
        <w:rPr>
          <w:lang w:eastAsia="en-US"/>
        </w:rPr>
        <w:t xml:space="preserve">that the requirement to sign up to a number of allocation arrangements </w:t>
      </w:r>
      <w:r w:rsidRPr="004C667D">
        <w:rPr>
          <w:lang w:eastAsia="en-US"/>
        </w:rPr>
        <w:t xml:space="preserve">could </w:t>
      </w:r>
      <w:r w:rsidR="002A7E56">
        <w:rPr>
          <w:lang w:eastAsia="en-US"/>
        </w:rPr>
        <w:t xml:space="preserve">act as a barrier to new entrants </w:t>
      </w:r>
      <w:r w:rsidRPr="004C667D">
        <w:rPr>
          <w:lang w:eastAsia="en-US"/>
        </w:rPr>
        <w:t xml:space="preserve">and </w:t>
      </w:r>
      <w:r w:rsidR="002A7E56">
        <w:rPr>
          <w:lang w:eastAsia="en-US"/>
        </w:rPr>
        <w:t xml:space="preserve">suggested this could be addressed by </w:t>
      </w:r>
      <w:r w:rsidRPr="004C667D">
        <w:rPr>
          <w:lang w:eastAsia="en-US"/>
        </w:rPr>
        <w:t>standardis</w:t>
      </w:r>
      <w:r w:rsidR="00AB5E0F" w:rsidRPr="004C667D">
        <w:rPr>
          <w:lang w:eastAsia="en-US"/>
        </w:rPr>
        <w:t>ing</w:t>
      </w:r>
      <w:r w:rsidRPr="004C667D">
        <w:rPr>
          <w:lang w:eastAsia="en-US"/>
        </w:rPr>
        <w:t xml:space="preserve"> allocation agreements and deeming shippers party to the agreements.</w:t>
      </w:r>
      <w:r w:rsidR="002A7E56" w:rsidRPr="002A7E56">
        <w:rPr>
          <w:rStyle w:val="FootnoteReference"/>
          <w:lang w:eastAsia="en-US"/>
        </w:rPr>
        <w:t xml:space="preserve"> </w:t>
      </w:r>
      <w:r w:rsidRPr="004C667D">
        <w:rPr>
          <w:lang w:eastAsia="en-US"/>
        </w:rPr>
        <w:t xml:space="preserve">AGL, </w:t>
      </w:r>
      <w:proofErr w:type="spellStart"/>
      <w:r w:rsidRPr="004C667D">
        <w:rPr>
          <w:lang w:eastAsia="en-US"/>
        </w:rPr>
        <w:t>EnergyAustralia</w:t>
      </w:r>
      <w:proofErr w:type="spellEnd"/>
      <w:r w:rsidRPr="004C667D">
        <w:rPr>
          <w:lang w:eastAsia="en-US"/>
        </w:rPr>
        <w:t xml:space="preserve">, Origin, Jemena and Epic, on the other hand, </w:t>
      </w:r>
      <w:r w:rsidR="004069EF">
        <w:rPr>
          <w:lang w:eastAsia="en-US"/>
        </w:rPr>
        <w:t xml:space="preserve">indicated that </w:t>
      </w:r>
      <w:r w:rsidRPr="004C667D">
        <w:rPr>
          <w:lang w:eastAsia="en-US"/>
        </w:rPr>
        <w:t xml:space="preserve">this </w:t>
      </w:r>
      <w:r w:rsidR="00F372D4">
        <w:rPr>
          <w:lang w:eastAsia="en-US"/>
        </w:rPr>
        <w:t xml:space="preserve">is </w:t>
      </w:r>
      <w:r w:rsidRPr="004C667D">
        <w:rPr>
          <w:lang w:eastAsia="en-US"/>
        </w:rPr>
        <w:t xml:space="preserve">not a significant impediment to trade and raised concerns with the proposal to </w:t>
      </w:r>
      <w:r w:rsidR="004F6E4A">
        <w:rPr>
          <w:lang w:eastAsia="en-US"/>
        </w:rPr>
        <w:t xml:space="preserve">deem </w:t>
      </w:r>
      <w:r w:rsidR="0013298B">
        <w:rPr>
          <w:lang w:eastAsia="en-US"/>
        </w:rPr>
        <w:t xml:space="preserve">secondary </w:t>
      </w:r>
      <w:r w:rsidR="004F6E4A">
        <w:rPr>
          <w:lang w:eastAsia="en-US"/>
        </w:rPr>
        <w:t>shippers party to the agreements</w:t>
      </w:r>
      <w:r w:rsidRPr="004C667D">
        <w:rPr>
          <w:lang w:eastAsia="en-US"/>
        </w:rPr>
        <w:t xml:space="preserve">. </w:t>
      </w:r>
      <w:r w:rsidR="004F6E4A">
        <w:rPr>
          <w:lang w:eastAsia="en-US"/>
        </w:rPr>
        <w:t xml:space="preserve">Origin also raised concerns about standardising allocation agreements and noted it could adversely affect shippers operating under legacy arrangements, contrary to the AEMC’s recommendation </w:t>
      </w:r>
      <w:r w:rsidR="004F6E4A">
        <w:rPr>
          <w:lang w:eastAsia="en-US"/>
        </w:rPr>
        <w:lastRenderedPageBreak/>
        <w:t xml:space="preserve">that counterparties to existing contracts should not be materially disadvantaged through the standardisation process. AGL, Jemena and Epic also thought standardisation of agreements was unnecessary, while </w:t>
      </w:r>
      <w:proofErr w:type="spellStart"/>
      <w:r w:rsidR="004F6E4A">
        <w:rPr>
          <w:lang w:eastAsia="en-US"/>
        </w:rPr>
        <w:t>EnergyAustralia</w:t>
      </w:r>
      <w:proofErr w:type="spellEnd"/>
      <w:r w:rsidR="004F6E4A">
        <w:rPr>
          <w:lang w:eastAsia="en-US"/>
        </w:rPr>
        <w:t xml:space="preserve"> </w:t>
      </w:r>
      <w:r w:rsidR="00F372D4">
        <w:rPr>
          <w:lang w:eastAsia="en-US"/>
        </w:rPr>
        <w:t xml:space="preserve">suggested that </w:t>
      </w:r>
      <w:r w:rsidR="004F6E4A">
        <w:rPr>
          <w:lang w:eastAsia="en-US"/>
        </w:rPr>
        <w:t>it could be explored.</w:t>
      </w:r>
    </w:p>
    <w:p w14:paraId="5A440578" w14:textId="77777777" w:rsidR="002D522E" w:rsidRDefault="00AB5E0F" w:rsidP="0013298B">
      <w:pPr>
        <w:pStyle w:val="BodyText"/>
        <w:rPr>
          <w:lang w:eastAsia="en-US"/>
        </w:rPr>
      </w:pPr>
      <w:r w:rsidRPr="004C667D">
        <w:rPr>
          <w:lang w:eastAsia="en-US"/>
        </w:rPr>
        <w:t xml:space="preserve">APA also noted in its submission that it did not think allocation agreements </w:t>
      </w:r>
      <w:r w:rsidR="00374681">
        <w:rPr>
          <w:lang w:eastAsia="en-US"/>
        </w:rPr>
        <w:t>should be seen as</w:t>
      </w:r>
      <w:r w:rsidRPr="004C667D">
        <w:rPr>
          <w:lang w:eastAsia="en-US"/>
        </w:rPr>
        <w:t xml:space="preserve"> an impediment to trade. It did, however, note </w:t>
      </w:r>
      <w:r w:rsidR="002D522E">
        <w:rPr>
          <w:lang w:eastAsia="en-US"/>
        </w:rPr>
        <w:t xml:space="preserve">that </w:t>
      </w:r>
      <w:r w:rsidR="0014060C" w:rsidRPr="004C667D">
        <w:rPr>
          <w:lang w:eastAsia="en-US"/>
        </w:rPr>
        <w:t xml:space="preserve">it would be preferable for trading activities to occur </w:t>
      </w:r>
      <w:r w:rsidRPr="004C667D">
        <w:rPr>
          <w:lang w:eastAsia="en-US"/>
        </w:rPr>
        <w:t xml:space="preserve">at in-pipe trade points, rather than via allocation stacks at receipt and delivery points, </w:t>
      </w:r>
      <w:r w:rsidR="0014060C" w:rsidRPr="004C667D">
        <w:rPr>
          <w:lang w:eastAsia="en-US"/>
        </w:rPr>
        <w:t>because</w:t>
      </w:r>
      <w:r w:rsidR="002D522E">
        <w:rPr>
          <w:lang w:eastAsia="en-US"/>
        </w:rPr>
        <w:t>:</w:t>
      </w:r>
      <w:r w:rsidR="0014060C" w:rsidRPr="004C667D">
        <w:rPr>
          <w:lang w:eastAsia="en-US"/>
        </w:rPr>
        <w:t xml:space="preserve"> </w:t>
      </w:r>
    </w:p>
    <w:p w14:paraId="7E92C167" w14:textId="77777777" w:rsidR="002D522E" w:rsidRDefault="00AB5E0F" w:rsidP="002D522E">
      <w:pPr>
        <w:pStyle w:val="ListBullet"/>
        <w:rPr>
          <w:lang w:eastAsia="en-US"/>
        </w:rPr>
      </w:pPr>
      <w:r w:rsidRPr="004C667D">
        <w:rPr>
          <w:lang w:eastAsia="en-US"/>
        </w:rPr>
        <w:t>these points are accessible to all shippers</w:t>
      </w:r>
      <w:r w:rsidR="002D522E">
        <w:rPr>
          <w:lang w:eastAsia="en-US"/>
        </w:rPr>
        <w:t>;</w:t>
      </w:r>
      <w:r w:rsidRPr="004C667D">
        <w:rPr>
          <w:lang w:eastAsia="en-US"/>
        </w:rPr>
        <w:t xml:space="preserve"> </w:t>
      </w:r>
    </w:p>
    <w:p w14:paraId="5F129370" w14:textId="77777777" w:rsidR="002D522E" w:rsidRDefault="00AB5E0F" w:rsidP="002D522E">
      <w:pPr>
        <w:pStyle w:val="ListBullet"/>
        <w:rPr>
          <w:lang w:eastAsia="en-US"/>
        </w:rPr>
      </w:pPr>
      <w:r w:rsidRPr="004C667D">
        <w:rPr>
          <w:lang w:eastAsia="en-US"/>
        </w:rPr>
        <w:t>allocations are deemed and not subject to physical variations</w:t>
      </w:r>
      <w:r w:rsidR="002D522E">
        <w:rPr>
          <w:lang w:eastAsia="en-US"/>
        </w:rPr>
        <w:t>;</w:t>
      </w:r>
      <w:r w:rsidRPr="004C667D">
        <w:rPr>
          <w:lang w:eastAsia="en-US"/>
        </w:rPr>
        <w:t xml:space="preserve"> and </w:t>
      </w:r>
    </w:p>
    <w:p w14:paraId="66AF15D0" w14:textId="77777777" w:rsidR="002D522E" w:rsidRDefault="0014060C" w:rsidP="002D522E">
      <w:pPr>
        <w:pStyle w:val="ListBullet"/>
        <w:rPr>
          <w:lang w:eastAsia="en-US"/>
        </w:rPr>
      </w:pPr>
      <w:proofErr w:type="gramStart"/>
      <w:r w:rsidRPr="004C667D">
        <w:rPr>
          <w:lang w:eastAsia="en-US"/>
        </w:rPr>
        <w:t>there</w:t>
      </w:r>
      <w:proofErr w:type="gramEnd"/>
      <w:r w:rsidRPr="004C667D">
        <w:rPr>
          <w:lang w:eastAsia="en-US"/>
        </w:rPr>
        <w:t xml:space="preserve"> is greater transparency at these points. </w:t>
      </w:r>
    </w:p>
    <w:p w14:paraId="65E4BC81" w14:textId="77777777" w:rsidR="0013374B" w:rsidRDefault="00374681" w:rsidP="0013298B">
      <w:pPr>
        <w:pStyle w:val="BodyText"/>
        <w:rPr>
          <w:lang w:eastAsia="en-US"/>
        </w:rPr>
      </w:pPr>
      <w:r>
        <w:rPr>
          <w:lang w:eastAsia="en-US"/>
        </w:rPr>
        <w:t>This</w:t>
      </w:r>
      <w:r w:rsidR="0014060C" w:rsidRPr="004C667D">
        <w:rPr>
          <w:lang w:eastAsia="en-US"/>
        </w:rPr>
        <w:t xml:space="preserve"> view </w:t>
      </w:r>
      <w:r w:rsidR="00F372D4">
        <w:rPr>
          <w:lang w:eastAsia="en-US"/>
        </w:rPr>
        <w:t xml:space="preserve">was supported </w:t>
      </w:r>
      <w:r w:rsidR="0014060C" w:rsidRPr="004C667D">
        <w:rPr>
          <w:lang w:eastAsia="en-US"/>
        </w:rPr>
        <w:t xml:space="preserve">by </w:t>
      </w:r>
      <w:r w:rsidR="008760EB">
        <w:rPr>
          <w:lang w:eastAsia="en-US"/>
        </w:rPr>
        <w:t xml:space="preserve">one </w:t>
      </w:r>
      <w:r w:rsidR="0014060C" w:rsidRPr="004C667D">
        <w:rPr>
          <w:lang w:eastAsia="en-US"/>
        </w:rPr>
        <w:t>shipper in bilateral discussions,</w:t>
      </w:r>
      <w:r w:rsidR="004C667D">
        <w:rPr>
          <w:lang w:eastAsia="en-US"/>
        </w:rPr>
        <w:t xml:space="preserve"> </w:t>
      </w:r>
      <w:r w:rsidR="00F372D4">
        <w:rPr>
          <w:lang w:eastAsia="en-US"/>
        </w:rPr>
        <w:t xml:space="preserve">who suggested </w:t>
      </w:r>
      <w:r w:rsidR="004C667D">
        <w:rPr>
          <w:lang w:eastAsia="en-US"/>
        </w:rPr>
        <w:t>that in-pipe trad</w:t>
      </w:r>
      <w:r w:rsidR="001258F5">
        <w:rPr>
          <w:lang w:eastAsia="en-US"/>
        </w:rPr>
        <w:t>ing</w:t>
      </w:r>
      <w:r w:rsidR="0014060C" w:rsidRPr="004C667D">
        <w:rPr>
          <w:lang w:eastAsia="en-US"/>
        </w:rPr>
        <w:t xml:space="preserve"> points could greatly simplify arrangements</w:t>
      </w:r>
      <w:r w:rsidR="003B5B17">
        <w:rPr>
          <w:lang w:eastAsia="en-US"/>
        </w:rPr>
        <w:t xml:space="preserve"> and enable trades to occur with counterparties adjacent to the physical points</w:t>
      </w:r>
      <w:r w:rsidR="0014060C" w:rsidRPr="004C667D">
        <w:rPr>
          <w:lang w:eastAsia="en-US"/>
        </w:rPr>
        <w:t>.</w:t>
      </w:r>
      <w:r w:rsidR="003B5B17">
        <w:rPr>
          <w:lang w:eastAsia="en-US"/>
        </w:rPr>
        <w:t xml:space="preserve"> This shipper also noted in-pipe trading points would be particularly useful at points adjacent to the DWGM and the STTM</w:t>
      </w:r>
      <w:r w:rsidR="002D522E">
        <w:rPr>
          <w:lang w:eastAsia="en-US"/>
        </w:rPr>
        <w:t>s</w:t>
      </w:r>
      <w:r w:rsidR="003B5B17">
        <w:rPr>
          <w:lang w:eastAsia="en-US"/>
        </w:rPr>
        <w:t xml:space="preserve">, </w:t>
      </w:r>
      <w:r w:rsidR="00F372D4">
        <w:rPr>
          <w:lang w:eastAsia="en-US"/>
        </w:rPr>
        <w:t xml:space="preserve">to enable </w:t>
      </w:r>
      <w:r w:rsidR="003B5B17">
        <w:rPr>
          <w:lang w:eastAsia="en-US"/>
        </w:rPr>
        <w:t xml:space="preserve">producers </w:t>
      </w:r>
      <w:r w:rsidR="00F372D4">
        <w:rPr>
          <w:lang w:eastAsia="en-US"/>
        </w:rPr>
        <w:t xml:space="preserve">wishing </w:t>
      </w:r>
      <w:r w:rsidR="003B5B17">
        <w:rPr>
          <w:lang w:eastAsia="en-US"/>
        </w:rPr>
        <w:t xml:space="preserve">to transport gas to customers in these locations, but do not necessarily want to participate in the </w:t>
      </w:r>
      <w:r w:rsidR="00F43C13">
        <w:rPr>
          <w:lang w:eastAsia="en-US"/>
        </w:rPr>
        <w:t>facilitated markets</w:t>
      </w:r>
      <w:r w:rsidR="00F372D4">
        <w:rPr>
          <w:lang w:eastAsia="en-US"/>
        </w:rPr>
        <w:t>,</w:t>
      </w:r>
      <w:r w:rsidR="00F43C13">
        <w:rPr>
          <w:lang w:eastAsia="en-US"/>
        </w:rPr>
        <w:t xml:space="preserve"> </w:t>
      </w:r>
      <w:r w:rsidR="00F372D4">
        <w:rPr>
          <w:lang w:eastAsia="en-US"/>
        </w:rPr>
        <w:t xml:space="preserve">to </w:t>
      </w:r>
      <w:r w:rsidR="003B5B17">
        <w:rPr>
          <w:lang w:eastAsia="en-US"/>
        </w:rPr>
        <w:t xml:space="preserve">do so without having to deal with the costs and complexities associated with allocation agreements at these points.  </w:t>
      </w:r>
    </w:p>
    <w:p w14:paraId="132088F1" w14:textId="77777777" w:rsidR="002A7E56" w:rsidRDefault="0013298B" w:rsidP="00F0670E">
      <w:pPr>
        <w:pStyle w:val="BodyText"/>
        <w:rPr>
          <w:lang w:eastAsia="en-US"/>
        </w:rPr>
      </w:pPr>
      <w:r>
        <w:rPr>
          <w:lang w:eastAsia="en-US"/>
        </w:rPr>
        <w:t xml:space="preserve">Stakeholders also expressed diverse </w:t>
      </w:r>
      <w:r w:rsidR="00EC54C4">
        <w:rPr>
          <w:lang w:eastAsia="en-US"/>
        </w:rPr>
        <w:t xml:space="preserve">views </w:t>
      </w:r>
      <w:r>
        <w:rPr>
          <w:lang w:eastAsia="en-US"/>
        </w:rPr>
        <w:t xml:space="preserve">on </w:t>
      </w:r>
      <w:r w:rsidR="002A7E56">
        <w:rPr>
          <w:lang w:eastAsia="en-US"/>
        </w:rPr>
        <w:t xml:space="preserve">whether a common allocation rule should be adopted across the </w:t>
      </w:r>
      <w:r w:rsidR="00404659">
        <w:rPr>
          <w:lang w:eastAsia="en-US"/>
        </w:rPr>
        <w:t>east coast</w:t>
      </w:r>
      <w:r w:rsidR="00EC54C4">
        <w:rPr>
          <w:lang w:eastAsia="en-US"/>
        </w:rPr>
        <w:t xml:space="preserve">. </w:t>
      </w:r>
      <w:r w:rsidR="002A7E56">
        <w:rPr>
          <w:lang w:eastAsia="en-US"/>
        </w:rPr>
        <w:t>Jemena and Epic</w:t>
      </w:r>
      <w:r w:rsidR="00EC54C4">
        <w:rPr>
          <w:lang w:eastAsia="en-US"/>
        </w:rPr>
        <w:t>, for instance,</w:t>
      </w:r>
      <w:r w:rsidR="002A7E56">
        <w:rPr>
          <w:lang w:eastAsia="en-US"/>
        </w:rPr>
        <w:t xml:space="preserve"> </w:t>
      </w:r>
      <w:r w:rsidR="00404659">
        <w:rPr>
          <w:lang w:eastAsia="en-US"/>
        </w:rPr>
        <w:t>noted</w:t>
      </w:r>
      <w:r w:rsidR="002A7E56">
        <w:rPr>
          <w:lang w:eastAsia="en-US"/>
        </w:rPr>
        <w:t xml:space="preserve"> that there may be good reasons to have different allocation rules at different points</w:t>
      </w:r>
      <w:r w:rsidR="00404659">
        <w:rPr>
          <w:lang w:eastAsia="en-US"/>
        </w:rPr>
        <w:t xml:space="preserve"> and that standardisation may result in a loss of flexibility in the market.</w:t>
      </w:r>
      <w:r w:rsidR="002A7E56">
        <w:rPr>
          <w:lang w:eastAsia="en-US"/>
        </w:rPr>
        <w:t xml:space="preserve"> </w:t>
      </w:r>
      <w:r w:rsidR="00404659">
        <w:rPr>
          <w:lang w:eastAsia="en-US"/>
        </w:rPr>
        <w:t xml:space="preserve">APLNG, on the other hand, </w:t>
      </w:r>
      <w:r w:rsidR="00F372D4">
        <w:rPr>
          <w:lang w:eastAsia="en-US"/>
        </w:rPr>
        <w:t xml:space="preserve">suggested </w:t>
      </w:r>
      <w:r w:rsidR="00404659">
        <w:rPr>
          <w:lang w:eastAsia="en-US"/>
        </w:rPr>
        <w:t xml:space="preserve">that there should </w:t>
      </w:r>
      <w:r>
        <w:rPr>
          <w:lang w:eastAsia="en-US"/>
        </w:rPr>
        <w:t xml:space="preserve">only be </w:t>
      </w:r>
      <w:r w:rsidR="00404659">
        <w:rPr>
          <w:lang w:eastAsia="en-US"/>
        </w:rPr>
        <w:t xml:space="preserve">limited points where a standard pro-rata allocation is not utilised. While AGL did not think a market wide rule was required, it did </w:t>
      </w:r>
      <w:r w:rsidR="00F372D4">
        <w:rPr>
          <w:lang w:eastAsia="en-US"/>
        </w:rPr>
        <w:t xml:space="preserve">suggest </w:t>
      </w:r>
      <w:r w:rsidR="00404659">
        <w:rPr>
          <w:lang w:eastAsia="en-US"/>
        </w:rPr>
        <w:t>there could be value in implementing a consistent allocation rule across interconnected pipelines and noted that an area that would benefit from such an approach, is Moomba. Moomba was also identified by a number of other shippers in bilateral discussions as a location that would benefit from a common allocation rule</w:t>
      </w:r>
      <w:r>
        <w:rPr>
          <w:lang w:eastAsia="en-US"/>
        </w:rPr>
        <w:t>, with some noting that gas had been ‘lost’ at Moomba as a result of the differences in allocation rules currently in place</w:t>
      </w:r>
      <w:r w:rsidR="00404659">
        <w:rPr>
          <w:lang w:eastAsia="en-US"/>
        </w:rPr>
        <w:t xml:space="preserve">. </w:t>
      </w:r>
    </w:p>
    <w:p w14:paraId="6232447D" w14:textId="77777777" w:rsidR="0013374B" w:rsidRPr="00ED1444" w:rsidRDefault="004F6E4A" w:rsidP="004F6E4A">
      <w:pPr>
        <w:pStyle w:val="BodyText"/>
        <w:rPr>
          <w:b/>
          <w:lang w:eastAsia="en-US"/>
        </w:rPr>
      </w:pPr>
      <w:r w:rsidRPr="00ED1444">
        <w:rPr>
          <w:lang w:eastAsia="en-US"/>
        </w:rPr>
        <w:t>The final matter that stakeholders commented on was the barriers</w:t>
      </w:r>
      <w:r w:rsidR="0013374B" w:rsidRPr="00ED1444">
        <w:rPr>
          <w:lang w:eastAsia="en-US"/>
        </w:rPr>
        <w:t xml:space="preserve"> posed by </w:t>
      </w:r>
      <w:r w:rsidR="00F0670E" w:rsidRPr="00ED1444">
        <w:rPr>
          <w:lang w:eastAsia="en-US"/>
        </w:rPr>
        <w:t xml:space="preserve">shippers controlling points and </w:t>
      </w:r>
      <w:r w:rsidR="0013374B" w:rsidRPr="00ED1444">
        <w:rPr>
          <w:lang w:eastAsia="en-US"/>
        </w:rPr>
        <w:t>contribution</w:t>
      </w:r>
      <w:r w:rsidR="00F0670E" w:rsidRPr="00ED1444">
        <w:rPr>
          <w:lang w:eastAsia="en-US"/>
        </w:rPr>
        <w:t xml:space="preserve"> agreements</w:t>
      </w:r>
      <w:r w:rsidRPr="00ED1444">
        <w:rPr>
          <w:lang w:eastAsia="en-US"/>
        </w:rPr>
        <w:t>. Mixed views were expressed on whether this is an impediment, with AGL stating that if contribution agreements and charges apply to all shippers in a fair and transparent manner</w:t>
      </w:r>
      <w:r w:rsidR="00ED1444" w:rsidRPr="00ED1444">
        <w:rPr>
          <w:lang w:eastAsia="en-US"/>
        </w:rPr>
        <w:t xml:space="preserve"> they </w:t>
      </w:r>
      <w:r w:rsidRPr="00ED1444">
        <w:rPr>
          <w:lang w:eastAsia="en-US"/>
        </w:rPr>
        <w:t xml:space="preserve">should </w:t>
      </w:r>
      <w:r w:rsidR="00ED1444" w:rsidRPr="00ED1444">
        <w:rPr>
          <w:lang w:eastAsia="en-US"/>
        </w:rPr>
        <w:t xml:space="preserve">not </w:t>
      </w:r>
      <w:r w:rsidRPr="00ED1444">
        <w:rPr>
          <w:lang w:eastAsia="en-US"/>
        </w:rPr>
        <w:t xml:space="preserve">be </w:t>
      </w:r>
      <w:r w:rsidR="00ED1444" w:rsidRPr="00ED1444">
        <w:rPr>
          <w:lang w:eastAsia="en-US"/>
        </w:rPr>
        <w:t>a barrier to trade</w:t>
      </w:r>
      <w:r w:rsidRPr="00ED1444">
        <w:rPr>
          <w:lang w:eastAsia="en-US"/>
        </w:rPr>
        <w:t xml:space="preserve">, while </w:t>
      </w:r>
      <w:proofErr w:type="spellStart"/>
      <w:r w:rsidRPr="00ED1444">
        <w:rPr>
          <w:lang w:eastAsia="en-US"/>
        </w:rPr>
        <w:t>EnergyAustralia</w:t>
      </w:r>
      <w:proofErr w:type="spellEnd"/>
      <w:r w:rsidRPr="00ED1444">
        <w:rPr>
          <w:lang w:eastAsia="en-US"/>
        </w:rPr>
        <w:t xml:space="preserve"> </w:t>
      </w:r>
      <w:r w:rsidR="00F372D4">
        <w:rPr>
          <w:lang w:eastAsia="en-US"/>
        </w:rPr>
        <w:t xml:space="preserve">indicated </w:t>
      </w:r>
      <w:r w:rsidRPr="00ED1444">
        <w:rPr>
          <w:lang w:eastAsia="en-US"/>
        </w:rPr>
        <w:t xml:space="preserve">that they could act as a barrier to trade. </w:t>
      </w:r>
      <w:r w:rsidR="00ED1444" w:rsidRPr="00ED1444">
        <w:rPr>
          <w:lang w:eastAsia="en-US"/>
        </w:rPr>
        <w:t xml:space="preserve">In bilateral discussions, a number of market participants </w:t>
      </w:r>
      <w:r w:rsidR="00ED1444">
        <w:rPr>
          <w:lang w:eastAsia="en-US"/>
        </w:rPr>
        <w:t xml:space="preserve">also </w:t>
      </w:r>
      <w:r w:rsidR="00ED1444" w:rsidRPr="00ED1444">
        <w:rPr>
          <w:lang w:eastAsia="en-US"/>
        </w:rPr>
        <w:t xml:space="preserve">noted these arrangements have been used to block or otherwise impede access. </w:t>
      </w:r>
    </w:p>
    <w:p w14:paraId="3D7A5F6E" w14:textId="77777777" w:rsidR="006D41E9" w:rsidRPr="008C18E7" w:rsidRDefault="006D41E9" w:rsidP="006D41E9">
      <w:pPr>
        <w:pStyle w:val="Heading6"/>
        <w:spacing w:line="252" w:lineRule="auto"/>
        <w:rPr>
          <w:color w:val="0099CC"/>
        </w:rPr>
      </w:pPr>
      <w:r w:rsidRPr="008C18E7">
        <w:rPr>
          <w:color w:val="0099CC"/>
        </w:rPr>
        <w:t xml:space="preserve">GMRG’s final recommendations </w:t>
      </w:r>
    </w:p>
    <w:p w14:paraId="1AABC7A5" w14:textId="77777777" w:rsidR="005E20BA" w:rsidRDefault="004B0246" w:rsidP="003B5FFE">
      <w:pPr>
        <w:pStyle w:val="BodyText"/>
      </w:pPr>
      <w:r>
        <w:t>The GMRG understands that the opaqueness surrounding allocation agreements could act as an impediment to trade</w:t>
      </w:r>
      <w:r w:rsidR="00164F8C">
        <w:t xml:space="preserve"> and </w:t>
      </w:r>
      <w:r w:rsidR="007741AF">
        <w:t xml:space="preserve">is therefore recommending that </w:t>
      </w:r>
      <w:r w:rsidR="007D768E">
        <w:t>information on allocation agent</w:t>
      </w:r>
      <w:r w:rsidR="00EC54C4">
        <w:t>s</w:t>
      </w:r>
      <w:r w:rsidR="00F372D4">
        <w:t xml:space="preserve"> at all the relevant points in the east coast and their contact details </w:t>
      </w:r>
      <w:r w:rsidR="00164F8C">
        <w:t xml:space="preserve">be published </w:t>
      </w:r>
      <w:r w:rsidR="007D768E">
        <w:t xml:space="preserve">on the </w:t>
      </w:r>
      <w:r w:rsidR="00D30EB7">
        <w:t>BB</w:t>
      </w:r>
      <w:r>
        <w:t xml:space="preserve">. </w:t>
      </w:r>
      <w:r w:rsidR="005E20BA">
        <w:t xml:space="preserve">In the GMRG’s view, this measure will promote the NGO because it </w:t>
      </w:r>
      <w:r w:rsidR="0013298B">
        <w:t xml:space="preserve">is a relatively low cost measure and </w:t>
      </w:r>
      <w:r w:rsidR="005E20BA">
        <w:t xml:space="preserve">will reduce the search and transaction costs secondary shippers would otherwise face. </w:t>
      </w:r>
    </w:p>
    <w:p w14:paraId="4B16BFC3" w14:textId="77777777" w:rsidR="00B50F08" w:rsidRDefault="003B5FFE" w:rsidP="00EC54C4">
      <w:pPr>
        <w:pStyle w:val="BodyText"/>
        <w:rPr>
          <w:szCs w:val="18"/>
        </w:rPr>
      </w:pPr>
      <w:r>
        <w:lastRenderedPageBreak/>
        <w:t xml:space="preserve">This measure on its own will not, however, be sufficient to address some of the other impediments to trade posed by allocation arrangements. While the </w:t>
      </w:r>
      <w:r w:rsidR="00F372D4">
        <w:t xml:space="preserve">stakeholder </w:t>
      </w:r>
      <w:r>
        <w:t xml:space="preserve">feedback </w:t>
      </w:r>
      <w:r w:rsidR="00F372D4">
        <w:t xml:space="preserve">received to date </w:t>
      </w:r>
      <w:r>
        <w:t xml:space="preserve">has provided </w:t>
      </w:r>
      <w:r w:rsidR="00F372D4">
        <w:t xml:space="preserve">some </w:t>
      </w:r>
      <w:r>
        <w:t>insight into the nature of these impediments</w:t>
      </w:r>
      <w:r w:rsidR="00A9584B">
        <w:t xml:space="preserve"> and identified some potential solutions</w:t>
      </w:r>
      <w:r>
        <w:t xml:space="preserve">, the GMRG </w:t>
      </w:r>
      <w:r w:rsidR="00F372D4">
        <w:t xml:space="preserve">is of the view that </w:t>
      </w:r>
      <w:r>
        <w:t xml:space="preserve">there would be value in carrying out </w:t>
      </w:r>
      <w:r w:rsidR="0013298B">
        <w:t xml:space="preserve">more detailed </w:t>
      </w:r>
      <w:r>
        <w:t xml:space="preserve">work on this issue with AEMO and </w:t>
      </w:r>
      <w:r w:rsidR="0013298B">
        <w:t xml:space="preserve">market participants </w:t>
      </w:r>
      <w:r>
        <w:t>in early 2018</w:t>
      </w:r>
      <w:r w:rsidR="00A9584B">
        <w:rPr>
          <w:szCs w:val="18"/>
        </w:rPr>
        <w:t xml:space="preserve">. </w:t>
      </w:r>
      <w:r w:rsidR="008554C6">
        <w:rPr>
          <w:szCs w:val="18"/>
        </w:rPr>
        <w:t>Specifically, there would be value in carrying out further work</w:t>
      </w:r>
      <w:r w:rsidR="00B50F08">
        <w:rPr>
          <w:szCs w:val="18"/>
        </w:rPr>
        <w:t xml:space="preserve"> to:</w:t>
      </w:r>
    </w:p>
    <w:p w14:paraId="42C765DF" w14:textId="77777777" w:rsidR="00A9584B" w:rsidRDefault="00B50F08" w:rsidP="000D2CE5">
      <w:pPr>
        <w:pStyle w:val="ListBullet"/>
      </w:pPr>
      <w:r>
        <w:t xml:space="preserve">address the allocation issues that have been identified at Moomba and </w:t>
      </w:r>
      <w:r w:rsidR="00B638FE">
        <w:t xml:space="preserve">develop a common </w:t>
      </w:r>
      <w:r w:rsidR="00A9584B">
        <w:t xml:space="preserve">allocation rule </w:t>
      </w:r>
      <w:r w:rsidR="00B638FE">
        <w:t xml:space="preserve">that can be used </w:t>
      </w:r>
      <w:r w:rsidR="00A9584B">
        <w:t xml:space="preserve">at </w:t>
      </w:r>
      <w:r w:rsidR="00B638FE">
        <w:t xml:space="preserve">other </w:t>
      </w:r>
      <w:r w:rsidR="00A9584B">
        <w:t xml:space="preserve">key </w:t>
      </w:r>
      <w:r w:rsidR="0013298B">
        <w:t xml:space="preserve">interconnection </w:t>
      </w:r>
      <w:r w:rsidR="00A9584B">
        <w:t>points</w:t>
      </w:r>
      <w:r w:rsidR="00B638FE">
        <w:t xml:space="preserve"> </w:t>
      </w:r>
      <w:r w:rsidR="008554C6">
        <w:t>in the east coast</w:t>
      </w:r>
      <w:r w:rsidR="00A9584B">
        <w:t>;</w:t>
      </w:r>
    </w:p>
    <w:p w14:paraId="769BE12B" w14:textId="77777777" w:rsidR="008554C6" w:rsidRDefault="000D2CE5" w:rsidP="000D2CE5">
      <w:pPr>
        <w:pStyle w:val="ListBullet"/>
      </w:pPr>
      <w:r>
        <w:t xml:space="preserve">assess the merits of the solutions that </w:t>
      </w:r>
      <w:r w:rsidR="00B50F08">
        <w:t xml:space="preserve">stakeholders </w:t>
      </w:r>
      <w:r w:rsidR="0013298B">
        <w:t>suggested</w:t>
      </w:r>
      <w:r>
        <w:t xml:space="preserve"> could be used to </w:t>
      </w:r>
      <w:r w:rsidR="00B50F08">
        <w:t xml:space="preserve">overcome the impediments posed by allocation arrangements </w:t>
      </w:r>
      <w:r>
        <w:t xml:space="preserve">(e.g. </w:t>
      </w:r>
      <w:r w:rsidR="0013298B">
        <w:t xml:space="preserve">making greater use of </w:t>
      </w:r>
      <w:r w:rsidR="00A9584B">
        <w:t>in-pipe trading points</w:t>
      </w:r>
      <w:r>
        <w:t xml:space="preserve">, standardising allocation arrangements or deeming </w:t>
      </w:r>
      <w:r w:rsidR="0013298B">
        <w:t xml:space="preserve">secondary </w:t>
      </w:r>
      <w:r>
        <w:t>shippers to be a party to an allocation arrangement)</w:t>
      </w:r>
      <w:r w:rsidR="00B638FE">
        <w:t>;</w:t>
      </w:r>
      <w:r>
        <w:t xml:space="preserve"> and</w:t>
      </w:r>
    </w:p>
    <w:p w14:paraId="551A218F" w14:textId="77777777" w:rsidR="00B50F08" w:rsidRDefault="000D2CE5" w:rsidP="000D2CE5">
      <w:pPr>
        <w:pStyle w:val="ListBullet"/>
      </w:pPr>
      <w:proofErr w:type="gramStart"/>
      <w:r>
        <w:t>determine</w:t>
      </w:r>
      <w:proofErr w:type="gramEnd"/>
      <w:r>
        <w:t xml:space="preserve"> </w:t>
      </w:r>
      <w:r w:rsidR="00B50F08">
        <w:t xml:space="preserve">whether any specific measures need to be implemented to </w:t>
      </w:r>
      <w:r>
        <w:t xml:space="preserve">prohibit shippers from using allocation or contribution agreements to prevent access to individual receipt or delivery points. </w:t>
      </w:r>
    </w:p>
    <w:p w14:paraId="66865D5D" w14:textId="77777777" w:rsidR="00F372D4" w:rsidRDefault="00F372D4" w:rsidP="00F372D4">
      <w:pPr>
        <w:pStyle w:val="BodyText"/>
      </w:pPr>
      <w:r>
        <w:t>In addition to these matters, the GMRG intends to work with the ACCC in early 2018 on whether there is value in publishing any other information on allocation agreements to reduce the opaqueness in the gas market.</w:t>
      </w:r>
    </w:p>
    <w:p w14:paraId="4BB8A0A3" w14:textId="77777777" w:rsidR="000D2CE5" w:rsidRDefault="000D2CE5" w:rsidP="000B7C10">
      <w:pPr>
        <w:pStyle w:val="BodyText"/>
      </w:pPr>
      <w:r>
        <w:t xml:space="preserve">The GMRG recommends the Energy Council task it to carry out this work in </w:t>
      </w:r>
      <w:r w:rsidR="00017884">
        <w:t xml:space="preserve">early </w:t>
      </w:r>
      <w:r>
        <w:t>2018</w:t>
      </w:r>
      <w:r w:rsidR="00017884">
        <w:t xml:space="preserve"> and provide its recommendations to SCO and the Energy Council by mid-2018</w:t>
      </w:r>
      <w:r>
        <w:t>.</w:t>
      </w:r>
    </w:p>
    <w:p w14:paraId="04F75D9E" w14:textId="77777777" w:rsidR="00377EC4" w:rsidRDefault="00377EC4" w:rsidP="00377EC4">
      <w:pPr>
        <w:pStyle w:val="Heading2"/>
      </w:pPr>
      <w:bookmarkStart w:id="112" w:name="_Ref490307070"/>
      <w:bookmarkStart w:id="113" w:name="_Toc499542656"/>
      <w:r>
        <w:t>Contractual limitations on capacity trading in primary GTAs</w:t>
      </w:r>
      <w:bookmarkEnd w:id="112"/>
      <w:bookmarkEnd w:id="113"/>
    </w:p>
    <w:p w14:paraId="20CF260E" w14:textId="77777777" w:rsidR="006D41E9" w:rsidRPr="008C18E7" w:rsidRDefault="006D41E9" w:rsidP="008C18E7">
      <w:pPr>
        <w:pStyle w:val="Heading6"/>
        <w:spacing w:line="252" w:lineRule="auto"/>
        <w:rPr>
          <w:color w:val="0099CC"/>
        </w:rPr>
      </w:pPr>
      <w:bookmarkStart w:id="114" w:name="_Hlk490580347"/>
      <w:r w:rsidRPr="008C18E7">
        <w:rPr>
          <w:color w:val="0099CC"/>
        </w:rPr>
        <w:t xml:space="preserve">Background </w:t>
      </w:r>
    </w:p>
    <w:p w14:paraId="45F3AEA4" w14:textId="77777777" w:rsidR="00A156CD" w:rsidRPr="00D73CE9" w:rsidRDefault="004469F5" w:rsidP="008200C8">
      <w:pPr>
        <w:pStyle w:val="BodyText"/>
      </w:pPr>
      <w:r w:rsidRPr="00D73CE9">
        <w:t xml:space="preserve">The GMRG understands from discussions with </w:t>
      </w:r>
      <w:r w:rsidR="003B038E" w:rsidRPr="00D73CE9">
        <w:t xml:space="preserve">a number of </w:t>
      </w:r>
      <w:r w:rsidRPr="00D73CE9">
        <w:t xml:space="preserve">stakeholders </w:t>
      </w:r>
      <w:r w:rsidR="00DD33FF" w:rsidRPr="00D73CE9">
        <w:t xml:space="preserve">and </w:t>
      </w:r>
      <w:r w:rsidR="000834AE" w:rsidRPr="00D73CE9">
        <w:t xml:space="preserve">the feedback provided </w:t>
      </w:r>
      <w:r w:rsidR="005F1123">
        <w:t xml:space="preserve">to the AEMC </w:t>
      </w:r>
      <w:r w:rsidR="000834AE" w:rsidRPr="00D73CE9">
        <w:t xml:space="preserve">in the </w:t>
      </w:r>
      <w:r w:rsidR="005E3347" w:rsidRPr="005E3347">
        <w:rPr>
          <w:i/>
        </w:rPr>
        <w:t>East Coast Review</w:t>
      </w:r>
      <w:r w:rsidR="000834AE" w:rsidRPr="00D73CE9">
        <w:t xml:space="preserve"> </w:t>
      </w:r>
      <w:r w:rsidRPr="00D73CE9">
        <w:t xml:space="preserve">that </w:t>
      </w:r>
      <w:r w:rsidR="003B038E" w:rsidRPr="00D73CE9">
        <w:t>there may be provisions in some primary GTAs that limit</w:t>
      </w:r>
      <w:r w:rsidR="000834AE" w:rsidRPr="00D73CE9">
        <w:t xml:space="preserve"> the ability of shippers to trade capacity</w:t>
      </w:r>
      <w:r w:rsidR="00836AD5" w:rsidRPr="00D73CE9">
        <w:t>, or otherwise discourage or impede trade</w:t>
      </w:r>
      <w:r w:rsidR="003B038E" w:rsidRPr="00D73CE9">
        <w:t xml:space="preserve">. </w:t>
      </w:r>
    </w:p>
    <w:p w14:paraId="307FB554" w14:textId="77777777" w:rsidR="003B038E" w:rsidRPr="00D73CE9" w:rsidRDefault="000834AE" w:rsidP="008200C8">
      <w:pPr>
        <w:pStyle w:val="BodyText"/>
      </w:pPr>
      <w:r w:rsidRPr="00D73CE9">
        <w:t xml:space="preserve">Some of the examples that </w:t>
      </w:r>
      <w:r w:rsidR="00A156CD" w:rsidRPr="00D73CE9">
        <w:t xml:space="preserve">stakeholders </w:t>
      </w:r>
      <w:r w:rsidRPr="00D73CE9">
        <w:t>cited in this context include</w:t>
      </w:r>
      <w:r w:rsidR="00191841">
        <w:t xml:space="preserve"> provisions that</w:t>
      </w:r>
      <w:r w:rsidRPr="00D73CE9">
        <w:t>:</w:t>
      </w:r>
    </w:p>
    <w:p w14:paraId="2E5C12A3" w14:textId="77777777" w:rsidR="000834AE" w:rsidRDefault="000834AE" w:rsidP="00CF4594">
      <w:pPr>
        <w:pStyle w:val="ListBullet"/>
        <w:numPr>
          <w:ilvl w:val="0"/>
          <w:numId w:val="23"/>
        </w:numPr>
        <w:ind w:left="357" w:hanging="357"/>
      </w:pPr>
      <w:r w:rsidRPr="00D73CE9">
        <w:t xml:space="preserve">prohibit the </w:t>
      </w:r>
      <w:r w:rsidR="005D15AB" w:rsidRPr="00D73CE9">
        <w:t xml:space="preserve">primary </w:t>
      </w:r>
      <w:r w:rsidRPr="00D73CE9">
        <w:t>shipper from trading its</w:t>
      </w:r>
      <w:r w:rsidR="00836AD5" w:rsidRPr="00D73CE9">
        <w:t xml:space="preserve"> capacity</w:t>
      </w:r>
      <w:r w:rsidR="0091147B">
        <w:t xml:space="preserve"> through either a bare transfer or operational transfer</w:t>
      </w:r>
      <w:r w:rsidR="00191841">
        <w:t>,</w:t>
      </w:r>
      <w:r w:rsidR="00401FCB">
        <w:t xml:space="preserve"> </w:t>
      </w:r>
      <w:r w:rsidR="00191841">
        <w:t xml:space="preserve">or </w:t>
      </w:r>
      <w:r w:rsidR="0091147B">
        <w:t>requiring</w:t>
      </w:r>
      <w:r w:rsidRPr="00D73CE9">
        <w:t xml:space="preserve"> </w:t>
      </w:r>
      <w:r w:rsidR="00401FCB">
        <w:t xml:space="preserve">the primary shipper </w:t>
      </w:r>
      <w:r w:rsidRPr="00D73CE9">
        <w:t xml:space="preserve">to obtain the service provider’s consent before </w:t>
      </w:r>
      <w:r w:rsidR="00836AD5" w:rsidRPr="00D73CE9">
        <w:t xml:space="preserve">it can trade </w:t>
      </w:r>
      <w:r w:rsidRPr="00D73CE9">
        <w:t>its capacity</w:t>
      </w:r>
      <w:r w:rsidR="00191841">
        <w:t>;</w:t>
      </w:r>
      <w:r w:rsidR="0013298B" w:rsidRPr="0013298B">
        <w:rPr>
          <w:rStyle w:val="FootnoteReference"/>
        </w:rPr>
        <w:t xml:space="preserve"> </w:t>
      </w:r>
      <w:r w:rsidR="0013298B">
        <w:rPr>
          <w:rStyle w:val="FootnoteReference"/>
        </w:rPr>
        <w:footnoteReference w:id="45"/>
      </w:r>
      <w:r w:rsidR="00191841">
        <w:t xml:space="preserve"> and</w:t>
      </w:r>
    </w:p>
    <w:p w14:paraId="1D43B6C2" w14:textId="77777777" w:rsidR="006676B1" w:rsidRDefault="00CB24DB" w:rsidP="00CF4594">
      <w:pPr>
        <w:pStyle w:val="ListBullet"/>
        <w:numPr>
          <w:ilvl w:val="0"/>
          <w:numId w:val="23"/>
        </w:numPr>
        <w:ind w:left="357" w:hanging="357"/>
      </w:pPr>
      <w:r>
        <w:t>prohibit</w:t>
      </w:r>
      <w:r w:rsidR="0069409B">
        <w:t xml:space="preserve"> the shipper from </w:t>
      </w:r>
      <w:r w:rsidR="00BB2B28">
        <w:t xml:space="preserve">requesting a change to </w:t>
      </w:r>
      <w:r w:rsidR="0069409B">
        <w:t xml:space="preserve">their receipt and delivery points, </w:t>
      </w:r>
      <w:r w:rsidR="00A156CD" w:rsidRPr="00D73CE9">
        <w:t xml:space="preserve">limit the number of changes a shipper can </w:t>
      </w:r>
      <w:r w:rsidR="00BB2B28">
        <w:t>request</w:t>
      </w:r>
      <w:r w:rsidR="00AE38A7">
        <w:t xml:space="preserve"> or otherwise </w:t>
      </w:r>
      <w:r w:rsidR="00191841">
        <w:t>impede</w:t>
      </w:r>
      <w:r w:rsidR="00AC2222">
        <w:t xml:space="preserve"> </w:t>
      </w:r>
      <w:r w:rsidR="00AE38A7">
        <w:t xml:space="preserve">the </w:t>
      </w:r>
      <w:r w:rsidR="00AC2222">
        <w:t>shipper’s ability to change receipt or delivery points</w:t>
      </w:r>
      <w:r w:rsidR="00191841">
        <w:t xml:space="preserve"> (e.g. by charging fees that are higher than the cost of providing this service).</w:t>
      </w:r>
    </w:p>
    <w:p w14:paraId="49C6E527" w14:textId="77777777" w:rsidR="0013298B" w:rsidRPr="005F1123" w:rsidRDefault="0013298B" w:rsidP="005F1123">
      <w:pPr>
        <w:pStyle w:val="BodyText"/>
      </w:pPr>
      <w:r w:rsidRPr="005F1123">
        <w:t>In relation to the latter of the</w:t>
      </w:r>
      <w:r w:rsidR="005F1123" w:rsidRPr="005F1123">
        <w:t xml:space="preserve">se examples, the </w:t>
      </w:r>
      <w:r w:rsidRPr="005F1123">
        <w:t xml:space="preserve">AEMC noted </w:t>
      </w:r>
      <w:r w:rsidR="005F1123" w:rsidRPr="005F1123">
        <w:t xml:space="preserve">in the </w:t>
      </w:r>
      <w:r w:rsidR="005F1123" w:rsidRPr="005F1123">
        <w:rPr>
          <w:i/>
        </w:rPr>
        <w:t xml:space="preserve">East Coast Review </w:t>
      </w:r>
      <w:r w:rsidRPr="005F1123">
        <w:t xml:space="preserve">that non-technical restrictions on changes to receipt and delivery points and the time service providers can take to approve such changes can impede secondary capacity trading. </w:t>
      </w:r>
      <w:r w:rsidR="005F1123" w:rsidRPr="005F1123">
        <w:t xml:space="preserve">The </w:t>
      </w:r>
      <w:r w:rsidR="005F1123" w:rsidRPr="005F1123">
        <w:lastRenderedPageBreak/>
        <w:t>AEMC therefore recommended that shippers be provided greater flexibility to change their receipt and delivery points and noted that the options likely to best achieve this objective would involve:</w:t>
      </w:r>
      <w:r w:rsidR="005F1123">
        <w:rPr>
          <w:rStyle w:val="FootnoteReference"/>
        </w:rPr>
        <w:footnoteReference w:id="46"/>
      </w:r>
    </w:p>
    <w:p w14:paraId="6E51D73E" w14:textId="77777777" w:rsidR="005F1123" w:rsidRPr="005F1123" w:rsidRDefault="005F1123" w:rsidP="005F1123">
      <w:pPr>
        <w:pStyle w:val="ListBullet"/>
      </w:pPr>
      <w:r w:rsidRPr="005F1123">
        <w:t xml:space="preserve">developing zones that cover multiple receipt and delivery points and allowing changes to occur relatively easily within these zones and </w:t>
      </w:r>
      <w:r w:rsidR="00F372D4">
        <w:t xml:space="preserve">by </w:t>
      </w:r>
      <w:r w:rsidRPr="005F1123">
        <w:t xml:space="preserve">putting in place rules that clearly define how changes across zones will be dealt with; </w:t>
      </w:r>
    </w:p>
    <w:p w14:paraId="54BB49B4" w14:textId="77777777" w:rsidR="005F1123" w:rsidRPr="005F1123" w:rsidRDefault="005F1123" w:rsidP="005F1123">
      <w:pPr>
        <w:pStyle w:val="ListBullet"/>
      </w:pPr>
      <w:r w:rsidRPr="005F1123">
        <w:t xml:space="preserve">only allowing pipeline operators to reject changes to receipt and delivery points on technical and operational grounds, as opposed to commercial grounds; and </w:t>
      </w:r>
    </w:p>
    <w:p w14:paraId="300752B0" w14:textId="77777777" w:rsidR="005F1123" w:rsidRPr="005F1123" w:rsidRDefault="005F1123" w:rsidP="005F1123">
      <w:pPr>
        <w:pStyle w:val="ListBullet"/>
      </w:pPr>
      <w:proofErr w:type="gramStart"/>
      <w:r w:rsidRPr="005F1123">
        <w:t>requiring</w:t>
      </w:r>
      <w:proofErr w:type="gramEnd"/>
      <w:r w:rsidRPr="005F1123">
        <w:t xml:space="preserve"> pipeline operators to respond to a request to change a receipt or delivery point within a specified time.</w:t>
      </w:r>
    </w:p>
    <w:p w14:paraId="23FBEAAD" w14:textId="77777777" w:rsidR="005F1123" w:rsidRDefault="005F1123" w:rsidP="0013298B">
      <w:pPr>
        <w:pStyle w:val="BodyText"/>
        <w:widowControl w:val="0"/>
        <w:rPr>
          <w:rFonts w:asciiTheme="majorHAnsi" w:hAnsiTheme="majorHAnsi" w:cstheme="majorHAnsi"/>
        </w:rPr>
      </w:pPr>
      <w:r w:rsidRPr="005F1123">
        <w:t>This</w:t>
      </w:r>
      <w:r w:rsidRPr="005F1123">
        <w:rPr>
          <w:rFonts w:asciiTheme="majorHAnsi" w:hAnsiTheme="majorHAnsi" w:cstheme="majorHAnsi"/>
        </w:rPr>
        <w:t xml:space="preserve"> was classified as a preferred outcome by the AEMC.  The merits </w:t>
      </w:r>
      <w:r w:rsidR="00F372D4">
        <w:rPr>
          <w:rFonts w:asciiTheme="majorHAnsi" w:hAnsiTheme="majorHAnsi" w:cstheme="majorHAnsi"/>
        </w:rPr>
        <w:t xml:space="preserve">associated with the </w:t>
      </w:r>
      <w:r w:rsidRPr="005F1123">
        <w:rPr>
          <w:rFonts w:asciiTheme="majorHAnsi" w:hAnsiTheme="majorHAnsi" w:cstheme="majorHAnsi"/>
        </w:rPr>
        <w:t xml:space="preserve">first of these options are discussed in further detail in Chapter 6. In short, the GMRG thinks that the zonal model should be used to facilitate trade on the capacity trading platform and that this will provide shippers with greater receipt and delivery point flexibility. </w:t>
      </w:r>
    </w:p>
    <w:p w14:paraId="1266C64B" w14:textId="77777777" w:rsidR="00AF5770" w:rsidRDefault="005F1123" w:rsidP="00AF5770">
      <w:pPr>
        <w:pStyle w:val="BodyText"/>
        <w:widowControl w:val="0"/>
      </w:pPr>
      <w:r w:rsidRPr="005F1123">
        <w:rPr>
          <w:rFonts w:asciiTheme="majorHAnsi" w:hAnsiTheme="majorHAnsi" w:cstheme="majorHAnsi"/>
        </w:rPr>
        <w:t xml:space="preserve">As to the other process based options that the AEMC identified, the </w:t>
      </w:r>
      <w:r w:rsidR="0013298B" w:rsidRPr="005F1123">
        <w:t xml:space="preserve">GMRG understands </w:t>
      </w:r>
      <w:r w:rsidR="00AF5770">
        <w:t xml:space="preserve">the concerns </w:t>
      </w:r>
      <w:r w:rsidR="00F372D4">
        <w:t xml:space="preserve">regarding the </w:t>
      </w:r>
      <w:r w:rsidR="00AF5770">
        <w:t xml:space="preserve">potential for some aspects of the receipt and delivery point change process to act as an impediment to secondary trade. Similar concerns </w:t>
      </w:r>
      <w:r w:rsidR="009D65F1">
        <w:t xml:space="preserve">were also </w:t>
      </w:r>
      <w:r w:rsidR="00AF5770">
        <w:t xml:space="preserve">raised with the GMRG in bilateral discussions, with some stakeholders noting that service providers have a considerable degree of discretion in this area and may not have an incentive to consent to changes that facilitate trade. </w:t>
      </w:r>
    </w:p>
    <w:p w14:paraId="0BD1DDC0" w14:textId="77777777" w:rsidR="0013298B" w:rsidRPr="005F1123" w:rsidRDefault="009D65F1" w:rsidP="0013298B">
      <w:pPr>
        <w:pStyle w:val="BodyText"/>
        <w:widowControl w:val="0"/>
      </w:pPr>
      <w:r>
        <w:t xml:space="preserve">This issue was </w:t>
      </w:r>
      <w:r w:rsidR="00F372D4">
        <w:t xml:space="preserve">considered by </w:t>
      </w:r>
      <w:r>
        <w:t xml:space="preserve">the </w:t>
      </w:r>
      <w:r w:rsidR="0013298B" w:rsidRPr="005F1123">
        <w:t>Standardisation project team</w:t>
      </w:r>
      <w:r>
        <w:t>, which noted</w:t>
      </w:r>
      <w:r w:rsidR="0013298B" w:rsidRPr="005F1123">
        <w:t xml:space="preserve"> that service providers usually have full discretion to determine whether to consent to a change </w:t>
      </w:r>
      <w:r w:rsidR="005F1123" w:rsidRPr="005F1123">
        <w:t xml:space="preserve">to receipt and delivery points </w:t>
      </w:r>
      <w:r w:rsidR="0013298B" w:rsidRPr="005F1123">
        <w:t xml:space="preserve">and, when deciding whether to exercise that discretion, will usually consider: </w:t>
      </w:r>
    </w:p>
    <w:p w14:paraId="0D34D290" w14:textId="77777777" w:rsidR="0013298B" w:rsidRPr="005F1123" w:rsidRDefault="0013298B" w:rsidP="0013298B">
      <w:pPr>
        <w:pStyle w:val="ListBullet"/>
        <w:widowControl w:val="0"/>
      </w:pPr>
      <w:r w:rsidRPr="005F1123">
        <w:t>the technical feasibility of the change and what, if any, impact the change may have on other shippers’ use of the facility</w:t>
      </w:r>
      <w:r w:rsidR="00F372D4">
        <w:t xml:space="preserve"> (</w:t>
      </w:r>
      <w:r w:rsidRPr="005F1123">
        <w:t>which may require modelling of flows</w:t>
      </w:r>
      <w:r w:rsidR="00F372D4">
        <w:t>)</w:t>
      </w:r>
      <w:r w:rsidRPr="005F1123">
        <w:t>; and</w:t>
      </w:r>
    </w:p>
    <w:p w14:paraId="3E7EA08D" w14:textId="77777777" w:rsidR="0013298B" w:rsidRPr="005F1123" w:rsidRDefault="0013298B" w:rsidP="0013298B">
      <w:pPr>
        <w:pStyle w:val="ListBullet"/>
        <w:widowControl w:val="0"/>
      </w:pPr>
      <w:proofErr w:type="gramStart"/>
      <w:r w:rsidRPr="005F1123">
        <w:t>the</w:t>
      </w:r>
      <w:proofErr w:type="gramEnd"/>
      <w:r w:rsidRPr="005F1123">
        <w:t xml:space="preserve"> commercial feasibility of the change, which will typically involve an assessment of whether the service provider’s profitability will be adversely affected by the change (e.g. because the change results in the payment of a lower tariff, higher costs or less capacity).</w:t>
      </w:r>
    </w:p>
    <w:p w14:paraId="1AE20A94" w14:textId="77777777" w:rsidR="0013298B" w:rsidRPr="005F1123" w:rsidRDefault="0013298B" w:rsidP="0013298B">
      <w:pPr>
        <w:pStyle w:val="BodyText"/>
        <w:widowControl w:val="0"/>
        <w:rPr>
          <w:iCs/>
        </w:rPr>
      </w:pPr>
      <w:r w:rsidRPr="005F1123">
        <w:t xml:space="preserve">The GMRG also understands that while some service providers provide shippers with a response within five business days, other service providers allow themselves 30 days (~22 business days) to respond to the request. Project team members also informed the GMRG that some </w:t>
      </w:r>
      <w:r w:rsidRPr="005F1123">
        <w:rPr>
          <w:iCs/>
        </w:rPr>
        <w:t xml:space="preserve">service providers and/or primary GTAs: </w:t>
      </w:r>
    </w:p>
    <w:p w14:paraId="6CBCA2EF" w14:textId="77777777" w:rsidR="0013298B" w:rsidRPr="005F1123" w:rsidRDefault="0013298B" w:rsidP="0013298B">
      <w:pPr>
        <w:pStyle w:val="ListBullet"/>
        <w:widowControl w:val="0"/>
        <w:spacing w:before="40" w:after="80"/>
      </w:pPr>
      <w:r w:rsidRPr="005F1123">
        <w:t xml:space="preserve">place a </w:t>
      </w:r>
      <w:r w:rsidRPr="005F1123">
        <w:rPr>
          <w:iCs/>
        </w:rPr>
        <w:t>cap on the number of requests a shipper can make in a defined period; and/or</w:t>
      </w:r>
    </w:p>
    <w:p w14:paraId="1BC39C7E" w14:textId="77777777" w:rsidR="0013298B" w:rsidRPr="005F1123" w:rsidRDefault="0013298B" w:rsidP="0013298B">
      <w:pPr>
        <w:pStyle w:val="ListBullet"/>
        <w:widowControl w:val="0"/>
        <w:spacing w:before="40" w:after="80"/>
      </w:pPr>
      <w:proofErr w:type="gramStart"/>
      <w:r w:rsidRPr="005F1123">
        <w:rPr>
          <w:iCs/>
        </w:rPr>
        <w:t>charge</w:t>
      </w:r>
      <w:proofErr w:type="gramEnd"/>
      <w:r w:rsidRPr="005F1123">
        <w:rPr>
          <w:iCs/>
        </w:rPr>
        <w:t xml:space="preserve"> shippers a fee to </w:t>
      </w:r>
      <w:r w:rsidRPr="005F1123">
        <w:t>change their receipt or delivery point (or to provide access to new receipt or delivery points) and/or to carry out the investigative work required to determine whether the change is technically feasible.</w:t>
      </w:r>
    </w:p>
    <w:p w14:paraId="3A575661" w14:textId="77777777" w:rsidR="0013298B" w:rsidRPr="005F1123" w:rsidRDefault="0013298B" w:rsidP="003B5B17">
      <w:pPr>
        <w:pStyle w:val="BodyText"/>
      </w:pPr>
      <w:r w:rsidRPr="005F1123">
        <w:t>The Standardisation project team identified a number of options to try and improve the process outlined above, including:</w:t>
      </w:r>
    </w:p>
    <w:p w14:paraId="4399A174" w14:textId="77777777" w:rsidR="005F1123" w:rsidRPr="005F1123" w:rsidRDefault="005F1123" w:rsidP="005F1123">
      <w:pPr>
        <w:pStyle w:val="ListBullet"/>
        <w:widowControl w:val="0"/>
        <w:spacing w:before="40" w:after="80"/>
      </w:pPr>
      <w:r w:rsidRPr="005F1123">
        <w:lastRenderedPageBreak/>
        <w:t xml:space="preserve">providing greater clarity about the circumstances in which a service provider can withhold its consent </w:t>
      </w:r>
      <w:r w:rsidR="00F372D4">
        <w:t xml:space="preserve">in response </w:t>
      </w:r>
      <w:r w:rsidRPr="005F1123">
        <w:t>to a request by a primary shipper;</w:t>
      </w:r>
    </w:p>
    <w:p w14:paraId="77D3AD4A" w14:textId="77777777" w:rsidR="005F1123" w:rsidRPr="005F1123" w:rsidRDefault="005F1123" w:rsidP="005F1123">
      <w:pPr>
        <w:pStyle w:val="ListBullet"/>
        <w:widowControl w:val="0"/>
        <w:spacing w:before="40" w:after="80"/>
      </w:pPr>
      <w:r w:rsidRPr="005F1123">
        <w:t xml:space="preserve">requiring service providers to inform shippers of whether their request has been accepted, or if further work is required within a specified time; </w:t>
      </w:r>
    </w:p>
    <w:p w14:paraId="0EABDB09" w14:textId="77777777" w:rsidR="005F1123" w:rsidRPr="005F1123" w:rsidRDefault="005F1123" w:rsidP="005F1123">
      <w:pPr>
        <w:pStyle w:val="ListBullet"/>
        <w:widowControl w:val="0"/>
        <w:spacing w:before="40" w:after="80"/>
      </w:pPr>
      <w:r w:rsidRPr="005F1123">
        <w:t xml:space="preserve">adopting rules that specify </w:t>
      </w:r>
      <w:r w:rsidRPr="005F1123">
        <w:rPr>
          <w:rFonts w:asciiTheme="majorHAnsi" w:hAnsiTheme="majorHAnsi" w:cstheme="majorHAnsi"/>
        </w:rPr>
        <w:t xml:space="preserve">how changes </w:t>
      </w:r>
      <w:r w:rsidRPr="005F1123">
        <w:t>within</w:t>
      </w:r>
      <w:r w:rsidR="00F372D4">
        <w:t>,</w:t>
      </w:r>
      <w:r w:rsidRPr="005F1123">
        <w:t xml:space="preserve"> or across</w:t>
      </w:r>
      <w:r w:rsidR="00F372D4">
        <w:t>,</w:t>
      </w:r>
      <w:r w:rsidRPr="005F1123">
        <w:t xml:space="preserve"> zones are treated; and</w:t>
      </w:r>
    </w:p>
    <w:p w14:paraId="71FE9227" w14:textId="77777777" w:rsidR="005F1123" w:rsidRPr="005F1123" w:rsidRDefault="005F1123" w:rsidP="005F1123">
      <w:pPr>
        <w:pStyle w:val="ListBullet"/>
        <w:widowControl w:val="0"/>
        <w:spacing w:before="40" w:after="80"/>
      </w:pPr>
      <w:proofErr w:type="gramStart"/>
      <w:r w:rsidRPr="005F1123">
        <w:t>removing</w:t>
      </w:r>
      <w:proofErr w:type="gramEnd"/>
      <w:r w:rsidRPr="005F1123">
        <w:t xml:space="preserve"> any restrictions on the ability of shippers to request a change but, where appropriate, charging a fee for the incremental costs incurred by the service provider. </w:t>
      </w:r>
    </w:p>
    <w:p w14:paraId="4E39D09D" w14:textId="77777777" w:rsidR="005F1123" w:rsidRPr="005F1123" w:rsidRDefault="005F1123" w:rsidP="005F1123">
      <w:pPr>
        <w:pStyle w:val="BodyText"/>
        <w:widowControl w:val="0"/>
      </w:pPr>
      <w:r w:rsidRPr="005F1123">
        <w:t>The project team’s views on these options are summarised in the table below.</w:t>
      </w:r>
    </w:p>
    <w:p w14:paraId="1B04E6FC" w14:textId="77777777" w:rsidR="005F1123" w:rsidRDefault="005F1123" w:rsidP="005F1123">
      <w:pPr>
        <w:pStyle w:val="Caption"/>
        <w:spacing w:after="0"/>
      </w:pPr>
      <w:r>
        <w:t xml:space="preserve">Table </w:t>
      </w:r>
      <w:r w:rsidR="00983431">
        <w:fldChar w:fldCharType="begin"/>
      </w:r>
      <w:r w:rsidR="00983431">
        <w:instrText xml:space="preserve"> STYLEREF 1 \s </w:instrText>
      </w:r>
      <w:r w:rsidR="00983431">
        <w:fldChar w:fldCharType="separate"/>
      </w:r>
      <w:r w:rsidR="00761861">
        <w:rPr>
          <w:noProof/>
        </w:rPr>
        <w:t>5</w:t>
      </w:r>
      <w:r w:rsidR="00983431">
        <w:rPr>
          <w:noProof/>
        </w:rPr>
        <w:fldChar w:fldCharType="end"/>
      </w:r>
      <w:r w:rsidR="00901056">
        <w:t>.</w:t>
      </w:r>
      <w:r w:rsidR="00983431">
        <w:fldChar w:fldCharType="begin"/>
      </w:r>
      <w:r w:rsidR="00983431">
        <w:instrText xml:space="preserve"> SEQ Table \* ARABIC \s 1 </w:instrText>
      </w:r>
      <w:r w:rsidR="00983431">
        <w:fldChar w:fldCharType="separate"/>
      </w:r>
      <w:r w:rsidR="00761861">
        <w:rPr>
          <w:noProof/>
        </w:rPr>
        <w:t>2</w:t>
      </w:r>
      <w:r w:rsidR="00983431">
        <w:rPr>
          <w:noProof/>
        </w:rPr>
        <w:fldChar w:fldCharType="end"/>
      </w:r>
      <w:r>
        <w:t>: Project team feedback on the receipt and delivery point change process</w:t>
      </w:r>
    </w:p>
    <w:tbl>
      <w:tblPr>
        <w:tblStyle w:val="TableGrid"/>
        <w:tblW w:w="5000" w:type="pct"/>
        <w:tblLook w:val="0420" w:firstRow="1" w:lastRow="0" w:firstColumn="0" w:lastColumn="0" w:noHBand="0" w:noVBand="1"/>
        <w:tblCaption w:val="Table 5.2"/>
        <w:tblDescription w:val="Project team feedback on the receipt and delivery point change process"/>
      </w:tblPr>
      <w:tblGrid>
        <w:gridCol w:w="1534"/>
        <w:gridCol w:w="7254"/>
      </w:tblGrid>
      <w:tr w:rsidR="005F1123" w14:paraId="0EBB9537" w14:textId="77777777" w:rsidTr="005F1123">
        <w:trPr>
          <w:cnfStyle w:val="100000000000" w:firstRow="1" w:lastRow="0" w:firstColumn="0" w:lastColumn="0" w:oddVBand="0" w:evenVBand="0" w:oddHBand="0" w:evenHBand="0" w:firstRowFirstColumn="0" w:firstRowLastColumn="0" w:lastRowFirstColumn="0" w:lastRowLastColumn="0"/>
          <w:cantSplit/>
          <w:tblHeader/>
        </w:trPr>
        <w:tc>
          <w:tcPr>
            <w:tcW w:w="873" w:type="pct"/>
            <w:shd w:val="clear" w:color="auto" w:fill="0099CC"/>
          </w:tcPr>
          <w:p w14:paraId="261E241F" w14:textId="77777777" w:rsidR="005F1123" w:rsidRDefault="005F1123" w:rsidP="0091147B">
            <w:pPr>
              <w:pStyle w:val="TableHeading"/>
              <w:keepNext/>
              <w:widowControl w:val="0"/>
              <w:spacing w:before="40" w:after="40" w:line="240" w:lineRule="auto"/>
              <w:rPr>
                <w:lang w:eastAsia="fr-CA"/>
              </w:rPr>
            </w:pPr>
            <w:r>
              <w:rPr>
                <w:lang w:eastAsia="fr-CA"/>
              </w:rPr>
              <w:t>Issues</w:t>
            </w:r>
          </w:p>
        </w:tc>
        <w:tc>
          <w:tcPr>
            <w:tcW w:w="4127" w:type="pct"/>
            <w:shd w:val="clear" w:color="auto" w:fill="0099CC"/>
          </w:tcPr>
          <w:p w14:paraId="6D5C732E" w14:textId="77777777" w:rsidR="005F1123" w:rsidRDefault="005F1123" w:rsidP="0091147B">
            <w:pPr>
              <w:pStyle w:val="TableHeading"/>
              <w:keepNext/>
              <w:widowControl w:val="0"/>
              <w:spacing w:before="40" w:after="40" w:line="240" w:lineRule="auto"/>
              <w:rPr>
                <w:lang w:eastAsia="fr-CA"/>
              </w:rPr>
            </w:pPr>
            <w:r>
              <w:rPr>
                <w:lang w:eastAsia="fr-CA"/>
              </w:rPr>
              <w:t>Summary of project team’s view</w:t>
            </w:r>
          </w:p>
        </w:tc>
      </w:tr>
      <w:tr w:rsidR="00F372D4" w14:paraId="3397E5EF" w14:textId="77777777" w:rsidTr="005F1123">
        <w:trPr>
          <w:cantSplit/>
        </w:trPr>
        <w:tc>
          <w:tcPr>
            <w:tcW w:w="873" w:type="pct"/>
          </w:tcPr>
          <w:p w14:paraId="4D5808DD" w14:textId="77777777" w:rsidR="00F372D4" w:rsidRDefault="00F372D4" w:rsidP="00F372D4">
            <w:pPr>
              <w:pStyle w:val="TableBodyText"/>
              <w:keepNext/>
              <w:widowControl w:val="0"/>
              <w:spacing w:line="240" w:lineRule="auto"/>
            </w:pPr>
            <w:r>
              <w:t>Circumstances in which a request can be rejected</w:t>
            </w:r>
          </w:p>
        </w:tc>
        <w:tc>
          <w:tcPr>
            <w:tcW w:w="4127" w:type="pct"/>
          </w:tcPr>
          <w:p w14:paraId="4558F4BB" w14:textId="77777777" w:rsidR="00F372D4" w:rsidRDefault="00F372D4" w:rsidP="00F372D4">
            <w:pPr>
              <w:pStyle w:val="BodyText"/>
              <w:keepNext/>
              <w:widowControl w:val="0"/>
              <w:spacing w:before="40" w:after="80" w:line="240" w:lineRule="auto"/>
            </w:pPr>
            <w:r>
              <w:t xml:space="preserve">Service provider representatives in the project team noted that changes to receipt and delivery points can have technical and commercial implications and it is appropriate to consider both of these factors when assessing a shipper’s request and to be able to reject a request on this basis. Elaborating further on the commercial implications, service provider representatives noted that they should be kept financially whole and added that this was consistent with the way rule 106 of the NGR has been applied to date and the approach used in other jurisdictions. </w:t>
            </w:r>
          </w:p>
          <w:p w14:paraId="00B179BD" w14:textId="77777777" w:rsidR="00F372D4" w:rsidRDefault="00F372D4" w:rsidP="00F372D4">
            <w:pPr>
              <w:pStyle w:val="BodyText"/>
              <w:keepNext/>
              <w:widowControl w:val="0"/>
              <w:spacing w:before="40" w:after="80" w:line="240" w:lineRule="auto"/>
            </w:pPr>
            <w:r>
              <w:t>Other project team members agreed that service providers should not be worse off as a result of the change, and it is relevant to take into account commercial considerations. It was, however, suggested by some team members that the scope of the commercial considerations be more clearly defined to limit this discretion.</w:t>
            </w:r>
          </w:p>
        </w:tc>
      </w:tr>
      <w:tr w:rsidR="00F372D4" w14:paraId="4C5A1410" w14:textId="77777777" w:rsidTr="005F1123">
        <w:trPr>
          <w:cnfStyle w:val="000000010000" w:firstRow="0" w:lastRow="0" w:firstColumn="0" w:lastColumn="0" w:oddVBand="0" w:evenVBand="0" w:oddHBand="0" w:evenHBand="1" w:firstRowFirstColumn="0" w:firstRowLastColumn="0" w:lastRowFirstColumn="0" w:lastRowLastColumn="0"/>
          <w:cantSplit/>
        </w:trPr>
        <w:tc>
          <w:tcPr>
            <w:tcW w:w="873" w:type="pct"/>
          </w:tcPr>
          <w:p w14:paraId="655CC3FC" w14:textId="77777777" w:rsidR="00F372D4" w:rsidRDefault="00F372D4" w:rsidP="00F372D4">
            <w:pPr>
              <w:pStyle w:val="BodyText"/>
              <w:widowControl w:val="0"/>
              <w:spacing w:before="40" w:after="40" w:line="240" w:lineRule="auto"/>
            </w:pPr>
            <w:r>
              <w:t xml:space="preserve">Time taken to respond to requests </w:t>
            </w:r>
          </w:p>
        </w:tc>
        <w:tc>
          <w:tcPr>
            <w:tcW w:w="4127" w:type="pct"/>
          </w:tcPr>
          <w:p w14:paraId="32D78ECD" w14:textId="77777777" w:rsidR="00F372D4" w:rsidRDefault="00F372D4" w:rsidP="00F372D4">
            <w:pPr>
              <w:pStyle w:val="BodyText"/>
              <w:widowControl w:val="0"/>
              <w:spacing w:before="40" w:after="40" w:line="240" w:lineRule="auto"/>
            </w:pPr>
            <w:r>
              <w:t>Project team members noted that if flow modelling or other investigative work is required then it may take the service provider longer to respond to the request than in other cases where this type of work is not required. Project team members were therefore of the view that it would not be possible to standardise the time service providers have to accept or reject the request. They did, however, think there may be value in requiring the service provider to inform the shipper within 5 business days of receiving the request whether:</w:t>
            </w:r>
          </w:p>
          <w:p w14:paraId="128E0E04" w14:textId="77777777" w:rsidR="00F372D4" w:rsidRDefault="00F372D4" w:rsidP="00F372D4">
            <w:pPr>
              <w:pStyle w:val="TableBullet1"/>
              <w:widowControl w:val="0"/>
              <w:spacing w:line="240" w:lineRule="auto"/>
            </w:pPr>
            <w:r>
              <w:t xml:space="preserve">the request had been accepted or rejected; or </w:t>
            </w:r>
          </w:p>
          <w:p w14:paraId="6EBC6420" w14:textId="77777777" w:rsidR="00F372D4" w:rsidRDefault="00F372D4" w:rsidP="00F372D4">
            <w:pPr>
              <w:pStyle w:val="TableBullet1"/>
              <w:widowControl w:val="0"/>
              <w:spacing w:line="240" w:lineRule="auto"/>
            </w:pPr>
            <w:proofErr w:type="gramStart"/>
            <w:r>
              <w:t>if</w:t>
            </w:r>
            <w:proofErr w:type="gramEnd"/>
            <w:r>
              <w:t xml:space="preserve"> further investigative work is required to assess the request, the nature of any work and likely timing of a response. </w:t>
            </w:r>
          </w:p>
        </w:tc>
      </w:tr>
      <w:tr w:rsidR="00F372D4" w14:paraId="68B31196" w14:textId="77777777" w:rsidTr="005F1123">
        <w:trPr>
          <w:cantSplit/>
        </w:trPr>
        <w:tc>
          <w:tcPr>
            <w:tcW w:w="873" w:type="pct"/>
          </w:tcPr>
          <w:p w14:paraId="36C08E24" w14:textId="77777777" w:rsidR="00F372D4" w:rsidRDefault="00F372D4" w:rsidP="00F372D4">
            <w:pPr>
              <w:pStyle w:val="TableBodyText"/>
              <w:widowControl w:val="0"/>
              <w:spacing w:line="240" w:lineRule="auto"/>
            </w:pPr>
            <w:r>
              <w:t>Rules for changes within and across zones</w:t>
            </w:r>
          </w:p>
        </w:tc>
        <w:tc>
          <w:tcPr>
            <w:tcW w:w="4127" w:type="pct"/>
          </w:tcPr>
          <w:p w14:paraId="1419DD3D" w14:textId="77777777" w:rsidR="00F372D4" w:rsidRDefault="00F372D4" w:rsidP="00F372D4">
            <w:pPr>
              <w:pStyle w:val="BodyText"/>
              <w:widowControl w:val="0"/>
              <w:spacing w:before="40" w:after="80" w:line="240" w:lineRule="auto"/>
            </w:pPr>
            <w:r>
              <w:t>Project team members in this case noted that:</w:t>
            </w:r>
          </w:p>
          <w:p w14:paraId="3F491EB0" w14:textId="77777777" w:rsidR="00F372D4" w:rsidRPr="00AE38A7" w:rsidRDefault="00F372D4" w:rsidP="00F372D4">
            <w:pPr>
              <w:pStyle w:val="TableBullet1"/>
              <w:widowControl w:val="0"/>
              <w:spacing w:line="240" w:lineRule="auto"/>
            </w:pPr>
            <w:r>
              <w:rPr>
                <w:rFonts w:asciiTheme="majorHAnsi" w:hAnsiTheme="majorHAnsi" w:cstheme="majorHAnsi"/>
                <w:szCs w:val="18"/>
              </w:rPr>
              <w:t xml:space="preserve">transfers of a primary shipper’s </w:t>
            </w:r>
            <w:r w:rsidRPr="004B398A">
              <w:rPr>
                <w:rFonts w:asciiTheme="majorHAnsi" w:hAnsiTheme="majorHAnsi" w:cstheme="majorHAnsi"/>
                <w:szCs w:val="18"/>
              </w:rPr>
              <w:t xml:space="preserve">capacity </w:t>
            </w:r>
            <w:r>
              <w:rPr>
                <w:rFonts w:asciiTheme="majorHAnsi" w:hAnsiTheme="majorHAnsi" w:cstheme="majorHAnsi"/>
                <w:szCs w:val="18"/>
              </w:rPr>
              <w:t xml:space="preserve">within a zone </w:t>
            </w:r>
            <w:r w:rsidRPr="004B398A">
              <w:rPr>
                <w:rFonts w:asciiTheme="majorHAnsi" w:hAnsiTheme="majorHAnsi" w:cstheme="majorHAnsi"/>
                <w:szCs w:val="18"/>
              </w:rPr>
              <w:t xml:space="preserve">should </w:t>
            </w:r>
            <w:r>
              <w:rPr>
                <w:rFonts w:asciiTheme="majorHAnsi" w:hAnsiTheme="majorHAnsi" w:cstheme="majorHAnsi"/>
                <w:szCs w:val="18"/>
              </w:rPr>
              <w:t xml:space="preserve">occur on </w:t>
            </w:r>
            <w:r w:rsidRPr="004B398A">
              <w:rPr>
                <w:rFonts w:asciiTheme="majorHAnsi" w:hAnsiTheme="majorHAnsi" w:cstheme="majorHAnsi"/>
                <w:szCs w:val="18"/>
              </w:rPr>
              <w:t>a one-for-</w:t>
            </w:r>
            <w:r w:rsidRPr="00AE38A7">
              <w:t>one basis, subject to capacity being available at the relevant point; and</w:t>
            </w:r>
          </w:p>
          <w:p w14:paraId="732B223F" w14:textId="77777777" w:rsidR="00F372D4" w:rsidRPr="00AE38A7" w:rsidRDefault="00F372D4" w:rsidP="00F372D4">
            <w:pPr>
              <w:pStyle w:val="TableBullet1"/>
              <w:widowControl w:val="0"/>
              <w:spacing w:line="240" w:lineRule="auto"/>
            </w:pPr>
            <w:proofErr w:type="gramStart"/>
            <w:r w:rsidRPr="00AE38A7">
              <w:t>transfers</w:t>
            </w:r>
            <w:proofErr w:type="gramEnd"/>
            <w:r w:rsidRPr="00AE38A7">
              <w:t xml:space="preserve"> of capacity outside a zone could not be dealt with using a simple rule, because the ability to move capacity across </w:t>
            </w:r>
            <w:r>
              <w:t xml:space="preserve">a </w:t>
            </w:r>
            <w:r w:rsidRPr="00AE38A7">
              <w:t>zone will depend on a range of technical issues (such as pressure or capacity differentials across zones) and may require flow modelling.</w:t>
            </w:r>
          </w:p>
          <w:p w14:paraId="58CDC2B2" w14:textId="77777777" w:rsidR="00F372D4" w:rsidRPr="00FB2F80" w:rsidRDefault="00F372D4" w:rsidP="00F372D4">
            <w:pPr>
              <w:pStyle w:val="TableBodyText"/>
              <w:widowControl w:val="0"/>
              <w:spacing w:line="240" w:lineRule="auto"/>
            </w:pPr>
            <w:r>
              <w:t xml:space="preserve">The project team also considered </w:t>
            </w:r>
            <w:r w:rsidRPr="00650B9D">
              <w:t>whether flow modelling could be completed up front (i</w:t>
            </w:r>
            <w:r>
              <w:t>.</w:t>
            </w:r>
            <w:r w:rsidRPr="00650B9D">
              <w:t xml:space="preserve">e. prior to requests for transfers) to </w:t>
            </w:r>
            <w:r>
              <w:t xml:space="preserve">reduce the time taken to assess </w:t>
            </w:r>
            <w:r w:rsidRPr="00650B9D">
              <w:t>transfer</w:t>
            </w:r>
            <w:r>
              <w:t xml:space="preserve">s across zones, but concluded this </w:t>
            </w:r>
            <w:r w:rsidRPr="00650B9D">
              <w:t xml:space="preserve">would be </w:t>
            </w:r>
            <w:r>
              <w:t xml:space="preserve">too </w:t>
            </w:r>
            <w:r w:rsidRPr="00650B9D">
              <w:t>complex</w:t>
            </w:r>
            <w:r>
              <w:t>.</w:t>
            </w:r>
          </w:p>
        </w:tc>
      </w:tr>
      <w:tr w:rsidR="00F372D4" w14:paraId="205B745A" w14:textId="77777777" w:rsidTr="005F1123">
        <w:trPr>
          <w:cnfStyle w:val="000000010000" w:firstRow="0" w:lastRow="0" w:firstColumn="0" w:lastColumn="0" w:oddVBand="0" w:evenVBand="0" w:oddHBand="0" w:evenHBand="1" w:firstRowFirstColumn="0" w:firstRowLastColumn="0" w:lastRowFirstColumn="0" w:lastRowLastColumn="0"/>
          <w:cantSplit/>
        </w:trPr>
        <w:tc>
          <w:tcPr>
            <w:tcW w:w="873" w:type="pct"/>
          </w:tcPr>
          <w:p w14:paraId="38B6890D" w14:textId="77777777" w:rsidR="00F372D4" w:rsidRDefault="00F372D4" w:rsidP="00F372D4">
            <w:pPr>
              <w:pStyle w:val="TableListNumber"/>
              <w:widowControl w:val="0"/>
              <w:spacing w:line="240" w:lineRule="auto"/>
              <w:ind w:left="85"/>
              <w:rPr>
                <w:lang w:eastAsia="fr-CA"/>
              </w:rPr>
            </w:pPr>
            <w:r>
              <w:rPr>
                <w:lang w:eastAsia="fr-CA"/>
              </w:rPr>
              <w:t xml:space="preserve">Limits on requests and charges </w:t>
            </w:r>
          </w:p>
        </w:tc>
        <w:tc>
          <w:tcPr>
            <w:tcW w:w="4127" w:type="pct"/>
          </w:tcPr>
          <w:p w14:paraId="4DB47E3B" w14:textId="77777777" w:rsidR="00F372D4" w:rsidRDefault="00F372D4" w:rsidP="00F372D4">
            <w:pPr>
              <w:pStyle w:val="TableBodyText"/>
              <w:widowControl w:val="0"/>
              <w:spacing w:before="40" w:after="40" w:line="240" w:lineRule="auto"/>
              <w:rPr>
                <w:lang w:eastAsia="fr-CA"/>
              </w:rPr>
            </w:pPr>
            <w:r>
              <w:rPr>
                <w:lang w:eastAsia="fr-CA"/>
              </w:rPr>
              <w:t>Some project team members suggested that rather than limiting the number of requests a shipper can make, it would be better to charge shippers the incremental costs of carrying out any investigations that may be required.</w:t>
            </w:r>
          </w:p>
        </w:tc>
      </w:tr>
    </w:tbl>
    <w:p w14:paraId="6F8B6F25" w14:textId="77777777" w:rsidR="004E791B" w:rsidRDefault="004E791B" w:rsidP="004E791B">
      <w:pPr>
        <w:pStyle w:val="Heading6"/>
        <w:spacing w:line="252" w:lineRule="auto"/>
        <w:rPr>
          <w:color w:val="0099CC"/>
        </w:rPr>
      </w:pPr>
      <w:r>
        <w:rPr>
          <w:color w:val="0099CC"/>
        </w:rPr>
        <w:t>GMRG’s preliminary view</w:t>
      </w:r>
    </w:p>
    <w:p w14:paraId="5333BF19" w14:textId="77777777" w:rsidR="005E20BA" w:rsidRDefault="008C18E7" w:rsidP="0091147B">
      <w:pPr>
        <w:pStyle w:val="BodyText"/>
      </w:pPr>
      <w:r w:rsidRPr="001258F5">
        <w:t xml:space="preserve">In the consultation paper, the GMRG </w:t>
      </w:r>
      <w:r w:rsidR="0091147B">
        <w:t>noted the potential to overcome any contractual limitations on the ability of primary shippers to trade their capacity by way of a bare transfer or operational transfer</w:t>
      </w:r>
      <w:r w:rsidR="00993A3C">
        <w:t xml:space="preserve">, for example by extending the operation of rule 105(2) to non-scheme pipelines. Rule 105 sets out principles for capacity trading requirements in access arrangements for non-scheme pipelines.  Unless otherwise covered by market rules, the requirements must allow a user, without the service provider’s consent, to </w:t>
      </w:r>
      <w:r w:rsidR="00993A3C">
        <w:lastRenderedPageBreak/>
        <w:t>transfer all or any of its contracted capacity to another party if its rights against, and obligations to, the service provider are unaffected by the transfer</w:t>
      </w:r>
      <w:r w:rsidR="00E61124" w:rsidRPr="00855477">
        <w:t>.</w:t>
      </w:r>
      <w:r w:rsidR="005E20BA">
        <w:t xml:space="preserve"> </w:t>
      </w:r>
    </w:p>
    <w:p w14:paraId="03370837" w14:textId="77777777" w:rsidR="005E20BA" w:rsidRDefault="0091147B" w:rsidP="0091147B">
      <w:pPr>
        <w:pStyle w:val="BodyText"/>
      </w:pPr>
      <w:r>
        <w:t xml:space="preserve">The GMRG also noted the potential to overcome contractual limitations on receipt and delivery point changes in primary GTAs by </w:t>
      </w:r>
      <w:r w:rsidR="005E20BA">
        <w:t xml:space="preserve">including </w:t>
      </w:r>
      <w:r w:rsidR="00401FCB">
        <w:t>provisions in the NGR that:</w:t>
      </w:r>
    </w:p>
    <w:p w14:paraId="7142C932" w14:textId="77777777" w:rsidR="00401FCB" w:rsidRDefault="00401FCB" w:rsidP="00CF4594">
      <w:pPr>
        <w:pStyle w:val="ListNumber"/>
        <w:numPr>
          <w:ilvl w:val="0"/>
          <w:numId w:val="31"/>
        </w:numPr>
        <w:spacing w:before="60" w:after="60"/>
        <w:ind w:left="357" w:hanging="357"/>
      </w:pPr>
      <w:bookmarkStart w:id="115" w:name="_Hlk497754236"/>
      <w:r>
        <w:t>p</w:t>
      </w:r>
      <w:r w:rsidR="005E20BA">
        <w:t xml:space="preserve">rovide </w:t>
      </w:r>
      <w:r>
        <w:t xml:space="preserve">primary </w:t>
      </w:r>
      <w:r w:rsidR="005E20BA">
        <w:t>shippers and service prov</w:t>
      </w:r>
      <w:r>
        <w:t xml:space="preserve">iders with greater guidance on </w:t>
      </w:r>
      <w:r w:rsidR="005E20BA">
        <w:t xml:space="preserve">the rights shippers have to seek a change </w:t>
      </w:r>
      <w:r>
        <w:t>(</w:t>
      </w:r>
      <w:r w:rsidR="005E20BA">
        <w:t xml:space="preserve">or </w:t>
      </w:r>
      <w:r>
        <w:t xml:space="preserve">to </w:t>
      </w:r>
      <w:r w:rsidR="005E20BA">
        <w:t>add a new point</w:t>
      </w:r>
      <w:r>
        <w:t xml:space="preserve">) and the </w:t>
      </w:r>
      <w:r w:rsidR="005E20BA">
        <w:t>circumstances in which a service provider can withhold its consent</w:t>
      </w:r>
      <w:r>
        <w:t>;</w:t>
      </w:r>
    </w:p>
    <w:p w14:paraId="2A2D6B3E" w14:textId="77777777" w:rsidR="00401FCB" w:rsidRDefault="00401FCB" w:rsidP="00CF4594">
      <w:pPr>
        <w:pStyle w:val="ListNumber"/>
        <w:numPr>
          <w:ilvl w:val="0"/>
          <w:numId w:val="31"/>
        </w:numPr>
        <w:spacing w:before="60" w:after="60"/>
        <w:ind w:left="357" w:hanging="357"/>
      </w:pPr>
      <w:r>
        <w:t>s</w:t>
      </w:r>
      <w:r w:rsidR="005E20BA">
        <w:t xml:space="preserve">pecify the timeframes service providers </w:t>
      </w:r>
      <w:r>
        <w:t xml:space="preserve">would have </w:t>
      </w:r>
      <w:r w:rsidR="005E20BA">
        <w:t>to respond to a request to change a re</w:t>
      </w:r>
      <w:r>
        <w:t>ceipt or delivery point or zone;</w:t>
      </w:r>
    </w:p>
    <w:p w14:paraId="2B77FF78" w14:textId="77777777" w:rsidR="00401FCB" w:rsidRDefault="00401FCB" w:rsidP="00CF4594">
      <w:pPr>
        <w:pStyle w:val="ListNumber"/>
        <w:numPr>
          <w:ilvl w:val="0"/>
          <w:numId w:val="31"/>
        </w:numPr>
        <w:spacing w:before="60" w:after="60"/>
        <w:ind w:left="357" w:hanging="357"/>
      </w:pPr>
      <w:r>
        <w:t>o</w:t>
      </w:r>
      <w:r w:rsidR="005E20BA">
        <w:t xml:space="preserve">verride </w:t>
      </w:r>
      <w:r>
        <w:t xml:space="preserve">any </w:t>
      </w:r>
      <w:r>
        <w:rPr>
          <w:rFonts w:eastAsiaTheme="majorEastAsia"/>
        </w:rPr>
        <w:t>provisions in primary GTAs that limit a shipper’s ability</w:t>
      </w:r>
      <w:r w:rsidR="005E20BA" w:rsidRPr="00401FCB">
        <w:rPr>
          <w:rFonts w:eastAsiaTheme="majorEastAsia"/>
        </w:rPr>
        <w:t xml:space="preserve"> to seek </w:t>
      </w:r>
      <w:r>
        <w:rPr>
          <w:rFonts w:eastAsiaTheme="majorEastAsia"/>
        </w:rPr>
        <w:t xml:space="preserve">a change in </w:t>
      </w:r>
      <w:r w:rsidR="005E20BA" w:rsidRPr="00401FCB">
        <w:rPr>
          <w:rFonts w:eastAsiaTheme="majorEastAsia"/>
        </w:rPr>
        <w:t>receipt or delivery point</w:t>
      </w:r>
      <w:r>
        <w:rPr>
          <w:rFonts w:eastAsiaTheme="majorEastAsia"/>
        </w:rPr>
        <w:t>s; and</w:t>
      </w:r>
    </w:p>
    <w:p w14:paraId="35905F2F" w14:textId="77777777" w:rsidR="005E20BA" w:rsidRPr="00074CCC" w:rsidRDefault="00401FCB" w:rsidP="00CF4594">
      <w:pPr>
        <w:pStyle w:val="ListNumber"/>
        <w:numPr>
          <w:ilvl w:val="0"/>
          <w:numId w:val="31"/>
        </w:numPr>
        <w:spacing w:before="60" w:after="60"/>
        <w:ind w:left="357" w:hanging="357"/>
      </w:pPr>
      <w:proofErr w:type="gramStart"/>
      <w:r>
        <w:t>r</w:t>
      </w:r>
      <w:r w:rsidR="005E20BA">
        <w:t>equire</w:t>
      </w:r>
      <w:proofErr w:type="gramEnd"/>
      <w:r w:rsidR="005E20BA">
        <w:t xml:space="preserve"> any charges </w:t>
      </w:r>
      <w:r>
        <w:t xml:space="preserve">levied by service providers </w:t>
      </w:r>
      <w:r w:rsidR="005E20BA">
        <w:t>to be cost reflective and, so far as reasonably practicable, reflect the outcomes of a workably competitive market</w:t>
      </w:r>
      <w:r w:rsidR="005E20BA" w:rsidRPr="00401FCB">
        <w:rPr>
          <w:rFonts w:eastAsiaTheme="majorEastAsia"/>
        </w:rPr>
        <w:t>.</w:t>
      </w:r>
    </w:p>
    <w:bookmarkEnd w:id="114"/>
    <w:bookmarkEnd w:id="115"/>
    <w:p w14:paraId="7EA05793" w14:textId="77777777" w:rsidR="006D41E9" w:rsidRPr="00E978F3" w:rsidRDefault="006D41E9" w:rsidP="006D41E9">
      <w:pPr>
        <w:pStyle w:val="Heading6"/>
        <w:spacing w:line="252" w:lineRule="auto"/>
        <w:rPr>
          <w:color w:val="0099CC"/>
        </w:rPr>
      </w:pPr>
      <w:r w:rsidRPr="00E978F3">
        <w:rPr>
          <w:color w:val="0099CC"/>
        </w:rPr>
        <w:t xml:space="preserve">Feedback provided </w:t>
      </w:r>
      <w:r w:rsidR="004E791B">
        <w:rPr>
          <w:color w:val="0099CC"/>
        </w:rPr>
        <w:t>through</w:t>
      </w:r>
      <w:r w:rsidRPr="00E978F3">
        <w:rPr>
          <w:color w:val="0099CC"/>
        </w:rPr>
        <w:t xml:space="preserve"> the consultation process</w:t>
      </w:r>
    </w:p>
    <w:p w14:paraId="684CA9DF" w14:textId="77777777" w:rsidR="00F372D4" w:rsidRDefault="00F372D4" w:rsidP="00F372D4">
      <w:pPr>
        <w:pStyle w:val="BodyText"/>
        <w:rPr>
          <w:lang w:eastAsia="en-US"/>
        </w:rPr>
      </w:pPr>
      <w:r>
        <w:rPr>
          <w:lang w:eastAsia="en-US"/>
        </w:rPr>
        <w:t xml:space="preserve">Stakeholder feedback received on the contractual limitations outlined above was relatively diverse. While some stakeholders noted that they could impede trade and that steps should be taken to remove these impediments, others were not convinced that anything needed to be done to address these limitations. </w:t>
      </w:r>
    </w:p>
    <w:p w14:paraId="601DB96F" w14:textId="77777777" w:rsidR="00F372D4" w:rsidRDefault="00F372D4" w:rsidP="00F372D4">
      <w:pPr>
        <w:pStyle w:val="BodyText"/>
        <w:rPr>
          <w:lang w:eastAsia="en-US"/>
        </w:rPr>
      </w:pPr>
      <w:r w:rsidRPr="00E978F3">
        <w:rPr>
          <w:lang w:eastAsia="en-US"/>
        </w:rPr>
        <w:t>APLNG</w:t>
      </w:r>
      <w:r>
        <w:rPr>
          <w:lang w:eastAsia="en-US"/>
        </w:rPr>
        <w:t>, for example,</w:t>
      </w:r>
      <w:r w:rsidRPr="00E978F3">
        <w:rPr>
          <w:lang w:eastAsia="en-US"/>
        </w:rPr>
        <w:t xml:space="preserve"> </w:t>
      </w:r>
      <w:r>
        <w:rPr>
          <w:lang w:eastAsia="en-US"/>
        </w:rPr>
        <w:t>was of the view</w:t>
      </w:r>
      <w:r w:rsidRPr="00E978F3">
        <w:rPr>
          <w:lang w:eastAsia="en-US"/>
        </w:rPr>
        <w:t xml:space="preserve"> that steps should be taken to </w:t>
      </w:r>
      <w:r>
        <w:rPr>
          <w:lang w:eastAsia="en-US"/>
        </w:rPr>
        <w:t>remove</w:t>
      </w:r>
      <w:r w:rsidRPr="00E978F3">
        <w:rPr>
          <w:lang w:eastAsia="en-US"/>
        </w:rPr>
        <w:t xml:space="preserve"> </w:t>
      </w:r>
      <w:r>
        <w:rPr>
          <w:lang w:eastAsia="en-US"/>
        </w:rPr>
        <w:t xml:space="preserve">any constraints on capacity trading </w:t>
      </w:r>
      <w:r w:rsidRPr="00E978F3">
        <w:rPr>
          <w:lang w:eastAsia="en-US"/>
        </w:rPr>
        <w:t xml:space="preserve">if </w:t>
      </w:r>
      <w:r>
        <w:rPr>
          <w:lang w:eastAsia="en-US"/>
        </w:rPr>
        <w:t xml:space="preserve">they prohibit greater </w:t>
      </w:r>
      <w:r w:rsidRPr="00E978F3">
        <w:rPr>
          <w:lang w:eastAsia="en-US"/>
        </w:rPr>
        <w:t>utilisation of pipelines.</w:t>
      </w:r>
      <w:r>
        <w:rPr>
          <w:lang w:eastAsia="en-US"/>
        </w:rPr>
        <w:t xml:space="preserve"> Other stakeholders, on the other hand, were less convinced that this was an issue, with: </w:t>
      </w:r>
    </w:p>
    <w:p w14:paraId="6F5FC6F7" w14:textId="77777777" w:rsidR="00493080" w:rsidRDefault="00D90D86" w:rsidP="00493080">
      <w:pPr>
        <w:pStyle w:val="ListBullet"/>
        <w:rPr>
          <w:lang w:eastAsia="en-US"/>
        </w:rPr>
      </w:pPr>
      <w:r>
        <w:rPr>
          <w:lang w:eastAsia="en-US"/>
        </w:rPr>
        <w:t xml:space="preserve">AGL noting that shippers usually have the ability to trade </w:t>
      </w:r>
      <w:r w:rsidR="00F43C13">
        <w:rPr>
          <w:lang w:eastAsia="en-US"/>
        </w:rPr>
        <w:t xml:space="preserve">by </w:t>
      </w:r>
      <w:r>
        <w:rPr>
          <w:lang w:eastAsia="en-US"/>
        </w:rPr>
        <w:t>enter</w:t>
      </w:r>
      <w:r w:rsidR="00F43C13">
        <w:rPr>
          <w:lang w:eastAsia="en-US"/>
        </w:rPr>
        <w:t>ing</w:t>
      </w:r>
      <w:r>
        <w:rPr>
          <w:lang w:eastAsia="en-US"/>
        </w:rPr>
        <w:t xml:space="preserve"> into bare transfers</w:t>
      </w:r>
      <w:r w:rsidR="00493080">
        <w:rPr>
          <w:lang w:eastAsia="en-US"/>
        </w:rPr>
        <w:t>;</w:t>
      </w:r>
    </w:p>
    <w:p w14:paraId="4860E44C" w14:textId="77777777" w:rsidR="00493080" w:rsidRDefault="00D90D86" w:rsidP="00493080">
      <w:pPr>
        <w:pStyle w:val="ListBullet"/>
        <w:rPr>
          <w:lang w:eastAsia="en-US"/>
        </w:rPr>
      </w:pPr>
      <w:r w:rsidRPr="00E978F3">
        <w:rPr>
          <w:lang w:eastAsia="en-US"/>
        </w:rPr>
        <w:t xml:space="preserve">APA </w:t>
      </w:r>
      <w:r w:rsidR="00493080">
        <w:rPr>
          <w:lang w:eastAsia="en-US"/>
        </w:rPr>
        <w:t xml:space="preserve">noting </w:t>
      </w:r>
      <w:r>
        <w:rPr>
          <w:lang w:eastAsia="en-US"/>
        </w:rPr>
        <w:t>that its Standard GTA permits the assignment of capacity from one shipper to another and that it also has a standing offer to include a capacity transfer service in its existing GTAs for any shipper that requests it</w:t>
      </w:r>
      <w:r w:rsidR="00493080">
        <w:rPr>
          <w:lang w:eastAsia="en-US"/>
        </w:rPr>
        <w:t>; and</w:t>
      </w:r>
    </w:p>
    <w:p w14:paraId="4823071C" w14:textId="77777777" w:rsidR="00D90D86" w:rsidRDefault="00493080" w:rsidP="00493080">
      <w:pPr>
        <w:pStyle w:val="ListBullet"/>
        <w:rPr>
          <w:lang w:eastAsia="en-US"/>
        </w:rPr>
      </w:pPr>
      <w:r>
        <w:rPr>
          <w:lang w:eastAsia="en-US"/>
        </w:rPr>
        <w:t xml:space="preserve">Jemena noting that its primary GTA provides for bare transfers of capacity and/or assignments, but acknowledged that in many cases shippers must obtain its consent before they trade the capacity. </w:t>
      </w:r>
    </w:p>
    <w:p w14:paraId="02D48C4D" w14:textId="77777777" w:rsidR="00493080" w:rsidRPr="00E978F3" w:rsidRDefault="00493080" w:rsidP="0085423C">
      <w:pPr>
        <w:pStyle w:val="BodyText"/>
        <w:rPr>
          <w:lang w:eastAsia="en-US"/>
        </w:rPr>
      </w:pPr>
      <w:r w:rsidRPr="00E978F3">
        <w:rPr>
          <w:lang w:eastAsia="en-US"/>
        </w:rPr>
        <w:t xml:space="preserve">AGL and Origin </w:t>
      </w:r>
      <w:r>
        <w:rPr>
          <w:lang w:eastAsia="en-US"/>
        </w:rPr>
        <w:t xml:space="preserve">also </w:t>
      </w:r>
      <w:r w:rsidRPr="00E978F3">
        <w:rPr>
          <w:lang w:eastAsia="en-US"/>
        </w:rPr>
        <w:t>expressed some concern about the potential re-opening of primary GTAs to address this type of limitation</w:t>
      </w:r>
      <w:r>
        <w:rPr>
          <w:lang w:eastAsia="en-US"/>
        </w:rPr>
        <w:t xml:space="preserve"> and claimed it would give rise to uncertainty and risk for both the service provider and shipper</w:t>
      </w:r>
      <w:r w:rsidRPr="00E978F3">
        <w:rPr>
          <w:lang w:eastAsia="en-US"/>
        </w:rPr>
        <w:t>.</w:t>
      </w:r>
      <w:r>
        <w:rPr>
          <w:lang w:eastAsia="en-US"/>
        </w:rPr>
        <w:t xml:space="preserve"> Concerns were also raised by AGL and APA about extending the operation of rule 105(2) to non-scheme pipelines, with APA noting there may be valid commercial or technical reasons for pipelines to restrict trades. </w:t>
      </w:r>
      <w:r w:rsidRPr="00E978F3">
        <w:rPr>
          <w:lang w:eastAsia="en-US"/>
        </w:rPr>
        <w:t xml:space="preserve"> </w:t>
      </w:r>
    </w:p>
    <w:p w14:paraId="2F171242" w14:textId="77777777" w:rsidR="00493080" w:rsidRPr="00E978F3" w:rsidRDefault="0085423C" w:rsidP="0085423C">
      <w:pPr>
        <w:pStyle w:val="BodyText"/>
        <w:rPr>
          <w:lang w:eastAsia="en-US"/>
        </w:rPr>
      </w:pPr>
      <w:r>
        <w:rPr>
          <w:lang w:eastAsia="en-US"/>
        </w:rPr>
        <w:t xml:space="preserve">As to limitations on receipt and delivery point changes, </w:t>
      </w:r>
      <w:proofErr w:type="spellStart"/>
      <w:r w:rsidR="00493080" w:rsidRPr="00E978F3">
        <w:rPr>
          <w:lang w:eastAsia="en-US"/>
        </w:rPr>
        <w:t>EnergyAustralia</w:t>
      </w:r>
      <w:proofErr w:type="spellEnd"/>
      <w:r w:rsidR="00493080" w:rsidRPr="00E978F3">
        <w:rPr>
          <w:lang w:eastAsia="en-US"/>
        </w:rPr>
        <w:t xml:space="preserve">, Shell and APLNG </w:t>
      </w:r>
      <w:r w:rsidR="00F372D4">
        <w:rPr>
          <w:lang w:eastAsia="en-US"/>
        </w:rPr>
        <w:t>suggested</w:t>
      </w:r>
      <w:r w:rsidR="00493080" w:rsidRPr="00E978F3">
        <w:rPr>
          <w:lang w:eastAsia="en-US"/>
        </w:rPr>
        <w:t xml:space="preserve"> there was value in amending the NGR to overcome </w:t>
      </w:r>
      <w:r>
        <w:rPr>
          <w:lang w:eastAsia="en-US"/>
        </w:rPr>
        <w:t xml:space="preserve">this type of limitation in </w:t>
      </w:r>
      <w:r w:rsidR="00493080" w:rsidRPr="00E978F3">
        <w:rPr>
          <w:lang w:eastAsia="en-US"/>
        </w:rPr>
        <w:t>primary GTAs.</w:t>
      </w:r>
      <w:r>
        <w:rPr>
          <w:lang w:eastAsia="en-US"/>
        </w:rPr>
        <w:t xml:space="preserve">  </w:t>
      </w:r>
      <w:r w:rsidR="00493080" w:rsidRPr="00E978F3">
        <w:rPr>
          <w:lang w:eastAsia="en-US"/>
        </w:rPr>
        <w:t>AGL</w:t>
      </w:r>
      <w:r>
        <w:rPr>
          <w:lang w:eastAsia="en-US"/>
        </w:rPr>
        <w:t>,</w:t>
      </w:r>
      <w:r w:rsidR="00493080" w:rsidRPr="00E978F3">
        <w:rPr>
          <w:lang w:eastAsia="en-US"/>
        </w:rPr>
        <w:t xml:space="preserve"> </w:t>
      </w:r>
      <w:r w:rsidR="00493080">
        <w:rPr>
          <w:lang w:eastAsia="en-US"/>
        </w:rPr>
        <w:t>Origin</w:t>
      </w:r>
      <w:r>
        <w:rPr>
          <w:lang w:eastAsia="en-US"/>
        </w:rPr>
        <w:t xml:space="preserve">, Jemena, APA and Epic, on the other hand, </w:t>
      </w:r>
      <w:r w:rsidR="00493080">
        <w:rPr>
          <w:lang w:eastAsia="en-US"/>
        </w:rPr>
        <w:t xml:space="preserve">did not think </w:t>
      </w:r>
      <w:r>
        <w:rPr>
          <w:lang w:eastAsia="en-US"/>
        </w:rPr>
        <w:t xml:space="preserve">this was necessary, with </w:t>
      </w:r>
      <w:r w:rsidR="00493080">
        <w:rPr>
          <w:lang w:eastAsia="en-US"/>
        </w:rPr>
        <w:t>Origin</w:t>
      </w:r>
      <w:r>
        <w:rPr>
          <w:lang w:eastAsia="en-US"/>
        </w:rPr>
        <w:t xml:space="preserve">, APA and Epic noting that the adoption of the zonal model should be sufficient to address the issues the AEMC originally raised. </w:t>
      </w:r>
      <w:r w:rsidR="00493080">
        <w:rPr>
          <w:lang w:eastAsia="en-US"/>
        </w:rPr>
        <w:t>APA</w:t>
      </w:r>
      <w:r w:rsidR="00493080" w:rsidRPr="00E978F3">
        <w:rPr>
          <w:lang w:eastAsia="en-US"/>
        </w:rPr>
        <w:t xml:space="preserve"> also </w:t>
      </w:r>
      <w:r w:rsidR="00493080">
        <w:rPr>
          <w:lang w:eastAsia="en-US"/>
        </w:rPr>
        <w:t xml:space="preserve">expressed some concerns about the potential for changes </w:t>
      </w:r>
      <w:r>
        <w:rPr>
          <w:lang w:eastAsia="en-US"/>
        </w:rPr>
        <w:t xml:space="preserve">to the NGR </w:t>
      </w:r>
      <w:r w:rsidR="00493080">
        <w:rPr>
          <w:lang w:eastAsia="en-US"/>
        </w:rPr>
        <w:t xml:space="preserve">to override existing contractual rights and disagreed with a number of the </w:t>
      </w:r>
      <w:r>
        <w:rPr>
          <w:lang w:eastAsia="en-US"/>
        </w:rPr>
        <w:t xml:space="preserve">suggestions that appeared in the consultation </w:t>
      </w:r>
      <w:r>
        <w:rPr>
          <w:lang w:eastAsia="en-US"/>
        </w:rPr>
        <w:lastRenderedPageBreak/>
        <w:t xml:space="preserve">paper regarding the circumstances in which consent could be withheld and the timeframes within which service providers should respond. </w:t>
      </w:r>
    </w:p>
    <w:p w14:paraId="23242EDE" w14:textId="77777777" w:rsidR="00AC2222" w:rsidRPr="00C00E2C" w:rsidRDefault="00AC2222" w:rsidP="00AC2222">
      <w:pPr>
        <w:pStyle w:val="Heading6"/>
        <w:spacing w:line="252" w:lineRule="auto"/>
        <w:rPr>
          <w:color w:val="0099CC"/>
        </w:rPr>
      </w:pPr>
      <w:r w:rsidRPr="00C00E2C">
        <w:rPr>
          <w:color w:val="0099CC"/>
        </w:rPr>
        <w:t xml:space="preserve">GMRG’s final recommendations </w:t>
      </w:r>
    </w:p>
    <w:p w14:paraId="3E26D0AB" w14:textId="77777777" w:rsidR="00BF1669" w:rsidRDefault="00CD473C" w:rsidP="00BF1669">
      <w:pPr>
        <w:pStyle w:val="BodyText"/>
        <w:rPr>
          <w:rFonts w:asciiTheme="majorHAnsi" w:hAnsiTheme="majorHAnsi" w:cstheme="majorHAnsi"/>
          <w:szCs w:val="18"/>
        </w:rPr>
      </w:pPr>
      <w:r>
        <w:t xml:space="preserve">The GMRG has considered the feedback provided by stakeholders on the contractual limitations outlined above and while it understands the reluctance that pipeline operators and some incumbent shippers may have to addressing these impediments, it </w:t>
      </w:r>
      <w:r w:rsidR="00F372D4">
        <w:t xml:space="preserve">is of the view </w:t>
      </w:r>
      <w:r>
        <w:t xml:space="preserve">that steps need to be taken to ensure they </w:t>
      </w:r>
      <w:r w:rsidRPr="00FA400C">
        <w:rPr>
          <w:rFonts w:asciiTheme="majorHAnsi" w:hAnsiTheme="majorHAnsi" w:cstheme="majorHAnsi"/>
          <w:szCs w:val="18"/>
        </w:rPr>
        <w:t xml:space="preserve">do not act as a barrier to secondary </w:t>
      </w:r>
      <w:r>
        <w:rPr>
          <w:rFonts w:asciiTheme="majorHAnsi" w:hAnsiTheme="majorHAnsi" w:cstheme="majorHAnsi"/>
          <w:szCs w:val="18"/>
        </w:rPr>
        <w:t xml:space="preserve">trade. The GMRG is therefore recommending </w:t>
      </w:r>
      <w:r w:rsidR="00BF1669">
        <w:rPr>
          <w:rFonts w:asciiTheme="majorHAnsi" w:hAnsiTheme="majorHAnsi" w:cstheme="majorHAnsi"/>
          <w:szCs w:val="18"/>
        </w:rPr>
        <w:t>a number of changes to overcome these limitations.</w:t>
      </w:r>
      <w:r w:rsidR="00AF5770">
        <w:rPr>
          <w:rFonts w:asciiTheme="majorHAnsi" w:hAnsiTheme="majorHAnsi" w:cstheme="majorHAnsi"/>
          <w:szCs w:val="18"/>
        </w:rPr>
        <w:t xml:space="preserve"> Further detail on these proposed changes is </w:t>
      </w:r>
      <w:r w:rsidR="004A5FCD">
        <w:rPr>
          <w:rFonts w:asciiTheme="majorHAnsi" w:hAnsiTheme="majorHAnsi" w:cstheme="majorHAnsi"/>
          <w:szCs w:val="18"/>
        </w:rPr>
        <w:t>provided</w:t>
      </w:r>
      <w:r w:rsidR="00AF5770">
        <w:rPr>
          <w:rFonts w:asciiTheme="majorHAnsi" w:hAnsiTheme="majorHAnsi" w:cstheme="majorHAnsi"/>
          <w:szCs w:val="18"/>
        </w:rPr>
        <w:t xml:space="preserve"> below.</w:t>
      </w:r>
    </w:p>
    <w:p w14:paraId="721FF7AD" w14:textId="77777777" w:rsidR="00BF1669" w:rsidRPr="00F43C13" w:rsidRDefault="00BF1669" w:rsidP="00F43C13">
      <w:pPr>
        <w:pStyle w:val="BodyText"/>
        <w:keepNext/>
        <w:rPr>
          <w:rFonts w:asciiTheme="majorHAnsi" w:hAnsiTheme="majorHAnsi" w:cstheme="majorHAnsi"/>
          <w:i/>
          <w:color w:val="0099CC"/>
          <w:szCs w:val="18"/>
        </w:rPr>
      </w:pPr>
      <w:r w:rsidRPr="00F43C13">
        <w:rPr>
          <w:rFonts w:asciiTheme="majorHAnsi" w:hAnsiTheme="majorHAnsi" w:cstheme="majorHAnsi"/>
          <w:i/>
          <w:color w:val="0099CC"/>
          <w:szCs w:val="18"/>
        </w:rPr>
        <w:t>Limitations on shippers trading capacity</w:t>
      </w:r>
    </w:p>
    <w:p w14:paraId="4F6D9398" w14:textId="77777777" w:rsidR="00993A3C" w:rsidRDefault="00993A3C" w:rsidP="00993A3C">
      <w:pPr>
        <w:pStyle w:val="BodyText"/>
        <w:rPr>
          <w:lang w:val="en-US" w:eastAsia="fr-CA"/>
        </w:rPr>
      </w:pPr>
      <w:r>
        <w:rPr>
          <w:rFonts w:asciiTheme="majorHAnsi" w:hAnsiTheme="majorHAnsi" w:cstheme="majorHAnsi"/>
          <w:szCs w:val="18"/>
        </w:rPr>
        <w:t xml:space="preserve">In the GMRG’s view, it is difficult to see any legitimate reason for the inclusion of clauses in GTAs that prevent or otherwise impede the trade of capacity by way of a bare or operational transfer </w:t>
      </w:r>
      <w:r>
        <w:t>if the shipper selling the capacity remains liable to pay for the capacity it contracted for and the shipper buying the capacity has an operational GTA with the service provider.</w:t>
      </w:r>
      <w:r>
        <w:rPr>
          <w:rStyle w:val="FootnoteReference"/>
        </w:rPr>
        <w:footnoteReference w:id="47"/>
      </w:r>
      <w:r>
        <w:t xml:space="preserve"> Given the potential for such clauses to impede trade and restrict competition in the secondary market, the GMRG </w:t>
      </w:r>
      <w:r>
        <w:rPr>
          <w:lang w:val="en-US" w:eastAsia="fr-CA"/>
        </w:rPr>
        <w:t xml:space="preserve">recommends that provisions be included in the NGL/NGR to provide for </w:t>
      </w:r>
      <w:r>
        <w:t>users to transfer some or all of their capacity without the service provider’s consent if these conditions are met.</w:t>
      </w:r>
      <w:r>
        <w:rPr>
          <w:lang w:val="en-US" w:eastAsia="fr-CA"/>
        </w:rPr>
        <w:t xml:space="preserve"> </w:t>
      </w:r>
    </w:p>
    <w:p w14:paraId="39C40FDA" w14:textId="77777777" w:rsidR="00993A3C" w:rsidRDefault="00993A3C" w:rsidP="00993A3C">
      <w:pPr>
        <w:pStyle w:val="BodyText"/>
      </w:pPr>
      <w:r>
        <w:rPr>
          <w:lang w:val="en-US" w:eastAsia="fr-CA"/>
        </w:rPr>
        <w:t xml:space="preserve">This rule would not apply to assignments or </w:t>
      </w:r>
      <w:proofErr w:type="spellStart"/>
      <w:r>
        <w:rPr>
          <w:lang w:val="en-US" w:eastAsia="fr-CA"/>
        </w:rPr>
        <w:t>novations</w:t>
      </w:r>
      <w:proofErr w:type="spellEnd"/>
      <w:r>
        <w:rPr>
          <w:lang w:val="en-US" w:eastAsia="fr-CA"/>
        </w:rPr>
        <w:t xml:space="preserve">, which the GMRG agrees should be subject to the consent of the service provider given these types of transfers can involve the termination or modification of the primary shipper’s payment obligations to the service provider.  If primary shippers already have the right to trade capacity and do not require the service provider’s consent, then the rule will have no effect on the primary shipper’s rights. </w:t>
      </w:r>
    </w:p>
    <w:p w14:paraId="31A0EBAC" w14:textId="77777777" w:rsidR="00C00E2C" w:rsidRDefault="00993A3C" w:rsidP="00993A3C">
      <w:pPr>
        <w:pStyle w:val="BodyText"/>
        <w:rPr>
          <w:rFonts w:eastAsiaTheme="majorEastAsia"/>
        </w:rPr>
      </w:pPr>
      <w:r>
        <w:rPr>
          <w:lang w:val="en-US" w:eastAsia="fr-CA"/>
        </w:rPr>
        <w:t xml:space="preserve">If primary shippers already have the right to trade capacity and do not require the service provider’s consent, then these new provisions will have no effect on the primary shipper’s rights. </w:t>
      </w:r>
      <w:r w:rsidR="00C00E2C" w:rsidRPr="00B21CCE">
        <w:rPr>
          <w:rFonts w:eastAsiaTheme="majorEastAsia"/>
        </w:rPr>
        <w:t xml:space="preserve">It can, however, be expected to </w:t>
      </w:r>
      <w:r w:rsidR="00B21CCE" w:rsidRPr="00B21CCE">
        <w:rPr>
          <w:rFonts w:eastAsiaTheme="majorEastAsia"/>
        </w:rPr>
        <w:t>benefit those primary shippers that are currently subject to these limitations</w:t>
      </w:r>
      <w:r w:rsidR="00A818D9">
        <w:rPr>
          <w:rFonts w:eastAsiaTheme="majorEastAsia"/>
        </w:rPr>
        <w:t>, which will benefit the market more generally</w:t>
      </w:r>
      <w:r w:rsidR="00F372D4">
        <w:rPr>
          <w:rFonts w:eastAsiaTheme="majorEastAsia"/>
        </w:rPr>
        <w:t xml:space="preserve"> by enabling</w:t>
      </w:r>
      <w:r w:rsidR="00B21CCE" w:rsidRPr="00B21CCE">
        <w:rPr>
          <w:rFonts w:eastAsiaTheme="majorEastAsia"/>
        </w:rPr>
        <w:t xml:space="preserve"> more shippers to compete to provide secondary capacity</w:t>
      </w:r>
      <w:r w:rsidR="00A818D9">
        <w:rPr>
          <w:rFonts w:eastAsiaTheme="majorEastAsia"/>
        </w:rPr>
        <w:t xml:space="preserve">. This can, in turn, be expected to promote the efficiency with which transportation capacity is allocated and used and foster the development of a more liquid secondary market, which is consistent with the broader objectives of the capacity trading reform package. </w:t>
      </w:r>
      <w:r w:rsidR="00136292">
        <w:rPr>
          <w:rFonts w:eastAsiaTheme="majorEastAsia"/>
        </w:rPr>
        <w:t xml:space="preserve">It is also consistent with </w:t>
      </w:r>
      <w:r w:rsidR="00C00E2C">
        <w:rPr>
          <w:rFonts w:eastAsiaTheme="majorEastAsia"/>
        </w:rPr>
        <w:t xml:space="preserve">the Energy Council’s Vision </w:t>
      </w:r>
      <w:r w:rsidR="00C00E2C">
        <w:rPr>
          <w:rFonts w:eastAsiaTheme="minorEastAsia"/>
        </w:rPr>
        <w:t>and a number of the outcomes it expected to pursue in the next phase of gas market reform (i.e. outcomes 2(b) and 3(b)</w:t>
      </w:r>
      <w:r>
        <w:rPr>
          <w:rFonts w:eastAsiaTheme="minorEastAsia"/>
        </w:rPr>
        <w:t xml:space="preserve"> </w:t>
      </w:r>
      <w:r w:rsidR="00C00E2C">
        <w:rPr>
          <w:rFonts w:eastAsiaTheme="minorEastAsia"/>
        </w:rPr>
        <w:t>– see</w:t>
      </w:r>
      <w:r w:rsidR="00C00E2C" w:rsidRPr="003957AA">
        <w:rPr>
          <w:rFonts w:eastAsiaTheme="minorEastAsia"/>
        </w:rPr>
        <w:t xml:space="preserve"> </w:t>
      </w:r>
      <w:r w:rsidR="00C00E2C" w:rsidRPr="003957AA">
        <w:rPr>
          <w:rFonts w:eastAsiaTheme="minorEastAsia"/>
        </w:rPr>
        <w:fldChar w:fldCharType="begin"/>
      </w:r>
      <w:r w:rsidR="00C00E2C" w:rsidRPr="003957AA">
        <w:rPr>
          <w:rFonts w:eastAsiaTheme="minorEastAsia"/>
        </w:rPr>
        <w:instrText xml:space="preserve"> REF _Ref482330736 \h  \* MERGEFORMAT </w:instrText>
      </w:r>
      <w:r w:rsidR="00C00E2C" w:rsidRPr="003957AA">
        <w:rPr>
          <w:rFonts w:eastAsiaTheme="minorEastAsia"/>
        </w:rPr>
      </w:r>
      <w:r w:rsidR="00C00E2C" w:rsidRPr="003957AA">
        <w:rPr>
          <w:rFonts w:eastAsiaTheme="minorEastAsia"/>
        </w:rPr>
        <w:fldChar w:fldCharType="separate"/>
      </w:r>
      <w:r w:rsidR="00761861" w:rsidRPr="00761861">
        <w:t xml:space="preserve">Box </w:t>
      </w:r>
      <w:r w:rsidR="00761861" w:rsidRPr="00761861">
        <w:rPr>
          <w:noProof/>
        </w:rPr>
        <w:t>1.1</w:t>
      </w:r>
      <w:r w:rsidR="00C00E2C" w:rsidRPr="003957AA">
        <w:rPr>
          <w:rFonts w:eastAsiaTheme="minorEastAsia"/>
        </w:rPr>
        <w:fldChar w:fldCharType="end"/>
      </w:r>
      <w:r w:rsidR="00C00E2C">
        <w:rPr>
          <w:rFonts w:eastAsiaTheme="minorEastAsia"/>
        </w:rPr>
        <w:t>).</w:t>
      </w:r>
      <w:r w:rsidR="00136292">
        <w:rPr>
          <w:rFonts w:eastAsiaTheme="minorEastAsia"/>
        </w:rPr>
        <w:t xml:space="preserve"> </w:t>
      </w:r>
      <w:r w:rsidR="00C00E2C">
        <w:rPr>
          <w:rFonts w:eastAsiaTheme="majorEastAsia"/>
        </w:rPr>
        <w:t>The GMRG is therefore satisfied that this recommendation will promote the NGO.</w:t>
      </w:r>
    </w:p>
    <w:p w14:paraId="057DF849" w14:textId="77777777" w:rsidR="00AF5770" w:rsidRPr="00F43C13" w:rsidRDefault="00AF5770" w:rsidP="00F43C13">
      <w:pPr>
        <w:pStyle w:val="BodyText"/>
        <w:keepNext/>
        <w:rPr>
          <w:rFonts w:asciiTheme="majorHAnsi" w:hAnsiTheme="majorHAnsi" w:cstheme="majorHAnsi"/>
          <w:i/>
          <w:color w:val="0099CC"/>
          <w:szCs w:val="18"/>
        </w:rPr>
      </w:pPr>
      <w:r w:rsidRPr="00F43C13">
        <w:rPr>
          <w:rFonts w:asciiTheme="majorHAnsi" w:hAnsiTheme="majorHAnsi" w:cstheme="majorHAnsi"/>
          <w:i/>
          <w:color w:val="0099CC"/>
          <w:szCs w:val="18"/>
        </w:rPr>
        <w:t xml:space="preserve">Limitations on receipt and delivery point changes </w:t>
      </w:r>
    </w:p>
    <w:p w14:paraId="4CAAB0FB" w14:textId="77777777" w:rsidR="00331233" w:rsidRDefault="007F7744" w:rsidP="004A5FCD">
      <w:pPr>
        <w:pStyle w:val="BodyText"/>
      </w:pPr>
      <w:r>
        <w:rPr>
          <w:lang w:val="en-US" w:eastAsia="fr-CA"/>
        </w:rPr>
        <w:t>Although</w:t>
      </w:r>
      <w:r w:rsidR="004A5FCD">
        <w:rPr>
          <w:lang w:val="en-US" w:eastAsia="fr-CA"/>
        </w:rPr>
        <w:t xml:space="preserve"> some stakeholders questioned the need to reform the receipt and delivery point change process, it does</w:t>
      </w:r>
      <w:r>
        <w:rPr>
          <w:lang w:val="en-US" w:eastAsia="fr-CA"/>
        </w:rPr>
        <w:t>, as outlined above,</w:t>
      </w:r>
      <w:r w:rsidR="004A5FCD">
        <w:rPr>
          <w:lang w:val="en-US" w:eastAsia="fr-CA"/>
        </w:rPr>
        <w:t xml:space="preserve"> fall within the scope of what the AEMC intended, which </w:t>
      </w:r>
      <w:r w:rsidR="00331233">
        <w:rPr>
          <w:lang w:val="en-US" w:eastAsia="fr-CA"/>
        </w:rPr>
        <w:t xml:space="preserve">was </w:t>
      </w:r>
      <w:r w:rsidR="004A5FCD">
        <w:rPr>
          <w:lang w:val="en-US" w:eastAsia="fr-CA"/>
        </w:rPr>
        <w:t xml:space="preserve">that pipeline operators should only be able to reject changes in </w:t>
      </w:r>
      <w:r w:rsidR="004A5FCD">
        <w:rPr>
          <w:lang w:val="en-US" w:eastAsia="fr-CA"/>
        </w:rPr>
        <w:lastRenderedPageBreak/>
        <w:t>limited circumstances and should be required to respond to requests within a specified time</w:t>
      </w:r>
      <w:r w:rsidR="004A5FCD">
        <w:t xml:space="preserve">. </w:t>
      </w:r>
      <w:r w:rsidR="00331233">
        <w:t xml:space="preserve">While the introduction of the </w:t>
      </w:r>
      <w:r>
        <w:t xml:space="preserve">zonal </w:t>
      </w:r>
      <w:r w:rsidRPr="00446551">
        <w:t>model (see Chapter 6) will</w:t>
      </w:r>
      <w:r w:rsidR="00331233" w:rsidRPr="00446551">
        <w:t xml:space="preserve"> overcome</w:t>
      </w:r>
      <w:r w:rsidR="00331233">
        <w:t xml:space="preserve"> these issues to some extent, it is important to recognise that under this model primary shippers will only have the right to sell capacity </w:t>
      </w:r>
      <w:r w:rsidR="00331233" w:rsidRPr="000B4FE0">
        <w:rPr>
          <w:b/>
        </w:rPr>
        <w:t>within</w:t>
      </w:r>
      <w:r w:rsidR="00331233">
        <w:t xml:space="preserve"> the zone that their receipt or delivery points are located. If shippers want to sell capacity </w:t>
      </w:r>
      <w:r w:rsidR="00331233" w:rsidRPr="000B4FE0">
        <w:rPr>
          <w:b/>
        </w:rPr>
        <w:t>outside</w:t>
      </w:r>
      <w:r w:rsidR="00331233">
        <w:t xml:space="preserve"> the zone, then they will need to seek a change to their receipt or delivery points. </w:t>
      </w:r>
      <w:r w:rsidR="000B4FE0">
        <w:t xml:space="preserve">The receipt and delivery point change processes employed by service providers will therefore continue to have an important bearing on secondary </w:t>
      </w:r>
      <w:r w:rsidR="00FE1630">
        <w:t>trade</w:t>
      </w:r>
      <w:r w:rsidR="000B4FE0">
        <w:t xml:space="preserve"> and could, as the AEMC and other stakeholders have noted, </w:t>
      </w:r>
      <w:r w:rsidR="00C00E2C">
        <w:t>impede trade if they:</w:t>
      </w:r>
    </w:p>
    <w:p w14:paraId="4B546A52" w14:textId="77777777" w:rsidR="00C00E2C" w:rsidRDefault="00C00E2C" w:rsidP="00C00E2C">
      <w:pPr>
        <w:pStyle w:val="ListBullet"/>
      </w:pPr>
      <w:r>
        <w:t xml:space="preserve">prohibit the shipper from requesting a change to their receipt and delivery points; </w:t>
      </w:r>
    </w:p>
    <w:p w14:paraId="007F9D2A" w14:textId="77777777" w:rsidR="00C00E2C" w:rsidRDefault="00C00E2C" w:rsidP="00C00E2C">
      <w:pPr>
        <w:pStyle w:val="ListBullet"/>
      </w:pPr>
      <w:r w:rsidRPr="00D73CE9">
        <w:t xml:space="preserve">limit the number of changes a shipper can </w:t>
      </w:r>
      <w:r>
        <w:t xml:space="preserve">request; or </w:t>
      </w:r>
    </w:p>
    <w:p w14:paraId="3ABD11C6" w14:textId="77777777" w:rsidR="00C00E2C" w:rsidRDefault="00C00E2C" w:rsidP="00C00E2C">
      <w:pPr>
        <w:pStyle w:val="ListBullet"/>
      </w:pPr>
      <w:proofErr w:type="gramStart"/>
      <w:r>
        <w:t>otherwise</w:t>
      </w:r>
      <w:proofErr w:type="gramEnd"/>
      <w:r>
        <w:t xml:space="preserve"> impede the shipper’s ability to change receipt or delivery points</w:t>
      </w:r>
      <w:r w:rsidR="00F372D4">
        <w:t>.</w:t>
      </w:r>
    </w:p>
    <w:p w14:paraId="025FB7A5" w14:textId="77777777" w:rsidR="00BF1669" w:rsidRPr="00BF1669" w:rsidRDefault="00AF5770" w:rsidP="00AF5770">
      <w:pPr>
        <w:pStyle w:val="BodyText"/>
        <w:rPr>
          <w:lang w:val="en-US" w:eastAsia="fr-CA"/>
        </w:rPr>
      </w:pPr>
      <w:r>
        <w:rPr>
          <w:lang w:val="en-US" w:eastAsia="fr-CA"/>
        </w:rPr>
        <w:t xml:space="preserve">To overcome </w:t>
      </w:r>
      <w:r w:rsidR="00C00E2C">
        <w:rPr>
          <w:lang w:val="en-US" w:eastAsia="fr-CA"/>
        </w:rPr>
        <w:t xml:space="preserve">this potential </w:t>
      </w:r>
      <w:r w:rsidR="000B4FE0">
        <w:rPr>
          <w:lang w:val="en-US" w:eastAsia="fr-CA"/>
        </w:rPr>
        <w:t xml:space="preserve">impediment, </w:t>
      </w:r>
      <w:r>
        <w:rPr>
          <w:lang w:val="en-US" w:eastAsia="fr-CA"/>
        </w:rPr>
        <w:t xml:space="preserve">the GMRG </w:t>
      </w:r>
      <w:r w:rsidR="000B4FE0">
        <w:rPr>
          <w:lang w:val="en-US" w:eastAsia="fr-CA"/>
        </w:rPr>
        <w:t>recommends</w:t>
      </w:r>
      <w:r>
        <w:rPr>
          <w:lang w:val="en-US" w:eastAsia="fr-CA"/>
        </w:rPr>
        <w:t xml:space="preserve"> that </w:t>
      </w:r>
      <w:r w:rsidR="00993A3C">
        <w:rPr>
          <w:lang w:val="en-US" w:eastAsia="fr-CA"/>
        </w:rPr>
        <w:t>provisions be included in the NGL/NGR to</w:t>
      </w:r>
      <w:r w:rsidR="00BF1669">
        <w:rPr>
          <w:lang w:val="en-US" w:eastAsia="fr-CA"/>
        </w:rPr>
        <w:t>:</w:t>
      </w:r>
      <w:r w:rsidR="00CD473C" w:rsidRPr="00BF1669">
        <w:rPr>
          <w:lang w:val="en-US" w:eastAsia="fr-CA"/>
        </w:rPr>
        <w:t xml:space="preserve"> </w:t>
      </w:r>
    </w:p>
    <w:p w14:paraId="2D14E44C" w14:textId="77777777" w:rsidR="00BF1669" w:rsidRDefault="00BF1669" w:rsidP="00CF4594">
      <w:pPr>
        <w:pStyle w:val="ListNumber"/>
        <w:numPr>
          <w:ilvl w:val="0"/>
          <w:numId w:val="47"/>
        </w:numPr>
      </w:pPr>
      <w:r>
        <w:t xml:space="preserve">Provide shippers and service providers with greater guidance on: </w:t>
      </w:r>
    </w:p>
    <w:p w14:paraId="158709A9" w14:textId="77777777" w:rsidR="00BF1669" w:rsidRDefault="00BF1669" w:rsidP="00BF1669">
      <w:pPr>
        <w:pStyle w:val="ListBullet2"/>
      </w:pPr>
      <w:r>
        <w:t xml:space="preserve">the rights </w:t>
      </w:r>
      <w:r w:rsidR="00AF5770">
        <w:t xml:space="preserve">that </w:t>
      </w:r>
      <w:r>
        <w:t>primary shippers have to seek a change to their receipt or delivery points (or add a new point);</w:t>
      </w:r>
      <w:r w:rsidR="00AF5770">
        <w:t xml:space="preserve"> and</w:t>
      </w:r>
    </w:p>
    <w:p w14:paraId="788A5EE6" w14:textId="77777777" w:rsidR="00BF1669" w:rsidRPr="00157379" w:rsidRDefault="00BF1669" w:rsidP="00BF1669">
      <w:pPr>
        <w:pStyle w:val="ListBullet2"/>
        <w:spacing w:before="60" w:after="60"/>
      </w:pPr>
      <w:r>
        <w:t xml:space="preserve">the circumstances in which a service provider can withhold its consent, which in </w:t>
      </w:r>
      <w:r w:rsidRPr="00157379">
        <w:t xml:space="preserve">the GMRG’s view should only occur if: </w:t>
      </w:r>
    </w:p>
    <w:p w14:paraId="6F679AD5" w14:textId="77777777" w:rsidR="00BF1669" w:rsidRDefault="00BF1669" w:rsidP="00CF4594">
      <w:pPr>
        <w:pStyle w:val="BodyTextSmall"/>
        <w:numPr>
          <w:ilvl w:val="0"/>
          <w:numId w:val="26"/>
        </w:numPr>
        <w:spacing w:before="60" w:after="60"/>
        <w:ind w:left="1071" w:hanging="357"/>
        <w:rPr>
          <w:sz w:val="22"/>
        </w:rPr>
      </w:pPr>
      <w:r>
        <w:rPr>
          <w:sz w:val="22"/>
        </w:rPr>
        <w:t xml:space="preserve">the change </w:t>
      </w:r>
      <w:r w:rsidRPr="00157379">
        <w:rPr>
          <w:sz w:val="22"/>
        </w:rPr>
        <w:t>is not technically feasible</w:t>
      </w:r>
      <w:r>
        <w:rPr>
          <w:sz w:val="22"/>
        </w:rPr>
        <w:t>;</w:t>
      </w:r>
    </w:p>
    <w:p w14:paraId="74ABD230" w14:textId="77777777" w:rsidR="00BF1669" w:rsidRPr="00503F6A" w:rsidRDefault="00BF1669" w:rsidP="00CF4594">
      <w:pPr>
        <w:pStyle w:val="BodyTextSmall"/>
        <w:numPr>
          <w:ilvl w:val="0"/>
          <w:numId w:val="26"/>
        </w:numPr>
        <w:spacing w:before="60" w:after="60"/>
        <w:ind w:left="1071" w:hanging="357"/>
        <w:rPr>
          <w:sz w:val="22"/>
        </w:rPr>
      </w:pPr>
      <w:r>
        <w:rPr>
          <w:sz w:val="22"/>
        </w:rPr>
        <w:t xml:space="preserve">the change </w:t>
      </w:r>
      <w:r w:rsidRPr="00503F6A">
        <w:rPr>
          <w:sz w:val="22"/>
        </w:rPr>
        <w:t xml:space="preserve">would adversely affect </w:t>
      </w:r>
      <w:r>
        <w:rPr>
          <w:sz w:val="22"/>
        </w:rPr>
        <w:t>another shipper’s</w:t>
      </w:r>
      <w:r w:rsidRPr="00503F6A">
        <w:rPr>
          <w:sz w:val="22"/>
        </w:rPr>
        <w:t xml:space="preserve"> access; and/or</w:t>
      </w:r>
    </w:p>
    <w:p w14:paraId="7EAB8288" w14:textId="77777777" w:rsidR="00BF1669" w:rsidRPr="00322C60" w:rsidRDefault="00BF1669" w:rsidP="00CF4594">
      <w:pPr>
        <w:pStyle w:val="BodyTextSmall"/>
        <w:numPr>
          <w:ilvl w:val="0"/>
          <w:numId w:val="26"/>
        </w:numPr>
        <w:spacing w:before="60" w:after="160"/>
        <w:ind w:left="1071" w:hanging="357"/>
        <w:rPr>
          <w:sz w:val="22"/>
        </w:rPr>
      </w:pPr>
      <w:proofErr w:type="gramStart"/>
      <w:r w:rsidRPr="00322C60">
        <w:rPr>
          <w:sz w:val="22"/>
        </w:rPr>
        <w:t>the</w:t>
      </w:r>
      <w:proofErr w:type="gramEnd"/>
      <w:r w:rsidRPr="00322C60">
        <w:rPr>
          <w:sz w:val="22"/>
        </w:rPr>
        <w:t xml:space="preserve"> change results in the service provider receiving less revenue under its contract with the shipper</w:t>
      </w:r>
      <w:r>
        <w:rPr>
          <w:rStyle w:val="FootnoteReference"/>
          <w:sz w:val="22"/>
        </w:rPr>
        <w:footnoteReference w:id="48"/>
      </w:r>
      <w:r w:rsidRPr="00322C60">
        <w:rPr>
          <w:sz w:val="22"/>
        </w:rPr>
        <w:t xml:space="preserve"> or incurring additional costs</w:t>
      </w:r>
      <w:r>
        <w:rPr>
          <w:sz w:val="22"/>
        </w:rPr>
        <w:t xml:space="preserve"> that the shipper is not prepared to pay for</w:t>
      </w:r>
      <w:r w:rsidRPr="00322C60">
        <w:rPr>
          <w:sz w:val="22"/>
        </w:rPr>
        <w:t>.</w:t>
      </w:r>
    </w:p>
    <w:p w14:paraId="14BB886E" w14:textId="77777777" w:rsidR="00BF1669" w:rsidRDefault="00BF1669" w:rsidP="00CF4594">
      <w:pPr>
        <w:pStyle w:val="ListNumber"/>
        <w:numPr>
          <w:ilvl w:val="0"/>
          <w:numId w:val="47"/>
        </w:numPr>
      </w:pPr>
      <w:r>
        <w:t>Specify the following timeframes for service providers to respond to a request to change a receipt or delivery point or zone:</w:t>
      </w:r>
    </w:p>
    <w:p w14:paraId="796DA286" w14:textId="77777777" w:rsidR="00BF1669" w:rsidRDefault="00BF1669" w:rsidP="00BF1669">
      <w:pPr>
        <w:pStyle w:val="ListBullet2"/>
        <w:spacing w:before="60" w:after="60"/>
      </w:pPr>
      <w:r>
        <w:t>For changes within a zone, service providers should inform shippers within five business days of receiving the request whether consent will be granted or not.</w:t>
      </w:r>
    </w:p>
    <w:p w14:paraId="7E00E237" w14:textId="77777777" w:rsidR="00BF1669" w:rsidRDefault="00BF1669" w:rsidP="00BF1669">
      <w:pPr>
        <w:pStyle w:val="ListBullet2"/>
        <w:spacing w:before="60" w:after="60"/>
      </w:pPr>
      <w:r>
        <w:t xml:space="preserve">For changes across zones, service providers should inform shippers within five </w:t>
      </w:r>
      <w:r w:rsidRPr="00503F6A">
        <w:t xml:space="preserve">business days of receiving </w:t>
      </w:r>
      <w:r w:rsidR="00F372D4">
        <w:t xml:space="preserve">the </w:t>
      </w:r>
      <w:r w:rsidRPr="00503F6A">
        <w:t>request whether consent will be granted or not, or if further investigations are required. If further inve</w:t>
      </w:r>
      <w:r>
        <w:t xml:space="preserve">stigations are required, then the service provider should be required to: </w:t>
      </w:r>
    </w:p>
    <w:p w14:paraId="02F35BC9" w14:textId="77777777" w:rsidR="00BF1669" w:rsidRDefault="00BF1669" w:rsidP="00CF4594">
      <w:pPr>
        <w:pStyle w:val="BodyText"/>
        <w:numPr>
          <w:ilvl w:val="0"/>
          <w:numId w:val="30"/>
        </w:numPr>
        <w:spacing w:before="60" w:after="60"/>
        <w:ind w:left="1071" w:hanging="357"/>
      </w:pPr>
      <w:r>
        <w:t xml:space="preserve">inform the shipper of how long the investigations are expected to take and what, if any, </w:t>
      </w:r>
      <w:r w:rsidRPr="00303694">
        <w:t xml:space="preserve">charges the shipper </w:t>
      </w:r>
      <w:r>
        <w:t>will be liable to pay; and</w:t>
      </w:r>
    </w:p>
    <w:p w14:paraId="4D14CE9D" w14:textId="77777777" w:rsidR="00BF1669" w:rsidRDefault="00BF1669" w:rsidP="00CF4594">
      <w:pPr>
        <w:pStyle w:val="BodyText"/>
        <w:numPr>
          <w:ilvl w:val="0"/>
          <w:numId w:val="30"/>
        </w:numPr>
        <w:spacing w:before="60" w:after="60"/>
        <w:ind w:left="1071" w:hanging="357"/>
      </w:pPr>
      <w:proofErr w:type="gramStart"/>
      <w:r w:rsidRPr="00303694">
        <w:t>provide</w:t>
      </w:r>
      <w:proofErr w:type="gramEnd"/>
      <w:r w:rsidRPr="00303694">
        <w:t xml:space="preserve"> its final response</w:t>
      </w:r>
      <w:r>
        <w:t xml:space="preserve"> to the shipper within 20 business days of receiving the request.</w:t>
      </w:r>
    </w:p>
    <w:p w14:paraId="32473767" w14:textId="77777777" w:rsidR="003D2C4A" w:rsidRPr="00303694" w:rsidRDefault="003C5903" w:rsidP="003D2C4A">
      <w:pPr>
        <w:pStyle w:val="BodyText"/>
        <w:spacing w:before="60" w:after="60"/>
        <w:ind w:left="714"/>
      </w:pPr>
      <w:r>
        <w:t xml:space="preserve">Extensions to </w:t>
      </w:r>
      <w:r w:rsidR="003D2C4A">
        <w:t xml:space="preserve">these timeframes will be available if the service provider </w:t>
      </w:r>
      <w:r>
        <w:t>needs to obtain the consent of a third party (e.g. another shipper at the relevant point or the allocation agent)</w:t>
      </w:r>
      <w:r w:rsidR="005B3CDB">
        <w:t>, or if both parties agree to the extension</w:t>
      </w:r>
      <w:r>
        <w:t xml:space="preserve">. </w:t>
      </w:r>
    </w:p>
    <w:p w14:paraId="71253724" w14:textId="77777777" w:rsidR="00BF1669" w:rsidRPr="003D2C4A" w:rsidRDefault="00BF1669" w:rsidP="00CF4594">
      <w:pPr>
        <w:pStyle w:val="ListNumber"/>
        <w:numPr>
          <w:ilvl w:val="0"/>
          <w:numId w:val="47"/>
        </w:numPr>
      </w:pPr>
      <w:r>
        <w:t xml:space="preserve">Require any charges that service providers levy for receipt or delivery point changes (or the inclusion of new receipt or delivery points), or to investigate the technical </w:t>
      </w:r>
      <w:r>
        <w:lastRenderedPageBreak/>
        <w:t>feasibility of such a change to be cost reflective and, so far as reasonably practicable, reflect the outcomes of a workably competitive market</w:t>
      </w:r>
      <w:r w:rsidRPr="00303694">
        <w:rPr>
          <w:rFonts w:eastAsiaTheme="majorEastAsia"/>
        </w:rPr>
        <w:t>.</w:t>
      </w:r>
    </w:p>
    <w:p w14:paraId="3BC16048" w14:textId="77777777" w:rsidR="00F372D4" w:rsidRDefault="00F372D4" w:rsidP="00F372D4">
      <w:pPr>
        <w:pStyle w:val="BodyText"/>
        <w:rPr>
          <w:rFonts w:eastAsiaTheme="majorEastAsia"/>
        </w:rPr>
      </w:pPr>
      <w:r>
        <w:rPr>
          <w:rFonts w:eastAsiaTheme="majorEastAsia"/>
        </w:rPr>
        <w:t>In the GMRG’s view, the</w:t>
      </w:r>
      <w:r w:rsidR="00993A3C">
        <w:rPr>
          <w:rFonts w:eastAsiaTheme="majorEastAsia"/>
        </w:rPr>
        <w:t xml:space="preserve">se provisions will </w:t>
      </w:r>
      <w:r>
        <w:rPr>
          <w:rFonts w:eastAsiaTheme="majorEastAsia"/>
        </w:rPr>
        <w:t xml:space="preserve">appropriately </w:t>
      </w:r>
      <w:r>
        <w:t xml:space="preserve">balance the concerns that have been raised about the receipt and delivery point change process, with the legitimate interests of service providers and other shippers, and the safe and reliable operation of the pipeline. This is because the provision will still allow </w:t>
      </w:r>
      <w:r>
        <w:rPr>
          <w:rFonts w:eastAsiaTheme="majorEastAsia"/>
        </w:rPr>
        <w:t>service providers to reject a change if there are valid commercial or technical reasons for doing so. Service providers will also be able to recover the costs they incur in investigating and making the changes from shippers, subject to the pricing principle outlined in (iii). The legitimate interests of service providers should not therefore be adversely affected by the inclusion of the proposed provision. The provision is not intended to affect the flexibility that some primary shippers have been able to negotiate in their primary GTAs and its application will therefore be limited in these situations.</w:t>
      </w:r>
    </w:p>
    <w:p w14:paraId="04977BE8" w14:textId="77777777" w:rsidR="002A2120" w:rsidRDefault="002A2120" w:rsidP="005C4620">
      <w:pPr>
        <w:pStyle w:val="BodyText"/>
        <w:rPr>
          <w:rFonts w:eastAsiaTheme="majorEastAsia"/>
        </w:rPr>
      </w:pPr>
      <w:r>
        <w:rPr>
          <w:rFonts w:eastAsiaTheme="majorEastAsia"/>
        </w:rPr>
        <w:t>More generally, the GMRG believes the</w:t>
      </w:r>
      <w:r w:rsidR="00993A3C">
        <w:rPr>
          <w:rFonts w:eastAsiaTheme="majorEastAsia"/>
        </w:rPr>
        <w:t>se</w:t>
      </w:r>
      <w:r>
        <w:rPr>
          <w:rFonts w:eastAsiaTheme="majorEastAsia"/>
        </w:rPr>
        <w:t xml:space="preserve"> provision</w:t>
      </w:r>
      <w:r w:rsidR="00993A3C">
        <w:rPr>
          <w:rFonts w:eastAsiaTheme="majorEastAsia"/>
        </w:rPr>
        <w:t>s</w:t>
      </w:r>
      <w:r>
        <w:rPr>
          <w:rFonts w:eastAsiaTheme="majorEastAsia"/>
        </w:rPr>
        <w:t xml:space="preserve"> </w:t>
      </w:r>
      <w:r w:rsidR="00993A3C">
        <w:rPr>
          <w:rFonts w:eastAsiaTheme="majorEastAsia"/>
        </w:rPr>
        <w:t xml:space="preserve">are </w:t>
      </w:r>
      <w:r w:rsidR="006A4385">
        <w:rPr>
          <w:rFonts w:eastAsiaTheme="majorEastAsia"/>
        </w:rPr>
        <w:t xml:space="preserve">fit-for-purpose and proportionate to the issues that have been identified and </w:t>
      </w:r>
      <w:r>
        <w:rPr>
          <w:rFonts w:eastAsiaTheme="majorEastAsia"/>
        </w:rPr>
        <w:t xml:space="preserve">is consistent with: </w:t>
      </w:r>
    </w:p>
    <w:p w14:paraId="42792D47" w14:textId="77777777" w:rsidR="002A2120" w:rsidRDefault="002A2120" w:rsidP="006A4385">
      <w:pPr>
        <w:pStyle w:val="ListBullet"/>
        <w:rPr>
          <w:rFonts w:eastAsiaTheme="majorEastAsia"/>
        </w:rPr>
      </w:pPr>
      <w:r>
        <w:rPr>
          <w:rFonts w:eastAsiaTheme="majorEastAsia"/>
        </w:rPr>
        <w:t>the AEMC’s preferred outcome that shippers be provided greater flexibility to change their receipt and delivery points;</w:t>
      </w:r>
    </w:p>
    <w:p w14:paraId="3DCAC6E6" w14:textId="77777777" w:rsidR="002A2120" w:rsidRDefault="002A2120" w:rsidP="006A4385">
      <w:pPr>
        <w:pStyle w:val="ListBullet"/>
        <w:rPr>
          <w:rFonts w:eastAsiaTheme="majorEastAsia"/>
        </w:rPr>
      </w:pPr>
      <w:r>
        <w:rPr>
          <w:rFonts w:eastAsiaTheme="majorEastAsia"/>
        </w:rPr>
        <w:t>the broader objectives of the capacity trading reform package,</w:t>
      </w:r>
      <w:r w:rsidR="006A4385">
        <w:rPr>
          <w:rFonts w:eastAsiaTheme="majorEastAsia"/>
        </w:rPr>
        <w:t xml:space="preserve"> </w:t>
      </w:r>
      <w:r>
        <w:rPr>
          <w:rFonts w:eastAsiaTheme="majorEastAsia"/>
        </w:rPr>
        <w:t xml:space="preserve">because it </w:t>
      </w:r>
      <w:r w:rsidR="006A4385">
        <w:rPr>
          <w:rFonts w:eastAsiaTheme="majorEastAsia"/>
        </w:rPr>
        <w:t xml:space="preserve">will remove any artificial impediments to primary shippers moving their receipt and delivery points, which should improve the efficiency with which capacity is allocated and used and enable the market more generally to </w:t>
      </w:r>
      <w:r w:rsidR="00A818D9">
        <w:rPr>
          <w:rFonts w:eastAsiaTheme="majorEastAsia"/>
        </w:rPr>
        <w:t>adapt to changing circumstances; and</w:t>
      </w:r>
    </w:p>
    <w:p w14:paraId="273D31AF" w14:textId="77777777" w:rsidR="006A4385" w:rsidRDefault="006A4385" w:rsidP="006A4385">
      <w:pPr>
        <w:pStyle w:val="ListBullet"/>
        <w:rPr>
          <w:rFonts w:eastAsiaTheme="minorEastAsia"/>
        </w:rPr>
      </w:pPr>
      <w:proofErr w:type="gramStart"/>
      <w:r>
        <w:rPr>
          <w:rFonts w:eastAsiaTheme="majorEastAsia"/>
        </w:rPr>
        <w:t>the</w:t>
      </w:r>
      <w:proofErr w:type="gramEnd"/>
      <w:r>
        <w:rPr>
          <w:rFonts w:eastAsiaTheme="majorEastAsia"/>
        </w:rPr>
        <w:t xml:space="preserve"> Energy Council’s Vision </w:t>
      </w:r>
      <w:r>
        <w:rPr>
          <w:rFonts w:eastAsiaTheme="minorEastAsia"/>
        </w:rPr>
        <w:t>and a number of the outcomes it expected to pursue in the next phase of gas market reform (i.e. outcomes 2(b) and 3(b)</w:t>
      </w:r>
      <w:r w:rsidR="00993A3C">
        <w:rPr>
          <w:rFonts w:eastAsiaTheme="minorEastAsia"/>
        </w:rPr>
        <w:t xml:space="preserve"> </w:t>
      </w:r>
      <w:r>
        <w:rPr>
          <w:rFonts w:eastAsiaTheme="minorEastAsia"/>
        </w:rPr>
        <w:t>– see</w:t>
      </w:r>
      <w:r w:rsidRPr="003957AA">
        <w:rPr>
          <w:rFonts w:eastAsiaTheme="minorEastAsia"/>
        </w:rPr>
        <w:t xml:space="preserve"> </w:t>
      </w:r>
      <w:r w:rsidRPr="003957AA">
        <w:rPr>
          <w:rFonts w:eastAsiaTheme="minorEastAsia"/>
        </w:rPr>
        <w:fldChar w:fldCharType="begin"/>
      </w:r>
      <w:r w:rsidRPr="003957AA">
        <w:rPr>
          <w:rFonts w:eastAsiaTheme="minorEastAsia"/>
        </w:rPr>
        <w:instrText xml:space="preserve"> REF _Ref482330736 \h  \* MERGEFORMAT </w:instrText>
      </w:r>
      <w:r w:rsidRPr="003957AA">
        <w:rPr>
          <w:rFonts w:eastAsiaTheme="minorEastAsia"/>
        </w:rPr>
      </w:r>
      <w:r w:rsidRPr="003957AA">
        <w:rPr>
          <w:rFonts w:eastAsiaTheme="minorEastAsia"/>
        </w:rPr>
        <w:fldChar w:fldCharType="separate"/>
      </w:r>
      <w:r w:rsidR="00761861" w:rsidRPr="00761861">
        <w:t xml:space="preserve">Box </w:t>
      </w:r>
      <w:r w:rsidR="00761861" w:rsidRPr="00761861">
        <w:rPr>
          <w:noProof/>
        </w:rPr>
        <w:t>1.1</w:t>
      </w:r>
      <w:r w:rsidRPr="003957AA">
        <w:rPr>
          <w:rFonts w:eastAsiaTheme="minorEastAsia"/>
        </w:rPr>
        <w:fldChar w:fldCharType="end"/>
      </w:r>
      <w:r>
        <w:rPr>
          <w:rFonts w:eastAsiaTheme="minorEastAsia"/>
        </w:rPr>
        <w:t>).</w:t>
      </w:r>
    </w:p>
    <w:p w14:paraId="71A7CF07" w14:textId="77777777" w:rsidR="006A4385" w:rsidRDefault="006A4385" w:rsidP="005C4620">
      <w:pPr>
        <w:pStyle w:val="BodyText"/>
        <w:rPr>
          <w:rFonts w:eastAsiaTheme="majorEastAsia"/>
        </w:rPr>
      </w:pPr>
      <w:r>
        <w:rPr>
          <w:rFonts w:eastAsiaTheme="majorEastAsia"/>
        </w:rPr>
        <w:t>The GMRG is therefore satisfied that this recommendation will promote the NGO.</w:t>
      </w:r>
    </w:p>
    <w:p w14:paraId="4DBE322F" w14:textId="77777777" w:rsidR="006D41E9" w:rsidRDefault="006D41E9" w:rsidP="006D41E9">
      <w:pPr>
        <w:pStyle w:val="Heading2"/>
      </w:pPr>
      <w:bookmarkStart w:id="116" w:name="_Toc499542657"/>
      <w:r>
        <w:t>Gas day start times and nomination cut-off times</w:t>
      </w:r>
      <w:bookmarkEnd w:id="116"/>
    </w:p>
    <w:p w14:paraId="14980B9F" w14:textId="77777777" w:rsidR="006D41E9" w:rsidRPr="00DF3C44" w:rsidRDefault="006D41E9" w:rsidP="00DF3C44">
      <w:pPr>
        <w:pStyle w:val="Heading6"/>
        <w:spacing w:line="252" w:lineRule="auto"/>
        <w:rPr>
          <w:color w:val="0099CC"/>
        </w:rPr>
      </w:pPr>
      <w:r w:rsidRPr="00DF3C44">
        <w:rPr>
          <w:color w:val="0099CC"/>
        </w:rPr>
        <w:t>Background</w:t>
      </w:r>
    </w:p>
    <w:p w14:paraId="28027E5F" w14:textId="77777777" w:rsidR="006D41E9" w:rsidRDefault="006D41E9" w:rsidP="006D41E9">
      <w:pPr>
        <w:pStyle w:val="BodyText"/>
      </w:pPr>
      <w:r w:rsidRPr="006566F5">
        <w:t>In February 2017, the AEMC decided to amend the rules to require the gas day start times in the facilitated markets (i.e. the STTM, the GSH and the DWGM) to move to 6 am (AEST) on 1 April 2021.</w:t>
      </w:r>
      <w:r>
        <w:t xml:space="preserve"> The benefits of harmonisation that the AEMC cited in this context were that it would:</w:t>
      </w:r>
      <w:r>
        <w:rPr>
          <w:rStyle w:val="FootnoteReference"/>
        </w:rPr>
        <w:footnoteReference w:id="49"/>
      </w:r>
    </w:p>
    <w:p w14:paraId="02B6D16A" w14:textId="77777777" w:rsidR="006D41E9" w:rsidRDefault="006D41E9" w:rsidP="006D41E9">
      <w:pPr>
        <w:pStyle w:val="ListBullet"/>
      </w:pPr>
      <w:r>
        <w:t>reduce the costs and complexities that market participants operating (or wishing to operate) across multiple facilitated markets currently face, including pipeline operators located at the interface of markets with different gas day start times; and</w:t>
      </w:r>
    </w:p>
    <w:p w14:paraId="3A8C8D40" w14:textId="77777777" w:rsidR="006D41E9" w:rsidRDefault="006D41E9" w:rsidP="006D41E9">
      <w:pPr>
        <w:pStyle w:val="ListBullet"/>
      </w:pPr>
      <w:proofErr w:type="gramStart"/>
      <w:r>
        <w:t>increase</w:t>
      </w:r>
      <w:proofErr w:type="gramEnd"/>
      <w:r>
        <w:t xml:space="preserve"> the interoperability and interconnection between markets and, in so doing, promote participation and liquidity in these markets and trade between locations.</w:t>
      </w:r>
    </w:p>
    <w:p w14:paraId="3D139D81" w14:textId="77777777" w:rsidR="006D41E9" w:rsidRDefault="006D41E9" w:rsidP="006D41E9">
      <w:pPr>
        <w:pStyle w:val="BodyText"/>
      </w:pPr>
      <w:r>
        <w:t xml:space="preserve">The AEMC also noted that some market participants were currently using contractual and operational arrangements to manage differences in gas day start times (e.g. through </w:t>
      </w:r>
      <w:proofErr w:type="spellStart"/>
      <w:r>
        <w:lastRenderedPageBreak/>
        <w:t>linepack</w:t>
      </w:r>
      <w:proofErr w:type="spellEnd"/>
      <w:r>
        <w:t xml:space="preserve"> and imbalance allowances), these arrangements were not costless and may not be available in all circumstances.</w:t>
      </w:r>
      <w:r>
        <w:rPr>
          <w:rStyle w:val="FootnoteReference"/>
        </w:rPr>
        <w:footnoteReference w:id="50"/>
      </w:r>
      <w:r>
        <w:t xml:space="preserve"> </w:t>
      </w:r>
    </w:p>
    <w:p w14:paraId="348E32C2" w14:textId="77777777" w:rsidR="006D41E9" w:rsidRDefault="006D41E9" w:rsidP="006D41E9">
      <w:pPr>
        <w:pStyle w:val="BodyText"/>
      </w:pPr>
      <w:r>
        <w:t>While the focus of the rule change was on the facilitated markets, the AEMC noted that employing the same gas day start time for the capacity trading reforms and harmonising pipeline schedules would be “desirable” because it would enable “seamless trading between regions” and “promote participation, competition and liquidity in these markets”.</w:t>
      </w:r>
      <w:r>
        <w:rPr>
          <w:rStyle w:val="FootnoteReference"/>
        </w:rPr>
        <w:footnoteReference w:id="51"/>
      </w:r>
      <w:r>
        <w:t xml:space="preserve"> A similar observation was made by the ACCC in the East Coast Gas Inquiry, with the ACCC noting that alignment of gas day start times and the nomination times employed by pipeline operators and other facilities would “reduce any potential barriers to trade and transaction costs”</w:t>
      </w:r>
      <w:r w:rsidR="00F372D4">
        <w:t>.</w:t>
      </w:r>
      <w:r>
        <w:rPr>
          <w:rStyle w:val="FootnoteReference"/>
        </w:rPr>
        <w:footnoteReference w:id="52"/>
      </w:r>
    </w:p>
    <w:p w14:paraId="4E3E0E99" w14:textId="77777777" w:rsidR="006D41E9" w:rsidRDefault="006D41E9" w:rsidP="006D41E9">
      <w:pPr>
        <w:pStyle w:val="BodyText"/>
      </w:pPr>
      <w:r>
        <w:t>The 1 April 2021 commencement date was adopted by the AEMC for this rule change because at the time it made the rule the capacity trading reform package was expected to be implemented in 2021.</w:t>
      </w:r>
      <w:r>
        <w:rPr>
          <w:rStyle w:val="FootnoteReference"/>
        </w:rPr>
        <w:footnoteReference w:id="53"/>
      </w:r>
      <w:r>
        <w:t xml:space="preserve"> Given a decision has subsequently been made to bring forward the implementation of the</w:t>
      </w:r>
      <w:r w:rsidR="00707149">
        <w:t>se</w:t>
      </w:r>
      <w:r>
        <w:t xml:space="preserve"> reforms, it is relevant to consider whether:</w:t>
      </w:r>
    </w:p>
    <w:p w14:paraId="3DC2E06B" w14:textId="77777777" w:rsidR="006D41E9" w:rsidRDefault="006D41E9" w:rsidP="006D41E9">
      <w:pPr>
        <w:pStyle w:val="ListBullet"/>
      </w:pPr>
      <w:r>
        <w:t>the harmonisation of gas day start times in the facilitated markets should be brought forward;</w:t>
      </w:r>
    </w:p>
    <w:p w14:paraId="782844BB" w14:textId="77777777" w:rsidR="006D41E9" w:rsidRDefault="006D41E9" w:rsidP="006D41E9">
      <w:pPr>
        <w:pStyle w:val="ListBullet"/>
      </w:pPr>
      <w:r>
        <w:t>the application of the gas day start time harmonisation should extend to all pipelines, production facilities, compressor and storage facilities in the east coast; and</w:t>
      </w:r>
    </w:p>
    <w:p w14:paraId="3BE1AE4C" w14:textId="77777777" w:rsidR="006D41E9" w:rsidRDefault="006D41E9" w:rsidP="006D41E9">
      <w:pPr>
        <w:pStyle w:val="ListBullet"/>
      </w:pPr>
      <w:proofErr w:type="gramStart"/>
      <w:r>
        <w:t>the</w:t>
      </w:r>
      <w:proofErr w:type="gramEnd"/>
      <w:r>
        <w:t xml:space="preserve"> nomination cut-off times should also be harmonised across pipelines and other facilities that will be subject to the capacity trading reforms (e.g. compressors). </w:t>
      </w:r>
    </w:p>
    <w:p w14:paraId="5BE876E5" w14:textId="77777777" w:rsidR="006D41E9" w:rsidRDefault="006D41E9" w:rsidP="006D41E9">
      <w:pPr>
        <w:pStyle w:val="BodyText"/>
      </w:pPr>
      <w:r>
        <w:t xml:space="preserve">In </w:t>
      </w:r>
      <w:r w:rsidR="00F372D4">
        <w:t xml:space="preserve">considering the above, </w:t>
      </w:r>
      <w:r>
        <w:t xml:space="preserve">it is important to understand the effect that differences in gas day start times and nomination cut-off times will have on: </w:t>
      </w:r>
    </w:p>
    <w:p w14:paraId="00260E81" w14:textId="77777777" w:rsidR="006D41E9" w:rsidRDefault="006D41E9" w:rsidP="006D41E9">
      <w:pPr>
        <w:pStyle w:val="ListBullet"/>
      </w:pPr>
      <w:r>
        <w:t>the timing of the close of trade for day-ahead products on the capacity trading platform; and</w:t>
      </w:r>
    </w:p>
    <w:p w14:paraId="4F072023" w14:textId="77777777" w:rsidR="006D41E9" w:rsidRDefault="006D41E9" w:rsidP="006D41E9">
      <w:pPr>
        <w:pStyle w:val="ListBullet"/>
      </w:pPr>
      <w:proofErr w:type="gramStart"/>
      <w:r>
        <w:t>the</w:t>
      </w:r>
      <w:proofErr w:type="gramEnd"/>
      <w:r>
        <w:t xml:space="preserve"> timing of the day-ahead auction. </w:t>
      </w:r>
    </w:p>
    <w:p w14:paraId="5F68BE2C" w14:textId="77777777" w:rsidR="006D41E9" w:rsidRDefault="006D41E9" w:rsidP="006D41E9">
      <w:pPr>
        <w:pStyle w:val="BodyText"/>
      </w:pPr>
      <w:r>
        <w:t xml:space="preserve">These effects are highlighted in </w:t>
      </w:r>
      <w:r>
        <w:rPr>
          <w:highlight w:val="yellow"/>
        </w:rPr>
        <w:fldChar w:fldCharType="begin"/>
      </w:r>
      <w:r>
        <w:instrText xml:space="preserve"> REF _Ref490636402 \h </w:instrText>
      </w:r>
      <w:r>
        <w:rPr>
          <w:highlight w:val="yellow"/>
        </w:rPr>
      </w:r>
      <w:r>
        <w:rPr>
          <w:highlight w:val="yellow"/>
        </w:rPr>
        <w:fldChar w:fldCharType="separate"/>
      </w:r>
      <w:r w:rsidR="00761861">
        <w:t xml:space="preserve">Table </w:t>
      </w:r>
      <w:r w:rsidR="00761861">
        <w:rPr>
          <w:noProof/>
        </w:rPr>
        <w:t>5</w:t>
      </w:r>
      <w:r w:rsidR="00761861">
        <w:t>.</w:t>
      </w:r>
      <w:r w:rsidR="00761861">
        <w:rPr>
          <w:noProof/>
        </w:rPr>
        <w:t>3</w:t>
      </w:r>
      <w:r>
        <w:rPr>
          <w:highlight w:val="yellow"/>
        </w:rPr>
        <w:fldChar w:fldCharType="end"/>
      </w:r>
      <w:r w:rsidR="00F372D4">
        <w:t xml:space="preserve">. The </w:t>
      </w:r>
      <w:r>
        <w:t xml:space="preserve">top </w:t>
      </w:r>
      <w:r w:rsidR="00F372D4">
        <w:t xml:space="preserve">section </w:t>
      </w:r>
      <w:r>
        <w:t xml:space="preserve">of </w:t>
      </w:r>
      <w:r w:rsidR="00F372D4">
        <w:t xml:space="preserve">this </w:t>
      </w:r>
      <w:r>
        <w:t xml:space="preserve">table </w:t>
      </w:r>
      <w:r w:rsidR="00D3026D">
        <w:t xml:space="preserve">sets </w:t>
      </w:r>
      <w:r>
        <w:t xml:space="preserve">out </w:t>
      </w:r>
      <w:r w:rsidRPr="004F2815">
        <w:rPr>
          <w:i/>
        </w:rPr>
        <w:t>indicative</w:t>
      </w:r>
      <w:r>
        <w:t xml:space="preserve"> times for the close of trade on the capacity trading platform and the day-ahead auction under the current gas day start times and nomination cut-off times</w:t>
      </w:r>
      <w:r w:rsidR="00D3026D">
        <w:t xml:space="preserve">. The middle section shows what would occur if gas day harmonisation occurred but nomination cut-off times were not harmonised. The </w:t>
      </w:r>
      <w:r>
        <w:t xml:space="preserve">bottom </w:t>
      </w:r>
      <w:r w:rsidR="00D3026D">
        <w:t xml:space="preserve">section of the table demonstrates the effect of harmonising both </w:t>
      </w:r>
      <w:r>
        <w:t xml:space="preserve">gas day start times and nomination </w:t>
      </w:r>
      <w:r w:rsidR="00D3026D">
        <w:t xml:space="preserve">cut-off </w:t>
      </w:r>
      <w:r>
        <w:t xml:space="preserve">times. </w:t>
      </w:r>
    </w:p>
    <w:p w14:paraId="505495F2" w14:textId="77777777" w:rsidR="006D41E9" w:rsidRDefault="006D41E9" w:rsidP="006D41E9">
      <w:pPr>
        <w:pStyle w:val="Caption"/>
        <w:spacing w:before="40" w:after="0"/>
      </w:pPr>
      <w:bookmarkStart w:id="117" w:name="_Ref490636402"/>
      <w:bookmarkStart w:id="118" w:name="_Hlk491187433"/>
      <w:r>
        <w:lastRenderedPageBreak/>
        <w:t xml:space="preserve">Table </w:t>
      </w:r>
      <w:r w:rsidR="00983431">
        <w:fldChar w:fldCharType="begin"/>
      </w:r>
      <w:r w:rsidR="00983431">
        <w:instrText xml:space="preserve"> STYLEREF 1 \s </w:instrText>
      </w:r>
      <w:r w:rsidR="00983431">
        <w:fldChar w:fldCharType="separate"/>
      </w:r>
      <w:r w:rsidR="00761861">
        <w:rPr>
          <w:noProof/>
        </w:rPr>
        <w:t>5</w:t>
      </w:r>
      <w:r w:rsidR="00983431">
        <w:rPr>
          <w:noProof/>
        </w:rPr>
        <w:fldChar w:fldCharType="end"/>
      </w:r>
      <w:r w:rsidR="00901056">
        <w:t>.</w:t>
      </w:r>
      <w:r w:rsidR="00983431">
        <w:fldChar w:fldCharType="begin"/>
      </w:r>
      <w:r w:rsidR="00983431">
        <w:instrText xml:space="preserve"> SEQ Table \* ARABIC \s 1 </w:instrText>
      </w:r>
      <w:r w:rsidR="00983431">
        <w:fldChar w:fldCharType="separate"/>
      </w:r>
      <w:r w:rsidR="00761861">
        <w:rPr>
          <w:noProof/>
        </w:rPr>
        <w:t>3</w:t>
      </w:r>
      <w:r w:rsidR="00983431">
        <w:rPr>
          <w:noProof/>
        </w:rPr>
        <w:fldChar w:fldCharType="end"/>
      </w:r>
      <w:bookmarkEnd w:id="117"/>
      <w:r>
        <w:t>: Gas day start times, nomination cut-off times and indicative timings for the day-ahead auction and close of trade on the trading platform (all times AEST)</w:t>
      </w:r>
    </w:p>
    <w:tbl>
      <w:tblPr>
        <w:tblStyle w:val="TableGrid"/>
        <w:tblW w:w="5312" w:type="pct"/>
        <w:tblBorders>
          <w:left w:val="single" w:sz="4" w:space="0" w:color="auto"/>
          <w:right w:val="single" w:sz="4" w:space="0" w:color="auto"/>
        </w:tblBorders>
        <w:tblLook w:val="04A0" w:firstRow="1" w:lastRow="0" w:firstColumn="1" w:lastColumn="0" w:noHBand="0" w:noVBand="1"/>
        <w:tblCaption w:val="Table 5.3"/>
        <w:tblDescription w:val="Gas day start times, nomination cut-off times and indicative timings for the day-ahead auction and close of trade on the trading platform (all times AEST)"/>
      </w:tblPr>
      <w:tblGrid>
        <w:gridCol w:w="1601"/>
        <w:gridCol w:w="1156"/>
        <w:gridCol w:w="1712"/>
        <w:gridCol w:w="1362"/>
        <w:gridCol w:w="1164"/>
        <w:gridCol w:w="1162"/>
        <w:gridCol w:w="1169"/>
      </w:tblGrid>
      <w:tr w:rsidR="006D41E9" w:rsidRPr="001B6BC7" w14:paraId="2D2FBDBA" w14:textId="77777777" w:rsidTr="00FC333B">
        <w:trPr>
          <w:cnfStyle w:val="100000000000" w:firstRow="1" w:lastRow="0" w:firstColumn="0" w:lastColumn="0" w:oddVBand="0" w:evenVBand="0" w:oddHBand="0" w:evenHBand="0" w:firstRowFirstColumn="0" w:firstRowLastColumn="0" w:lastRowFirstColumn="0" w:lastRowLastColumn="0"/>
          <w:cantSplit/>
          <w:tblHeader/>
        </w:trPr>
        <w:tc>
          <w:tcPr>
            <w:tcW w:w="858" w:type="pct"/>
            <w:vMerge w:val="restart"/>
            <w:shd w:val="clear" w:color="auto" w:fill="0099CC"/>
            <w:noWrap/>
            <w:hideMark/>
          </w:tcPr>
          <w:p w14:paraId="58093756" w14:textId="77777777" w:rsidR="006D41E9" w:rsidRPr="001B6BC7" w:rsidRDefault="006D41E9" w:rsidP="00FC333B">
            <w:pPr>
              <w:pStyle w:val="TableHeading"/>
              <w:spacing w:before="40" w:after="40"/>
            </w:pPr>
          </w:p>
        </w:tc>
        <w:tc>
          <w:tcPr>
            <w:tcW w:w="620" w:type="pct"/>
            <w:vMerge w:val="restart"/>
            <w:shd w:val="clear" w:color="auto" w:fill="0099CC"/>
            <w:hideMark/>
          </w:tcPr>
          <w:p w14:paraId="749CB096" w14:textId="77777777" w:rsidR="006D41E9" w:rsidRPr="001B6BC7" w:rsidRDefault="006D41E9" w:rsidP="00FC333B">
            <w:pPr>
              <w:pStyle w:val="TableHeading"/>
              <w:spacing w:before="40" w:after="40"/>
            </w:pPr>
            <w:r w:rsidRPr="001B6BC7">
              <w:t xml:space="preserve">Gas Day Start Time </w:t>
            </w:r>
          </w:p>
        </w:tc>
        <w:tc>
          <w:tcPr>
            <w:tcW w:w="918" w:type="pct"/>
            <w:vMerge w:val="restart"/>
            <w:shd w:val="clear" w:color="auto" w:fill="0099CC"/>
            <w:hideMark/>
          </w:tcPr>
          <w:p w14:paraId="3A2F5C3C" w14:textId="77777777" w:rsidR="006D41E9" w:rsidRPr="001B6BC7" w:rsidRDefault="006D41E9" w:rsidP="00FC333B">
            <w:pPr>
              <w:pStyle w:val="TableHeading"/>
              <w:spacing w:before="40" w:after="40"/>
            </w:pPr>
            <w:r w:rsidRPr="001B6BC7">
              <w:t xml:space="preserve">Indicative Timing </w:t>
            </w:r>
            <w:r w:rsidR="00D3026D">
              <w:t xml:space="preserve">for </w:t>
            </w:r>
            <w:r>
              <w:t xml:space="preserve">Capacity Trading Platform </w:t>
            </w:r>
            <w:r w:rsidRPr="001B6BC7">
              <w:t>Close</w:t>
            </w:r>
            <w:r>
              <w:t xml:space="preserve"> for Day-Ahead Products</w:t>
            </w:r>
            <w:r w:rsidRPr="001B6BC7">
              <w:t>*</w:t>
            </w:r>
          </w:p>
        </w:tc>
        <w:tc>
          <w:tcPr>
            <w:tcW w:w="730" w:type="pct"/>
            <w:vMerge w:val="restart"/>
            <w:shd w:val="clear" w:color="auto" w:fill="0099CC"/>
            <w:hideMark/>
          </w:tcPr>
          <w:p w14:paraId="45F23972" w14:textId="77777777" w:rsidR="006D41E9" w:rsidRPr="001B6BC7" w:rsidRDefault="006D41E9" w:rsidP="00FC333B">
            <w:pPr>
              <w:pStyle w:val="TableHeading"/>
              <w:spacing w:before="40" w:after="40"/>
            </w:pPr>
            <w:r w:rsidRPr="001B6BC7">
              <w:t>Pipeline Nomination Cut Off Time for Gas Day D+1**</w:t>
            </w:r>
          </w:p>
        </w:tc>
        <w:tc>
          <w:tcPr>
            <w:tcW w:w="1874" w:type="pct"/>
            <w:gridSpan w:val="3"/>
            <w:shd w:val="clear" w:color="auto" w:fill="0099CC"/>
            <w:hideMark/>
          </w:tcPr>
          <w:p w14:paraId="7892A779" w14:textId="77777777" w:rsidR="006D41E9" w:rsidRPr="001B6BC7" w:rsidRDefault="006D41E9" w:rsidP="00FC333B">
            <w:pPr>
              <w:pStyle w:val="TableHeading"/>
              <w:spacing w:before="40" w:after="40"/>
              <w:jc w:val="center"/>
            </w:pPr>
            <w:r w:rsidRPr="001B6BC7">
              <w:t>Indicative Timing for Day-Ahead Auction***</w:t>
            </w:r>
          </w:p>
        </w:tc>
      </w:tr>
      <w:tr w:rsidR="006D41E9" w:rsidRPr="001B6BC7" w14:paraId="170E6F9E" w14:textId="77777777" w:rsidTr="00FC333B">
        <w:trPr>
          <w:cnfStyle w:val="100000000000" w:firstRow="1" w:lastRow="0" w:firstColumn="0" w:lastColumn="0" w:oddVBand="0" w:evenVBand="0" w:oddHBand="0" w:evenHBand="0" w:firstRowFirstColumn="0" w:firstRowLastColumn="0" w:lastRowFirstColumn="0" w:lastRowLastColumn="0"/>
          <w:cantSplit/>
          <w:tblHeader/>
        </w:trPr>
        <w:tc>
          <w:tcPr>
            <w:tcW w:w="858" w:type="pct"/>
            <w:vMerge/>
            <w:tcBorders>
              <w:bottom w:val="single" w:sz="4" w:space="0" w:color="auto"/>
            </w:tcBorders>
            <w:shd w:val="clear" w:color="auto" w:fill="0099CC"/>
            <w:noWrap/>
            <w:hideMark/>
          </w:tcPr>
          <w:p w14:paraId="1B8E4A49" w14:textId="77777777" w:rsidR="006D41E9" w:rsidRPr="001B6BC7" w:rsidRDefault="006D41E9" w:rsidP="00FC333B">
            <w:pPr>
              <w:pStyle w:val="TableBodyText"/>
              <w:spacing w:before="40" w:after="40"/>
              <w:rPr>
                <w:bCs/>
                <w:color w:val="000000"/>
              </w:rPr>
            </w:pPr>
          </w:p>
        </w:tc>
        <w:tc>
          <w:tcPr>
            <w:tcW w:w="620" w:type="pct"/>
            <w:vMerge/>
            <w:tcBorders>
              <w:bottom w:val="single" w:sz="4" w:space="0" w:color="auto"/>
            </w:tcBorders>
            <w:shd w:val="clear" w:color="auto" w:fill="0099CC"/>
            <w:hideMark/>
          </w:tcPr>
          <w:p w14:paraId="3CC49176" w14:textId="77777777" w:rsidR="006D41E9" w:rsidRPr="001B6BC7" w:rsidRDefault="006D41E9" w:rsidP="00FC333B">
            <w:pPr>
              <w:pStyle w:val="TableBodyText"/>
              <w:spacing w:before="40" w:after="40"/>
              <w:rPr>
                <w:bCs/>
                <w:color w:val="000000"/>
              </w:rPr>
            </w:pPr>
          </w:p>
        </w:tc>
        <w:tc>
          <w:tcPr>
            <w:tcW w:w="918" w:type="pct"/>
            <w:vMerge/>
            <w:tcBorders>
              <w:bottom w:val="single" w:sz="4" w:space="0" w:color="auto"/>
            </w:tcBorders>
            <w:shd w:val="clear" w:color="auto" w:fill="0099CC"/>
            <w:hideMark/>
          </w:tcPr>
          <w:p w14:paraId="5C0D2585" w14:textId="77777777" w:rsidR="006D41E9" w:rsidRPr="001B6BC7" w:rsidRDefault="006D41E9" w:rsidP="00FC333B">
            <w:pPr>
              <w:pStyle w:val="TableBodyText"/>
              <w:spacing w:before="40" w:after="40"/>
              <w:rPr>
                <w:bCs/>
                <w:color w:val="000000"/>
              </w:rPr>
            </w:pPr>
          </w:p>
        </w:tc>
        <w:tc>
          <w:tcPr>
            <w:tcW w:w="730" w:type="pct"/>
            <w:vMerge/>
            <w:tcBorders>
              <w:bottom w:val="single" w:sz="4" w:space="0" w:color="auto"/>
            </w:tcBorders>
            <w:shd w:val="clear" w:color="auto" w:fill="0099CC"/>
            <w:hideMark/>
          </w:tcPr>
          <w:p w14:paraId="7F654E5B" w14:textId="77777777" w:rsidR="006D41E9" w:rsidRPr="001B6BC7" w:rsidRDefault="006D41E9" w:rsidP="00FC333B">
            <w:pPr>
              <w:pStyle w:val="TableBodyText"/>
              <w:spacing w:before="40" w:after="40"/>
              <w:rPr>
                <w:bCs/>
                <w:color w:val="000000"/>
              </w:rPr>
            </w:pPr>
          </w:p>
        </w:tc>
        <w:tc>
          <w:tcPr>
            <w:tcW w:w="624" w:type="pct"/>
            <w:tcBorders>
              <w:bottom w:val="single" w:sz="4" w:space="0" w:color="auto"/>
            </w:tcBorders>
            <w:shd w:val="clear" w:color="auto" w:fill="0099CC"/>
            <w:hideMark/>
          </w:tcPr>
          <w:p w14:paraId="6C7C009A" w14:textId="77777777" w:rsidR="006D41E9" w:rsidRPr="001B6BC7" w:rsidRDefault="006D41E9" w:rsidP="00FC333B">
            <w:pPr>
              <w:pStyle w:val="TableBodyText"/>
              <w:spacing w:before="40" w:after="40"/>
              <w:rPr>
                <w:bCs/>
                <w:color w:val="FFFFFF" w:themeColor="background1"/>
              </w:rPr>
            </w:pPr>
            <w:r w:rsidRPr="001B6BC7">
              <w:rPr>
                <w:bCs/>
                <w:color w:val="FFFFFF" w:themeColor="background1"/>
              </w:rPr>
              <w:t>Auction Capacity Published</w:t>
            </w:r>
          </w:p>
        </w:tc>
        <w:tc>
          <w:tcPr>
            <w:tcW w:w="623" w:type="pct"/>
            <w:tcBorders>
              <w:bottom w:val="single" w:sz="4" w:space="0" w:color="auto"/>
            </w:tcBorders>
            <w:shd w:val="clear" w:color="auto" w:fill="0099CC"/>
            <w:hideMark/>
          </w:tcPr>
          <w:p w14:paraId="6C300469" w14:textId="77777777" w:rsidR="006D41E9" w:rsidRPr="001B6BC7" w:rsidRDefault="006D41E9" w:rsidP="00FC333B">
            <w:pPr>
              <w:pStyle w:val="TableBodyText"/>
              <w:spacing w:before="40" w:after="40"/>
              <w:rPr>
                <w:bCs/>
                <w:color w:val="FFFFFF" w:themeColor="background1"/>
              </w:rPr>
            </w:pPr>
            <w:r>
              <w:rPr>
                <w:bCs/>
                <w:color w:val="FFFFFF" w:themeColor="background1"/>
              </w:rPr>
              <w:t>Auction Bids Due</w:t>
            </w:r>
          </w:p>
        </w:tc>
        <w:tc>
          <w:tcPr>
            <w:tcW w:w="627" w:type="pct"/>
            <w:tcBorders>
              <w:bottom w:val="single" w:sz="4" w:space="0" w:color="auto"/>
            </w:tcBorders>
            <w:shd w:val="clear" w:color="auto" w:fill="0099CC"/>
            <w:hideMark/>
          </w:tcPr>
          <w:p w14:paraId="092622B7" w14:textId="77777777" w:rsidR="006D41E9" w:rsidRPr="001B6BC7" w:rsidRDefault="006D41E9" w:rsidP="00FC333B">
            <w:pPr>
              <w:pStyle w:val="TableBodyText"/>
              <w:spacing w:before="40" w:after="40"/>
              <w:rPr>
                <w:bCs/>
                <w:color w:val="FFFFFF" w:themeColor="background1"/>
              </w:rPr>
            </w:pPr>
            <w:r w:rsidRPr="001B6BC7">
              <w:rPr>
                <w:bCs/>
                <w:color w:val="FFFFFF" w:themeColor="background1"/>
              </w:rPr>
              <w:t>Auction Completed</w:t>
            </w:r>
          </w:p>
        </w:tc>
      </w:tr>
      <w:tr w:rsidR="006D41E9" w:rsidRPr="001B6BC7" w14:paraId="75121A53" w14:textId="77777777" w:rsidTr="00FC333B">
        <w:trPr>
          <w:cnfStyle w:val="100000000000" w:firstRow="1" w:lastRow="0" w:firstColumn="0" w:lastColumn="0" w:oddVBand="0" w:evenVBand="0" w:oddHBand="0" w:evenHBand="0" w:firstRowFirstColumn="0" w:firstRowLastColumn="0" w:lastRowFirstColumn="0" w:lastRowLastColumn="0"/>
          <w:cantSplit/>
          <w:tblHeader/>
        </w:trPr>
        <w:tc>
          <w:tcPr>
            <w:tcW w:w="5000" w:type="pct"/>
            <w:gridSpan w:val="7"/>
            <w:shd w:val="clear" w:color="auto" w:fill="D9D9D9" w:themeFill="background1" w:themeFillShade="D9"/>
            <w:noWrap/>
            <w:hideMark/>
          </w:tcPr>
          <w:p w14:paraId="1FDCCF86" w14:textId="77777777" w:rsidR="006D41E9" w:rsidRPr="001B6BC7" w:rsidRDefault="006D41E9" w:rsidP="00FC333B">
            <w:pPr>
              <w:pStyle w:val="TableBodyText"/>
              <w:spacing w:before="40" w:after="40"/>
              <w:jc w:val="center"/>
              <w:rPr>
                <w:bCs/>
                <w:color w:val="000000"/>
              </w:rPr>
            </w:pPr>
            <w:r w:rsidRPr="001B6BC7">
              <w:rPr>
                <w:bCs/>
                <w:color w:val="000000"/>
              </w:rPr>
              <w:t>Current Gas Day and Nomination Cut-Off Times</w:t>
            </w:r>
          </w:p>
        </w:tc>
      </w:tr>
      <w:tr w:rsidR="006D41E9" w:rsidRPr="001B6BC7" w14:paraId="704D44A7" w14:textId="77777777" w:rsidTr="00FC333B">
        <w:trPr>
          <w:cnfStyle w:val="100000000000" w:firstRow="1" w:lastRow="0" w:firstColumn="0" w:lastColumn="0" w:oddVBand="0" w:evenVBand="0" w:oddHBand="0" w:evenHBand="0" w:firstRowFirstColumn="0" w:firstRowLastColumn="0" w:lastRowFirstColumn="0" w:lastRowLastColumn="0"/>
          <w:cantSplit/>
          <w:tblHeader/>
        </w:trPr>
        <w:tc>
          <w:tcPr>
            <w:tcW w:w="858" w:type="pct"/>
            <w:shd w:val="clear" w:color="auto" w:fill="auto"/>
            <w:noWrap/>
            <w:hideMark/>
          </w:tcPr>
          <w:p w14:paraId="5288C967" w14:textId="77777777" w:rsidR="006D41E9" w:rsidRPr="001B6BC7" w:rsidRDefault="006D41E9" w:rsidP="00FC333B">
            <w:pPr>
              <w:pStyle w:val="TableBodyText"/>
              <w:spacing w:before="40" w:after="40"/>
              <w:rPr>
                <w:b w:val="0"/>
                <w:bCs/>
                <w:color w:val="000000"/>
              </w:rPr>
            </w:pPr>
            <w:r w:rsidRPr="001B6BC7">
              <w:rPr>
                <w:b w:val="0"/>
                <w:bCs/>
                <w:color w:val="000000"/>
              </w:rPr>
              <w:t>NSW/ACT</w:t>
            </w:r>
          </w:p>
        </w:tc>
        <w:tc>
          <w:tcPr>
            <w:tcW w:w="620" w:type="pct"/>
            <w:shd w:val="clear" w:color="auto" w:fill="auto"/>
            <w:noWrap/>
            <w:vAlign w:val="center"/>
            <w:hideMark/>
          </w:tcPr>
          <w:p w14:paraId="64A359F2" w14:textId="77777777" w:rsidR="006D41E9" w:rsidRPr="001B6BC7" w:rsidRDefault="006D41E9" w:rsidP="00FC333B">
            <w:pPr>
              <w:pStyle w:val="TableBodyText"/>
              <w:spacing w:before="40" w:after="40"/>
              <w:jc w:val="center"/>
              <w:rPr>
                <w:b w:val="0"/>
                <w:bCs/>
                <w:color w:val="000000"/>
              </w:rPr>
            </w:pPr>
            <w:r w:rsidRPr="001B6BC7">
              <w:rPr>
                <w:b w:val="0"/>
                <w:bCs/>
                <w:color w:val="000000"/>
              </w:rPr>
              <w:t xml:space="preserve">6:30 </w:t>
            </w:r>
            <w:r>
              <w:rPr>
                <w:b w:val="0"/>
                <w:bCs/>
                <w:color w:val="000000"/>
              </w:rPr>
              <w:t>am</w:t>
            </w:r>
          </w:p>
        </w:tc>
        <w:tc>
          <w:tcPr>
            <w:tcW w:w="918" w:type="pct"/>
            <w:vMerge w:val="restart"/>
            <w:shd w:val="clear" w:color="auto" w:fill="auto"/>
            <w:noWrap/>
            <w:vAlign w:val="center"/>
            <w:hideMark/>
          </w:tcPr>
          <w:p w14:paraId="69BE7779" w14:textId="77777777" w:rsidR="006D41E9" w:rsidRPr="001B6BC7" w:rsidRDefault="006D41E9" w:rsidP="00FC333B">
            <w:pPr>
              <w:pStyle w:val="TableBodyText"/>
              <w:spacing w:before="40" w:after="40"/>
              <w:jc w:val="center"/>
              <w:rPr>
                <w:b w:val="0"/>
                <w:bCs/>
                <w:color w:val="000000"/>
              </w:rPr>
            </w:pPr>
            <w:r w:rsidRPr="001B6BC7">
              <w:rPr>
                <w:b w:val="0"/>
                <w:bCs/>
                <w:color w:val="000000"/>
              </w:rPr>
              <w:t>1</w:t>
            </w:r>
            <w:r>
              <w:rPr>
                <w:b w:val="0"/>
                <w:bCs/>
                <w:color w:val="000000"/>
              </w:rPr>
              <w:t>1</w:t>
            </w:r>
            <w:r w:rsidRPr="001B6BC7">
              <w:rPr>
                <w:b w:val="0"/>
                <w:bCs/>
                <w:color w:val="000000"/>
              </w:rPr>
              <w:t xml:space="preserve">:00 </w:t>
            </w:r>
            <w:r>
              <w:rPr>
                <w:b w:val="0"/>
                <w:bCs/>
                <w:color w:val="000000"/>
              </w:rPr>
              <w:t>am</w:t>
            </w:r>
          </w:p>
        </w:tc>
        <w:tc>
          <w:tcPr>
            <w:tcW w:w="730" w:type="pct"/>
            <w:shd w:val="clear" w:color="auto" w:fill="auto"/>
            <w:noWrap/>
            <w:vAlign w:val="center"/>
            <w:hideMark/>
          </w:tcPr>
          <w:p w14:paraId="4AFA3FA3" w14:textId="77777777" w:rsidR="006D41E9" w:rsidRPr="001B6BC7" w:rsidRDefault="006D41E9" w:rsidP="00FC333B">
            <w:pPr>
              <w:pStyle w:val="TableBodyText"/>
              <w:spacing w:before="40" w:after="40"/>
              <w:jc w:val="center"/>
              <w:rPr>
                <w:b w:val="0"/>
                <w:bCs/>
                <w:color w:val="000000"/>
              </w:rPr>
            </w:pPr>
            <w:r w:rsidRPr="001B6BC7">
              <w:rPr>
                <w:b w:val="0"/>
                <w:bCs/>
                <w:color w:val="000000"/>
              </w:rPr>
              <w:t xml:space="preserve">2 -2:30 </w:t>
            </w:r>
            <w:r>
              <w:rPr>
                <w:b w:val="0"/>
                <w:bCs/>
                <w:color w:val="000000"/>
              </w:rPr>
              <w:t>pm</w:t>
            </w:r>
          </w:p>
        </w:tc>
        <w:tc>
          <w:tcPr>
            <w:tcW w:w="624" w:type="pct"/>
            <w:vMerge w:val="restart"/>
            <w:shd w:val="clear" w:color="auto" w:fill="auto"/>
            <w:noWrap/>
            <w:vAlign w:val="center"/>
            <w:hideMark/>
          </w:tcPr>
          <w:p w14:paraId="7D683284" w14:textId="77777777" w:rsidR="006D41E9" w:rsidRPr="001B6BC7" w:rsidRDefault="006D41E9" w:rsidP="00FC333B">
            <w:pPr>
              <w:pStyle w:val="TableBodyText"/>
              <w:spacing w:before="40" w:after="40"/>
              <w:jc w:val="center"/>
              <w:rPr>
                <w:b w:val="0"/>
                <w:bCs/>
                <w:color w:val="000000"/>
              </w:rPr>
            </w:pPr>
            <w:r>
              <w:rPr>
                <w:b w:val="0"/>
                <w:bCs/>
                <w:color w:val="000000"/>
              </w:rPr>
              <w:t>5</w:t>
            </w:r>
            <w:r w:rsidRPr="001B6BC7">
              <w:rPr>
                <w:b w:val="0"/>
                <w:bCs/>
                <w:color w:val="000000"/>
              </w:rPr>
              <w:t>:</w:t>
            </w:r>
            <w:r w:rsidR="00863162">
              <w:rPr>
                <w:b w:val="0"/>
                <w:bCs/>
                <w:color w:val="000000"/>
              </w:rPr>
              <w:t>45</w:t>
            </w:r>
            <w:r w:rsidRPr="001B6BC7">
              <w:rPr>
                <w:b w:val="0"/>
                <w:bCs/>
                <w:color w:val="000000"/>
              </w:rPr>
              <w:t xml:space="preserve"> </w:t>
            </w:r>
            <w:r>
              <w:rPr>
                <w:b w:val="0"/>
                <w:bCs/>
                <w:color w:val="000000"/>
              </w:rPr>
              <w:t>pm</w:t>
            </w:r>
          </w:p>
        </w:tc>
        <w:tc>
          <w:tcPr>
            <w:tcW w:w="623" w:type="pct"/>
            <w:vMerge w:val="restart"/>
            <w:shd w:val="clear" w:color="auto" w:fill="auto"/>
            <w:noWrap/>
            <w:vAlign w:val="center"/>
            <w:hideMark/>
          </w:tcPr>
          <w:p w14:paraId="2166FE25" w14:textId="77777777" w:rsidR="006D41E9" w:rsidRPr="001B6BC7" w:rsidRDefault="00863162" w:rsidP="00FC333B">
            <w:pPr>
              <w:pStyle w:val="TableBodyText"/>
              <w:spacing w:before="40" w:after="40"/>
              <w:jc w:val="center"/>
              <w:rPr>
                <w:b w:val="0"/>
                <w:bCs/>
                <w:color w:val="000000"/>
              </w:rPr>
            </w:pPr>
            <w:r>
              <w:rPr>
                <w:b w:val="0"/>
                <w:bCs/>
                <w:color w:val="000000"/>
              </w:rPr>
              <w:t>6</w:t>
            </w:r>
            <w:r w:rsidR="006D41E9">
              <w:rPr>
                <w:b w:val="0"/>
                <w:bCs/>
                <w:color w:val="000000"/>
              </w:rPr>
              <w:t>:</w:t>
            </w:r>
            <w:r>
              <w:rPr>
                <w:b w:val="0"/>
                <w:bCs/>
                <w:color w:val="000000"/>
              </w:rPr>
              <w:t>15</w:t>
            </w:r>
            <w:r w:rsidR="006D41E9" w:rsidRPr="001B6BC7">
              <w:rPr>
                <w:b w:val="0"/>
                <w:bCs/>
                <w:color w:val="000000"/>
              </w:rPr>
              <w:t xml:space="preserve"> </w:t>
            </w:r>
            <w:r w:rsidR="006D41E9">
              <w:rPr>
                <w:b w:val="0"/>
                <w:bCs/>
                <w:color w:val="000000"/>
              </w:rPr>
              <w:t>pm</w:t>
            </w:r>
          </w:p>
        </w:tc>
        <w:tc>
          <w:tcPr>
            <w:tcW w:w="627" w:type="pct"/>
            <w:vMerge w:val="restart"/>
            <w:shd w:val="clear" w:color="auto" w:fill="auto"/>
            <w:noWrap/>
            <w:vAlign w:val="center"/>
            <w:hideMark/>
          </w:tcPr>
          <w:p w14:paraId="0730A597" w14:textId="77777777" w:rsidR="006D41E9" w:rsidRPr="001B6BC7" w:rsidRDefault="00863162" w:rsidP="00FC333B">
            <w:pPr>
              <w:pStyle w:val="TableBodyText"/>
              <w:spacing w:before="40" w:after="40"/>
              <w:jc w:val="center"/>
              <w:rPr>
                <w:b w:val="0"/>
                <w:bCs/>
                <w:color w:val="000000"/>
              </w:rPr>
            </w:pPr>
            <w:r>
              <w:rPr>
                <w:b w:val="0"/>
                <w:bCs/>
                <w:color w:val="000000"/>
              </w:rPr>
              <w:t>6</w:t>
            </w:r>
            <w:r w:rsidR="006D41E9" w:rsidRPr="001B6BC7">
              <w:rPr>
                <w:b w:val="0"/>
                <w:bCs/>
                <w:color w:val="000000"/>
              </w:rPr>
              <w:t>:</w:t>
            </w:r>
            <w:r w:rsidR="006D41E9">
              <w:rPr>
                <w:b w:val="0"/>
                <w:bCs/>
                <w:color w:val="000000"/>
              </w:rPr>
              <w:t>4</w:t>
            </w:r>
            <w:r>
              <w:rPr>
                <w:b w:val="0"/>
                <w:bCs/>
                <w:color w:val="000000"/>
              </w:rPr>
              <w:t>5</w:t>
            </w:r>
            <w:r w:rsidR="006D41E9" w:rsidRPr="001B6BC7">
              <w:rPr>
                <w:b w:val="0"/>
                <w:bCs/>
                <w:color w:val="000000"/>
              </w:rPr>
              <w:t xml:space="preserve"> </w:t>
            </w:r>
            <w:r w:rsidR="006D41E9">
              <w:rPr>
                <w:b w:val="0"/>
                <w:bCs/>
                <w:color w:val="000000"/>
              </w:rPr>
              <w:t>pm</w:t>
            </w:r>
          </w:p>
        </w:tc>
      </w:tr>
      <w:tr w:rsidR="006D41E9" w:rsidRPr="001B6BC7" w14:paraId="4680C2DB" w14:textId="77777777" w:rsidTr="00FC333B">
        <w:trPr>
          <w:cnfStyle w:val="100000000000" w:firstRow="1" w:lastRow="0" w:firstColumn="0" w:lastColumn="0" w:oddVBand="0" w:evenVBand="0" w:oddHBand="0" w:evenHBand="0" w:firstRowFirstColumn="0" w:firstRowLastColumn="0" w:lastRowFirstColumn="0" w:lastRowLastColumn="0"/>
          <w:cantSplit/>
          <w:tblHeader/>
        </w:trPr>
        <w:tc>
          <w:tcPr>
            <w:tcW w:w="858" w:type="pct"/>
            <w:shd w:val="clear" w:color="auto" w:fill="auto"/>
            <w:noWrap/>
            <w:hideMark/>
          </w:tcPr>
          <w:p w14:paraId="5F4FC0B7" w14:textId="77777777" w:rsidR="006D41E9" w:rsidRPr="001B6BC7" w:rsidRDefault="006D41E9" w:rsidP="00FC333B">
            <w:pPr>
              <w:pStyle w:val="TableBodyText"/>
              <w:spacing w:before="40" w:after="40"/>
              <w:rPr>
                <w:b w:val="0"/>
                <w:bCs/>
                <w:color w:val="000000"/>
              </w:rPr>
            </w:pPr>
            <w:r w:rsidRPr="001B6BC7">
              <w:rPr>
                <w:b w:val="0"/>
                <w:bCs/>
                <w:color w:val="000000"/>
              </w:rPr>
              <w:t>SA</w:t>
            </w:r>
          </w:p>
        </w:tc>
        <w:tc>
          <w:tcPr>
            <w:tcW w:w="620" w:type="pct"/>
            <w:shd w:val="clear" w:color="auto" w:fill="auto"/>
            <w:noWrap/>
            <w:vAlign w:val="center"/>
            <w:hideMark/>
          </w:tcPr>
          <w:p w14:paraId="11A104AD" w14:textId="77777777" w:rsidR="006D41E9" w:rsidRPr="001B6BC7" w:rsidRDefault="006D41E9" w:rsidP="00FC333B">
            <w:pPr>
              <w:pStyle w:val="TableBodyText"/>
              <w:spacing w:before="40" w:after="40"/>
              <w:jc w:val="center"/>
              <w:rPr>
                <w:b w:val="0"/>
                <w:bCs/>
                <w:color w:val="000000"/>
              </w:rPr>
            </w:pPr>
            <w:r w:rsidRPr="001B6BC7">
              <w:rPr>
                <w:b w:val="0"/>
                <w:bCs/>
                <w:color w:val="000000"/>
              </w:rPr>
              <w:t xml:space="preserve">6:30 </w:t>
            </w:r>
            <w:r>
              <w:rPr>
                <w:b w:val="0"/>
                <w:bCs/>
                <w:color w:val="000000"/>
              </w:rPr>
              <w:t>am</w:t>
            </w:r>
          </w:p>
        </w:tc>
        <w:tc>
          <w:tcPr>
            <w:tcW w:w="918" w:type="pct"/>
            <w:vMerge/>
            <w:shd w:val="clear" w:color="auto" w:fill="auto"/>
            <w:vAlign w:val="center"/>
            <w:hideMark/>
          </w:tcPr>
          <w:p w14:paraId="693D0C4E" w14:textId="77777777" w:rsidR="006D41E9" w:rsidRPr="001B6BC7" w:rsidRDefault="006D41E9" w:rsidP="00FC333B">
            <w:pPr>
              <w:pStyle w:val="TableBodyText"/>
              <w:spacing w:before="40" w:after="40"/>
              <w:jc w:val="center"/>
              <w:rPr>
                <w:b w:val="0"/>
                <w:bCs/>
                <w:color w:val="000000"/>
              </w:rPr>
            </w:pPr>
          </w:p>
        </w:tc>
        <w:tc>
          <w:tcPr>
            <w:tcW w:w="730" w:type="pct"/>
            <w:shd w:val="clear" w:color="auto" w:fill="auto"/>
            <w:noWrap/>
            <w:vAlign w:val="center"/>
            <w:hideMark/>
          </w:tcPr>
          <w:p w14:paraId="660DF3A9" w14:textId="77777777" w:rsidR="006D41E9" w:rsidRPr="001B6BC7" w:rsidRDefault="006D41E9" w:rsidP="00FC333B">
            <w:pPr>
              <w:pStyle w:val="TableBodyText"/>
              <w:spacing w:before="40" w:after="40"/>
              <w:jc w:val="center"/>
              <w:rPr>
                <w:b w:val="0"/>
                <w:bCs/>
                <w:color w:val="000000"/>
              </w:rPr>
            </w:pPr>
            <w:r w:rsidRPr="001B6BC7">
              <w:rPr>
                <w:b w:val="0"/>
                <w:bCs/>
                <w:color w:val="000000"/>
              </w:rPr>
              <w:t xml:space="preserve">3:30 </w:t>
            </w:r>
            <w:r>
              <w:rPr>
                <w:b w:val="0"/>
                <w:bCs/>
                <w:color w:val="000000"/>
              </w:rPr>
              <w:t>pm</w:t>
            </w:r>
          </w:p>
        </w:tc>
        <w:tc>
          <w:tcPr>
            <w:tcW w:w="624" w:type="pct"/>
            <w:vMerge/>
            <w:shd w:val="clear" w:color="auto" w:fill="auto"/>
            <w:vAlign w:val="center"/>
            <w:hideMark/>
          </w:tcPr>
          <w:p w14:paraId="404986BE" w14:textId="77777777" w:rsidR="006D41E9" w:rsidRPr="001B6BC7" w:rsidRDefault="006D41E9" w:rsidP="00FC333B">
            <w:pPr>
              <w:pStyle w:val="TableBodyText"/>
              <w:spacing w:before="40" w:after="40"/>
              <w:jc w:val="center"/>
              <w:rPr>
                <w:b w:val="0"/>
                <w:bCs/>
                <w:color w:val="000000"/>
              </w:rPr>
            </w:pPr>
          </w:p>
        </w:tc>
        <w:tc>
          <w:tcPr>
            <w:tcW w:w="623" w:type="pct"/>
            <w:vMerge/>
            <w:shd w:val="clear" w:color="auto" w:fill="auto"/>
            <w:vAlign w:val="center"/>
            <w:hideMark/>
          </w:tcPr>
          <w:p w14:paraId="5FC2F386" w14:textId="77777777" w:rsidR="006D41E9" w:rsidRPr="001B6BC7" w:rsidRDefault="006D41E9" w:rsidP="00FC333B">
            <w:pPr>
              <w:pStyle w:val="TableBodyText"/>
              <w:spacing w:before="40" w:after="40"/>
              <w:jc w:val="center"/>
              <w:rPr>
                <w:b w:val="0"/>
                <w:bCs/>
                <w:color w:val="000000"/>
              </w:rPr>
            </w:pPr>
          </w:p>
        </w:tc>
        <w:tc>
          <w:tcPr>
            <w:tcW w:w="627" w:type="pct"/>
            <w:vMerge/>
            <w:shd w:val="clear" w:color="auto" w:fill="auto"/>
            <w:vAlign w:val="center"/>
            <w:hideMark/>
          </w:tcPr>
          <w:p w14:paraId="550546FA" w14:textId="77777777" w:rsidR="006D41E9" w:rsidRPr="001B6BC7" w:rsidRDefault="006D41E9" w:rsidP="00FC333B">
            <w:pPr>
              <w:pStyle w:val="TableBodyText"/>
              <w:spacing w:before="40" w:after="40"/>
              <w:jc w:val="center"/>
              <w:rPr>
                <w:b w:val="0"/>
                <w:bCs/>
                <w:color w:val="000000"/>
              </w:rPr>
            </w:pPr>
          </w:p>
        </w:tc>
      </w:tr>
      <w:tr w:rsidR="006D41E9" w:rsidRPr="001B6BC7" w14:paraId="56815D2B" w14:textId="77777777" w:rsidTr="00FC333B">
        <w:trPr>
          <w:cnfStyle w:val="100000000000" w:firstRow="1" w:lastRow="0" w:firstColumn="0" w:lastColumn="0" w:oddVBand="0" w:evenVBand="0" w:oddHBand="0" w:evenHBand="0" w:firstRowFirstColumn="0" w:firstRowLastColumn="0" w:lastRowFirstColumn="0" w:lastRowLastColumn="0"/>
          <w:cantSplit/>
          <w:tblHeader/>
        </w:trPr>
        <w:tc>
          <w:tcPr>
            <w:tcW w:w="858" w:type="pct"/>
            <w:shd w:val="clear" w:color="auto" w:fill="auto"/>
            <w:noWrap/>
            <w:hideMark/>
          </w:tcPr>
          <w:p w14:paraId="54C023D3" w14:textId="77777777" w:rsidR="006D41E9" w:rsidRPr="001B6BC7" w:rsidRDefault="006D41E9" w:rsidP="00FC333B">
            <w:pPr>
              <w:pStyle w:val="TableBodyText"/>
              <w:spacing w:before="40" w:after="40"/>
              <w:rPr>
                <w:b w:val="0"/>
                <w:bCs/>
                <w:color w:val="000000"/>
              </w:rPr>
            </w:pPr>
            <w:r w:rsidRPr="001B6BC7">
              <w:rPr>
                <w:b w:val="0"/>
                <w:bCs/>
                <w:color w:val="000000"/>
              </w:rPr>
              <w:t>Queensland</w:t>
            </w:r>
          </w:p>
        </w:tc>
        <w:tc>
          <w:tcPr>
            <w:tcW w:w="620" w:type="pct"/>
            <w:shd w:val="clear" w:color="auto" w:fill="auto"/>
            <w:noWrap/>
            <w:vAlign w:val="center"/>
            <w:hideMark/>
          </w:tcPr>
          <w:p w14:paraId="6A2B2E71" w14:textId="77777777" w:rsidR="006D41E9" w:rsidRPr="001B6BC7" w:rsidRDefault="006D41E9" w:rsidP="00FC333B">
            <w:pPr>
              <w:pStyle w:val="TableBodyText"/>
              <w:spacing w:before="40" w:after="40"/>
              <w:jc w:val="center"/>
              <w:rPr>
                <w:b w:val="0"/>
                <w:bCs/>
                <w:color w:val="000000"/>
              </w:rPr>
            </w:pPr>
            <w:r w:rsidRPr="001B6BC7">
              <w:rPr>
                <w:b w:val="0"/>
                <w:bCs/>
                <w:color w:val="000000"/>
              </w:rPr>
              <w:t xml:space="preserve">8:00 </w:t>
            </w:r>
            <w:r>
              <w:rPr>
                <w:b w:val="0"/>
                <w:bCs/>
                <w:color w:val="000000"/>
              </w:rPr>
              <w:t>am</w:t>
            </w:r>
          </w:p>
        </w:tc>
        <w:tc>
          <w:tcPr>
            <w:tcW w:w="918" w:type="pct"/>
            <w:vMerge/>
            <w:shd w:val="clear" w:color="auto" w:fill="auto"/>
            <w:vAlign w:val="center"/>
            <w:hideMark/>
          </w:tcPr>
          <w:p w14:paraId="15A18842" w14:textId="77777777" w:rsidR="006D41E9" w:rsidRPr="001B6BC7" w:rsidRDefault="006D41E9" w:rsidP="00FC333B">
            <w:pPr>
              <w:pStyle w:val="TableBodyText"/>
              <w:spacing w:before="40" w:after="40"/>
              <w:jc w:val="center"/>
              <w:rPr>
                <w:b w:val="0"/>
                <w:bCs/>
                <w:color w:val="000000"/>
              </w:rPr>
            </w:pPr>
          </w:p>
        </w:tc>
        <w:tc>
          <w:tcPr>
            <w:tcW w:w="730" w:type="pct"/>
            <w:shd w:val="clear" w:color="auto" w:fill="auto"/>
            <w:noWrap/>
            <w:vAlign w:val="center"/>
            <w:hideMark/>
          </w:tcPr>
          <w:p w14:paraId="70F51255" w14:textId="77777777" w:rsidR="006D41E9" w:rsidRPr="001B6BC7" w:rsidRDefault="006D41E9" w:rsidP="00FC333B">
            <w:pPr>
              <w:pStyle w:val="TableBodyText"/>
              <w:spacing w:before="40" w:after="40"/>
              <w:jc w:val="center"/>
              <w:rPr>
                <w:b w:val="0"/>
                <w:bCs/>
                <w:color w:val="000000"/>
              </w:rPr>
            </w:pPr>
            <w:r w:rsidRPr="001B6BC7">
              <w:rPr>
                <w:b w:val="0"/>
                <w:bCs/>
                <w:color w:val="000000"/>
              </w:rPr>
              <w:t xml:space="preserve">3-4:00 </w:t>
            </w:r>
            <w:r>
              <w:rPr>
                <w:b w:val="0"/>
                <w:bCs/>
                <w:color w:val="000000"/>
              </w:rPr>
              <w:t>pm</w:t>
            </w:r>
          </w:p>
        </w:tc>
        <w:tc>
          <w:tcPr>
            <w:tcW w:w="624" w:type="pct"/>
            <w:vMerge/>
            <w:shd w:val="clear" w:color="auto" w:fill="auto"/>
            <w:vAlign w:val="center"/>
            <w:hideMark/>
          </w:tcPr>
          <w:p w14:paraId="04CD363A" w14:textId="77777777" w:rsidR="006D41E9" w:rsidRPr="001B6BC7" w:rsidRDefault="006D41E9" w:rsidP="00FC333B">
            <w:pPr>
              <w:pStyle w:val="TableBodyText"/>
              <w:spacing w:before="40" w:after="40"/>
              <w:jc w:val="center"/>
              <w:rPr>
                <w:b w:val="0"/>
                <w:bCs/>
                <w:color w:val="000000"/>
              </w:rPr>
            </w:pPr>
          </w:p>
        </w:tc>
        <w:tc>
          <w:tcPr>
            <w:tcW w:w="623" w:type="pct"/>
            <w:vMerge/>
            <w:shd w:val="clear" w:color="auto" w:fill="auto"/>
            <w:vAlign w:val="center"/>
            <w:hideMark/>
          </w:tcPr>
          <w:p w14:paraId="4FA5FF8C" w14:textId="77777777" w:rsidR="006D41E9" w:rsidRPr="001B6BC7" w:rsidRDefault="006D41E9" w:rsidP="00FC333B">
            <w:pPr>
              <w:pStyle w:val="TableBodyText"/>
              <w:spacing w:before="40" w:after="40"/>
              <w:jc w:val="center"/>
              <w:rPr>
                <w:b w:val="0"/>
                <w:bCs/>
                <w:color w:val="000000"/>
              </w:rPr>
            </w:pPr>
          </w:p>
        </w:tc>
        <w:tc>
          <w:tcPr>
            <w:tcW w:w="627" w:type="pct"/>
            <w:vMerge/>
            <w:shd w:val="clear" w:color="auto" w:fill="auto"/>
            <w:vAlign w:val="center"/>
            <w:hideMark/>
          </w:tcPr>
          <w:p w14:paraId="2E498BB5" w14:textId="77777777" w:rsidR="006D41E9" w:rsidRPr="001B6BC7" w:rsidRDefault="006D41E9" w:rsidP="00FC333B">
            <w:pPr>
              <w:pStyle w:val="TableBodyText"/>
              <w:spacing w:before="40" w:after="40"/>
              <w:jc w:val="center"/>
              <w:rPr>
                <w:b w:val="0"/>
                <w:bCs/>
                <w:color w:val="000000"/>
              </w:rPr>
            </w:pPr>
          </w:p>
        </w:tc>
      </w:tr>
      <w:tr w:rsidR="006D41E9" w:rsidRPr="001B6BC7" w14:paraId="04D20C1C" w14:textId="77777777" w:rsidTr="00FC333B">
        <w:trPr>
          <w:cnfStyle w:val="100000000000" w:firstRow="1" w:lastRow="0" w:firstColumn="0" w:lastColumn="0" w:oddVBand="0" w:evenVBand="0" w:oddHBand="0" w:evenHBand="0" w:firstRowFirstColumn="0" w:firstRowLastColumn="0" w:lastRowFirstColumn="0" w:lastRowLastColumn="0"/>
          <w:cantSplit/>
          <w:tblHeader/>
        </w:trPr>
        <w:tc>
          <w:tcPr>
            <w:tcW w:w="858" w:type="pct"/>
            <w:shd w:val="clear" w:color="auto" w:fill="auto"/>
            <w:noWrap/>
            <w:hideMark/>
          </w:tcPr>
          <w:p w14:paraId="3BE02039" w14:textId="77777777" w:rsidR="006D41E9" w:rsidRPr="001B6BC7" w:rsidRDefault="006D41E9" w:rsidP="00FC333B">
            <w:pPr>
              <w:pStyle w:val="TableBodyText"/>
              <w:spacing w:before="40" w:after="40"/>
              <w:rPr>
                <w:b w:val="0"/>
                <w:bCs/>
                <w:color w:val="000000"/>
              </w:rPr>
            </w:pPr>
            <w:r w:rsidRPr="001B6BC7">
              <w:rPr>
                <w:b w:val="0"/>
                <w:bCs/>
                <w:color w:val="000000"/>
              </w:rPr>
              <w:t>Tasmania</w:t>
            </w:r>
          </w:p>
        </w:tc>
        <w:tc>
          <w:tcPr>
            <w:tcW w:w="620" w:type="pct"/>
            <w:shd w:val="clear" w:color="auto" w:fill="auto"/>
            <w:noWrap/>
            <w:vAlign w:val="center"/>
            <w:hideMark/>
          </w:tcPr>
          <w:p w14:paraId="2041103D" w14:textId="77777777" w:rsidR="006D41E9" w:rsidRPr="001B6BC7" w:rsidRDefault="006D41E9" w:rsidP="00FC333B">
            <w:pPr>
              <w:pStyle w:val="TableBodyText"/>
              <w:spacing w:before="40" w:after="40"/>
              <w:jc w:val="center"/>
              <w:rPr>
                <w:b w:val="0"/>
                <w:bCs/>
                <w:color w:val="000000"/>
              </w:rPr>
            </w:pPr>
            <w:r w:rsidRPr="001B6BC7">
              <w:rPr>
                <w:b w:val="0"/>
                <w:bCs/>
                <w:color w:val="000000"/>
              </w:rPr>
              <w:t>6</w:t>
            </w:r>
            <w:r>
              <w:rPr>
                <w:b w:val="0"/>
                <w:bCs/>
                <w:color w:val="000000"/>
              </w:rPr>
              <w:t>:</w:t>
            </w:r>
            <w:r w:rsidRPr="001B6BC7">
              <w:rPr>
                <w:b w:val="0"/>
                <w:bCs/>
                <w:color w:val="000000"/>
              </w:rPr>
              <w:t xml:space="preserve">30 </w:t>
            </w:r>
            <w:r>
              <w:rPr>
                <w:b w:val="0"/>
                <w:bCs/>
                <w:color w:val="000000"/>
              </w:rPr>
              <w:t>am</w:t>
            </w:r>
          </w:p>
        </w:tc>
        <w:tc>
          <w:tcPr>
            <w:tcW w:w="918" w:type="pct"/>
            <w:vMerge/>
            <w:shd w:val="clear" w:color="auto" w:fill="auto"/>
            <w:vAlign w:val="center"/>
            <w:hideMark/>
          </w:tcPr>
          <w:p w14:paraId="7B18AC5A" w14:textId="77777777" w:rsidR="006D41E9" w:rsidRPr="001B6BC7" w:rsidRDefault="006D41E9" w:rsidP="00FC333B">
            <w:pPr>
              <w:pStyle w:val="TableBodyText"/>
              <w:spacing w:before="40" w:after="40"/>
              <w:jc w:val="center"/>
              <w:rPr>
                <w:b w:val="0"/>
                <w:bCs/>
                <w:color w:val="000000"/>
              </w:rPr>
            </w:pPr>
          </w:p>
        </w:tc>
        <w:tc>
          <w:tcPr>
            <w:tcW w:w="730" w:type="pct"/>
            <w:shd w:val="clear" w:color="auto" w:fill="auto"/>
            <w:noWrap/>
            <w:vAlign w:val="center"/>
            <w:hideMark/>
          </w:tcPr>
          <w:p w14:paraId="7C9901BC" w14:textId="77777777" w:rsidR="006D41E9" w:rsidRPr="001B6BC7" w:rsidRDefault="006D41E9" w:rsidP="00FC333B">
            <w:pPr>
              <w:pStyle w:val="TableBodyText"/>
              <w:spacing w:before="40" w:after="40"/>
              <w:jc w:val="center"/>
              <w:rPr>
                <w:b w:val="0"/>
                <w:bCs/>
                <w:color w:val="000000"/>
              </w:rPr>
            </w:pPr>
            <w:r w:rsidRPr="001B6BC7">
              <w:rPr>
                <w:b w:val="0"/>
                <w:bCs/>
                <w:color w:val="000000"/>
              </w:rPr>
              <w:t>1</w:t>
            </w:r>
            <w:r>
              <w:rPr>
                <w:b w:val="0"/>
                <w:bCs/>
                <w:color w:val="000000"/>
              </w:rPr>
              <w:t>:</w:t>
            </w:r>
            <w:r w:rsidRPr="001B6BC7">
              <w:rPr>
                <w:b w:val="0"/>
                <w:bCs/>
                <w:color w:val="000000"/>
              </w:rPr>
              <w:t xml:space="preserve">30 </w:t>
            </w:r>
            <w:r>
              <w:rPr>
                <w:b w:val="0"/>
                <w:bCs/>
                <w:color w:val="000000"/>
              </w:rPr>
              <w:t>pm</w:t>
            </w:r>
          </w:p>
        </w:tc>
        <w:tc>
          <w:tcPr>
            <w:tcW w:w="624" w:type="pct"/>
            <w:vMerge/>
            <w:shd w:val="clear" w:color="auto" w:fill="auto"/>
            <w:vAlign w:val="center"/>
            <w:hideMark/>
          </w:tcPr>
          <w:p w14:paraId="14E4920B" w14:textId="77777777" w:rsidR="006D41E9" w:rsidRPr="001B6BC7" w:rsidRDefault="006D41E9" w:rsidP="00FC333B">
            <w:pPr>
              <w:pStyle w:val="TableBodyText"/>
              <w:spacing w:before="40" w:after="40"/>
              <w:jc w:val="center"/>
              <w:rPr>
                <w:b w:val="0"/>
                <w:bCs/>
                <w:color w:val="000000"/>
              </w:rPr>
            </w:pPr>
          </w:p>
        </w:tc>
        <w:tc>
          <w:tcPr>
            <w:tcW w:w="623" w:type="pct"/>
            <w:vMerge/>
            <w:shd w:val="clear" w:color="auto" w:fill="auto"/>
            <w:vAlign w:val="center"/>
            <w:hideMark/>
          </w:tcPr>
          <w:p w14:paraId="1FC37682" w14:textId="77777777" w:rsidR="006D41E9" w:rsidRPr="001B6BC7" w:rsidRDefault="006D41E9" w:rsidP="00FC333B">
            <w:pPr>
              <w:pStyle w:val="TableBodyText"/>
              <w:spacing w:before="40" w:after="40"/>
              <w:jc w:val="center"/>
              <w:rPr>
                <w:b w:val="0"/>
                <w:bCs/>
                <w:color w:val="000000"/>
              </w:rPr>
            </w:pPr>
          </w:p>
        </w:tc>
        <w:tc>
          <w:tcPr>
            <w:tcW w:w="627" w:type="pct"/>
            <w:vMerge/>
            <w:shd w:val="clear" w:color="auto" w:fill="auto"/>
            <w:vAlign w:val="center"/>
            <w:hideMark/>
          </w:tcPr>
          <w:p w14:paraId="28A609C8" w14:textId="77777777" w:rsidR="006D41E9" w:rsidRPr="001B6BC7" w:rsidRDefault="006D41E9" w:rsidP="00FC333B">
            <w:pPr>
              <w:pStyle w:val="TableBodyText"/>
              <w:spacing w:before="40" w:after="40"/>
              <w:jc w:val="center"/>
              <w:rPr>
                <w:b w:val="0"/>
                <w:bCs/>
                <w:color w:val="000000"/>
              </w:rPr>
            </w:pPr>
          </w:p>
        </w:tc>
      </w:tr>
      <w:tr w:rsidR="006D41E9" w:rsidRPr="001B6BC7" w14:paraId="5249923A" w14:textId="77777777" w:rsidTr="00FC333B">
        <w:trPr>
          <w:cnfStyle w:val="100000000000" w:firstRow="1" w:lastRow="0" w:firstColumn="0" w:lastColumn="0" w:oddVBand="0" w:evenVBand="0" w:oddHBand="0" w:evenHBand="0" w:firstRowFirstColumn="0" w:firstRowLastColumn="0" w:lastRowFirstColumn="0" w:lastRowLastColumn="0"/>
          <w:cantSplit/>
          <w:tblHeader/>
        </w:trPr>
        <w:tc>
          <w:tcPr>
            <w:tcW w:w="858" w:type="pct"/>
            <w:shd w:val="clear" w:color="auto" w:fill="auto"/>
            <w:noWrap/>
          </w:tcPr>
          <w:p w14:paraId="09274878" w14:textId="77777777" w:rsidR="006D41E9" w:rsidRPr="001B6BC7" w:rsidRDefault="006D41E9" w:rsidP="00FC333B">
            <w:pPr>
              <w:pStyle w:val="TableBodyText"/>
              <w:spacing w:before="40" w:after="40"/>
              <w:rPr>
                <w:b w:val="0"/>
                <w:bCs/>
                <w:color w:val="000000"/>
              </w:rPr>
            </w:pPr>
            <w:r>
              <w:rPr>
                <w:b w:val="0"/>
                <w:bCs/>
                <w:color w:val="000000"/>
              </w:rPr>
              <w:t>Northern Territory</w:t>
            </w:r>
          </w:p>
        </w:tc>
        <w:tc>
          <w:tcPr>
            <w:tcW w:w="620" w:type="pct"/>
            <w:shd w:val="clear" w:color="auto" w:fill="auto"/>
            <w:noWrap/>
            <w:vAlign w:val="center"/>
          </w:tcPr>
          <w:p w14:paraId="4313E335" w14:textId="77777777" w:rsidR="006D41E9" w:rsidRPr="001B6BC7" w:rsidRDefault="006D41E9" w:rsidP="00FC333B">
            <w:pPr>
              <w:pStyle w:val="TableBodyText"/>
              <w:spacing w:before="40" w:after="40"/>
              <w:jc w:val="center"/>
              <w:rPr>
                <w:b w:val="0"/>
                <w:bCs/>
                <w:color w:val="000000"/>
              </w:rPr>
            </w:pPr>
            <w:r>
              <w:rPr>
                <w:b w:val="0"/>
                <w:bCs/>
                <w:color w:val="000000"/>
              </w:rPr>
              <w:t>8.30 am</w:t>
            </w:r>
          </w:p>
        </w:tc>
        <w:tc>
          <w:tcPr>
            <w:tcW w:w="918" w:type="pct"/>
            <w:shd w:val="clear" w:color="auto" w:fill="auto"/>
            <w:vAlign w:val="center"/>
          </w:tcPr>
          <w:p w14:paraId="6D004A42" w14:textId="77777777" w:rsidR="006D41E9" w:rsidRPr="001B6BC7" w:rsidRDefault="006D41E9" w:rsidP="00FC333B">
            <w:pPr>
              <w:pStyle w:val="TableBodyText"/>
              <w:spacing w:before="40" w:after="40"/>
              <w:jc w:val="center"/>
              <w:rPr>
                <w:b w:val="0"/>
                <w:bCs/>
                <w:color w:val="000000"/>
              </w:rPr>
            </w:pPr>
            <w:proofErr w:type="spellStart"/>
            <w:r>
              <w:rPr>
                <w:b w:val="0"/>
                <w:bCs/>
                <w:color w:val="000000"/>
              </w:rPr>
              <w:t>n.a</w:t>
            </w:r>
            <w:proofErr w:type="spellEnd"/>
            <w:r>
              <w:rPr>
                <w:b w:val="0"/>
                <w:bCs/>
                <w:color w:val="000000"/>
              </w:rPr>
              <w:t>.</w:t>
            </w:r>
          </w:p>
        </w:tc>
        <w:tc>
          <w:tcPr>
            <w:tcW w:w="730" w:type="pct"/>
            <w:shd w:val="clear" w:color="auto" w:fill="auto"/>
            <w:noWrap/>
            <w:vAlign w:val="center"/>
          </w:tcPr>
          <w:p w14:paraId="3F2DB64B" w14:textId="77777777" w:rsidR="006D41E9" w:rsidRPr="001B6BC7" w:rsidRDefault="006D41E9" w:rsidP="00FC333B">
            <w:pPr>
              <w:pStyle w:val="TableBodyText"/>
              <w:spacing w:before="40" w:after="40"/>
              <w:jc w:val="center"/>
              <w:rPr>
                <w:b w:val="0"/>
                <w:bCs/>
                <w:color w:val="000000"/>
              </w:rPr>
            </w:pPr>
            <w:r>
              <w:rPr>
                <w:b w:val="0"/>
                <w:bCs/>
                <w:color w:val="000000"/>
              </w:rPr>
              <w:t>2-2:30 pm</w:t>
            </w:r>
          </w:p>
        </w:tc>
        <w:tc>
          <w:tcPr>
            <w:tcW w:w="624" w:type="pct"/>
            <w:vMerge/>
            <w:shd w:val="clear" w:color="auto" w:fill="auto"/>
            <w:vAlign w:val="center"/>
          </w:tcPr>
          <w:p w14:paraId="57B73FE0" w14:textId="77777777" w:rsidR="006D41E9" w:rsidRPr="001B6BC7" w:rsidRDefault="006D41E9" w:rsidP="00FC333B">
            <w:pPr>
              <w:pStyle w:val="TableBodyText"/>
              <w:spacing w:before="40" w:after="40"/>
              <w:jc w:val="center"/>
              <w:rPr>
                <w:b w:val="0"/>
                <w:bCs/>
                <w:color w:val="000000"/>
              </w:rPr>
            </w:pPr>
          </w:p>
        </w:tc>
        <w:tc>
          <w:tcPr>
            <w:tcW w:w="623" w:type="pct"/>
            <w:vMerge/>
            <w:shd w:val="clear" w:color="auto" w:fill="auto"/>
            <w:vAlign w:val="center"/>
          </w:tcPr>
          <w:p w14:paraId="2C1A4C0B" w14:textId="77777777" w:rsidR="006D41E9" w:rsidRPr="001B6BC7" w:rsidRDefault="006D41E9" w:rsidP="00FC333B">
            <w:pPr>
              <w:pStyle w:val="TableBodyText"/>
              <w:spacing w:before="40" w:after="40"/>
              <w:jc w:val="center"/>
              <w:rPr>
                <w:b w:val="0"/>
                <w:bCs/>
                <w:color w:val="000000"/>
              </w:rPr>
            </w:pPr>
          </w:p>
        </w:tc>
        <w:tc>
          <w:tcPr>
            <w:tcW w:w="627" w:type="pct"/>
            <w:vMerge/>
            <w:shd w:val="clear" w:color="auto" w:fill="auto"/>
            <w:vAlign w:val="center"/>
          </w:tcPr>
          <w:p w14:paraId="07E40968" w14:textId="77777777" w:rsidR="006D41E9" w:rsidRPr="001B6BC7" w:rsidRDefault="006D41E9" w:rsidP="00FC333B">
            <w:pPr>
              <w:pStyle w:val="TableBodyText"/>
              <w:spacing w:before="40" w:after="40"/>
              <w:jc w:val="center"/>
              <w:rPr>
                <w:b w:val="0"/>
                <w:bCs/>
                <w:color w:val="000000"/>
              </w:rPr>
            </w:pPr>
          </w:p>
        </w:tc>
      </w:tr>
      <w:tr w:rsidR="006D41E9" w:rsidRPr="001B6BC7" w14:paraId="49374455" w14:textId="77777777" w:rsidTr="00FC333B">
        <w:trPr>
          <w:cnfStyle w:val="100000000000" w:firstRow="1" w:lastRow="0" w:firstColumn="0" w:lastColumn="0" w:oddVBand="0" w:evenVBand="0" w:oddHBand="0" w:evenHBand="0" w:firstRowFirstColumn="0" w:firstRowLastColumn="0" w:lastRowFirstColumn="0" w:lastRowLastColumn="0"/>
          <w:cantSplit/>
          <w:tblHeader/>
        </w:trPr>
        <w:tc>
          <w:tcPr>
            <w:tcW w:w="858" w:type="pct"/>
            <w:tcBorders>
              <w:bottom w:val="single" w:sz="4" w:space="0" w:color="auto"/>
            </w:tcBorders>
            <w:shd w:val="clear" w:color="auto" w:fill="auto"/>
            <w:noWrap/>
            <w:hideMark/>
          </w:tcPr>
          <w:p w14:paraId="6B7BA4CB" w14:textId="77777777" w:rsidR="006D41E9" w:rsidRPr="001B6BC7" w:rsidRDefault="006D41E9" w:rsidP="00FC333B">
            <w:pPr>
              <w:pStyle w:val="TableBodyText"/>
              <w:spacing w:before="40" w:after="40"/>
              <w:rPr>
                <w:b w:val="0"/>
                <w:bCs/>
                <w:color w:val="000000"/>
              </w:rPr>
            </w:pPr>
            <w:r w:rsidRPr="001B6BC7">
              <w:rPr>
                <w:b w:val="0"/>
                <w:bCs/>
                <w:color w:val="000000"/>
              </w:rPr>
              <w:t>Victoria</w:t>
            </w:r>
          </w:p>
        </w:tc>
        <w:tc>
          <w:tcPr>
            <w:tcW w:w="620" w:type="pct"/>
            <w:tcBorders>
              <w:bottom w:val="single" w:sz="4" w:space="0" w:color="auto"/>
            </w:tcBorders>
            <w:shd w:val="clear" w:color="auto" w:fill="auto"/>
            <w:noWrap/>
            <w:vAlign w:val="center"/>
            <w:hideMark/>
          </w:tcPr>
          <w:p w14:paraId="016DE4E7" w14:textId="77777777" w:rsidR="006D41E9" w:rsidRPr="001B6BC7" w:rsidRDefault="006D41E9" w:rsidP="00FC333B">
            <w:pPr>
              <w:pStyle w:val="TableBodyText"/>
              <w:spacing w:before="40" w:after="40"/>
              <w:jc w:val="center"/>
              <w:rPr>
                <w:b w:val="0"/>
                <w:bCs/>
                <w:color w:val="000000"/>
              </w:rPr>
            </w:pPr>
            <w:r w:rsidRPr="001B6BC7">
              <w:rPr>
                <w:b w:val="0"/>
                <w:bCs/>
                <w:color w:val="000000"/>
              </w:rPr>
              <w:t xml:space="preserve">6:00 </w:t>
            </w:r>
            <w:r>
              <w:rPr>
                <w:b w:val="0"/>
                <w:bCs/>
                <w:color w:val="000000"/>
              </w:rPr>
              <w:t>am</w:t>
            </w:r>
          </w:p>
        </w:tc>
        <w:tc>
          <w:tcPr>
            <w:tcW w:w="918" w:type="pct"/>
            <w:tcBorders>
              <w:bottom w:val="single" w:sz="4" w:space="0" w:color="auto"/>
            </w:tcBorders>
            <w:shd w:val="clear" w:color="auto" w:fill="auto"/>
            <w:noWrap/>
            <w:vAlign w:val="center"/>
            <w:hideMark/>
          </w:tcPr>
          <w:p w14:paraId="6FF32DC8" w14:textId="77777777" w:rsidR="006D41E9" w:rsidRPr="001B6BC7" w:rsidRDefault="006D41E9" w:rsidP="00FC333B">
            <w:pPr>
              <w:pStyle w:val="TableBodyText"/>
              <w:spacing w:before="40" w:after="40"/>
              <w:jc w:val="center"/>
              <w:rPr>
                <w:b w:val="0"/>
                <w:bCs/>
                <w:color w:val="000000"/>
              </w:rPr>
            </w:pPr>
            <w:proofErr w:type="spellStart"/>
            <w:r w:rsidRPr="001B6BC7">
              <w:rPr>
                <w:b w:val="0"/>
                <w:bCs/>
                <w:color w:val="000000"/>
              </w:rPr>
              <w:t>n.a</w:t>
            </w:r>
            <w:proofErr w:type="spellEnd"/>
            <w:r w:rsidRPr="001B6BC7">
              <w:rPr>
                <w:b w:val="0"/>
                <w:bCs/>
                <w:color w:val="000000"/>
              </w:rPr>
              <w:t>.</w:t>
            </w:r>
          </w:p>
        </w:tc>
        <w:tc>
          <w:tcPr>
            <w:tcW w:w="730" w:type="pct"/>
            <w:tcBorders>
              <w:bottom w:val="single" w:sz="4" w:space="0" w:color="auto"/>
            </w:tcBorders>
            <w:shd w:val="clear" w:color="auto" w:fill="auto"/>
            <w:noWrap/>
            <w:vAlign w:val="center"/>
            <w:hideMark/>
          </w:tcPr>
          <w:p w14:paraId="5F3056E1" w14:textId="77777777" w:rsidR="006D41E9" w:rsidRPr="001B6BC7" w:rsidRDefault="006D41E9" w:rsidP="00FC333B">
            <w:pPr>
              <w:pStyle w:val="TableBodyText"/>
              <w:spacing w:before="40" w:after="40"/>
              <w:jc w:val="center"/>
              <w:rPr>
                <w:b w:val="0"/>
                <w:bCs/>
                <w:color w:val="000000"/>
              </w:rPr>
            </w:pPr>
            <w:proofErr w:type="spellStart"/>
            <w:r w:rsidRPr="001B6BC7">
              <w:rPr>
                <w:b w:val="0"/>
                <w:bCs/>
                <w:color w:val="000000"/>
              </w:rPr>
              <w:t>n.a</w:t>
            </w:r>
            <w:proofErr w:type="spellEnd"/>
            <w:r w:rsidRPr="001B6BC7">
              <w:rPr>
                <w:b w:val="0"/>
                <w:bCs/>
                <w:color w:val="000000"/>
              </w:rPr>
              <w:t>.</w:t>
            </w:r>
          </w:p>
        </w:tc>
        <w:tc>
          <w:tcPr>
            <w:tcW w:w="624" w:type="pct"/>
            <w:tcBorders>
              <w:bottom w:val="single" w:sz="4" w:space="0" w:color="auto"/>
            </w:tcBorders>
            <w:shd w:val="clear" w:color="auto" w:fill="auto"/>
            <w:noWrap/>
            <w:vAlign w:val="center"/>
            <w:hideMark/>
          </w:tcPr>
          <w:p w14:paraId="5C81D977" w14:textId="77777777" w:rsidR="006D41E9" w:rsidRPr="001B6BC7" w:rsidRDefault="006D41E9" w:rsidP="00FC333B">
            <w:pPr>
              <w:pStyle w:val="TableBodyText"/>
              <w:spacing w:before="40" w:after="40"/>
              <w:jc w:val="center"/>
              <w:rPr>
                <w:b w:val="0"/>
                <w:bCs/>
                <w:color w:val="000000"/>
              </w:rPr>
            </w:pPr>
            <w:proofErr w:type="spellStart"/>
            <w:r w:rsidRPr="001B6BC7">
              <w:rPr>
                <w:b w:val="0"/>
                <w:bCs/>
                <w:color w:val="000000"/>
              </w:rPr>
              <w:t>n.a</w:t>
            </w:r>
            <w:proofErr w:type="spellEnd"/>
            <w:r w:rsidRPr="001B6BC7">
              <w:rPr>
                <w:b w:val="0"/>
                <w:bCs/>
                <w:color w:val="000000"/>
              </w:rPr>
              <w:t>.</w:t>
            </w:r>
          </w:p>
        </w:tc>
        <w:tc>
          <w:tcPr>
            <w:tcW w:w="623" w:type="pct"/>
            <w:tcBorders>
              <w:bottom w:val="single" w:sz="4" w:space="0" w:color="auto"/>
            </w:tcBorders>
            <w:shd w:val="clear" w:color="auto" w:fill="auto"/>
            <w:noWrap/>
            <w:vAlign w:val="center"/>
            <w:hideMark/>
          </w:tcPr>
          <w:p w14:paraId="7C80A15D" w14:textId="77777777" w:rsidR="006D41E9" w:rsidRPr="001B6BC7" w:rsidRDefault="006D41E9" w:rsidP="00FC333B">
            <w:pPr>
              <w:pStyle w:val="TableBodyText"/>
              <w:spacing w:before="40" w:after="40"/>
              <w:jc w:val="center"/>
              <w:rPr>
                <w:b w:val="0"/>
                <w:bCs/>
                <w:color w:val="000000"/>
              </w:rPr>
            </w:pPr>
            <w:proofErr w:type="spellStart"/>
            <w:r w:rsidRPr="001B6BC7">
              <w:rPr>
                <w:b w:val="0"/>
                <w:bCs/>
                <w:color w:val="000000"/>
              </w:rPr>
              <w:t>n.a</w:t>
            </w:r>
            <w:proofErr w:type="spellEnd"/>
            <w:r w:rsidRPr="001B6BC7">
              <w:rPr>
                <w:b w:val="0"/>
                <w:bCs/>
                <w:color w:val="000000"/>
              </w:rPr>
              <w:t>.</w:t>
            </w:r>
          </w:p>
        </w:tc>
        <w:tc>
          <w:tcPr>
            <w:tcW w:w="627" w:type="pct"/>
            <w:tcBorders>
              <w:bottom w:val="single" w:sz="4" w:space="0" w:color="auto"/>
            </w:tcBorders>
            <w:shd w:val="clear" w:color="auto" w:fill="auto"/>
            <w:noWrap/>
            <w:vAlign w:val="center"/>
            <w:hideMark/>
          </w:tcPr>
          <w:p w14:paraId="6DBB65A4" w14:textId="77777777" w:rsidR="006D41E9" w:rsidRPr="001B6BC7" w:rsidRDefault="006D41E9" w:rsidP="00FC333B">
            <w:pPr>
              <w:pStyle w:val="TableBodyText"/>
              <w:spacing w:before="40" w:after="40"/>
              <w:jc w:val="center"/>
              <w:rPr>
                <w:b w:val="0"/>
                <w:bCs/>
                <w:color w:val="000000"/>
              </w:rPr>
            </w:pPr>
            <w:proofErr w:type="spellStart"/>
            <w:r w:rsidRPr="001B6BC7">
              <w:rPr>
                <w:b w:val="0"/>
                <w:bCs/>
                <w:color w:val="000000"/>
              </w:rPr>
              <w:t>n.a</w:t>
            </w:r>
            <w:proofErr w:type="spellEnd"/>
            <w:r w:rsidRPr="001B6BC7">
              <w:rPr>
                <w:b w:val="0"/>
                <w:bCs/>
                <w:color w:val="000000"/>
              </w:rPr>
              <w:t>.</w:t>
            </w:r>
          </w:p>
        </w:tc>
      </w:tr>
      <w:tr w:rsidR="00F43C13" w:rsidRPr="001B6BC7" w14:paraId="43959A6F" w14:textId="77777777" w:rsidTr="00103B85">
        <w:trPr>
          <w:cnfStyle w:val="100000000000" w:firstRow="1" w:lastRow="0" w:firstColumn="0" w:lastColumn="0" w:oddVBand="0" w:evenVBand="0" w:oddHBand="0" w:evenHBand="0" w:firstRowFirstColumn="0" w:firstRowLastColumn="0" w:lastRowFirstColumn="0" w:lastRowLastColumn="0"/>
          <w:cantSplit/>
          <w:tblHeader/>
        </w:trPr>
        <w:tc>
          <w:tcPr>
            <w:tcW w:w="5000" w:type="pct"/>
            <w:gridSpan w:val="7"/>
            <w:shd w:val="clear" w:color="auto" w:fill="D9D9D9" w:themeFill="background1" w:themeFillShade="D9"/>
            <w:noWrap/>
            <w:vAlign w:val="center"/>
            <w:hideMark/>
          </w:tcPr>
          <w:p w14:paraId="68453F2D" w14:textId="77777777" w:rsidR="00F43C13" w:rsidRPr="001B6BC7" w:rsidRDefault="00F43C13" w:rsidP="00103B85">
            <w:pPr>
              <w:pStyle w:val="TableBodyText"/>
              <w:spacing w:before="40" w:after="40"/>
              <w:jc w:val="center"/>
              <w:rPr>
                <w:bCs/>
                <w:color w:val="000000"/>
              </w:rPr>
            </w:pPr>
            <w:r w:rsidRPr="001B6BC7">
              <w:rPr>
                <w:bCs/>
                <w:color w:val="000000"/>
              </w:rPr>
              <w:t xml:space="preserve">Harmonised Gas Day </w:t>
            </w:r>
            <w:r>
              <w:rPr>
                <w:bCs/>
                <w:color w:val="000000"/>
              </w:rPr>
              <w:t xml:space="preserve">but Different </w:t>
            </w:r>
            <w:r w:rsidRPr="001B6BC7">
              <w:rPr>
                <w:bCs/>
                <w:color w:val="000000"/>
              </w:rPr>
              <w:t>Nomination Cut-Off Times</w:t>
            </w:r>
          </w:p>
        </w:tc>
      </w:tr>
      <w:tr w:rsidR="00F43C13" w:rsidRPr="001B6BC7" w14:paraId="62000F61" w14:textId="77777777" w:rsidTr="00103B85">
        <w:trPr>
          <w:cnfStyle w:val="100000000000" w:firstRow="1" w:lastRow="0" w:firstColumn="0" w:lastColumn="0" w:oddVBand="0" w:evenVBand="0" w:oddHBand="0" w:evenHBand="0" w:firstRowFirstColumn="0" w:firstRowLastColumn="0" w:lastRowFirstColumn="0" w:lastRowLastColumn="0"/>
          <w:cantSplit/>
          <w:tblHeader/>
        </w:trPr>
        <w:tc>
          <w:tcPr>
            <w:tcW w:w="858" w:type="pct"/>
            <w:shd w:val="clear" w:color="auto" w:fill="auto"/>
            <w:noWrap/>
            <w:hideMark/>
          </w:tcPr>
          <w:p w14:paraId="5D525C2E" w14:textId="77777777" w:rsidR="00F43C13" w:rsidRPr="001B6BC7" w:rsidRDefault="00F43C13" w:rsidP="00103B85">
            <w:pPr>
              <w:pStyle w:val="TableBodyText"/>
              <w:spacing w:before="40" w:after="40"/>
              <w:rPr>
                <w:b w:val="0"/>
                <w:bCs/>
                <w:color w:val="000000"/>
              </w:rPr>
            </w:pPr>
            <w:r w:rsidRPr="001B6BC7">
              <w:rPr>
                <w:b w:val="0"/>
                <w:bCs/>
                <w:color w:val="000000"/>
              </w:rPr>
              <w:t>NSW/ACT</w:t>
            </w:r>
          </w:p>
        </w:tc>
        <w:tc>
          <w:tcPr>
            <w:tcW w:w="620" w:type="pct"/>
            <w:vMerge w:val="restart"/>
            <w:shd w:val="clear" w:color="auto" w:fill="auto"/>
            <w:noWrap/>
            <w:vAlign w:val="center"/>
            <w:hideMark/>
          </w:tcPr>
          <w:p w14:paraId="3BA731F8" w14:textId="77777777" w:rsidR="00F43C13" w:rsidRPr="00126476" w:rsidRDefault="00F43C13" w:rsidP="00103B85">
            <w:pPr>
              <w:pStyle w:val="TableBodyText"/>
              <w:spacing w:before="40" w:after="40"/>
              <w:jc w:val="center"/>
              <w:rPr>
                <w:b w:val="0"/>
                <w:bCs/>
                <w:color w:val="000000"/>
              </w:rPr>
            </w:pPr>
            <w:r w:rsidRPr="00126476">
              <w:rPr>
                <w:b w:val="0"/>
                <w:bCs/>
                <w:color w:val="000000"/>
              </w:rPr>
              <w:t>6:00 am</w:t>
            </w:r>
          </w:p>
        </w:tc>
        <w:tc>
          <w:tcPr>
            <w:tcW w:w="918" w:type="pct"/>
            <w:vMerge w:val="restart"/>
            <w:shd w:val="clear" w:color="auto" w:fill="auto"/>
            <w:noWrap/>
            <w:vAlign w:val="center"/>
            <w:hideMark/>
          </w:tcPr>
          <w:p w14:paraId="1834C818" w14:textId="77777777" w:rsidR="00F43C13" w:rsidRPr="00126476" w:rsidRDefault="00F43C13" w:rsidP="00103B85">
            <w:pPr>
              <w:pStyle w:val="TableBodyText"/>
              <w:spacing w:before="40" w:after="40"/>
              <w:jc w:val="center"/>
              <w:rPr>
                <w:b w:val="0"/>
                <w:bCs/>
                <w:color w:val="000000"/>
              </w:rPr>
            </w:pPr>
            <w:r>
              <w:rPr>
                <w:b w:val="0"/>
                <w:bCs/>
                <w:color w:val="000000"/>
              </w:rPr>
              <w:t>9:00 am</w:t>
            </w:r>
          </w:p>
        </w:tc>
        <w:tc>
          <w:tcPr>
            <w:tcW w:w="730" w:type="pct"/>
            <w:shd w:val="clear" w:color="auto" w:fill="auto"/>
            <w:noWrap/>
            <w:vAlign w:val="center"/>
            <w:hideMark/>
          </w:tcPr>
          <w:p w14:paraId="3BED01C2" w14:textId="77777777" w:rsidR="00F43C13" w:rsidRPr="00126476" w:rsidRDefault="00F43C13" w:rsidP="00103B85">
            <w:pPr>
              <w:pStyle w:val="TableBodyText"/>
              <w:spacing w:before="40" w:after="40"/>
              <w:jc w:val="center"/>
              <w:rPr>
                <w:b w:val="0"/>
                <w:bCs/>
                <w:color w:val="000000"/>
              </w:rPr>
            </w:pPr>
            <w:r>
              <w:rPr>
                <w:b w:val="0"/>
                <w:bCs/>
                <w:color w:val="000000"/>
              </w:rPr>
              <w:t>1.30-2 pm</w:t>
            </w:r>
          </w:p>
        </w:tc>
        <w:tc>
          <w:tcPr>
            <w:tcW w:w="624" w:type="pct"/>
            <w:vMerge w:val="restart"/>
            <w:shd w:val="clear" w:color="auto" w:fill="auto"/>
            <w:noWrap/>
            <w:vAlign w:val="center"/>
            <w:hideMark/>
          </w:tcPr>
          <w:p w14:paraId="0E693C6E" w14:textId="77777777" w:rsidR="00F43C13" w:rsidRPr="00126476" w:rsidRDefault="00F43C13" w:rsidP="00103B85">
            <w:pPr>
              <w:pStyle w:val="TableBodyText"/>
              <w:spacing w:before="40" w:after="40"/>
              <w:jc w:val="center"/>
              <w:rPr>
                <w:b w:val="0"/>
                <w:bCs/>
                <w:color w:val="000000"/>
              </w:rPr>
            </w:pPr>
            <w:r w:rsidRPr="00126476">
              <w:rPr>
                <w:b w:val="0"/>
                <w:bCs/>
                <w:color w:val="000000"/>
              </w:rPr>
              <w:br/>
              <w:t>4:</w:t>
            </w:r>
            <w:r>
              <w:rPr>
                <w:b w:val="0"/>
                <w:bCs/>
                <w:color w:val="000000"/>
              </w:rPr>
              <w:t>45</w:t>
            </w:r>
            <w:r w:rsidRPr="00126476">
              <w:rPr>
                <w:b w:val="0"/>
                <w:bCs/>
                <w:color w:val="000000"/>
              </w:rPr>
              <w:t xml:space="preserve"> pm</w:t>
            </w:r>
          </w:p>
        </w:tc>
        <w:tc>
          <w:tcPr>
            <w:tcW w:w="623" w:type="pct"/>
            <w:vMerge w:val="restart"/>
            <w:shd w:val="clear" w:color="auto" w:fill="auto"/>
            <w:noWrap/>
            <w:vAlign w:val="center"/>
            <w:hideMark/>
          </w:tcPr>
          <w:p w14:paraId="76401057" w14:textId="77777777" w:rsidR="00F43C13" w:rsidRPr="00126476" w:rsidRDefault="00F43C13" w:rsidP="00103B85">
            <w:pPr>
              <w:pStyle w:val="TableBodyText"/>
              <w:spacing w:before="40" w:after="40"/>
              <w:jc w:val="center"/>
              <w:rPr>
                <w:b w:val="0"/>
                <w:bCs/>
                <w:color w:val="000000"/>
              </w:rPr>
            </w:pPr>
            <w:r w:rsidRPr="00126476">
              <w:rPr>
                <w:b w:val="0"/>
                <w:bCs/>
                <w:color w:val="000000"/>
              </w:rPr>
              <w:br/>
            </w:r>
            <w:r>
              <w:rPr>
                <w:b w:val="0"/>
                <w:bCs/>
                <w:color w:val="000000"/>
              </w:rPr>
              <w:t>5:15</w:t>
            </w:r>
            <w:r w:rsidRPr="00126476">
              <w:rPr>
                <w:b w:val="0"/>
                <w:bCs/>
                <w:color w:val="000000"/>
              </w:rPr>
              <w:t xml:space="preserve"> pm</w:t>
            </w:r>
          </w:p>
        </w:tc>
        <w:tc>
          <w:tcPr>
            <w:tcW w:w="627" w:type="pct"/>
            <w:vMerge w:val="restart"/>
            <w:shd w:val="clear" w:color="auto" w:fill="auto"/>
            <w:noWrap/>
            <w:vAlign w:val="center"/>
            <w:hideMark/>
          </w:tcPr>
          <w:p w14:paraId="12BFC548" w14:textId="77777777" w:rsidR="00F43C13" w:rsidRPr="00126476" w:rsidRDefault="00F43C13" w:rsidP="00103B85">
            <w:pPr>
              <w:pStyle w:val="TableBodyText"/>
              <w:spacing w:before="40" w:after="40"/>
              <w:jc w:val="center"/>
              <w:rPr>
                <w:b w:val="0"/>
                <w:bCs/>
                <w:color w:val="000000"/>
              </w:rPr>
            </w:pPr>
            <w:r w:rsidRPr="00126476">
              <w:rPr>
                <w:b w:val="0"/>
                <w:bCs/>
                <w:color w:val="000000"/>
              </w:rPr>
              <w:br/>
            </w:r>
            <w:r>
              <w:rPr>
                <w:b w:val="0"/>
                <w:bCs/>
                <w:color w:val="000000"/>
              </w:rPr>
              <w:t>5</w:t>
            </w:r>
            <w:r w:rsidRPr="00126476">
              <w:rPr>
                <w:b w:val="0"/>
                <w:bCs/>
                <w:color w:val="000000"/>
              </w:rPr>
              <w:t>:4</w:t>
            </w:r>
            <w:r>
              <w:rPr>
                <w:b w:val="0"/>
                <w:bCs/>
                <w:color w:val="000000"/>
              </w:rPr>
              <w:t>5</w:t>
            </w:r>
            <w:r w:rsidRPr="00126476">
              <w:rPr>
                <w:b w:val="0"/>
                <w:bCs/>
                <w:color w:val="000000"/>
              </w:rPr>
              <w:t xml:space="preserve"> pm</w:t>
            </w:r>
          </w:p>
        </w:tc>
      </w:tr>
      <w:tr w:rsidR="00F43C13" w:rsidRPr="001B6BC7" w14:paraId="445FA249" w14:textId="77777777" w:rsidTr="00103B85">
        <w:trPr>
          <w:cnfStyle w:val="100000000000" w:firstRow="1" w:lastRow="0" w:firstColumn="0" w:lastColumn="0" w:oddVBand="0" w:evenVBand="0" w:oddHBand="0" w:evenHBand="0" w:firstRowFirstColumn="0" w:firstRowLastColumn="0" w:lastRowFirstColumn="0" w:lastRowLastColumn="0"/>
          <w:cantSplit/>
          <w:tblHeader/>
        </w:trPr>
        <w:tc>
          <w:tcPr>
            <w:tcW w:w="858" w:type="pct"/>
            <w:shd w:val="clear" w:color="auto" w:fill="auto"/>
            <w:noWrap/>
            <w:hideMark/>
          </w:tcPr>
          <w:p w14:paraId="375AED3B" w14:textId="77777777" w:rsidR="00F43C13" w:rsidRPr="001B6BC7" w:rsidRDefault="00F43C13" w:rsidP="00103B85">
            <w:pPr>
              <w:pStyle w:val="TableBodyText"/>
              <w:spacing w:before="40" w:after="40"/>
              <w:rPr>
                <w:b w:val="0"/>
                <w:bCs/>
                <w:color w:val="000000"/>
              </w:rPr>
            </w:pPr>
            <w:r w:rsidRPr="001B6BC7">
              <w:rPr>
                <w:b w:val="0"/>
                <w:bCs/>
                <w:color w:val="000000"/>
              </w:rPr>
              <w:t>SA</w:t>
            </w:r>
          </w:p>
        </w:tc>
        <w:tc>
          <w:tcPr>
            <w:tcW w:w="620" w:type="pct"/>
            <w:vMerge/>
            <w:shd w:val="clear" w:color="auto" w:fill="auto"/>
            <w:vAlign w:val="center"/>
            <w:hideMark/>
          </w:tcPr>
          <w:p w14:paraId="364BC6FA" w14:textId="77777777" w:rsidR="00F43C13" w:rsidRPr="001B6BC7" w:rsidRDefault="00F43C13" w:rsidP="00103B85">
            <w:pPr>
              <w:pStyle w:val="TableBodyText"/>
              <w:spacing w:before="40" w:after="40"/>
              <w:jc w:val="center"/>
              <w:rPr>
                <w:b w:val="0"/>
                <w:bCs/>
                <w:color w:val="000000"/>
              </w:rPr>
            </w:pPr>
          </w:p>
        </w:tc>
        <w:tc>
          <w:tcPr>
            <w:tcW w:w="918" w:type="pct"/>
            <w:vMerge/>
            <w:shd w:val="clear" w:color="auto" w:fill="auto"/>
            <w:vAlign w:val="center"/>
            <w:hideMark/>
          </w:tcPr>
          <w:p w14:paraId="141D36CB" w14:textId="77777777" w:rsidR="00F43C13" w:rsidRPr="001B6BC7" w:rsidRDefault="00F43C13" w:rsidP="00103B85">
            <w:pPr>
              <w:pStyle w:val="TableBodyText"/>
              <w:spacing w:before="40" w:after="40"/>
              <w:jc w:val="center"/>
              <w:rPr>
                <w:b w:val="0"/>
                <w:bCs/>
                <w:color w:val="000000"/>
              </w:rPr>
            </w:pPr>
          </w:p>
        </w:tc>
        <w:tc>
          <w:tcPr>
            <w:tcW w:w="730" w:type="pct"/>
            <w:shd w:val="clear" w:color="auto" w:fill="auto"/>
            <w:vAlign w:val="center"/>
            <w:hideMark/>
          </w:tcPr>
          <w:p w14:paraId="3FCBD8A5" w14:textId="77777777" w:rsidR="00F43C13" w:rsidRPr="001B6BC7" w:rsidRDefault="00F43C13" w:rsidP="00103B85">
            <w:pPr>
              <w:pStyle w:val="TableBodyText"/>
              <w:spacing w:before="40" w:after="40"/>
              <w:jc w:val="center"/>
              <w:rPr>
                <w:b w:val="0"/>
                <w:bCs/>
                <w:color w:val="000000"/>
              </w:rPr>
            </w:pPr>
            <w:r>
              <w:rPr>
                <w:b w:val="0"/>
                <w:bCs/>
                <w:color w:val="000000"/>
              </w:rPr>
              <w:t>3 pm</w:t>
            </w:r>
          </w:p>
        </w:tc>
        <w:tc>
          <w:tcPr>
            <w:tcW w:w="624" w:type="pct"/>
            <w:vMerge/>
            <w:shd w:val="clear" w:color="auto" w:fill="auto"/>
            <w:vAlign w:val="center"/>
            <w:hideMark/>
          </w:tcPr>
          <w:p w14:paraId="0A43160D" w14:textId="77777777" w:rsidR="00F43C13" w:rsidRPr="001B6BC7" w:rsidRDefault="00F43C13" w:rsidP="00103B85">
            <w:pPr>
              <w:pStyle w:val="TableBodyText"/>
              <w:spacing w:before="40" w:after="40"/>
              <w:jc w:val="center"/>
              <w:rPr>
                <w:b w:val="0"/>
                <w:bCs/>
                <w:color w:val="000000"/>
              </w:rPr>
            </w:pPr>
          </w:p>
        </w:tc>
        <w:tc>
          <w:tcPr>
            <w:tcW w:w="623" w:type="pct"/>
            <w:vMerge/>
            <w:shd w:val="clear" w:color="auto" w:fill="auto"/>
            <w:vAlign w:val="center"/>
            <w:hideMark/>
          </w:tcPr>
          <w:p w14:paraId="4AB1979C" w14:textId="77777777" w:rsidR="00F43C13" w:rsidRPr="001B6BC7" w:rsidRDefault="00F43C13" w:rsidP="00103B85">
            <w:pPr>
              <w:pStyle w:val="TableBodyText"/>
              <w:spacing w:before="40" w:after="40"/>
              <w:jc w:val="center"/>
              <w:rPr>
                <w:b w:val="0"/>
                <w:bCs/>
                <w:color w:val="000000"/>
              </w:rPr>
            </w:pPr>
          </w:p>
        </w:tc>
        <w:tc>
          <w:tcPr>
            <w:tcW w:w="627" w:type="pct"/>
            <w:vMerge/>
            <w:shd w:val="clear" w:color="auto" w:fill="auto"/>
            <w:vAlign w:val="center"/>
            <w:hideMark/>
          </w:tcPr>
          <w:p w14:paraId="1A121FEE" w14:textId="77777777" w:rsidR="00F43C13" w:rsidRPr="001B6BC7" w:rsidRDefault="00F43C13" w:rsidP="00103B85">
            <w:pPr>
              <w:pStyle w:val="TableBodyText"/>
              <w:spacing w:before="40" w:after="40"/>
              <w:jc w:val="center"/>
              <w:rPr>
                <w:b w:val="0"/>
                <w:bCs/>
                <w:color w:val="000000"/>
              </w:rPr>
            </w:pPr>
          </w:p>
        </w:tc>
      </w:tr>
      <w:tr w:rsidR="00F43C13" w:rsidRPr="001B6BC7" w14:paraId="04A90A0D" w14:textId="77777777" w:rsidTr="00103B85">
        <w:trPr>
          <w:cnfStyle w:val="100000000000" w:firstRow="1" w:lastRow="0" w:firstColumn="0" w:lastColumn="0" w:oddVBand="0" w:evenVBand="0" w:oddHBand="0" w:evenHBand="0" w:firstRowFirstColumn="0" w:firstRowLastColumn="0" w:lastRowFirstColumn="0" w:lastRowLastColumn="0"/>
          <w:cantSplit/>
          <w:tblHeader/>
        </w:trPr>
        <w:tc>
          <w:tcPr>
            <w:tcW w:w="858" w:type="pct"/>
            <w:shd w:val="clear" w:color="auto" w:fill="auto"/>
            <w:noWrap/>
            <w:hideMark/>
          </w:tcPr>
          <w:p w14:paraId="23E1A689" w14:textId="77777777" w:rsidR="00F43C13" w:rsidRPr="001B6BC7" w:rsidRDefault="00F43C13" w:rsidP="00103B85">
            <w:pPr>
              <w:pStyle w:val="TableBodyText"/>
              <w:spacing w:before="40" w:after="40"/>
              <w:rPr>
                <w:b w:val="0"/>
                <w:bCs/>
                <w:color w:val="000000"/>
              </w:rPr>
            </w:pPr>
            <w:r w:rsidRPr="001B6BC7">
              <w:rPr>
                <w:b w:val="0"/>
                <w:bCs/>
                <w:color w:val="000000"/>
              </w:rPr>
              <w:t>Queensland</w:t>
            </w:r>
          </w:p>
        </w:tc>
        <w:tc>
          <w:tcPr>
            <w:tcW w:w="620" w:type="pct"/>
            <w:vMerge/>
            <w:shd w:val="clear" w:color="auto" w:fill="auto"/>
            <w:vAlign w:val="center"/>
            <w:hideMark/>
          </w:tcPr>
          <w:p w14:paraId="22BE8B58" w14:textId="77777777" w:rsidR="00F43C13" w:rsidRPr="001B6BC7" w:rsidRDefault="00F43C13" w:rsidP="00103B85">
            <w:pPr>
              <w:pStyle w:val="TableBodyText"/>
              <w:spacing w:before="40" w:after="40"/>
              <w:jc w:val="center"/>
              <w:rPr>
                <w:b w:val="0"/>
                <w:bCs/>
                <w:color w:val="000000"/>
              </w:rPr>
            </w:pPr>
          </w:p>
        </w:tc>
        <w:tc>
          <w:tcPr>
            <w:tcW w:w="918" w:type="pct"/>
            <w:vMerge/>
            <w:shd w:val="clear" w:color="auto" w:fill="auto"/>
            <w:vAlign w:val="center"/>
            <w:hideMark/>
          </w:tcPr>
          <w:p w14:paraId="02F483F1" w14:textId="77777777" w:rsidR="00F43C13" w:rsidRPr="001B6BC7" w:rsidRDefault="00F43C13" w:rsidP="00103B85">
            <w:pPr>
              <w:pStyle w:val="TableBodyText"/>
              <w:spacing w:before="40" w:after="40"/>
              <w:jc w:val="center"/>
              <w:rPr>
                <w:b w:val="0"/>
                <w:bCs/>
                <w:color w:val="000000"/>
              </w:rPr>
            </w:pPr>
          </w:p>
        </w:tc>
        <w:tc>
          <w:tcPr>
            <w:tcW w:w="730" w:type="pct"/>
            <w:shd w:val="clear" w:color="auto" w:fill="auto"/>
            <w:vAlign w:val="center"/>
            <w:hideMark/>
          </w:tcPr>
          <w:p w14:paraId="79766746" w14:textId="77777777" w:rsidR="00F43C13" w:rsidRPr="001B6BC7" w:rsidRDefault="00F43C13" w:rsidP="00103B85">
            <w:pPr>
              <w:pStyle w:val="TableBodyText"/>
              <w:spacing w:before="40" w:after="40"/>
              <w:jc w:val="center"/>
              <w:rPr>
                <w:b w:val="0"/>
                <w:bCs/>
                <w:color w:val="000000"/>
              </w:rPr>
            </w:pPr>
            <w:r>
              <w:rPr>
                <w:b w:val="0"/>
                <w:bCs/>
                <w:color w:val="000000"/>
              </w:rPr>
              <w:t>1-3 pm</w:t>
            </w:r>
          </w:p>
        </w:tc>
        <w:tc>
          <w:tcPr>
            <w:tcW w:w="624" w:type="pct"/>
            <w:vMerge/>
            <w:shd w:val="clear" w:color="auto" w:fill="auto"/>
            <w:vAlign w:val="center"/>
            <w:hideMark/>
          </w:tcPr>
          <w:p w14:paraId="4E64E783" w14:textId="77777777" w:rsidR="00F43C13" w:rsidRPr="001B6BC7" w:rsidRDefault="00F43C13" w:rsidP="00103B85">
            <w:pPr>
              <w:pStyle w:val="TableBodyText"/>
              <w:spacing w:before="40" w:after="40"/>
              <w:jc w:val="center"/>
              <w:rPr>
                <w:b w:val="0"/>
                <w:bCs/>
                <w:color w:val="000000"/>
              </w:rPr>
            </w:pPr>
          </w:p>
        </w:tc>
        <w:tc>
          <w:tcPr>
            <w:tcW w:w="623" w:type="pct"/>
            <w:vMerge/>
            <w:shd w:val="clear" w:color="auto" w:fill="auto"/>
            <w:vAlign w:val="center"/>
            <w:hideMark/>
          </w:tcPr>
          <w:p w14:paraId="1012598B" w14:textId="77777777" w:rsidR="00F43C13" w:rsidRPr="001B6BC7" w:rsidRDefault="00F43C13" w:rsidP="00103B85">
            <w:pPr>
              <w:pStyle w:val="TableBodyText"/>
              <w:spacing w:before="40" w:after="40"/>
              <w:jc w:val="center"/>
              <w:rPr>
                <w:b w:val="0"/>
                <w:bCs/>
                <w:color w:val="000000"/>
              </w:rPr>
            </w:pPr>
          </w:p>
        </w:tc>
        <w:tc>
          <w:tcPr>
            <w:tcW w:w="627" w:type="pct"/>
            <w:vMerge/>
            <w:shd w:val="clear" w:color="auto" w:fill="auto"/>
            <w:vAlign w:val="center"/>
            <w:hideMark/>
          </w:tcPr>
          <w:p w14:paraId="2B01F1E1" w14:textId="77777777" w:rsidR="00F43C13" w:rsidRPr="001B6BC7" w:rsidRDefault="00F43C13" w:rsidP="00103B85">
            <w:pPr>
              <w:pStyle w:val="TableBodyText"/>
              <w:spacing w:before="40" w:after="40"/>
              <w:jc w:val="center"/>
              <w:rPr>
                <w:b w:val="0"/>
                <w:bCs/>
                <w:color w:val="000000"/>
              </w:rPr>
            </w:pPr>
          </w:p>
        </w:tc>
      </w:tr>
      <w:tr w:rsidR="00F43C13" w:rsidRPr="001B6BC7" w14:paraId="0839EAE7" w14:textId="77777777" w:rsidTr="00103B85">
        <w:trPr>
          <w:cnfStyle w:val="100000000000" w:firstRow="1" w:lastRow="0" w:firstColumn="0" w:lastColumn="0" w:oddVBand="0" w:evenVBand="0" w:oddHBand="0" w:evenHBand="0" w:firstRowFirstColumn="0" w:firstRowLastColumn="0" w:lastRowFirstColumn="0" w:lastRowLastColumn="0"/>
          <w:cantSplit/>
          <w:tblHeader/>
        </w:trPr>
        <w:tc>
          <w:tcPr>
            <w:tcW w:w="858" w:type="pct"/>
            <w:shd w:val="clear" w:color="auto" w:fill="auto"/>
            <w:noWrap/>
            <w:hideMark/>
          </w:tcPr>
          <w:p w14:paraId="63F348DF" w14:textId="77777777" w:rsidR="00F43C13" w:rsidRPr="001B6BC7" w:rsidRDefault="00F43C13" w:rsidP="00103B85">
            <w:pPr>
              <w:pStyle w:val="TableBodyText"/>
              <w:spacing w:before="40" w:after="40"/>
              <w:rPr>
                <w:b w:val="0"/>
                <w:bCs/>
                <w:color w:val="000000"/>
              </w:rPr>
            </w:pPr>
            <w:r w:rsidRPr="001B6BC7">
              <w:rPr>
                <w:b w:val="0"/>
                <w:bCs/>
                <w:color w:val="000000"/>
              </w:rPr>
              <w:t>Tasmania</w:t>
            </w:r>
          </w:p>
        </w:tc>
        <w:tc>
          <w:tcPr>
            <w:tcW w:w="620" w:type="pct"/>
            <w:vMerge/>
            <w:shd w:val="clear" w:color="auto" w:fill="auto"/>
            <w:vAlign w:val="center"/>
            <w:hideMark/>
          </w:tcPr>
          <w:p w14:paraId="073F7D0A" w14:textId="77777777" w:rsidR="00F43C13" w:rsidRPr="001B6BC7" w:rsidRDefault="00F43C13" w:rsidP="00103B85">
            <w:pPr>
              <w:pStyle w:val="TableBodyText"/>
              <w:spacing w:before="40" w:after="40"/>
              <w:jc w:val="center"/>
              <w:rPr>
                <w:b w:val="0"/>
                <w:bCs/>
                <w:color w:val="000000"/>
              </w:rPr>
            </w:pPr>
          </w:p>
        </w:tc>
        <w:tc>
          <w:tcPr>
            <w:tcW w:w="918" w:type="pct"/>
            <w:vMerge/>
            <w:shd w:val="clear" w:color="auto" w:fill="auto"/>
            <w:vAlign w:val="center"/>
            <w:hideMark/>
          </w:tcPr>
          <w:p w14:paraId="29AC9CEF" w14:textId="77777777" w:rsidR="00F43C13" w:rsidRPr="001B6BC7" w:rsidRDefault="00F43C13" w:rsidP="00103B85">
            <w:pPr>
              <w:pStyle w:val="TableBodyText"/>
              <w:spacing w:before="40" w:after="40"/>
              <w:jc w:val="center"/>
              <w:rPr>
                <w:b w:val="0"/>
                <w:bCs/>
                <w:color w:val="000000"/>
              </w:rPr>
            </w:pPr>
          </w:p>
        </w:tc>
        <w:tc>
          <w:tcPr>
            <w:tcW w:w="730" w:type="pct"/>
            <w:shd w:val="clear" w:color="auto" w:fill="auto"/>
            <w:vAlign w:val="center"/>
            <w:hideMark/>
          </w:tcPr>
          <w:p w14:paraId="5E0D4E6B" w14:textId="77777777" w:rsidR="00F43C13" w:rsidRPr="001B6BC7" w:rsidRDefault="00F43C13" w:rsidP="00103B85">
            <w:pPr>
              <w:pStyle w:val="TableBodyText"/>
              <w:spacing w:before="40" w:after="40"/>
              <w:jc w:val="center"/>
              <w:rPr>
                <w:b w:val="0"/>
                <w:bCs/>
                <w:color w:val="000000"/>
              </w:rPr>
            </w:pPr>
            <w:r>
              <w:rPr>
                <w:b w:val="0"/>
                <w:bCs/>
                <w:color w:val="000000"/>
              </w:rPr>
              <w:t>1 pm</w:t>
            </w:r>
          </w:p>
        </w:tc>
        <w:tc>
          <w:tcPr>
            <w:tcW w:w="624" w:type="pct"/>
            <w:vMerge/>
            <w:shd w:val="clear" w:color="auto" w:fill="auto"/>
            <w:vAlign w:val="center"/>
            <w:hideMark/>
          </w:tcPr>
          <w:p w14:paraId="3F8657A8" w14:textId="77777777" w:rsidR="00F43C13" w:rsidRPr="001B6BC7" w:rsidRDefault="00F43C13" w:rsidP="00103B85">
            <w:pPr>
              <w:pStyle w:val="TableBodyText"/>
              <w:spacing w:before="40" w:after="40"/>
              <w:jc w:val="center"/>
              <w:rPr>
                <w:b w:val="0"/>
                <w:bCs/>
                <w:color w:val="000000"/>
              </w:rPr>
            </w:pPr>
          </w:p>
        </w:tc>
        <w:tc>
          <w:tcPr>
            <w:tcW w:w="623" w:type="pct"/>
            <w:vMerge/>
            <w:shd w:val="clear" w:color="auto" w:fill="auto"/>
            <w:vAlign w:val="center"/>
            <w:hideMark/>
          </w:tcPr>
          <w:p w14:paraId="1FDD9A61" w14:textId="77777777" w:rsidR="00F43C13" w:rsidRPr="001B6BC7" w:rsidRDefault="00F43C13" w:rsidP="00103B85">
            <w:pPr>
              <w:pStyle w:val="TableBodyText"/>
              <w:spacing w:before="40" w:after="40"/>
              <w:jc w:val="center"/>
              <w:rPr>
                <w:b w:val="0"/>
                <w:bCs/>
                <w:color w:val="000000"/>
              </w:rPr>
            </w:pPr>
          </w:p>
        </w:tc>
        <w:tc>
          <w:tcPr>
            <w:tcW w:w="627" w:type="pct"/>
            <w:vMerge/>
            <w:shd w:val="clear" w:color="auto" w:fill="auto"/>
            <w:vAlign w:val="center"/>
            <w:hideMark/>
          </w:tcPr>
          <w:p w14:paraId="1378469F" w14:textId="77777777" w:rsidR="00F43C13" w:rsidRPr="001B6BC7" w:rsidRDefault="00F43C13" w:rsidP="00103B85">
            <w:pPr>
              <w:pStyle w:val="TableBodyText"/>
              <w:spacing w:before="40" w:after="40"/>
              <w:jc w:val="center"/>
              <w:rPr>
                <w:b w:val="0"/>
                <w:bCs/>
                <w:color w:val="000000"/>
              </w:rPr>
            </w:pPr>
          </w:p>
        </w:tc>
      </w:tr>
      <w:tr w:rsidR="00F43C13" w:rsidRPr="001B6BC7" w14:paraId="07D6E7E5" w14:textId="77777777" w:rsidTr="00103B85">
        <w:trPr>
          <w:cnfStyle w:val="100000000000" w:firstRow="1" w:lastRow="0" w:firstColumn="0" w:lastColumn="0" w:oddVBand="0" w:evenVBand="0" w:oddHBand="0" w:evenHBand="0" w:firstRowFirstColumn="0" w:firstRowLastColumn="0" w:lastRowFirstColumn="0" w:lastRowLastColumn="0"/>
          <w:cantSplit/>
          <w:tblHeader/>
        </w:trPr>
        <w:tc>
          <w:tcPr>
            <w:tcW w:w="858" w:type="pct"/>
            <w:shd w:val="clear" w:color="auto" w:fill="auto"/>
            <w:noWrap/>
          </w:tcPr>
          <w:p w14:paraId="30F548AE" w14:textId="77777777" w:rsidR="00F43C13" w:rsidRPr="001B6BC7" w:rsidRDefault="00F43C13" w:rsidP="00103B85">
            <w:pPr>
              <w:pStyle w:val="TableBodyText"/>
              <w:spacing w:before="40" w:after="40"/>
              <w:rPr>
                <w:b w:val="0"/>
                <w:bCs/>
                <w:color w:val="000000"/>
              </w:rPr>
            </w:pPr>
            <w:r>
              <w:rPr>
                <w:b w:val="0"/>
                <w:bCs/>
                <w:color w:val="000000"/>
              </w:rPr>
              <w:t>Northern Territory</w:t>
            </w:r>
          </w:p>
        </w:tc>
        <w:tc>
          <w:tcPr>
            <w:tcW w:w="620" w:type="pct"/>
            <w:vMerge/>
            <w:shd w:val="clear" w:color="auto" w:fill="auto"/>
            <w:vAlign w:val="center"/>
          </w:tcPr>
          <w:p w14:paraId="4CF20DDB" w14:textId="77777777" w:rsidR="00F43C13" w:rsidRPr="001B6BC7" w:rsidRDefault="00F43C13" w:rsidP="00103B85">
            <w:pPr>
              <w:pStyle w:val="TableBodyText"/>
              <w:spacing w:before="40" w:after="40"/>
              <w:jc w:val="center"/>
              <w:rPr>
                <w:b w:val="0"/>
                <w:bCs/>
                <w:color w:val="000000"/>
              </w:rPr>
            </w:pPr>
          </w:p>
        </w:tc>
        <w:tc>
          <w:tcPr>
            <w:tcW w:w="918" w:type="pct"/>
            <w:vMerge/>
            <w:shd w:val="clear" w:color="auto" w:fill="auto"/>
            <w:vAlign w:val="center"/>
          </w:tcPr>
          <w:p w14:paraId="7D0A71CE" w14:textId="77777777" w:rsidR="00F43C13" w:rsidRPr="001B6BC7" w:rsidRDefault="00F43C13" w:rsidP="00103B85">
            <w:pPr>
              <w:pStyle w:val="TableBodyText"/>
              <w:spacing w:before="40" w:after="40"/>
              <w:jc w:val="center"/>
              <w:rPr>
                <w:b w:val="0"/>
                <w:bCs/>
                <w:color w:val="000000"/>
              </w:rPr>
            </w:pPr>
          </w:p>
        </w:tc>
        <w:tc>
          <w:tcPr>
            <w:tcW w:w="730" w:type="pct"/>
            <w:shd w:val="clear" w:color="auto" w:fill="auto"/>
            <w:vAlign w:val="center"/>
          </w:tcPr>
          <w:p w14:paraId="14BCF795" w14:textId="77777777" w:rsidR="00F43C13" w:rsidRPr="001B6BC7" w:rsidRDefault="00F43C13" w:rsidP="00103B85">
            <w:pPr>
              <w:pStyle w:val="TableBodyText"/>
              <w:spacing w:before="40" w:after="40"/>
              <w:jc w:val="center"/>
              <w:rPr>
                <w:b w:val="0"/>
                <w:bCs/>
                <w:color w:val="000000"/>
              </w:rPr>
            </w:pPr>
            <w:r>
              <w:rPr>
                <w:b w:val="0"/>
                <w:bCs/>
                <w:color w:val="000000"/>
              </w:rPr>
              <w:t>11.30am-12pm</w:t>
            </w:r>
          </w:p>
        </w:tc>
        <w:tc>
          <w:tcPr>
            <w:tcW w:w="624" w:type="pct"/>
            <w:vMerge/>
            <w:shd w:val="clear" w:color="auto" w:fill="auto"/>
            <w:vAlign w:val="center"/>
          </w:tcPr>
          <w:p w14:paraId="3072B977" w14:textId="77777777" w:rsidR="00F43C13" w:rsidRPr="001B6BC7" w:rsidRDefault="00F43C13" w:rsidP="00103B85">
            <w:pPr>
              <w:pStyle w:val="TableBodyText"/>
              <w:spacing w:before="40" w:after="40"/>
              <w:jc w:val="center"/>
              <w:rPr>
                <w:b w:val="0"/>
                <w:bCs/>
                <w:color w:val="000000"/>
              </w:rPr>
            </w:pPr>
          </w:p>
        </w:tc>
        <w:tc>
          <w:tcPr>
            <w:tcW w:w="623" w:type="pct"/>
            <w:vMerge/>
            <w:shd w:val="clear" w:color="auto" w:fill="auto"/>
            <w:vAlign w:val="center"/>
          </w:tcPr>
          <w:p w14:paraId="3C41D5C2" w14:textId="77777777" w:rsidR="00F43C13" w:rsidRPr="001B6BC7" w:rsidRDefault="00F43C13" w:rsidP="00103B85">
            <w:pPr>
              <w:pStyle w:val="TableBodyText"/>
              <w:spacing w:before="40" w:after="40"/>
              <w:jc w:val="center"/>
              <w:rPr>
                <w:b w:val="0"/>
                <w:bCs/>
                <w:color w:val="000000"/>
              </w:rPr>
            </w:pPr>
          </w:p>
        </w:tc>
        <w:tc>
          <w:tcPr>
            <w:tcW w:w="627" w:type="pct"/>
            <w:vMerge/>
            <w:shd w:val="clear" w:color="auto" w:fill="auto"/>
            <w:vAlign w:val="center"/>
          </w:tcPr>
          <w:p w14:paraId="44B250EA" w14:textId="77777777" w:rsidR="00F43C13" w:rsidRPr="001B6BC7" w:rsidRDefault="00F43C13" w:rsidP="00103B85">
            <w:pPr>
              <w:pStyle w:val="TableBodyText"/>
              <w:spacing w:before="40" w:after="40"/>
              <w:jc w:val="center"/>
              <w:rPr>
                <w:b w:val="0"/>
                <w:bCs/>
                <w:color w:val="000000"/>
              </w:rPr>
            </w:pPr>
          </w:p>
        </w:tc>
      </w:tr>
      <w:tr w:rsidR="00F43C13" w:rsidRPr="001B6BC7" w14:paraId="2887840C" w14:textId="77777777" w:rsidTr="00103B85">
        <w:trPr>
          <w:cnfStyle w:val="100000000000" w:firstRow="1" w:lastRow="0" w:firstColumn="0" w:lastColumn="0" w:oddVBand="0" w:evenVBand="0" w:oddHBand="0" w:evenHBand="0" w:firstRowFirstColumn="0" w:firstRowLastColumn="0" w:lastRowFirstColumn="0" w:lastRowLastColumn="0"/>
          <w:cantSplit/>
          <w:tblHeader/>
        </w:trPr>
        <w:tc>
          <w:tcPr>
            <w:tcW w:w="858" w:type="pct"/>
            <w:shd w:val="clear" w:color="auto" w:fill="auto"/>
            <w:noWrap/>
            <w:hideMark/>
          </w:tcPr>
          <w:p w14:paraId="5A8AE939" w14:textId="77777777" w:rsidR="00F43C13" w:rsidRPr="001B6BC7" w:rsidRDefault="00F43C13" w:rsidP="00103B85">
            <w:pPr>
              <w:pStyle w:val="TableBodyText"/>
              <w:spacing w:before="40" w:after="40"/>
              <w:rPr>
                <w:b w:val="0"/>
                <w:bCs/>
                <w:color w:val="000000"/>
              </w:rPr>
            </w:pPr>
            <w:r w:rsidRPr="001B6BC7">
              <w:rPr>
                <w:b w:val="0"/>
                <w:bCs/>
                <w:color w:val="000000"/>
              </w:rPr>
              <w:t>Victoria</w:t>
            </w:r>
          </w:p>
        </w:tc>
        <w:tc>
          <w:tcPr>
            <w:tcW w:w="620" w:type="pct"/>
            <w:vMerge/>
            <w:shd w:val="clear" w:color="auto" w:fill="auto"/>
            <w:vAlign w:val="center"/>
            <w:hideMark/>
          </w:tcPr>
          <w:p w14:paraId="1E220FEB" w14:textId="77777777" w:rsidR="00F43C13" w:rsidRPr="001B6BC7" w:rsidRDefault="00F43C13" w:rsidP="00103B85">
            <w:pPr>
              <w:pStyle w:val="TableBodyText"/>
              <w:spacing w:before="40" w:after="40"/>
              <w:jc w:val="center"/>
              <w:rPr>
                <w:b w:val="0"/>
                <w:bCs/>
                <w:color w:val="000000"/>
              </w:rPr>
            </w:pPr>
          </w:p>
        </w:tc>
        <w:tc>
          <w:tcPr>
            <w:tcW w:w="918" w:type="pct"/>
            <w:shd w:val="clear" w:color="auto" w:fill="auto"/>
            <w:noWrap/>
            <w:vAlign w:val="center"/>
            <w:hideMark/>
          </w:tcPr>
          <w:p w14:paraId="1BC9668B" w14:textId="77777777" w:rsidR="00F43C13" w:rsidRPr="001B6BC7" w:rsidRDefault="00F43C13" w:rsidP="00103B85">
            <w:pPr>
              <w:pStyle w:val="TableBodyText"/>
              <w:spacing w:before="40" w:after="40"/>
              <w:jc w:val="center"/>
              <w:rPr>
                <w:b w:val="0"/>
                <w:bCs/>
                <w:color w:val="000000"/>
              </w:rPr>
            </w:pPr>
            <w:proofErr w:type="spellStart"/>
            <w:r w:rsidRPr="001B6BC7">
              <w:rPr>
                <w:b w:val="0"/>
                <w:bCs/>
                <w:color w:val="000000"/>
              </w:rPr>
              <w:t>n.a</w:t>
            </w:r>
            <w:proofErr w:type="spellEnd"/>
            <w:r w:rsidRPr="001B6BC7">
              <w:rPr>
                <w:b w:val="0"/>
                <w:bCs/>
                <w:color w:val="000000"/>
              </w:rPr>
              <w:t>.</w:t>
            </w:r>
          </w:p>
        </w:tc>
        <w:tc>
          <w:tcPr>
            <w:tcW w:w="730" w:type="pct"/>
            <w:shd w:val="clear" w:color="auto" w:fill="auto"/>
            <w:noWrap/>
            <w:vAlign w:val="center"/>
            <w:hideMark/>
          </w:tcPr>
          <w:p w14:paraId="186F9081" w14:textId="77777777" w:rsidR="00F43C13" w:rsidRPr="001B6BC7" w:rsidRDefault="00F43C13" w:rsidP="00103B85">
            <w:pPr>
              <w:pStyle w:val="TableBodyText"/>
              <w:spacing w:before="40" w:after="40"/>
              <w:jc w:val="center"/>
              <w:rPr>
                <w:b w:val="0"/>
                <w:bCs/>
                <w:color w:val="000000"/>
              </w:rPr>
            </w:pPr>
            <w:proofErr w:type="spellStart"/>
            <w:r w:rsidRPr="001B6BC7">
              <w:rPr>
                <w:b w:val="0"/>
                <w:bCs/>
                <w:color w:val="000000"/>
              </w:rPr>
              <w:t>n.a</w:t>
            </w:r>
            <w:proofErr w:type="spellEnd"/>
            <w:r w:rsidRPr="001B6BC7">
              <w:rPr>
                <w:b w:val="0"/>
                <w:bCs/>
                <w:color w:val="000000"/>
              </w:rPr>
              <w:t>.</w:t>
            </w:r>
          </w:p>
        </w:tc>
        <w:tc>
          <w:tcPr>
            <w:tcW w:w="624" w:type="pct"/>
            <w:shd w:val="clear" w:color="auto" w:fill="auto"/>
            <w:noWrap/>
            <w:vAlign w:val="center"/>
            <w:hideMark/>
          </w:tcPr>
          <w:p w14:paraId="0B076C93" w14:textId="77777777" w:rsidR="00F43C13" w:rsidRPr="001B6BC7" w:rsidRDefault="00F43C13" w:rsidP="00103B85">
            <w:pPr>
              <w:pStyle w:val="TableBodyText"/>
              <w:spacing w:before="40" w:after="40"/>
              <w:jc w:val="center"/>
              <w:rPr>
                <w:b w:val="0"/>
                <w:bCs/>
                <w:color w:val="000000"/>
              </w:rPr>
            </w:pPr>
            <w:proofErr w:type="spellStart"/>
            <w:r w:rsidRPr="001B6BC7">
              <w:rPr>
                <w:b w:val="0"/>
                <w:bCs/>
                <w:color w:val="000000"/>
              </w:rPr>
              <w:t>n.a</w:t>
            </w:r>
            <w:proofErr w:type="spellEnd"/>
            <w:r w:rsidRPr="001B6BC7">
              <w:rPr>
                <w:b w:val="0"/>
                <w:bCs/>
                <w:color w:val="000000"/>
              </w:rPr>
              <w:t>.</w:t>
            </w:r>
          </w:p>
        </w:tc>
        <w:tc>
          <w:tcPr>
            <w:tcW w:w="623" w:type="pct"/>
            <w:shd w:val="clear" w:color="auto" w:fill="auto"/>
            <w:noWrap/>
            <w:vAlign w:val="center"/>
            <w:hideMark/>
          </w:tcPr>
          <w:p w14:paraId="36DCF05C" w14:textId="77777777" w:rsidR="00F43C13" w:rsidRPr="001B6BC7" w:rsidRDefault="00F43C13" w:rsidP="00103B85">
            <w:pPr>
              <w:pStyle w:val="TableBodyText"/>
              <w:spacing w:before="40" w:after="40"/>
              <w:jc w:val="center"/>
              <w:rPr>
                <w:b w:val="0"/>
                <w:bCs/>
                <w:color w:val="000000"/>
              </w:rPr>
            </w:pPr>
            <w:proofErr w:type="spellStart"/>
            <w:r w:rsidRPr="001B6BC7">
              <w:rPr>
                <w:b w:val="0"/>
                <w:bCs/>
                <w:color w:val="000000"/>
              </w:rPr>
              <w:t>n.a</w:t>
            </w:r>
            <w:proofErr w:type="spellEnd"/>
            <w:r w:rsidRPr="001B6BC7">
              <w:rPr>
                <w:b w:val="0"/>
                <w:bCs/>
                <w:color w:val="000000"/>
              </w:rPr>
              <w:t>.</w:t>
            </w:r>
          </w:p>
        </w:tc>
        <w:tc>
          <w:tcPr>
            <w:tcW w:w="627" w:type="pct"/>
            <w:shd w:val="clear" w:color="auto" w:fill="auto"/>
            <w:noWrap/>
            <w:vAlign w:val="center"/>
            <w:hideMark/>
          </w:tcPr>
          <w:p w14:paraId="54FDD2A9" w14:textId="77777777" w:rsidR="00F43C13" w:rsidRPr="001B6BC7" w:rsidRDefault="00F43C13" w:rsidP="00103B85">
            <w:pPr>
              <w:pStyle w:val="TableBodyText"/>
              <w:spacing w:before="40" w:after="40"/>
              <w:jc w:val="center"/>
              <w:rPr>
                <w:b w:val="0"/>
                <w:bCs/>
                <w:color w:val="000000"/>
              </w:rPr>
            </w:pPr>
            <w:proofErr w:type="spellStart"/>
            <w:r w:rsidRPr="001B6BC7">
              <w:rPr>
                <w:b w:val="0"/>
                <w:bCs/>
                <w:color w:val="000000"/>
              </w:rPr>
              <w:t>n.a</w:t>
            </w:r>
            <w:proofErr w:type="spellEnd"/>
            <w:r w:rsidRPr="001B6BC7">
              <w:rPr>
                <w:b w:val="0"/>
                <w:bCs/>
                <w:color w:val="000000"/>
              </w:rPr>
              <w:t>.</w:t>
            </w:r>
          </w:p>
        </w:tc>
      </w:tr>
      <w:tr w:rsidR="006D41E9" w:rsidRPr="001B6BC7" w14:paraId="76053249" w14:textId="77777777" w:rsidTr="00FC333B">
        <w:trPr>
          <w:cnfStyle w:val="100000000000" w:firstRow="1" w:lastRow="0" w:firstColumn="0" w:lastColumn="0" w:oddVBand="0" w:evenVBand="0" w:oddHBand="0" w:evenHBand="0" w:firstRowFirstColumn="0" w:firstRowLastColumn="0" w:lastRowFirstColumn="0" w:lastRowLastColumn="0"/>
          <w:cantSplit/>
          <w:tblHeader/>
        </w:trPr>
        <w:tc>
          <w:tcPr>
            <w:tcW w:w="5000" w:type="pct"/>
            <w:gridSpan w:val="7"/>
            <w:shd w:val="clear" w:color="auto" w:fill="D9D9D9" w:themeFill="background1" w:themeFillShade="D9"/>
            <w:noWrap/>
            <w:vAlign w:val="center"/>
            <w:hideMark/>
          </w:tcPr>
          <w:p w14:paraId="71E1945A" w14:textId="77777777" w:rsidR="006D41E9" w:rsidRPr="001B6BC7" w:rsidRDefault="006D41E9" w:rsidP="00FC333B">
            <w:pPr>
              <w:pStyle w:val="TableBodyText"/>
              <w:spacing w:before="40" w:after="40"/>
              <w:jc w:val="center"/>
              <w:rPr>
                <w:bCs/>
                <w:color w:val="000000"/>
              </w:rPr>
            </w:pPr>
            <w:r w:rsidRPr="001B6BC7">
              <w:rPr>
                <w:bCs/>
                <w:color w:val="000000"/>
              </w:rPr>
              <w:t>Harmonised Gas Day and Nomination Cut-Off Times</w:t>
            </w:r>
          </w:p>
        </w:tc>
      </w:tr>
      <w:tr w:rsidR="006D41E9" w:rsidRPr="001B6BC7" w14:paraId="0B9C48CE" w14:textId="77777777" w:rsidTr="00FC333B">
        <w:trPr>
          <w:cnfStyle w:val="100000000000" w:firstRow="1" w:lastRow="0" w:firstColumn="0" w:lastColumn="0" w:oddVBand="0" w:evenVBand="0" w:oddHBand="0" w:evenHBand="0" w:firstRowFirstColumn="0" w:firstRowLastColumn="0" w:lastRowFirstColumn="0" w:lastRowLastColumn="0"/>
          <w:cantSplit/>
          <w:tblHeader/>
        </w:trPr>
        <w:tc>
          <w:tcPr>
            <w:tcW w:w="858" w:type="pct"/>
            <w:shd w:val="clear" w:color="auto" w:fill="auto"/>
            <w:noWrap/>
            <w:hideMark/>
          </w:tcPr>
          <w:p w14:paraId="40670272" w14:textId="77777777" w:rsidR="006D41E9" w:rsidRPr="001B6BC7" w:rsidRDefault="006D41E9" w:rsidP="00FC333B">
            <w:pPr>
              <w:pStyle w:val="TableBodyText"/>
              <w:spacing w:before="40" w:after="40"/>
              <w:rPr>
                <w:b w:val="0"/>
                <w:bCs/>
                <w:color w:val="000000"/>
              </w:rPr>
            </w:pPr>
            <w:r w:rsidRPr="001B6BC7">
              <w:rPr>
                <w:b w:val="0"/>
                <w:bCs/>
                <w:color w:val="000000"/>
              </w:rPr>
              <w:t>NSW/ACT</w:t>
            </w:r>
          </w:p>
        </w:tc>
        <w:tc>
          <w:tcPr>
            <w:tcW w:w="620" w:type="pct"/>
            <w:vMerge w:val="restart"/>
            <w:shd w:val="clear" w:color="auto" w:fill="auto"/>
            <w:noWrap/>
            <w:vAlign w:val="center"/>
            <w:hideMark/>
          </w:tcPr>
          <w:p w14:paraId="4AD5A6DB" w14:textId="77777777" w:rsidR="006D41E9" w:rsidRPr="00126476" w:rsidRDefault="006D41E9" w:rsidP="00FC333B">
            <w:pPr>
              <w:pStyle w:val="TableBodyText"/>
              <w:spacing w:before="40" w:after="40"/>
              <w:jc w:val="center"/>
              <w:rPr>
                <w:b w:val="0"/>
                <w:bCs/>
                <w:color w:val="000000"/>
              </w:rPr>
            </w:pPr>
            <w:r w:rsidRPr="00126476">
              <w:rPr>
                <w:b w:val="0"/>
                <w:bCs/>
                <w:color w:val="000000"/>
              </w:rPr>
              <w:t>6:00 am</w:t>
            </w:r>
          </w:p>
        </w:tc>
        <w:tc>
          <w:tcPr>
            <w:tcW w:w="918" w:type="pct"/>
            <w:vMerge w:val="restart"/>
            <w:shd w:val="clear" w:color="auto" w:fill="auto"/>
            <w:noWrap/>
            <w:vAlign w:val="center"/>
            <w:hideMark/>
          </w:tcPr>
          <w:p w14:paraId="016EF86D" w14:textId="77777777" w:rsidR="006D41E9" w:rsidRPr="00126476" w:rsidRDefault="00103B85" w:rsidP="00FC333B">
            <w:pPr>
              <w:pStyle w:val="TableBodyText"/>
              <w:spacing w:before="40" w:after="40"/>
              <w:jc w:val="center"/>
              <w:rPr>
                <w:b w:val="0"/>
                <w:bCs/>
                <w:color w:val="000000"/>
              </w:rPr>
            </w:pPr>
            <w:r>
              <w:rPr>
                <w:b w:val="0"/>
                <w:bCs/>
                <w:color w:val="000000"/>
              </w:rPr>
              <w:br/>
              <w:t>12:3</w:t>
            </w:r>
            <w:r w:rsidR="006D41E9" w:rsidRPr="00126476">
              <w:rPr>
                <w:b w:val="0"/>
                <w:bCs/>
                <w:color w:val="000000"/>
              </w:rPr>
              <w:t>0 pm</w:t>
            </w:r>
          </w:p>
        </w:tc>
        <w:tc>
          <w:tcPr>
            <w:tcW w:w="730" w:type="pct"/>
            <w:vMerge w:val="restart"/>
            <w:shd w:val="clear" w:color="auto" w:fill="auto"/>
            <w:noWrap/>
            <w:vAlign w:val="center"/>
            <w:hideMark/>
          </w:tcPr>
          <w:p w14:paraId="193D3169" w14:textId="77777777" w:rsidR="006D41E9" w:rsidRPr="00126476" w:rsidRDefault="006D41E9" w:rsidP="00FC333B">
            <w:pPr>
              <w:pStyle w:val="TableBodyText"/>
              <w:spacing w:before="40" w:after="40"/>
              <w:jc w:val="center"/>
              <w:rPr>
                <w:b w:val="0"/>
                <w:bCs/>
                <w:color w:val="000000"/>
              </w:rPr>
            </w:pPr>
            <w:r w:rsidRPr="00126476">
              <w:rPr>
                <w:b w:val="0"/>
                <w:bCs/>
                <w:color w:val="000000"/>
              </w:rPr>
              <w:br/>
              <w:t>3:00 pm</w:t>
            </w:r>
          </w:p>
        </w:tc>
        <w:tc>
          <w:tcPr>
            <w:tcW w:w="624" w:type="pct"/>
            <w:vMerge w:val="restart"/>
            <w:shd w:val="clear" w:color="auto" w:fill="auto"/>
            <w:noWrap/>
            <w:vAlign w:val="center"/>
            <w:hideMark/>
          </w:tcPr>
          <w:p w14:paraId="5B9D4B62" w14:textId="77777777" w:rsidR="006D41E9" w:rsidRPr="00126476" w:rsidRDefault="006D41E9" w:rsidP="00FC333B">
            <w:pPr>
              <w:pStyle w:val="TableBodyText"/>
              <w:spacing w:before="40" w:after="40"/>
              <w:jc w:val="center"/>
              <w:rPr>
                <w:b w:val="0"/>
                <w:bCs/>
                <w:color w:val="000000"/>
              </w:rPr>
            </w:pPr>
            <w:r w:rsidRPr="00126476">
              <w:rPr>
                <w:b w:val="0"/>
                <w:bCs/>
                <w:color w:val="000000"/>
              </w:rPr>
              <w:br/>
              <w:t>4:</w:t>
            </w:r>
            <w:r w:rsidR="00863162">
              <w:rPr>
                <w:b w:val="0"/>
                <w:bCs/>
                <w:color w:val="000000"/>
              </w:rPr>
              <w:t>45</w:t>
            </w:r>
            <w:r w:rsidRPr="00126476">
              <w:rPr>
                <w:b w:val="0"/>
                <w:bCs/>
                <w:color w:val="000000"/>
              </w:rPr>
              <w:t xml:space="preserve"> pm</w:t>
            </w:r>
          </w:p>
        </w:tc>
        <w:tc>
          <w:tcPr>
            <w:tcW w:w="623" w:type="pct"/>
            <w:vMerge w:val="restart"/>
            <w:shd w:val="clear" w:color="auto" w:fill="auto"/>
            <w:noWrap/>
            <w:vAlign w:val="center"/>
            <w:hideMark/>
          </w:tcPr>
          <w:p w14:paraId="3C61C375" w14:textId="77777777" w:rsidR="006D41E9" w:rsidRPr="00126476" w:rsidRDefault="006D41E9" w:rsidP="00FC333B">
            <w:pPr>
              <w:pStyle w:val="TableBodyText"/>
              <w:spacing w:before="40" w:after="40"/>
              <w:jc w:val="center"/>
              <w:rPr>
                <w:b w:val="0"/>
                <w:bCs/>
                <w:color w:val="000000"/>
              </w:rPr>
            </w:pPr>
            <w:r w:rsidRPr="00126476">
              <w:rPr>
                <w:b w:val="0"/>
                <w:bCs/>
                <w:color w:val="000000"/>
              </w:rPr>
              <w:br/>
            </w:r>
            <w:r w:rsidR="00863162">
              <w:rPr>
                <w:b w:val="0"/>
                <w:bCs/>
                <w:color w:val="000000"/>
              </w:rPr>
              <w:t>5</w:t>
            </w:r>
            <w:r>
              <w:rPr>
                <w:b w:val="0"/>
                <w:bCs/>
                <w:color w:val="000000"/>
              </w:rPr>
              <w:t>:</w:t>
            </w:r>
            <w:r w:rsidR="00863162">
              <w:rPr>
                <w:b w:val="0"/>
                <w:bCs/>
                <w:color w:val="000000"/>
              </w:rPr>
              <w:t>15</w:t>
            </w:r>
            <w:r w:rsidRPr="00126476">
              <w:rPr>
                <w:b w:val="0"/>
                <w:bCs/>
                <w:color w:val="000000"/>
              </w:rPr>
              <w:t xml:space="preserve"> pm</w:t>
            </w:r>
          </w:p>
        </w:tc>
        <w:tc>
          <w:tcPr>
            <w:tcW w:w="627" w:type="pct"/>
            <w:vMerge w:val="restart"/>
            <w:shd w:val="clear" w:color="auto" w:fill="auto"/>
            <w:noWrap/>
            <w:vAlign w:val="center"/>
            <w:hideMark/>
          </w:tcPr>
          <w:p w14:paraId="0D94415D" w14:textId="77777777" w:rsidR="006D41E9" w:rsidRPr="00126476" w:rsidRDefault="006D41E9" w:rsidP="00FC333B">
            <w:pPr>
              <w:pStyle w:val="TableBodyText"/>
              <w:spacing w:before="40" w:after="40"/>
              <w:jc w:val="center"/>
              <w:rPr>
                <w:b w:val="0"/>
                <w:bCs/>
                <w:color w:val="000000"/>
              </w:rPr>
            </w:pPr>
            <w:r w:rsidRPr="00126476">
              <w:rPr>
                <w:b w:val="0"/>
                <w:bCs/>
                <w:color w:val="000000"/>
              </w:rPr>
              <w:br/>
            </w:r>
            <w:r w:rsidR="00863162">
              <w:rPr>
                <w:b w:val="0"/>
                <w:bCs/>
                <w:color w:val="000000"/>
              </w:rPr>
              <w:t>5</w:t>
            </w:r>
            <w:r w:rsidRPr="00126476">
              <w:rPr>
                <w:b w:val="0"/>
                <w:bCs/>
                <w:color w:val="000000"/>
              </w:rPr>
              <w:t>:4</w:t>
            </w:r>
            <w:r w:rsidR="00863162">
              <w:rPr>
                <w:b w:val="0"/>
                <w:bCs/>
                <w:color w:val="000000"/>
              </w:rPr>
              <w:t>5</w:t>
            </w:r>
            <w:r w:rsidRPr="00126476">
              <w:rPr>
                <w:b w:val="0"/>
                <w:bCs/>
                <w:color w:val="000000"/>
              </w:rPr>
              <w:t xml:space="preserve"> pm</w:t>
            </w:r>
          </w:p>
        </w:tc>
      </w:tr>
      <w:tr w:rsidR="006D41E9" w:rsidRPr="001B6BC7" w14:paraId="5F310B83" w14:textId="77777777" w:rsidTr="00FC333B">
        <w:trPr>
          <w:cnfStyle w:val="100000000000" w:firstRow="1" w:lastRow="0" w:firstColumn="0" w:lastColumn="0" w:oddVBand="0" w:evenVBand="0" w:oddHBand="0" w:evenHBand="0" w:firstRowFirstColumn="0" w:firstRowLastColumn="0" w:lastRowFirstColumn="0" w:lastRowLastColumn="0"/>
          <w:cantSplit/>
          <w:tblHeader/>
        </w:trPr>
        <w:tc>
          <w:tcPr>
            <w:tcW w:w="858" w:type="pct"/>
            <w:shd w:val="clear" w:color="auto" w:fill="auto"/>
            <w:noWrap/>
            <w:hideMark/>
          </w:tcPr>
          <w:p w14:paraId="05A1CD46" w14:textId="77777777" w:rsidR="006D41E9" w:rsidRPr="001B6BC7" w:rsidRDefault="006D41E9" w:rsidP="00FC333B">
            <w:pPr>
              <w:pStyle w:val="TableBodyText"/>
              <w:spacing w:before="40" w:after="40"/>
              <w:rPr>
                <w:b w:val="0"/>
                <w:bCs/>
                <w:color w:val="000000"/>
              </w:rPr>
            </w:pPr>
            <w:r w:rsidRPr="001B6BC7">
              <w:rPr>
                <w:b w:val="0"/>
                <w:bCs/>
                <w:color w:val="000000"/>
              </w:rPr>
              <w:t>SA</w:t>
            </w:r>
          </w:p>
        </w:tc>
        <w:tc>
          <w:tcPr>
            <w:tcW w:w="620" w:type="pct"/>
            <w:vMerge/>
            <w:shd w:val="clear" w:color="auto" w:fill="auto"/>
            <w:vAlign w:val="center"/>
            <w:hideMark/>
          </w:tcPr>
          <w:p w14:paraId="2B4CA004" w14:textId="77777777" w:rsidR="006D41E9" w:rsidRPr="001B6BC7" w:rsidRDefault="006D41E9" w:rsidP="00FC333B">
            <w:pPr>
              <w:pStyle w:val="TableBodyText"/>
              <w:spacing w:before="40" w:after="40"/>
              <w:jc w:val="center"/>
              <w:rPr>
                <w:b w:val="0"/>
                <w:bCs/>
                <w:color w:val="000000"/>
              </w:rPr>
            </w:pPr>
          </w:p>
        </w:tc>
        <w:tc>
          <w:tcPr>
            <w:tcW w:w="918" w:type="pct"/>
            <w:vMerge/>
            <w:shd w:val="clear" w:color="auto" w:fill="auto"/>
            <w:vAlign w:val="center"/>
            <w:hideMark/>
          </w:tcPr>
          <w:p w14:paraId="35A38C06" w14:textId="77777777" w:rsidR="006D41E9" w:rsidRPr="001B6BC7" w:rsidRDefault="006D41E9" w:rsidP="00FC333B">
            <w:pPr>
              <w:pStyle w:val="TableBodyText"/>
              <w:spacing w:before="40" w:after="40"/>
              <w:jc w:val="center"/>
              <w:rPr>
                <w:b w:val="0"/>
                <w:bCs/>
                <w:color w:val="000000"/>
              </w:rPr>
            </w:pPr>
          </w:p>
        </w:tc>
        <w:tc>
          <w:tcPr>
            <w:tcW w:w="730" w:type="pct"/>
            <w:vMerge/>
            <w:shd w:val="clear" w:color="auto" w:fill="auto"/>
            <w:vAlign w:val="center"/>
            <w:hideMark/>
          </w:tcPr>
          <w:p w14:paraId="5E3FA276" w14:textId="77777777" w:rsidR="006D41E9" w:rsidRPr="001B6BC7" w:rsidRDefault="006D41E9" w:rsidP="00FC333B">
            <w:pPr>
              <w:pStyle w:val="TableBodyText"/>
              <w:spacing w:before="40" w:after="40"/>
              <w:jc w:val="center"/>
              <w:rPr>
                <w:b w:val="0"/>
                <w:bCs/>
                <w:color w:val="000000"/>
              </w:rPr>
            </w:pPr>
          </w:p>
        </w:tc>
        <w:tc>
          <w:tcPr>
            <w:tcW w:w="624" w:type="pct"/>
            <w:vMerge/>
            <w:shd w:val="clear" w:color="auto" w:fill="auto"/>
            <w:vAlign w:val="center"/>
            <w:hideMark/>
          </w:tcPr>
          <w:p w14:paraId="4A48725E" w14:textId="77777777" w:rsidR="006D41E9" w:rsidRPr="001B6BC7" w:rsidRDefault="006D41E9" w:rsidP="00FC333B">
            <w:pPr>
              <w:pStyle w:val="TableBodyText"/>
              <w:spacing w:before="40" w:after="40"/>
              <w:jc w:val="center"/>
              <w:rPr>
                <w:b w:val="0"/>
                <w:bCs/>
                <w:color w:val="000000"/>
              </w:rPr>
            </w:pPr>
          </w:p>
        </w:tc>
        <w:tc>
          <w:tcPr>
            <w:tcW w:w="623" w:type="pct"/>
            <w:vMerge/>
            <w:shd w:val="clear" w:color="auto" w:fill="auto"/>
            <w:vAlign w:val="center"/>
            <w:hideMark/>
          </w:tcPr>
          <w:p w14:paraId="58585065" w14:textId="77777777" w:rsidR="006D41E9" w:rsidRPr="001B6BC7" w:rsidRDefault="006D41E9" w:rsidP="00FC333B">
            <w:pPr>
              <w:pStyle w:val="TableBodyText"/>
              <w:spacing w:before="40" w:after="40"/>
              <w:jc w:val="center"/>
              <w:rPr>
                <w:b w:val="0"/>
                <w:bCs/>
                <w:color w:val="000000"/>
              </w:rPr>
            </w:pPr>
          </w:p>
        </w:tc>
        <w:tc>
          <w:tcPr>
            <w:tcW w:w="627" w:type="pct"/>
            <w:vMerge/>
            <w:shd w:val="clear" w:color="auto" w:fill="auto"/>
            <w:vAlign w:val="center"/>
            <w:hideMark/>
          </w:tcPr>
          <w:p w14:paraId="4F112123" w14:textId="77777777" w:rsidR="006D41E9" w:rsidRPr="001B6BC7" w:rsidRDefault="006D41E9" w:rsidP="00FC333B">
            <w:pPr>
              <w:pStyle w:val="TableBodyText"/>
              <w:spacing w:before="40" w:after="40"/>
              <w:jc w:val="center"/>
              <w:rPr>
                <w:b w:val="0"/>
                <w:bCs/>
                <w:color w:val="000000"/>
              </w:rPr>
            </w:pPr>
          </w:p>
        </w:tc>
      </w:tr>
      <w:tr w:rsidR="006D41E9" w:rsidRPr="001B6BC7" w14:paraId="74DDF418" w14:textId="77777777" w:rsidTr="00FC333B">
        <w:trPr>
          <w:cnfStyle w:val="100000000000" w:firstRow="1" w:lastRow="0" w:firstColumn="0" w:lastColumn="0" w:oddVBand="0" w:evenVBand="0" w:oddHBand="0" w:evenHBand="0" w:firstRowFirstColumn="0" w:firstRowLastColumn="0" w:lastRowFirstColumn="0" w:lastRowLastColumn="0"/>
          <w:cantSplit/>
          <w:tblHeader/>
        </w:trPr>
        <w:tc>
          <w:tcPr>
            <w:tcW w:w="858" w:type="pct"/>
            <w:shd w:val="clear" w:color="auto" w:fill="auto"/>
            <w:noWrap/>
            <w:hideMark/>
          </w:tcPr>
          <w:p w14:paraId="77938B96" w14:textId="77777777" w:rsidR="006D41E9" w:rsidRPr="001B6BC7" w:rsidRDefault="006D41E9" w:rsidP="00FC333B">
            <w:pPr>
              <w:pStyle w:val="TableBodyText"/>
              <w:spacing w:before="40" w:after="40"/>
              <w:rPr>
                <w:b w:val="0"/>
                <w:bCs/>
                <w:color w:val="000000"/>
              </w:rPr>
            </w:pPr>
            <w:r w:rsidRPr="001B6BC7">
              <w:rPr>
                <w:b w:val="0"/>
                <w:bCs/>
                <w:color w:val="000000"/>
              </w:rPr>
              <w:t>Queensland</w:t>
            </w:r>
          </w:p>
        </w:tc>
        <w:tc>
          <w:tcPr>
            <w:tcW w:w="620" w:type="pct"/>
            <w:vMerge/>
            <w:shd w:val="clear" w:color="auto" w:fill="auto"/>
            <w:vAlign w:val="center"/>
            <w:hideMark/>
          </w:tcPr>
          <w:p w14:paraId="725EE204" w14:textId="77777777" w:rsidR="006D41E9" w:rsidRPr="001B6BC7" w:rsidRDefault="006D41E9" w:rsidP="00FC333B">
            <w:pPr>
              <w:pStyle w:val="TableBodyText"/>
              <w:spacing w:before="40" w:after="40"/>
              <w:jc w:val="center"/>
              <w:rPr>
                <w:b w:val="0"/>
                <w:bCs/>
                <w:color w:val="000000"/>
              </w:rPr>
            </w:pPr>
          </w:p>
        </w:tc>
        <w:tc>
          <w:tcPr>
            <w:tcW w:w="918" w:type="pct"/>
            <w:vMerge/>
            <w:shd w:val="clear" w:color="auto" w:fill="auto"/>
            <w:vAlign w:val="center"/>
            <w:hideMark/>
          </w:tcPr>
          <w:p w14:paraId="3D119C47" w14:textId="77777777" w:rsidR="006D41E9" w:rsidRPr="001B6BC7" w:rsidRDefault="006D41E9" w:rsidP="00FC333B">
            <w:pPr>
              <w:pStyle w:val="TableBodyText"/>
              <w:spacing w:before="40" w:after="40"/>
              <w:jc w:val="center"/>
              <w:rPr>
                <w:b w:val="0"/>
                <w:bCs/>
                <w:color w:val="000000"/>
              </w:rPr>
            </w:pPr>
          </w:p>
        </w:tc>
        <w:tc>
          <w:tcPr>
            <w:tcW w:w="730" w:type="pct"/>
            <w:vMerge/>
            <w:shd w:val="clear" w:color="auto" w:fill="auto"/>
            <w:vAlign w:val="center"/>
            <w:hideMark/>
          </w:tcPr>
          <w:p w14:paraId="67A52E20" w14:textId="77777777" w:rsidR="006D41E9" w:rsidRPr="001B6BC7" w:rsidRDefault="006D41E9" w:rsidP="00FC333B">
            <w:pPr>
              <w:pStyle w:val="TableBodyText"/>
              <w:spacing w:before="40" w:after="40"/>
              <w:jc w:val="center"/>
              <w:rPr>
                <w:b w:val="0"/>
                <w:bCs/>
                <w:color w:val="000000"/>
              </w:rPr>
            </w:pPr>
          </w:p>
        </w:tc>
        <w:tc>
          <w:tcPr>
            <w:tcW w:w="624" w:type="pct"/>
            <w:vMerge/>
            <w:shd w:val="clear" w:color="auto" w:fill="auto"/>
            <w:vAlign w:val="center"/>
            <w:hideMark/>
          </w:tcPr>
          <w:p w14:paraId="46E775C4" w14:textId="77777777" w:rsidR="006D41E9" w:rsidRPr="001B6BC7" w:rsidRDefault="006D41E9" w:rsidP="00FC333B">
            <w:pPr>
              <w:pStyle w:val="TableBodyText"/>
              <w:spacing w:before="40" w:after="40"/>
              <w:jc w:val="center"/>
              <w:rPr>
                <w:b w:val="0"/>
                <w:bCs/>
                <w:color w:val="000000"/>
              </w:rPr>
            </w:pPr>
          </w:p>
        </w:tc>
        <w:tc>
          <w:tcPr>
            <w:tcW w:w="623" w:type="pct"/>
            <w:vMerge/>
            <w:shd w:val="clear" w:color="auto" w:fill="auto"/>
            <w:vAlign w:val="center"/>
            <w:hideMark/>
          </w:tcPr>
          <w:p w14:paraId="389DA882" w14:textId="77777777" w:rsidR="006D41E9" w:rsidRPr="001B6BC7" w:rsidRDefault="006D41E9" w:rsidP="00FC333B">
            <w:pPr>
              <w:pStyle w:val="TableBodyText"/>
              <w:spacing w:before="40" w:after="40"/>
              <w:jc w:val="center"/>
              <w:rPr>
                <w:b w:val="0"/>
                <w:bCs/>
                <w:color w:val="000000"/>
              </w:rPr>
            </w:pPr>
          </w:p>
        </w:tc>
        <w:tc>
          <w:tcPr>
            <w:tcW w:w="627" w:type="pct"/>
            <w:vMerge/>
            <w:shd w:val="clear" w:color="auto" w:fill="auto"/>
            <w:vAlign w:val="center"/>
            <w:hideMark/>
          </w:tcPr>
          <w:p w14:paraId="135667EF" w14:textId="77777777" w:rsidR="006D41E9" w:rsidRPr="001B6BC7" w:rsidRDefault="006D41E9" w:rsidP="00FC333B">
            <w:pPr>
              <w:pStyle w:val="TableBodyText"/>
              <w:spacing w:before="40" w:after="40"/>
              <w:jc w:val="center"/>
              <w:rPr>
                <w:b w:val="0"/>
                <w:bCs/>
                <w:color w:val="000000"/>
              </w:rPr>
            </w:pPr>
          </w:p>
        </w:tc>
      </w:tr>
      <w:tr w:rsidR="006D41E9" w:rsidRPr="001B6BC7" w14:paraId="34917581" w14:textId="77777777" w:rsidTr="00FC333B">
        <w:trPr>
          <w:cnfStyle w:val="100000000000" w:firstRow="1" w:lastRow="0" w:firstColumn="0" w:lastColumn="0" w:oddVBand="0" w:evenVBand="0" w:oddHBand="0" w:evenHBand="0" w:firstRowFirstColumn="0" w:firstRowLastColumn="0" w:lastRowFirstColumn="0" w:lastRowLastColumn="0"/>
          <w:cantSplit/>
          <w:tblHeader/>
        </w:trPr>
        <w:tc>
          <w:tcPr>
            <w:tcW w:w="858" w:type="pct"/>
            <w:shd w:val="clear" w:color="auto" w:fill="auto"/>
            <w:noWrap/>
            <w:hideMark/>
          </w:tcPr>
          <w:p w14:paraId="01EA265F" w14:textId="77777777" w:rsidR="006D41E9" w:rsidRPr="001B6BC7" w:rsidRDefault="006D41E9" w:rsidP="00FC333B">
            <w:pPr>
              <w:pStyle w:val="TableBodyText"/>
              <w:spacing w:before="40" w:after="40"/>
              <w:rPr>
                <w:b w:val="0"/>
                <w:bCs/>
                <w:color w:val="000000"/>
              </w:rPr>
            </w:pPr>
            <w:r w:rsidRPr="001B6BC7">
              <w:rPr>
                <w:b w:val="0"/>
                <w:bCs/>
                <w:color w:val="000000"/>
              </w:rPr>
              <w:t>Tasmania</w:t>
            </w:r>
          </w:p>
        </w:tc>
        <w:tc>
          <w:tcPr>
            <w:tcW w:w="620" w:type="pct"/>
            <w:vMerge/>
            <w:shd w:val="clear" w:color="auto" w:fill="auto"/>
            <w:vAlign w:val="center"/>
            <w:hideMark/>
          </w:tcPr>
          <w:p w14:paraId="0ECEC27D" w14:textId="77777777" w:rsidR="006D41E9" w:rsidRPr="001B6BC7" w:rsidRDefault="006D41E9" w:rsidP="00FC333B">
            <w:pPr>
              <w:pStyle w:val="TableBodyText"/>
              <w:spacing w:before="40" w:after="40"/>
              <w:jc w:val="center"/>
              <w:rPr>
                <w:b w:val="0"/>
                <w:bCs/>
                <w:color w:val="000000"/>
              </w:rPr>
            </w:pPr>
          </w:p>
        </w:tc>
        <w:tc>
          <w:tcPr>
            <w:tcW w:w="918" w:type="pct"/>
            <w:vMerge/>
            <w:shd w:val="clear" w:color="auto" w:fill="auto"/>
            <w:vAlign w:val="center"/>
            <w:hideMark/>
          </w:tcPr>
          <w:p w14:paraId="2D07DCD4" w14:textId="77777777" w:rsidR="006D41E9" w:rsidRPr="001B6BC7" w:rsidRDefault="006D41E9" w:rsidP="00FC333B">
            <w:pPr>
              <w:pStyle w:val="TableBodyText"/>
              <w:spacing w:before="40" w:after="40"/>
              <w:jc w:val="center"/>
              <w:rPr>
                <w:b w:val="0"/>
                <w:bCs/>
                <w:color w:val="000000"/>
              </w:rPr>
            </w:pPr>
          </w:p>
        </w:tc>
        <w:tc>
          <w:tcPr>
            <w:tcW w:w="730" w:type="pct"/>
            <w:vMerge/>
            <w:shd w:val="clear" w:color="auto" w:fill="auto"/>
            <w:vAlign w:val="center"/>
            <w:hideMark/>
          </w:tcPr>
          <w:p w14:paraId="21AF69F7" w14:textId="77777777" w:rsidR="006D41E9" w:rsidRPr="001B6BC7" w:rsidRDefault="006D41E9" w:rsidP="00FC333B">
            <w:pPr>
              <w:pStyle w:val="TableBodyText"/>
              <w:spacing w:before="40" w:after="40"/>
              <w:jc w:val="center"/>
              <w:rPr>
                <w:b w:val="0"/>
                <w:bCs/>
                <w:color w:val="000000"/>
              </w:rPr>
            </w:pPr>
          </w:p>
        </w:tc>
        <w:tc>
          <w:tcPr>
            <w:tcW w:w="624" w:type="pct"/>
            <w:vMerge/>
            <w:shd w:val="clear" w:color="auto" w:fill="auto"/>
            <w:vAlign w:val="center"/>
            <w:hideMark/>
          </w:tcPr>
          <w:p w14:paraId="6180DE01" w14:textId="77777777" w:rsidR="006D41E9" w:rsidRPr="001B6BC7" w:rsidRDefault="006D41E9" w:rsidP="00FC333B">
            <w:pPr>
              <w:pStyle w:val="TableBodyText"/>
              <w:spacing w:before="40" w:after="40"/>
              <w:jc w:val="center"/>
              <w:rPr>
                <w:b w:val="0"/>
                <w:bCs/>
                <w:color w:val="000000"/>
              </w:rPr>
            </w:pPr>
          </w:p>
        </w:tc>
        <w:tc>
          <w:tcPr>
            <w:tcW w:w="623" w:type="pct"/>
            <w:vMerge/>
            <w:shd w:val="clear" w:color="auto" w:fill="auto"/>
            <w:vAlign w:val="center"/>
            <w:hideMark/>
          </w:tcPr>
          <w:p w14:paraId="27D1ABD3" w14:textId="77777777" w:rsidR="006D41E9" w:rsidRPr="001B6BC7" w:rsidRDefault="006D41E9" w:rsidP="00FC333B">
            <w:pPr>
              <w:pStyle w:val="TableBodyText"/>
              <w:spacing w:before="40" w:after="40"/>
              <w:jc w:val="center"/>
              <w:rPr>
                <w:b w:val="0"/>
                <w:bCs/>
                <w:color w:val="000000"/>
              </w:rPr>
            </w:pPr>
          </w:p>
        </w:tc>
        <w:tc>
          <w:tcPr>
            <w:tcW w:w="627" w:type="pct"/>
            <w:vMerge/>
            <w:shd w:val="clear" w:color="auto" w:fill="auto"/>
            <w:vAlign w:val="center"/>
            <w:hideMark/>
          </w:tcPr>
          <w:p w14:paraId="31B980DD" w14:textId="77777777" w:rsidR="006D41E9" w:rsidRPr="001B6BC7" w:rsidRDefault="006D41E9" w:rsidP="00FC333B">
            <w:pPr>
              <w:pStyle w:val="TableBodyText"/>
              <w:spacing w:before="40" w:after="40"/>
              <w:jc w:val="center"/>
              <w:rPr>
                <w:b w:val="0"/>
                <w:bCs/>
                <w:color w:val="000000"/>
              </w:rPr>
            </w:pPr>
          </w:p>
        </w:tc>
      </w:tr>
      <w:tr w:rsidR="006D41E9" w:rsidRPr="001B6BC7" w14:paraId="094EE5A1" w14:textId="77777777" w:rsidTr="00FC333B">
        <w:trPr>
          <w:cnfStyle w:val="100000000000" w:firstRow="1" w:lastRow="0" w:firstColumn="0" w:lastColumn="0" w:oddVBand="0" w:evenVBand="0" w:oddHBand="0" w:evenHBand="0" w:firstRowFirstColumn="0" w:firstRowLastColumn="0" w:lastRowFirstColumn="0" w:lastRowLastColumn="0"/>
          <w:cantSplit/>
          <w:tblHeader/>
        </w:trPr>
        <w:tc>
          <w:tcPr>
            <w:tcW w:w="858" w:type="pct"/>
            <w:shd w:val="clear" w:color="auto" w:fill="auto"/>
            <w:noWrap/>
          </w:tcPr>
          <w:p w14:paraId="4B5599D3" w14:textId="77777777" w:rsidR="006D41E9" w:rsidRPr="001B6BC7" w:rsidRDefault="006D41E9" w:rsidP="00FC333B">
            <w:pPr>
              <w:pStyle w:val="TableBodyText"/>
              <w:spacing w:before="40" w:after="40"/>
              <w:rPr>
                <w:b w:val="0"/>
                <w:bCs/>
                <w:color w:val="000000"/>
              </w:rPr>
            </w:pPr>
            <w:r>
              <w:rPr>
                <w:b w:val="0"/>
                <w:bCs/>
                <w:color w:val="000000"/>
              </w:rPr>
              <w:t>Northern Territory</w:t>
            </w:r>
          </w:p>
        </w:tc>
        <w:tc>
          <w:tcPr>
            <w:tcW w:w="620" w:type="pct"/>
            <w:vMerge/>
            <w:shd w:val="clear" w:color="auto" w:fill="auto"/>
            <w:vAlign w:val="center"/>
          </w:tcPr>
          <w:p w14:paraId="2DFB03D4" w14:textId="77777777" w:rsidR="006D41E9" w:rsidRPr="001B6BC7" w:rsidRDefault="006D41E9" w:rsidP="00FC333B">
            <w:pPr>
              <w:pStyle w:val="TableBodyText"/>
              <w:spacing w:before="40" w:after="40"/>
              <w:jc w:val="center"/>
              <w:rPr>
                <w:b w:val="0"/>
                <w:bCs/>
                <w:color w:val="000000"/>
              </w:rPr>
            </w:pPr>
          </w:p>
        </w:tc>
        <w:tc>
          <w:tcPr>
            <w:tcW w:w="918" w:type="pct"/>
            <w:vMerge/>
            <w:shd w:val="clear" w:color="auto" w:fill="auto"/>
            <w:vAlign w:val="center"/>
          </w:tcPr>
          <w:p w14:paraId="11CE9D22" w14:textId="77777777" w:rsidR="006D41E9" w:rsidRPr="001B6BC7" w:rsidRDefault="006D41E9" w:rsidP="00FC333B">
            <w:pPr>
              <w:pStyle w:val="TableBodyText"/>
              <w:spacing w:before="40" w:after="40"/>
              <w:jc w:val="center"/>
              <w:rPr>
                <w:b w:val="0"/>
                <w:bCs/>
                <w:color w:val="000000"/>
              </w:rPr>
            </w:pPr>
          </w:p>
        </w:tc>
        <w:tc>
          <w:tcPr>
            <w:tcW w:w="730" w:type="pct"/>
            <w:vMerge/>
            <w:shd w:val="clear" w:color="auto" w:fill="auto"/>
            <w:vAlign w:val="center"/>
          </w:tcPr>
          <w:p w14:paraId="3E6ECEE9" w14:textId="77777777" w:rsidR="006D41E9" w:rsidRPr="001B6BC7" w:rsidRDefault="006D41E9" w:rsidP="00FC333B">
            <w:pPr>
              <w:pStyle w:val="TableBodyText"/>
              <w:spacing w:before="40" w:after="40"/>
              <w:jc w:val="center"/>
              <w:rPr>
                <w:b w:val="0"/>
                <w:bCs/>
                <w:color w:val="000000"/>
              </w:rPr>
            </w:pPr>
          </w:p>
        </w:tc>
        <w:tc>
          <w:tcPr>
            <w:tcW w:w="624" w:type="pct"/>
            <w:vMerge/>
            <w:shd w:val="clear" w:color="auto" w:fill="auto"/>
            <w:vAlign w:val="center"/>
          </w:tcPr>
          <w:p w14:paraId="3C0484E8" w14:textId="77777777" w:rsidR="006D41E9" w:rsidRPr="001B6BC7" w:rsidRDefault="006D41E9" w:rsidP="00FC333B">
            <w:pPr>
              <w:pStyle w:val="TableBodyText"/>
              <w:spacing w:before="40" w:after="40"/>
              <w:jc w:val="center"/>
              <w:rPr>
                <w:b w:val="0"/>
                <w:bCs/>
                <w:color w:val="000000"/>
              </w:rPr>
            </w:pPr>
          </w:p>
        </w:tc>
        <w:tc>
          <w:tcPr>
            <w:tcW w:w="623" w:type="pct"/>
            <w:vMerge/>
            <w:shd w:val="clear" w:color="auto" w:fill="auto"/>
            <w:vAlign w:val="center"/>
          </w:tcPr>
          <w:p w14:paraId="146B7DF8" w14:textId="77777777" w:rsidR="006D41E9" w:rsidRPr="001B6BC7" w:rsidRDefault="006D41E9" w:rsidP="00FC333B">
            <w:pPr>
              <w:pStyle w:val="TableBodyText"/>
              <w:spacing w:before="40" w:after="40"/>
              <w:jc w:val="center"/>
              <w:rPr>
                <w:b w:val="0"/>
                <w:bCs/>
                <w:color w:val="000000"/>
              </w:rPr>
            </w:pPr>
          </w:p>
        </w:tc>
        <w:tc>
          <w:tcPr>
            <w:tcW w:w="627" w:type="pct"/>
            <w:vMerge/>
            <w:shd w:val="clear" w:color="auto" w:fill="auto"/>
            <w:vAlign w:val="center"/>
          </w:tcPr>
          <w:p w14:paraId="7ACC43B8" w14:textId="77777777" w:rsidR="006D41E9" w:rsidRPr="001B6BC7" w:rsidRDefault="006D41E9" w:rsidP="00FC333B">
            <w:pPr>
              <w:pStyle w:val="TableBodyText"/>
              <w:spacing w:before="40" w:after="40"/>
              <w:jc w:val="center"/>
              <w:rPr>
                <w:b w:val="0"/>
                <w:bCs/>
                <w:color w:val="000000"/>
              </w:rPr>
            </w:pPr>
          </w:p>
        </w:tc>
      </w:tr>
      <w:tr w:rsidR="006D41E9" w:rsidRPr="001B6BC7" w14:paraId="12E91FFA" w14:textId="77777777" w:rsidTr="00FC333B">
        <w:trPr>
          <w:cnfStyle w:val="100000000000" w:firstRow="1" w:lastRow="0" w:firstColumn="0" w:lastColumn="0" w:oddVBand="0" w:evenVBand="0" w:oddHBand="0" w:evenHBand="0" w:firstRowFirstColumn="0" w:firstRowLastColumn="0" w:lastRowFirstColumn="0" w:lastRowLastColumn="0"/>
          <w:cantSplit/>
          <w:tblHeader/>
        </w:trPr>
        <w:tc>
          <w:tcPr>
            <w:tcW w:w="858" w:type="pct"/>
            <w:shd w:val="clear" w:color="auto" w:fill="auto"/>
            <w:noWrap/>
            <w:hideMark/>
          </w:tcPr>
          <w:p w14:paraId="32CC07AA" w14:textId="77777777" w:rsidR="006D41E9" w:rsidRPr="001B6BC7" w:rsidRDefault="006D41E9" w:rsidP="00FC333B">
            <w:pPr>
              <w:pStyle w:val="TableBodyText"/>
              <w:spacing w:before="40" w:after="40"/>
              <w:rPr>
                <w:b w:val="0"/>
                <w:bCs/>
                <w:color w:val="000000"/>
              </w:rPr>
            </w:pPr>
            <w:r w:rsidRPr="001B6BC7">
              <w:rPr>
                <w:b w:val="0"/>
                <w:bCs/>
                <w:color w:val="000000"/>
              </w:rPr>
              <w:t>Victoria</w:t>
            </w:r>
          </w:p>
        </w:tc>
        <w:tc>
          <w:tcPr>
            <w:tcW w:w="620" w:type="pct"/>
            <w:vMerge/>
            <w:shd w:val="clear" w:color="auto" w:fill="auto"/>
            <w:vAlign w:val="center"/>
            <w:hideMark/>
          </w:tcPr>
          <w:p w14:paraId="584EC4BF" w14:textId="77777777" w:rsidR="006D41E9" w:rsidRPr="001B6BC7" w:rsidRDefault="006D41E9" w:rsidP="00FC333B">
            <w:pPr>
              <w:pStyle w:val="TableBodyText"/>
              <w:spacing w:before="40" w:after="40"/>
              <w:jc w:val="center"/>
              <w:rPr>
                <w:b w:val="0"/>
                <w:bCs/>
                <w:color w:val="000000"/>
              </w:rPr>
            </w:pPr>
          </w:p>
        </w:tc>
        <w:tc>
          <w:tcPr>
            <w:tcW w:w="918" w:type="pct"/>
            <w:shd w:val="clear" w:color="auto" w:fill="auto"/>
            <w:noWrap/>
            <w:vAlign w:val="center"/>
            <w:hideMark/>
          </w:tcPr>
          <w:p w14:paraId="60DEB1DF" w14:textId="77777777" w:rsidR="006D41E9" w:rsidRPr="001B6BC7" w:rsidRDefault="006D41E9" w:rsidP="00FC333B">
            <w:pPr>
              <w:pStyle w:val="TableBodyText"/>
              <w:spacing w:before="40" w:after="40"/>
              <w:jc w:val="center"/>
              <w:rPr>
                <w:b w:val="0"/>
                <w:bCs/>
                <w:color w:val="000000"/>
              </w:rPr>
            </w:pPr>
            <w:proofErr w:type="spellStart"/>
            <w:r w:rsidRPr="001B6BC7">
              <w:rPr>
                <w:b w:val="0"/>
                <w:bCs/>
                <w:color w:val="000000"/>
              </w:rPr>
              <w:t>n.a</w:t>
            </w:r>
            <w:proofErr w:type="spellEnd"/>
            <w:r w:rsidRPr="001B6BC7">
              <w:rPr>
                <w:b w:val="0"/>
                <w:bCs/>
                <w:color w:val="000000"/>
              </w:rPr>
              <w:t>.</w:t>
            </w:r>
          </w:p>
        </w:tc>
        <w:tc>
          <w:tcPr>
            <w:tcW w:w="730" w:type="pct"/>
            <w:shd w:val="clear" w:color="auto" w:fill="auto"/>
            <w:noWrap/>
            <w:vAlign w:val="center"/>
            <w:hideMark/>
          </w:tcPr>
          <w:p w14:paraId="5A5A93B9" w14:textId="77777777" w:rsidR="006D41E9" w:rsidRPr="001B6BC7" w:rsidRDefault="006D41E9" w:rsidP="00FC333B">
            <w:pPr>
              <w:pStyle w:val="TableBodyText"/>
              <w:spacing w:before="40" w:after="40"/>
              <w:jc w:val="center"/>
              <w:rPr>
                <w:b w:val="0"/>
                <w:bCs/>
                <w:color w:val="000000"/>
              </w:rPr>
            </w:pPr>
            <w:proofErr w:type="spellStart"/>
            <w:r w:rsidRPr="001B6BC7">
              <w:rPr>
                <w:b w:val="0"/>
                <w:bCs/>
                <w:color w:val="000000"/>
              </w:rPr>
              <w:t>n.a</w:t>
            </w:r>
            <w:proofErr w:type="spellEnd"/>
            <w:r w:rsidRPr="001B6BC7">
              <w:rPr>
                <w:b w:val="0"/>
                <w:bCs/>
                <w:color w:val="000000"/>
              </w:rPr>
              <w:t>.</w:t>
            </w:r>
          </w:p>
        </w:tc>
        <w:tc>
          <w:tcPr>
            <w:tcW w:w="624" w:type="pct"/>
            <w:shd w:val="clear" w:color="auto" w:fill="auto"/>
            <w:noWrap/>
            <w:vAlign w:val="center"/>
            <w:hideMark/>
          </w:tcPr>
          <w:p w14:paraId="5FE206A2" w14:textId="77777777" w:rsidR="006D41E9" w:rsidRPr="001B6BC7" w:rsidRDefault="006D41E9" w:rsidP="00FC333B">
            <w:pPr>
              <w:pStyle w:val="TableBodyText"/>
              <w:spacing w:before="40" w:after="40"/>
              <w:jc w:val="center"/>
              <w:rPr>
                <w:b w:val="0"/>
                <w:bCs/>
                <w:color w:val="000000"/>
              </w:rPr>
            </w:pPr>
            <w:proofErr w:type="spellStart"/>
            <w:r w:rsidRPr="001B6BC7">
              <w:rPr>
                <w:b w:val="0"/>
                <w:bCs/>
                <w:color w:val="000000"/>
              </w:rPr>
              <w:t>n.a</w:t>
            </w:r>
            <w:proofErr w:type="spellEnd"/>
            <w:r w:rsidRPr="001B6BC7">
              <w:rPr>
                <w:b w:val="0"/>
                <w:bCs/>
                <w:color w:val="000000"/>
              </w:rPr>
              <w:t>.</w:t>
            </w:r>
          </w:p>
        </w:tc>
        <w:tc>
          <w:tcPr>
            <w:tcW w:w="623" w:type="pct"/>
            <w:shd w:val="clear" w:color="auto" w:fill="auto"/>
            <w:noWrap/>
            <w:vAlign w:val="center"/>
            <w:hideMark/>
          </w:tcPr>
          <w:p w14:paraId="7D255A4D" w14:textId="77777777" w:rsidR="006D41E9" w:rsidRPr="001B6BC7" w:rsidRDefault="006D41E9" w:rsidP="00FC333B">
            <w:pPr>
              <w:pStyle w:val="TableBodyText"/>
              <w:spacing w:before="40" w:after="40"/>
              <w:jc w:val="center"/>
              <w:rPr>
                <w:b w:val="0"/>
                <w:bCs/>
                <w:color w:val="000000"/>
              </w:rPr>
            </w:pPr>
            <w:proofErr w:type="spellStart"/>
            <w:r w:rsidRPr="001B6BC7">
              <w:rPr>
                <w:b w:val="0"/>
                <w:bCs/>
                <w:color w:val="000000"/>
              </w:rPr>
              <w:t>n.a</w:t>
            </w:r>
            <w:proofErr w:type="spellEnd"/>
            <w:r w:rsidRPr="001B6BC7">
              <w:rPr>
                <w:b w:val="0"/>
                <w:bCs/>
                <w:color w:val="000000"/>
              </w:rPr>
              <w:t>.</w:t>
            </w:r>
          </w:p>
        </w:tc>
        <w:tc>
          <w:tcPr>
            <w:tcW w:w="627" w:type="pct"/>
            <w:shd w:val="clear" w:color="auto" w:fill="auto"/>
            <w:noWrap/>
            <w:vAlign w:val="center"/>
            <w:hideMark/>
          </w:tcPr>
          <w:p w14:paraId="1D0639EE" w14:textId="77777777" w:rsidR="006D41E9" w:rsidRPr="001B6BC7" w:rsidRDefault="006D41E9" w:rsidP="00FC333B">
            <w:pPr>
              <w:pStyle w:val="TableBodyText"/>
              <w:spacing w:before="40" w:after="40"/>
              <w:jc w:val="center"/>
              <w:rPr>
                <w:b w:val="0"/>
                <w:bCs/>
                <w:color w:val="000000"/>
              </w:rPr>
            </w:pPr>
            <w:proofErr w:type="spellStart"/>
            <w:r w:rsidRPr="001B6BC7">
              <w:rPr>
                <w:b w:val="0"/>
                <w:bCs/>
                <w:color w:val="000000"/>
              </w:rPr>
              <w:t>n.a</w:t>
            </w:r>
            <w:proofErr w:type="spellEnd"/>
            <w:r w:rsidRPr="001B6BC7">
              <w:rPr>
                <w:b w:val="0"/>
                <w:bCs/>
                <w:color w:val="000000"/>
              </w:rPr>
              <w:t>.</w:t>
            </w:r>
          </w:p>
        </w:tc>
      </w:tr>
    </w:tbl>
    <w:p w14:paraId="147C7C5C" w14:textId="77777777" w:rsidR="006D41E9" w:rsidRPr="004F36FB" w:rsidRDefault="006D41E9" w:rsidP="006D41E9">
      <w:pPr>
        <w:pStyle w:val="BodyText"/>
        <w:spacing w:before="0" w:after="20"/>
        <w:rPr>
          <w:sz w:val="16"/>
          <w:szCs w:val="16"/>
        </w:rPr>
      </w:pPr>
      <w:r w:rsidRPr="004F36FB">
        <w:rPr>
          <w:sz w:val="16"/>
          <w:szCs w:val="16"/>
        </w:rPr>
        <w:t xml:space="preserve">Notes: </w:t>
      </w:r>
      <w:r>
        <w:rPr>
          <w:sz w:val="16"/>
          <w:szCs w:val="16"/>
        </w:rPr>
        <w:br/>
      </w:r>
      <w:r w:rsidRPr="004F36FB">
        <w:rPr>
          <w:sz w:val="16"/>
          <w:szCs w:val="16"/>
        </w:rPr>
        <w:t xml:space="preserve">* Trading assumed to end </w:t>
      </w:r>
      <w:r>
        <w:rPr>
          <w:sz w:val="16"/>
          <w:szCs w:val="16"/>
        </w:rPr>
        <w:t>2.5-3</w:t>
      </w:r>
      <w:r w:rsidRPr="004F36FB">
        <w:rPr>
          <w:sz w:val="16"/>
          <w:szCs w:val="16"/>
        </w:rPr>
        <w:t xml:space="preserve"> hours before nomination cut-off time to allow pipeline operators to make MDQ transfers.</w:t>
      </w:r>
    </w:p>
    <w:p w14:paraId="06BB944A" w14:textId="77777777" w:rsidR="006D41E9" w:rsidRPr="004F36FB" w:rsidRDefault="006D41E9" w:rsidP="006D41E9">
      <w:pPr>
        <w:pStyle w:val="BodyText"/>
        <w:spacing w:before="0" w:after="20"/>
        <w:rPr>
          <w:sz w:val="16"/>
          <w:szCs w:val="16"/>
        </w:rPr>
      </w:pPr>
      <w:r w:rsidRPr="004F36FB">
        <w:rPr>
          <w:sz w:val="16"/>
          <w:szCs w:val="16"/>
        </w:rPr>
        <w:t>** Nomination cut-off times assumed to be offsets to gas day start times.</w:t>
      </w:r>
    </w:p>
    <w:p w14:paraId="65349D91" w14:textId="77777777" w:rsidR="006D41E9" w:rsidRPr="004F36FB" w:rsidRDefault="006D41E9" w:rsidP="006D41E9">
      <w:pPr>
        <w:pStyle w:val="BodyText"/>
        <w:spacing w:before="0" w:after="20"/>
        <w:rPr>
          <w:sz w:val="16"/>
          <w:szCs w:val="16"/>
        </w:rPr>
      </w:pPr>
      <w:r w:rsidRPr="004F36FB">
        <w:rPr>
          <w:sz w:val="16"/>
          <w:szCs w:val="16"/>
        </w:rPr>
        <w:t xml:space="preserve">*** Capacity assumed to be published </w:t>
      </w:r>
      <w:r>
        <w:rPr>
          <w:sz w:val="16"/>
          <w:szCs w:val="16"/>
        </w:rPr>
        <w:t>1.5</w:t>
      </w:r>
      <w:r w:rsidRPr="004F36FB">
        <w:rPr>
          <w:sz w:val="16"/>
          <w:szCs w:val="16"/>
        </w:rPr>
        <w:t xml:space="preserve"> </w:t>
      </w:r>
      <w:r>
        <w:rPr>
          <w:sz w:val="16"/>
          <w:szCs w:val="16"/>
        </w:rPr>
        <w:t xml:space="preserve">hours </w:t>
      </w:r>
      <w:r w:rsidRPr="004F36FB">
        <w:rPr>
          <w:sz w:val="16"/>
          <w:szCs w:val="16"/>
        </w:rPr>
        <w:t>after nomination cut-off time. Shippers are then assumed to have 30 minutes to make their bids in the auction. The auction is then assumed to be completed within 10 minutes of bids closing.</w:t>
      </w:r>
    </w:p>
    <w:bookmarkEnd w:id="118"/>
    <w:p w14:paraId="2E8DB6D8" w14:textId="77777777" w:rsidR="006D41E9" w:rsidRDefault="006D41E9" w:rsidP="006D41E9">
      <w:pPr>
        <w:pStyle w:val="BodyText"/>
      </w:pPr>
      <w:r>
        <w:t xml:space="preserve">As the top </w:t>
      </w:r>
      <w:r w:rsidR="00F43C13">
        <w:t>panel</w:t>
      </w:r>
      <w:r>
        <w:t xml:space="preserve"> of </w:t>
      </w:r>
      <w:r>
        <w:rPr>
          <w:highlight w:val="yellow"/>
        </w:rPr>
        <w:fldChar w:fldCharType="begin"/>
      </w:r>
      <w:r>
        <w:instrText xml:space="preserve"> REF _Ref490636402 \h </w:instrText>
      </w:r>
      <w:r>
        <w:rPr>
          <w:highlight w:val="yellow"/>
        </w:rPr>
      </w:r>
      <w:r>
        <w:rPr>
          <w:highlight w:val="yellow"/>
        </w:rPr>
        <w:fldChar w:fldCharType="separate"/>
      </w:r>
      <w:r w:rsidR="00761861">
        <w:t xml:space="preserve">Table </w:t>
      </w:r>
      <w:r w:rsidR="00761861">
        <w:rPr>
          <w:noProof/>
        </w:rPr>
        <w:t>5</w:t>
      </w:r>
      <w:r w:rsidR="00761861">
        <w:t>.</w:t>
      </w:r>
      <w:r w:rsidR="00761861">
        <w:rPr>
          <w:noProof/>
        </w:rPr>
        <w:t>3</w:t>
      </w:r>
      <w:r>
        <w:rPr>
          <w:highlight w:val="yellow"/>
        </w:rPr>
        <w:fldChar w:fldCharType="end"/>
      </w:r>
      <w:r>
        <w:t xml:space="preserve"> highlights, a lack of alignment of gas day start times and nomination cut-off times will result in:</w:t>
      </w:r>
    </w:p>
    <w:p w14:paraId="0DAC36EB" w14:textId="77777777" w:rsidR="006D41E9" w:rsidRDefault="006D41E9" w:rsidP="006D41E9">
      <w:pPr>
        <w:pStyle w:val="ListBullet"/>
      </w:pPr>
      <w:r>
        <w:t>the close of trade for day-ahead products on the capacity trading platform being set by reference to the earliest nomination cut-off time (currently 1.30 pm (AEST)), which means that trade will need to cease by 11 am (AEST); and</w:t>
      </w:r>
    </w:p>
    <w:p w14:paraId="22C37C90" w14:textId="77777777" w:rsidR="006D41E9" w:rsidRDefault="006D41E9" w:rsidP="006D41E9">
      <w:pPr>
        <w:pStyle w:val="ListBullet"/>
      </w:pPr>
      <w:proofErr w:type="gramStart"/>
      <w:r>
        <w:t>the</w:t>
      </w:r>
      <w:proofErr w:type="gramEnd"/>
      <w:r>
        <w:t xml:space="preserve"> timing of the day-ahead auction being set by reference to the latest nomination cut-off time (currently 4 pm (AEST)), which means that the earliest the auction could be conducted is by </w:t>
      </w:r>
      <w:r w:rsidR="00863162">
        <w:t>6</w:t>
      </w:r>
      <w:r>
        <w:t>.4</w:t>
      </w:r>
      <w:r w:rsidR="00863162">
        <w:t>5</w:t>
      </w:r>
      <w:r>
        <w:t xml:space="preserve"> pm AEST.</w:t>
      </w:r>
    </w:p>
    <w:p w14:paraId="408E53B7" w14:textId="77777777" w:rsidR="00F43C13" w:rsidRDefault="00F43C13" w:rsidP="00F43C13">
      <w:pPr>
        <w:pStyle w:val="ListBullet"/>
        <w:numPr>
          <w:ilvl w:val="0"/>
          <w:numId w:val="0"/>
        </w:numPr>
      </w:pPr>
      <w:r>
        <w:t>If gas day start times are aligned, but nomination cut-off times are not</w:t>
      </w:r>
      <w:r w:rsidR="00103B85">
        <w:t>,</w:t>
      </w:r>
      <w:r>
        <w:t xml:space="preserve"> then as the second panel in </w:t>
      </w:r>
      <w:r>
        <w:rPr>
          <w:highlight w:val="yellow"/>
        </w:rPr>
        <w:fldChar w:fldCharType="begin"/>
      </w:r>
      <w:r>
        <w:instrText xml:space="preserve"> REF _Ref490636402 \h </w:instrText>
      </w:r>
      <w:r>
        <w:rPr>
          <w:highlight w:val="yellow"/>
        </w:rPr>
      </w:r>
      <w:r>
        <w:rPr>
          <w:highlight w:val="yellow"/>
        </w:rPr>
        <w:fldChar w:fldCharType="separate"/>
      </w:r>
      <w:r w:rsidR="00761861">
        <w:t xml:space="preserve">Table </w:t>
      </w:r>
      <w:r w:rsidR="00761861">
        <w:rPr>
          <w:noProof/>
        </w:rPr>
        <w:t>5</w:t>
      </w:r>
      <w:r w:rsidR="00761861">
        <w:t>.</w:t>
      </w:r>
      <w:r w:rsidR="00761861">
        <w:rPr>
          <w:noProof/>
        </w:rPr>
        <w:t>3</w:t>
      </w:r>
      <w:r>
        <w:rPr>
          <w:highlight w:val="yellow"/>
        </w:rPr>
        <w:fldChar w:fldCharType="end"/>
      </w:r>
      <w:r>
        <w:t xml:space="preserve"> highlights it will result in:</w:t>
      </w:r>
    </w:p>
    <w:p w14:paraId="2F2E5E2F" w14:textId="77777777" w:rsidR="00F43C13" w:rsidRDefault="00F43C13" w:rsidP="00F43C13">
      <w:pPr>
        <w:pStyle w:val="ListBullet"/>
      </w:pPr>
      <w:r>
        <w:t xml:space="preserve">the close of trade for day-ahead products on the capacity trading platform </w:t>
      </w:r>
      <w:r w:rsidR="00103B85">
        <w:t xml:space="preserve">will be 9 am (AEST) because the earliest nomination cut-off time </w:t>
      </w:r>
      <w:r>
        <w:t xml:space="preserve">will </w:t>
      </w:r>
      <w:r w:rsidR="00103B85">
        <w:t xml:space="preserve">be </w:t>
      </w:r>
      <w:r>
        <w:t>11.30 am (AEST</w:t>
      </w:r>
      <w:r w:rsidR="00103B85">
        <w:t xml:space="preserve">) once the </w:t>
      </w:r>
      <w:r w:rsidR="00103B85">
        <w:lastRenderedPageBreak/>
        <w:t>harmonisation of gas day start times occur (note pipeline operators have advised that nomination cut-off times will be brought forward because they are currently determined as off-sets to the gas day start times)</w:t>
      </w:r>
      <w:r>
        <w:t>; and</w:t>
      </w:r>
    </w:p>
    <w:p w14:paraId="20E00E96" w14:textId="77777777" w:rsidR="00F43C13" w:rsidRDefault="00F43C13" w:rsidP="00F43C13">
      <w:pPr>
        <w:pStyle w:val="ListBullet"/>
      </w:pPr>
      <w:proofErr w:type="gramStart"/>
      <w:r>
        <w:t>the</w:t>
      </w:r>
      <w:proofErr w:type="gramEnd"/>
      <w:r>
        <w:t xml:space="preserve"> timing of the day-ahead auction being </w:t>
      </w:r>
      <w:r w:rsidR="00103B85">
        <w:t xml:space="preserve">brought forward by one hour because the </w:t>
      </w:r>
      <w:r>
        <w:t xml:space="preserve">latest nomination cut-off time </w:t>
      </w:r>
      <w:r w:rsidR="00103B85">
        <w:t>will be 3</w:t>
      </w:r>
      <w:r>
        <w:t xml:space="preserve"> pm (AEST)).</w:t>
      </w:r>
    </w:p>
    <w:p w14:paraId="4E9C5E58" w14:textId="77777777" w:rsidR="006D41E9" w:rsidRDefault="006D41E9" w:rsidP="00103B85">
      <w:pPr>
        <w:pStyle w:val="ListBullet"/>
        <w:numPr>
          <w:ilvl w:val="0"/>
          <w:numId w:val="0"/>
        </w:numPr>
      </w:pPr>
      <w:r>
        <w:t>If, on the other hand, gas day start times were harmonised and a common nomination cut-off time of, for example, 3 pm (AEST)</w:t>
      </w:r>
      <w:r>
        <w:rPr>
          <w:rStyle w:val="FootnoteReference"/>
        </w:rPr>
        <w:footnoteReference w:id="54"/>
      </w:r>
      <w:r>
        <w:t xml:space="preserve"> was adopted (see </w:t>
      </w:r>
      <w:r w:rsidR="00103B85">
        <w:t>last</w:t>
      </w:r>
      <w:r>
        <w:t xml:space="preserve"> </w:t>
      </w:r>
      <w:r w:rsidR="00F43C13">
        <w:t>panel</w:t>
      </w:r>
      <w:r>
        <w:t xml:space="preserve"> of </w:t>
      </w:r>
      <w:r>
        <w:rPr>
          <w:highlight w:val="yellow"/>
        </w:rPr>
        <w:fldChar w:fldCharType="begin"/>
      </w:r>
      <w:r>
        <w:instrText xml:space="preserve"> REF _Ref490636402 \h </w:instrText>
      </w:r>
      <w:r>
        <w:rPr>
          <w:highlight w:val="yellow"/>
        </w:rPr>
      </w:r>
      <w:r>
        <w:rPr>
          <w:highlight w:val="yellow"/>
        </w:rPr>
        <w:fldChar w:fldCharType="separate"/>
      </w:r>
      <w:r w:rsidR="00761861">
        <w:t xml:space="preserve">Table </w:t>
      </w:r>
      <w:r w:rsidR="00761861">
        <w:rPr>
          <w:noProof/>
        </w:rPr>
        <w:t>5</w:t>
      </w:r>
      <w:r w:rsidR="00761861">
        <w:t>.</w:t>
      </w:r>
      <w:r w:rsidR="00761861">
        <w:rPr>
          <w:noProof/>
        </w:rPr>
        <w:t>3</w:t>
      </w:r>
      <w:r>
        <w:rPr>
          <w:highlight w:val="yellow"/>
        </w:rPr>
        <w:fldChar w:fldCharType="end"/>
      </w:r>
      <w:r>
        <w:t xml:space="preserve">) then: </w:t>
      </w:r>
    </w:p>
    <w:p w14:paraId="5FDC253E" w14:textId="77777777" w:rsidR="006D41E9" w:rsidRDefault="006D41E9" w:rsidP="006D41E9">
      <w:pPr>
        <w:pStyle w:val="ListBullet"/>
      </w:pPr>
      <w:r>
        <w:t>the trade of day-ahead products on the capacity trading platform could close at 12</w:t>
      </w:r>
      <w:r w:rsidR="00103B85">
        <w:t>.30</w:t>
      </w:r>
      <w:r>
        <w:t xml:space="preserve"> pm (AEST), which would give shippers an additional </w:t>
      </w:r>
      <w:r w:rsidR="00103B85">
        <w:t>1.5 hours</w:t>
      </w:r>
      <w:r>
        <w:t xml:space="preserve"> </w:t>
      </w:r>
      <w:r w:rsidR="00D3026D">
        <w:t xml:space="preserve">(compared to the current gas day and nomination cut-off time) </w:t>
      </w:r>
      <w:r>
        <w:t>to sell any spare day-ahead capacity they may have on the capacity trading platform; and</w:t>
      </w:r>
    </w:p>
    <w:p w14:paraId="1B8D9C1C" w14:textId="77777777" w:rsidR="006D41E9" w:rsidRDefault="006D41E9" w:rsidP="006D41E9">
      <w:pPr>
        <w:pStyle w:val="ListBullet"/>
      </w:pPr>
      <w:proofErr w:type="gramStart"/>
      <w:r>
        <w:t>the</w:t>
      </w:r>
      <w:proofErr w:type="gramEnd"/>
      <w:r>
        <w:t xml:space="preserve"> auction could be conducted at </w:t>
      </w:r>
      <w:r w:rsidR="00863162">
        <w:t>5</w:t>
      </w:r>
      <w:r>
        <w:t>.4</w:t>
      </w:r>
      <w:r w:rsidR="00863162">
        <w:t>5</w:t>
      </w:r>
      <w:r>
        <w:t xml:space="preserve"> pm (AEST), which would provide shippers that procure capacity through the auction with more time to co-ordinate their capacity, commodity and downstream arrangements for the next day. </w:t>
      </w:r>
    </w:p>
    <w:p w14:paraId="22AA96D2" w14:textId="77777777" w:rsidR="006D41E9" w:rsidRDefault="006D41E9" w:rsidP="006D41E9">
      <w:pPr>
        <w:pStyle w:val="BodyText"/>
      </w:pPr>
      <w:r>
        <w:t>The issues associated with bringing forward the gas day start time harmonisation, extending the application of the harmonised gas day start times and adopting a common nomination cut-off time were discussed with the Standardisation, Capacity Trading Platform and Day-Ahead Auction project teams.  The views expressed by these project teams can be summarised as follows:</w:t>
      </w:r>
    </w:p>
    <w:p w14:paraId="0568B60F" w14:textId="77777777" w:rsidR="006D41E9" w:rsidRDefault="006D41E9" w:rsidP="006D41E9">
      <w:pPr>
        <w:pStyle w:val="ListBullet"/>
      </w:pPr>
      <w:r w:rsidRPr="00E8337C">
        <w:rPr>
          <w:b/>
        </w:rPr>
        <w:t xml:space="preserve">Bringing forward gas day start time harmonisation for the facilitated markets </w:t>
      </w:r>
      <w:r>
        <w:t>– Mixed views were expressed on this issue, with some project team members indicating there would be value in bringing the harmonisation forward to 2019 to remove impediments to capacity trading across jurisdictions. Other team members, on the other hand, indicated that the current timing should be maintained because the benefits of bringing forward harmonisation would be unlikely to outweigh the costs.  These project team members added that any differences in gas day start times in the intervening period could be dealt with by using the contractual and operational arrangements that shippers and pipeline operators are currently using to overcome the impediments posed by this difference. One project team member also noted that if a decision was made to bring the harmonisation forward it could impose additional costs on other facilities that are directly affected by the harmonisation (e.g. the distribution networks in NSW, South Australia and Queensland).</w:t>
      </w:r>
    </w:p>
    <w:p w14:paraId="1D1D00AB" w14:textId="77777777" w:rsidR="006D41E9" w:rsidRDefault="006D41E9" w:rsidP="006D41E9">
      <w:pPr>
        <w:pStyle w:val="ListBullet"/>
      </w:pPr>
      <w:r w:rsidRPr="00E8337C">
        <w:rPr>
          <w:b/>
        </w:rPr>
        <w:t>Extending the application of gas day harmonisation beyond the markets</w:t>
      </w:r>
      <w:r>
        <w:t xml:space="preserve"> – A number of project team members </w:t>
      </w:r>
      <w:r w:rsidR="00D3026D">
        <w:t xml:space="preserve">highlighted </w:t>
      </w:r>
      <w:r>
        <w:t>that the AEMC’s rule change only applies to the facilitated markets and noted that there would be value in extending the application of the harmonised gas day start time to the operators of all production, pipeline, compressor and storage facilities. These project team members also noted that mandating the change through the NGL and/or the NGR would be more cost effective than requiring facility operators to negotiate changes with all of their existing users and would also address the risk that some users refuse to allow the change.</w:t>
      </w:r>
    </w:p>
    <w:p w14:paraId="7CAF61D4" w14:textId="77777777" w:rsidR="006D41E9" w:rsidRDefault="006D41E9" w:rsidP="006D41E9">
      <w:pPr>
        <w:pStyle w:val="ListBullet"/>
      </w:pPr>
      <w:r w:rsidRPr="00E8337C">
        <w:rPr>
          <w:b/>
        </w:rPr>
        <w:t xml:space="preserve">Adopting a common nomination cut-off time </w:t>
      </w:r>
      <w:r>
        <w:t xml:space="preserve">– </w:t>
      </w:r>
      <w:r w:rsidR="00D3026D">
        <w:t xml:space="preserve">Project team members had mixed views on this issue. Some project team members indicated that there would be value in harmonising nomination times, that it should occur when gas day harmonisation occurs and should be mandated through the NGL and/or NGR. Others, on the other </w:t>
      </w:r>
      <w:r w:rsidR="00D3026D">
        <w:lastRenderedPageBreak/>
        <w:t>hand, noted that differences in timing across jurisdictions can benefit shippers and service providers from a resourcing perspective.</w:t>
      </w:r>
    </w:p>
    <w:p w14:paraId="6F490DAE" w14:textId="77777777" w:rsidR="004E791B" w:rsidRDefault="004E791B" w:rsidP="004E791B">
      <w:pPr>
        <w:pStyle w:val="Heading6"/>
        <w:spacing w:line="252" w:lineRule="auto"/>
        <w:rPr>
          <w:color w:val="0099CC"/>
        </w:rPr>
      </w:pPr>
      <w:r>
        <w:rPr>
          <w:color w:val="0099CC"/>
        </w:rPr>
        <w:t>GMRG’s preliminary view</w:t>
      </w:r>
    </w:p>
    <w:p w14:paraId="609EBC3A" w14:textId="77777777" w:rsidR="00863162" w:rsidRDefault="00863162" w:rsidP="00863162">
      <w:pPr>
        <w:pStyle w:val="BodyText"/>
      </w:pPr>
      <w:r>
        <w:t xml:space="preserve">In the consultation paper, the GMRG noted that </w:t>
      </w:r>
      <w:r w:rsidR="00DF3C44">
        <w:t xml:space="preserve">there </w:t>
      </w:r>
      <w:r w:rsidR="00955BAE">
        <w:t>was likely to</w:t>
      </w:r>
      <w:r w:rsidR="00DF3C44">
        <w:t xml:space="preserve"> be value in adopting</w:t>
      </w:r>
      <w:r>
        <w:t xml:space="preserve">: </w:t>
      </w:r>
    </w:p>
    <w:p w14:paraId="44A7EC30" w14:textId="77777777" w:rsidR="00863162" w:rsidRDefault="00DF3C44" w:rsidP="00DF3C44">
      <w:pPr>
        <w:pStyle w:val="ListBullet"/>
      </w:pPr>
      <w:r>
        <w:t>a</w:t>
      </w:r>
      <w:r w:rsidR="00863162">
        <w:t xml:space="preserve"> common gas day start time of 6 am (AEST) across the east coast </w:t>
      </w:r>
      <w:r>
        <w:t>(</w:t>
      </w:r>
      <w:r w:rsidR="00863162">
        <w:t>and the Northern Territory once it becomes connected via the Northern Gas Pipeline</w:t>
      </w:r>
      <w:r>
        <w:t xml:space="preserve">) that </w:t>
      </w:r>
      <w:r w:rsidR="00271211">
        <w:t xml:space="preserve">would apply to </w:t>
      </w:r>
      <w:r>
        <w:t>the operators of all production, pipeline, compressor and storage facilities</w:t>
      </w:r>
      <w:r w:rsidR="00472198">
        <w:t xml:space="preserve"> and mandated through the NGL/NGR</w:t>
      </w:r>
      <w:r>
        <w:t xml:space="preserve">; and </w:t>
      </w:r>
    </w:p>
    <w:p w14:paraId="791CD596" w14:textId="77777777" w:rsidR="00863162" w:rsidRDefault="00DF3C44" w:rsidP="00863162">
      <w:pPr>
        <w:pStyle w:val="ListBullet"/>
      </w:pPr>
      <w:proofErr w:type="gramStart"/>
      <w:r>
        <w:t>a</w:t>
      </w:r>
      <w:proofErr w:type="gramEnd"/>
      <w:r w:rsidR="00863162">
        <w:t xml:space="preserve"> common nomination cut-off time of 3 pm (AEST) for pipelines and other facilities that will be subject to the capacity trading reforms </w:t>
      </w:r>
      <w:r w:rsidR="00D3026D">
        <w:t xml:space="preserve">and that this </w:t>
      </w:r>
      <w:r w:rsidR="00863162">
        <w:t xml:space="preserve">should be mandated through the </w:t>
      </w:r>
      <w:r w:rsidR="00472198">
        <w:t>NGL/</w:t>
      </w:r>
      <w:r w:rsidR="00863162">
        <w:t>NGR.</w:t>
      </w:r>
    </w:p>
    <w:p w14:paraId="623AC7C3" w14:textId="77777777" w:rsidR="00863162" w:rsidRDefault="00271211" w:rsidP="00863162">
      <w:pPr>
        <w:pStyle w:val="BodyText"/>
      </w:pPr>
      <w:r>
        <w:t xml:space="preserve">While consideration was given to requiring harmonisation to occur in October 2019, it was noted that there may be </w:t>
      </w:r>
      <w:r w:rsidR="00863162">
        <w:t xml:space="preserve">some risks to this timing. </w:t>
      </w:r>
      <w:r>
        <w:t xml:space="preserve">Stakeholders were therefore asked whether </w:t>
      </w:r>
      <w:r w:rsidR="00257D9B">
        <w:t xml:space="preserve">they thought there would be </w:t>
      </w:r>
      <w:r w:rsidR="009C331B">
        <w:t xml:space="preserve">any value in bringing forward the harmonisation of gas day start times from 1 April 2021 to </w:t>
      </w:r>
      <w:r w:rsidR="00863162">
        <w:t xml:space="preserve">1 October 2019. </w:t>
      </w:r>
      <w:r w:rsidR="00257D9B">
        <w:t>Stakeholders were also asked if they thought provisions should be in included in the standardised operational GTA to require service providers operating at the interface of markets to accommodate the differences in gas days until harmonisation occurred.</w:t>
      </w:r>
    </w:p>
    <w:p w14:paraId="040E6FD1" w14:textId="77777777" w:rsidR="00863162" w:rsidRPr="00DF3C44" w:rsidRDefault="00863162" w:rsidP="00DF3C44">
      <w:pPr>
        <w:pStyle w:val="Heading6"/>
        <w:spacing w:line="252" w:lineRule="auto"/>
        <w:rPr>
          <w:color w:val="0099CC"/>
        </w:rPr>
      </w:pPr>
      <w:r w:rsidRPr="00DF3C44">
        <w:rPr>
          <w:color w:val="0099CC"/>
        </w:rPr>
        <w:t xml:space="preserve">Feedback provided through the consultation process </w:t>
      </w:r>
    </w:p>
    <w:p w14:paraId="38E44E96" w14:textId="77777777" w:rsidR="004F594C" w:rsidRDefault="00472198" w:rsidP="004F594C">
      <w:pPr>
        <w:pStyle w:val="BodyText"/>
      </w:pPr>
      <w:r>
        <w:t xml:space="preserve">The feedback </w:t>
      </w:r>
      <w:r w:rsidR="00166A18">
        <w:t xml:space="preserve">provided by </w:t>
      </w:r>
      <w:r>
        <w:t xml:space="preserve">stakeholders on harmonisation was generally positive, with all </w:t>
      </w:r>
      <w:r w:rsidR="00166A18">
        <w:t xml:space="preserve">of the </w:t>
      </w:r>
      <w:r>
        <w:t xml:space="preserve">stakeholders </w:t>
      </w:r>
      <w:r w:rsidR="00166A18">
        <w:t xml:space="preserve">that provided a response to this issue </w:t>
      </w:r>
      <w:r>
        <w:t xml:space="preserve">agreeing that a common gas day start time should </w:t>
      </w:r>
      <w:r w:rsidR="00166A18">
        <w:t>apply to all facilities in the east coast and mandated through the NGL/NGR. The majority of stakeholders also thought this should be brought forward to 2019, with the only exceptions to this being</w:t>
      </w:r>
      <w:r w:rsidR="00A11A74">
        <w:t xml:space="preserve"> Origin, who stated that </w:t>
      </w:r>
      <w:r w:rsidR="00166A18">
        <w:t>differences in gas day start times would not impede secondary trading</w:t>
      </w:r>
      <w:r w:rsidR="00A11A74">
        <w:t xml:space="preserve">, and Shell, who questioned whether the benefits of bringing forward harmonisation would outweigh the costs. </w:t>
      </w:r>
    </w:p>
    <w:p w14:paraId="29A7AA08" w14:textId="77777777" w:rsidR="00103B85" w:rsidRDefault="006D7447" w:rsidP="00103B85">
      <w:pPr>
        <w:pStyle w:val="BodyText"/>
      </w:pPr>
      <w:r>
        <w:t xml:space="preserve">The GMRG has held further discussions with </w:t>
      </w:r>
      <w:r w:rsidR="005974E8">
        <w:t xml:space="preserve">the transmission pipelines, distribution networks and other </w:t>
      </w:r>
      <w:r>
        <w:t xml:space="preserve">parties that will be affected by bringing </w:t>
      </w:r>
      <w:r w:rsidR="00D5470A">
        <w:t xml:space="preserve">gas day </w:t>
      </w:r>
      <w:r>
        <w:t xml:space="preserve">harmonisation forward </w:t>
      </w:r>
      <w:r w:rsidR="00D5470A">
        <w:t>to get a better understanding of whether harmonisation could be brought forward to 1</w:t>
      </w:r>
      <w:r w:rsidR="0032017F">
        <w:t> </w:t>
      </w:r>
      <w:r w:rsidR="00D5470A">
        <w:t xml:space="preserve">March 2019, which is when the </w:t>
      </w:r>
      <w:r w:rsidR="0032017F">
        <w:t xml:space="preserve">auction is </w:t>
      </w:r>
      <w:r w:rsidR="00D5470A">
        <w:t xml:space="preserve">expected to commence. </w:t>
      </w:r>
      <w:r w:rsidR="00103B85">
        <w:t xml:space="preserve">Mixed views were expressed on whether: </w:t>
      </w:r>
    </w:p>
    <w:p w14:paraId="2032D112" w14:textId="77777777" w:rsidR="00103B85" w:rsidRDefault="00C02609" w:rsidP="00C02609">
      <w:pPr>
        <w:pStyle w:val="ListBullet"/>
      </w:pPr>
      <w:proofErr w:type="gramStart"/>
      <w:r>
        <w:t>h</w:t>
      </w:r>
      <w:r w:rsidR="00103B85">
        <w:t>armonisation</w:t>
      </w:r>
      <w:proofErr w:type="gramEnd"/>
      <w:r w:rsidR="00103B85">
        <w:t xml:space="preserve"> by 1 March 2019 was technically feasible</w:t>
      </w:r>
      <w:r>
        <w:t xml:space="preserve">: </w:t>
      </w:r>
      <w:r w:rsidR="00103B85">
        <w:t xml:space="preserve">AEMO and a number of affected transmission pipelines and distribution networks, for example, noted that this timing was achievable from their perspectives. Shell, on the other hand, stated that it would require a 24-month lead time from when the NGL/NGR changes are implemented and noted that it would require key resources to be diverted away from other priority gas projects. While APLNG is facing a similar task to Shell, it believes there is value in bringing harmonisation forward to 2019 and noted that an April 2019 – October 2019 time frame was achievable if it had a 12-month lead time from when the NGL/NGR changes are made. </w:t>
      </w:r>
    </w:p>
    <w:p w14:paraId="588B630C" w14:textId="77777777" w:rsidR="00D3026D" w:rsidRDefault="00D3026D" w:rsidP="00D3026D">
      <w:pPr>
        <w:pStyle w:val="ListBullet"/>
      </w:pPr>
      <w:r>
        <w:t xml:space="preserve">there was value in trying to align the harmonisation of gas day start times and nomination cut-off times with market start: While a number of stakeholders indicated that there would be value from a system perspective in aligning the two, others were of </w:t>
      </w:r>
      <w:r>
        <w:lastRenderedPageBreak/>
        <w:t>the view it may represent too much change for the market to cope with at once, while others were undecided and could see the pros and cons associated with both options.</w:t>
      </w:r>
    </w:p>
    <w:p w14:paraId="7663B672" w14:textId="77777777" w:rsidR="00D3026D" w:rsidRDefault="00D3026D" w:rsidP="00D3026D">
      <w:pPr>
        <w:pStyle w:val="BodyText"/>
      </w:pPr>
      <w:r>
        <w:t>As to whether any amendments need to be made to the operational GTA to accommodate differences in gas day start times until harmonisation occurs, AGL and Shell were of the view that this should occur, while Epic, Jemena and APA did not think this was necessary.</w:t>
      </w:r>
    </w:p>
    <w:p w14:paraId="6A5B339D" w14:textId="77777777" w:rsidR="00863162" w:rsidRDefault="00D3026D" w:rsidP="00D3026D">
      <w:pPr>
        <w:pStyle w:val="BodyText"/>
      </w:pPr>
      <w:r>
        <w:t xml:space="preserve">In contrast to gas day start times, stakeholders were divided on whether nomination cut-off times should be standardised. Origin, </w:t>
      </w:r>
      <w:proofErr w:type="spellStart"/>
      <w:r>
        <w:t>EnergyAustralia</w:t>
      </w:r>
      <w:proofErr w:type="spellEnd"/>
      <w:r>
        <w:t xml:space="preserve"> and Jemena, for example, did not support this form of harmonisation and noted that differences in nomination times can benefit shippers and pipeline operators from a resourcing perspective. AGL, Shell and APLNG, on the other hand, think there is value in harmonising nomination cut-off times, although AGL noted that the timing would need to take into account the </w:t>
      </w:r>
      <w:r w:rsidR="0067325A">
        <w:t>National Energy Market (</w:t>
      </w:r>
      <w:r>
        <w:t>NEM</w:t>
      </w:r>
      <w:r w:rsidR="0067325A">
        <w:t>)</w:t>
      </w:r>
      <w:r>
        <w:t xml:space="preserve"> pre-dispatch time lines. Epic agreed there would be value in harmonising nomination cut-off times, provided it was no earlier than 3 pm (AEST). Elaborating on this further, Epic noted that the nomination cut-off time needed to accommodate the electricity market pre-dispatch and that an earlier nomination time would result in greater uncertainty and may lead to inflated nominations by some shippers to manage electricity market risks. APA, on the other hand, suggested a 2 pm nomination cut-off time was more appropriate to cater for pipeline scheduling and the additional steps that will be required as part of the auction and capacity trading reform</w:t>
      </w:r>
    </w:p>
    <w:p w14:paraId="47D80625" w14:textId="77777777" w:rsidR="006D41E9" w:rsidRPr="00DF3C44" w:rsidRDefault="006D41E9" w:rsidP="00DF3C44">
      <w:pPr>
        <w:pStyle w:val="Heading6"/>
        <w:spacing w:line="252" w:lineRule="auto"/>
        <w:rPr>
          <w:color w:val="0099CC"/>
        </w:rPr>
      </w:pPr>
      <w:r w:rsidRPr="00982A7A">
        <w:rPr>
          <w:color w:val="0099CC"/>
        </w:rPr>
        <w:t>GMRG’s final recommendations</w:t>
      </w:r>
      <w:r w:rsidRPr="00DF3C44">
        <w:rPr>
          <w:color w:val="0099CC"/>
        </w:rPr>
        <w:t xml:space="preserve"> </w:t>
      </w:r>
    </w:p>
    <w:p w14:paraId="457099CD" w14:textId="77777777" w:rsidR="00D5470A" w:rsidRDefault="00D5470A" w:rsidP="00D5470A">
      <w:pPr>
        <w:pStyle w:val="BodyText"/>
      </w:pPr>
      <w:r>
        <w:t xml:space="preserve">Having regard to the feedback provided by stakeholders and the objectives of the reforms, the GMRG </w:t>
      </w:r>
      <w:r w:rsidR="00D3026D">
        <w:t xml:space="preserve">recommends </w:t>
      </w:r>
      <w:r>
        <w:t xml:space="preserve">that: </w:t>
      </w:r>
    </w:p>
    <w:p w14:paraId="0BC91795" w14:textId="77777777" w:rsidR="00D5470A" w:rsidRDefault="00D5470A" w:rsidP="005974E8">
      <w:pPr>
        <w:pStyle w:val="ListBullet"/>
        <w:spacing w:after="0"/>
      </w:pPr>
      <w:r w:rsidRPr="00B07F59">
        <w:rPr>
          <w:b/>
        </w:rPr>
        <w:t xml:space="preserve">A common gas day start time of 6 am (AEST) </w:t>
      </w:r>
      <w:r w:rsidR="005974E8">
        <w:rPr>
          <w:b/>
        </w:rPr>
        <w:t>apply to all facilities and th</w:t>
      </w:r>
      <w:r w:rsidR="005974E8" w:rsidRPr="005974E8">
        <w:rPr>
          <w:b/>
        </w:rPr>
        <w:t xml:space="preserve">e </w:t>
      </w:r>
      <w:r w:rsidR="005974E8">
        <w:rPr>
          <w:b/>
        </w:rPr>
        <w:t xml:space="preserve">facilitated markets </w:t>
      </w:r>
      <w:r w:rsidR="005974E8" w:rsidRPr="005974E8">
        <w:rPr>
          <w:b/>
        </w:rPr>
        <w:t xml:space="preserve">in </w:t>
      </w:r>
      <w:r w:rsidRPr="005974E8">
        <w:rPr>
          <w:b/>
        </w:rPr>
        <w:t xml:space="preserve">the east coast and Northern Territory once connected </w:t>
      </w:r>
    </w:p>
    <w:p w14:paraId="3C9A54E5" w14:textId="77777777" w:rsidR="006B7FDD" w:rsidRDefault="006B7FDD" w:rsidP="005974E8">
      <w:pPr>
        <w:pStyle w:val="BodyText"/>
        <w:spacing w:before="120"/>
        <w:ind w:left="357"/>
      </w:pPr>
      <w:r>
        <w:t>In the GMRG’s view, the harmonisation of gas day start times and the application of this to all facilities and facilitated markets will, as the AEMC and ACCC have previously observed:</w:t>
      </w:r>
    </w:p>
    <w:p w14:paraId="07B79DA7" w14:textId="77777777" w:rsidR="006B7FDD" w:rsidRDefault="006B7FDD" w:rsidP="006B7FDD">
      <w:pPr>
        <w:pStyle w:val="ListBullet2"/>
      </w:pPr>
      <w:r>
        <w:t>reduce the costs and complexities that market participants operating across multiple facilitated markets would otherwise face; and</w:t>
      </w:r>
    </w:p>
    <w:p w14:paraId="2A27B595" w14:textId="77777777" w:rsidR="006B7FDD" w:rsidRDefault="006B7FDD" w:rsidP="006B7FDD">
      <w:pPr>
        <w:pStyle w:val="ListBullet2"/>
      </w:pPr>
      <w:proofErr w:type="gramStart"/>
      <w:r>
        <w:t>increase</w:t>
      </w:r>
      <w:proofErr w:type="gramEnd"/>
      <w:r>
        <w:t xml:space="preserve"> the interoperability and interconnection between markets and, in so doing, promote participation, competition and liquidity in these markets and trade between locations.</w:t>
      </w:r>
    </w:p>
    <w:p w14:paraId="506DEB85" w14:textId="77777777" w:rsidR="00B9402A" w:rsidRDefault="006B7FDD" w:rsidP="00B9402A">
      <w:pPr>
        <w:pStyle w:val="ListBullet"/>
        <w:numPr>
          <w:ilvl w:val="0"/>
          <w:numId w:val="0"/>
        </w:numPr>
        <w:ind w:left="357"/>
      </w:pPr>
      <w:r>
        <w:t>The GMRG is therefore satisfied that this will promote the NGO and should be mandated through the NGL and NGR.</w:t>
      </w:r>
    </w:p>
    <w:p w14:paraId="23F137B7" w14:textId="77777777" w:rsidR="00B07F59" w:rsidRPr="00B07F59" w:rsidRDefault="00D5470A" w:rsidP="006B7FDD">
      <w:pPr>
        <w:pStyle w:val="ListBullet"/>
        <w:rPr>
          <w:b/>
        </w:rPr>
      </w:pPr>
      <w:r w:rsidRPr="00B07F59">
        <w:rPr>
          <w:b/>
        </w:rPr>
        <w:t xml:space="preserve">A common nomination cut-off time of 3 pm (AEST) </w:t>
      </w:r>
      <w:r w:rsidR="005974E8">
        <w:rPr>
          <w:b/>
        </w:rPr>
        <w:t xml:space="preserve">apply to </w:t>
      </w:r>
      <w:r w:rsidRPr="00B07F59">
        <w:rPr>
          <w:b/>
        </w:rPr>
        <w:t>pipelines and other facilities subject to the capacity trading reforms</w:t>
      </w:r>
    </w:p>
    <w:p w14:paraId="77F33E9E" w14:textId="77777777" w:rsidR="00C02609" w:rsidRDefault="00B9402A" w:rsidP="00B9402A">
      <w:pPr>
        <w:pStyle w:val="ListBullet"/>
        <w:numPr>
          <w:ilvl w:val="0"/>
          <w:numId w:val="0"/>
        </w:numPr>
        <w:ind w:left="357"/>
      </w:pPr>
      <w:r>
        <w:t xml:space="preserve">As noted above, the adoption of a common nomination cut-off time will </w:t>
      </w:r>
      <w:r w:rsidR="00B07F59">
        <w:t>be critical to the functioning of the capacity trading platform and day-ahead auction</w:t>
      </w:r>
      <w:r w:rsidR="00C02609">
        <w:t xml:space="preserve">, </w:t>
      </w:r>
      <w:r w:rsidR="00D3026D">
        <w:t xml:space="preserve">given </w:t>
      </w:r>
      <w:r w:rsidR="00C02609">
        <w:t>the auction can only be conducted once the last nomination cut-off time occurs</w:t>
      </w:r>
      <w:r w:rsidR="00B07F59">
        <w:t>. It will also</w:t>
      </w:r>
      <w:r w:rsidR="00C02609">
        <w:t>:</w:t>
      </w:r>
    </w:p>
    <w:p w14:paraId="49B63D1E" w14:textId="77777777" w:rsidR="00C02609" w:rsidRDefault="00B9402A" w:rsidP="00C02609">
      <w:pPr>
        <w:pStyle w:val="ListBullet2"/>
      </w:pPr>
      <w:r>
        <w:t>enable shippers to make greater use of the capacity trading platform and day-ahead auction</w:t>
      </w:r>
      <w:r w:rsidR="006B7FDD">
        <w:t>, which will benefit the broader market because the capacity trading platform will be able to be open for longer</w:t>
      </w:r>
      <w:r>
        <w:t xml:space="preserve"> and </w:t>
      </w:r>
      <w:r w:rsidR="006B7FDD">
        <w:t>the auction will be able to occur earlier</w:t>
      </w:r>
      <w:r w:rsidR="00C02609">
        <w:t xml:space="preserve"> (as highlighted in </w:t>
      </w:r>
      <w:r w:rsidR="00C02609">
        <w:fldChar w:fldCharType="begin"/>
      </w:r>
      <w:r w:rsidR="00C02609">
        <w:instrText xml:space="preserve"> REF _Ref490636402 \h </w:instrText>
      </w:r>
      <w:r w:rsidR="00C02609">
        <w:fldChar w:fldCharType="separate"/>
      </w:r>
      <w:r w:rsidR="00761861">
        <w:t xml:space="preserve">Table </w:t>
      </w:r>
      <w:r w:rsidR="00761861">
        <w:rPr>
          <w:noProof/>
        </w:rPr>
        <w:t>5</w:t>
      </w:r>
      <w:r w:rsidR="00761861">
        <w:t>.</w:t>
      </w:r>
      <w:r w:rsidR="00761861">
        <w:rPr>
          <w:noProof/>
        </w:rPr>
        <w:t>3</w:t>
      </w:r>
      <w:r w:rsidR="00C02609">
        <w:fldChar w:fldCharType="end"/>
      </w:r>
      <w:r w:rsidR="00C02609">
        <w:t>); and</w:t>
      </w:r>
    </w:p>
    <w:p w14:paraId="6F537C57" w14:textId="77777777" w:rsidR="00C02609" w:rsidRDefault="00C02609" w:rsidP="00C02609">
      <w:pPr>
        <w:pStyle w:val="ListBullet2"/>
      </w:pPr>
      <w:proofErr w:type="gramStart"/>
      <w:r>
        <w:lastRenderedPageBreak/>
        <w:t>provide</w:t>
      </w:r>
      <w:proofErr w:type="gramEnd"/>
      <w:r>
        <w:t xml:space="preserve"> shippers in NSW/ACT, Queensland, Tasmania and the Northern Territory with more time to make nominations than they would otherwise have, because, as noted above, pipeline operators have advised that once gas day start times are harmonised nomination cut-off times will be adjusted to maintain the same offsets. </w:t>
      </w:r>
    </w:p>
    <w:p w14:paraId="70D60AA4" w14:textId="77777777" w:rsidR="00B9402A" w:rsidRDefault="00B07F59" w:rsidP="00C02609">
      <w:pPr>
        <w:pStyle w:val="ListBullet2"/>
        <w:numPr>
          <w:ilvl w:val="0"/>
          <w:numId w:val="0"/>
        </w:numPr>
        <w:ind w:left="357"/>
      </w:pPr>
      <w:r>
        <w:t>In the GMRG’s view, these benefits will outweigh the resourcing issues</w:t>
      </w:r>
      <w:r w:rsidR="00C02609">
        <w:rPr>
          <w:rStyle w:val="FootnoteReference"/>
        </w:rPr>
        <w:footnoteReference w:id="55"/>
      </w:r>
      <w:r>
        <w:t xml:space="preserve"> that a small number of stakeholders have raised and are in the long-term interests of consumers. The GMRG is therefore satisfied that this reform will contribute to the NGO and should be mandated through the NGL and NGR. </w:t>
      </w:r>
    </w:p>
    <w:p w14:paraId="5E632B4A" w14:textId="77777777" w:rsidR="00B07F59" w:rsidRDefault="00B07F59" w:rsidP="00B9402A">
      <w:pPr>
        <w:pStyle w:val="ListBullet"/>
        <w:numPr>
          <w:ilvl w:val="0"/>
          <w:numId w:val="0"/>
        </w:numPr>
        <w:ind w:left="357"/>
      </w:pPr>
      <w:r>
        <w:t xml:space="preserve">A 3 pm nomination cut-off time has been selected because, in the GMRG’s view, it provides an appropriate balance between: </w:t>
      </w:r>
    </w:p>
    <w:p w14:paraId="1D809D83" w14:textId="77777777" w:rsidR="00B07F59" w:rsidRDefault="00B07F59" w:rsidP="006B7FDD">
      <w:pPr>
        <w:pStyle w:val="ListBullet2"/>
      </w:pPr>
      <w:r>
        <w:t xml:space="preserve">the need for </w:t>
      </w:r>
      <w:r w:rsidR="00E236B2">
        <w:t xml:space="preserve">service providers </w:t>
      </w:r>
      <w:r>
        <w:t xml:space="preserve">to </w:t>
      </w:r>
      <w:r w:rsidR="00E236B2">
        <w:t xml:space="preserve">have </w:t>
      </w:r>
      <w:r w:rsidR="006B7FDD">
        <w:t xml:space="preserve">an appropriate length of time to </w:t>
      </w:r>
      <w:r w:rsidR="00E236B2">
        <w:t>carry out scheduling activities</w:t>
      </w:r>
      <w:r>
        <w:t xml:space="preserve">; </w:t>
      </w:r>
    </w:p>
    <w:p w14:paraId="6A276615" w14:textId="77777777" w:rsidR="006B7FDD" w:rsidRDefault="00B07F59" w:rsidP="006B7FDD">
      <w:pPr>
        <w:pStyle w:val="ListBullet2"/>
      </w:pPr>
      <w:r>
        <w:t xml:space="preserve">the </w:t>
      </w:r>
      <w:r w:rsidR="00E236B2">
        <w:t xml:space="preserve">value shippers </w:t>
      </w:r>
      <w:r w:rsidR="006B7FDD">
        <w:t>place</w:t>
      </w:r>
      <w:r w:rsidR="00E236B2">
        <w:t xml:space="preserve"> </w:t>
      </w:r>
      <w:r w:rsidR="006B7FDD">
        <w:t>on nominating</w:t>
      </w:r>
      <w:r w:rsidR="00E236B2">
        <w:t xml:space="preserve"> as late in the day as possible</w:t>
      </w:r>
      <w:r w:rsidR="006B7FDD">
        <w:t>;</w:t>
      </w:r>
      <w:r w:rsidR="00E236B2">
        <w:t xml:space="preserve"> </w:t>
      </w:r>
      <w:r w:rsidR="006B7FDD">
        <w:t>and</w:t>
      </w:r>
    </w:p>
    <w:p w14:paraId="04841604" w14:textId="77777777" w:rsidR="00B07F59" w:rsidRDefault="00AB6B67" w:rsidP="006B7FDD">
      <w:pPr>
        <w:pStyle w:val="ListBullet2"/>
      </w:pPr>
      <w:proofErr w:type="gramStart"/>
      <w:r>
        <w:t>the</w:t>
      </w:r>
      <w:proofErr w:type="gramEnd"/>
      <w:r>
        <w:t xml:space="preserve"> risk </w:t>
      </w:r>
      <w:r w:rsidR="00D3026D">
        <w:t xml:space="preserve">identified by </w:t>
      </w:r>
      <w:r>
        <w:t>Epic that an earlier nomination cut-off time may result in inflated nominations</w:t>
      </w:r>
      <w:r w:rsidR="006B7FDD">
        <w:t xml:space="preserve"> if it doesn’t accommodate the NEM pre-dispatch process</w:t>
      </w:r>
      <w:r>
        <w:t>.</w:t>
      </w:r>
      <w:r w:rsidR="006B7FDD">
        <w:rPr>
          <w:rStyle w:val="FootnoteReference"/>
        </w:rPr>
        <w:footnoteReference w:id="56"/>
      </w:r>
      <w:r>
        <w:t xml:space="preserve"> </w:t>
      </w:r>
    </w:p>
    <w:p w14:paraId="5A4D3785" w14:textId="77777777" w:rsidR="00B9402A" w:rsidRDefault="005974E8" w:rsidP="00D5470A">
      <w:pPr>
        <w:pStyle w:val="ListBullet"/>
        <w:rPr>
          <w:b/>
        </w:rPr>
      </w:pPr>
      <w:r w:rsidRPr="005974E8">
        <w:rPr>
          <w:b/>
        </w:rPr>
        <w:t>H</w:t>
      </w:r>
      <w:r w:rsidR="00910D99" w:rsidRPr="005974E8">
        <w:rPr>
          <w:b/>
        </w:rPr>
        <w:t>armonisation of gas day start times and nomination cut-off times</w:t>
      </w:r>
      <w:r>
        <w:rPr>
          <w:b/>
        </w:rPr>
        <w:t xml:space="preserve"> should occur by 1 October 2019</w:t>
      </w:r>
      <w:r w:rsidR="00910D99" w:rsidRPr="005974E8">
        <w:rPr>
          <w:b/>
        </w:rPr>
        <w:t xml:space="preserve"> </w:t>
      </w:r>
    </w:p>
    <w:p w14:paraId="5F57DFA0" w14:textId="77777777" w:rsidR="0032017F" w:rsidRDefault="0032017F" w:rsidP="005974E8">
      <w:pPr>
        <w:pStyle w:val="ListBullet"/>
        <w:numPr>
          <w:ilvl w:val="0"/>
          <w:numId w:val="0"/>
        </w:numPr>
        <w:ind w:left="357"/>
      </w:pPr>
      <w:r>
        <w:t xml:space="preserve">As outlined above, the GMRG </w:t>
      </w:r>
      <w:r w:rsidR="00D3026D">
        <w:t xml:space="preserve">considered </w:t>
      </w:r>
      <w:r>
        <w:t xml:space="preserve">whether </w:t>
      </w:r>
      <w:r w:rsidR="00982A7A">
        <w:t xml:space="preserve">gas day and nomination cut-off time </w:t>
      </w:r>
      <w:r>
        <w:t xml:space="preserve">harmonisation should be aligned with the commencement of the auction (1 March 2019) and while it thinks there would be benefit in doing so, </w:t>
      </w:r>
      <w:r w:rsidR="00D3026D">
        <w:t xml:space="preserve">the GMRG </w:t>
      </w:r>
      <w:r w:rsidR="00982A7A">
        <w:t>understands this may not be feasible for some market participants. The GMRG is therefore proposing that harmonisation occur by 1 October 2019. In a similar manner to the 1</w:t>
      </w:r>
      <w:r w:rsidR="00D3026D">
        <w:t> </w:t>
      </w:r>
      <w:r w:rsidR="00982A7A">
        <w:t xml:space="preserve">April 2021 date </w:t>
      </w:r>
      <w:r w:rsidR="00D3026D">
        <w:t xml:space="preserve">adopted by </w:t>
      </w:r>
      <w:r w:rsidR="00982A7A">
        <w:t>the AEMC, this date has been selected to avoid the peak summer and winter periods in the gas and electricity markets and minimise the disruption that the change may otherwise have on these markets.</w:t>
      </w:r>
    </w:p>
    <w:p w14:paraId="492AF60F" w14:textId="77777777" w:rsidR="005974E8" w:rsidRDefault="005974E8" w:rsidP="005974E8">
      <w:pPr>
        <w:pStyle w:val="ListBullet"/>
        <w:numPr>
          <w:ilvl w:val="0"/>
          <w:numId w:val="0"/>
        </w:numPr>
        <w:ind w:left="357"/>
      </w:pPr>
      <w:r w:rsidRPr="005974E8">
        <w:t>While</w:t>
      </w:r>
      <w:r>
        <w:t xml:space="preserve"> the GMRG understands that there may be some </w:t>
      </w:r>
      <w:r w:rsidRPr="005974E8">
        <w:rPr>
          <w:i/>
        </w:rPr>
        <w:t>incremental</w:t>
      </w:r>
      <w:r>
        <w:t xml:space="preserve"> costs associated with bringing forward harmonisation from 2021 to 2019</w:t>
      </w:r>
      <w:r w:rsidR="0032017F">
        <w:t>,</w:t>
      </w:r>
      <w:r>
        <w:t xml:space="preserve"> it expects the benefits associated with the removal of impediments to capacity trading across jurisdictions</w:t>
      </w:r>
      <w:r w:rsidR="0032017F">
        <w:t xml:space="preserve">, as outlined above, to </w:t>
      </w:r>
      <w:r>
        <w:t xml:space="preserve">outweigh these costs. </w:t>
      </w:r>
      <w:r w:rsidR="0032017F">
        <w:t xml:space="preserve">The GMRG is therefore satisfied that this will promote the NGO. </w:t>
      </w:r>
    </w:p>
    <w:p w14:paraId="102E7DBC" w14:textId="77777777" w:rsidR="00D5470A" w:rsidRDefault="00910D99" w:rsidP="00D5470A">
      <w:pPr>
        <w:pStyle w:val="BodyText"/>
      </w:pPr>
      <w:r>
        <w:t>The adoption of a 1 October 2019 time line means that there will be a gap between when the capacity trading reforms commence and when harmonisation occurs. S</w:t>
      </w:r>
      <w:r w:rsidR="00D5470A">
        <w:t xml:space="preserve">ome transitional measures will </w:t>
      </w:r>
      <w:r>
        <w:t xml:space="preserve">therefore </w:t>
      </w:r>
      <w:r w:rsidR="00D5470A">
        <w:t xml:space="preserve">be required to deal with the differences in gas day start times and nomination cut-off times until harmonisation </w:t>
      </w:r>
      <w:r>
        <w:t>occurs</w:t>
      </w:r>
      <w:r w:rsidR="00D5470A">
        <w:t xml:space="preserve">. The close of trade on the capacity trading platform will, for example, need to be set at an earlier time while the day-ahead auction will need to be concluded later. Provisions will also need to be included in the standardised operational GTA to require service providers operating at the interface of markets to accommodate the differences in gas days. These provisions </w:t>
      </w:r>
      <w:r>
        <w:t>will be consulted upon in early 2018</w:t>
      </w:r>
      <w:r w:rsidR="00D5470A" w:rsidRPr="001B7E7C">
        <w:t>.</w:t>
      </w:r>
    </w:p>
    <w:p w14:paraId="629A586E" w14:textId="77777777" w:rsidR="008C28EE" w:rsidRDefault="008C28EE" w:rsidP="00C02BE5">
      <w:pPr>
        <w:pStyle w:val="ListNumber"/>
        <w:numPr>
          <w:ilvl w:val="0"/>
          <w:numId w:val="0"/>
        </w:numPr>
        <w:ind w:left="360" w:hanging="360"/>
      </w:pPr>
      <w:r>
        <w:br w:type="page"/>
      </w:r>
    </w:p>
    <w:p w14:paraId="563F6A92" w14:textId="77777777" w:rsidR="008C28EE" w:rsidRDefault="008C28EE" w:rsidP="008C28EE">
      <w:pPr>
        <w:pStyle w:val="ExecSummHeading1"/>
        <w:spacing w:after="0"/>
      </w:pPr>
      <w:bookmarkStart w:id="119" w:name="_Toc499542658"/>
      <w:r w:rsidRPr="000B0E84">
        <w:lastRenderedPageBreak/>
        <w:t>Part B: Capacity Trading Platform</w:t>
      </w:r>
      <w:bookmarkEnd w:id="119"/>
    </w:p>
    <w:p w14:paraId="59E8517B" w14:textId="77777777" w:rsidR="00CE12E4" w:rsidRDefault="00CE12E4" w:rsidP="00AC48D8">
      <w:pPr>
        <w:pStyle w:val="BodyText"/>
      </w:pPr>
      <w:r>
        <w:t xml:space="preserve">In the </w:t>
      </w:r>
      <w:r>
        <w:rPr>
          <w:i/>
        </w:rPr>
        <w:t xml:space="preserve">East Coast Review, </w:t>
      </w:r>
      <w:r>
        <w:t>the AEMC recognised that steps had been taken by some pipelines to facilitate more capacity trading but noted that the following factors were limiting the ability of shippers to access competitively priced secondary capacity:</w:t>
      </w:r>
      <w:r w:rsidR="00B0008C">
        <w:rPr>
          <w:rStyle w:val="FootnoteReference"/>
        </w:rPr>
        <w:footnoteReference w:id="57"/>
      </w:r>
    </w:p>
    <w:p w14:paraId="408AD1D9" w14:textId="77777777" w:rsidR="00CE12E4" w:rsidRDefault="00CE12E4" w:rsidP="00CE12E4">
      <w:pPr>
        <w:pStyle w:val="ListBullet"/>
        <w:tabs>
          <w:tab w:val="num" w:pos="357"/>
        </w:tabs>
      </w:pPr>
      <w:r>
        <w:t>a lack of information on the existence of prospective buyers and sellers of capacity, which the AEMC noted may be resulting in high search and transaction costs, particularly for short-term trades; and</w:t>
      </w:r>
    </w:p>
    <w:p w14:paraId="28A13678" w14:textId="77777777" w:rsidR="00CE12E4" w:rsidRDefault="00CE12E4" w:rsidP="00CE12E4">
      <w:pPr>
        <w:pStyle w:val="ListBullet"/>
        <w:tabs>
          <w:tab w:val="num" w:pos="357"/>
        </w:tabs>
      </w:pPr>
      <w:proofErr w:type="gramStart"/>
      <w:r>
        <w:t>limited</w:t>
      </w:r>
      <w:proofErr w:type="gramEnd"/>
      <w:r>
        <w:t xml:space="preserve"> information on the </w:t>
      </w:r>
      <w:r w:rsidR="00D3026D">
        <w:t xml:space="preserve">secondary capacity </w:t>
      </w:r>
      <w:r>
        <w:t>market, which the AEMC noted may lead to additional transaction costs as parties try to determine the value of capacity.</w:t>
      </w:r>
    </w:p>
    <w:p w14:paraId="4BB35BC1" w14:textId="77777777" w:rsidR="00CE12E4" w:rsidRDefault="00CE12E4" w:rsidP="00CE12E4">
      <w:pPr>
        <w:pStyle w:val="BodyText"/>
      </w:pPr>
      <w:r>
        <w:t xml:space="preserve">To address these issues, the AEMC recommended the development of </w:t>
      </w:r>
      <w:r w:rsidR="00507206">
        <w:t xml:space="preserve">a </w:t>
      </w:r>
      <w:r>
        <w:t>capacity trading platform that would provide for both:</w:t>
      </w:r>
      <w:r w:rsidRPr="00CE12E4">
        <w:rPr>
          <w:rStyle w:val="FootnoteReference"/>
        </w:rPr>
        <w:t xml:space="preserve"> </w:t>
      </w:r>
      <w:r>
        <w:rPr>
          <w:rStyle w:val="FootnoteReference"/>
        </w:rPr>
        <w:footnoteReference w:id="58"/>
      </w:r>
    </w:p>
    <w:p w14:paraId="3AD3E3DD" w14:textId="77777777" w:rsidR="00CE12E4" w:rsidRPr="00C06892" w:rsidRDefault="00CE12E4" w:rsidP="00CE12E4">
      <w:pPr>
        <w:pStyle w:val="ListBullet"/>
      </w:pPr>
      <w:r w:rsidRPr="00DB66D2">
        <w:t>an anonymous exchange mechanism that shippers can use to buy or sell com</w:t>
      </w:r>
      <w:r w:rsidRPr="00C06892">
        <w:t xml:space="preserve">monly traded transportation products; and </w:t>
      </w:r>
    </w:p>
    <w:p w14:paraId="6DD96C93" w14:textId="77777777" w:rsidR="00CE12E4" w:rsidRPr="00C06892" w:rsidRDefault="00CE12E4" w:rsidP="00CE12E4">
      <w:pPr>
        <w:pStyle w:val="ListBullet"/>
      </w:pPr>
      <w:proofErr w:type="gramStart"/>
      <w:r w:rsidRPr="00C06892">
        <w:t>a</w:t>
      </w:r>
      <w:proofErr w:type="gramEnd"/>
      <w:r w:rsidRPr="00C06892">
        <w:t xml:space="preserve"> listing service that shippers can use to buy or sell more bespoke products. </w:t>
      </w:r>
    </w:p>
    <w:p w14:paraId="492734B2" w14:textId="77777777" w:rsidR="00B0008C" w:rsidRDefault="00CE12E4" w:rsidP="00B0008C">
      <w:pPr>
        <w:pStyle w:val="BodyText"/>
      </w:pPr>
      <w:r>
        <w:t xml:space="preserve">The AEMC also suggested that the trading platform provide for as many services as possible to be traded </w:t>
      </w:r>
      <w:r w:rsidR="00B0008C">
        <w:t>through the exchange</w:t>
      </w:r>
      <w:r>
        <w:t>.</w:t>
      </w:r>
      <w:r w:rsidR="00B0008C">
        <w:rPr>
          <w:rStyle w:val="FootnoteReference"/>
        </w:rPr>
        <w:footnoteReference w:id="59"/>
      </w:r>
      <w:r w:rsidR="00B0008C">
        <w:t xml:space="preserve"> While the AEMC expected the platform to principally be used by shippers, it noted the potential for service providers to also use the platform to sell any spare primary capacity they may</w:t>
      </w:r>
      <w:r w:rsidR="003E7774">
        <w:t xml:space="preserve"> </w:t>
      </w:r>
      <w:r w:rsidR="00994623">
        <w:t>hold</w:t>
      </w:r>
      <w:r w:rsidR="00B0008C">
        <w:t xml:space="preserve">.  </w:t>
      </w:r>
    </w:p>
    <w:p w14:paraId="001D5CB8" w14:textId="77777777" w:rsidR="008C28EE" w:rsidRPr="006E7180" w:rsidRDefault="008C28EE" w:rsidP="00AC48D8">
      <w:pPr>
        <w:pStyle w:val="BodyText"/>
      </w:pPr>
      <w:r w:rsidRPr="006E7180">
        <w:t xml:space="preserve">Together, these reforms </w:t>
      </w:r>
      <w:r w:rsidR="00B0008C">
        <w:t xml:space="preserve">are expected </w:t>
      </w:r>
      <w:r w:rsidRPr="006E7180">
        <w:t>to facilitate a greater level of secondary capacity trading by:</w:t>
      </w:r>
      <w:r w:rsidRPr="006E7180">
        <w:rPr>
          <w:rStyle w:val="FootnoteReference"/>
        </w:rPr>
        <w:footnoteReference w:id="60"/>
      </w:r>
    </w:p>
    <w:p w14:paraId="017AC056" w14:textId="77777777" w:rsidR="008C28EE" w:rsidRPr="006E7180" w:rsidRDefault="008C28EE" w:rsidP="008C28EE">
      <w:pPr>
        <w:pStyle w:val="ListBullet"/>
        <w:spacing w:after="60"/>
      </w:pPr>
      <w:r w:rsidRPr="006E7180">
        <w:t xml:space="preserve">reducing search and transaction costs; </w:t>
      </w:r>
      <w:r w:rsidR="00AC48D8" w:rsidRPr="006E7180">
        <w:t>and</w:t>
      </w:r>
    </w:p>
    <w:p w14:paraId="5D314D47" w14:textId="77777777" w:rsidR="00AC48D8" w:rsidRPr="006E7180" w:rsidRDefault="00AC48D8" w:rsidP="008C28EE">
      <w:pPr>
        <w:pStyle w:val="ListBullet"/>
        <w:spacing w:after="60"/>
      </w:pPr>
      <w:proofErr w:type="gramStart"/>
      <w:r w:rsidRPr="006E7180">
        <w:t>providing</w:t>
      </w:r>
      <w:proofErr w:type="gramEnd"/>
      <w:r w:rsidRPr="006E7180">
        <w:t xml:space="preserve"> shippers with confidence that secondary trades are non-discriminatory (i.e. by requiring trades conducted through the exchange to be anonymous and requiring shippers to advertise products ahead of time on the listing service).</w:t>
      </w:r>
    </w:p>
    <w:p w14:paraId="476E812F" w14:textId="77777777" w:rsidR="008C28EE" w:rsidRDefault="00F42B92" w:rsidP="008C28EE">
      <w:pPr>
        <w:pStyle w:val="BodyText"/>
        <w:spacing w:before="120" w:after="60" w:line="252" w:lineRule="auto"/>
      </w:pPr>
      <w:r>
        <w:t xml:space="preserve">Table B.1 </w:t>
      </w:r>
      <w:r w:rsidR="008C28EE">
        <w:t xml:space="preserve">provides further detail on the </w:t>
      </w:r>
      <w:r>
        <w:t xml:space="preserve">AEMC’s </w:t>
      </w:r>
      <w:r w:rsidR="00AC48D8">
        <w:t>recommendations</w:t>
      </w:r>
      <w:r w:rsidR="00312218">
        <w:t>, which were classified as either required or preferred outcomes</w:t>
      </w:r>
      <w:r w:rsidR="00AC48D8">
        <w:t xml:space="preserve">. </w:t>
      </w:r>
    </w:p>
    <w:p w14:paraId="755EC5CE" w14:textId="77777777" w:rsidR="00B0008C" w:rsidRDefault="00FA7FB0" w:rsidP="00B0008C">
      <w:pPr>
        <w:pStyle w:val="BodyText"/>
      </w:pPr>
      <w:r>
        <w:t xml:space="preserve">In the </w:t>
      </w:r>
      <w:r>
        <w:rPr>
          <w:i/>
        </w:rPr>
        <w:t xml:space="preserve">East Coast Review, </w:t>
      </w:r>
      <w:r>
        <w:t>t</w:t>
      </w:r>
      <w:r w:rsidR="00B0008C">
        <w:t xml:space="preserve">he AEMC identified a number of organisations that could operate and administer the capacity trading platform, but did not reach a concluded position on this issue. </w:t>
      </w:r>
      <w:r w:rsidR="00D3026D">
        <w:t xml:space="preserve">The AEMC therefore </w:t>
      </w:r>
      <w:r w:rsidR="00B0008C">
        <w:t>recommended that the GMRG consider the options in further detail.  The GMRG’s recommendations on this issue were presented to the Energy Council in July</w:t>
      </w:r>
      <w:r w:rsidR="003E7774">
        <w:t xml:space="preserve"> 2017</w:t>
      </w:r>
      <w:r w:rsidR="00B0008C">
        <w:t>. In short, the GMRG recommended that AEMO be accorded responsibility for the operation and administration of a single capacity trading platform that would form part of the GSH trading exchange, which is currently used by participants in the east coast to trade gas and compression services at Wallumbilla. This recommendation was endorsed by the Energy Council at its 14 July 2017 meeting.</w:t>
      </w:r>
      <w:r w:rsidR="00B0008C">
        <w:rPr>
          <w:rStyle w:val="FootnoteReference"/>
        </w:rPr>
        <w:footnoteReference w:id="61"/>
      </w:r>
      <w:r w:rsidR="00B0008C">
        <w:t xml:space="preserve"> </w:t>
      </w:r>
    </w:p>
    <w:tbl>
      <w:tblPr>
        <w:tblStyle w:val="TableGrid"/>
        <w:tblW w:w="4920" w:type="pct"/>
        <w:tblLayout w:type="fixed"/>
        <w:tblLook w:val="0480" w:firstRow="0" w:lastRow="0" w:firstColumn="1" w:lastColumn="0" w:noHBand="0" w:noVBand="1"/>
        <w:tblCaption w:val="Table B.1"/>
        <w:tblDescription w:val="AEMC’s Recommendations: Capacity trading platform reforms"/>
      </w:tblPr>
      <w:tblGrid>
        <w:gridCol w:w="8647"/>
      </w:tblGrid>
      <w:tr w:rsidR="008C28EE" w:rsidRPr="007A3DFE" w14:paraId="1FE9DF75" w14:textId="77777777" w:rsidTr="00431C3A">
        <w:trPr>
          <w:cnfStyle w:val="000000010000" w:firstRow="0" w:lastRow="0" w:firstColumn="0" w:lastColumn="0" w:oddVBand="0" w:evenVBand="0" w:oddHBand="0" w:evenHBand="1" w:firstRowFirstColumn="0" w:firstRowLastColumn="0" w:lastRowFirstColumn="0" w:lastRowLastColumn="0"/>
          <w:tblHeader/>
        </w:trPr>
        <w:tc>
          <w:tcPr>
            <w:tcW w:w="8647" w:type="dxa"/>
            <w:tcBorders>
              <w:top w:val="nil"/>
              <w:bottom w:val="single" w:sz="4" w:space="0" w:color="auto"/>
            </w:tcBorders>
            <w:shd w:val="clear" w:color="auto" w:fill="auto"/>
          </w:tcPr>
          <w:p w14:paraId="18481211" w14:textId="665B1453" w:rsidR="008C28EE" w:rsidRPr="00431C3A" w:rsidRDefault="00431C3A" w:rsidP="00431C3A">
            <w:pPr>
              <w:pStyle w:val="TableBodyText"/>
              <w:keepNext/>
              <w:spacing w:before="20" w:after="20"/>
              <w:rPr>
                <w:b/>
                <w:color w:val="FFFFFF" w:themeColor="background1"/>
                <w:sz w:val="20"/>
                <w:szCs w:val="20"/>
              </w:rPr>
            </w:pPr>
            <w:r w:rsidRPr="00431C3A">
              <w:rPr>
                <w:b/>
                <w:sz w:val="20"/>
              </w:rPr>
              <w:lastRenderedPageBreak/>
              <w:t>Table B.1: AEMC’s Recommendations: Capacity trading platform reforms</w:t>
            </w:r>
          </w:p>
        </w:tc>
      </w:tr>
      <w:tr w:rsidR="00431C3A" w:rsidRPr="00CE12E4" w14:paraId="0473EDD3" w14:textId="77777777" w:rsidTr="00431C3A">
        <w:tblPrEx>
          <w:tblLook w:val="04A0" w:firstRow="1" w:lastRow="0" w:firstColumn="1" w:lastColumn="0" w:noHBand="0" w:noVBand="1"/>
        </w:tblPrEx>
        <w:tc>
          <w:tcPr>
            <w:tcW w:w="8647" w:type="dxa"/>
            <w:tcBorders>
              <w:bottom w:val="single" w:sz="4" w:space="0" w:color="auto"/>
            </w:tcBorders>
            <w:shd w:val="clear" w:color="auto" w:fill="0099CC"/>
          </w:tcPr>
          <w:p w14:paraId="49CACEFF" w14:textId="224E1C98" w:rsidR="00431C3A" w:rsidRPr="00CE12E4" w:rsidRDefault="00431C3A" w:rsidP="00431C3A">
            <w:pPr>
              <w:pStyle w:val="TableBodyText"/>
              <w:keepNext/>
              <w:spacing w:before="20" w:after="40"/>
              <w:jc w:val="center"/>
              <w:rPr>
                <w:b/>
                <w:color w:val="FFFFFF" w:themeColor="background1"/>
                <w:sz w:val="20"/>
                <w:szCs w:val="20"/>
              </w:rPr>
            </w:pPr>
            <w:r>
              <w:rPr>
                <w:b/>
                <w:color w:val="FFFFFF" w:themeColor="background1"/>
                <w:sz w:val="20"/>
                <w:szCs w:val="20"/>
              </w:rPr>
              <w:t>Required</w:t>
            </w:r>
            <w:r w:rsidRPr="00CE12E4">
              <w:rPr>
                <w:b/>
                <w:color w:val="FFFFFF" w:themeColor="background1"/>
                <w:sz w:val="20"/>
                <w:szCs w:val="20"/>
              </w:rPr>
              <w:t xml:space="preserve"> outcomes</w:t>
            </w:r>
          </w:p>
        </w:tc>
      </w:tr>
      <w:tr w:rsidR="00431C3A" w:rsidRPr="007A3DFE" w14:paraId="7D0DE1B2" w14:textId="77777777" w:rsidTr="00431C3A">
        <w:trPr>
          <w:cnfStyle w:val="000000010000" w:firstRow="0" w:lastRow="0" w:firstColumn="0" w:lastColumn="0" w:oddVBand="0" w:evenVBand="0" w:oddHBand="0" w:evenHBand="1" w:firstRowFirstColumn="0" w:firstRowLastColumn="0" w:lastRowFirstColumn="0" w:lastRowLastColumn="0"/>
          <w:tblHeader/>
        </w:trPr>
        <w:tc>
          <w:tcPr>
            <w:tcW w:w="8647" w:type="dxa"/>
            <w:tcBorders>
              <w:top w:val="nil"/>
              <w:bottom w:val="single" w:sz="4" w:space="0" w:color="auto"/>
            </w:tcBorders>
            <w:shd w:val="clear" w:color="auto" w:fill="auto"/>
          </w:tcPr>
          <w:p w14:paraId="0975F928" w14:textId="77777777" w:rsidR="00431C3A" w:rsidRDefault="00431C3A" w:rsidP="00431C3A">
            <w:pPr>
              <w:pStyle w:val="TableBullet1"/>
              <w:keepNext/>
              <w:rPr>
                <w:sz w:val="20"/>
                <w:szCs w:val="20"/>
              </w:rPr>
            </w:pPr>
            <w:r w:rsidRPr="00CE12E4">
              <w:rPr>
                <w:sz w:val="20"/>
                <w:szCs w:val="20"/>
              </w:rPr>
              <w:t xml:space="preserve">Creation of capacity trading platform(s) which include electronic anonymous </w:t>
            </w:r>
            <w:r>
              <w:rPr>
                <w:sz w:val="20"/>
                <w:szCs w:val="20"/>
              </w:rPr>
              <w:t>exchange-based</w:t>
            </w:r>
            <w:r w:rsidRPr="00CE12E4">
              <w:rPr>
                <w:sz w:val="20"/>
                <w:szCs w:val="20"/>
              </w:rPr>
              <w:t xml:space="preserve"> trading for commonly traded products in addition to a capacity listing service typical on current capacity trading platforms. </w:t>
            </w:r>
          </w:p>
          <w:p w14:paraId="20BC90DB" w14:textId="0DE4231D" w:rsidR="00431C3A" w:rsidRPr="00431C3A" w:rsidRDefault="00431C3A" w:rsidP="00431C3A">
            <w:pPr>
              <w:pStyle w:val="TableBullet1"/>
              <w:keepNext/>
              <w:rPr>
                <w:sz w:val="20"/>
                <w:szCs w:val="20"/>
              </w:rPr>
            </w:pPr>
            <w:r w:rsidRPr="00431C3A">
              <w:rPr>
                <w:sz w:val="20"/>
                <w:szCs w:val="20"/>
              </w:rPr>
              <w:t>Trades carried out through trading platform to be given effect through an operational transfer</w:t>
            </w:r>
          </w:p>
        </w:tc>
      </w:tr>
      <w:tr w:rsidR="00431C3A" w:rsidRPr="00CE12E4" w14:paraId="1780F885" w14:textId="77777777" w:rsidTr="00431C3A">
        <w:tblPrEx>
          <w:tblLook w:val="04A0" w:firstRow="1" w:lastRow="0" w:firstColumn="1" w:lastColumn="0" w:noHBand="0" w:noVBand="1"/>
        </w:tblPrEx>
        <w:tc>
          <w:tcPr>
            <w:tcW w:w="8647" w:type="dxa"/>
            <w:tcBorders>
              <w:bottom w:val="single" w:sz="4" w:space="0" w:color="auto"/>
            </w:tcBorders>
            <w:shd w:val="clear" w:color="auto" w:fill="0099CC"/>
          </w:tcPr>
          <w:p w14:paraId="3EE2A281" w14:textId="77777777" w:rsidR="00431C3A" w:rsidRPr="00CE12E4" w:rsidRDefault="00431C3A" w:rsidP="00431C3A">
            <w:pPr>
              <w:pStyle w:val="TableBodyText"/>
              <w:keepNext/>
              <w:spacing w:before="20" w:after="40"/>
              <w:jc w:val="center"/>
              <w:rPr>
                <w:b/>
                <w:color w:val="FFFFFF" w:themeColor="background1"/>
                <w:sz w:val="20"/>
                <w:szCs w:val="20"/>
              </w:rPr>
            </w:pPr>
            <w:r w:rsidRPr="00CE12E4">
              <w:rPr>
                <w:b/>
                <w:color w:val="FFFFFF" w:themeColor="background1"/>
                <w:sz w:val="20"/>
                <w:szCs w:val="20"/>
              </w:rPr>
              <w:t>Preferred outcomes</w:t>
            </w:r>
          </w:p>
        </w:tc>
      </w:tr>
      <w:tr w:rsidR="00431C3A" w:rsidRPr="007A3DFE" w14:paraId="66B762CE" w14:textId="77777777" w:rsidTr="00431C3A">
        <w:trPr>
          <w:cnfStyle w:val="000000010000" w:firstRow="0" w:lastRow="0" w:firstColumn="0" w:lastColumn="0" w:oddVBand="0" w:evenVBand="0" w:oddHBand="0" w:evenHBand="1" w:firstRowFirstColumn="0" w:firstRowLastColumn="0" w:lastRowFirstColumn="0" w:lastRowLastColumn="0"/>
          <w:tblHeader/>
        </w:trPr>
        <w:tc>
          <w:tcPr>
            <w:tcW w:w="8647" w:type="dxa"/>
            <w:tcBorders>
              <w:top w:val="nil"/>
              <w:bottom w:val="single" w:sz="4" w:space="0" w:color="auto"/>
            </w:tcBorders>
            <w:shd w:val="clear" w:color="auto" w:fill="auto"/>
          </w:tcPr>
          <w:p w14:paraId="1007369E" w14:textId="77777777" w:rsidR="00431C3A" w:rsidRDefault="00431C3A" w:rsidP="00431C3A">
            <w:pPr>
              <w:pStyle w:val="TableBullet1"/>
              <w:keepNext/>
              <w:spacing w:before="40" w:after="40"/>
              <w:rPr>
                <w:sz w:val="20"/>
                <w:szCs w:val="20"/>
              </w:rPr>
            </w:pPr>
            <w:r w:rsidRPr="00CE12E4">
              <w:rPr>
                <w:sz w:val="20"/>
                <w:szCs w:val="20"/>
              </w:rPr>
              <w:t xml:space="preserve">Single capacity trading platform operating across the east coast. </w:t>
            </w:r>
          </w:p>
          <w:p w14:paraId="34601FF9" w14:textId="7FC6FB33" w:rsidR="00431C3A" w:rsidRPr="00431C3A" w:rsidRDefault="00431C3A" w:rsidP="00431C3A">
            <w:pPr>
              <w:pStyle w:val="TableBullet1"/>
              <w:keepNext/>
              <w:spacing w:before="40" w:after="40"/>
              <w:rPr>
                <w:sz w:val="20"/>
                <w:szCs w:val="20"/>
              </w:rPr>
            </w:pPr>
            <w:r w:rsidRPr="00431C3A">
              <w:rPr>
                <w:sz w:val="20"/>
                <w:szCs w:val="20"/>
              </w:rPr>
              <w:t>As many services as possible capable of being traded on the platform (e.g., transportation, hub (compression) and pipeline storage services), recognising the need to avoid unnecessary complexities.</w:t>
            </w:r>
          </w:p>
        </w:tc>
      </w:tr>
    </w:tbl>
    <w:p w14:paraId="6F93B1C4" w14:textId="77777777" w:rsidR="00AC48D8" w:rsidRDefault="008C28EE" w:rsidP="006E7180">
      <w:pPr>
        <w:pStyle w:val="BodyText"/>
        <w:widowControl w:val="0"/>
        <w:spacing w:before="0" w:after="0"/>
        <w:rPr>
          <w:sz w:val="18"/>
          <w:szCs w:val="18"/>
        </w:rPr>
      </w:pPr>
      <w:r w:rsidRPr="00095979">
        <w:rPr>
          <w:sz w:val="18"/>
          <w:szCs w:val="18"/>
        </w:rPr>
        <w:t xml:space="preserve">Source: AEMC, Stage 2 Final Report: </w:t>
      </w:r>
      <w:r w:rsidRPr="005E3347">
        <w:rPr>
          <w:rFonts w:cs="Arial"/>
          <w:i/>
          <w:iCs/>
          <w:sz w:val="18"/>
          <w:szCs w:val="18"/>
        </w:rPr>
        <w:t>East Coast Review</w:t>
      </w:r>
      <w:r w:rsidRPr="00095979">
        <w:rPr>
          <w:rFonts w:cs="Arial"/>
          <w:iCs/>
          <w:sz w:val="18"/>
          <w:szCs w:val="18"/>
        </w:rPr>
        <w:t>, 23 May 2016,</w:t>
      </w:r>
      <w:r w:rsidRPr="00095979">
        <w:rPr>
          <w:sz w:val="18"/>
          <w:szCs w:val="18"/>
        </w:rPr>
        <w:t xml:space="preserve"> p. 17.</w:t>
      </w:r>
      <w:r w:rsidR="006E7180">
        <w:rPr>
          <w:sz w:val="18"/>
          <w:szCs w:val="18"/>
        </w:rPr>
        <w:t xml:space="preserve"> </w:t>
      </w:r>
    </w:p>
    <w:p w14:paraId="1017A07F" w14:textId="77777777" w:rsidR="00FF367C" w:rsidRDefault="00FF367C" w:rsidP="00FF367C">
      <w:pPr>
        <w:pStyle w:val="BodyText"/>
      </w:pPr>
      <w:r>
        <w:t xml:space="preserve">Following </w:t>
      </w:r>
      <w:r w:rsidR="00B0008C">
        <w:t>the Energy Council’s</w:t>
      </w:r>
      <w:r>
        <w:t xml:space="preserve"> decision, the GMRG </w:t>
      </w:r>
      <w:r w:rsidR="00312218">
        <w:t xml:space="preserve">has worked closely with AEMO </w:t>
      </w:r>
      <w:r>
        <w:t>and the Capacity Trading Platform project team on the development of the end-to-end design of the capacity trading platform, which will comprise</w:t>
      </w:r>
      <w:r w:rsidR="009D1CE0">
        <w:t>:</w:t>
      </w:r>
    </w:p>
    <w:p w14:paraId="7574D803" w14:textId="77777777" w:rsidR="00FF367C" w:rsidRDefault="00FF367C" w:rsidP="00FF367C">
      <w:pPr>
        <w:pStyle w:val="ListBullet"/>
      </w:pPr>
      <w:r>
        <w:rPr>
          <w:b/>
        </w:rPr>
        <w:t xml:space="preserve">an </w:t>
      </w:r>
      <w:r w:rsidRPr="00F5362D">
        <w:rPr>
          <w:b/>
        </w:rPr>
        <w:t xml:space="preserve">exchange </w:t>
      </w:r>
      <w:r w:rsidRPr="009D1CE0">
        <w:t>that</w:t>
      </w:r>
      <w:r>
        <w:rPr>
          <w:b/>
        </w:rPr>
        <w:t xml:space="preserve"> </w:t>
      </w:r>
      <w:r>
        <w:t>will be used to facilitate the trade of standardised transportation products (e.g. day-ahead, daily, weekly</w:t>
      </w:r>
      <w:r w:rsidR="00DF0551">
        <w:t xml:space="preserve"> and</w:t>
      </w:r>
      <w:r>
        <w:t xml:space="preserve"> monthly firm forward haul, compression and park products) through either: </w:t>
      </w:r>
    </w:p>
    <w:p w14:paraId="1E8FEDEB" w14:textId="77777777" w:rsidR="00FF367C" w:rsidRDefault="00FF367C" w:rsidP="00FF367C">
      <w:pPr>
        <w:pStyle w:val="ListBullet2"/>
      </w:pPr>
      <w:r w:rsidRPr="009D1CE0">
        <w:rPr>
          <w:b/>
        </w:rPr>
        <w:t>the screen trade service</w:t>
      </w:r>
      <w:r>
        <w:t xml:space="preserve"> – this ser</w:t>
      </w:r>
      <w:r w:rsidR="009D1CE0">
        <w:t xml:space="preserve">vice allows participants to place anonymous offers to sell or bids to buy a specified quantity </w:t>
      </w:r>
      <w:r w:rsidR="00312218">
        <w:t xml:space="preserve">of capacity (measured </w:t>
      </w:r>
      <w:r w:rsidR="003E7774">
        <w:t xml:space="preserve">using the </w:t>
      </w:r>
      <w:r w:rsidR="00312218">
        <w:t xml:space="preserve">MDQ </w:t>
      </w:r>
      <w:r w:rsidR="003E7774">
        <w:t>metric</w:t>
      </w:r>
      <w:r w:rsidR="00312218">
        <w:t xml:space="preserve">) </w:t>
      </w:r>
      <w:r w:rsidR="009D1CE0">
        <w:t>at a specified price, which are automatically matched by the exchange</w:t>
      </w:r>
      <w:r>
        <w:t xml:space="preserve">; or </w:t>
      </w:r>
    </w:p>
    <w:p w14:paraId="12A7098B" w14:textId="77777777" w:rsidR="00FF367C" w:rsidRDefault="00FF367C" w:rsidP="00FF367C">
      <w:pPr>
        <w:pStyle w:val="ListBullet2"/>
      </w:pPr>
      <w:r w:rsidRPr="009D1CE0">
        <w:rPr>
          <w:b/>
        </w:rPr>
        <w:t>the pre-matched trade service</w:t>
      </w:r>
      <w:r>
        <w:t xml:space="preserve"> – this service allows participants to </w:t>
      </w:r>
      <w:r w:rsidR="00BC56DD">
        <w:t xml:space="preserve">bring a bilateral trade in one of the GSH products </w:t>
      </w:r>
      <w:r>
        <w:t>to the exchange for settlement;</w:t>
      </w:r>
      <w:r w:rsidRPr="00ED6275">
        <w:rPr>
          <w:rStyle w:val="FootnoteReference"/>
        </w:rPr>
        <w:t xml:space="preserve"> </w:t>
      </w:r>
      <w:r>
        <w:t xml:space="preserve">or </w:t>
      </w:r>
    </w:p>
    <w:p w14:paraId="2D25E3AD" w14:textId="77777777" w:rsidR="00FF367C" w:rsidRDefault="00FF367C" w:rsidP="00FF367C">
      <w:pPr>
        <w:pStyle w:val="ListBullet"/>
      </w:pPr>
      <w:proofErr w:type="gramStart"/>
      <w:r>
        <w:rPr>
          <w:b/>
        </w:rPr>
        <w:t>a</w:t>
      </w:r>
      <w:proofErr w:type="gramEnd"/>
      <w:r>
        <w:rPr>
          <w:b/>
        </w:rPr>
        <w:t xml:space="preserve"> </w:t>
      </w:r>
      <w:r w:rsidRPr="00F5362D">
        <w:rPr>
          <w:b/>
        </w:rPr>
        <w:t xml:space="preserve">listing service </w:t>
      </w:r>
      <w:r w:rsidRPr="009D1CE0">
        <w:t>that</w:t>
      </w:r>
      <w:r>
        <w:rPr>
          <w:b/>
        </w:rPr>
        <w:t xml:space="preserve"> </w:t>
      </w:r>
      <w:r>
        <w:t>will allow market participants to list more bespoke transportation products (including locational swaps)</w:t>
      </w:r>
      <w:r w:rsidR="009D1CE0">
        <w:t xml:space="preserve"> </w:t>
      </w:r>
      <w:r>
        <w:t xml:space="preserve">that can be traded on a bilateral basis. </w:t>
      </w:r>
    </w:p>
    <w:p w14:paraId="219C36F2" w14:textId="77777777" w:rsidR="00A0111F" w:rsidRDefault="00D30EB7" w:rsidP="009D1CE0">
      <w:pPr>
        <w:pStyle w:val="BodyText"/>
      </w:pPr>
      <w:r>
        <w:t xml:space="preserve">While the </w:t>
      </w:r>
      <w:r w:rsidR="00326B06">
        <w:t xml:space="preserve">design of the capacity trading platform will share many of the same </w:t>
      </w:r>
      <w:r w:rsidR="00235905">
        <w:t xml:space="preserve">operational, </w:t>
      </w:r>
      <w:r w:rsidR="00621D3C">
        <w:t xml:space="preserve">market, </w:t>
      </w:r>
      <w:r w:rsidR="00235905">
        <w:t>financial, contractual and governance features of the GSH</w:t>
      </w:r>
      <w:r w:rsidR="001710D5">
        <w:t xml:space="preserve"> (see Appendix E for an overview of the GSH)</w:t>
      </w:r>
      <w:r w:rsidR="00235905">
        <w:t xml:space="preserve">, further </w:t>
      </w:r>
      <w:r>
        <w:t xml:space="preserve">consideration </w:t>
      </w:r>
      <w:r w:rsidR="00235905">
        <w:t>need</w:t>
      </w:r>
      <w:r w:rsidR="005A39D7">
        <w:t>ed</w:t>
      </w:r>
      <w:r w:rsidR="00235905">
        <w:t xml:space="preserve"> to be given to:</w:t>
      </w:r>
    </w:p>
    <w:p w14:paraId="00F4A641" w14:textId="77777777" w:rsidR="009D1CE0" w:rsidRDefault="00A0111F" w:rsidP="009D1CE0">
      <w:pPr>
        <w:pStyle w:val="ListBullet"/>
      </w:pPr>
      <w:r w:rsidRPr="00235905">
        <w:t xml:space="preserve">the </w:t>
      </w:r>
      <w:r w:rsidR="000B0E84">
        <w:t xml:space="preserve">initial list of </w:t>
      </w:r>
      <w:r w:rsidR="009D1CE0" w:rsidRPr="00235905">
        <w:t xml:space="preserve">products </w:t>
      </w:r>
      <w:r w:rsidR="00277A2C">
        <w:t xml:space="preserve">to </w:t>
      </w:r>
      <w:r w:rsidRPr="00235905">
        <w:t xml:space="preserve">be sold </w:t>
      </w:r>
      <w:r w:rsidR="000B0E84">
        <w:t xml:space="preserve">on </w:t>
      </w:r>
      <w:r w:rsidR="00235905" w:rsidRPr="00235905">
        <w:t xml:space="preserve">the </w:t>
      </w:r>
      <w:r w:rsidR="007447D4">
        <w:t xml:space="preserve">capacity </w:t>
      </w:r>
      <w:r w:rsidR="00235905" w:rsidRPr="00235905">
        <w:t>trading platform</w:t>
      </w:r>
      <w:r w:rsidRPr="00235905">
        <w:t>;</w:t>
      </w:r>
    </w:p>
    <w:p w14:paraId="449AB1E7" w14:textId="77777777" w:rsidR="001710D5" w:rsidRPr="00235905" w:rsidRDefault="001710D5" w:rsidP="009D1CE0">
      <w:pPr>
        <w:pStyle w:val="ListBullet"/>
      </w:pPr>
      <w:r>
        <w:t xml:space="preserve">how the number of buyers and sellers </w:t>
      </w:r>
      <w:r w:rsidR="00277A2C">
        <w:t xml:space="preserve">on the exchange </w:t>
      </w:r>
      <w:r>
        <w:t>will be maximised;</w:t>
      </w:r>
    </w:p>
    <w:p w14:paraId="7DA7BDC9" w14:textId="77777777" w:rsidR="00A0111F" w:rsidRPr="00235905" w:rsidRDefault="00A0111F" w:rsidP="00F3580C">
      <w:pPr>
        <w:pStyle w:val="ListBullet"/>
      </w:pPr>
      <w:r w:rsidRPr="00235905">
        <w:t xml:space="preserve">the </w:t>
      </w:r>
      <w:r w:rsidR="00F3580C" w:rsidRPr="00235905">
        <w:t>delivery process</w:t>
      </w:r>
      <w:r w:rsidRPr="00235905">
        <w:t xml:space="preserve"> </w:t>
      </w:r>
      <w:r w:rsidR="00235905" w:rsidRPr="00235905">
        <w:t>that will give effect to trades conducted through the exchange</w:t>
      </w:r>
      <w:r w:rsidRPr="00235905">
        <w:t>;</w:t>
      </w:r>
    </w:p>
    <w:p w14:paraId="2728CFA4" w14:textId="77777777" w:rsidR="00FA7FB0" w:rsidRDefault="00FA7FB0" w:rsidP="00776D4B">
      <w:pPr>
        <w:pStyle w:val="ListBullet"/>
      </w:pPr>
      <w:r>
        <w:t>the settlement and credit risk management processes that will apply to trades conducted through the exchange;</w:t>
      </w:r>
    </w:p>
    <w:p w14:paraId="63B297B9" w14:textId="77777777" w:rsidR="00583B4E" w:rsidRPr="00235905" w:rsidRDefault="009D1CE0" w:rsidP="00776D4B">
      <w:pPr>
        <w:pStyle w:val="ListBullet"/>
      </w:pPr>
      <w:r w:rsidRPr="00235905">
        <w:t xml:space="preserve">the </w:t>
      </w:r>
      <w:r w:rsidR="00FA7FB0">
        <w:t xml:space="preserve">way in which the financial and delivery </w:t>
      </w:r>
      <w:r w:rsidRPr="00235905">
        <w:t xml:space="preserve">risks associated with </w:t>
      </w:r>
      <w:r w:rsidR="00FA7FB0">
        <w:t xml:space="preserve">exchange-based trades will be managed </w:t>
      </w:r>
      <w:r w:rsidR="00776D4B" w:rsidRPr="00235905">
        <w:t>through the capacity trading platform; and</w:t>
      </w:r>
    </w:p>
    <w:p w14:paraId="5573898B" w14:textId="77777777" w:rsidR="00235905" w:rsidRPr="00235905" w:rsidRDefault="00235905" w:rsidP="00776D4B">
      <w:pPr>
        <w:pStyle w:val="ListBullet"/>
      </w:pPr>
      <w:proofErr w:type="gramStart"/>
      <w:r w:rsidRPr="00235905">
        <w:t>whether</w:t>
      </w:r>
      <w:proofErr w:type="gramEnd"/>
      <w:r w:rsidRPr="00235905">
        <w:t xml:space="preserve"> any changes need to be made to the NGL, NGR or other subordinate instruments to implement the capacity trading platform.</w:t>
      </w:r>
    </w:p>
    <w:p w14:paraId="4C708491" w14:textId="77777777" w:rsidR="001710D5" w:rsidRDefault="001710D5" w:rsidP="001710D5">
      <w:pPr>
        <w:pStyle w:val="BodyText"/>
        <w:rPr>
          <w:rFonts w:eastAsiaTheme="minorHAnsi"/>
        </w:rPr>
      </w:pPr>
      <w:r>
        <w:t xml:space="preserve">The GMRG has </w:t>
      </w:r>
      <w:r w:rsidR="00277A2C">
        <w:t xml:space="preserve">worked </w:t>
      </w:r>
      <w:r>
        <w:t xml:space="preserve">with </w:t>
      </w:r>
      <w:r w:rsidR="000B0E84">
        <w:t xml:space="preserve">AEMO and </w:t>
      </w:r>
      <w:r>
        <w:t xml:space="preserve">the Capacity Trading Platform project team </w:t>
      </w:r>
      <w:r w:rsidR="00D3026D">
        <w:t xml:space="preserve">to consider </w:t>
      </w:r>
      <w:r>
        <w:t xml:space="preserve">these issues since March 2017 and on 7 September 2017 </w:t>
      </w:r>
      <w:r w:rsidRPr="00330AB2">
        <w:t xml:space="preserve">published </w:t>
      </w:r>
      <w:r>
        <w:t>a consultation paper</w:t>
      </w:r>
      <w:r w:rsidRPr="00330AB2">
        <w:t xml:space="preserve"> </w:t>
      </w:r>
      <w:r>
        <w:t xml:space="preserve">that set out a </w:t>
      </w:r>
      <w:r>
        <w:rPr>
          <w:rFonts w:cs="Arial"/>
        </w:rPr>
        <w:t>number of options for the form these design elements could take and the GMRG’s preliminary view</w:t>
      </w:r>
      <w:r w:rsidR="00A95183">
        <w:rPr>
          <w:rFonts w:cs="Arial"/>
        </w:rPr>
        <w:t xml:space="preserve"> on these options</w:t>
      </w:r>
      <w:r>
        <w:rPr>
          <w:rFonts w:cs="Arial"/>
        </w:rPr>
        <w:t xml:space="preserve">. </w:t>
      </w:r>
      <w:r>
        <w:t xml:space="preserve">Stakeholders were </w:t>
      </w:r>
      <w:r w:rsidR="00993A3C">
        <w:t>given</w:t>
      </w:r>
      <w:r>
        <w:t xml:space="preserve"> </w:t>
      </w:r>
      <w:r>
        <w:lastRenderedPageBreak/>
        <w:t>four weeks to provide written feedback on the options presented in this consultation paper and were also invited to attend a public forum in Sydney on 14 September 2017</w:t>
      </w:r>
      <w:r w:rsidRPr="008964B9">
        <w:t xml:space="preserve">. </w:t>
      </w:r>
      <w:r>
        <w:t xml:space="preserve"> </w:t>
      </w:r>
      <w:r>
        <w:rPr>
          <w:rFonts w:eastAsiaTheme="minorHAnsi"/>
        </w:rPr>
        <w:t xml:space="preserve">The consultation period for this paper ended on 4 October 2017. </w:t>
      </w:r>
    </w:p>
    <w:p w14:paraId="139A9E2C" w14:textId="77777777" w:rsidR="000B0E84" w:rsidRDefault="000B0E84" w:rsidP="000B0E84">
      <w:pPr>
        <w:pStyle w:val="BodyText"/>
      </w:pPr>
      <w:r>
        <w:t xml:space="preserve">The stakeholders that provided written submissions on this consultation paper included AGL, Origin, </w:t>
      </w:r>
      <w:proofErr w:type="spellStart"/>
      <w:r>
        <w:t>EnergyAustralia</w:t>
      </w:r>
      <w:proofErr w:type="spellEnd"/>
      <w:r>
        <w:t xml:space="preserve">, </w:t>
      </w:r>
      <w:proofErr w:type="spellStart"/>
      <w:r>
        <w:t>Alinta</w:t>
      </w:r>
      <w:proofErr w:type="spellEnd"/>
      <w:r>
        <w:t xml:space="preserve">, Stanwell, </w:t>
      </w:r>
      <w:r w:rsidR="00DF0551">
        <w:t xml:space="preserve">APGA, MEU, </w:t>
      </w:r>
      <w:r>
        <w:t xml:space="preserve">APLNG, Shell, </w:t>
      </w:r>
      <w:proofErr w:type="spellStart"/>
      <w:r w:rsidR="00DF0551">
        <w:t>Senex</w:t>
      </w:r>
      <w:proofErr w:type="spellEnd"/>
      <w:r w:rsidR="00DF0551">
        <w:t xml:space="preserve">, </w:t>
      </w:r>
      <w:r>
        <w:t>APA, Jemena, Epic and TGP</w:t>
      </w:r>
      <w:r w:rsidR="009D4400">
        <w:t xml:space="preserve"> Pty Ltd</w:t>
      </w:r>
      <w:r>
        <w:t>. These submissions can be accessed on the GMRG website.</w:t>
      </w:r>
      <w:r>
        <w:rPr>
          <w:rStyle w:val="FootnoteReference"/>
        </w:rPr>
        <w:footnoteReference w:id="62"/>
      </w:r>
      <w:r>
        <w:t xml:space="preserve"> </w:t>
      </w:r>
      <w:r w:rsidRPr="004B6E87">
        <w:t xml:space="preserve">Feedback on the </w:t>
      </w:r>
      <w:r>
        <w:t>capacity trading platform was</w:t>
      </w:r>
      <w:r w:rsidRPr="004B6E87">
        <w:t xml:space="preserve"> also provided through </w:t>
      </w:r>
      <w:r>
        <w:t xml:space="preserve">extensive </w:t>
      </w:r>
      <w:r w:rsidRPr="004B6E87">
        <w:t>bilateral discussions with stakeholders</w:t>
      </w:r>
      <w:r>
        <w:t xml:space="preserve"> (including a number of consumer groups) and </w:t>
      </w:r>
      <w:r w:rsidRPr="004B6E87">
        <w:t>by the GMRG’s Advisory Panel.</w:t>
      </w:r>
    </w:p>
    <w:p w14:paraId="2DB2BC40" w14:textId="77777777" w:rsidR="001710D5" w:rsidRDefault="001710D5" w:rsidP="001710D5">
      <w:pPr>
        <w:spacing w:before="240" w:after="120"/>
      </w:pPr>
      <w:r>
        <w:t xml:space="preserve">In general, stakeholders were broadly supportive of this element of the capacity trading reform package and agreed with the majority of the </w:t>
      </w:r>
      <w:r w:rsidR="00D3026D">
        <w:t xml:space="preserve">GMRG’s </w:t>
      </w:r>
      <w:r>
        <w:t>preliminary views set out in the consultation paper. A number of issues were, however, raised about</w:t>
      </w:r>
      <w:r w:rsidR="00FA7FB0">
        <w:t>, amongst other things</w:t>
      </w:r>
      <w:r w:rsidR="005A39D7">
        <w:t>:</w:t>
      </w:r>
      <w:r>
        <w:t xml:space="preserve"> </w:t>
      </w:r>
    </w:p>
    <w:p w14:paraId="3CECBAEB" w14:textId="77777777" w:rsidR="001710D5" w:rsidRDefault="001710D5" w:rsidP="001710D5">
      <w:pPr>
        <w:pStyle w:val="ListBullet"/>
      </w:pPr>
      <w:bookmarkStart w:id="120" w:name="_Hlk498166247"/>
      <w:r w:rsidRPr="00D92883">
        <w:t>the</w:t>
      </w:r>
      <w:r>
        <w:rPr>
          <w:b/>
        </w:rPr>
        <w:t xml:space="preserve"> </w:t>
      </w:r>
      <w:r>
        <w:t>initial list of products to be made available on the capacity trading platform;</w:t>
      </w:r>
    </w:p>
    <w:p w14:paraId="60CB90C7" w14:textId="77777777" w:rsidR="000B0E84" w:rsidRDefault="001710D5" w:rsidP="001710D5">
      <w:pPr>
        <w:pStyle w:val="ListBullet"/>
      </w:pPr>
      <w:r>
        <w:t xml:space="preserve">the specification of </w:t>
      </w:r>
      <w:r w:rsidR="00FA7FB0">
        <w:t xml:space="preserve">receipt and delivery point </w:t>
      </w:r>
      <w:r>
        <w:t>zones</w:t>
      </w:r>
      <w:r w:rsidR="00FA7FB0">
        <w:t xml:space="preserve"> and the governance arrangements that will apply under the zonal model</w:t>
      </w:r>
      <w:r>
        <w:t xml:space="preserve">; </w:t>
      </w:r>
    </w:p>
    <w:p w14:paraId="7C7E001A" w14:textId="77777777" w:rsidR="001710D5" w:rsidRDefault="000B0E84" w:rsidP="001710D5">
      <w:pPr>
        <w:pStyle w:val="ListBullet"/>
      </w:pPr>
      <w:r>
        <w:t xml:space="preserve">the delivery process and assumed timings for the capacity trading platform; </w:t>
      </w:r>
      <w:r w:rsidR="001710D5">
        <w:t xml:space="preserve">and </w:t>
      </w:r>
    </w:p>
    <w:p w14:paraId="08D6CF2C" w14:textId="77777777" w:rsidR="001710D5" w:rsidRDefault="001710D5" w:rsidP="001710D5">
      <w:pPr>
        <w:pStyle w:val="ListBullet"/>
      </w:pPr>
      <w:proofErr w:type="gramStart"/>
      <w:r>
        <w:t>the</w:t>
      </w:r>
      <w:proofErr w:type="gramEnd"/>
      <w:r>
        <w:t xml:space="preserve"> way in which financial and delivery default will be managed.</w:t>
      </w:r>
    </w:p>
    <w:bookmarkEnd w:id="120"/>
    <w:p w14:paraId="33D689DA" w14:textId="77777777" w:rsidR="000B0E84" w:rsidRDefault="000B0E84" w:rsidP="000B0E84">
      <w:pPr>
        <w:pStyle w:val="BodyText"/>
        <w:spacing w:line="259" w:lineRule="auto"/>
      </w:pPr>
      <w:r>
        <w:t>These issues have been</w:t>
      </w:r>
      <w:r w:rsidR="00D3026D">
        <w:t xml:space="preserve"> further</w:t>
      </w:r>
      <w:r>
        <w:t xml:space="preserve"> considered by the GMRG in developing its final recommendations. </w:t>
      </w:r>
    </w:p>
    <w:p w14:paraId="487332E2" w14:textId="77777777" w:rsidR="00B7362D" w:rsidRDefault="001710D5" w:rsidP="000B0E84">
      <w:pPr>
        <w:pStyle w:val="BodyText"/>
      </w:pPr>
      <w:r>
        <w:t xml:space="preserve">Table B.2 provides a high-level summary of the GMRG’s final recommendations on this element of the reform package, which have been developed using the assessment framework set out in Chapter 3.  </w:t>
      </w:r>
    </w:p>
    <w:p w14:paraId="0673D4E8" w14:textId="77777777" w:rsidR="000B0E84" w:rsidRDefault="00B7362D" w:rsidP="000B0E84">
      <w:pPr>
        <w:pStyle w:val="BodyText"/>
      </w:pPr>
      <w:r>
        <w:t xml:space="preserve">Consistent with the overarching objective of the capacity trading reforms, </w:t>
      </w:r>
      <w:r w:rsidR="000B0E84">
        <w:t xml:space="preserve">the recommendations set out in this table </w:t>
      </w:r>
      <w:r>
        <w:t xml:space="preserve">are expected to facilitate a greater level of secondary capacity trading and foster the development of a more liquid market </w:t>
      </w:r>
      <w:r w:rsidR="000B0E84">
        <w:t>by:</w:t>
      </w:r>
    </w:p>
    <w:p w14:paraId="24BB82BA" w14:textId="77777777" w:rsidR="000B0E84" w:rsidRDefault="000B0E84" w:rsidP="00001DA2">
      <w:pPr>
        <w:pStyle w:val="ListBullet"/>
      </w:pPr>
      <w:r>
        <w:t xml:space="preserve">providing shippers with access to </w:t>
      </w:r>
      <w:r w:rsidR="00B275D8">
        <w:t xml:space="preserve">a single capacity trading platform that </w:t>
      </w:r>
      <w:r>
        <w:t>they can use to</w:t>
      </w:r>
      <w:r w:rsidR="00B275D8">
        <w:t xml:space="preserve"> anonymously </w:t>
      </w:r>
      <w:r>
        <w:t xml:space="preserve">buy and sell standardised capacity products </w:t>
      </w:r>
      <w:r w:rsidR="00B275D8">
        <w:t xml:space="preserve">through the exchange (or more bespoke services through the listing service), and to </w:t>
      </w:r>
      <w:r>
        <w:t xml:space="preserve">co-ordinate trades across transportation assets (regardless of ownership) and </w:t>
      </w:r>
      <w:r w:rsidR="00B275D8">
        <w:t xml:space="preserve">to procure </w:t>
      </w:r>
      <w:r>
        <w:t>gas and other services;</w:t>
      </w:r>
    </w:p>
    <w:p w14:paraId="4892E71F" w14:textId="77777777" w:rsidR="00B10FD6" w:rsidRDefault="00B10FD6" w:rsidP="00B10FD6">
      <w:pPr>
        <w:pStyle w:val="ListBullet"/>
      </w:pPr>
      <w:r>
        <w:t xml:space="preserve">maximising the pool of prospective buyers and sellers of secondary capacity and facilitating a greater level of competition between shippers for the provision of secondary capacity by implementing a zonal </w:t>
      </w:r>
      <w:r w:rsidR="007C6B51">
        <w:t xml:space="preserve">receipt and delivery point </w:t>
      </w:r>
      <w:r>
        <w:t xml:space="preserve">model with secondary firm rights at </w:t>
      </w:r>
      <w:r w:rsidR="007C6B51">
        <w:t xml:space="preserve">individual </w:t>
      </w:r>
      <w:r>
        <w:t xml:space="preserve">receipt and delivery points; </w:t>
      </w:r>
    </w:p>
    <w:p w14:paraId="46B96A07" w14:textId="77777777" w:rsidR="00B10FD6" w:rsidRDefault="00B10FD6" w:rsidP="00001DA2">
      <w:pPr>
        <w:pStyle w:val="ListBullet"/>
      </w:pPr>
      <w:r>
        <w:t xml:space="preserve">implementing a </w:t>
      </w:r>
      <w:r w:rsidR="00B275D8">
        <w:t xml:space="preserve">capacity trading platform </w:t>
      </w:r>
      <w:r>
        <w:t xml:space="preserve">that, from a shipper’s perspective, </w:t>
      </w:r>
      <w:r w:rsidR="00B275D8">
        <w:t xml:space="preserve">is easy to use, </w:t>
      </w:r>
      <w:r>
        <w:t xml:space="preserve">enables quick and effective execution of trades, aggregates prudential and settlement requirements across gas and capacity products, </w:t>
      </w:r>
      <w:r w:rsidR="00B275D8">
        <w:t>provides certainty of outcomes</w:t>
      </w:r>
      <w:r>
        <w:t xml:space="preserve"> and </w:t>
      </w:r>
      <w:r w:rsidR="00B275D8">
        <w:t xml:space="preserve">effectively manages </w:t>
      </w:r>
      <w:r w:rsidR="00ED1166">
        <w:t xml:space="preserve">financial and delivery default </w:t>
      </w:r>
      <w:r w:rsidR="00B275D8">
        <w:t>risks</w:t>
      </w:r>
      <w:r>
        <w:t>;</w:t>
      </w:r>
    </w:p>
    <w:p w14:paraId="5225593F" w14:textId="77777777" w:rsidR="00B275D8" w:rsidRDefault="00B10FD6" w:rsidP="00001DA2">
      <w:pPr>
        <w:pStyle w:val="ListBullet"/>
      </w:pPr>
      <w:r>
        <w:lastRenderedPageBreak/>
        <w:t>minimising the</w:t>
      </w:r>
      <w:r w:rsidR="00B275D8">
        <w:t xml:space="preserve"> implementation costs</w:t>
      </w:r>
      <w:r>
        <w:t xml:space="preserve"> (e.g. </w:t>
      </w:r>
      <w:r w:rsidR="00B275D8">
        <w:t xml:space="preserve">by drawing </w:t>
      </w:r>
      <w:r>
        <w:t>on existing GSH procedures and processes and using existing communications systems for delivery)</w:t>
      </w:r>
      <w:r w:rsidR="00B275D8">
        <w:t>;</w:t>
      </w:r>
    </w:p>
    <w:p w14:paraId="7DDDA365" w14:textId="77777777" w:rsidR="000B0E84" w:rsidRDefault="000B0E84" w:rsidP="000B0E84">
      <w:pPr>
        <w:pStyle w:val="ListBullet"/>
      </w:pPr>
      <w:r>
        <w:t>reducing search and transaction costs</w:t>
      </w:r>
      <w:r w:rsidR="00B10FD6">
        <w:t xml:space="preserve"> and aiding the price discovery process</w:t>
      </w:r>
      <w:r>
        <w:t xml:space="preserve">; </w:t>
      </w:r>
    </w:p>
    <w:p w14:paraId="3AD24DE8" w14:textId="77777777" w:rsidR="000B0E84" w:rsidRDefault="000B0E84" w:rsidP="000B0E84">
      <w:pPr>
        <w:pStyle w:val="ListBullet"/>
        <w:rPr>
          <w:rFonts w:eastAsiaTheme="majorEastAsia" w:cs="Arial"/>
        </w:rPr>
      </w:pPr>
      <w:r>
        <w:rPr>
          <w:rFonts w:eastAsiaTheme="majorEastAsia" w:cs="Arial"/>
        </w:rPr>
        <w:t xml:space="preserve">instilling a greater level of confidence in the secondary capacity market through the </w:t>
      </w:r>
      <w:r w:rsidR="00B10FD6">
        <w:rPr>
          <w:rFonts w:eastAsiaTheme="majorEastAsia" w:cs="Arial"/>
        </w:rPr>
        <w:t xml:space="preserve">use </w:t>
      </w:r>
      <w:r>
        <w:rPr>
          <w:rFonts w:eastAsiaTheme="majorEastAsia" w:cs="Arial"/>
        </w:rPr>
        <w:t xml:space="preserve">of robust </w:t>
      </w:r>
      <w:r w:rsidR="00B10FD6">
        <w:rPr>
          <w:rFonts w:eastAsiaTheme="majorEastAsia" w:cs="Arial"/>
        </w:rPr>
        <w:t xml:space="preserve">delivery, settlement, </w:t>
      </w:r>
      <w:r w:rsidR="007C6B51">
        <w:rPr>
          <w:rFonts w:eastAsiaTheme="majorEastAsia" w:cs="Arial"/>
        </w:rPr>
        <w:t xml:space="preserve">credit </w:t>
      </w:r>
      <w:r w:rsidR="00B10FD6">
        <w:rPr>
          <w:rFonts w:eastAsiaTheme="majorEastAsia" w:cs="Arial"/>
        </w:rPr>
        <w:t xml:space="preserve">and </w:t>
      </w:r>
      <w:r w:rsidR="007C6B51">
        <w:rPr>
          <w:rFonts w:eastAsiaTheme="majorEastAsia" w:cs="Arial"/>
        </w:rPr>
        <w:t xml:space="preserve">other </w:t>
      </w:r>
      <w:r w:rsidR="00B10FD6">
        <w:rPr>
          <w:rFonts w:eastAsiaTheme="majorEastAsia" w:cs="Arial"/>
        </w:rPr>
        <w:t xml:space="preserve">risk management processes and </w:t>
      </w:r>
      <w:r>
        <w:rPr>
          <w:rFonts w:eastAsiaTheme="majorEastAsia" w:cs="Arial"/>
        </w:rPr>
        <w:t>governance arrangements</w:t>
      </w:r>
      <w:r w:rsidR="00DD15FF">
        <w:rPr>
          <w:rFonts w:eastAsiaTheme="majorEastAsia" w:cs="Arial"/>
        </w:rPr>
        <w:t>; and</w:t>
      </w:r>
    </w:p>
    <w:p w14:paraId="31038CA2" w14:textId="77777777" w:rsidR="00DD15FF" w:rsidRDefault="00DD15FF" w:rsidP="000B0E84">
      <w:pPr>
        <w:pStyle w:val="ListBullet"/>
        <w:rPr>
          <w:rFonts w:eastAsiaTheme="majorEastAsia" w:cs="Arial"/>
        </w:rPr>
      </w:pPr>
      <w:proofErr w:type="gramStart"/>
      <w:r>
        <w:t>being</w:t>
      </w:r>
      <w:proofErr w:type="gramEnd"/>
      <w:r>
        <w:t xml:space="preserve"> able to adapt to changing circumstances through the ability to add and amend the product list and receipt and delivery point zones.</w:t>
      </w:r>
      <w:r>
        <w:rPr>
          <w:rFonts w:eastAsiaTheme="majorEastAsia" w:cs="Arial"/>
        </w:rPr>
        <w:t xml:space="preserve"> </w:t>
      </w:r>
    </w:p>
    <w:p w14:paraId="7036E409" w14:textId="77777777" w:rsidR="00B7362D" w:rsidRDefault="00B7362D" w:rsidP="000B0E84">
      <w:pPr>
        <w:pStyle w:val="BodyText"/>
        <w:rPr>
          <w:rFonts w:eastAsiaTheme="minorEastAsia"/>
        </w:rPr>
      </w:pPr>
      <w:r>
        <w:t xml:space="preserve">The recommendations can also be expected to contribute to the Energy Council’s </w:t>
      </w:r>
      <w:r w:rsidRPr="00104AC3">
        <w:rPr>
          <w:i/>
        </w:rPr>
        <w:t>Vision</w:t>
      </w:r>
      <w:r w:rsidRPr="00104AC3">
        <w:t xml:space="preserve"> </w:t>
      </w:r>
      <w:r>
        <w:t>of the direction gas market development should take and, in particular, the outcomes described in 2(b), 3(c) and 3(d)</w:t>
      </w:r>
      <w:r>
        <w:rPr>
          <w:rFonts w:eastAsiaTheme="minorEastAsia"/>
        </w:rPr>
        <w:t xml:space="preserve"> in </w:t>
      </w:r>
      <w:r w:rsidRPr="003957AA">
        <w:rPr>
          <w:rFonts w:eastAsiaTheme="minorEastAsia"/>
        </w:rPr>
        <w:fldChar w:fldCharType="begin"/>
      </w:r>
      <w:r w:rsidRPr="003957AA">
        <w:rPr>
          <w:rFonts w:eastAsiaTheme="minorEastAsia"/>
        </w:rPr>
        <w:instrText xml:space="preserve"> REF _Ref482330736 \h  \* MERGEFORMAT </w:instrText>
      </w:r>
      <w:r w:rsidRPr="003957AA">
        <w:rPr>
          <w:rFonts w:eastAsiaTheme="minorEastAsia"/>
        </w:rPr>
      </w:r>
      <w:r w:rsidRPr="003957AA">
        <w:rPr>
          <w:rFonts w:eastAsiaTheme="minorEastAsia"/>
        </w:rPr>
        <w:fldChar w:fldCharType="separate"/>
      </w:r>
      <w:r w:rsidR="00761861" w:rsidRPr="00761861">
        <w:t xml:space="preserve">Box </w:t>
      </w:r>
      <w:r w:rsidR="00761861" w:rsidRPr="00761861">
        <w:rPr>
          <w:noProof/>
        </w:rPr>
        <w:t>1.1</w:t>
      </w:r>
      <w:r w:rsidRPr="003957AA">
        <w:rPr>
          <w:rFonts w:eastAsiaTheme="minorEastAsia"/>
        </w:rPr>
        <w:fldChar w:fldCharType="end"/>
      </w:r>
      <w:r>
        <w:rPr>
          <w:rFonts w:eastAsiaTheme="minorEastAsia"/>
        </w:rPr>
        <w:t xml:space="preserve">. </w:t>
      </w:r>
    </w:p>
    <w:p w14:paraId="04D72E86" w14:textId="77777777" w:rsidR="007C6B51" w:rsidRDefault="00B7362D" w:rsidP="00B7362D">
      <w:pPr>
        <w:pStyle w:val="BodyText"/>
      </w:pPr>
      <w:r>
        <w:t xml:space="preserve">In the GMRG’s view, the recommendations are also fit for purpose and </w:t>
      </w:r>
      <w:r w:rsidR="000B0E84">
        <w:t>reflect the operational and technical requirements necessary for the safe and reliable operation of transportation assets</w:t>
      </w:r>
      <w:r>
        <w:t xml:space="preserve">. </w:t>
      </w:r>
      <w:r w:rsidR="007C6B51">
        <w:t xml:space="preserve">They also strike an appropriate balance between the legitimate business interests of service providers and other parties that have rights to use the assets, including both primary and secondary shippers. </w:t>
      </w:r>
    </w:p>
    <w:p w14:paraId="4E208AE5" w14:textId="77777777" w:rsidR="000B0E84" w:rsidRDefault="000B0E84" w:rsidP="00B7362D">
      <w:pPr>
        <w:pStyle w:val="BodyText"/>
        <w:rPr>
          <w:rFonts w:eastAsiaTheme="minorEastAsia"/>
        </w:rPr>
      </w:pPr>
      <w:r>
        <w:rPr>
          <w:rFonts w:eastAsiaTheme="minorEastAsia"/>
        </w:rPr>
        <w:t xml:space="preserve">The GMRG is therefore satisfied that the recommendations will </w:t>
      </w:r>
      <w:r w:rsidR="00B7362D">
        <w:rPr>
          <w:rFonts w:eastAsiaTheme="minorEastAsia"/>
        </w:rPr>
        <w:t xml:space="preserve">contribute to the achievement of the </w:t>
      </w:r>
      <w:r>
        <w:rPr>
          <w:rFonts w:eastAsiaTheme="minorEastAsia"/>
        </w:rPr>
        <w:t xml:space="preserve">NGO. </w:t>
      </w:r>
    </w:p>
    <w:p w14:paraId="517D4038" w14:textId="77777777" w:rsidR="000B0E84" w:rsidRPr="009C75DD" w:rsidRDefault="000B0E84" w:rsidP="001710D5">
      <w:pPr>
        <w:pStyle w:val="BodyText"/>
      </w:pPr>
      <w:r>
        <w:t>The remainder of this part of the report provides further detail on the GMRG’s final recommendations on the design of the capacity trading platform and the feedback stakeholders provided in response to the consultation paper.</w:t>
      </w:r>
    </w:p>
    <w:p w14:paraId="4D1573B1" w14:textId="77777777" w:rsidR="001710D5" w:rsidRDefault="001710D5" w:rsidP="00235905">
      <w:pPr>
        <w:pStyle w:val="BodyText"/>
      </w:pPr>
    </w:p>
    <w:p w14:paraId="4B0434DA" w14:textId="77777777" w:rsidR="001710D5" w:rsidRDefault="001710D5" w:rsidP="00235905">
      <w:pPr>
        <w:pStyle w:val="BodyText"/>
        <w:sectPr w:rsidR="001710D5" w:rsidSect="00CF1252">
          <w:headerReference w:type="even" r:id="rId64"/>
          <w:headerReference w:type="default" r:id="rId65"/>
          <w:footerReference w:type="default" r:id="rId66"/>
          <w:headerReference w:type="first" r:id="rId67"/>
          <w:pgSz w:w="11907" w:h="16839" w:code="9"/>
          <w:pgMar w:top="1361" w:right="1418" w:bottom="992" w:left="1701" w:header="567" w:footer="397" w:gutter="0"/>
          <w:cols w:space="708"/>
          <w:docGrid w:linePitch="360"/>
        </w:sectPr>
      </w:pPr>
    </w:p>
    <w:p w14:paraId="7B6C6A14" w14:textId="77777777" w:rsidR="001710D5" w:rsidRDefault="001710D5" w:rsidP="001710D5">
      <w:pPr>
        <w:pStyle w:val="Caption"/>
        <w:spacing w:before="0" w:after="0"/>
      </w:pPr>
      <w:r>
        <w:lastRenderedPageBreak/>
        <w:t xml:space="preserve">Table B.2: Summary of the GMRG’s final recommendations on the capacity trading platform </w:t>
      </w:r>
    </w:p>
    <w:tbl>
      <w:tblPr>
        <w:tblStyle w:val="TableGrid"/>
        <w:tblW w:w="14034" w:type="dxa"/>
        <w:tblInd w:w="-284" w:type="dxa"/>
        <w:tblLook w:val="04A0" w:firstRow="1" w:lastRow="0" w:firstColumn="1" w:lastColumn="0" w:noHBand="0" w:noVBand="1"/>
        <w:tblCaption w:val="Table B.2"/>
        <w:tblDescription w:val="Summary of the GMRG’s final recommendations on the capacity trading platform "/>
      </w:tblPr>
      <w:tblGrid>
        <w:gridCol w:w="1565"/>
        <w:gridCol w:w="12469"/>
      </w:tblGrid>
      <w:tr w:rsidR="001710D5" w:rsidRPr="00FA400C" w14:paraId="1DF1B39E" w14:textId="77777777" w:rsidTr="00635881">
        <w:trPr>
          <w:cnfStyle w:val="100000000000" w:firstRow="1" w:lastRow="0" w:firstColumn="0" w:lastColumn="0" w:oddVBand="0" w:evenVBand="0" w:oddHBand="0" w:evenHBand="0" w:firstRowFirstColumn="0" w:firstRowLastColumn="0" w:lastRowFirstColumn="0" w:lastRowLastColumn="0"/>
          <w:tblHeader/>
        </w:trPr>
        <w:tc>
          <w:tcPr>
            <w:tcW w:w="1565" w:type="dxa"/>
            <w:tcBorders>
              <w:bottom w:val="single" w:sz="4" w:space="0" w:color="auto"/>
            </w:tcBorders>
            <w:shd w:val="clear" w:color="auto" w:fill="0099CC"/>
          </w:tcPr>
          <w:p w14:paraId="092E8E22" w14:textId="77777777" w:rsidR="001710D5" w:rsidRPr="00FA400C" w:rsidRDefault="001710D5" w:rsidP="001710D5">
            <w:pPr>
              <w:pStyle w:val="BodyText"/>
              <w:spacing w:before="20" w:after="20" w:line="250" w:lineRule="auto"/>
              <w:rPr>
                <w:rFonts w:asciiTheme="majorHAnsi" w:hAnsiTheme="majorHAnsi" w:cstheme="majorHAnsi"/>
                <w:b w:val="0"/>
                <w:color w:val="FFFFFF" w:themeColor="background1"/>
                <w:szCs w:val="18"/>
              </w:rPr>
            </w:pPr>
            <w:r>
              <w:rPr>
                <w:rFonts w:asciiTheme="majorHAnsi" w:hAnsiTheme="majorHAnsi" w:cstheme="majorHAnsi"/>
                <w:color w:val="FFFFFF" w:themeColor="background1"/>
                <w:szCs w:val="18"/>
              </w:rPr>
              <w:t>Design Element</w:t>
            </w:r>
          </w:p>
        </w:tc>
        <w:tc>
          <w:tcPr>
            <w:tcW w:w="12469" w:type="dxa"/>
            <w:tcBorders>
              <w:bottom w:val="single" w:sz="4" w:space="0" w:color="auto"/>
            </w:tcBorders>
            <w:shd w:val="clear" w:color="auto" w:fill="0099CC"/>
          </w:tcPr>
          <w:p w14:paraId="5A0F7469" w14:textId="77777777" w:rsidR="001710D5" w:rsidRPr="00FA400C" w:rsidRDefault="001710D5" w:rsidP="001710D5">
            <w:pPr>
              <w:pStyle w:val="BodyText"/>
              <w:spacing w:before="20" w:after="20" w:line="250" w:lineRule="auto"/>
              <w:rPr>
                <w:rFonts w:asciiTheme="majorHAnsi" w:hAnsiTheme="majorHAnsi" w:cstheme="majorHAnsi"/>
                <w:b w:val="0"/>
                <w:color w:val="FFFFFF" w:themeColor="background1"/>
                <w:szCs w:val="18"/>
              </w:rPr>
            </w:pPr>
            <w:r w:rsidRPr="00FA400C">
              <w:rPr>
                <w:rFonts w:asciiTheme="majorHAnsi" w:hAnsiTheme="majorHAnsi" w:cstheme="majorHAnsi"/>
                <w:color w:val="FFFFFF" w:themeColor="background1"/>
                <w:szCs w:val="18"/>
              </w:rPr>
              <w:t>Recommendation</w:t>
            </w:r>
          </w:p>
        </w:tc>
      </w:tr>
      <w:tr w:rsidR="001710D5" w:rsidRPr="00FA400C" w14:paraId="73FF9A67" w14:textId="77777777" w:rsidTr="00635881">
        <w:tc>
          <w:tcPr>
            <w:tcW w:w="1565" w:type="dxa"/>
            <w:tcBorders>
              <w:bottom w:val="single" w:sz="4" w:space="0" w:color="auto"/>
            </w:tcBorders>
            <w:shd w:val="clear" w:color="auto" w:fill="FFFFFF" w:themeFill="background1"/>
          </w:tcPr>
          <w:p w14:paraId="5C847536" w14:textId="77777777" w:rsidR="001710D5" w:rsidRPr="00FA400C" w:rsidRDefault="001710D5" w:rsidP="001710D5">
            <w:pPr>
              <w:pStyle w:val="TableBodyText"/>
              <w:keepNext/>
              <w:spacing w:line="250" w:lineRule="auto"/>
              <w:rPr>
                <w:rFonts w:asciiTheme="majorHAnsi" w:hAnsiTheme="majorHAnsi" w:cstheme="majorHAnsi"/>
                <w:b/>
                <w:szCs w:val="18"/>
              </w:rPr>
            </w:pPr>
            <w:r w:rsidRPr="00FA400C">
              <w:rPr>
                <w:rFonts w:asciiTheme="majorHAnsi" w:hAnsiTheme="majorHAnsi" w:cstheme="majorHAnsi"/>
                <w:b/>
                <w:szCs w:val="18"/>
              </w:rPr>
              <w:t>Operation of the capacity trading platform</w:t>
            </w:r>
          </w:p>
        </w:tc>
        <w:tc>
          <w:tcPr>
            <w:tcW w:w="12469" w:type="dxa"/>
            <w:tcBorders>
              <w:bottom w:val="single" w:sz="4" w:space="0" w:color="auto"/>
            </w:tcBorders>
            <w:shd w:val="clear" w:color="auto" w:fill="FFFFFF" w:themeFill="background1"/>
          </w:tcPr>
          <w:p w14:paraId="60917706" w14:textId="77777777" w:rsidR="001710D5" w:rsidRPr="00FA400C" w:rsidRDefault="001710D5" w:rsidP="001710D5">
            <w:pPr>
              <w:pStyle w:val="TableBodyText"/>
              <w:keepNext/>
              <w:spacing w:line="250" w:lineRule="auto"/>
              <w:rPr>
                <w:rFonts w:asciiTheme="majorHAnsi" w:hAnsiTheme="majorHAnsi" w:cstheme="majorHAnsi"/>
                <w:szCs w:val="18"/>
                <w:lang w:eastAsia="fr-CA"/>
              </w:rPr>
            </w:pPr>
            <w:r>
              <w:rPr>
                <w:rFonts w:asciiTheme="majorHAnsi" w:hAnsiTheme="majorHAnsi" w:cstheme="majorHAnsi"/>
                <w:szCs w:val="18"/>
              </w:rPr>
              <w:t xml:space="preserve">The GMRG recommends that the </w:t>
            </w:r>
            <w:r w:rsidRPr="00FA400C">
              <w:rPr>
                <w:rFonts w:asciiTheme="majorHAnsi" w:hAnsiTheme="majorHAnsi" w:cstheme="majorHAnsi"/>
                <w:szCs w:val="18"/>
              </w:rPr>
              <w:t xml:space="preserve">capacity trading platform, which will </w:t>
            </w:r>
            <w:r>
              <w:rPr>
                <w:rFonts w:asciiTheme="majorHAnsi" w:hAnsiTheme="majorHAnsi" w:cstheme="majorHAnsi"/>
                <w:szCs w:val="18"/>
              </w:rPr>
              <w:t xml:space="preserve">be operated by AEMO and </w:t>
            </w:r>
            <w:r w:rsidRPr="00FA400C">
              <w:rPr>
                <w:rFonts w:asciiTheme="majorHAnsi" w:hAnsiTheme="majorHAnsi" w:cstheme="majorHAnsi"/>
                <w:szCs w:val="18"/>
              </w:rPr>
              <w:t>form part of the GSH trading exchange</w:t>
            </w:r>
            <w:r>
              <w:rPr>
                <w:rFonts w:asciiTheme="majorHAnsi" w:hAnsiTheme="majorHAnsi" w:cstheme="majorHAnsi"/>
                <w:szCs w:val="18"/>
              </w:rPr>
              <w:t>,</w:t>
            </w:r>
            <w:r w:rsidRPr="00FA400C">
              <w:rPr>
                <w:rFonts w:asciiTheme="majorHAnsi" w:hAnsiTheme="majorHAnsi" w:cstheme="majorHAnsi"/>
                <w:szCs w:val="18"/>
              </w:rPr>
              <w:t xml:space="preserve"> provide for both:</w:t>
            </w:r>
          </w:p>
          <w:p w14:paraId="47901C49" w14:textId="77777777" w:rsidR="001710D5" w:rsidRPr="00FA400C" w:rsidRDefault="00F1710A" w:rsidP="001710D5">
            <w:pPr>
              <w:pStyle w:val="TableBullet1"/>
              <w:keepNext/>
              <w:spacing w:line="250" w:lineRule="auto"/>
              <w:rPr>
                <w:rFonts w:asciiTheme="majorHAnsi" w:hAnsiTheme="majorHAnsi" w:cstheme="majorHAnsi"/>
                <w:szCs w:val="18"/>
              </w:rPr>
            </w:pPr>
            <w:r>
              <w:rPr>
                <w:rFonts w:asciiTheme="majorHAnsi" w:hAnsiTheme="majorHAnsi" w:cstheme="majorHAnsi"/>
                <w:b/>
                <w:szCs w:val="18"/>
              </w:rPr>
              <w:t>Exchange-based</w:t>
            </w:r>
            <w:r w:rsidR="001710D5" w:rsidRPr="00FA400C">
              <w:rPr>
                <w:rFonts w:asciiTheme="majorHAnsi" w:hAnsiTheme="majorHAnsi" w:cstheme="majorHAnsi"/>
                <w:b/>
                <w:szCs w:val="18"/>
              </w:rPr>
              <w:t xml:space="preserve"> trading</w:t>
            </w:r>
            <w:r w:rsidR="001710D5" w:rsidRPr="00FA400C">
              <w:rPr>
                <w:rFonts w:asciiTheme="majorHAnsi" w:hAnsiTheme="majorHAnsi" w:cstheme="majorHAnsi"/>
                <w:szCs w:val="18"/>
              </w:rPr>
              <w:t xml:space="preserve"> of commonly traded transportation (pipeline and compression) products, which can be conducted through either:</w:t>
            </w:r>
          </w:p>
          <w:p w14:paraId="7E9A0710" w14:textId="77777777" w:rsidR="001710D5" w:rsidRPr="00FA400C" w:rsidRDefault="001710D5" w:rsidP="00CF4594">
            <w:pPr>
              <w:pStyle w:val="TableBullet2"/>
              <w:keepNext/>
              <w:numPr>
                <w:ilvl w:val="1"/>
                <w:numId w:val="57"/>
              </w:numPr>
              <w:spacing w:line="250" w:lineRule="auto"/>
              <w:rPr>
                <w:szCs w:val="18"/>
              </w:rPr>
            </w:pPr>
            <w:r w:rsidRPr="00FA400C">
              <w:rPr>
                <w:szCs w:val="18"/>
              </w:rPr>
              <w:t xml:space="preserve">the screen trade service, which allows participants to place anonymous bids or offers for standardised products that are automatically matched; or </w:t>
            </w:r>
          </w:p>
          <w:p w14:paraId="760DFC40" w14:textId="77777777" w:rsidR="001710D5" w:rsidRPr="00FA400C" w:rsidRDefault="001710D5" w:rsidP="00CF4594">
            <w:pPr>
              <w:pStyle w:val="TableBullet2"/>
              <w:keepNext/>
              <w:numPr>
                <w:ilvl w:val="1"/>
                <w:numId w:val="57"/>
              </w:numPr>
              <w:spacing w:line="250" w:lineRule="auto"/>
              <w:rPr>
                <w:szCs w:val="18"/>
              </w:rPr>
            </w:pPr>
            <w:proofErr w:type="gramStart"/>
            <w:r w:rsidRPr="00FA400C">
              <w:rPr>
                <w:szCs w:val="18"/>
              </w:rPr>
              <w:t>the</w:t>
            </w:r>
            <w:proofErr w:type="gramEnd"/>
            <w:r w:rsidRPr="00FA400C">
              <w:rPr>
                <w:szCs w:val="18"/>
              </w:rPr>
              <w:t xml:space="preserve"> pre-matched trade service, which allows participants to bring a bilateral trade in one of the GSH products to the exchange for settlement.</w:t>
            </w:r>
          </w:p>
          <w:p w14:paraId="119324CE" w14:textId="77777777" w:rsidR="001710D5" w:rsidRPr="00FA400C" w:rsidRDefault="001710D5" w:rsidP="001710D5">
            <w:pPr>
              <w:pStyle w:val="TableBullet1"/>
              <w:keepNext/>
              <w:numPr>
                <w:ilvl w:val="0"/>
                <w:numId w:val="0"/>
              </w:numPr>
              <w:spacing w:line="250" w:lineRule="auto"/>
              <w:ind w:left="312"/>
              <w:rPr>
                <w:rFonts w:asciiTheme="majorHAnsi" w:hAnsiTheme="majorHAnsi" w:cstheme="majorHAnsi"/>
                <w:szCs w:val="18"/>
              </w:rPr>
            </w:pPr>
            <w:r w:rsidRPr="00FA400C">
              <w:rPr>
                <w:rFonts w:asciiTheme="majorHAnsi" w:hAnsiTheme="majorHAnsi" w:cstheme="majorHAnsi"/>
                <w:szCs w:val="18"/>
              </w:rPr>
              <w:t xml:space="preserve">The screen trade service will operate on a </w:t>
            </w:r>
            <w:r w:rsidRPr="000727AD">
              <w:rPr>
                <w:rFonts w:asciiTheme="majorHAnsi" w:hAnsiTheme="majorHAnsi" w:cstheme="majorHAnsi"/>
                <w:szCs w:val="18"/>
              </w:rPr>
              <w:t>fully anonymous basis (</w:t>
            </w:r>
            <w:r w:rsidRPr="00FA400C">
              <w:rPr>
                <w:rFonts w:asciiTheme="majorHAnsi" w:hAnsiTheme="majorHAnsi" w:cstheme="majorHAnsi"/>
                <w:szCs w:val="18"/>
              </w:rPr>
              <w:t xml:space="preserve">i.e. the names of counterparties will not be revealed pre-or post-transaction), with AEMO informing </w:t>
            </w:r>
            <w:r w:rsidRPr="00FA400C">
              <w:rPr>
                <w:szCs w:val="18"/>
                <w:lang w:eastAsia="fr-CA"/>
              </w:rPr>
              <w:t>the relevant service provider of the trade once it has been executed. The service provider will then confirm the trade with each counterparty separately, maintaining the anonymity of the trading parties through this process.</w:t>
            </w:r>
          </w:p>
          <w:p w14:paraId="54F7A88F" w14:textId="77777777" w:rsidR="001710D5" w:rsidRPr="00FA400C" w:rsidRDefault="001710D5" w:rsidP="001710D5">
            <w:pPr>
              <w:pStyle w:val="TableBullet1"/>
              <w:keepNext/>
              <w:spacing w:line="250" w:lineRule="auto"/>
              <w:rPr>
                <w:rFonts w:asciiTheme="majorHAnsi" w:hAnsiTheme="majorHAnsi" w:cstheme="majorHAnsi"/>
                <w:szCs w:val="18"/>
              </w:rPr>
            </w:pPr>
            <w:r w:rsidRPr="00FA400C">
              <w:rPr>
                <w:rFonts w:asciiTheme="majorHAnsi" w:hAnsiTheme="majorHAnsi" w:cstheme="majorHAnsi"/>
                <w:b/>
                <w:szCs w:val="18"/>
              </w:rPr>
              <w:t>A listing service</w:t>
            </w:r>
            <w:r w:rsidRPr="00FA400C">
              <w:rPr>
                <w:rFonts w:asciiTheme="majorHAnsi" w:hAnsiTheme="majorHAnsi" w:cstheme="majorHAnsi"/>
                <w:szCs w:val="18"/>
              </w:rPr>
              <w:t xml:space="preserve"> that shippers can use to list more bespoke transportation products and imbalance trades.</w:t>
            </w:r>
          </w:p>
          <w:p w14:paraId="3C0A58DB" w14:textId="77777777" w:rsidR="001710D5" w:rsidRPr="00FA400C" w:rsidRDefault="001710D5" w:rsidP="00632860">
            <w:pPr>
              <w:pStyle w:val="TableBullet1"/>
              <w:keepNext/>
              <w:numPr>
                <w:ilvl w:val="0"/>
                <w:numId w:val="0"/>
              </w:numPr>
              <w:spacing w:line="250" w:lineRule="auto"/>
              <w:ind w:left="85"/>
              <w:rPr>
                <w:rFonts w:asciiTheme="majorHAnsi" w:hAnsiTheme="majorHAnsi" w:cstheme="majorHAnsi"/>
                <w:szCs w:val="18"/>
              </w:rPr>
            </w:pPr>
            <w:r w:rsidRPr="00FA400C">
              <w:rPr>
                <w:rFonts w:asciiTheme="majorHAnsi" w:hAnsiTheme="majorHAnsi" w:cstheme="majorHAnsi"/>
                <w:szCs w:val="18"/>
              </w:rPr>
              <w:t xml:space="preserve">Trades conducted through the exchange will utilise existing GSH settlement, prudential and reporting frameworks, which means participants will receive one settlement statement for all </w:t>
            </w:r>
            <w:r>
              <w:rPr>
                <w:rFonts w:asciiTheme="majorHAnsi" w:hAnsiTheme="majorHAnsi" w:cstheme="majorHAnsi"/>
                <w:szCs w:val="18"/>
              </w:rPr>
              <w:t xml:space="preserve">traded </w:t>
            </w:r>
            <w:r w:rsidRPr="00FA400C">
              <w:rPr>
                <w:rFonts w:asciiTheme="majorHAnsi" w:hAnsiTheme="majorHAnsi" w:cstheme="majorHAnsi"/>
                <w:szCs w:val="18"/>
              </w:rPr>
              <w:t>products and</w:t>
            </w:r>
            <w:r w:rsidR="00632860">
              <w:rPr>
                <w:rFonts w:asciiTheme="majorHAnsi" w:hAnsiTheme="majorHAnsi" w:cstheme="majorHAnsi"/>
                <w:szCs w:val="18"/>
              </w:rPr>
              <w:t xml:space="preserve"> be</w:t>
            </w:r>
            <w:r w:rsidRPr="00FA400C">
              <w:rPr>
                <w:rFonts w:asciiTheme="majorHAnsi" w:hAnsiTheme="majorHAnsi" w:cstheme="majorHAnsi"/>
                <w:szCs w:val="18"/>
              </w:rPr>
              <w:t xml:space="preserve"> able to aggregate their prudential requirements across gas and secondary capacity products.</w:t>
            </w:r>
          </w:p>
        </w:tc>
      </w:tr>
      <w:tr w:rsidR="00993A3C" w:rsidRPr="00FA400C" w14:paraId="2BC885D1" w14:textId="77777777" w:rsidTr="00635881">
        <w:trPr>
          <w:cnfStyle w:val="000000010000" w:firstRow="0" w:lastRow="0" w:firstColumn="0" w:lastColumn="0" w:oddVBand="0" w:evenVBand="0" w:oddHBand="0" w:evenHBand="1" w:firstRowFirstColumn="0" w:firstRowLastColumn="0" w:lastRowFirstColumn="0" w:lastRowLastColumn="0"/>
        </w:trPr>
        <w:tc>
          <w:tcPr>
            <w:tcW w:w="1565" w:type="dxa"/>
            <w:tcBorders>
              <w:bottom w:val="single" w:sz="4" w:space="0" w:color="auto"/>
            </w:tcBorders>
          </w:tcPr>
          <w:p w14:paraId="2FD3613F" w14:textId="77777777" w:rsidR="00993A3C" w:rsidRPr="00993A3C" w:rsidRDefault="00993A3C" w:rsidP="00993A3C">
            <w:pPr>
              <w:pStyle w:val="BodyText"/>
              <w:keepNext/>
              <w:spacing w:before="60" w:after="60" w:line="250" w:lineRule="auto"/>
              <w:rPr>
                <w:rFonts w:asciiTheme="majorHAnsi" w:hAnsiTheme="majorHAnsi" w:cstheme="majorHAnsi"/>
                <w:b/>
                <w:szCs w:val="18"/>
              </w:rPr>
            </w:pPr>
            <w:r w:rsidRPr="00993A3C">
              <w:rPr>
                <w:rFonts w:asciiTheme="majorHAnsi" w:hAnsiTheme="majorHAnsi" w:cstheme="majorHAnsi"/>
                <w:b/>
                <w:szCs w:val="18"/>
              </w:rPr>
              <w:t xml:space="preserve">Initial set of services to be listed on the exchange </w:t>
            </w:r>
          </w:p>
        </w:tc>
        <w:tc>
          <w:tcPr>
            <w:tcW w:w="12469" w:type="dxa"/>
            <w:tcBorders>
              <w:bottom w:val="single" w:sz="4" w:space="0" w:color="auto"/>
            </w:tcBorders>
          </w:tcPr>
          <w:p w14:paraId="5B46833B" w14:textId="77777777" w:rsidR="00993A3C" w:rsidRDefault="00993A3C" w:rsidP="00993A3C">
            <w:pPr>
              <w:pStyle w:val="TableBodyText"/>
              <w:keepNext/>
              <w:spacing w:line="249" w:lineRule="auto"/>
              <w:rPr>
                <w:rFonts w:asciiTheme="majorHAnsi" w:hAnsiTheme="majorHAnsi" w:cstheme="majorHAnsi"/>
                <w:b/>
                <w:szCs w:val="18"/>
              </w:rPr>
            </w:pPr>
            <w:r>
              <w:rPr>
                <w:rFonts w:asciiTheme="majorHAnsi" w:hAnsiTheme="majorHAnsi" w:cstheme="majorHAnsi"/>
                <w:szCs w:val="18"/>
              </w:rPr>
              <w:t xml:space="preserve">The GMRG recommends that the initial set of standardised products to be sold on the exchange include: </w:t>
            </w:r>
          </w:p>
          <w:p w14:paraId="3B254401" w14:textId="77777777" w:rsidR="00993A3C" w:rsidRDefault="00993A3C" w:rsidP="00993A3C">
            <w:pPr>
              <w:pStyle w:val="TableBullet1"/>
              <w:keepNext/>
              <w:numPr>
                <w:ilvl w:val="0"/>
                <w:numId w:val="82"/>
              </w:numPr>
              <w:spacing w:line="249" w:lineRule="auto"/>
              <w:rPr>
                <w:rFonts w:asciiTheme="majorHAnsi" w:hAnsiTheme="majorHAnsi" w:cstheme="majorHAnsi"/>
                <w:szCs w:val="18"/>
              </w:rPr>
            </w:pPr>
            <w:r>
              <w:rPr>
                <w:rFonts w:asciiTheme="majorHAnsi" w:hAnsiTheme="majorHAnsi" w:cstheme="majorHAnsi"/>
                <w:szCs w:val="18"/>
              </w:rPr>
              <w:t>firm forward haul services on all major transmission pipelines (if the pipeline is bi-directional, services will be available in both directions);</w:t>
            </w:r>
          </w:p>
          <w:p w14:paraId="1FAE9E7A" w14:textId="77777777" w:rsidR="00993A3C" w:rsidRDefault="00993A3C" w:rsidP="00993A3C">
            <w:pPr>
              <w:pStyle w:val="TableBullet1"/>
              <w:keepNext/>
              <w:numPr>
                <w:ilvl w:val="0"/>
                <w:numId w:val="82"/>
              </w:numPr>
              <w:spacing w:line="249" w:lineRule="auto"/>
              <w:rPr>
                <w:rFonts w:asciiTheme="majorHAnsi" w:hAnsiTheme="majorHAnsi" w:cstheme="majorHAnsi"/>
                <w:szCs w:val="18"/>
              </w:rPr>
            </w:pPr>
            <w:r>
              <w:rPr>
                <w:rFonts w:asciiTheme="majorHAnsi" w:hAnsiTheme="majorHAnsi" w:cstheme="majorHAnsi"/>
                <w:szCs w:val="18"/>
              </w:rPr>
              <w:t xml:space="preserve">firm compression services at Moomba and Wallumbilla; and </w:t>
            </w:r>
          </w:p>
          <w:p w14:paraId="09026612" w14:textId="77777777" w:rsidR="00993A3C" w:rsidRDefault="00993A3C" w:rsidP="00993A3C">
            <w:pPr>
              <w:pStyle w:val="TableBullet1"/>
              <w:keepNext/>
              <w:numPr>
                <w:ilvl w:val="0"/>
                <w:numId w:val="82"/>
              </w:numPr>
              <w:spacing w:line="249" w:lineRule="auto"/>
              <w:rPr>
                <w:rFonts w:asciiTheme="majorHAnsi" w:hAnsiTheme="majorHAnsi" w:cstheme="majorHAnsi"/>
                <w:szCs w:val="18"/>
              </w:rPr>
            </w:pPr>
            <w:proofErr w:type="gramStart"/>
            <w:r>
              <w:rPr>
                <w:rFonts w:asciiTheme="majorHAnsi" w:hAnsiTheme="majorHAnsi" w:cstheme="majorHAnsi"/>
                <w:szCs w:val="18"/>
              </w:rPr>
              <w:t>firm</w:t>
            </w:r>
            <w:proofErr w:type="gramEnd"/>
            <w:r>
              <w:rPr>
                <w:rFonts w:asciiTheme="majorHAnsi" w:hAnsiTheme="majorHAnsi" w:cstheme="majorHAnsi"/>
                <w:szCs w:val="18"/>
              </w:rPr>
              <w:t xml:space="preserve"> park (storage) services on all the major transmission pipelines.</w:t>
            </w:r>
          </w:p>
          <w:p w14:paraId="3C127969" w14:textId="77777777" w:rsidR="00993A3C" w:rsidRPr="00FA400C" w:rsidRDefault="00993A3C" w:rsidP="00993A3C">
            <w:pPr>
              <w:pStyle w:val="TableBodyText"/>
              <w:keepNext/>
              <w:spacing w:line="250" w:lineRule="auto"/>
              <w:rPr>
                <w:rFonts w:asciiTheme="majorHAnsi" w:hAnsiTheme="majorHAnsi" w:cstheme="majorHAnsi"/>
                <w:szCs w:val="18"/>
              </w:rPr>
            </w:pPr>
            <w:r>
              <w:rPr>
                <w:rFonts w:asciiTheme="majorHAnsi" w:hAnsiTheme="majorHAnsi" w:cstheme="majorHAnsi"/>
                <w:szCs w:val="18"/>
              </w:rPr>
              <w:t xml:space="preserve">These products will be available as day-ahead, daily (available on a 6-day rolling basis), weekly (available on a 4 week rolling basis) and monthly (available on a 3 month rolling basis) products and will have a minimum contract size of 500 GJ/day. The terms and conditions on which the buyer can use these products will be set out in the </w:t>
            </w:r>
            <w:r w:rsidR="00632860">
              <w:rPr>
                <w:rFonts w:asciiTheme="majorHAnsi" w:hAnsiTheme="majorHAnsi" w:cstheme="majorHAnsi"/>
                <w:szCs w:val="18"/>
              </w:rPr>
              <w:t>o</w:t>
            </w:r>
            <w:r>
              <w:rPr>
                <w:rFonts w:asciiTheme="majorHAnsi" w:hAnsiTheme="majorHAnsi" w:cstheme="majorHAnsi"/>
                <w:szCs w:val="18"/>
              </w:rPr>
              <w:t xml:space="preserve">perational GTA, which, amongst other things, will specify the maximum hourly flexibility the buyer will have and provide the buyer with a reasonable endeavours renomination right. </w:t>
            </w:r>
          </w:p>
        </w:tc>
      </w:tr>
      <w:tr w:rsidR="00993A3C" w:rsidRPr="00FA400C" w14:paraId="57CF3488" w14:textId="77777777" w:rsidTr="00635881">
        <w:tc>
          <w:tcPr>
            <w:tcW w:w="1565" w:type="dxa"/>
            <w:tcBorders>
              <w:bottom w:val="single" w:sz="4" w:space="0" w:color="auto"/>
            </w:tcBorders>
            <w:shd w:val="clear" w:color="auto" w:fill="FFFFFF" w:themeFill="background1"/>
          </w:tcPr>
          <w:p w14:paraId="46C26024" w14:textId="77777777" w:rsidR="00993A3C" w:rsidRPr="00993A3C" w:rsidRDefault="00993A3C" w:rsidP="00993A3C">
            <w:pPr>
              <w:pStyle w:val="BodyText"/>
              <w:spacing w:before="60" w:after="60" w:line="250" w:lineRule="auto"/>
              <w:rPr>
                <w:rFonts w:asciiTheme="majorHAnsi" w:hAnsiTheme="majorHAnsi" w:cstheme="majorHAnsi"/>
                <w:b/>
                <w:szCs w:val="18"/>
              </w:rPr>
            </w:pPr>
            <w:r w:rsidRPr="00993A3C">
              <w:rPr>
                <w:rFonts w:asciiTheme="majorHAnsi" w:hAnsiTheme="majorHAnsi" w:cstheme="majorHAnsi"/>
                <w:b/>
                <w:szCs w:val="18"/>
              </w:rPr>
              <w:t>Zonal model</w:t>
            </w:r>
          </w:p>
        </w:tc>
        <w:tc>
          <w:tcPr>
            <w:tcW w:w="12469" w:type="dxa"/>
            <w:tcBorders>
              <w:bottom w:val="single" w:sz="4" w:space="0" w:color="auto"/>
            </w:tcBorders>
            <w:shd w:val="clear" w:color="auto" w:fill="FFFFFF" w:themeFill="background1"/>
          </w:tcPr>
          <w:p w14:paraId="29EF2E47" w14:textId="77777777" w:rsidR="00993A3C" w:rsidRPr="00FA400C" w:rsidRDefault="00993A3C" w:rsidP="00993A3C">
            <w:pPr>
              <w:pStyle w:val="TableBodyText"/>
              <w:spacing w:line="250" w:lineRule="auto"/>
              <w:rPr>
                <w:rFonts w:asciiTheme="majorHAnsi" w:hAnsiTheme="majorHAnsi" w:cstheme="majorHAnsi"/>
                <w:color w:val="000000"/>
                <w:szCs w:val="18"/>
              </w:rPr>
            </w:pPr>
            <w:r>
              <w:rPr>
                <w:rFonts w:asciiTheme="majorHAnsi" w:hAnsiTheme="majorHAnsi" w:cstheme="majorHAnsi"/>
                <w:szCs w:val="18"/>
              </w:rPr>
              <w:t xml:space="preserve">The GMRG recommends that a zonal model with secondary firm rights at receipt and delivery points be used to maximise the pool of prospective buyers and sellers of firm forward haul services through the capacity trading platform. To implement this model, receipt and delivery point zones will need to be established on each pipeline that will be listed on the exchange and will need to reflect the technical pipeline requirements and market requirements.  </w:t>
            </w:r>
          </w:p>
        </w:tc>
      </w:tr>
      <w:tr w:rsidR="00993A3C" w:rsidRPr="00FA400C" w14:paraId="7100DCDB" w14:textId="77777777" w:rsidTr="00635881">
        <w:trPr>
          <w:cnfStyle w:val="000000010000" w:firstRow="0" w:lastRow="0" w:firstColumn="0" w:lastColumn="0" w:oddVBand="0" w:evenVBand="0" w:oddHBand="0" w:evenHBand="1" w:firstRowFirstColumn="0" w:firstRowLastColumn="0" w:lastRowFirstColumn="0" w:lastRowLastColumn="0"/>
        </w:trPr>
        <w:tc>
          <w:tcPr>
            <w:tcW w:w="1565" w:type="dxa"/>
            <w:tcBorders>
              <w:bottom w:val="single" w:sz="4" w:space="0" w:color="auto"/>
            </w:tcBorders>
          </w:tcPr>
          <w:p w14:paraId="431F1DF9" w14:textId="77777777" w:rsidR="00993A3C" w:rsidRPr="00993A3C" w:rsidRDefault="00993A3C" w:rsidP="00993A3C">
            <w:pPr>
              <w:pStyle w:val="BodyText"/>
              <w:spacing w:before="60" w:after="60" w:line="250" w:lineRule="auto"/>
              <w:rPr>
                <w:rFonts w:asciiTheme="majorHAnsi" w:hAnsiTheme="majorHAnsi" w:cstheme="majorHAnsi"/>
                <w:b/>
                <w:szCs w:val="18"/>
              </w:rPr>
            </w:pPr>
            <w:r w:rsidRPr="00993A3C">
              <w:rPr>
                <w:rFonts w:asciiTheme="majorHAnsi" w:hAnsiTheme="majorHAnsi" w:cstheme="majorHAnsi"/>
                <w:b/>
                <w:szCs w:val="18"/>
              </w:rPr>
              <w:t>Management of financial and delivery default risks</w:t>
            </w:r>
          </w:p>
        </w:tc>
        <w:tc>
          <w:tcPr>
            <w:tcW w:w="12469" w:type="dxa"/>
            <w:tcBorders>
              <w:bottom w:val="single" w:sz="4" w:space="0" w:color="auto"/>
            </w:tcBorders>
          </w:tcPr>
          <w:p w14:paraId="1BCDA7C2" w14:textId="77777777" w:rsidR="00993A3C" w:rsidRDefault="00993A3C" w:rsidP="00993A3C">
            <w:pPr>
              <w:pStyle w:val="TableBodyText"/>
              <w:spacing w:line="249" w:lineRule="auto"/>
              <w:rPr>
                <w:rFonts w:asciiTheme="majorHAnsi" w:hAnsiTheme="majorHAnsi" w:cstheme="majorHAnsi"/>
                <w:szCs w:val="18"/>
              </w:rPr>
            </w:pPr>
            <w:r>
              <w:rPr>
                <w:rFonts w:asciiTheme="majorHAnsi" w:hAnsiTheme="majorHAnsi" w:cstheme="majorHAnsi"/>
                <w:szCs w:val="18"/>
              </w:rPr>
              <w:t>There are two key risks that buyers will be exposed to under the proposed design of the capacity trading platform:</w:t>
            </w:r>
          </w:p>
          <w:p w14:paraId="3BA99033" w14:textId="77777777" w:rsidR="00993A3C" w:rsidRDefault="00993A3C" w:rsidP="00993A3C">
            <w:pPr>
              <w:pStyle w:val="TableBullet1"/>
              <w:numPr>
                <w:ilvl w:val="0"/>
                <w:numId w:val="82"/>
              </w:numPr>
              <w:spacing w:line="249" w:lineRule="auto"/>
              <w:rPr>
                <w:rFonts w:asciiTheme="majorHAnsi" w:hAnsiTheme="majorHAnsi" w:cstheme="majorHAnsi"/>
                <w:szCs w:val="18"/>
              </w:rPr>
            </w:pPr>
            <w:r>
              <w:rPr>
                <w:rFonts w:asciiTheme="majorHAnsi" w:hAnsiTheme="majorHAnsi" w:cstheme="majorHAnsi"/>
                <w:szCs w:val="18"/>
              </w:rPr>
              <w:t xml:space="preserve">The seller’s primary GTA is terminated by the service provider: In this case, the GMRG recommends that the service provider be obliged to honour the transaction for up to two weeks after the primary GTA is terminated and receive the price established through the exchange in return for doing so. The GMRG believes this approach is necessary because the buyer will not know the seller’s identity so will be unable to carry out its own assessment of the financial viability of its counterparty prior to entering into the trade. By keeping the trade on foot for two weeks, buyers will have time to find alternative arrangements, which will promote an orderly transition and minimise the impact of default on the gas market. </w:t>
            </w:r>
          </w:p>
          <w:p w14:paraId="730DBC61" w14:textId="77777777" w:rsidR="00993A3C" w:rsidRPr="00FA400C" w:rsidRDefault="00993A3C" w:rsidP="00993A3C">
            <w:pPr>
              <w:pStyle w:val="TableBullet1"/>
              <w:numPr>
                <w:ilvl w:val="0"/>
                <w:numId w:val="57"/>
              </w:numPr>
              <w:spacing w:line="250" w:lineRule="auto"/>
              <w:rPr>
                <w:rFonts w:asciiTheme="majorHAnsi" w:hAnsiTheme="majorHAnsi" w:cstheme="majorHAnsi"/>
                <w:szCs w:val="18"/>
              </w:rPr>
            </w:pPr>
            <w:r>
              <w:rPr>
                <w:rFonts w:asciiTheme="majorHAnsi" w:hAnsiTheme="majorHAnsi" w:cstheme="majorHAnsi"/>
                <w:szCs w:val="18"/>
              </w:rPr>
              <w:t>The seller short-sells capacity: In this case, the GMRG recommends that service providers give the seller an hour to rectify the short position and if it can’t be rectified, the trade cancelled and the buyer(s) compensated. Because individual counterparties will not be known, if a trade is cancelled all secondary shippers’ capacity would be pro-rated down.</w:t>
            </w:r>
          </w:p>
        </w:tc>
      </w:tr>
      <w:tr w:rsidR="001710D5" w:rsidRPr="00FA400C" w14:paraId="3B955AC7" w14:textId="77777777" w:rsidTr="00635881">
        <w:tc>
          <w:tcPr>
            <w:tcW w:w="1565" w:type="dxa"/>
            <w:tcBorders>
              <w:bottom w:val="single" w:sz="4" w:space="0" w:color="auto"/>
            </w:tcBorders>
            <w:shd w:val="clear" w:color="auto" w:fill="FFFFFF" w:themeFill="background1"/>
          </w:tcPr>
          <w:p w14:paraId="4925B512" w14:textId="77777777" w:rsidR="001710D5" w:rsidRPr="00FA400C" w:rsidRDefault="001710D5" w:rsidP="001710D5">
            <w:pPr>
              <w:pStyle w:val="BodyText"/>
              <w:spacing w:before="60" w:after="60" w:line="250" w:lineRule="auto"/>
              <w:rPr>
                <w:rFonts w:asciiTheme="majorHAnsi" w:hAnsiTheme="majorHAnsi" w:cstheme="majorHAnsi"/>
                <w:b/>
                <w:szCs w:val="18"/>
              </w:rPr>
            </w:pPr>
            <w:r w:rsidRPr="00FA400C">
              <w:rPr>
                <w:rFonts w:asciiTheme="majorHAnsi" w:hAnsiTheme="majorHAnsi" w:cstheme="majorHAnsi"/>
                <w:b/>
                <w:szCs w:val="18"/>
              </w:rPr>
              <w:t>Governance arrangements</w:t>
            </w:r>
          </w:p>
        </w:tc>
        <w:tc>
          <w:tcPr>
            <w:tcW w:w="12469" w:type="dxa"/>
            <w:tcBorders>
              <w:bottom w:val="single" w:sz="4" w:space="0" w:color="auto"/>
            </w:tcBorders>
            <w:shd w:val="clear" w:color="auto" w:fill="FFFFFF" w:themeFill="background1"/>
          </w:tcPr>
          <w:p w14:paraId="46A04297" w14:textId="77777777" w:rsidR="001710D5" w:rsidRDefault="001710D5" w:rsidP="001710D5">
            <w:pPr>
              <w:pStyle w:val="TableBullet1"/>
              <w:numPr>
                <w:ilvl w:val="0"/>
                <w:numId w:val="0"/>
              </w:numPr>
              <w:spacing w:line="250" w:lineRule="auto"/>
              <w:ind w:left="85"/>
              <w:rPr>
                <w:rFonts w:asciiTheme="majorHAnsi" w:hAnsiTheme="majorHAnsi" w:cstheme="majorHAnsi"/>
                <w:szCs w:val="18"/>
              </w:rPr>
            </w:pPr>
            <w:r w:rsidRPr="00FA400C">
              <w:rPr>
                <w:rFonts w:asciiTheme="majorHAnsi" w:hAnsiTheme="majorHAnsi" w:cstheme="majorHAnsi"/>
                <w:szCs w:val="18"/>
              </w:rPr>
              <w:t xml:space="preserve">The </w:t>
            </w:r>
            <w:r>
              <w:rPr>
                <w:rFonts w:asciiTheme="majorHAnsi" w:hAnsiTheme="majorHAnsi" w:cstheme="majorHAnsi"/>
                <w:szCs w:val="18"/>
              </w:rPr>
              <w:t xml:space="preserve">GMRG recommends that the </w:t>
            </w:r>
            <w:r w:rsidRPr="00FA400C">
              <w:rPr>
                <w:rFonts w:asciiTheme="majorHAnsi" w:hAnsiTheme="majorHAnsi" w:cstheme="majorHAnsi"/>
                <w:szCs w:val="18"/>
              </w:rPr>
              <w:t xml:space="preserve">governance framework that currently applies to the GSH be maintained, but </w:t>
            </w:r>
            <w:r>
              <w:rPr>
                <w:rFonts w:asciiTheme="majorHAnsi" w:hAnsiTheme="majorHAnsi" w:cstheme="majorHAnsi"/>
                <w:szCs w:val="18"/>
              </w:rPr>
              <w:t xml:space="preserve">the necessary </w:t>
            </w:r>
            <w:r w:rsidRPr="00FA400C">
              <w:rPr>
                <w:rFonts w:asciiTheme="majorHAnsi" w:hAnsiTheme="majorHAnsi" w:cstheme="majorHAnsi"/>
                <w:szCs w:val="18"/>
              </w:rPr>
              <w:t xml:space="preserve">changes </w:t>
            </w:r>
            <w:r>
              <w:rPr>
                <w:rFonts w:asciiTheme="majorHAnsi" w:hAnsiTheme="majorHAnsi" w:cstheme="majorHAnsi"/>
                <w:szCs w:val="18"/>
              </w:rPr>
              <w:t xml:space="preserve">be made </w:t>
            </w:r>
            <w:r w:rsidRPr="00FA400C">
              <w:rPr>
                <w:rFonts w:asciiTheme="majorHAnsi" w:hAnsiTheme="majorHAnsi" w:cstheme="majorHAnsi"/>
                <w:szCs w:val="18"/>
              </w:rPr>
              <w:t xml:space="preserve">to the </w:t>
            </w:r>
            <w:r>
              <w:rPr>
                <w:rFonts w:asciiTheme="majorHAnsi" w:hAnsiTheme="majorHAnsi" w:cstheme="majorHAnsi"/>
                <w:szCs w:val="18"/>
              </w:rPr>
              <w:t xml:space="preserve">NGR, the </w:t>
            </w:r>
            <w:r w:rsidRPr="00FA400C">
              <w:rPr>
                <w:rFonts w:asciiTheme="majorHAnsi" w:hAnsiTheme="majorHAnsi" w:cstheme="majorHAnsi"/>
                <w:szCs w:val="18"/>
              </w:rPr>
              <w:t>Exchange Agreement</w:t>
            </w:r>
            <w:r>
              <w:rPr>
                <w:rFonts w:asciiTheme="majorHAnsi" w:hAnsiTheme="majorHAnsi" w:cstheme="majorHAnsi"/>
                <w:szCs w:val="18"/>
              </w:rPr>
              <w:t xml:space="preserve"> and procedures </w:t>
            </w:r>
            <w:r w:rsidRPr="00FA400C">
              <w:rPr>
                <w:rFonts w:asciiTheme="majorHAnsi" w:hAnsiTheme="majorHAnsi" w:cstheme="majorHAnsi"/>
                <w:szCs w:val="18"/>
              </w:rPr>
              <w:t xml:space="preserve">to accommodate capacity trading and the recommendations set out above. </w:t>
            </w:r>
          </w:p>
          <w:p w14:paraId="0D276689" w14:textId="77777777" w:rsidR="001710D5" w:rsidRPr="00FA400C" w:rsidRDefault="001710D5" w:rsidP="001710D5">
            <w:pPr>
              <w:pStyle w:val="TableBullet1"/>
              <w:numPr>
                <w:ilvl w:val="0"/>
                <w:numId w:val="0"/>
              </w:numPr>
              <w:spacing w:line="250" w:lineRule="auto"/>
              <w:ind w:left="85"/>
              <w:rPr>
                <w:rFonts w:asciiTheme="majorHAnsi" w:hAnsiTheme="majorHAnsi" w:cstheme="majorHAnsi"/>
                <w:szCs w:val="18"/>
              </w:rPr>
            </w:pPr>
            <w:r w:rsidRPr="00FA400C">
              <w:rPr>
                <w:rFonts w:asciiTheme="majorHAnsi" w:hAnsiTheme="majorHAnsi" w:cstheme="majorHAnsi"/>
                <w:szCs w:val="18"/>
              </w:rPr>
              <w:t>In relation to the zonal model, the GMRG recommends that any proposal to change the zones</w:t>
            </w:r>
            <w:r>
              <w:rPr>
                <w:rFonts w:asciiTheme="majorHAnsi" w:hAnsiTheme="majorHAnsi" w:cstheme="majorHAnsi"/>
                <w:szCs w:val="18"/>
              </w:rPr>
              <w:t xml:space="preserve"> </w:t>
            </w:r>
            <w:r w:rsidRPr="00FA400C">
              <w:rPr>
                <w:rFonts w:asciiTheme="majorHAnsi" w:hAnsiTheme="majorHAnsi" w:cstheme="majorHAnsi"/>
                <w:szCs w:val="18"/>
              </w:rPr>
              <w:t xml:space="preserve">be submitted to the Industry Panel for consideration </w:t>
            </w:r>
            <w:r>
              <w:rPr>
                <w:rFonts w:asciiTheme="majorHAnsi" w:hAnsiTheme="majorHAnsi" w:cstheme="majorHAnsi"/>
                <w:szCs w:val="18"/>
              </w:rPr>
              <w:t xml:space="preserve">and approved by the </w:t>
            </w:r>
            <w:r w:rsidRPr="00FA400C">
              <w:rPr>
                <w:rFonts w:asciiTheme="majorHAnsi" w:hAnsiTheme="majorHAnsi" w:cstheme="majorHAnsi"/>
                <w:szCs w:val="18"/>
              </w:rPr>
              <w:t xml:space="preserve">AER. </w:t>
            </w:r>
            <w:r>
              <w:rPr>
                <w:rFonts w:asciiTheme="majorHAnsi" w:hAnsiTheme="majorHAnsi" w:cstheme="majorHAnsi"/>
                <w:szCs w:val="18"/>
              </w:rPr>
              <w:t xml:space="preserve"> Principles will be included in the NGR to guide this process and enable any person to make a request to change the zone.</w:t>
            </w:r>
          </w:p>
        </w:tc>
      </w:tr>
    </w:tbl>
    <w:p w14:paraId="6BC8694B" w14:textId="77777777" w:rsidR="001710D5" w:rsidRPr="001710D5" w:rsidRDefault="001710D5" w:rsidP="001710D5">
      <w:pPr>
        <w:pStyle w:val="BodyText"/>
        <w:spacing w:before="0" w:after="0" w:line="240" w:lineRule="auto"/>
        <w:rPr>
          <w:sz w:val="2"/>
          <w:szCs w:val="2"/>
        </w:rPr>
      </w:pPr>
    </w:p>
    <w:p w14:paraId="027C5CC2" w14:textId="77777777" w:rsidR="001710D5" w:rsidRPr="001710D5" w:rsidRDefault="001710D5" w:rsidP="001710D5">
      <w:pPr>
        <w:pStyle w:val="BodyText"/>
        <w:spacing w:before="0" w:after="0" w:line="240" w:lineRule="auto"/>
        <w:rPr>
          <w:sz w:val="2"/>
          <w:szCs w:val="2"/>
        </w:rPr>
        <w:sectPr w:rsidR="001710D5" w:rsidRPr="001710D5" w:rsidSect="001710D5">
          <w:pgSz w:w="16839" w:h="11907" w:orient="landscape" w:code="9"/>
          <w:pgMar w:top="1361" w:right="1418" w:bottom="567" w:left="1701" w:header="567" w:footer="84" w:gutter="0"/>
          <w:cols w:space="708"/>
          <w:docGrid w:linePitch="360"/>
        </w:sectPr>
      </w:pPr>
    </w:p>
    <w:p w14:paraId="77FF315A" w14:textId="77777777" w:rsidR="00C34E9D" w:rsidRPr="009C53F3" w:rsidRDefault="00A95183" w:rsidP="00145D10">
      <w:pPr>
        <w:pStyle w:val="Heading1"/>
        <w:spacing w:before="0"/>
      </w:pPr>
      <w:bookmarkStart w:id="121" w:name="_Toc499542659"/>
      <w:bookmarkStart w:id="122" w:name="_Toc489464933"/>
      <w:r w:rsidRPr="009C53F3">
        <w:lastRenderedPageBreak/>
        <w:t xml:space="preserve">Initial Set of </w:t>
      </w:r>
      <w:r w:rsidR="00C64740" w:rsidRPr="009C53F3">
        <w:t xml:space="preserve">Capacity </w:t>
      </w:r>
      <w:r w:rsidR="00F626E0" w:rsidRPr="009C53F3">
        <w:t>Products</w:t>
      </w:r>
      <w:bookmarkEnd w:id="121"/>
      <w:r w:rsidR="00F626E0" w:rsidRPr="009C53F3">
        <w:t xml:space="preserve"> </w:t>
      </w:r>
      <w:bookmarkEnd w:id="122"/>
    </w:p>
    <w:p w14:paraId="1415305A" w14:textId="77777777" w:rsidR="009C53F3" w:rsidRDefault="009C53F3" w:rsidP="009C53F3">
      <w:pPr>
        <w:pStyle w:val="BodyText"/>
      </w:pPr>
      <w:r>
        <w:t xml:space="preserve">In the </w:t>
      </w:r>
      <w:r>
        <w:rPr>
          <w:i/>
        </w:rPr>
        <w:t>East Coast Review</w:t>
      </w:r>
      <w:r>
        <w:t>, the AEMC noted that the capacity trading platform could be used to sell a range of services on a firm, as available or interruptible basis including:</w:t>
      </w:r>
      <w:r>
        <w:rPr>
          <w:rStyle w:val="FootnoteReference"/>
          <w:rFonts w:eastAsiaTheme="majorEastAsia"/>
        </w:rPr>
        <w:footnoteReference w:id="63"/>
      </w:r>
      <w:r>
        <w:t xml:space="preserve"> </w:t>
      </w:r>
    </w:p>
    <w:p w14:paraId="0BECB168" w14:textId="77777777" w:rsidR="009C53F3" w:rsidRDefault="009C53F3" w:rsidP="00CF4594">
      <w:pPr>
        <w:pStyle w:val="ListBullet"/>
        <w:numPr>
          <w:ilvl w:val="0"/>
          <w:numId w:val="72"/>
        </w:numPr>
      </w:pPr>
      <w:r>
        <w:t>transportation services, such as forward haul, backhaul or bi-directional services;</w:t>
      </w:r>
    </w:p>
    <w:p w14:paraId="125EABEA" w14:textId="77777777" w:rsidR="009C53F3" w:rsidRDefault="009C53F3" w:rsidP="00CF4594">
      <w:pPr>
        <w:pStyle w:val="ListBullet"/>
        <w:numPr>
          <w:ilvl w:val="0"/>
          <w:numId w:val="72"/>
        </w:numPr>
      </w:pPr>
      <w:r>
        <w:t>pipeline storage services, such as park</w:t>
      </w:r>
      <w:r>
        <w:rPr>
          <w:rStyle w:val="FootnoteReference"/>
          <w:rFonts w:eastAsiaTheme="majorEastAsia"/>
        </w:rPr>
        <w:footnoteReference w:id="64"/>
      </w:r>
      <w:r>
        <w:t xml:space="preserve"> or loan</w:t>
      </w:r>
      <w:r>
        <w:rPr>
          <w:rStyle w:val="FootnoteReference"/>
          <w:rFonts w:eastAsiaTheme="majorEastAsia"/>
        </w:rPr>
        <w:footnoteReference w:id="65"/>
      </w:r>
      <w:r>
        <w:t xml:space="preserve"> services; and</w:t>
      </w:r>
    </w:p>
    <w:p w14:paraId="54F5EE46" w14:textId="77777777" w:rsidR="009C53F3" w:rsidRDefault="009C53F3" w:rsidP="00CF4594">
      <w:pPr>
        <w:pStyle w:val="ListBullet"/>
        <w:numPr>
          <w:ilvl w:val="0"/>
          <w:numId w:val="72"/>
        </w:numPr>
      </w:pPr>
      <w:proofErr w:type="gramStart"/>
      <w:r>
        <w:t>hub</w:t>
      </w:r>
      <w:proofErr w:type="gramEnd"/>
      <w:r>
        <w:t xml:space="preserve"> compression services. </w:t>
      </w:r>
    </w:p>
    <w:p w14:paraId="79C2CB18" w14:textId="77777777" w:rsidR="009C53F3" w:rsidRDefault="009C53F3" w:rsidP="009C53F3">
      <w:pPr>
        <w:pStyle w:val="BodyText"/>
        <w:rPr>
          <w:rFonts w:asciiTheme="majorHAnsi" w:hAnsiTheme="majorHAnsi" w:cstheme="majorHAnsi"/>
          <w:color w:val="000000"/>
        </w:rPr>
      </w:pPr>
      <w:r>
        <w:t>While the AEMC was of the view that as many services as possible should be capable of being traded on the platform, it noted that in the initial stages of development there may be value in avoiding any unnecessary complexity by, for example, limiting the services to be sold to the most popular trans</w:t>
      </w:r>
      <w:r>
        <w:rPr>
          <w:rFonts w:asciiTheme="majorHAnsi" w:hAnsiTheme="majorHAnsi" w:cstheme="majorHAnsi"/>
        </w:rPr>
        <w:t>portation routes at market start.</w:t>
      </w:r>
      <w:r>
        <w:rPr>
          <w:rStyle w:val="FootnoteReference"/>
          <w:rFonts w:eastAsiaTheme="majorEastAsia" w:cstheme="majorHAnsi"/>
        </w:rPr>
        <w:footnoteReference w:id="66"/>
      </w:r>
      <w:r>
        <w:rPr>
          <w:rFonts w:asciiTheme="majorHAnsi" w:hAnsiTheme="majorHAnsi" w:cstheme="majorHAnsi"/>
        </w:rPr>
        <w:t xml:space="preserve"> The AEMC also noted that </w:t>
      </w:r>
      <w:r>
        <w:rPr>
          <w:rFonts w:asciiTheme="majorHAnsi" w:hAnsiTheme="majorHAnsi" w:cstheme="majorHAnsi"/>
          <w:color w:val="000000"/>
        </w:rPr>
        <w:t>to maximise the pool of potential buyers and sellers of secondary capacity via the exchange, some degree of product standardisation would be required.</w:t>
      </w:r>
    </w:p>
    <w:p w14:paraId="40F6457D" w14:textId="77777777" w:rsidR="009C53F3" w:rsidRDefault="009C53F3" w:rsidP="009C53F3">
      <w:pPr>
        <w:pStyle w:val="BodyText"/>
      </w:pPr>
      <w:r>
        <w:t xml:space="preserve">The remainder of this </w:t>
      </w:r>
      <w:r w:rsidRPr="001E46B3">
        <w:t xml:space="preserve">chapter sets out </w:t>
      </w:r>
      <w:r>
        <w:t xml:space="preserve">the </w:t>
      </w:r>
      <w:r w:rsidRPr="001E46B3">
        <w:t>GMRG</w:t>
      </w:r>
      <w:r>
        <w:t>’s</w:t>
      </w:r>
      <w:r w:rsidRPr="001E46B3">
        <w:t xml:space="preserve"> </w:t>
      </w:r>
      <w:r>
        <w:t xml:space="preserve">final </w:t>
      </w:r>
      <w:r w:rsidRPr="001E46B3">
        <w:t>recommendations on</w:t>
      </w:r>
      <w:r>
        <w:t>:</w:t>
      </w:r>
      <w:r w:rsidRPr="001E46B3">
        <w:t xml:space="preserve"> </w:t>
      </w:r>
    </w:p>
    <w:p w14:paraId="42D4AA4C" w14:textId="77777777" w:rsidR="009C53F3" w:rsidRDefault="009C53F3" w:rsidP="009C53F3">
      <w:pPr>
        <w:pStyle w:val="ListBullet"/>
        <w:rPr>
          <w:rFonts w:eastAsiaTheme="majorEastAsia"/>
        </w:rPr>
      </w:pPr>
      <w:r>
        <w:t xml:space="preserve">the </w:t>
      </w:r>
      <w:r>
        <w:rPr>
          <w:rFonts w:eastAsiaTheme="majorEastAsia"/>
        </w:rPr>
        <w:t>products that should be available on the exchange at market start;</w:t>
      </w:r>
    </w:p>
    <w:p w14:paraId="7395EFEF" w14:textId="77777777" w:rsidR="00D4624E" w:rsidRDefault="00D4624E" w:rsidP="009C53F3">
      <w:pPr>
        <w:pStyle w:val="ListBullet"/>
        <w:rPr>
          <w:rFonts w:eastAsiaTheme="majorEastAsia"/>
        </w:rPr>
      </w:pPr>
      <w:r>
        <w:rPr>
          <w:rFonts w:eastAsiaTheme="majorEastAsia"/>
        </w:rPr>
        <w:t xml:space="preserve">how the pool of prospective buyers and sellers of products will be </w:t>
      </w:r>
      <w:r w:rsidR="00993A3C">
        <w:rPr>
          <w:rFonts w:eastAsiaTheme="majorEastAsia"/>
        </w:rPr>
        <w:t>maximised</w:t>
      </w:r>
      <w:r>
        <w:rPr>
          <w:rFonts w:eastAsiaTheme="majorEastAsia"/>
        </w:rPr>
        <w:t>;</w:t>
      </w:r>
    </w:p>
    <w:p w14:paraId="5A22AB38" w14:textId="77777777" w:rsidR="009C53F3" w:rsidRDefault="009C53F3" w:rsidP="009C53F3">
      <w:pPr>
        <w:pStyle w:val="ListBullet"/>
        <w:rPr>
          <w:rFonts w:eastAsiaTheme="majorEastAsia"/>
        </w:rPr>
      </w:pPr>
      <w:r>
        <w:rPr>
          <w:rFonts w:eastAsiaTheme="majorEastAsia"/>
        </w:rPr>
        <w:t xml:space="preserve">how the exchange traded products should be standardised; </w:t>
      </w:r>
      <w:r w:rsidR="00EB7368">
        <w:rPr>
          <w:rFonts w:eastAsiaTheme="majorEastAsia"/>
        </w:rPr>
        <w:t>and</w:t>
      </w:r>
    </w:p>
    <w:p w14:paraId="7F0F65DF" w14:textId="77777777" w:rsidR="009C53F3" w:rsidRPr="00D4624E" w:rsidRDefault="00C42B52" w:rsidP="00D4624E">
      <w:pPr>
        <w:pStyle w:val="ListBullet"/>
        <w:rPr>
          <w:rFonts w:eastAsiaTheme="majorEastAsia"/>
        </w:rPr>
      </w:pPr>
      <w:proofErr w:type="gramStart"/>
      <w:r>
        <w:rPr>
          <w:rFonts w:eastAsiaTheme="majorEastAsia"/>
        </w:rPr>
        <w:t>the</w:t>
      </w:r>
      <w:proofErr w:type="gramEnd"/>
      <w:r>
        <w:rPr>
          <w:rFonts w:eastAsiaTheme="majorEastAsia"/>
        </w:rPr>
        <w:t xml:space="preserve"> charging parameters that should be used for transportation product</w:t>
      </w:r>
      <w:r w:rsidR="00D4624E">
        <w:rPr>
          <w:rFonts w:eastAsiaTheme="majorEastAsia"/>
        </w:rPr>
        <w:t>s</w:t>
      </w:r>
      <w:r>
        <w:rPr>
          <w:rFonts w:eastAsiaTheme="majorEastAsia"/>
        </w:rPr>
        <w:t>.</w:t>
      </w:r>
    </w:p>
    <w:p w14:paraId="0CC416BF" w14:textId="77777777" w:rsidR="000F2FC7" w:rsidRDefault="00024AC0" w:rsidP="00DC3071">
      <w:pPr>
        <w:pStyle w:val="Heading2"/>
      </w:pPr>
      <w:bookmarkStart w:id="123" w:name="_Toc499542660"/>
      <w:r>
        <w:t xml:space="preserve">Initial set of </w:t>
      </w:r>
      <w:r w:rsidR="00AC4740">
        <w:t>p</w:t>
      </w:r>
      <w:r w:rsidR="000F2FC7">
        <w:t xml:space="preserve">roducts to be sold on </w:t>
      </w:r>
      <w:r w:rsidR="00790A24">
        <w:t xml:space="preserve">the </w:t>
      </w:r>
      <w:r w:rsidR="000F2FC7">
        <w:t>exchange</w:t>
      </w:r>
      <w:bookmarkEnd w:id="123"/>
      <w:r w:rsidR="000F2FC7">
        <w:t xml:space="preserve"> </w:t>
      </w:r>
    </w:p>
    <w:p w14:paraId="59A9653E" w14:textId="77777777" w:rsidR="009C53F3" w:rsidRPr="00157C87" w:rsidRDefault="009C53F3" w:rsidP="009C53F3">
      <w:pPr>
        <w:pStyle w:val="Heading6"/>
        <w:spacing w:line="252" w:lineRule="auto"/>
        <w:rPr>
          <w:color w:val="0099CC"/>
        </w:rPr>
      </w:pPr>
      <w:r w:rsidRPr="00157C87">
        <w:rPr>
          <w:color w:val="0099CC"/>
        </w:rPr>
        <w:t>Background</w:t>
      </w:r>
    </w:p>
    <w:p w14:paraId="529DDCC8" w14:textId="77777777" w:rsidR="009C53F3" w:rsidRDefault="009C53F3" w:rsidP="009C53F3">
      <w:pPr>
        <w:pStyle w:val="BodyText"/>
      </w:pPr>
      <w:r>
        <w:t>Transportation assets can, as the AEMC noted, be used to provide a variety of transportation, storage and compression services on a firm, as available and interruptible basis</w:t>
      </w:r>
      <w:r w:rsidR="00C951A9">
        <w:t xml:space="preserve"> (see Appendix </w:t>
      </w:r>
      <w:r w:rsidR="00EB7368">
        <w:t>D</w:t>
      </w:r>
      <w:r w:rsidR="00C951A9">
        <w:t xml:space="preserve"> for an overview of these services)</w:t>
      </w:r>
      <w:r>
        <w:t xml:space="preserve">. Like the AEMC, the </w:t>
      </w:r>
      <w:r w:rsidR="00C951A9">
        <w:t xml:space="preserve">Capacity Trading Platform </w:t>
      </w:r>
      <w:r>
        <w:t xml:space="preserve">project team were of the view that the initial set of exchange traded products should seek to maximise the level of trade and value to the market. </w:t>
      </w:r>
    </w:p>
    <w:p w14:paraId="0D2BB5A8" w14:textId="77777777" w:rsidR="009C53F3" w:rsidRDefault="009C53F3" w:rsidP="009C53F3">
      <w:pPr>
        <w:pStyle w:val="BodyText"/>
      </w:pPr>
      <w:r>
        <w:t xml:space="preserve">This view is reflected in </w:t>
      </w:r>
      <w:r>
        <w:rPr>
          <w:highlight w:val="yellow"/>
        </w:rPr>
        <w:fldChar w:fldCharType="begin"/>
      </w:r>
      <w:r>
        <w:instrText xml:space="preserve"> REF _Ref492128284 \h </w:instrText>
      </w:r>
      <w:r>
        <w:rPr>
          <w:highlight w:val="yellow"/>
        </w:rPr>
      </w:r>
      <w:r>
        <w:rPr>
          <w:highlight w:val="yellow"/>
        </w:rPr>
        <w:fldChar w:fldCharType="separate"/>
      </w:r>
      <w:r w:rsidR="00761861">
        <w:t xml:space="preserve">Table </w:t>
      </w:r>
      <w:r w:rsidR="00761861">
        <w:rPr>
          <w:noProof/>
        </w:rPr>
        <w:t>6</w:t>
      </w:r>
      <w:r w:rsidR="00761861">
        <w:t>.</w:t>
      </w:r>
      <w:r w:rsidR="00761861">
        <w:rPr>
          <w:noProof/>
        </w:rPr>
        <w:t>1</w:t>
      </w:r>
      <w:r>
        <w:rPr>
          <w:highlight w:val="yellow"/>
        </w:rPr>
        <w:fldChar w:fldCharType="end"/>
      </w:r>
      <w:r>
        <w:t xml:space="preserve">, which contains a summary of the position the project team reached on the transportation, storage and compression services that should be available on the capacity trading platform at market start.  </w:t>
      </w:r>
      <w:r w:rsidR="00C951A9">
        <w:t xml:space="preserve">As this table highlights, </w:t>
      </w:r>
      <w:r>
        <w:t xml:space="preserve">the project team was of the view that the initial set of products should be limited to firm forward haul, park and compression services on the transportation assets connecting major supply and demand centres in the east coast.  </w:t>
      </w:r>
    </w:p>
    <w:p w14:paraId="60E4AF11" w14:textId="77777777" w:rsidR="009C53F3" w:rsidRDefault="009C53F3" w:rsidP="009C53F3">
      <w:pPr>
        <w:pStyle w:val="Caption"/>
        <w:spacing w:after="0"/>
      </w:pPr>
      <w:bookmarkStart w:id="124" w:name="_Ref492128284"/>
      <w:r>
        <w:lastRenderedPageBreak/>
        <w:t xml:space="preserve">Table </w:t>
      </w:r>
      <w:r w:rsidR="00983431">
        <w:fldChar w:fldCharType="begin"/>
      </w:r>
      <w:r w:rsidR="00983431">
        <w:instrText xml:space="preserve"> STYLEREF 1 \s </w:instrText>
      </w:r>
      <w:r w:rsidR="00983431">
        <w:fldChar w:fldCharType="separate"/>
      </w:r>
      <w:r w:rsidR="00761861">
        <w:rPr>
          <w:noProof/>
        </w:rPr>
        <w:t>6</w:t>
      </w:r>
      <w:r w:rsidR="00983431">
        <w:rPr>
          <w:noProof/>
        </w:rPr>
        <w:fldChar w:fldCharType="end"/>
      </w:r>
      <w:r>
        <w:t>.</w:t>
      </w:r>
      <w:r w:rsidR="00983431">
        <w:fldChar w:fldCharType="begin"/>
      </w:r>
      <w:r w:rsidR="00983431">
        <w:instrText xml:space="preserve"> SEQ Table \* ARABIC \s 1 </w:instrText>
      </w:r>
      <w:r w:rsidR="00983431">
        <w:fldChar w:fldCharType="separate"/>
      </w:r>
      <w:r w:rsidR="00761861">
        <w:rPr>
          <w:noProof/>
        </w:rPr>
        <w:t>1</w:t>
      </w:r>
      <w:r w:rsidR="00983431">
        <w:rPr>
          <w:noProof/>
        </w:rPr>
        <w:fldChar w:fldCharType="end"/>
      </w:r>
      <w:bookmarkEnd w:id="124"/>
      <w:r>
        <w:t>: Project team’s views on products to be listed on the exchange</w:t>
      </w:r>
    </w:p>
    <w:tbl>
      <w:tblPr>
        <w:tblStyle w:val="TableGrid"/>
        <w:tblW w:w="5001" w:type="pct"/>
        <w:tblLayout w:type="fixed"/>
        <w:tblLook w:val="0420" w:firstRow="1" w:lastRow="0" w:firstColumn="0" w:lastColumn="0" w:noHBand="0" w:noVBand="1"/>
        <w:tblCaption w:val="Table 6.1"/>
        <w:tblDescription w:val="Project team’s views on products to be listed on the exchange"/>
      </w:tblPr>
      <w:tblGrid>
        <w:gridCol w:w="1561"/>
        <w:gridCol w:w="7229"/>
      </w:tblGrid>
      <w:tr w:rsidR="009C53F3" w:rsidRPr="00151C85" w14:paraId="63ECA7D7" w14:textId="77777777" w:rsidTr="00C42B52">
        <w:trPr>
          <w:cnfStyle w:val="100000000000" w:firstRow="1" w:lastRow="0" w:firstColumn="0" w:lastColumn="0" w:oddVBand="0" w:evenVBand="0" w:oddHBand="0" w:evenHBand="0" w:firstRowFirstColumn="0" w:firstRowLastColumn="0" w:lastRowFirstColumn="0" w:lastRowLastColumn="0"/>
          <w:cantSplit/>
          <w:tblHeader/>
        </w:trPr>
        <w:tc>
          <w:tcPr>
            <w:tcW w:w="888" w:type="pct"/>
            <w:shd w:val="clear" w:color="auto" w:fill="0099CC"/>
          </w:tcPr>
          <w:p w14:paraId="401D127E" w14:textId="77777777" w:rsidR="009C53F3" w:rsidRPr="00151C85" w:rsidRDefault="009C53F3" w:rsidP="00C42B52">
            <w:pPr>
              <w:pStyle w:val="TableHeading"/>
              <w:rPr>
                <w:szCs w:val="18"/>
                <w:lang w:eastAsia="fr-CA"/>
              </w:rPr>
            </w:pPr>
            <w:r w:rsidRPr="00151C85">
              <w:rPr>
                <w:szCs w:val="18"/>
                <w:lang w:eastAsia="fr-CA"/>
              </w:rPr>
              <w:t>Product</w:t>
            </w:r>
          </w:p>
        </w:tc>
        <w:tc>
          <w:tcPr>
            <w:tcW w:w="4112" w:type="pct"/>
            <w:shd w:val="clear" w:color="auto" w:fill="0099CC"/>
          </w:tcPr>
          <w:p w14:paraId="365B3428" w14:textId="77777777" w:rsidR="009C53F3" w:rsidRPr="00151C85" w:rsidRDefault="009C53F3" w:rsidP="00C42B52">
            <w:pPr>
              <w:pStyle w:val="TableHeading"/>
              <w:rPr>
                <w:szCs w:val="18"/>
                <w:lang w:eastAsia="fr-CA"/>
              </w:rPr>
            </w:pPr>
            <w:r w:rsidRPr="00151C85">
              <w:rPr>
                <w:szCs w:val="18"/>
                <w:lang w:eastAsia="fr-CA"/>
              </w:rPr>
              <w:t>View</w:t>
            </w:r>
          </w:p>
        </w:tc>
      </w:tr>
      <w:tr w:rsidR="009C53F3" w:rsidRPr="00151C85" w14:paraId="64004067" w14:textId="77777777" w:rsidTr="00C42B52">
        <w:trPr>
          <w:cantSplit/>
          <w:trHeight w:val="1400"/>
        </w:trPr>
        <w:tc>
          <w:tcPr>
            <w:tcW w:w="888" w:type="pct"/>
          </w:tcPr>
          <w:p w14:paraId="08EFBD9F" w14:textId="77777777" w:rsidR="009C53F3" w:rsidRPr="00151C85" w:rsidRDefault="009C53F3" w:rsidP="00C42B52">
            <w:pPr>
              <w:pStyle w:val="TableBodyText"/>
              <w:rPr>
                <w:szCs w:val="18"/>
                <w:lang w:eastAsia="fr-CA"/>
              </w:rPr>
            </w:pPr>
            <w:r w:rsidRPr="00151C85">
              <w:rPr>
                <w:szCs w:val="18"/>
                <w:lang w:eastAsia="fr-CA"/>
              </w:rPr>
              <w:t>Transportation services (forward haul, bi</w:t>
            </w:r>
            <w:r>
              <w:rPr>
                <w:szCs w:val="18"/>
                <w:lang w:eastAsia="fr-CA"/>
              </w:rPr>
              <w:t>-</w:t>
            </w:r>
            <w:r w:rsidRPr="00151C85">
              <w:rPr>
                <w:szCs w:val="18"/>
                <w:lang w:eastAsia="fr-CA"/>
              </w:rPr>
              <w:t>directional and backhaul)</w:t>
            </w:r>
          </w:p>
        </w:tc>
        <w:tc>
          <w:tcPr>
            <w:tcW w:w="4112" w:type="pct"/>
          </w:tcPr>
          <w:p w14:paraId="704A406B" w14:textId="77777777" w:rsidR="009C53F3" w:rsidRPr="00151C85" w:rsidRDefault="009C53F3" w:rsidP="00C42B52">
            <w:pPr>
              <w:pStyle w:val="TableBodyText"/>
              <w:rPr>
                <w:szCs w:val="18"/>
                <w:lang w:eastAsia="fr-CA"/>
              </w:rPr>
            </w:pPr>
            <w:r w:rsidRPr="00151C85">
              <w:rPr>
                <w:szCs w:val="18"/>
                <w:lang w:eastAsia="fr-CA"/>
              </w:rPr>
              <w:t>The project team agreed that firm forward haul products should be included on the exchange and be available in both directions on bi-directional pipelines. Questions were, however, raised about the value of including as available or interruptible transportation services (including backhaul services) on the exchange, with project team members noting that:</w:t>
            </w:r>
          </w:p>
          <w:p w14:paraId="6B9649E5" w14:textId="77777777" w:rsidR="009C53F3" w:rsidRPr="00151C85" w:rsidRDefault="009C53F3" w:rsidP="00C42B52">
            <w:pPr>
              <w:pStyle w:val="TableBullet1"/>
              <w:rPr>
                <w:szCs w:val="18"/>
                <w:lang w:eastAsia="fr-CA"/>
              </w:rPr>
            </w:pPr>
            <w:r w:rsidRPr="00151C85">
              <w:rPr>
                <w:szCs w:val="18"/>
                <w:lang w:eastAsia="fr-CA"/>
              </w:rPr>
              <w:t xml:space="preserve">there was unlikely to be much demand for these services given the uncertainty surrounding deliverability; and </w:t>
            </w:r>
          </w:p>
          <w:p w14:paraId="7F9DCE4C" w14:textId="77777777" w:rsidR="009C53F3" w:rsidRPr="00151C85" w:rsidRDefault="009C53F3" w:rsidP="00C42B52">
            <w:pPr>
              <w:pStyle w:val="TableBullet1"/>
              <w:rPr>
                <w:szCs w:val="18"/>
                <w:lang w:eastAsia="fr-CA"/>
              </w:rPr>
            </w:pPr>
            <w:r w:rsidRPr="00151C85">
              <w:rPr>
                <w:szCs w:val="18"/>
                <w:lang w:eastAsia="fr-CA"/>
              </w:rPr>
              <w:t>primary shippers usually only pay for these services when they use them and so do not have as strong an incentive to sell these services as</w:t>
            </w:r>
            <w:r w:rsidR="00993A3C">
              <w:rPr>
                <w:szCs w:val="18"/>
                <w:lang w:eastAsia="fr-CA"/>
              </w:rPr>
              <w:t xml:space="preserve"> shippers with</w:t>
            </w:r>
            <w:r w:rsidRPr="00151C85">
              <w:rPr>
                <w:szCs w:val="18"/>
                <w:lang w:eastAsia="fr-CA"/>
              </w:rPr>
              <w:t xml:space="preserve"> firm forward haul products where </w:t>
            </w:r>
            <w:r w:rsidR="00993A3C">
              <w:rPr>
                <w:szCs w:val="18"/>
                <w:lang w:eastAsia="fr-CA"/>
              </w:rPr>
              <w:t xml:space="preserve">the </w:t>
            </w:r>
            <w:r w:rsidRPr="00151C85">
              <w:rPr>
                <w:szCs w:val="18"/>
                <w:lang w:eastAsia="fr-CA"/>
              </w:rPr>
              <w:t xml:space="preserve">shippers usually have to pay for </w:t>
            </w:r>
            <w:r w:rsidR="00993A3C">
              <w:rPr>
                <w:szCs w:val="18"/>
                <w:lang w:eastAsia="fr-CA"/>
              </w:rPr>
              <w:t xml:space="preserve">firm </w:t>
            </w:r>
            <w:r w:rsidRPr="00151C85">
              <w:rPr>
                <w:szCs w:val="18"/>
                <w:lang w:eastAsia="fr-CA"/>
              </w:rPr>
              <w:t>capacity irrespective of whether or not they use it.</w:t>
            </w:r>
          </w:p>
        </w:tc>
      </w:tr>
      <w:tr w:rsidR="009C53F3" w:rsidRPr="00151C85" w14:paraId="0A12CF87" w14:textId="77777777" w:rsidTr="00C42B52">
        <w:trPr>
          <w:cnfStyle w:val="000000010000" w:firstRow="0" w:lastRow="0" w:firstColumn="0" w:lastColumn="0" w:oddVBand="0" w:evenVBand="0" w:oddHBand="0" w:evenHBand="1" w:firstRowFirstColumn="0" w:firstRowLastColumn="0" w:lastRowFirstColumn="0" w:lastRowLastColumn="0"/>
          <w:cantSplit/>
          <w:trHeight w:val="1910"/>
        </w:trPr>
        <w:tc>
          <w:tcPr>
            <w:tcW w:w="888" w:type="pct"/>
          </w:tcPr>
          <w:p w14:paraId="78B3A6ED" w14:textId="77777777" w:rsidR="009C53F3" w:rsidRPr="00151C85" w:rsidRDefault="009C53F3" w:rsidP="00C42B52">
            <w:pPr>
              <w:pStyle w:val="TableBodyText"/>
              <w:rPr>
                <w:szCs w:val="18"/>
                <w:lang w:eastAsia="fr-CA"/>
              </w:rPr>
            </w:pPr>
            <w:r w:rsidRPr="00151C85">
              <w:rPr>
                <w:szCs w:val="18"/>
                <w:lang w:eastAsia="fr-CA"/>
              </w:rPr>
              <w:t>Park, or park and loan services</w:t>
            </w:r>
          </w:p>
        </w:tc>
        <w:tc>
          <w:tcPr>
            <w:tcW w:w="4112" w:type="pct"/>
          </w:tcPr>
          <w:p w14:paraId="1F17C770" w14:textId="77777777" w:rsidR="009C53F3" w:rsidRPr="00151C85" w:rsidRDefault="009C53F3" w:rsidP="00C42B52">
            <w:pPr>
              <w:pStyle w:val="TableBodyText"/>
              <w:rPr>
                <w:szCs w:val="18"/>
                <w:lang w:eastAsia="fr-CA"/>
              </w:rPr>
            </w:pPr>
            <w:r w:rsidRPr="00151C85">
              <w:rPr>
                <w:szCs w:val="18"/>
                <w:lang w:eastAsia="fr-CA"/>
              </w:rPr>
              <w:t xml:space="preserve">The project team thought there would be value </w:t>
            </w:r>
            <w:r>
              <w:rPr>
                <w:szCs w:val="18"/>
                <w:lang w:eastAsia="fr-CA"/>
              </w:rPr>
              <w:t xml:space="preserve">in </w:t>
            </w:r>
            <w:r w:rsidRPr="00151C85">
              <w:rPr>
                <w:szCs w:val="18"/>
                <w:lang w:eastAsia="fr-CA"/>
              </w:rPr>
              <w:t xml:space="preserve">including a firm park product on the exchange because it would: </w:t>
            </w:r>
          </w:p>
          <w:p w14:paraId="6E4AD88B" w14:textId="77777777" w:rsidR="009C53F3" w:rsidRPr="00151C85" w:rsidRDefault="009C53F3" w:rsidP="00C42B52">
            <w:pPr>
              <w:pStyle w:val="TableBullet1"/>
              <w:rPr>
                <w:szCs w:val="18"/>
                <w:lang w:eastAsia="fr-CA"/>
              </w:rPr>
            </w:pPr>
            <w:r w:rsidRPr="00151C85">
              <w:rPr>
                <w:szCs w:val="18"/>
                <w:lang w:eastAsia="fr-CA"/>
              </w:rPr>
              <w:t xml:space="preserve">provide secondary shippers that have an existing transportation service with greater flexibility to manage variations in demand; and </w:t>
            </w:r>
          </w:p>
          <w:p w14:paraId="486249ED" w14:textId="77777777" w:rsidR="009C53F3" w:rsidRPr="00151C85" w:rsidRDefault="009C53F3" w:rsidP="00C42B52">
            <w:pPr>
              <w:pStyle w:val="TableBullet1"/>
              <w:rPr>
                <w:szCs w:val="18"/>
                <w:lang w:eastAsia="fr-CA"/>
              </w:rPr>
            </w:pPr>
            <w:proofErr w:type="gramStart"/>
            <w:r w:rsidRPr="00151C85">
              <w:rPr>
                <w:szCs w:val="18"/>
                <w:lang w:eastAsia="fr-CA"/>
              </w:rPr>
              <w:t>allow</w:t>
            </w:r>
            <w:proofErr w:type="gramEnd"/>
            <w:r w:rsidRPr="00151C85">
              <w:rPr>
                <w:szCs w:val="18"/>
                <w:lang w:eastAsia="fr-CA"/>
              </w:rPr>
              <w:t xml:space="preserve"> primary shippers that have to pay for this service irrespective of whether or not they use it, to recover some of the fixed costs for this service.</w:t>
            </w:r>
          </w:p>
          <w:p w14:paraId="7DBAE5A1" w14:textId="77777777" w:rsidR="009C53F3" w:rsidRPr="00151C85" w:rsidRDefault="009C53F3" w:rsidP="00C42B52">
            <w:pPr>
              <w:pStyle w:val="TableBodyText"/>
              <w:rPr>
                <w:szCs w:val="18"/>
              </w:rPr>
            </w:pPr>
            <w:r w:rsidRPr="00151C85">
              <w:rPr>
                <w:szCs w:val="18"/>
              </w:rPr>
              <w:t>When asked if a park service could be sold on a separable basis, the project team stated that it could but noted the buyer would need its own transportation service to utilise the park service (i.e. because gas must be supplied into the pipeline and ultimately transported to the end location). In a similar manner to transportation services, the project team did not think there would be value in including an as available or interruptible park product.</w:t>
            </w:r>
          </w:p>
          <w:p w14:paraId="06085E35" w14:textId="77777777" w:rsidR="009C53F3" w:rsidRPr="00151C85" w:rsidRDefault="009C53F3" w:rsidP="00C42B52">
            <w:pPr>
              <w:pStyle w:val="TableBodyText"/>
              <w:rPr>
                <w:szCs w:val="18"/>
                <w:lang w:eastAsia="fr-CA"/>
              </w:rPr>
            </w:pPr>
            <w:r w:rsidRPr="00151C85">
              <w:rPr>
                <w:szCs w:val="18"/>
              </w:rPr>
              <w:t xml:space="preserve">The project team also considered whether a park and loan service could be traded on the exchange, but concluded that the risk associated with </w:t>
            </w:r>
            <w:r>
              <w:rPr>
                <w:szCs w:val="18"/>
              </w:rPr>
              <w:t xml:space="preserve">the </w:t>
            </w:r>
            <w:r w:rsidRPr="00151C85">
              <w:rPr>
                <w:szCs w:val="18"/>
              </w:rPr>
              <w:t xml:space="preserve">loan component of this product may expose the service provider to too great a risk if the shipper did not ‘repay’ the gas it had taken at the end of the trade. </w:t>
            </w:r>
          </w:p>
        </w:tc>
      </w:tr>
      <w:tr w:rsidR="009C53F3" w:rsidRPr="00151C85" w14:paraId="56267F17" w14:textId="77777777" w:rsidTr="00C42B52">
        <w:tblPrEx>
          <w:tblLook w:val="04A0" w:firstRow="1" w:lastRow="0" w:firstColumn="1" w:lastColumn="0" w:noHBand="0" w:noVBand="1"/>
        </w:tblPrEx>
        <w:trPr>
          <w:trHeight w:val="467"/>
        </w:trPr>
        <w:tc>
          <w:tcPr>
            <w:tcW w:w="888" w:type="pct"/>
          </w:tcPr>
          <w:p w14:paraId="0EB03155" w14:textId="77777777" w:rsidR="009C53F3" w:rsidRPr="00151C85" w:rsidRDefault="009C53F3" w:rsidP="00C42B52">
            <w:pPr>
              <w:pStyle w:val="TableBodyText"/>
              <w:rPr>
                <w:szCs w:val="18"/>
                <w:lang w:eastAsia="fr-CA"/>
              </w:rPr>
            </w:pPr>
            <w:r w:rsidRPr="00151C85">
              <w:rPr>
                <w:szCs w:val="18"/>
                <w:lang w:eastAsia="fr-CA"/>
              </w:rPr>
              <w:t>Compression services between interconnecting pipelines</w:t>
            </w:r>
          </w:p>
        </w:tc>
        <w:tc>
          <w:tcPr>
            <w:tcW w:w="4112" w:type="pct"/>
          </w:tcPr>
          <w:p w14:paraId="186141B4" w14:textId="77777777" w:rsidR="009C53F3" w:rsidRPr="00151C85" w:rsidRDefault="009C53F3" w:rsidP="00C42B52">
            <w:pPr>
              <w:pStyle w:val="TableBodyText"/>
              <w:rPr>
                <w:szCs w:val="18"/>
                <w:lang w:eastAsia="fr-CA"/>
              </w:rPr>
            </w:pPr>
            <w:r w:rsidRPr="00151C85">
              <w:rPr>
                <w:szCs w:val="18"/>
                <w:lang w:eastAsia="fr-CA"/>
              </w:rPr>
              <w:t xml:space="preserve">The project team noted that AEMO has already introduced a compression product on the GSH, which is available in the Wallumbilla Hub. Mixed views were expressed by the project team about whether the list of compression products should be expanded, with some questioning the value of including this service on the </w:t>
            </w:r>
            <w:r>
              <w:rPr>
                <w:szCs w:val="18"/>
                <w:lang w:eastAsia="fr-CA"/>
              </w:rPr>
              <w:t>e</w:t>
            </w:r>
            <w:r w:rsidRPr="00151C85">
              <w:rPr>
                <w:szCs w:val="18"/>
                <w:lang w:eastAsia="fr-CA"/>
              </w:rPr>
              <w:t xml:space="preserve">xchange, while others noted </w:t>
            </w:r>
            <w:r w:rsidRPr="00151C85">
              <w:rPr>
                <w:szCs w:val="18"/>
              </w:rPr>
              <w:t xml:space="preserve">that difficulties in getting access to </w:t>
            </w:r>
            <w:r>
              <w:rPr>
                <w:szCs w:val="18"/>
              </w:rPr>
              <w:t xml:space="preserve">these </w:t>
            </w:r>
            <w:r w:rsidRPr="00151C85">
              <w:rPr>
                <w:szCs w:val="18"/>
              </w:rPr>
              <w:t xml:space="preserve">services could impede trading across the market. </w:t>
            </w:r>
          </w:p>
          <w:p w14:paraId="6622563A" w14:textId="77777777" w:rsidR="009C53F3" w:rsidRPr="00151C85" w:rsidRDefault="009C53F3" w:rsidP="00C42B52">
            <w:pPr>
              <w:pStyle w:val="TableBodyText"/>
              <w:rPr>
                <w:szCs w:val="18"/>
              </w:rPr>
            </w:pPr>
            <w:r w:rsidRPr="00151C85">
              <w:rPr>
                <w:szCs w:val="18"/>
              </w:rPr>
              <w:t>The two scenarios that the project team discussed in this context were:</w:t>
            </w:r>
          </w:p>
          <w:p w14:paraId="4E52E5FB" w14:textId="77777777" w:rsidR="009C53F3" w:rsidRPr="00151C85" w:rsidRDefault="009C53F3" w:rsidP="00CF4594">
            <w:pPr>
              <w:pStyle w:val="ListBullet"/>
              <w:numPr>
                <w:ilvl w:val="0"/>
                <w:numId w:val="48"/>
              </w:numPr>
              <w:spacing w:before="60" w:after="60"/>
              <w:ind w:left="442" w:hanging="357"/>
              <w:rPr>
                <w:szCs w:val="18"/>
              </w:rPr>
            </w:pPr>
            <w:r w:rsidRPr="00151C85">
              <w:rPr>
                <w:szCs w:val="18"/>
              </w:rPr>
              <w:t>Compression services provided in a GSH (i.e. Wallumbilla and Moomba), which members noted could be sold on a stand-alone basis.</w:t>
            </w:r>
          </w:p>
          <w:p w14:paraId="5D4DB223" w14:textId="77777777" w:rsidR="009C53F3" w:rsidRPr="00151C85" w:rsidRDefault="009C53F3" w:rsidP="002E5E2E">
            <w:pPr>
              <w:pStyle w:val="ListBullet"/>
              <w:numPr>
                <w:ilvl w:val="0"/>
                <w:numId w:val="48"/>
              </w:numPr>
              <w:spacing w:before="60" w:after="60"/>
              <w:ind w:left="424"/>
              <w:rPr>
                <w:szCs w:val="18"/>
              </w:rPr>
            </w:pPr>
            <w:r w:rsidRPr="00151C85">
              <w:rPr>
                <w:szCs w:val="18"/>
              </w:rPr>
              <w:t>Stand-alone compression services offered in other locations where the compression service is required to address pressure differentials between interconnecting pipelines and the operator of the compression facility differs from the pipeline operator (e.g</w:t>
            </w:r>
            <w:r>
              <w:rPr>
                <w:szCs w:val="18"/>
              </w:rPr>
              <w:t>.</w:t>
            </w:r>
            <w:r w:rsidRPr="00151C85">
              <w:rPr>
                <w:szCs w:val="18"/>
              </w:rPr>
              <w:t xml:space="preserve"> the compressor </w:t>
            </w:r>
            <w:r>
              <w:rPr>
                <w:szCs w:val="18"/>
              </w:rPr>
              <w:t xml:space="preserve">Santos owns at </w:t>
            </w:r>
            <w:proofErr w:type="spellStart"/>
            <w:r>
              <w:rPr>
                <w:szCs w:val="18"/>
              </w:rPr>
              <w:t>Ballera</w:t>
            </w:r>
            <w:proofErr w:type="spellEnd"/>
            <w:r>
              <w:rPr>
                <w:szCs w:val="18"/>
              </w:rPr>
              <w:t xml:space="preserve">, which is required to access the </w:t>
            </w:r>
            <w:r w:rsidR="002E5E2E" w:rsidRPr="002E5E2E">
              <w:rPr>
                <w:szCs w:val="18"/>
              </w:rPr>
              <w:t xml:space="preserve">Carpentaria Gas Pipeline </w:t>
            </w:r>
            <w:r w:rsidR="002E5E2E">
              <w:rPr>
                <w:szCs w:val="18"/>
              </w:rPr>
              <w:t>(</w:t>
            </w:r>
            <w:r w:rsidRPr="00151C85">
              <w:rPr>
                <w:szCs w:val="18"/>
              </w:rPr>
              <w:t>CGP</w:t>
            </w:r>
            <w:r w:rsidR="002E5E2E">
              <w:rPr>
                <w:szCs w:val="18"/>
              </w:rPr>
              <w:t>)</w:t>
            </w:r>
            <w:r w:rsidRPr="00151C85">
              <w:rPr>
                <w:szCs w:val="18"/>
              </w:rPr>
              <w:t xml:space="preserve"> and the compressor </w:t>
            </w:r>
            <w:proofErr w:type="spellStart"/>
            <w:r w:rsidRPr="00151C85">
              <w:rPr>
                <w:szCs w:val="18"/>
              </w:rPr>
              <w:t>Lochard</w:t>
            </w:r>
            <w:proofErr w:type="spellEnd"/>
            <w:r w:rsidRPr="00151C85">
              <w:rPr>
                <w:szCs w:val="18"/>
              </w:rPr>
              <w:t xml:space="preserve"> owns at Iona</w:t>
            </w:r>
            <w:r>
              <w:rPr>
                <w:szCs w:val="18"/>
              </w:rPr>
              <w:t xml:space="preserve">, which is used by </w:t>
            </w:r>
            <w:r w:rsidRPr="00151C85">
              <w:rPr>
                <w:szCs w:val="18"/>
              </w:rPr>
              <w:t xml:space="preserve">some shippers </w:t>
            </w:r>
            <w:r>
              <w:rPr>
                <w:szCs w:val="18"/>
              </w:rPr>
              <w:t xml:space="preserve">in conjunction with storage services, to access </w:t>
            </w:r>
            <w:r w:rsidRPr="00151C85">
              <w:rPr>
                <w:szCs w:val="18"/>
              </w:rPr>
              <w:t xml:space="preserve">the </w:t>
            </w:r>
            <w:proofErr w:type="spellStart"/>
            <w:r w:rsidRPr="00151C85">
              <w:rPr>
                <w:szCs w:val="18"/>
              </w:rPr>
              <w:t>SEAGas</w:t>
            </w:r>
            <w:proofErr w:type="spellEnd"/>
            <w:r w:rsidRPr="00151C85">
              <w:rPr>
                <w:szCs w:val="18"/>
              </w:rPr>
              <w:t xml:space="preserve"> Pipeline).</w:t>
            </w:r>
          </w:p>
          <w:p w14:paraId="08B7CE65" w14:textId="77777777" w:rsidR="009C53F3" w:rsidRPr="00151C85" w:rsidRDefault="009C53F3" w:rsidP="00C42B52">
            <w:pPr>
              <w:pStyle w:val="TableBodyText"/>
              <w:rPr>
                <w:szCs w:val="18"/>
              </w:rPr>
            </w:pPr>
            <w:r w:rsidRPr="00151C85">
              <w:rPr>
                <w:szCs w:val="18"/>
              </w:rPr>
              <w:t xml:space="preserve">In the latter case, the project team thought that if compression was to be traded then the transportation product could be sold on a bundled basis through the exchange, although it was noted that the buyer would need to have operational GTAs in place with the service provider of both the pipeline and the compression facility to utilise both facilities. </w:t>
            </w:r>
          </w:p>
          <w:p w14:paraId="0E75BED4" w14:textId="77777777" w:rsidR="009C53F3" w:rsidRPr="00151C85" w:rsidRDefault="009C53F3" w:rsidP="00C42B52">
            <w:pPr>
              <w:pStyle w:val="TableBodyText"/>
              <w:rPr>
                <w:szCs w:val="18"/>
              </w:rPr>
            </w:pPr>
            <w:r w:rsidRPr="00151C85">
              <w:rPr>
                <w:szCs w:val="18"/>
                <w:lang w:eastAsia="fr-CA"/>
              </w:rPr>
              <w:t>Like transportation and park services, the project team thought that if compression services were to be included on the exchange, it should be sold on a firm basis only.</w:t>
            </w:r>
          </w:p>
        </w:tc>
      </w:tr>
    </w:tbl>
    <w:p w14:paraId="1DE6786A" w14:textId="77777777" w:rsidR="009C53F3" w:rsidRDefault="009C53F3" w:rsidP="009C53F3">
      <w:pPr>
        <w:pStyle w:val="BodyText"/>
      </w:pPr>
      <w:r>
        <w:t xml:space="preserve">In addition to the products outlined above, the project team considered whether locational gas swaps should be developed as part of this process </w:t>
      </w:r>
      <w:r w:rsidR="00C951A9">
        <w:t xml:space="preserve">and listed on the capacity trading platform </w:t>
      </w:r>
      <w:r>
        <w:t xml:space="preserve">(see </w:t>
      </w:r>
      <w:r>
        <w:fldChar w:fldCharType="begin"/>
      </w:r>
      <w:r>
        <w:instrText xml:space="preserve"> REF _Ref492129312 \h </w:instrText>
      </w:r>
      <w:r>
        <w:fldChar w:fldCharType="separate"/>
      </w:r>
      <w:r w:rsidR="00761861">
        <w:t xml:space="preserve">Box </w:t>
      </w:r>
      <w:r w:rsidR="00761861">
        <w:rPr>
          <w:noProof/>
        </w:rPr>
        <w:t>6</w:t>
      </w:r>
      <w:r w:rsidR="00761861">
        <w:t>.</w:t>
      </w:r>
      <w:r w:rsidR="00761861">
        <w:rPr>
          <w:noProof/>
        </w:rPr>
        <w:t>1</w:t>
      </w:r>
      <w:r>
        <w:fldChar w:fldCharType="end"/>
      </w:r>
      <w:r>
        <w:t xml:space="preserve"> for more detail on swaps). Mixed views were expressed on this </w:t>
      </w:r>
      <w:r>
        <w:lastRenderedPageBreak/>
        <w:t xml:space="preserve">issue, with some team members noting that there would be value in developing locational swaps for trade through the </w:t>
      </w:r>
      <w:r w:rsidR="00C951A9">
        <w:t>GSH</w:t>
      </w:r>
      <w:r>
        <w:t xml:space="preserve">. Others </w:t>
      </w:r>
      <w:r w:rsidR="005868A8">
        <w:t xml:space="preserve">were of the view that </w:t>
      </w:r>
      <w:r>
        <w:t>it went beyond the scope of the AEMC’s recommendations</w:t>
      </w:r>
      <w:r w:rsidR="00C951A9">
        <w:t>, which was to enable capacity that is not being used by primary shippers to be released to other shippers</w:t>
      </w:r>
      <w:r>
        <w:t xml:space="preserve">. It was also noted in this context that: </w:t>
      </w:r>
    </w:p>
    <w:p w14:paraId="2DA632EE" w14:textId="77777777" w:rsidR="009C53F3" w:rsidRDefault="009C53F3" w:rsidP="009C53F3">
      <w:pPr>
        <w:pStyle w:val="ListBullet"/>
      </w:pPr>
      <w:r>
        <w:t xml:space="preserve">the delivery obligations are quite different under a locational gas swap than they are under a secondary capacity trade because swap counterparties have an obligation to deliver gas to the relevant location, while the seller of transportation capacity only has to release capacity to another shipper to use; and </w:t>
      </w:r>
    </w:p>
    <w:p w14:paraId="5BFCA5AF" w14:textId="77777777" w:rsidR="009C53F3" w:rsidRDefault="009C53F3" w:rsidP="009C53F3">
      <w:pPr>
        <w:pStyle w:val="ListBullet"/>
      </w:pPr>
      <w:proofErr w:type="gramStart"/>
      <w:r>
        <w:t>the</w:t>
      </w:r>
      <w:proofErr w:type="gramEnd"/>
      <w:r>
        <w:t xml:space="preserve"> contractual arrangements required to underpin the swap would be quite different from the operational GTA that has been developed for capacity trades, so further work would be required to develop these arrangements. </w:t>
      </w:r>
    </w:p>
    <w:p w14:paraId="066D0085" w14:textId="77777777" w:rsidR="009C53F3" w:rsidRDefault="009C53F3" w:rsidP="009C53F3">
      <w:pPr>
        <w:pStyle w:val="BodyText"/>
      </w:pPr>
      <w:r>
        <w:t>Given these issues, the project team agreed that the initial focus of the capacity trading platform should be on the capacity products listed above and consideration given to the inclusion of locational swaps at a later date.</w:t>
      </w:r>
    </w:p>
    <w:tbl>
      <w:tblPr>
        <w:tblStyle w:val="PullOutBoxTable"/>
        <w:tblW w:w="5000" w:type="pct"/>
        <w:tblCellMar>
          <w:top w:w="113" w:type="dxa"/>
          <w:bottom w:w="113" w:type="dxa"/>
        </w:tblCellMar>
        <w:tblLook w:val="0600" w:firstRow="0" w:lastRow="0" w:firstColumn="0" w:lastColumn="0" w:noHBand="1" w:noVBand="1"/>
        <w:tblCaption w:val="Box 6.1"/>
        <w:tblDescription w:val="Locational gas swaps "/>
      </w:tblPr>
      <w:tblGrid>
        <w:gridCol w:w="8788"/>
      </w:tblGrid>
      <w:tr w:rsidR="009C53F3" w:rsidRPr="00B73860" w14:paraId="5D60E3C9" w14:textId="77777777" w:rsidTr="00431C3A">
        <w:trPr>
          <w:tblHeader/>
        </w:trPr>
        <w:tc>
          <w:tcPr>
            <w:tcW w:w="5000" w:type="pct"/>
            <w:shd w:val="clear" w:color="auto" w:fill="auto"/>
          </w:tcPr>
          <w:p w14:paraId="604F4D9A" w14:textId="2CA1C3D1" w:rsidR="009C53F3" w:rsidRPr="00431C3A" w:rsidRDefault="00431C3A" w:rsidP="00431C3A">
            <w:pPr>
              <w:pStyle w:val="ListBullet"/>
              <w:numPr>
                <w:ilvl w:val="0"/>
                <w:numId w:val="0"/>
              </w:numPr>
              <w:spacing w:after="0"/>
              <w:ind w:left="357" w:hanging="357"/>
              <w:rPr>
                <w:b/>
              </w:rPr>
            </w:pPr>
            <w:bookmarkStart w:id="125" w:name="_Ref492129312"/>
            <w:r w:rsidRPr="00431C3A">
              <w:rPr>
                <w:b/>
              </w:rPr>
              <w:t xml:space="preserve">Box </w:t>
            </w:r>
            <w:r w:rsidRPr="00431C3A">
              <w:rPr>
                <w:b/>
              </w:rPr>
              <w:fldChar w:fldCharType="begin"/>
            </w:r>
            <w:r w:rsidRPr="00431C3A">
              <w:rPr>
                <w:b/>
              </w:rPr>
              <w:instrText xml:space="preserve"> STYLEREF 1 \s </w:instrText>
            </w:r>
            <w:r w:rsidRPr="00431C3A">
              <w:rPr>
                <w:b/>
              </w:rPr>
              <w:fldChar w:fldCharType="separate"/>
            </w:r>
            <w:r w:rsidRPr="00431C3A">
              <w:rPr>
                <w:b/>
                <w:noProof/>
              </w:rPr>
              <w:t>6</w:t>
            </w:r>
            <w:r w:rsidRPr="00431C3A">
              <w:rPr>
                <w:b/>
                <w:noProof/>
              </w:rPr>
              <w:fldChar w:fldCharType="end"/>
            </w:r>
            <w:r w:rsidRPr="00431C3A">
              <w:rPr>
                <w:b/>
              </w:rPr>
              <w:t>.</w:t>
            </w:r>
            <w:r w:rsidRPr="00431C3A">
              <w:rPr>
                <w:b/>
              </w:rPr>
              <w:fldChar w:fldCharType="begin"/>
            </w:r>
            <w:r w:rsidRPr="00431C3A">
              <w:rPr>
                <w:b/>
              </w:rPr>
              <w:instrText xml:space="preserve"> SEQ Box \* ARABIC \s 1 </w:instrText>
            </w:r>
            <w:r w:rsidRPr="00431C3A">
              <w:rPr>
                <w:b/>
              </w:rPr>
              <w:fldChar w:fldCharType="separate"/>
            </w:r>
            <w:r w:rsidRPr="00431C3A">
              <w:rPr>
                <w:b/>
                <w:noProof/>
              </w:rPr>
              <w:t>1</w:t>
            </w:r>
            <w:r w:rsidRPr="00431C3A">
              <w:rPr>
                <w:b/>
                <w:noProof/>
              </w:rPr>
              <w:fldChar w:fldCharType="end"/>
            </w:r>
            <w:bookmarkEnd w:id="125"/>
            <w:r w:rsidRPr="00431C3A">
              <w:rPr>
                <w:b/>
              </w:rPr>
              <w:t>: Locational gas swaps</w:t>
            </w:r>
          </w:p>
        </w:tc>
      </w:tr>
      <w:tr w:rsidR="00431C3A" w:rsidRPr="00B73860" w14:paraId="6E5FF08A" w14:textId="77777777" w:rsidTr="00431C3A">
        <w:trPr>
          <w:tblHeader/>
        </w:trPr>
        <w:tc>
          <w:tcPr>
            <w:tcW w:w="5000" w:type="pct"/>
          </w:tcPr>
          <w:p w14:paraId="470C3A99" w14:textId="77777777" w:rsidR="00431C3A" w:rsidRDefault="00431C3A" w:rsidP="00431C3A">
            <w:pPr>
              <w:spacing w:after="180"/>
            </w:pPr>
            <w:r>
              <w:lastRenderedPageBreak/>
              <w:t xml:space="preserve">A physical gas swap involves the exchange of gas at different locations.  Swaps may be entered into for a variety of reasons, including to overcome pipeline constraints, production constraints and geographic demand-supply imbalances. They may also be used to reduce or avoid transportation costs. </w:t>
            </w:r>
            <w:r>
              <w:rPr>
                <w:szCs w:val="24"/>
              </w:rPr>
              <w:t xml:space="preserve">The location at which gas is swapped will depend on the parties’ requirements but in general, the swap may occur at </w:t>
            </w:r>
            <w:r>
              <w:t>the point of production, a delivered location or a combination of the two.</w:t>
            </w:r>
          </w:p>
          <w:p w14:paraId="3B30DF31" w14:textId="77777777" w:rsidR="00431C3A" w:rsidRDefault="00431C3A" w:rsidP="00431C3A">
            <w:pPr>
              <w:spacing w:after="120"/>
              <w:rPr>
                <w:rFonts w:ascii="Times New Roman" w:hAnsi="Times New Roman"/>
                <w:szCs w:val="24"/>
              </w:rPr>
            </w:pPr>
            <w:r>
              <w:rPr>
                <w:szCs w:val="24"/>
              </w:rPr>
              <w:t>The way in which a swap can work can be seen in the following example, which assumes that:</w:t>
            </w:r>
          </w:p>
          <w:p w14:paraId="5CEF2BF2" w14:textId="77777777" w:rsidR="00431C3A" w:rsidRDefault="00431C3A" w:rsidP="00431C3A">
            <w:pPr>
              <w:pStyle w:val="ListBullet"/>
              <w:spacing w:after="140"/>
              <w:rPr>
                <w:szCs w:val="20"/>
              </w:rPr>
            </w:pPr>
            <w:r>
              <w:t>Santos has 20 PJ p.a. of gas in the Gippsland Basin that it wants to supply to its LNG facility in Gladstone; and</w:t>
            </w:r>
          </w:p>
          <w:p w14:paraId="5E75D840" w14:textId="77777777" w:rsidR="00431C3A" w:rsidRDefault="00431C3A" w:rsidP="00431C3A">
            <w:pPr>
              <w:pStyle w:val="ListBullet"/>
            </w:pPr>
            <w:r>
              <w:t xml:space="preserve">AGL has a 20 PJ p.a. gas supply contract in place with producers in the Bowen/Surat basins and takes delivery of that gas at Wallumbilla and then transports it to Sydney (via the SWQP and </w:t>
            </w:r>
            <w:r w:rsidRPr="00216CA9">
              <w:t xml:space="preserve">Moomba to Sydney Pipeline </w:t>
            </w:r>
            <w:r>
              <w:t>(MSP)) and Victoria (via the SWQP, MSP and the Declared Transmission System (DTS)).</w:t>
            </w:r>
          </w:p>
          <w:p w14:paraId="69F5FA52" w14:textId="77777777" w:rsidR="00431C3A" w:rsidRDefault="00431C3A" w:rsidP="00431C3A">
            <w:pPr>
              <w:spacing w:after="180"/>
              <w:rPr>
                <w:szCs w:val="24"/>
              </w:rPr>
            </w:pPr>
            <w:r>
              <w:rPr>
                <w:szCs w:val="24"/>
              </w:rPr>
              <w:t>The alternative locations at which this gas could be exchanged are as follows:</w:t>
            </w:r>
          </w:p>
          <w:p w14:paraId="59EAED87" w14:textId="77777777" w:rsidR="00431C3A" w:rsidRDefault="00431C3A" w:rsidP="00431C3A">
            <w:pPr>
              <w:pStyle w:val="ListBullet"/>
              <w:spacing w:after="140"/>
            </w:pPr>
            <w:r>
              <w:t>Santos could take delivery of the gas at either Wallumbilla or Moomba and then transport the gas to Gladstone via the SWQP and the dedicated GLNG pipeline. If the gas is taken at Moomba then AGL would have to transport the gas under its transportation contract on the SWQP from Wallumbilla to Moomba; and</w:t>
            </w:r>
          </w:p>
          <w:p w14:paraId="6CAAC54C" w14:textId="24A72BC6" w:rsidR="00431C3A" w:rsidRPr="00431C3A" w:rsidRDefault="00431C3A" w:rsidP="00431C3A">
            <w:pPr>
              <w:pStyle w:val="ListBullet"/>
              <w:spacing w:after="140"/>
            </w:pPr>
            <w:r>
              <w:t xml:space="preserve">AGL could take delivery of the gas in Sydney and/or Victoria.  If the gas is supplied in Sydney, then Santos would require a GTA with either the </w:t>
            </w:r>
            <w:r w:rsidRPr="00431C3A">
              <w:rPr>
                <w:szCs w:val="18"/>
              </w:rPr>
              <w:t>Eastern Gas Pipeline (</w:t>
            </w:r>
            <w:r>
              <w:t>EGP) or the DTS and MSP to enable the gas to be delivered from the Gippsland Basin to Sydney. If the gas is supplied to Victoria then Santos could just deliver the gas into the DTS.</w:t>
            </w:r>
          </w:p>
        </w:tc>
      </w:tr>
    </w:tbl>
    <w:p w14:paraId="690F83DD" w14:textId="77777777" w:rsidR="009C53F3" w:rsidRPr="00157C87" w:rsidRDefault="009C53F3" w:rsidP="009C53F3">
      <w:pPr>
        <w:pStyle w:val="Heading6"/>
        <w:spacing w:line="252" w:lineRule="auto"/>
        <w:rPr>
          <w:color w:val="0099CC"/>
        </w:rPr>
      </w:pPr>
      <w:r>
        <w:rPr>
          <w:color w:val="0099CC"/>
        </w:rPr>
        <w:t>GMRG’s preliminary view</w:t>
      </w:r>
    </w:p>
    <w:p w14:paraId="13429A11" w14:textId="77777777" w:rsidR="009C53F3" w:rsidRDefault="009C53F3" w:rsidP="009C53F3">
      <w:pPr>
        <w:pStyle w:val="BodyText"/>
      </w:pPr>
      <w:r>
        <w:t>The GMRG’s preliminary view on the initial set of products to be listed on the exchange was that it should include firm forward haul, park and compression services on all the major transmission pipelines.</w:t>
      </w:r>
    </w:p>
    <w:p w14:paraId="7D1D3D69" w14:textId="77777777" w:rsidR="009C53F3" w:rsidRDefault="009C53F3" w:rsidP="009C53F3">
      <w:pPr>
        <w:pStyle w:val="BodyText"/>
        <w:rPr>
          <w:szCs w:val="18"/>
          <w:lang w:eastAsia="fr-CA"/>
        </w:rPr>
      </w:pPr>
      <w:r>
        <w:t xml:space="preserve">The GMRG also agreed with the project team that the </w:t>
      </w:r>
      <w:r w:rsidRPr="00B52A0B">
        <w:t>initial</w:t>
      </w:r>
      <w:r>
        <w:t xml:space="preserve"> list of products should not include backhaul services because there were unlikely to be many suppliers of this service. This is because, in contrast to firm </w:t>
      </w:r>
      <w:r w:rsidRPr="00151C85">
        <w:rPr>
          <w:szCs w:val="18"/>
          <w:lang w:eastAsia="fr-CA"/>
        </w:rPr>
        <w:t>forward haul products where shippers usually have to pay for capacity irrespective of whether or not they use it</w:t>
      </w:r>
      <w:r>
        <w:rPr>
          <w:szCs w:val="18"/>
          <w:lang w:eastAsia="fr-CA"/>
        </w:rPr>
        <w:t xml:space="preserve">, backhaul services are </w:t>
      </w:r>
      <w:r w:rsidR="00C951A9">
        <w:rPr>
          <w:szCs w:val="18"/>
          <w:lang w:eastAsia="fr-CA"/>
        </w:rPr>
        <w:t xml:space="preserve">typically </w:t>
      </w:r>
      <w:r>
        <w:rPr>
          <w:szCs w:val="18"/>
          <w:lang w:eastAsia="fr-CA"/>
        </w:rPr>
        <w:t xml:space="preserve">only paid for when they are used so primary capacity holders </w:t>
      </w:r>
      <w:r>
        <w:t xml:space="preserve">do </w:t>
      </w:r>
      <w:r w:rsidRPr="00151C85">
        <w:rPr>
          <w:szCs w:val="18"/>
          <w:lang w:eastAsia="fr-CA"/>
        </w:rPr>
        <w:t>not have as strong an incentive to sell these services as firm</w:t>
      </w:r>
      <w:r>
        <w:rPr>
          <w:szCs w:val="18"/>
          <w:lang w:eastAsia="fr-CA"/>
        </w:rPr>
        <w:t xml:space="preserve"> forward haul services.</w:t>
      </w:r>
    </w:p>
    <w:p w14:paraId="65C9F109" w14:textId="77777777" w:rsidR="009C53F3" w:rsidRDefault="009C53F3" w:rsidP="009C53F3">
      <w:pPr>
        <w:pStyle w:val="BodyText"/>
      </w:pPr>
      <w:r>
        <w:rPr>
          <w:szCs w:val="18"/>
          <w:lang w:eastAsia="fr-CA"/>
        </w:rPr>
        <w:t xml:space="preserve">In relation to locational gas swaps, the </w:t>
      </w:r>
      <w:r>
        <w:t>GMRG noted that while it understood swaps were becoming more prevalent, the nature of the product is quite different from the capacity products that the AEMC recommended be developed as part of the capacity trading reform package. The GMRG therefore agreed with the position the project team reached on this issue and note</w:t>
      </w:r>
      <w:r w:rsidR="00C951A9">
        <w:t>d</w:t>
      </w:r>
      <w:r>
        <w:t xml:space="preserve"> that the decision to focus on capacity products </w:t>
      </w:r>
      <w:r w:rsidR="00C951A9">
        <w:t xml:space="preserve">would </w:t>
      </w:r>
      <w:r>
        <w:t xml:space="preserve">not prevent parties from entering into locational gas swaps, or advertising swaps on the listing service. </w:t>
      </w:r>
    </w:p>
    <w:p w14:paraId="0F30C4E8" w14:textId="77777777" w:rsidR="009C53F3" w:rsidRDefault="009C53F3" w:rsidP="009C53F3">
      <w:pPr>
        <w:pStyle w:val="BodyText"/>
      </w:pPr>
      <w:r>
        <w:t xml:space="preserve">The GMRG concluded by noting that while the initial list of products may appear somewhat limited, shippers could use the listing service to advertise other products and execute these through a bilateral trade. </w:t>
      </w:r>
      <w:r w:rsidR="006A705E">
        <w:t>It was also noted</w:t>
      </w:r>
      <w:r>
        <w:t xml:space="preserve"> that if there was sufficient interest in other products, they could be added to the exchange at a later time using the Exchange Agreement change process outlined in Appendix E. </w:t>
      </w:r>
    </w:p>
    <w:p w14:paraId="5CFEBB91" w14:textId="77777777" w:rsidR="009C53F3" w:rsidRPr="004E39D6" w:rsidRDefault="009C53F3" w:rsidP="009C53F3">
      <w:pPr>
        <w:pStyle w:val="Heading6"/>
        <w:spacing w:line="252" w:lineRule="auto"/>
        <w:rPr>
          <w:rStyle w:val="Bold"/>
          <w:b/>
          <w:color w:val="0099CC"/>
        </w:rPr>
      </w:pPr>
      <w:r w:rsidRPr="004E39D6">
        <w:rPr>
          <w:rStyle w:val="Bold"/>
          <w:b/>
          <w:color w:val="0099CC"/>
        </w:rPr>
        <w:t xml:space="preserve">Feedback provided through the consultation process </w:t>
      </w:r>
    </w:p>
    <w:p w14:paraId="336E87DD" w14:textId="77777777" w:rsidR="009C53F3" w:rsidRDefault="009C53F3" w:rsidP="009C53F3">
      <w:pPr>
        <w:pStyle w:val="BodyText"/>
      </w:pPr>
      <w:r>
        <w:t>The majority of stakeholders supported the GMRG’s preliminary view on the initial list of products</w:t>
      </w:r>
      <w:r w:rsidR="00C951A9">
        <w:t>.</w:t>
      </w:r>
      <w:r>
        <w:t xml:space="preserve"> </w:t>
      </w:r>
      <w:r w:rsidR="00C951A9">
        <w:t xml:space="preserve"> </w:t>
      </w:r>
      <w:r>
        <w:t xml:space="preserve">There were, however, some exceptions to this. Some stakeholders, for example, thought that the initial list of products should include backhaul services. The MEU, for example, stated that backhaul services are likely to become more prominent under current market conditions (e.g. reverse flows on </w:t>
      </w:r>
      <w:r w:rsidR="006A705E">
        <w:t xml:space="preserve">the </w:t>
      </w:r>
      <w:r>
        <w:t>MSP) and should be included to promote efficiency in gas transportation. Service providers, on the other hand, stated that backhaul services are not firm and as such shippers do not have a right to trade these services to another shipper.</w:t>
      </w:r>
    </w:p>
    <w:p w14:paraId="325EE920" w14:textId="77777777" w:rsidR="009C53F3" w:rsidRDefault="009C53F3" w:rsidP="009C53F3">
      <w:pPr>
        <w:pStyle w:val="BodyText"/>
      </w:pPr>
      <w:r>
        <w:t>Some stakeholders also questioned whether park services should be included. Jemena, for example, questioned whether this service should be offered at market start due to its complexity and noted that the priority of service must be specified because it offers multiple park services with differing priorities.</w:t>
      </w:r>
    </w:p>
    <w:p w14:paraId="7E22412B" w14:textId="77777777" w:rsidR="009C53F3" w:rsidRDefault="006A705E" w:rsidP="009C53F3">
      <w:pPr>
        <w:pStyle w:val="BodyText"/>
      </w:pPr>
      <w:r>
        <w:t xml:space="preserve">Stakeholders also expressed differing views on </w:t>
      </w:r>
      <w:r w:rsidR="009C53F3">
        <w:t xml:space="preserve">whether swaps should be included on the capacity trading platform. Shell, for example, noted that it was keen to see these listed on the GSH before the capacity trading platform was launched. Other stakeholders, however, </w:t>
      </w:r>
      <w:r>
        <w:t xml:space="preserve">suggested </w:t>
      </w:r>
      <w:r w:rsidR="009C53F3">
        <w:t xml:space="preserve">that while swaps are valuable, </w:t>
      </w:r>
      <w:r>
        <w:t xml:space="preserve">they should not be </w:t>
      </w:r>
      <w:r w:rsidR="009C53F3">
        <w:t>include</w:t>
      </w:r>
      <w:r>
        <w:t>d</w:t>
      </w:r>
      <w:r w:rsidR="009C53F3">
        <w:t xml:space="preserve"> in the initial product list given the extra complexity involved in developing standardised swap products and the risk of delays. AGL also noted that while swaps are useful they are </w:t>
      </w:r>
      <w:r w:rsidR="00EE3AB0">
        <w:t xml:space="preserve">also </w:t>
      </w:r>
      <w:r w:rsidR="009C53F3">
        <w:t xml:space="preserve">inflexible because they require specific swap locations to be </w:t>
      </w:r>
      <w:r w:rsidR="00C951A9">
        <w:t>specified</w:t>
      </w:r>
      <w:r w:rsidR="009C53F3">
        <w:t xml:space="preserve">. AGL also noted that the capacity trading platform would enable a participant to buy gas from one region and connect with a </w:t>
      </w:r>
      <w:r w:rsidR="009C53F3">
        <w:lastRenderedPageBreak/>
        <w:t>number of haulage arrangements and that this was more flexible and valuable than swaps.</w:t>
      </w:r>
    </w:p>
    <w:p w14:paraId="032B18F1" w14:textId="77777777" w:rsidR="009C53F3" w:rsidRDefault="009C53F3" w:rsidP="009C53F3">
      <w:pPr>
        <w:pStyle w:val="BodyText"/>
      </w:pPr>
      <w:r>
        <w:t xml:space="preserve">In relation to compression services, a number of parties agreed with the proposed list of compression services, but others questioned whether </w:t>
      </w:r>
      <w:r w:rsidR="00EE3AB0">
        <w:t>further</w:t>
      </w:r>
      <w:r>
        <w:t xml:space="preserve"> compression products should be added. The MEU, for example, noted that there was no proposed compression product from the Southern Hub into north flowing pipelines, even though the AEMC’s Southern Hub proposal requires compression at both Port Campbell and Longford. AGL, on the other hand, stated that there is little value in including a compression product at market start and noted that while </w:t>
      </w:r>
      <w:r w:rsidR="00C951A9">
        <w:t xml:space="preserve">a Wallumbilla compression product is available on the GSH it is </w:t>
      </w:r>
      <w:r>
        <w:t>yet to trade.</w:t>
      </w:r>
    </w:p>
    <w:p w14:paraId="27689504" w14:textId="77777777" w:rsidR="009C53F3" w:rsidRPr="004E39D6" w:rsidRDefault="009C53F3" w:rsidP="009C53F3">
      <w:pPr>
        <w:pStyle w:val="Heading6"/>
        <w:spacing w:line="252" w:lineRule="auto"/>
        <w:rPr>
          <w:rStyle w:val="Bold"/>
          <w:color w:val="0099CC"/>
        </w:rPr>
      </w:pPr>
      <w:r w:rsidRPr="004E39D6">
        <w:rPr>
          <w:rStyle w:val="Bold"/>
          <w:b/>
          <w:color w:val="0099CC"/>
        </w:rPr>
        <w:t>GMRG’s final recommendations</w:t>
      </w:r>
      <w:r w:rsidRPr="004E39D6">
        <w:rPr>
          <w:rStyle w:val="Bold"/>
          <w:color w:val="0099CC"/>
        </w:rPr>
        <w:t xml:space="preserve"> </w:t>
      </w:r>
    </w:p>
    <w:p w14:paraId="72298E86" w14:textId="77777777" w:rsidR="009C53F3" w:rsidRDefault="009C53F3" w:rsidP="009C53F3">
      <w:pPr>
        <w:pStyle w:val="BodyText"/>
      </w:pPr>
      <w:r>
        <w:t>Having considered the feedback provided by stakeholders and the AEMC’s original expectations, the GMRG recommends that the initial set of exchange-based products include:</w:t>
      </w:r>
    </w:p>
    <w:p w14:paraId="3F4D93E1" w14:textId="77777777" w:rsidR="009C53F3" w:rsidRPr="00B52A0B" w:rsidRDefault="009C53F3" w:rsidP="009C53F3">
      <w:pPr>
        <w:pStyle w:val="ListBullet"/>
      </w:pPr>
      <w:r w:rsidRPr="00C90D2B">
        <w:rPr>
          <w:b/>
        </w:rPr>
        <w:t>firm forward haul services</w:t>
      </w:r>
      <w:r w:rsidRPr="00B52A0B">
        <w:t xml:space="preserve"> on all major transmission pipelines (if the pipeline is bi-directional, services will be available in both directions);</w:t>
      </w:r>
    </w:p>
    <w:p w14:paraId="1E2EF97B" w14:textId="77777777" w:rsidR="009C53F3" w:rsidRPr="00B52A0B" w:rsidRDefault="009C53F3" w:rsidP="009C53F3">
      <w:pPr>
        <w:pStyle w:val="ListBullet"/>
      </w:pPr>
      <w:r w:rsidRPr="00C90D2B">
        <w:rPr>
          <w:b/>
        </w:rPr>
        <w:t>firm compression services</w:t>
      </w:r>
      <w:r w:rsidRPr="00B52A0B">
        <w:t xml:space="preserve"> at Moomba and Wallumbilla; and </w:t>
      </w:r>
    </w:p>
    <w:p w14:paraId="0B2595E4" w14:textId="77777777" w:rsidR="009C53F3" w:rsidRPr="00B52A0B" w:rsidRDefault="009C53F3" w:rsidP="009C53F3">
      <w:pPr>
        <w:pStyle w:val="ListBullet"/>
      </w:pPr>
      <w:proofErr w:type="gramStart"/>
      <w:r w:rsidRPr="00C90D2B">
        <w:rPr>
          <w:b/>
        </w:rPr>
        <w:t>firm</w:t>
      </w:r>
      <w:proofErr w:type="gramEnd"/>
      <w:r w:rsidRPr="00C90D2B">
        <w:rPr>
          <w:b/>
        </w:rPr>
        <w:t xml:space="preserve"> park (storage) services</w:t>
      </w:r>
      <w:r w:rsidRPr="00B52A0B">
        <w:t xml:space="preserve"> on all the major transmission pipelines.</w:t>
      </w:r>
    </w:p>
    <w:p w14:paraId="3BF3F3C4" w14:textId="77777777" w:rsidR="00C951A9" w:rsidRDefault="00C951A9" w:rsidP="00C951A9">
      <w:pPr>
        <w:pStyle w:val="BodyText"/>
      </w:pPr>
      <w:r>
        <w:t xml:space="preserve">In the GMRG’s view, this list strikes the right balance between: </w:t>
      </w:r>
    </w:p>
    <w:p w14:paraId="18DB78ED" w14:textId="77777777" w:rsidR="00C951A9" w:rsidRDefault="00C951A9" w:rsidP="00C951A9">
      <w:pPr>
        <w:pStyle w:val="ListBullet"/>
      </w:pPr>
      <w:r>
        <w:t xml:space="preserve">including products that market participants will utilise; and </w:t>
      </w:r>
    </w:p>
    <w:p w14:paraId="36BAE3F4" w14:textId="77777777" w:rsidR="00C951A9" w:rsidRDefault="00C951A9" w:rsidP="00C951A9">
      <w:pPr>
        <w:pStyle w:val="ListBullet"/>
      </w:pPr>
      <w:proofErr w:type="gramStart"/>
      <w:r>
        <w:t>concentrating</w:t>
      </w:r>
      <w:proofErr w:type="gramEnd"/>
      <w:r>
        <w:t xml:space="preserve"> liquidity and reducing complexity at market start.</w:t>
      </w:r>
    </w:p>
    <w:p w14:paraId="3AC7E8E6" w14:textId="77777777" w:rsidR="009C53F3" w:rsidRDefault="00C951A9" w:rsidP="009C53F3">
      <w:pPr>
        <w:pStyle w:val="BodyText"/>
      </w:pPr>
      <w:r>
        <w:t xml:space="preserve">The initial </w:t>
      </w:r>
      <w:r w:rsidR="009C53F3">
        <w:t xml:space="preserve">list </w:t>
      </w:r>
      <w:r w:rsidR="0078457E">
        <w:t xml:space="preserve">of products </w:t>
      </w:r>
      <w:r w:rsidR="009C53F3">
        <w:t>does not include backhaul services, because as a number of stakeholders noted:</w:t>
      </w:r>
    </w:p>
    <w:p w14:paraId="223E908E" w14:textId="77777777" w:rsidR="009C53F3" w:rsidRDefault="009C53F3" w:rsidP="009C53F3">
      <w:pPr>
        <w:pStyle w:val="ListBullet"/>
      </w:pPr>
      <w:r>
        <w:t>these are an interruptible service and there is no firm transportation right that can be transferred under the secondary trade; and</w:t>
      </w:r>
    </w:p>
    <w:p w14:paraId="553C589F" w14:textId="77777777" w:rsidR="009C53F3" w:rsidRDefault="009C53F3" w:rsidP="009C53F3">
      <w:pPr>
        <w:pStyle w:val="ListBullet"/>
      </w:pPr>
      <w:r>
        <w:t xml:space="preserve">primary shippers </w:t>
      </w:r>
      <w:r w:rsidR="00A478FB">
        <w:t xml:space="preserve">ordinarily </w:t>
      </w:r>
      <w:r>
        <w:t xml:space="preserve">only pay for these services when they use them and </w:t>
      </w:r>
      <w:r w:rsidR="00A478FB">
        <w:t xml:space="preserve">thus </w:t>
      </w:r>
      <w:r>
        <w:t xml:space="preserve">do not have as strong an incentive to sell these as </w:t>
      </w:r>
      <w:r w:rsidR="00993A3C">
        <w:t xml:space="preserve">shippers with </w:t>
      </w:r>
      <w:r>
        <w:t>firm forward haul products</w:t>
      </w:r>
      <w:r w:rsidR="00993A3C">
        <w:t xml:space="preserve">, which they </w:t>
      </w:r>
      <w:r>
        <w:t>usually have to pay for irrespective of whether or not it</w:t>
      </w:r>
      <w:r w:rsidR="00993A3C">
        <w:t xml:space="preserve"> is used</w:t>
      </w:r>
      <w:r>
        <w:t>.</w:t>
      </w:r>
    </w:p>
    <w:p w14:paraId="0720BF15" w14:textId="77777777" w:rsidR="009C53F3" w:rsidRDefault="009C53F3" w:rsidP="009C53F3">
      <w:pPr>
        <w:pStyle w:val="BodyText"/>
      </w:pPr>
      <w:r>
        <w:t xml:space="preserve">While backhaul services will not be included in the initial list of products, it is important to note that if a pipeline operates in a bi-directional manner (e.g. the </w:t>
      </w:r>
      <w:r w:rsidR="00A478FB">
        <w:t>MSP</w:t>
      </w:r>
      <w:r>
        <w:t xml:space="preserve">, the </w:t>
      </w:r>
      <w:r w:rsidR="00A478FB">
        <w:t>SWQP</w:t>
      </w:r>
      <w:r>
        <w:t xml:space="preserve">, </w:t>
      </w:r>
      <w:proofErr w:type="gramStart"/>
      <w:r>
        <w:t>the</w:t>
      </w:r>
      <w:proofErr w:type="gramEnd"/>
      <w:r>
        <w:t xml:space="preserve"> Moomba to Adelaide Pipeline System</w:t>
      </w:r>
      <w:r w:rsidR="00A478FB">
        <w:t xml:space="preserve"> (MAPS)</w:t>
      </w:r>
      <w:r>
        <w:t xml:space="preserve"> and the Roma to Brisbane Pipeline</w:t>
      </w:r>
      <w:r w:rsidR="00A478FB">
        <w:t xml:space="preserve"> (RBP)</w:t>
      </w:r>
      <w:r>
        <w:t xml:space="preserve">) then firm forward haul services will be available in both directions. It is also worth noting that the GMRG is proposing that on pipelines that do not operate in a bi-directional manner an interruptible backhaul service will be available through the auction. </w:t>
      </w:r>
      <w:r w:rsidR="00C951A9">
        <w:t>The reform package will therefore provide m</w:t>
      </w:r>
      <w:r>
        <w:t xml:space="preserve">arket participants </w:t>
      </w:r>
      <w:r w:rsidR="00C951A9">
        <w:t xml:space="preserve">with greater </w:t>
      </w:r>
      <w:r>
        <w:t xml:space="preserve">access </w:t>
      </w:r>
      <w:r w:rsidR="00C951A9">
        <w:t xml:space="preserve">to </w:t>
      </w:r>
      <w:r>
        <w:t>backhaul services.</w:t>
      </w:r>
    </w:p>
    <w:p w14:paraId="0E4F2AA6" w14:textId="77777777" w:rsidR="009C53F3" w:rsidRDefault="009C53F3" w:rsidP="009C53F3">
      <w:pPr>
        <w:pStyle w:val="BodyText"/>
      </w:pPr>
      <w:r>
        <w:t xml:space="preserve">In relation to locational swaps, the GMRG understands the value these products present to the market and agrees with a number of market participants that there would be value in adding swaps between major trading locations to the GSH. The GMRG does not, however, think </w:t>
      </w:r>
      <w:r w:rsidR="004F536D">
        <w:t xml:space="preserve">that locational gas swaps </w:t>
      </w:r>
      <w:r>
        <w:t>should be added to the capacity trading platform, because the objective of this platform</w:t>
      </w:r>
      <w:r w:rsidR="004F536D">
        <w:t>,</w:t>
      </w:r>
      <w:r>
        <w:t xml:space="preserve"> and the capacity trading reforms package more </w:t>
      </w:r>
      <w:r>
        <w:lastRenderedPageBreak/>
        <w:t>generally</w:t>
      </w:r>
      <w:r w:rsidR="004F536D">
        <w:t>,</w:t>
      </w:r>
      <w:r>
        <w:t xml:space="preserve"> is to facilitate the trade of secondary capacity and </w:t>
      </w:r>
      <w:r w:rsidR="004F536D">
        <w:t xml:space="preserve">enable </w:t>
      </w:r>
      <w:r>
        <w:t>other shippers to utilise capacity that is not otherwise being used by the primary shipper. While swaps can achieve a similar objective to capacity trading, the delivery obligations are quite different</w:t>
      </w:r>
      <w:r w:rsidR="004F536D">
        <w:t xml:space="preserve">. </w:t>
      </w:r>
      <w:r w:rsidR="00C951A9">
        <w:t>In short, s</w:t>
      </w:r>
      <w:r>
        <w:t xml:space="preserve">wap counterparties </w:t>
      </w:r>
      <w:r w:rsidR="004F536D">
        <w:t xml:space="preserve">have </w:t>
      </w:r>
      <w:r>
        <w:t xml:space="preserve">an obligation to deliver gas to the relevant location, while the seller in a capacity trade just has to release the capacity to another shipper to use. The contractual arrangements required to give effect to a swap are also quite different from the operational GTA that has been developed for capacity trades.  </w:t>
      </w:r>
    </w:p>
    <w:p w14:paraId="0E23E79E" w14:textId="77777777" w:rsidR="009C53F3" w:rsidRDefault="009C53F3" w:rsidP="009C53F3">
      <w:pPr>
        <w:pStyle w:val="BodyText"/>
      </w:pPr>
      <w:r>
        <w:t>While swap products have not been included in the initial set of products, this will not prevent parties from entering into locational gas swaps, or advertising swaps on the listing service. Nor will it prevent AEMO from developing a gas swap product on the GSH using the Exchange Agreement change process. This change process can also be used to add other products to the capacity trading platform over time as the market develops.</w:t>
      </w:r>
    </w:p>
    <w:p w14:paraId="12794C8D" w14:textId="77777777" w:rsidR="00C951A9" w:rsidRDefault="009C53F3" w:rsidP="009C53F3">
      <w:pPr>
        <w:pStyle w:val="BodyText"/>
        <w:rPr>
          <w:szCs w:val="18"/>
        </w:rPr>
      </w:pPr>
      <w:r>
        <w:t xml:space="preserve">Finally, in relation to compression services, the GMRG remains of the view that stand-alone compression services should be available at the </w:t>
      </w:r>
      <w:r>
        <w:rPr>
          <w:szCs w:val="18"/>
        </w:rPr>
        <w:t xml:space="preserve">Wallumbilla and Moomba </w:t>
      </w:r>
      <w:r w:rsidR="004F536D">
        <w:rPr>
          <w:szCs w:val="18"/>
        </w:rPr>
        <w:t xml:space="preserve">GSH </w:t>
      </w:r>
      <w:r>
        <w:rPr>
          <w:szCs w:val="18"/>
        </w:rPr>
        <w:t xml:space="preserve">to enable parties to trade these services and facilitate the movement of gas across these major hubs. The GMRG has considered the concerns that the MEU has raised about compression products in Victoria and notes that the compression services required to move gas from Longford on the Eastern Gas Pipeline </w:t>
      </w:r>
      <w:r w:rsidR="004F536D">
        <w:rPr>
          <w:szCs w:val="18"/>
        </w:rPr>
        <w:t xml:space="preserve">(EGP) </w:t>
      </w:r>
      <w:r>
        <w:rPr>
          <w:szCs w:val="18"/>
        </w:rPr>
        <w:t xml:space="preserve">or from the interconnect into NSW via the </w:t>
      </w:r>
      <w:r w:rsidR="004F536D">
        <w:rPr>
          <w:szCs w:val="18"/>
        </w:rPr>
        <w:t>MSP</w:t>
      </w:r>
      <w:r>
        <w:rPr>
          <w:szCs w:val="18"/>
        </w:rPr>
        <w:t xml:space="preserve"> will form part of the firm forward haul transportation service on these pipelines. </w:t>
      </w:r>
    </w:p>
    <w:p w14:paraId="527A80E2" w14:textId="77777777" w:rsidR="009C53F3" w:rsidRDefault="009C53F3" w:rsidP="009C53F3">
      <w:pPr>
        <w:pStyle w:val="BodyText"/>
        <w:rPr>
          <w:szCs w:val="18"/>
        </w:rPr>
      </w:pPr>
      <w:r>
        <w:rPr>
          <w:szCs w:val="18"/>
        </w:rPr>
        <w:t xml:space="preserve">The only potential gap is at Port Campbell, where compression is required to transport gas from Victoria into the </w:t>
      </w:r>
      <w:proofErr w:type="spellStart"/>
      <w:r>
        <w:rPr>
          <w:szCs w:val="18"/>
        </w:rPr>
        <w:t>SEAGas</w:t>
      </w:r>
      <w:proofErr w:type="spellEnd"/>
      <w:r>
        <w:rPr>
          <w:szCs w:val="18"/>
        </w:rPr>
        <w:t xml:space="preserve"> Pipeline. The GMRG understands that the only third party provider of this service is </w:t>
      </w:r>
      <w:proofErr w:type="spellStart"/>
      <w:r>
        <w:rPr>
          <w:szCs w:val="18"/>
        </w:rPr>
        <w:t>Lochard</w:t>
      </w:r>
      <w:proofErr w:type="spellEnd"/>
      <w:r>
        <w:rPr>
          <w:szCs w:val="18"/>
        </w:rPr>
        <w:t xml:space="preserve">, but that it only sells this service as part of a bundled underground storage and compression service. It does not appear therefore that shippers that have access to this compression facility </w:t>
      </w:r>
      <w:r w:rsidR="004F536D">
        <w:rPr>
          <w:szCs w:val="18"/>
        </w:rPr>
        <w:t>would be in a position to</w:t>
      </w:r>
      <w:r>
        <w:rPr>
          <w:szCs w:val="18"/>
        </w:rPr>
        <w:t xml:space="preserve"> sell compression on a stand-alone basis. The GMRG agrees with the MEU that this is a gap in the market, but it is unclear how this can be resolved unless a bundled compression and storage service is added onto the platform. This would require additional work to develop a standardised operational GTA that can cover underground storage and is likely to involve some other complexities. The GMRG therefore suggests that further consideration be given to including this product </w:t>
      </w:r>
      <w:r w:rsidR="004F536D">
        <w:rPr>
          <w:szCs w:val="18"/>
        </w:rPr>
        <w:t xml:space="preserve">following </w:t>
      </w:r>
      <w:r>
        <w:rPr>
          <w:szCs w:val="18"/>
        </w:rPr>
        <w:t xml:space="preserve">market start. </w:t>
      </w:r>
    </w:p>
    <w:p w14:paraId="40AF38C4" w14:textId="77777777" w:rsidR="00D4624E" w:rsidRDefault="00993A3C" w:rsidP="00D4624E">
      <w:pPr>
        <w:pStyle w:val="Heading2"/>
      </w:pPr>
      <w:bookmarkStart w:id="126" w:name="_Toc498577942"/>
      <w:bookmarkStart w:id="127" w:name="_Toc499542661"/>
      <w:bookmarkStart w:id="128" w:name="_Toc498406343"/>
      <w:bookmarkStart w:id="129" w:name="_Toc498406344"/>
      <w:bookmarkStart w:id="130" w:name="_Toc498577940"/>
      <w:r>
        <w:t>Maximising</w:t>
      </w:r>
      <w:r w:rsidR="009D2AE1">
        <w:t xml:space="preserve"> </w:t>
      </w:r>
      <w:r w:rsidR="00D4624E">
        <w:t>the pool of prospective buyers and sellers</w:t>
      </w:r>
      <w:bookmarkEnd w:id="126"/>
      <w:bookmarkEnd w:id="127"/>
      <w:r w:rsidR="00D4624E">
        <w:t xml:space="preserve"> </w:t>
      </w:r>
      <w:bookmarkEnd w:id="128"/>
    </w:p>
    <w:p w14:paraId="1D2188CD" w14:textId="77777777" w:rsidR="00C14FFB" w:rsidRPr="008C18E7" w:rsidRDefault="00C14FFB" w:rsidP="00C14FFB">
      <w:pPr>
        <w:pStyle w:val="Heading6"/>
        <w:spacing w:line="252" w:lineRule="auto"/>
        <w:rPr>
          <w:color w:val="0099CC"/>
        </w:rPr>
      </w:pPr>
      <w:r w:rsidRPr="008C18E7">
        <w:rPr>
          <w:color w:val="0099CC"/>
        </w:rPr>
        <w:t xml:space="preserve">Background </w:t>
      </w:r>
    </w:p>
    <w:p w14:paraId="2A89F2E5" w14:textId="77777777" w:rsidR="0086263D" w:rsidRDefault="0086263D" w:rsidP="0086263D">
      <w:pPr>
        <w:pStyle w:val="BodyText"/>
      </w:pPr>
      <w:r>
        <w:t>Transportation services on contract carriage transmission pipelines have traditionally been sold on a point-to-point basis between the receipt and delivery points specified in the shipper’s GTA. While the point-to-point model works relatively well for primary sales of capacity, it may act as an impediment to secondary trade by limiting the number of buyers and sellers that can trade with each other (i.e. because few shippers are likely to have exactly the same receipt and delivery point requirements).</w:t>
      </w:r>
      <w:r>
        <w:rPr>
          <w:rStyle w:val="FootnoteReference"/>
        </w:rPr>
        <w:footnoteReference w:id="67"/>
      </w:r>
      <w:r>
        <w:t xml:space="preserve"> </w:t>
      </w:r>
    </w:p>
    <w:p w14:paraId="09380D8B" w14:textId="77777777" w:rsidR="0086263D" w:rsidRDefault="0086263D" w:rsidP="0086263D">
      <w:pPr>
        <w:pStyle w:val="BodyText"/>
      </w:pPr>
      <w:r>
        <w:lastRenderedPageBreak/>
        <w:t xml:space="preserve">To overcome these impediments and maximise the pool of prospective buyers and sellers, the Standardisation project team recommended </w:t>
      </w:r>
      <w:r w:rsidR="00837945">
        <w:t xml:space="preserve">the use of a </w:t>
      </w:r>
      <w:r>
        <w:t xml:space="preserve">zonal </w:t>
      </w:r>
      <w:r w:rsidR="00837945">
        <w:t xml:space="preserve">receipt and delivery point </w:t>
      </w:r>
      <w:r>
        <w:t xml:space="preserve">model with secondary firm rights </w:t>
      </w:r>
      <w:r w:rsidR="00837945">
        <w:t xml:space="preserve">at individual points </w:t>
      </w:r>
      <w:r>
        <w:t>for trades carried out through the exchange</w:t>
      </w:r>
      <w:r w:rsidR="00837945">
        <w:t>. Under this model</w:t>
      </w:r>
      <w:r>
        <w:t xml:space="preserve">: </w:t>
      </w:r>
    </w:p>
    <w:p w14:paraId="466C3283" w14:textId="77777777" w:rsidR="0086263D" w:rsidRDefault="0086263D" w:rsidP="0086263D">
      <w:pPr>
        <w:pStyle w:val="ListBullet"/>
      </w:pPr>
      <w:r>
        <w:t xml:space="preserve">primary shippers </w:t>
      </w:r>
      <w:r w:rsidR="00837945">
        <w:t xml:space="preserve">would be able </w:t>
      </w:r>
      <w:r>
        <w:t>to sell their point-to-point capacity on a zone-to-zone basis; and</w:t>
      </w:r>
    </w:p>
    <w:p w14:paraId="3FDA9B17" w14:textId="77777777" w:rsidR="0086263D" w:rsidRDefault="0086263D" w:rsidP="0086263D">
      <w:pPr>
        <w:pStyle w:val="ListBullet"/>
      </w:pPr>
      <w:proofErr w:type="gramStart"/>
      <w:r>
        <w:t>secondary</w:t>
      </w:r>
      <w:proofErr w:type="gramEnd"/>
      <w:r>
        <w:t xml:space="preserve"> shippers </w:t>
      </w:r>
      <w:r w:rsidR="00837945">
        <w:t xml:space="preserve">would be able to </w:t>
      </w:r>
      <w:r>
        <w:t>acquire capacity on a zone-to-zone basis and to have secondary firm rights at all the receipt and delivery points within each zone.</w:t>
      </w:r>
      <w:r>
        <w:rPr>
          <w:rStyle w:val="FootnoteReference"/>
        </w:rPr>
        <w:footnoteReference w:id="68"/>
      </w:r>
      <w:r>
        <w:t xml:space="preserve"> </w:t>
      </w:r>
    </w:p>
    <w:p w14:paraId="407C907B" w14:textId="77777777" w:rsidR="00C14FFB" w:rsidRDefault="00C14FFB" w:rsidP="00C14FFB">
      <w:pPr>
        <w:pStyle w:val="BodyText"/>
      </w:pPr>
      <w:r>
        <w:t>The secondary firm rights concept</w:t>
      </w:r>
      <w:r>
        <w:rPr>
          <w:rStyle w:val="FootnoteReference"/>
        </w:rPr>
        <w:footnoteReference w:id="69"/>
      </w:r>
      <w:r>
        <w:t xml:space="preserve"> is required under the zonal model, because: </w:t>
      </w:r>
    </w:p>
    <w:p w14:paraId="05BF9155" w14:textId="77777777" w:rsidR="00C14FFB" w:rsidRDefault="00C14FFB" w:rsidP="00C14FFB">
      <w:pPr>
        <w:pStyle w:val="ListBullet"/>
      </w:pPr>
      <w:r>
        <w:t xml:space="preserve">the capacity that is sold by the primary shipper may be released from a different receipt or delivery point in the zone to the receipt or delivery point the secondary shipper intends to use in that zone; and </w:t>
      </w:r>
    </w:p>
    <w:p w14:paraId="21372AC5" w14:textId="77777777" w:rsidR="00C14FFB" w:rsidRDefault="00C14FFB" w:rsidP="00C14FFB">
      <w:pPr>
        <w:pStyle w:val="ListBullet"/>
      </w:pPr>
      <w:proofErr w:type="gramStart"/>
      <w:r>
        <w:t>the</w:t>
      </w:r>
      <w:proofErr w:type="gramEnd"/>
      <w:r>
        <w:t xml:space="preserve"> capacity of individual receipt and delivery points within a zone will usually be lower than the zonal capacity.</w:t>
      </w:r>
    </w:p>
    <w:p w14:paraId="5C708694" w14:textId="77777777" w:rsidR="00C14FFB" w:rsidRDefault="00C14FFB" w:rsidP="00C14FFB">
      <w:pPr>
        <w:pStyle w:val="BodyText"/>
      </w:pPr>
      <w:r>
        <w:t xml:space="preserve">To deal with these limitations of the zonal model, while also recognising the firm rights that primary shippers have to use receipt and delivery points, the secondary firm rights concept allows secondary shippers to use any receipt or delivery points within a zone but their rights at those points are subordinate to primary shippers with firm rights at those points. There is a risk therefore that if the secondary shipper nominates to use a receipt or delivery point that is fully </w:t>
      </w:r>
      <w:r w:rsidR="00837945">
        <w:t xml:space="preserve">used </w:t>
      </w:r>
      <w:r>
        <w:t>by primary shippers, it will not be able to use those points.  The nature of this risk was discussed at some length by the Standardisation project team, which observed the following about the risks at receipt and delivery points:</w:t>
      </w:r>
    </w:p>
    <w:p w14:paraId="63E7D2C0" w14:textId="77777777" w:rsidR="00C14FFB" w:rsidRDefault="00C14FFB" w:rsidP="00C14FFB">
      <w:pPr>
        <w:pStyle w:val="ListBullet"/>
      </w:pPr>
      <w:r w:rsidRPr="00324ED9">
        <w:rPr>
          <w:b/>
        </w:rPr>
        <w:t>Receipt points</w:t>
      </w:r>
      <w:r>
        <w:rPr>
          <w:b/>
        </w:rPr>
        <w:t>:</w:t>
      </w:r>
    </w:p>
    <w:p w14:paraId="4F8CFAAC" w14:textId="77777777" w:rsidR="00C14FFB" w:rsidRDefault="00C14FFB" w:rsidP="00C14FFB">
      <w:pPr>
        <w:pStyle w:val="ListBullet2"/>
      </w:pPr>
      <w:r>
        <w:t>The risk would be relatively low on pipelines that have a single receipt point, separate zones for each receipt point or can only be supplied by producers (i.e. because producers will only agree to supply gas if the receipt point is not expected to be fully utilised on a day).</w:t>
      </w:r>
      <w:r w:rsidR="00CF7D4D">
        <w:t xml:space="preserve"> </w:t>
      </w:r>
    </w:p>
    <w:p w14:paraId="6E797A0A" w14:textId="77777777" w:rsidR="00C14FFB" w:rsidRDefault="00C14FFB" w:rsidP="00C14FFB">
      <w:pPr>
        <w:pStyle w:val="ListBullet2"/>
      </w:pPr>
      <w:r>
        <w:t>The risk may be higher on pipelines that have multiple receipt points within a zone that can be supplied with gas from other pipelines (e.g. at the entry point to the RBP, which can be supplied from Wallumbilla runs 1, 2, 3, 4 and 7).</w:t>
      </w:r>
    </w:p>
    <w:p w14:paraId="454BBE81" w14:textId="77777777" w:rsidR="00C14FFB" w:rsidRDefault="00C14FFB" w:rsidP="00C14FFB">
      <w:pPr>
        <w:pStyle w:val="ListBullet"/>
      </w:pPr>
      <w:r w:rsidRPr="00324ED9">
        <w:rPr>
          <w:b/>
        </w:rPr>
        <w:t>Delivery points</w:t>
      </w:r>
      <w:r>
        <w:rPr>
          <w:b/>
        </w:rPr>
        <w:t xml:space="preserve">: </w:t>
      </w:r>
    </w:p>
    <w:p w14:paraId="05D831DC" w14:textId="77777777" w:rsidR="00C14FFB" w:rsidRDefault="00C14FFB" w:rsidP="00C14FFB">
      <w:pPr>
        <w:pStyle w:val="ListBullet2"/>
      </w:pPr>
      <w:r>
        <w:t>The risk would be very low at single user delivery points because the user would not agree to purchase secondary capacity (or purchase gas on a delivered basis from another party) if its delivery point was expected to be fully utilised on a day.</w:t>
      </w:r>
      <w:r>
        <w:rPr>
          <w:rStyle w:val="FootnoteReference"/>
        </w:rPr>
        <w:footnoteReference w:id="70"/>
      </w:r>
    </w:p>
    <w:p w14:paraId="51FD73FA" w14:textId="77777777" w:rsidR="00C14FFB" w:rsidRDefault="00C14FFB" w:rsidP="00C14FFB">
      <w:pPr>
        <w:pStyle w:val="ListBullet2"/>
        <w:spacing w:before="100" w:after="100"/>
      </w:pPr>
      <w:r>
        <w:lastRenderedPageBreak/>
        <w:t xml:space="preserve">The risk would be relatively low at other delivery points because the secondary shipper is unlikely to try and use a delivery point unless, in the case of a retailer, it has won a customer from another shipper, or in the case of an end-user, it has decided to reduce supply from elsewhere. The only potential caveats to this that the project team identified were that: </w:t>
      </w:r>
    </w:p>
    <w:p w14:paraId="03571A5C" w14:textId="77777777" w:rsidR="00C14FFB" w:rsidRDefault="00C14FFB" w:rsidP="00C14FFB">
      <w:pPr>
        <w:pStyle w:val="BodyText"/>
        <w:numPr>
          <w:ilvl w:val="0"/>
          <w:numId w:val="26"/>
        </w:numPr>
        <w:spacing w:before="100" w:after="100"/>
        <w:ind w:left="1071" w:hanging="357"/>
      </w:pPr>
      <w:r>
        <w:t>if there is a step increase in the demand for gas at a delivery point then some curtailment of secondary firm rights may be required if there is insufficient capacity; or</w:t>
      </w:r>
    </w:p>
    <w:p w14:paraId="3F9AFB69" w14:textId="77777777" w:rsidR="00C14FFB" w:rsidRDefault="00C14FFB" w:rsidP="00C14FFB">
      <w:pPr>
        <w:pStyle w:val="BodyText"/>
        <w:numPr>
          <w:ilvl w:val="0"/>
          <w:numId w:val="26"/>
        </w:numPr>
        <w:spacing w:before="100" w:after="100"/>
        <w:ind w:left="1071" w:hanging="357"/>
      </w:pPr>
      <w:proofErr w:type="gramStart"/>
      <w:r>
        <w:t>if</w:t>
      </w:r>
      <w:proofErr w:type="gramEnd"/>
      <w:r>
        <w:t xml:space="preserve"> a location is serviced by two pipelines and shippers can use either pipeline then some curtailment of secondary firm rights may be required if secondary shippers try to transport more gas on one pipeline than the available delivery point capacity.</w:t>
      </w:r>
    </w:p>
    <w:p w14:paraId="37ABC9A1" w14:textId="77777777" w:rsidR="00837945" w:rsidRDefault="00C14FFB" w:rsidP="00C14FFB">
      <w:pPr>
        <w:pStyle w:val="BodyText"/>
      </w:pPr>
      <w:r>
        <w:t xml:space="preserve">While the risk in most cases is expected to be relatively low, there is still a possibility that curtailment will be required, which is why the project team advocated the use of the secondary firm concept. </w:t>
      </w:r>
    </w:p>
    <w:p w14:paraId="54630133" w14:textId="77777777" w:rsidR="00C14FFB" w:rsidRDefault="00C14FFB" w:rsidP="00C14FFB">
      <w:pPr>
        <w:pStyle w:val="BodyText"/>
      </w:pPr>
      <w:r>
        <w:t xml:space="preserve">To enable secondary shippers to understand the nature of this risk and the likelihood that they will be interrupted, the project team recommended that information on the capacity of receipt and delivery points and historic flows to these points be published on the BB. If, on the basis of this information, the secondary shipper considers the risk to be too great, then it would have the option of entering into a bilateral trade with a primary shipper that has capacity at the receipt and delivery points it requires access to. In addition to having recourse to historic information, the project team noted that the risks associated with secondary firm rights could be managed by implementing one of the following options: </w:t>
      </w:r>
    </w:p>
    <w:p w14:paraId="7531E7F4" w14:textId="77777777" w:rsidR="00C14FFB" w:rsidRDefault="00C14FFB" w:rsidP="00C14FFB">
      <w:pPr>
        <w:pStyle w:val="ListBullet"/>
      </w:pPr>
      <w:r>
        <w:t>Option 1: The buyer could be notified of the points the seller is releasing capacity from at the time of transacti</w:t>
      </w:r>
      <w:r w:rsidR="00993A3C">
        <w:t>ng</w:t>
      </w:r>
      <w:r>
        <w:t xml:space="preserve"> (either immediately before the transaction – giving the buyer an opportunity to decline, or immediately after the transaction – providing the buyer with an understanding of which points they are more likely to have firm access</w:t>
      </w:r>
      <w:r w:rsidR="00993A3C">
        <w:t xml:space="preserve"> to</w:t>
      </w:r>
      <w:r>
        <w:t>). However, this approach was considered to devalue the zonal product, potentially reducing liquidity, and</w:t>
      </w:r>
      <w:r w:rsidR="00993A3C">
        <w:t xml:space="preserve"> is</w:t>
      </w:r>
      <w:r>
        <w:t xml:space="preserve"> potentially complex to implement. </w:t>
      </w:r>
    </w:p>
    <w:p w14:paraId="169C6119" w14:textId="77777777" w:rsidR="00C14FFB" w:rsidRDefault="00C14FFB" w:rsidP="00C14FFB">
      <w:pPr>
        <w:pStyle w:val="ListBullet"/>
      </w:pPr>
      <w:r>
        <w:t xml:space="preserve">Option 2: The buyer could have an opportunity to input preferred delivery and receipt points within the zone when they enter their bid on the capacity trading platform. The netting process of the platform could work to match buyers with sellers where possible. Again, this was considered too complex to implement at this stage, but could be revisited in the future if a need is identified. </w:t>
      </w:r>
    </w:p>
    <w:p w14:paraId="0845AD77" w14:textId="77777777" w:rsidR="00C14FFB" w:rsidRDefault="00C14FFB" w:rsidP="00C14FFB">
      <w:pPr>
        <w:pStyle w:val="BodyText"/>
      </w:pPr>
      <w:r>
        <w:t xml:space="preserve">To implement the zonal model, receipt and delivery point zones will need to be established on each of the pipelines that will be listed on the exchange. Some preliminary work carried out by APA, Epic, Jemena and </w:t>
      </w:r>
      <w:proofErr w:type="spellStart"/>
      <w:r>
        <w:t>SEAGas</w:t>
      </w:r>
      <w:proofErr w:type="spellEnd"/>
      <w:r>
        <w:t xml:space="preserve"> on receipt and delivery point zones </w:t>
      </w:r>
      <w:r w:rsidR="00376B38">
        <w:t>indicates</w:t>
      </w:r>
      <w:r>
        <w:t xml:space="preserve"> that the establishment of these zones is technically feasible, but the way in which zones are defined on each pipeline may differ as a result of differences in:</w:t>
      </w:r>
    </w:p>
    <w:p w14:paraId="741C563D" w14:textId="77777777" w:rsidR="00C14FFB" w:rsidRDefault="00C14FFB" w:rsidP="00C14FFB">
      <w:pPr>
        <w:pStyle w:val="ListBullet"/>
        <w:spacing w:line="252" w:lineRule="auto"/>
      </w:pPr>
      <w:r>
        <w:t>the capacity, pressure requirements, bi-directional capability, number and location of receipt and delivery points and other operating conditions across pipelines; and</w:t>
      </w:r>
    </w:p>
    <w:p w14:paraId="7E256236" w14:textId="77777777" w:rsidR="00C14FFB" w:rsidRDefault="00C14FFB" w:rsidP="00C14FFB">
      <w:pPr>
        <w:pStyle w:val="ListBullet"/>
        <w:spacing w:line="252" w:lineRule="auto"/>
      </w:pPr>
      <w:proofErr w:type="gramStart"/>
      <w:r>
        <w:t>legacy</w:t>
      </w:r>
      <w:proofErr w:type="gramEnd"/>
      <w:r>
        <w:t xml:space="preserve"> commercial arrangements and customer requirements at particular points (for example, hourly flexibility or gas specification requirements).</w:t>
      </w:r>
    </w:p>
    <w:p w14:paraId="7B359BCA" w14:textId="77777777" w:rsidR="00C14FFB" w:rsidRDefault="00837945" w:rsidP="00376B38">
      <w:pPr>
        <w:pStyle w:val="BodyText"/>
      </w:pPr>
      <w:r>
        <w:lastRenderedPageBreak/>
        <w:t>While some preliminary work was carried out on zonal definitions, f</w:t>
      </w:r>
      <w:r w:rsidR="00376B38">
        <w:t>urther work will</w:t>
      </w:r>
      <w:r>
        <w:t xml:space="preserve"> need to be carried out before the capacity trading platform is implemented. T</w:t>
      </w:r>
      <w:r w:rsidR="00C14FFB">
        <w:t xml:space="preserve">he principles that the Standardisation project team thought </w:t>
      </w:r>
      <w:r>
        <w:t xml:space="preserve">should </w:t>
      </w:r>
      <w:r w:rsidR="00C14FFB">
        <w:t xml:space="preserve">guide the development of </w:t>
      </w:r>
      <w:r>
        <w:t xml:space="preserve">these zones and any future </w:t>
      </w:r>
      <w:r w:rsidR="00376B38">
        <w:t xml:space="preserve">changes to </w:t>
      </w:r>
      <w:r>
        <w:t xml:space="preserve">the </w:t>
      </w:r>
      <w:r w:rsidR="00376B38">
        <w:t xml:space="preserve">zonal definitions </w:t>
      </w:r>
      <w:r w:rsidR="00C14FFB">
        <w:t>are set out below:</w:t>
      </w:r>
    </w:p>
    <w:p w14:paraId="52A67D0F" w14:textId="77777777" w:rsidR="00C14FFB" w:rsidRDefault="00C14FFB" w:rsidP="00C14FFB">
      <w:pPr>
        <w:pStyle w:val="ListBullet"/>
        <w:spacing w:line="252" w:lineRule="auto"/>
      </w:pPr>
      <w:r>
        <w:t xml:space="preserve">The bounds of the zones should maximise the pool of prospective buyers and sellers of capacity while also: </w:t>
      </w:r>
    </w:p>
    <w:p w14:paraId="581878D9" w14:textId="77777777" w:rsidR="00C14FFB" w:rsidRDefault="00C14FFB" w:rsidP="00C14FFB">
      <w:pPr>
        <w:pStyle w:val="ListBullet2"/>
        <w:spacing w:line="252" w:lineRule="auto"/>
      </w:pPr>
      <w:r>
        <w:t>ensuring that capacity can be transferred between points within the zone on a one-for-one basis if there is physical capacity at the relevant point; and</w:t>
      </w:r>
    </w:p>
    <w:p w14:paraId="3DE0F2DA" w14:textId="77777777" w:rsidR="00C14FFB" w:rsidRDefault="00C14FFB" w:rsidP="00C14FFB">
      <w:pPr>
        <w:pStyle w:val="ListBullet2"/>
        <w:spacing w:line="252" w:lineRule="auto"/>
      </w:pPr>
      <w:proofErr w:type="gramStart"/>
      <w:r>
        <w:t>minimising</w:t>
      </w:r>
      <w:proofErr w:type="gramEnd"/>
      <w:r>
        <w:t xml:space="preserve"> the risk that secondary shippers will not be able to access capacity at a receipt or delivery point within the zone.</w:t>
      </w:r>
    </w:p>
    <w:p w14:paraId="79D15CC0" w14:textId="77777777" w:rsidR="00C14FFB" w:rsidRDefault="00C14FFB" w:rsidP="00C14FFB">
      <w:pPr>
        <w:pStyle w:val="ListBullet"/>
        <w:spacing w:line="252" w:lineRule="auto"/>
      </w:pPr>
      <w:r>
        <w:t>The bounds of the zones should be capable of coping with future operational changes to the pipeline to minimise changes to the zonal definition over time.</w:t>
      </w:r>
    </w:p>
    <w:p w14:paraId="6FE01D7F" w14:textId="77777777" w:rsidR="00C14FFB" w:rsidRDefault="00C14FFB" w:rsidP="00C14FFB">
      <w:pPr>
        <w:pStyle w:val="ListBullet"/>
        <w:spacing w:line="252" w:lineRule="auto"/>
      </w:pPr>
      <w:r>
        <w:t xml:space="preserve">The specification of the receipt and delivery point zones should promote the NGO and the Energy Council’s Vision and be consistent with the broader objectives of the capacity trading reform package (i.e. to improve the efficiency with which capacity is allocated and foster the development of a more liquid market for secondary capacity). </w:t>
      </w:r>
    </w:p>
    <w:p w14:paraId="03D872C6" w14:textId="77777777" w:rsidR="00C14FFB" w:rsidRDefault="00376B38" w:rsidP="00C14FFB">
      <w:pPr>
        <w:pStyle w:val="BodyText"/>
        <w:spacing w:before="0"/>
      </w:pPr>
      <w:r>
        <w:t xml:space="preserve">The project team </w:t>
      </w:r>
      <w:r w:rsidR="00837945">
        <w:t xml:space="preserve">also </w:t>
      </w:r>
      <w:r w:rsidR="00C14FFB">
        <w:t xml:space="preserve">noted though there may be an inherent tension between some of these principles, so trade-offs may be </w:t>
      </w:r>
      <w:r w:rsidR="00837945">
        <w:t xml:space="preserve">required </w:t>
      </w:r>
      <w:r w:rsidR="00C14FFB">
        <w:t xml:space="preserve">when defining the bounds of the zones. </w:t>
      </w:r>
    </w:p>
    <w:p w14:paraId="21B7BD1F" w14:textId="77777777" w:rsidR="00C14FFB" w:rsidRPr="008C18E7" w:rsidRDefault="00C14FFB" w:rsidP="00C14FFB">
      <w:pPr>
        <w:pStyle w:val="Heading6"/>
        <w:spacing w:line="252" w:lineRule="auto"/>
        <w:rPr>
          <w:color w:val="0099CC"/>
        </w:rPr>
      </w:pPr>
      <w:r>
        <w:rPr>
          <w:color w:val="0099CC"/>
        </w:rPr>
        <w:t>GMRG’s preliminary view</w:t>
      </w:r>
    </w:p>
    <w:p w14:paraId="20DF01AA" w14:textId="77777777" w:rsidR="00376B38" w:rsidRDefault="0086263D" w:rsidP="00376B38">
      <w:pPr>
        <w:pStyle w:val="BodyText"/>
      </w:pPr>
      <w:r>
        <w:t>In the consultation paper, the GMRG agreed with the project team</w:t>
      </w:r>
      <w:r w:rsidR="00376B38">
        <w:t xml:space="preserve"> that </w:t>
      </w:r>
      <w:r w:rsidR="00837945">
        <w:t xml:space="preserve">the </w:t>
      </w:r>
      <w:r>
        <w:t xml:space="preserve">zonal </w:t>
      </w:r>
      <w:r w:rsidR="00376B38">
        <w:t xml:space="preserve">receipt and delivery point </w:t>
      </w:r>
      <w:r>
        <w:t xml:space="preserve">model should be adopted for trades carried out through the exchange, because it would enable more shippers to trade capacity and foster the development of a more liquid secondary capacity market. </w:t>
      </w:r>
      <w:r w:rsidR="00376B38">
        <w:t xml:space="preserve">The GMRG also agreed with the project team’s proposal that shippers purchasing capacity through the exchange have secondary firm rights at receipt and delivery points and </w:t>
      </w:r>
      <w:r w:rsidR="006A518F">
        <w:t>proposed</w:t>
      </w:r>
      <w:r w:rsidR="00837945">
        <w:t xml:space="preserve"> </w:t>
      </w:r>
      <w:r w:rsidR="00376B38">
        <w:t>the following prioritisation for rights at these points:</w:t>
      </w:r>
    </w:p>
    <w:p w14:paraId="264FA177" w14:textId="77777777" w:rsidR="00376B38" w:rsidRDefault="00376B38" w:rsidP="00376B38">
      <w:pPr>
        <w:pStyle w:val="ListBullet"/>
      </w:pPr>
      <w:r>
        <w:t xml:space="preserve">primary shippers with firm rights at a receipt or delivery point have the highest priority; </w:t>
      </w:r>
    </w:p>
    <w:p w14:paraId="57F20960" w14:textId="77777777" w:rsidR="00376B38" w:rsidRDefault="00376B38" w:rsidP="00376B38">
      <w:pPr>
        <w:pStyle w:val="ListBullet"/>
      </w:pPr>
      <w:r>
        <w:t>shippers with secondary firm rights have the second highest priority and are treated equally if there is insufficient capacity at a point (i.e. they all receive a pro-rata allocation of capacity); and</w:t>
      </w:r>
    </w:p>
    <w:p w14:paraId="7B5E9C16" w14:textId="77777777" w:rsidR="00376B38" w:rsidRDefault="00376B38" w:rsidP="00376B38">
      <w:pPr>
        <w:pStyle w:val="ListBullet"/>
      </w:pPr>
      <w:proofErr w:type="gramStart"/>
      <w:r>
        <w:t>shippers</w:t>
      </w:r>
      <w:proofErr w:type="gramEnd"/>
      <w:r>
        <w:t xml:space="preserve"> with as available or interruptible rights at a receipt or delivery point have a lower priority than shippers with secondary firm rights.</w:t>
      </w:r>
    </w:p>
    <w:p w14:paraId="7796EDA0" w14:textId="77777777" w:rsidR="00376B38" w:rsidRDefault="00376B38" w:rsidP="00376B38">
      <w:pPr>
        <w:pStyle w:val="BodyText"/>
      </w:pPr>
      <w:r>
        <w:t>The GMRG also proposed that information on the capacity and utilisation of receipt and delivery points be published on the BB so that shippers can evaluate the risk before they use the exchange to procure capacity. The GMRG did not, however, come to a view on whether any additional measures need to be put in place to manage the risks. It instead sought further feedback from stakeholders on this issue</w:t>
      </w:r>
      <w:r w:rsidR="00837945">
        <w:t>.</w:t>
      </w:r>
      <w:r>
        <w:t xml:space="preserve"> </w:t>
      </w:r>
    </w:p>
    <w:p w14:paraId="74271A38" w14:textId="77777777" w:rsidR="00376B38" w:rsidRDefault="00376B38" w:rsidP="00D403EA">
      <w:pPr>
        <w:pStyle w:val="BodyText"/>
        <w:spacing w:line="252" w:lineRule="auto"/>
      </w:pPr>
      <w:r>
        <w:t xml:space="preserve">Feedback was also sought on the </w:t>
      </w:r>
      <w:r w:rsidR="00837945">
        <w:t xml:space="preserve">preliminary work that </w:t>
      </w:r>
      <w:r>
        <w:t xml:space="preserve">APA, Jemena, </w:t>
      </w:r>
      <w:proofErr w:type="spellStart"/>
      <w:r>
        <w:t>SEAGas</w:t>
      </w:r>
      <w:proofErr w:type="spellEnd"/>
      <w:r>
        <w:t xml:space="preserve"> and Epic</w:t>
      </w:r>
      <w:r w:rsidR="00D403EA">
        <w:t xml:space="preserve"> </w:t>
      </w:r>
      <w:r w:rsidR="00837945">
        <w:t xml:space="preserve">had carried out on the way in which the zonal model could be </w:t>
      </w:r>
      <w:r w:rsidR="00D403EA">
        <w:t>applied on their respective pipelines</w:t>
      </w:r>
      <w:r>
        <w:t>. The GMRG also sought feedback on whether:</w:t>
      </w:r>
      <w:r w:rsidRPr="00215754">
        <w:t xml:space="preserve"> </w:t>
      </w:r>
    </w:p>
    <w:p w14:paraId="1B25C35E" w14:textId="77777777" w:rsidR="00376B38" w:rsidRPr="006720CC" w:rsidRDefault="00376B38" w:rsidP="00376B38">
      <w:pPr>
        <w:pStyle w:val="ListBullet"/>
        <w:spacing w:line="252" w:lineRule="auto"/>
      </w:pPr>
      <w:r w:rsidRPr="00215754">
        <w:t>pipelines that are</w:t>
      </w:r>
      <w:r w:rsidRPr="006720CC">
        <w:t xml:space="preserve"> connected to another pipeline should be required to define a transit point delivery zone (i.e. a zone that just consists of the delivery points that enable gas </w:t>
      </w:r>
      <w:r w:rsidRPr="006720CC">
        <w:lastRenderedPageBreak/>
        <w:t>to be transported into the next pipeline)</w:t>
      </w:r>
      <w:r>
        <w:t xml:space="preserve"> to minimise the risk that gas cannot be transported between the two pipelines</w:t>
      </w:r>
      <w:r w:rsidR="00D403EA">
        <w:t>;</w:t>
      </w:r>
      <w:r w:rsidRPr="006720CC">
        <w:rPr>
          <w:rStyle w:val="FootnoteReference"/>
          <w:sz w:val="21"/>
          <w:szCs w:val="21"/>
        </w:rPr>
        <w:footnoteReference w:id="71"/>
      </w:r>
      <w:r>
        <w:t xml:space="preserve"> </w:t>
      </w:r>
      <w:r w:rsidR="00D403EA">
        <w:t>and</w:t>
      </w:r>
    </w:p>
    <w:p w14:paraId="12C4ABB7" w14:textId="77777777" w:rsidR="00376B38" w:rsidRDefault="00376B38" w:rsidP="00376B38">
      <w:pPr>
        <w:pStyle w:val="ListBullet"/>
        <w:spacing w:line="252" w:lineRule="auto"/>
      </w:pPr>
      <w:proofErr w:type="gramStart"/>
      <w:r>
        <w:t>pipelines</w:t>
      </w:r>
      <w:proofErr w:type="gramEnd"/>
      <w:r>
        <w:t xml:space="preserve"> </w:t>
      </w:r>
      <w:r w:rsidRPr="006720CC">
        <w:t>connected to an STTM should be required to define an STTM delivery zone (i.e. a zone that just consists of the delivery points within the STTM)</w:t>
      </w:r>
      <w:r>
        <w:t xml:space="preserve"> to minimise the risk that gas cannot be supplied into the STTM</w:t>
      </w:r>
      <w:r w:rsidR="00D403EA">
        <w:t>.</w:t>
      </w:r>
      <w:r w:rsidRPr="006720CC">
        <w:rPr>
          <w:rStyle w:val="FootnoteReference"/>
          <w:sz w:val="21"/>
          <w:szCs w:val="21"/>
        </w:rPr>
        <w:footnoteReference w:id="72"/>
      </w:r>
    </w:p>
    <w:p w14:paraId="1DFC58A9" w14:textId="77777777" w:rsidR="00D403EA" w:rsidRDefault="00D403EA" w:rsidP="00D403EA">
      <w:pPr>
        <w:pStyle w:val="BodyText"/>
      </w:pPr>
      <w:r>
        <w:t xml:space="preserve">In the consultation paper, some thought was also given to the governance arrangements that would apply to the initial development of the zones and any changes that may be required in the future to accommodate: </w:t>
      </w:r>
    </w:p>
    <w:p w14:paraId="74E20250" w14:textId="77777777" w:rsidR="00D403EA" w:rsidRDefault="00D403EA" w:rsidP="00D403EA">
      <w:pPr>
        <w:pStyle w:val="ListBullet"/>
      </w:pPr>
      <w:r>
        <w:t>technical or operational factors, such as the development of new receipt or delivery points, changes in pipeline flows, pressure or other operational conditions; and</w:t>
      </w:r>
    </w:p>
    <w:p w14:paraId="1D7FBCBD" w14:textId="77777777" w:rsidR="00D403EA" w:rsidRDefault="00D403EA" w:rsidP="00D403EA">
      <w:pPr>
        <w:pStyle w:val="ListBullet"/>
      </w:pPr>
      <w:proofErr w:type="gramStart"/>
      <w:r>
        <w:t>market</w:t>
      </w:r>
      <w:proofErr w:type="gramEnd"/>
      <w:r>
        <w:t xml:space="preserve"> developments (e.g. the risk of interruption within a zone may be considered too great to encourage trade).</w:t>
      </w:r>
    </w:p>
    <w:p w14:paraId="487853EF" w14:textId="77777777" w:rsidR="00D403EA" w:rsidRDefault="00D403EA" w:rsidP="00D403EA">
      <w:pPr>
        <w:pStyle w:val="BodyText"/>
      </w:pPr>
      <w:r>
        <w:t xml:space="preserve">In short, the GMRG suggested that the initial set of zones be developed by pipeline operators in conjunction with AEMO and the GMRG and that future changes to the zonal definitions be subject to the same governance arrangements that will apply to the Operational GTA Code (see section </w:t>
      </w:r>
      <w:r>
        <w:fldChar w:fldCharType="begin"/>
      </w:r>
      <w:r>
        <w:instrText xml:space="preserve"> REF _Ref498878718 \r \h </w:instrText>
      </w:r>
      <w:r>
        <w:fldChar w:fldCharType="separate"/>
      </w:r>
      <w:r w:rsidR="00761861">
        <w:t>4.6</w:t>
      </w:r>
      <w:r>
        <w:fldChar w:fldCharType="end"/>
      </w:r>
      <w:r>
        <w:t xml:space="preserve">). That is, service providers and market participants would be able to propose changes to the zonal definitions by submitting a change request to the industry panel, who would then make a recommendation to the AER on whether the change should be made or not. </w:t>
      </w:r>
    </w:p>
    <w:p w14:paraId="4B38D748" w14:textId="77777777" w:rsidR="0086263D" w:rsidRDefault="0086263D" w:rsidP="0086263D">
      <w:pPr>
        <w:pStyle w:val="Heading6"/>
        <w:spacing w:line="252" w:lineRule="auto"/>
        <w:rPr>
          <w:color w:val="0099CC"/>
        </w:rPr>
      </w:pPr>
      <w:r>
        <w:rPr>
          <w:color w:val="0099CC"/>
        </w:rPr>
        <w:t xml:space="preserve">Feedback provided through the consultation process </w:t>
      </w:r>
    </w:p>
    <w:p w14:paraId="5EA7CEBB" w14:textId="77777777" w:rsidR="00D403EA" w:rsidRDefault="00D403EA" w:rsidP="00D403EA">
      <w:pPr>
        <w:pStyle w:val="ListBullet"/>
        <w:numPr>
          <w:ilvl w:val="0"/>
          <w:numId w:val="0"/>
        </w:numPr>
      </w:pPr>
      <w:r>
        <w:t>The proposal to introduce a zonal model with secondary firm rights at receipt and delivery points was widely supported by stakeholders, with a number of stakeholders noting that the adoption of this model would provide for greater liquidity and ease of access to shippers buying and selling capacity products. Further detail on the feedback that stakeholders provided in response to the questions raised in the consultation paper is provided below.</w:t>
      </w:r>
    </w:p>
    <w:p w14:paraId="66B2B326" w14:textId="77777777" w:rsidR="00E32380" w:rsidRPr="00C14FFB" w:rsidRDefault="00E32380" w:rsidP="00E32380">
      <w:pPr>
        <w:pStyle w:val="ListBullet"/>
        <w:keepNext/>
        <w:numPr>
          <w:ilvl w:val="0"/>
          <w:numId w:val="0"/>
        </w:numPr>
        <w:rPr>
          <w:i/>
          <w:color w:val="0099CC"/>
        </w:rPr>
      </w:pPr>
      <w:r>
        <w:rPr>
          <w:i/>
          <w:color w:val="0099CC"/>
        </w:rPr>
        <w:t xml:space="preserve">Prioritisation of rights at receipt and delivery points </w:t>
      </w:r>
    </w:p>
    <w:p w14:paraId="708FA320" w14:textId="77777777" w:rsidR="00C14FFB" w:rsidRDefault="00C14FFB" w:rsidP="00C14FFB">
      <w:pPr>
        <w:tabs>
          <w:tab w:val="left" w:pos="2268"/>
          <w:tab w:val="left" w:pos="4536"/>
          <w:tab w:val="left" w:pos="6804"/>
          <w:tab w:val="right" w:pos="9638"/>
        </w:tabs>
        <w:spacing w:before="240" w:after="120"/>
      </w:pPr>
      <w:r>
        <w:t xml:space="preserve">Stakeholders were broadly comfortable with the project team’s assessment of the risks associated with the zonal model with secondary firm rights and were of the view that the risk would not have a material effect on the utilisation of the platform. </w:t>
      </w:r>
      <w:proofErr w:type="spellStart"/>
      <w:r>
        <w:t>Alinta</w:t>
      </w:r>
      <w:proofErr w:type="spellEnd"/>
      <w:r>
        <w:t>, for example, stated that the risks appeared manageable and the publication of capacity and utilisation data would assist with understanding this risk. APLNG also thought the risks were manageable and that historic information would assist secondary shipper</w:t>
      </w:r>
      <w:r w:rsidR="002D56DB">
        <w:t>s understand the nature of the risk</w:t>
      </w:r>
      <w:r>
        <w:t xml:space="preserve">. Origin expressed a similar view about the publication of information on the capacity of receipt and delivery points and historic flows to these points on the </w:t>
      </w:r>
      <w:r w:rsidR="002D56DB">
        <w:t>BB</w:t>
      </w:r>
      <w:r>
        <w:t xml:space="preserve">. </w:t>
      </w:r>
    </w:p>
    <w:p w14:paraId="5171F929" w14:textId="77777777" w:rsidR="00C14FFB" w:rsidRDefault="00C14FFB" w:rsidP="00C14FFB">
      <w:pPr>
        <w:tabs>
          <w:tab w:val="left" w:pos="2268"/>
          <w:tab w:val="left" w:pos="4536"/>
          <w:tab w:val="left" w:pos="6804"/>
          <w:tab w:val="right" w:pos="9638"/>
        </w:tabs>
        <w:spacing w:before="240" w:after="120"/>
      </w:pPr>
      <w:r>
        <w:t xml:space="preserve">APGA </w:t>
      </w:r>
      <w:r w:rsidR="002D56DB">
        <w:t xml:space="preserve">also supported </w:t>
      </w:r>
      <w:r>
        <w:t xml:space="preserve">the use of secondary firm rights and stated that it is the simplest way to balance the primary rights at each receipt and delivery point and the desire to introduce a zonal trading model. APGA added that maintaining the primacy of primary firm </w:t>
      </w:r>
      <w:r>
        <w:lastRenderedPageBreak/>
        <w:t>rights is vital to ensuring sufficient investment occurs at specific receipt and delivery points to meet peak demand requirements.</w:t>
      </w:r>
    </w:p>
    <w:p w14:paraId="1C708186" w14:textId="77777777" w:rsidR="00C14FFB" w:rsidRDefault="006A518F" w:rsidP="00C14FFB">
      <w:pPr>
        <w:tabs>
          <w:tab w:val="left" w:pos="2268"/>
          <w:tab w:val="left" w:pos="4536"/>
          <w:tab w:val="left" w:pos="6804"/>
          <w:tab w:val="right" w:pos="9638"/>
        </w:tabs>
        <w:spacing w:before="240" w:after="120"/>
      </w:pPr>
      <w:r>
        <w:t>S</w:t>
      </w:r>
      <w:r w:rsidR="00C14FFB">
        <w:t xml:space="preserve">takeholders were </w:t>
      </w:r>
      <w:r>
        <w:t xml:space="preserve">generally </w:t>
      </w:r>
      <w:r w:rsidR="00C14FFB">
        <w:t xml:space="preserve">of the view that the primary shippers’ renomination rights should continue to have priority over any secondary trades and that the risk of interruption would be minimal, particularly if: </w:t>
      </w:r>
    </w:p>
    <w:p w14:paraId="2325AD2D" w14:textId="77777777" w:rsidR="00C14FFB" w:rsidRDefault="00C14FFB" w:rsidP="00C14FFB">
      <w:pPr>
        <w:pStyle w:val="ListBullet"/>
      </w:pPr>
      <w:r>
        <w:t xml:space="preserve">the renomination rights are a best or reasonable endeavours obligation; and </w:t>
      </w:r>
    </w:p>
    <w:p w14:paraId="7771535D" w14:textId="77777777" w:rsidR="00C14FFB" w:rsidRDefault="00C14FFB" w:rsidP="00C14FFB">
      <w:pPr>
        <w:pStyle w:val="ListBullet"/>
      </w:pPr>
      <w:proofErr w:type="gramStart"/>
      <w:r>
        <w:t>the</w:t>
      </w:r>
      <w:proofErr w:type="gramEnd"/>
      <w:r>
        <w:t xml:space="preserve"> primary shipper has released capacity from the same point. </w:t>
      </w:r>
    </w:p>
    <w:p w14:paraId="51980395" w14:textId="77777777" w:rsidR="00C14FFB" w:rsidRDefault="00C14FFB" w:rsidP="00C14FFB">
      <w:pPr>
        <w:tabs>
          <w:tab w:val="left" w:pos="2268"/>
          <w:tab w:val="left" w:pos="4536"/>
          <w:tab w:val="left" w:pos="6804"/>
          <w:tab w:val="right" w:pos="9638"/>
        </w:tabs>
        <w:spacing w:before="240" w:after="120"/>
      </w:pPr>
      <w:r>
        <w:t>Origin, for example, noted that it is essential primary shippers’ existing renomination rights are preserved under the zonal model because renominations (including intra-day) are crucial to managing fluctuations in gas demand. Origin added that if these arrangements are curtailed, it would undermine the ability of shippers to efficiently manage their energy portfolio.  AGL and APLNG also noted that a primary shipper’s renomination rights should transfer to the secondary shipper along with the MDQ, thus slightly reducing the chance of interruption as the primary shipper will not be utilising its capacity (assuming they use the same points).</w:t>
      </w:r>
    </w:p>
    <w:p w14:paraId="4FCE3B14" w14:textId="77777777" w:rsidR="00C14FFB" w:rsidRDefault="00C14FFB" w:rsidP="00C14FFB">
      <w:pPr>
        <w:tabs>
          <w:tab w:val="left" w:pos="2268"/>
          <w:tab w:val="left" w:pos="4536"/>
          <w:tab w:val="left" w:pos="6804"/>
          <w:tab w:val="right" w:pos="9638"/>
        </w:tabs>
        <w:spacing w:before="240" w:after="120"/>
      </w:pPr>
      <w:r>
        <w:t>Epic also noted that it did not consider this to be a significant issue because delivery point constraints are typically limited to user specific delivery points, such as power station</w:t>
      </w:r>
      <w:r w:rsidR="002D56DB">
        <w:t>s</w:t>
      </w:r>
      <w:r>
        <w:t xml:space="preserve"> </w:t>
      </w:r>
      <w:r w:rsidR="002D56DB">
        <w:t xml:space="preserve">and pipeline </w:t>
      </w:r>
      <w:r>
        <w:t>lateral</w:t>
      </w:r>
      <w:r w:rsidR="002D56DB">
        <w:t>s</w:t>
      </w:r>
      <w:r>
        <w:t>. In Epic’s view, user specific agreement should already have been reached with that primary user if a secondary shipper wants to use those locations. Epic added that where a lateral is utilised, ensuring the secondary shipper acquires capacity from a current holder of firm lateral rights would ensure that the capacity is not constrained and each shipper has equal access to the capacity.</w:t>
      </w:r>
    </w:p>
    <w:p w14:paraId="35BD40D6" w14:textId="77777777" w:rsidR="00D403EA" w:rsidRPr="00C14FFB" w:rsidRDefault="00D403EA" w:rsidP="00D403EA">
      <w:pPr>
        <w:pStyle w:val="ListBullet"/>
        <w:keepNext/>
        <w:numPr>
          <w:ilvl w:val="0"/>
          <w:numId w:val="0"/>
        </w:numPr>
        <w:rPr>
          <w:i/>
          <w:color w:val="0099CC"/>
        </w:rPr>
      </w:pPr>
      <w:r>
        <w:rPr>
          <w:i/>
          <w:color w:val="0099CC"/>
        </w:rPr>
        <w:t xml:space="preserve">Indicative zonal </w:t>
      </w:r>
      <w:r w:rsidRPr="00C14FFB">
        <w:rPr>
          <w:i/>
          <w:color w:val="0099CC"/>
        </w:rPr>
        <w:t>definitions</w:t>
      </w:r>
    </w:p>
    <w:p w14:paraId="386D3207" w14:textId="77777777" w:rsidR="00D403EA" w:rsidRDefault="00D403EA" w:rsidP="00D403EA">
      <w:pPr>
        <w:pStyle w:val="ListBullet"/>
        <w:numPr>
          <w:ilvl w:val="0"/>
          <w:numId w:val="0"/>
        </w:numPr>
      </w:pPr>
      <w:r>
        <w:t xml:space="preserve">While stakeholders were generally supportive of the indicative zonal definitions developed by service providers, a number of refinements were proposed by stakeholders, including:  </w:t>
      </w:r>
    </w:p>
    <w:p w14:paraId="5024F9AE" w14:textId="77777777" w:rsidR="00D403EA" w:rsidRDefault="00D403EA" w:rsidP="00D403EA">
      <w:pPr>
        <w:pStyle w:val="ListBullet"/>
      </w:pPr>
      <w:proofErr w:type="spellStart"/>
      <w:r>
        <w:t>Alinta</w:t>
      </w:r>
      <w:proofErr w:type="spellEnd"/>
      <w:r>
        <w:t xml:space="preserve"> who suggested that the Condamine delivery point be added to the delivery point zones in the definition of ‘Upstream of Brisbane STTM’ in the RBP section.</w:t>
      </w:r>
    </w:p>
    <w:p w14:paraId="358B5876" w14:textId="77777777" w:rsidR="00D403EA" w:rsidRDefault="00D403EA" w:rsidP="00D403EA">
      <w:pPr>
        <w:pStyle w:val="ListBullet"/>
      </w:pPr>
      <w:r>
        <w:t>AGL who suggested that the ‘EGP Wilton’ be added to the delivery ‘Moomba’ on the MSP and as a delivery point on the EGP.</w:t>
      </w:r>
    </w:p>
    <w:p w14:paraId="3DCD6EF3" w14:textId="77777777" w:rsidR="00D403EA" w:rsidRPr="00032E04" w:rsidRDefault="00D403EA" w:rsidP="00D403EA">
      <w:pPr>
        <w:pStyle w:val="ListBullet"/>
      </w:pPr>
      <w:r>
        <w:rPr>
          <w:rFonts w:asciiTheme="majorHAnsi" w:eastAsiaTheme="minorEastAsia" w:cstheme="minorBidi"/>
          <w:color w:val="000000" w:themeColor="text1"/>
          <w:kern w:val="24"/>
          <w:lang w:val="en-US"/>
        </w:rPr>
        <w:t xml:space="preserve">Epic who proposed a number of changes to the </w:t>
      </w:r>
      <w:r>
        <w:t xml:space="preserve">MAPS zones </w:t>
      </w:r>
      <w:r>
        <w:rPr>
          <w:rFonts w:asciiTheme="majorHAnsi" w:eastAsiaTheme="minorEastAsia" w:cstheme="minorBidi"/>
          <w:color w:val="000000" w:themeColor="text1"/>
          <w:kern w:val="24"/>
          <w:lang w:val="en-US"/>
        </w:rPr>
        <w:t>to expand list of delivery points.</w:t>
      </w:r>
    </w:p>
    <w:p w14:paraId="0D263014" w14:textId="77777777" w:rsidR="00D403EA" w:rsidRDefault="00D403EA" w:rsidP="00D403EA">
      <w:pPr>
        <w:pStyle w:val="ListBullet"/>
      </w:pPr>
      <w:r>
        <w:t>TGP Pty Ltd who noted that there are some constraints on the way zones can be established on the TGP and that it was working on how best to structure the concept of zones to maximise the pool of prospective sellers, whilst also maintain technical and safe operation of the pipeline.</w:t>
      </w:r>
    </w:p>
    <w:p w14:paraId="0D0F33E7" w14:textId="77777777" w:rsidR="00D403EA" w:rsidRDefault="00D403EA" w:rsidP="00D403EA">
      <w:pPr>
        <w:pStyle w:val="ListBullet"/>
        <w:numPr>
          <w:ilvl w:val="0"/>
          <w:numId w:val="0"/>
        </w:numPr>
      </w:pPr>
      <w:r>
        <w:t xml:space="preserve">A number of service providers also reiterated that the zones were indicative only and that before they could be finalised </w:t>
      </w:r>
      <w:r>
        <w:rPr>
          <w:rFonts w:asciiTheme="majorHAnsi" w:eastAsiaTheme="minorEastAsia" w:cstheme="minorBidi"/>
          <w:color w:val="000000" w:themeColor="text1"/>
          <w:kern w:val="24"/>
          <w:lang w:val="en-US"/>
        </w:rPr>
        <w:t>detailed capacity modelling would be required</w:t>
      </w:r>
      <w:r>
        <w:t xml:space="preserve">. </w:t>
      </w:r>
    </w:p>
    <w:p w14:paraId="1B46E715" w14:textId="77777777" w:rsidR="00D403EA" w:rsidRDefault="00D403EA" w:rsidP="00D403EA">
      <w:pPr>
        <w:pStyle w:val="BodyText"/>
      </w:pPr>
      <w:r>
        <w:t>A number of stakeholders also thought there was merit in having transit point delivery zone</w:t>
      </w:r>
      <w:r w:rsidR="002D56DB">
        <w:t>s</w:t>
      </w:r>
      <w:r>
        <w:t xml:space="preserve"> to minimise the risk that gas cannot be transported between two pipelines. APA stated that defining a single delivery point as a zone in and of itself will reduce the risk that gas cannot be transported between the two delivery points, but would limit flexibility and therefore the pool of prospective buyers and sellers.</w:t>
      </w:r>
    </w:p>
    <w:p w14:paraId="0A1BD305" w14:textId="77777777" w:rsidR="00D403EA" w:rsidRDefault="00D403EA" w:rsidP="00D403EA">
      <w:pPr>
        <w:pStyle w:val="BodyText"/>
      </w:pPr>
      <w:r>
        <w:lastRenderedPageBreak/>
        <w:t xml:space="preserve">APGA, on the other hand, thought that it seems sensible that receipt and delivery points likely to attract the most trade activity, being connection points between major pipelines and the delivery points to STTMs or other markets, be specified as single points rather than multi-point zones. </w:t>
      </w:r>
      <w:proofErr w:type="spellStart"/>
      <w:r>
        <w:t>Alinta</w:t>
      </w:r>
      <w:proofErr w:type="spellEnd"/>
      <w:r>
        <w:t xml:space="preserve"> supported the implementation of points that minimise the risk that gas cannot be transported between two pipelines and/or into an STTM.</w:t>
      </w:r>
    </w:p>
    <w:p w14:paraId="687B17BE" w14:textId="6A862E52" w:rsidR="00D403EA" w:rsidRDefault="00D403EA" w:rsidP="00D403EA">
      <w:pPr>
        <w:pStyle w:val="BodyText"/>
      </w:pPr>
      <w:r>
        <w:t xml:space="preserve">There was </w:t>
      </w:r>
      <w:r w:rsidR="002D56DB">
        <w:t xml:space="preserve">also </w:t>
      </w:r>
      <w:r>
        <w:t xml:space="preserve">some debate </w:t>
      </w:r>
      <w:r w:rsidR="002D56DB">
        <w:t xml:space="preserve">about </w:t>
      </w:r>
      <w:r>
        <w:t xml:space="preserve">whether having a delivery zone is necessary for the STTM zones. APA, for example, stated that defining an STTM delivery zone is appropriate to ensure certainty when interacting with the STTM and associated market obligations. However, AGL stated that pipelines connected to the STTM do not require a specific STTM delivery </w:t>
      </w:r>
      <w:r w:rsidR="00163E26">
        <w:t xml:space="preserve">point </w:t>
      </w:r>
      <w:r>
        <w:t xml:space="preserve">as a trading right is required to be established or confirmed prior to the utilisation of the haulage service. </w:t>
      </w:r>
    </w:p>
    <w:p w14:paraId="554AC550" w14:textId="77777777" w:rsidR="00D403EA" w:rsidRDefault="00D403EA" w:rsidP="00D403EA">
      <w:pPr>
        <w:pStyle w:val="BodyText"/>
      </w:pPr>
      <w:r>
        <w:t xml:space="preserve">AGL thought that the issues related to connected pipelines would be better managed with a common allocation agreement rather than transit point delivery zones. Elaborating on this further, AGL noted that clear and common allocation agreements that define the priority of service are a cost effective and efficient solution to resolving this matter and pointed to the Culcairn allocation agreement as a good example of how this could work. </w:t>
      </w:r>
    </w:p>
    <w:p w14:paraId="3080807B" w14:textId="77777777" w:rsidR="00D403EA" w:rsidRDefault="00D403EA" w:rsidP="00D403EA">
      <w:pPr>
        <w:pStyle w:val="BodyText"/>
        <w:rPr>
          <w:rFonts w:asciiTheme="majorHAnsi" w:hAnsiTheme="majorHAnsi" w:cstheme="majorHAnsi"/>
        </w:rPr>
      </w:pPr>
      <w:r>
        <w:t>During the consultation process, questions were raised about whether the segmentation approach employed in the United States should also be considered as part of the zonal model. The segmentation approach</w:t>
      </w:r>
      <w:r w:rsidR="002D56DB">
        <w:t xml:space="preserve"> </w:t>
      </w:r>
      <w:r>
        <w:rPr>
          <w:rFonts w:asciiTheme="majorHAnsi" w:hAnsiTheme="majorHAnsi" w:cstheme="majorHAnsi"/>
        </w:rPr>
        <w:t xml:space="preserve">requires interstate pipeline operators to </w:t>
      </w:r>
      <w:r w:rsidRPr="00974E6E">
        <w:rPr>
          <w:rFonts w:asciiTheme="majorHAnsi" w:hAnsiTheme="majorHAnsi" w:cstheme="majorHAnsi"/>
        </w:rPr>
        <w:t>allow shippers to segment capacity they have purchased into separate parts for their own use</w:t>
      </w:r>
      <w:r>
        <w:rPr>
          <w:rFonts w:asciiTheme="majorHAnsi" w:hAnsiTheme="majorHAnsi" w:cstheme="majorHAnsi"/>
        </w:rPr>
        <w:t>,</w:t>
      </w:r>
      <w:r w:rsidRPr="00974E6E">
        <w:rPr>
          <w:rFonts w:asciiTheme="majorHAnsi" w:hAnsiTheme="majorHAnsi" w:cstheme="majorHAnsi"/>
        </w:rPr>
        <w:t xml:space="preserve"> or </w:t>
      </w:r>
      <w:r>
        <w:rPr>
          <w:rFonts w:asciiTheme="majorHAnsi" w:hAnsiTheme="majorHAnsi" w:cstheme="majorHAnsi"/>
        </w:rPr>
        <w:t>to release</w:t>
      </w:r>
      <w:r w:rsidRPr="00974E6E">
        <w:rPr>
          <w:rFonts w:asciiTheme="majorHAnsi" w:hAnsiTheme="majorHAnsi" w:cstheme="majorHAnsi"/>
        </w:rPr>
        <w:t xml:space="preserve"> </w:t>
      </w:r>
      <w:r>
        <w:rPr>
          <w:rFonts w:asciiTheme="majorHAnsi" w:hAnsiTheme="majorHAnsi" w:cstheme="majorHAnsi"/>
        </w:rPr>
        <w:t xml:space="preserve">the </w:t>
      </w:r>
      <w:r w:rsidRPr="00974E6E">
        <w:rPr>
          <w:rFonts w:asciiTheme="majorHAnsi" w:hAnsiTheme="majorHAnsi" w:cstheme="majorHAnsi"/>
        </w:rPr>
        <w:t>capacity to other shippers, where it is operationally feasible</w:t>
      </w:r>
      <w:r>
        <w:rPr>
          <w:rFonts w:asciiTheme="majorHAnsi" w:hAnsiTheme="majorHAnsi" w:cstheme="majorHAnsi"/>
        </w:rPr>
        <w:t xml:space="preserve">.  The Capacity Trading Platform project team were asked their views on this issue. In short, the project team was of the view that there may only be one or two pipelines where it would be feasible to segment capacity (e.g. the MSP and RBP), because segmentation is only of value if gas can come in at multiple points on the pipeline. The project team went on to add that making provision for segmentation at this stage may overcomplicate things and it should be considered as a potential future development. </w:t>
      </w:r>
    </w:p>
    <w:p w14:paraId="4CCDB02C" w14:textId="77777777" w:rsidR="00E32380" w:rsidRPr="00C14FFB" w:rsidRDefault="00E32380" w:rsidP="00E32380">
      <w:pPr>
        <w:pStyle w:val="ListBullet"/>
        <w:keepNext/>
        <w:numPr>
          <w:ilvl w:val="0"/>
          <w:numId w:val="0"/>
        </w:numPr>
        <w:spacing w:before="240"/>
        <w:rPr>
          <w:i/>
          <w:color w:val="0099CC"/>
        </w:rPr>
      </w:pPr>
      <w:r>
        <w:rPr>
          <w:i/>
          <w:color w:val="0099CC"/>
        </w:rPr>
        <w:t>Governance arrangements for the zonal model</w:t>
      </w:r>
    </w:p>
    <w:p w14:paraId="09EC5863" w14:textId="77777777" w:rsidR="00D403EA" w:rsidRDefault="00D403EA" w:rsidP="00D403EA">
      <w:pPr>
        <w:tabs>
          <w:tab w:val="left" w:pos="2268"/>
          <w:tab w:val="left" w:pos="4536"/>
          <w:tab w:val="left" w:pos="6804"/>
          <w:tab w:val="right" w:pos="9638"/>
        </w:tabs>
        <w:spacing w:before="240" w:after="120"/>
      </w:pPr>
      <w:r>
        <w:t xml:space="preserve">While shippers supported the GMRG’s preliminary view on the governance arrangements for the zonal model, service providers were of the view that they should be solely responsible for determining the bounds of the zones, because they have full knowledge of the operational requirements of each pipeline and bear the delivery obligations (with associated liability). Service providers also raised some specific concerns about the ability of the industry panel to consider the unique operational and contractual arrangements of each pipeline and noted there may be some confidentiality issues that would have to be overcome. </w:t>
      </w:r>
    </w:p>
    <w:p w14:paraId="4B077D9E" w14:textId="77777777" w:rsidR="00D403EA" w:rsidRDefault="00D403EA" w:rsidP="00D403EA">
      <w:pPr>
        <w:tabs>
          <w:tab w:val="left" w:pos="2268"/>
          <w:tab w:val="left" w:pos="4536"/>
          <w:tab w:val="left" w:pos="6804"/>
          <w:tab w:val="right" w:pos="9638"/>
        </w:tabs>
        <w:spacing w:before="240" w:after="120"/>
      </w:pPr>
      <w:r>
        <w:t xml:space="preserve">Elaborating on this further, APA noted that the requirement to seek approval to change zones was unnecessarily burdensome and suggested that the service provider be free to change the bounds of a zone, provided the objectives of the zonal concept are maintained. APA also noted that changes proposed by shippers should be required to be considered by the service provider, which must provide the requesting shipper with clear reasons for not accepting a change. APA noted that the requesting shipper could then refer the service provider’s response to the AER for review if it was not satisfied with the </w:t>
      </w:r>
      <w:r>
        <w:lastRenderedPageBreak/>
        <w:t xml:space="preserve">response, at which point the AER may seek expert advice, and ultimately require the change to zones if it is satisfied that the above principles are met. </w:t>
      </w:r>
    </w:p>
    <w:p w14:paraId="796B0451" w14:textId="77777777" w:rsidR="00D403EA" w:rsidRDefault="00D403EA" w:rsidP="00D403EA">
      <w:pPr>
        <w:tabs>
          <w:tab w:val="left" w:pos="2268"/>
          <w:tab w:val="left" w:pos="4536"/>
          <w:tab w:val="left" w:pos="6804"/>
          <w:tab w:val="right" w:pos="9638"/>
        </w:tabs>
        <w:spacing w:before="240" w:after="120"/>
      </w:pPr>
      <w:r>
        <w:t>Shippers and service providers also held differing views about whether the NGR should specify any principles regarding the specification of zones.  In this case, the majority of shippers supported the inclusion of principles in the NGR, although Shell questioned whether this was appropriate given the technical nature of the rules. AGL also thought that amending the NGR to include these principles was unnecessary.</w:t>
      </w:r>
    </w:p>
    <w:p w14:paraId="1991832D" w14:textId="77777777" w:rsidR="00D403EA" w:rsidRDefault="00D403EA" w:rsidP="00D403EA">
      <w:pPr>
        <w:tabs>
          <w:tab w:val="left" w:pos="2268"/>
          <w:tab w:val="left" w:pos="4536"/>
          <w:tab w:val="left" w:pos="6804"/>
          <w:tab w:val="right" w:pos="9638"/>
        </w:tabs>
        <w:spacing w:before="240" w:after="120"/>
      </w:pPr>
      <w:r>
        <w:t>Service providers were also opposed to the inclusion of principles in the NGR.  Epic, for example, noted that service providers should be able to amend the zones to take into account operational changes over time without imposing additional regulation on the change process. Epic stated that market participants should not be able to propose a change in zones as it is the service provider’s responsibility to operate the pipeline efficiently and market participants will not have the necessary background to inform their position. Jemena also thought that a service provider should not be required to accept arrangements, which result in financial detriment or are operationally not reasonably feasible. Jemena concluded that a flexible principle based approach would be preferable to a strict set of rules.</w:t>
      </w:r>
    </w:p>
    <w:p w14:paraId="7E62109D" w14:textId="77777777" w:rsidR="0086263D" w:rsidRPr="002F516A" w:rsidRDefault="0086263D" w:rsidP="0086263D">
      <w:pPr>
        <w:pStyle w:val="Heading6"/>
        <w:spacing w:line="252" w:lineRule="auto"/>
        <w:rPr>
          <w:color w:val="0099CC"/>
        </w:rPr>
      </w:pPr>
      <w:r>
        <w:rPr>
          <w:color w:val="0099CC"/>
        </w:rPr>
        <w:t>GMRG’s final recommendations</w:t>
      </w:r>
    </w:p>
    <w:p w14:paraId="13244AE1" w14:textId="77777777" w:rsidR="006A518F" w:rsidRDefault="006A518F" w:rsidP="006A518F">
      <w:pPr>
        <w:pStyle w:val="BodyText"/>
      </w:pPr>
      <w:r>
        <w:t xml:space="preserve">In keeping with the feedback provided by stakeholders and the broader objective of the capacity trading reform package, the GMRG recommends that the zonal model with secondary firm rights at individual receipt and delivery points be used for trades carried out through the exchange. The GMRG also recommends that provisions be included in the NGR to require service providers to accept the secondary shippers’ </w:t>
      </w:r>
      <w:r w:rsidRPr="00DD6589">
        <w:t xml:space="preserve">nominations </w:t>
      </w:r>
      <w:r>
        <w:t xml:space="preserve">at the points they select </w:t>
      </w:r>
      <w:r w:rsidRPr="00DD6589">
        <w:t xml:space="preserve">if </w:t>
      </w:r>
      <w:r>
        <w:t xml:space="preserve">it is </w:t>
      </w:r>
      <w:r w:rsidRPr="00DD6589">
        <w:t>technically feasible to do so</w:t>
      </w:r>
      <w:r>
        <w:t xml:space="preserve"> and complies with the following prioritisation schedule:</w:t>
      </w:r>
    </w:p>
    <w:p w14:paraId="72594651" w14:textId="77777777" w:rsidR="006A518F" w:rsidRDefault="006A518F" w:rsidP="006A518F">
      <w:pPr>
        <w:pStyle w:val="ListBullet"/>
      </w:pPr>
      <w:r>
        <w:t xml:space="preserve">primary shippers with firm rights at a receipt or delivery point have the highest priority and renominations by these shippers will have priority over other capacity holders if the service provider is able to accommodate the renomination; </w:t>
      </w:r>
    </w:p>
    <w:p w14:paraId="65EB948C" w14:textId="77777777" w:rsidR="006A518F" w:rsidRDefault="006A518F" w:rsidP="006A518F">
      <w:pPr>
        <w:pStyle w:val="ListBullet"/>
      </w:pPr>
      <w:r>
        <w:t>shippers with secondary firm rights have the second highest priority and are treated equally if there is insufficient capacity at a point (i.e. they all receive a pro-rata allocation of capacity); and</w:t>
      </w:r>
    </w:p>
    <w:p w14:paraId="19AEBA45" w14:textId="77777777" w:rsidR="006A518F" w:rsidRDefault="006A518F" w:rsidP="006A518F">
      <w:pPr>
        <w:pStyle w:val="ListBullet"/>
      </w:pPr>
      <w:proofErr w:type="gramStart"/>
      <w:r>
        <w:t>shippers</w:t>
      </w:r>
      <w:proofErr w:type="gramEnd"/>
      <w:r>
        <w:t xml:space="preserve"> with as available or interruptible rights at a receipt or delivery point have a lower priority than shippers with secondary firm rights.</w:t>
      </w:r>
    </w:p>
    <w:p w14:paraId="5F2CA2C2" w14:textId="77777777" w:rsidR="006A518F" w:rsidRDefault="006A518F" w:rsidP="006A518F">
      <w:pPr>
        <w:pStyle w:val="BodyText"/>
      </w:pPr>
      <w:r>
        <w:t xml:space="preserve">To enable secondary shippers to understand the risks associated with secondary firm rights, the GMRG recommends that information on the capacity of receipt and delivery points and historic flows to these points be published on the BB. This information is not currently available on the BB, so a rule change would be required to give effect to this recommendation. In relation to the other options that the project team noted could be used to manage the risks associated with secondary firm rights, the GMRG thinks that Option 2 may have some merit, but agrees with the project team that it is too complex to introduce at this stage. This is a refinement that could, however, be considered by AEMO in the future.  </w:t>
      </w:r>
    </w:p>
    <w:p w14:paraId="4E6CE76F" w14:textId="77777777" w:rsidR="0086263D" w:rsidRDefault="006A518F" w:rsidP="004A7E74">
      <w:pPr>
        <w:pStyle w:val="BodyText"/>
      </w:pPr>
      <w:r>
        <w:lastRenderedPageBreak/>
        <w:t xml:space="preserve">In relation to the </w:t>
      </w:r>
      <w:r w:rsidR="00381E42">
        <w:t xml:space="preserve">zones </w:t>
      </w:r>
      <w:r>
        <w:t xml:space="preserve">that will </w:t>
      </w:r>
      <w:r w:rsidR="00381E42">
        <w:t xml:space="preserve">be adopted </w:t>
      </w:r>
      <w:r>
        <w:t>on each pipeline, t</w:t>
      </w:r>
      <w:r w:rsidR="0086263D">
        <w:t xml:space="preserve">he GMRG has considered the feedback provided by stakeholders and agrees that further work on the zonal definitions will be required during the implementation phase in 2018. The GMRG intends therefore to work with service providers, AEMO and stakeholders on this issue and, in doing so, will have regard to the feedback that has been provided through this </w:t>
      </w:r>
      <w:r w:rsidR="00381E42">
        <w:t xml:space="preserve">consultation </w:t>
      </w:r>
      <w:r w:rsidR="0086263D">
        <w:t xml:space="preserve">process. </w:t>
      </w:r>
      <w:r w:rsidR="00B826A7">
        <w:t>As part of this process, the GMRG will also consider whether provision should be made in the NGR to require service providers to allow shippers to segment their capacity, as a further measure to maximising the pool of prospective buyers and sellers of capacity.</w:t>
      </w:r>
    </w:p>
    <w:p w14:paraId="42F769F0" w14:textId="77777777" w:rsidR="004A7E74" w:rsidRDefault="004A7E74" w:rsidP="004A7E74">
      <w:pPr>
        <w:pStyle w:val="BodyText"/>
      </w:pPr>
      <w:r>
        <w:t>As noted in the consultation paper, t</w:t>
      </w:r>
      <w:r w:rsidR="00381E42">
        <w:t xml:space="preserve">he success of the capacity trading platform will be critically dependent on the receipt and delivery point zones that are established on each pipeline. </w:t>
      </w:r>
      <w:r>
        <w:t xml:space="preserve">The development of the initial set of zones will therefore be guided by the overarching objectives of the capacity trading reform package and the principle that the bounds of the zones should </w:t>
      </w:r>
      <w:r w:rsidR="009D2AE1">
        <w:t xml:space="preserve">seek to </w:t>
      </w:r>
      <w:r w:rsidR="00993A3C">
        <w:t xml:space="preserve">maximise </w:t>
      </w:r>
      <w:r>
        <w:t>the pool of prospective buyers and sellers of capacity</w:t>
      </w:r>
      <w:r w:rsidR="009D2AE1">
        <w:t xml:space="preserve">, </w:t>
      </w:r>
      <w:r w:rsidR="00993A3C">
        <w:t>subject to</w:t>
      </w:r>
      <w:r>
        <w:t xml:space="preserve">: </w:t>
      </w:r>
    </w:p>
    <w:p w14:paraId="28A7E325" w14:textId="77777777" w:rsidR="004A7E74" w:rsidRDefault="009D2AE1" w:rsidP="004A7E74">
      <w:pPr>
        <w:pStyle w:val="ListBullet"/>
      </w:pPr>
      <w:r>
        <w:t xml:space="preserve">the need </w:t>
      </w:r>
      <w:r w:rsidR="00993A3C">
        <w:t xml:space="preserve">for </w:t>
      </w:r>
      <w:r w:rsidR="004A7E74">
        <w:t xml:space="preserve">capacity </w:t>
      </w:r>
      <w:r w:rsidR="00993A3C">
        <w:t xml:space="preserve">to </w:t>
      </w:r>
      <w:r w:rsidR="004A7E74">
        <w:t xml:space="preserve">be transferred between points within the zone on a one-for-one basis if there is physical capacity at the relevant point; </w:t>
      </w:r>
    </w:p>
    <w:p w14:paraId="4BC1DCCE" w14:textId="77777777" w:rsidR="00993A3C" w:rsidRDefault="00993A3C" w:rsidP="00993A3C">
      <w:pPr>
        <w:pStyle w:val="ListBullet"/>
      </w:pPr>
      <w:r>
        <w:t>any risk that secondary shippers will not be able to access capacity at a receipt or delivery point within the zone being at an acceptable level; and</w:t>
      </w:r>
    </w:p>
    <w:p w14:paraId="6740A6EC" w14:textId="77777777" w:rsidR="00993A3C" w:rsidRDefault="00993A3C" w:rsidP="00993A3C">
      <w:pPr>
        <w:pStyle w:val="ListBullet"/>
      </w:pPr>
      <w:proofErr w:type="gramStart"/>
      <w:r>
        <w:t>the</w:t>
      </w:r>
      <w:proofErr w:type="gramEnd"/>
      <w:r>
        <w:t xml:space="preserve"> operational and technical requirements necessary for the safe and reliable operation of the pipeline and being able to adapt to future operational changes to the pipeline (i.e. to minimise changes to the zonal definition over time).</w:t>
      </w:r>
    </w:p>
    <w:p w14:paraId="36508EA4" w14:textId="77777777" w:rsidR="00E32380" w:rsidRDefault="004A7E74" w:rsidP="004A7E74">
      <w:pPr>
        <w:pStyle w:val="BodyText"/>
      </w:pPr>
      <w:r>
        <w:t xml:space="preserve">Future changes to zonal definitions to accommodate technical or operational factors and/or market developments, will also be subject to these guiding principles and the </w:t>
      </w:r>
      <w:r w:rsidR="00E32380">
        <w:t xml:space="preserve">same </w:t>
      </w:r>
      <w:r>
        <w:t xml:space="preserve">governance arrangements </w:t>
      </w:r>
      <w:r w:rsidR="00E32380">
        <w:t xml:space="preserve">that will apply to the </w:t>
      </w:r>
      <w:r w:rsidR="00632860">
        <w:t>o</w:t>
      </w:r>
      <w:r w:rsidR="00E32380">
        <w:t>perational GTA</w:t>
      </w:r>
      <w:r>
        <w:t xml:space="preserve">. </w:t>
      </w:r>
      <w:r w:rsidR="00E32380">
        <w:t>Service providers and market participants will therefore be able to propose changes to the zonal definitions by submitting a change request to the industry panel, who will then consider the proposal having regard to the principles set out in the NGR and make a recommendation to the AER on whether the change should be made or not.</w:t>
      </w:r>
    </w:p>
    <w:p w14:paraId="4B7CFA6D" w14:textId="77777777" w:rsidR="0086263D" w:rsidRDefault="004A7E74" w:rsidP="004A7E74">
      <w:pPr>
        <w:pStyle w:val="BodyText"/>
      </w:pPr>
      <w:r>
        <w:t xml:space="preserve">The GMRG understands that service providers are opposed to the use of these governance arrangements, but in its view </w:t>
      </w:r>
      <w:r w:rsidR="00381E42">
        <w:t xml:space="preserve">some </w:t>
      </w:r>
      <w:r>
        <w:t xml:space="preserve">form of </w:t>
      </w:r>
      <w:r w:rsidR="00381E42">
        <w:t xml:space="preserve">oversight is required given the critical role </w:t>
      </w:r>
      <w:r>
        <w:t xml:space="preserve">zones </w:t>
      </w:r>
      <w:r w:rsidR="00381E42">
        <w:t xml:space="preserve">will play in facilitating trade and fostering liquidity in the secondary capacity market. </w:t>
      </w:r>
      <w:r w:rsidR="00E32380">
        <w:t>The GMRG does, however, agree with s</w:t>
      </w:r>
      <w:r w:rsidR="0086263D">
        <w:t xml:space="preserve">ervice providers </w:t>
      </w:r>
      <w:r w:rsidR="00E32380">
        <w:t>that if a market participant</w:t>
      </w:r>
      <w:r w:rsidR="0086263D">
        <w:t xml:space="preserve"> </w:t>
      </w:r>
      <w:r w:rsidR="00E32380">
        <w:t xml:space="preserve">proposes a change to the </w:t>
      </w:r>
      <w:r w:rsidR="0086263D">
        <w:t>zonal definitions</w:t>
      </w:r>
      <w:r w:rsidR="00E32380">
        <w:t xml:space="preserve">, then </w:t>
      </w:r>
      <w:r w:rsidR="0086263D">
        <w:t>service provider</w:t>
      </w:r>
      <w:r w:rsidR="00E32380">
        <w:t>s should have an opportunity to assess the feasibility of this change and to provide advice to the industry panel on the implications of the change</w:t>
      </w:r>
      <w:r w:rsidR="0086263D">
        <w:t xml:space="preserve">. </w:t>
      </w:r>
      <w:r w:rsidR="00E32380">
        <w:t xml:space="preserve"> This will be provided for in the governance arrangements that will apply to both the </w:t>
      </w:r>
      <w:r w:rsidR="00632860">
        <w:t>o</w:t>
      </w:r>
      <w:r w:rsidR="00E32380">
        <w:t>perational GTA and the zonal model.</w:t>
      </w:r>
    </w:p>
    <w:p w14:paraId="14A00111" w14:textId="77777777" w:rsidR="00CF4594" w:rsidRDefault="00CF4594" w:rsidP="00E32380">
      <w:pPr>
        <w:pStyle w:val="Heading2"/>
        <w:spacing w:before="120" w:after="120"/>
      </w:pPr>
      <w:bookmarkStart w:id="131" w:name="_Toc499542662"/>
      <w:r>
        <w:t>Standardised products to be sold on the exchange</w:t>
      </w:r>
      <w:bookmarkEnd w:id="129"/>
      <w:bookmarkEnd w:id="130"/>
      <w:bookmarkEnd w:id="131"/>
    </w:p>
    <w:p w14:paraId="59559801" w14:textId="77777777" w:rsidR="00CF4594" w:rsidRPr="008E3DFE" w:rsidRDefault="00CF4594" w:rsidP="00CF4594">
      <w:pPr>
        <w:pStyle w:val="Heading6"/>
        <w:spacing w:line="252" w:lineRule="auto"/>
        <w:rPr>
          <w:rStyle w:val="Bold"/>
          <w:b/>
          <w:color w:val="0099CC"/>
        </w:rPr>
      </w:pPr>
      <w:r w:rsidRPr="008E3DFE">
        <w:rPr>
          <w:rStyle w:val="Bold"/>
          <w:b/>
          <w:color w:val="0099CC"/>
        </w:rPr>
        <w:t>Background</w:t>
      </w:r>
    </w:p>
    <w:p w14:paraId="43B54C5C" w14:textId="77777777" w:rsidR="00CF4594" w:rsidRDefault="00CF4594" w:rsidP="00CF4594">
      <w:pPr>
        <w:tabs>
          <w:tab w:val="left" w:pos="2268"/>
          <w:tab w:val="left" w:pos="4536"/>
          <w:tab w:val="left" w:pos="6804"/>
          <w:tab w:val="right" w:pos="9638"/>
        </w:tabs>
        <w:spacing w:before="240" w:after="120"/>
      </w:pPr>
      <w:r>
        <w:t>As the AEMC noted</w:t>
      </w:r>
      <w:r w:rsidR="0078457E">
        <w:t xml:space="preserve"> in the </w:t>
      </w:r>
      <w:r w:rsidR="0078457E">
        <w:rPr>
          <w:i/>
        </w:rPr>
        <w:t>East Coast Review</w:t>
      </w:r>
      <w:r>
        <w:t xml:space="preserve">, before the firm forward haul, park and compression products can be listed on the exchange, they will need to undergo some degree of standardisation across the following service dimensions: </w:t>
      </w:r>
    </w:p>
    <w:p w14:paraId="1D3F31C7" w14:textId="77777777" w:rsidR="00CF4594" w:rsidRDefault="00CF4594" w:rsidP="001008B8">
      <w:pPr>
        <w:pStyle w:val="ListBullet"/>
      </w:pPr>
      <w:r>
        <w:t>contract path (i.e. the zones between which capacity will be transported);</w:t>
      </w:r>
    </w:p>
    <w:p w14:paraId="1C65564B" w14:textId="77777777" w:rsidR="00CF4594" w:rsidRDefault="00CF4594" w:rsidP="001008B8">
      <w:pPr>
        <w:pStyle w:val="ListBullet"/>
      </w:pPr>
      <w:r>
        <w:lastRenderedPageBreak/>
        <w:t>contract size (MDQ and MHQ); and</w:t>
      </w:r>
    </w:p>
    <w:p w14:paraId="76AC3B28" w14:textId="77777777" w:rsidR="00CF4594" w:rsidRDefault="00CF4594" w:rsidP="001008B8">
      <w:pPr>
        <w:pStyle w:val="ListBullet"/>
      </w:pPr>
      <w:proofErr w:type="gramStart"/>
      <w:r>
        <w:t>contract</w:t>
      </w:r>
      <w:proofErr w:type="gramEnd"/>
      <w:r>
        <w:t xml:space="preserve"> tenor.</w:t>
      </w:r>
    </w:p>
    <w:p w14:paraId="48666B69" w14:textId="77777777" w:rsidR="00CF4594" w:rsidRPr="008E3DFE" w:rsidRDefault="001008B8" w:rsidP="00CF4594">
      <w:pPr>
        <w:pStyle w:val="BodyText"/>
      </w:pPr>
      <w:r w:rsidRPr="001008B8">
        <w:rPr>
          <w:rFonts w:eastAsiaTheme="minorHAnsi" w:cstheme="minorBidi"/>
          <w:bCs/>
          <w:lang w:eastAsia="fr-CA"/>
        </w:rPr>
        <w:fldChar w:fldCharType="begin"/>
      </w:r>
      <w:r w:rsidRPr="001008B8">
        <w:instrText xml:space="preserve"> REF _Ref498878802 \h </w:instrText>
      </w:r>
      <w:r w:rsidRPr="001008B8">
        <w:rPr>
          <w:rFonts w:eastAsiaTheme="minorHAnsi" w:cstheme="minorBidi"/>
          <w:bCs/>
          <w:lang w:eastAsia="fr-CA"/>
        </w:rPr>
        <w:instrText xml:space="preserve"> \* MERGEFORMAT </w:instrText>
      </w:r>
      <w:r w:rsidRPr="001008B8">
        <w:rPr>
          <w:rFonts w:eastAsiaTheme="minorHAnsi" w:cstheme="minorBidi"/>
          <w:bCs/>
          <w:lang w:eastAsia="fr-CA"/>
        </w:rPr>
      </w:r>
      <w:r w:rsidRPr="001008B8">
        <w:rPr>
          <w:rFonts w:eastAsiaTheme="minorHAnsi" w:cstheme="minorBidi"/>
          <w:bCs/>
          <w:lang w:eastAsia="fr-CA"/>
        </w:rPr>
        <w:fldChar w:fldCharType="separate"/>
      </w:r>
      <w:r w:rsidR="00761861" w:rsidRPr="00761861">
        <w:rPr>
          <w:rFonts w:eastAsiaTheme="minorHAnsi" w:cstheme="minorBidi"/>
          <w:bCs/>
          <w:lang w:eastAsia="fr-CA"/>
        </w:rPr>
        <w:t xml:space="preserve">Table </w:t>
      </w:r>
      <w:r w:rsidR="00761861" w:rsidRPr="00761861">
        <w:rPr>
          <w:rFonts w:eastAsiaTheme="minorHAnsi" w:cstheme="minorBidi"/>
          <w:bCs/>
          <w:noProof/>
          <w:lang w:eastAsia="fr-CA"/>
        </w:rPr>
        <w:t>6.2</w:t>
      </w:r>
      <w:r w:rsidRPr="001008B8">
        <w:rPr>
          <w:rFonts w:eastAsiaTheme="minorHAnsi" w:cstheme="minorBidi"/>
          <w:bCs/>
          <w:lang w:eastAsia="fr-CA"/>
        </w:rPr>
        <w:fldChar w:fldCharType="end"/>
      </w:r>
      <w:r w:rsidRPr="001008B8">
        <w:rPr>
          <w:rFonts w:eastAsiaTheme="minorHAnsi" w:cstheme="minorBidi"/>
          <w:bCs/>
          <w:lang w:eastAsia="fr-CA"/>
        </w:rPr>
        <w:t xml:space="preserve"> </w:t>
      </w:r>
      <w:r w:rsidR="00CF4594" w:rsidRPr="001008B8">
        <w:t>provides a summary of the Capacity Trading Platform project team’s views on how these service</w:t>
      </w:r>
      <w:r w:rsidR="00CF4594">
        <w:t xml:space="preserve"> dimensions should be standardised. These views have informed the development of an initial set of standardised forward haul, park and compression products that can be traded on the exchange, the details of which are set out below.</w:t>
      </w:r>
      <w:r w:rsidR="00CF4594">
        <w:rPr>
          <w:rFonts w:eastAsiaTheme="minorHAnsi" w:cstheme="minorBidi"/>
          <w:b/>
          <w:bCs/>
          <w:lang w:eastAsia="fr-CA"/>
        </w:rPr>
        <w:t xml:space="preserve"> </w:t>
      </w:r>
    </w:p>
    <w:p w14:paraId="1C337AFB" w14:textId="77777777" w:rsidR="00CF4594" w:rsidRDefault="00CF4594" w:rsidP="00CF4594">
      <w:pPr>
        <w:keepNext/>
        <w:keepLines/>
        <w:rPr>
          <w:rFonts w:eastAsiaTheme="minorHAnsi" w:cstheme="minorBidi"/>
          <w:b/>
          <w:bCs/>
          <w:lang w:eastAsia="fr-CA"/>
        </w:rPr>
      </w:pPr>
      <w:bookmarkStart w:id="132" w:name="_Ref498878802"/>
      <w:r>
        <w:rPr>
          <w:rFonts w:eastAsiaTheme="minorHAnsi" w:cstheme="minorBidi"/>
          <w:b/>
          <w:bCs/>
          <w:lang w:eastAsia="fr-CA"/>
        </w:rPr>
        <w:t xml:space="preserve">Table </w:t>
      </w:r>
      <w:r>
        <w:fldChar w:fldCharType="begin"/>
      </w:r>
      <w:r>
        <w:rPr>
          <w:rFonts w:eastAsiaTheme="minorHAnsi" w:cstheme="minorBidi"/>
          <w:b/>
          <w:bCs/>
          <w:lang w:eastAsia="fr-CA"/>
        </w:rPr>
        <w:instrText xml:space="preserve"> STYLEREF 1 \s </w:instrText>
      </w:r>
      <w:r>
        <w:fldChar w:fldCharType="separate"/>
      </w:r>
      <w:r w:rsidR="00761861">
        <w:rPr>
          <w:rFonts w:eastAsiaTheme="minorHAnsi" w:cstheme="minorBidi"/>
          <w:b/>
          <w:bCs/>
          <w:noProof/>
          <w:lang w:eastAsia="fr-CA"/>
        </w:rPr>
        <w:t>6</w:t>
      </w:r>
      <w:r>
        <w:fldChar w:fldCharType="end"/>
      </w:r>
      <w:r>
        <w:rPr>
          <w:rFonts w:eastAsiaTheme="minorHAnsi" w:cstheme="minorBidi"/>
          <w:b/>
          <w:bCs/>
          <w:lang w:eastAsia="fr-CA"/>
        </w:rPr>
        <w:t>.</w:t>
      </w:r>
      <w:r>
        <w:fldChar w:fldCharType="begin"/>
      </w:r>
      <w:r>
        <w:rPr>
          <w:rFonts w:eastAsiaTheme="minorHAnsi" w:cstheme="minorBidi"/>
          <w:b/>
          <w:bCs/>
          <w:lang w:eastAsia="fr-CA"/>
        </w:rPr>
        <w:instrText xml:space="preserve"> SEQ Table \* ARABIC \s 1 </w:instrText>
      </w:r>
      <w:r>
        <w:fldChar w:fldCharType="separate"/>
      </w:r>
      <w:r w:rsidR="00761861">
        <w:rPr>
          <w:rFonts w:eastAsiaTheme="minorHAnsi" w:cstheme="minorBidi"/>
          <w:b/>
          <w:bCs/>
          <w:noProof/>
          <w:lang w:eastAsia="fr-CA"/>
        </w:rPr>
        <w:t>2</w:t>
      </w:r>
      <w:r>
        <w:fldChar w:fldCharType="end"/>
      </w:r>
      <w:bookmarkEnd w:id="132"/>
      <w:r>
        <w:rPr>
          <w:rFonts w:eastAsiaTheme="minorHAnsi" w:cstheme="minorBidi"/>
          <w:b/>
          <w:bCs/>
          <w:lang w:eastAsia="fr-CA"/>
        </w:rPr>
        <w:t>: Summary of views on standardised products</w:t>
      </w:r>
    </w:p>
    <w:tbl>
      <w:tblPr>
        <w:tblStyle w:val="TableGrid5"/>
        <w:tblW w:w="9072" w:type="dxa"/>
        <w:tblInd w:w="0" w:type="dxa"/>
        <w:tblLook w:val="04A0" w:firstRow="1" w:lastRow="0" w:firstColumn="1" w:lastColumn="0" w:noHBand="0" w:noVBand="1"/>
        <w:tblCaption w:val="Table 6.2"/>
        <w:tblDescription w:val="Summary of views on standardised products"/>
      </w:tblPr>
      <w:tblGrid>
        <w:gridCol w:w="957"/>
        <w:gridCol w:w="804"/>
        <w:gridCol w:w="2634"/>
        <w:gridCol w:w="2551"/>
        <w:gridCol w:w="2126"/>
      </w:tblGrid>
      <w:tr w:rsidR="00CF4594" w:rsidRPr="00D342CF" w14:paraId="506BA4B5" w14:textId="77777777" w:rsidTr="00DC46AF">
        <w:trPr>
          <w:cnfStyle w:val="100000000000" w:firstRow="1" w:lastRow="0" w:firstColumn="0" w:lastColumn="0" w:oddVBand="0" w:evenVBand="0" w:oddHBand="0" w:evenHBand="0" w:firstRowFirstColumn="0" w:firstRowLastColumn="0" w:lastRowFirstColumn="0" w:lastRowLastColumn="0"/>
          <w:tblHeader/>
        </w:trPr>
        <w:tc>
          <w:tcPr>
            <w:tcW w:w="1761" w:type="dxa"/>
            <w:gridSpan w:val="2"/>
            <w:tcBorders>
              <w:top w:val="single" w:sz="4" w:space="0" w:color="auto"/>
              <w:left w:val="nil"/>
              <w:bottom w:val="single" w:sz="4" w:space="0" w:color="auto"/>
              <w:right w:val="single" w:sz="4" w:space="0" w:color="auto"/>
            </w:tcBorders>
            <w:shd w:val="clear" w:color="auto" w:fill="0099CC"/>
          </w:tcPr>
          <w:p w14:paraId="7E01AEDF" w14:textId="77777777" w:rsidR="00CF4594" w:rsidRPr="00D342CF" w:rsidRDefault="00CF4594" w:rsidP="00C42B52">
            <w:pPr>
              <w:tabs>
                <w:tab w:val="left" w:pos="2268"/>
                <w:tab w:val="left" w:pos="4536"/>
                <w:tab w:val="left" w:pos="6804"/>
                <w:tab w:val="right" w:pos="9638"/>
              </w:tabs>
              <w:spacing w:before="20" w:after="40" w:line="252" w:lineRule="auto"/>
              <w:rPr>
                <w:szCs w:val="18"/>
              </w:rPr>
            </w:pPr>
          </w:p>
        </w:tc>
        <w:tc>
          <w:tcPr>
            <w:tcW w:w="2634" w:type="dxa"/>
            <w:tcBorders>
              <w:top w:val="single" w:sz="4" w:space="0" w:color="auto"/>
              <w:left w:val="single" w:sz="4" w:space="0" w:color="auto"/>
              <w:bottom w:val="single" w:sz="4" w:space="0" w:color="auto"/>
              <w:right w:val="single" w:sz="4" w:space="0" w:color="auto"/>
            </w:tcBorders>
            <w:shd w:val="clear" w:color="auto" w:fill="0099CC"/>
            <w:hideMark/>
          </w:tcPr>
          <w:p w14:paraId="219E89FD" w14:textId="77777777" w:rsidR="00CF4594" w:rsidRPr="00D342CF" w:rsidRDefault="00CF4594" w:rsidP="00C42B52">
            <w:pPr>
              <w:tabs>
                <w:tab w:val="left" w:pos="2268"/>
                <w:tab w:val="left" w:pos="4536"/>
                <w:tab w:val="left" w:pos="6804"/>
                <w:tab w:val="right" w:pos="9638"/>
              </w:tabs>
              <w:spacing w:before="20" w:after="40" w:line="252" w:lineRule="auto"/>
              <w:jc w:val="center"/>
              <w:rPr>
                <w:szCs w:val="18"/>
              </w:rPr>
            </w:pPr>
            <w:r w:rsidRPr="00D342CF">
              <w:rPr>
                <w:szCs w:val="18"/>
              </w:rPr>
              <w:t>Firm forward haul service</w:t>
            </w:r>
          </w:p>
        </w:tc>
        <w:tc>
          <w:tcPr>
            <w:tcW w:w="2551" w:type="dxa"/>
            <w:tcBorders>
              <w:top w:val="single" w:sz="4" w:space="0" w:color="auto"/>
              <w:left w:val="single" w:sz="4" w:space="0" w:color="auto"/>
              <w:bottom w:val="single" w:sz="4" w:space="0" w:color="auto"/>
              <w:right w:val="single" w:sz="4" w:space="0" w:color="auto"/>
            </w:tcBorders>
            <w:shd w:val="clear" w:color="auto" w:fill="0099CC"/>
            <w:hideMark/>
          </w:tcPr>
          <w:p w14:paraId="5A2074D1" w14:textId="77777777" w:rsidR="00CF4594" w:rsidRPr="00D342CF" w:rsidRDefault="00CF4594" w:rsidP="00C42B52">
            <w:pPr>
              <w:tabs>
                <w:tab w:val="left" w:pos="2268"/>
                <w:tab w:val="left" w:pos="4536"/>
                <w:tab w:val="left" w:pos="6804"/>
                <w:tab w:val="right" w:pos="9638"/>
              </w:tabs>
              <w:spacing w:before="20" w:after="40" w:line="252" w:lineRule="auto"/>
              <w:jc w:val="center"/>
              <w:rPr>
                <w:szCs w:val="18"/>
              </w:rPr>
            </w:pPr>
            <w:r w:rsidRPr="00D342CF">
              <w:rPr>
                <w:szCs w:val="18"/>
              </w:rPr>
              <w:t>Firm compression service</w:t>
            </w:r>
          </w:p>
        </w:tc>
        <w:tc>
          <w:tcPr>
            <w:tcW w:w="2126" w:type="dxa"/>
            <w:tcBorders>
              <w:top w:val="single" w:sz="4" w:space="0" w:color="auto"/>
              <w:left w:val="single" w:sz="4" w:space="0" w:color="auto"/>
              <w:bottom w:val="single" w:sz="4" w:space="0" w:color="auto"/>
              <w:right w:val="nil"/>
            </w:tcBorders>
            <w:shd w:val="clear" w:color="auto" w:fill="0099CC"/>
            <w:hideMark/>
          </w:tcPr>
          <w:p w14:paraId="2A2E61D3" w14:textId="77777777" w:rsidR="00CF4594" w:rsidRPr="00D342CF" w:rsidRDefault="00CF4594" w:rsidP="00C42B52">
            <w:pPr>
              <w:tabs>
                <w:tab w:val="left" w:pos="2268"/>
                <w:tab w:val="left" w:pos="4536"/>
                <w:tab w:val="left" w:pos="6804"/>
                <w:tab w:val="right" w:pos="9638"/>
              </w:tabs>
              <w:spacing w:before="20" w:after="40" w:line="252" w:lineRule="auto"/>
              <w:jc w:val="center"/>
              <w:rPr>
                <w:szCs w:val="18"/>
              </w:rPr>
            </w:pPr>
            <w:r w:rsidRPr="00D342CF">
              <w:rPr>
                <w:szCs w:val="18"/>
              </w:rPr>
              <w:t>Firm park service</w:t>
            </w:r>
          </w:p>
        </w:tc>
      </w:tr>
      <w:tr w:rsidR="00CF4594" w:rsidRPr="00D342CF" w14:paraId="6A84F79C" w14:textId="77777777" w:rsidTr="00DC46AF">
        <w:tc>
          <w:tcPr>
            <w:tcW w:w="1761" w:type="dxa"/>
            <w:gridSpan w:val="2"/>
            <w:tcBorders>
              <w:top w:val="single" w:sz="4" w:space="0" w:color="auto"/>
              <w:left w:val="nil"/>
              <w:bottom w:val="single" w:sz="4" w:space="0" w:color="auto"/>
              <w:right w:val="single" w:sz="4" w:space="0" w:color="auto"/>
            </w:tcBorders>
            <w:hideMark/>
          </w:tcPr>
          <w:p w14:paraId="4C9A916A" w14:textId="77777777" w:rsidR="00CF4594" w:rsidRPr="00D342CF" w:rsidRDefault="00CF4594" w:rsidP="00C42B52">
            <w:pPr>
              <w:tabs>
                <w:tab w:val="left" w:pos="2268"/>
                <w:tab w:val="left" w:pos="4536"/>
                <w:tab w:val="left" w:pos="6804"/>
                <w:tab w:val="right" w:pos="9638"/>
              </w:tabs>
              <w:spacing w:before="20" w:after="40" w:line="252" w:lineRule="auto"/>
              <w:rPr>
                <w:b/>
                <w:szCs w:val="18"/>
              </w:rPr>
            </w:pPr>
            <w:r w:rsidRPr="00D342CF">
              <w:rPr>
                <w:b/>
                <w:szCs w:val="18"/>
              </w:rPr>
              <w:t xml:space="preserve">Contract paths or facility </w:t>
            </w:r>
          </w:p>
        </w:tc>
        <w:tc>
          <w:tcPr>
            <w:tcW w:w="2634" w:type="dxa"/>
            <w:tcBorders>
              <w:top w:val="single" w:sz="4" w:space="0" w:color="auto"/>
              <w:left w:val="single" w:sz="4" w:space="0" w:color="auto"/>
              <w:bottom w:val="single" w:sz="4" w:space="0" w:color="auto"/>
              <w:right w:val="single" w:sz="4" w:space="0" w:color="auto"/>
            </w:tcBorders>
            <w:hideMark/>
          </w:tcPr>
          <w:p w14:paraId="60C96B4B" w14:textId="77777777" w:rsidR="00CF4594" w:rsidRPr="00D342CF" w:rsidRDefault="00CF4594" w:rsidP="00DC46AF">
            <w:pPr>
              <w:spacing w:before="20" w:after="40" w:line="252" w:lineRule="auto"/>
              <w:rPr>
                <w:rFonts w:cs="Arial"/>
                <w:szCs w:val="18"/>
              </w:rPr>
            </w:pPr>
            <w:r w:rsidRPr="00D342CF">
              <w:rPr>
                <w:rFonts w:cs="Arial"/>
                <w:szCs w:val="18"/>
              </w:rPr>
              <w:t>The project team thought that standardised forward haul services should be available on all the major transmission pipelines in the east coast and the Northern Territory, once it is connected. The specific pipelines that were identified in this context include the RBP, Q</w:t>
            </w:r>
            <w:r w:rsidR="00DF0551">
              <w:rPr>
                <w:rFonts w:cs="Arial"/>
                <w:szCs w:val="18"/>
              </w:rPr>
              <w:t xml:space="preserve">ueensland </w:t>
            </w:r>
            <w:r w:rsidRPr="00D342CF">
              <w:rPr>
                <w:rFonts w:cs="Arial"/>
                <w:szCs w:val="18"/>
              </w:rPr>
              <w:t>G</w:t>
            </w:r>
            <w:r w:rsidR="00DF0551">
              <w:rPr>
                <w:rFonts w:cs="Arial"/>
                <w:szCs w:val="18"/>
              </w:rPr>
              <w:t xml:space="preserve">as </w:t>
            </w:r>
            <w:r w:rsidRPr="00D342CF">
              <w:rPr>
                <w:rFonts w:cs="Arial"/>
                <w:szCs w:val="18"/>
              </w:rPr>
              <w:t>P</w:t>
            </w:r>
            <w:r w:rsidR="00DF0551">
              <w:rPr>
                <w:rFonts w:cs="Arial"/>
                <w:szCs w:val="18"/>
              </w:rPr>
              <w:t>ipeline</w:t>
            </w:r>
            <w:r w:rsidRPr="00D342CF">
              <w:rPr>
                <w:rFonts w:cs="Arial"/>
                <w:szCs w:val="18"/>
              </w:rPr>
              <w:t xml:space="preserve">, SWQP, CGP, MSP, EGP, MAPS, </w:t>
            </w:r>
            <w:proofErr w:type="spellStart"/>
            <w:r w:rsidRPr="00D342CF">
              <w:rPr>
                <w:rFonts w:cs="Arial"/>
                <w:szCs w:val="18"/>
              </w:rPr>
              <w:t>SEAGas</w:t>
            </w:r>
            <w:proofErr w:type="spellEnd"/>
            <w:r w:rsidRPr="00D342CF">
              <w:rPr>
                <w:rFonts w:cs="Arial"/>
                <w:szCs w:val="18"/>
              </w:rPr>
              <w:t xml:space="preserve"> Pipeline, the TGP, the </w:t>
            </w:r>
            <w:r w:rsidR="009D4400" w:rsidRPr="009D4400">
              <w:rPr>
                <w:rFonts w:cs="Arial"/>
                <w:szCs w:val="18"/>
              </w:rPr>
              <w:t xml:space="preserve">Northern Gas Pipeline </w:t>
            </w:r>
            <w:r w:rsidR="009D4400">
              <w:rPr>
                <w:rFonts w:cs="Arial"/>
                <w:szCs w:val="18"/>
              </w:rPr>
              <w:t>(</w:t>
            </w:r>
            <w:r w:rsidRPr="00D342CF">
              <w:rPr>
                <w:rFonts w:cs="Arial"/>
                <w:szCs w:val="18"/>
              </w:rPr>
              <w:t>NGP</w:t>
            </w:r>
            <w:r w:rsidR="009D4400">
              <w:rPr>
                <w:rFonts w:cs="Arial"/>
                <w:szCs w:val="18"/>
              </w:rPr>
              <w:t>)</w:t>
            </w:r>
            <w:r w:rsidRPr="00D342CF">
              <w:rPr>
                <w:rFonts w:cs="Arial"/>
                <w:szCs w:val="18"/>
              </w:rPr>
              <w:t xml:space="preserve"> and Amadeus to Darwin Pipeline (ADP).</w:t>
            </w:r>
          </w:p>
        </w:tc>
        <w:tc>
          <w:tcPr>
            <w:tcW w:w="2551" w:type="dxa"/>
            <w:tcBorders>
              <w:top w:val="single" w:sz="4" w:space="0" w:color="auto"/>
              <w:left w:val="single" w:sz="4" w:space="0" w:color="auto"/>
              <w:bottom w:val="single" w:sz="4" w:space="0" w:color="auto"/>
              <w:right w:val="single" w:sz="4" w:space="0" w:color="auto"/>
            </w:tcBorders>
            <w:hideMark/>
          </w:tcPr>
          <w:p w14:paraId="2A2609A5" w14:textId="77777777" w:rsidR="00CF4594" w:rsidRPr="00D342CF" w:rsidRDefault="00CF4594" w:rsidP="00C42B52">
            <w:pPr>
              <w:tabs>
                <w:tab w:val="left" w:pos="2268"/>
                <w:tab w:val="left" w:pos="4536"/>
                <w:tab w:val="left" w:pos="6804"/>
                <w:tab w:val="right" w:pos="9638"/>
              </w:tabs>
              <w:spacing w:before="20" w:after="40" w:line="252" w:lineRule="auto"/>
              <w:rPr>
                <w:szCs w:val="18"/>
              </w:rPr>
            </w:pPr>
            <w:r w:rsidRPr="00D342CF">
              <w:rPr>
                <w:szCs w:val="18"/>
              </w:rPr>
              <w:t xml:space="preserve">The project team thought that if standardised compression services are to be offered on the exchange then they should be available at Wallumbilla and Moomba to facilitate trade through the hub. Some project team members also noted that there may be value in having either a stand-alone or bundled compression-transportation service at other facility interconnection points, such as </w:t>
            </w:r>
            <w:proofErr w:type="spellStart"/>
            <w:r w:rsidRPr="00D342CF">
              <w:rPr>
                <w:szCs w:val="18"/>
              </w:rPr>
              <w:t>Ballera</w:t>
            </w:r>
            <w:proofErr w:type="spellEnd"/>
            <w:r w:rsidRPr="00D342CF">
              <w:rPr>
                <w:szCs w:val="18"/>
              </w:rPr>
              <w:t xml:space="preserve">. </w:t>
            </w:r>
          </w:p>
        </w:tc>
        <w:tc>
          <w:tcPr>
            <w:tcW w:w="2126" w:type="dxa"/>
            <w:tcBorders>
              <w:top w:val="single" w:sz="4" w:space="0" w:color="auto"/>
              <w:left w:val="single" w:sz="4" w:space="0" w:color="auto"/>
              <w:bottom w:val="single" w:sz="4" w:space="0" w:color="auto"/>
              <w:right w:val="nil"/>
            </w:tcBorders>
            <w:hideMark/>
          </w:tcPr>
          <w:p w14:paraId="104CB9EA" w14:textId="77777777" w:rsidR="00CF4594" w:rsidRPr="00D342CF" w:rsidRDefault="00CF4594" w:rsidP="00C42B52">
            <w:pPr>
              <w:tabs>
                <w:tab w:val="left" w:pos="2268"/>
                <w:tab w:val="left" w:pos="4536"/>
                <w:tab w:val="left" w:pos="6804"/>
                <w:tab w:val="right" w:pos="9638"/>
              </w:tabs>
              <w:spacing w:before="20" w:after="40" w:line="252" w:lineRule="auto"/>
              <w:rPr>
                <w:szCs w:val="18"/>
              </w:rPr>
            </w:pPr>
            <w:r w:rsidRPr="00D342CF">
              <w:rPr>
                <w:szCs w:val="18"/>
              </w:rPr>
              <w:t>The project team thought that standardised park services should be available on all the pipelines that offer this as a firm service, which includes the RBP, SWQP, MSP, EGP, MAPS and TGP.</w:t>
            </w:r>
          </w:p>
        </w:tc>
      </w:tr>
      <w:tr w:rsidR="00CF4594" w:rsidRPr="00D342CF" w14:paraId="1DFC5417" w14:textId="77777777" w:rsidTr="00C42B52">
        <w:trPr>
          <w:cnfStyle w:val="000000010000" w:firstRow="0" w:lastRow="0" w:firstColumn="0" w:lastColumn="0" w:oddVBand="0" w:evenVBand="0" w:oddHBand="0" w:evenHBand="1" w:firstRowFirstColumn="0" w:firstRowLastColumn="0" w:lastRowFirstColumn="0" w:lastRowLastColumn="0"/>
          <w:trHeight w:val="686"/>
        </w:trPr>
        <w:tc>
          <w:tcPr>
            <w:tcW w:w="957" w:type="dxa"/>
            <w:vMerge w:val="restart"/>
            <w:tcBorders>
              <w:top w:val="single" w:sz="4" w:space="0" w:color="auto"/>
              <w:left w:val="nil"/>
              <w:bottom w:val="single" w:sz="4" w:space="0" w:color="auto"/>
              <w:right w:val="single" w:sz="4" w:space="0" w:color="auto"/>
            </w:tcBorders>
            <w:hideMark/>
          </w:tcPr>
          <w:p w14:paraId="0A1BFEF5" w14:textId="77777777" w:rsidR="00CF4594" w:rsidRPr="00D342CF" w:rsidRDefault="00CF4594" w:rsidP="00C42B52">
            <w:pPr>
              <w:tabs>
                <w:tab w:val="left" w:pos="2268"/>
                <w:tab w:val="left" w:pos="4536"/>
                <w:tab w:val="left" w:pos="6804"/>
                <w:tab w:val="right" w:pos="9638"/>
              </w:tabs>
              <w:spacing w:before="20" w:after="40" w:line="252" w:lineRule="auto"/>
              <w:rPr>
                <w:b/>
                <w:szCs w:val="18"/>
              </w:rPr>
            </w:pPr>
            <w:r w:rsidRPr="00D342CF">
              <w:rPr>
                <w:b/>
                <w:szCs w:val="18"/>
              </w:rPr>
              <w:t>Contract size</w:t>
            </w:r>
          </w:p>
        </w:tc>
        <w:tc>
          <w:tcPr>
            <w:tcW w:w="804" w:type="dxa"/>
            <w:tcBorders>
              <w:top w:val="single" w:sz="4" w:space="0" w:color="auto"/>
              <w:left w:val="single" w:sz="4" w:space="0" w:color="auto"/>
              <w:bottom w:val="single" w:sz="4" w:space="0" w:color="auto"/>
              <w:right w:val="single" w:sz="4" w:space="0" w:color="auto"/>
            </w:tcBorders>
            <w:hideMark/>
          </w:tcPr>
          <w:p w14:paraId="6F10A3F7" w14:textId="77777777" w:rsidR="00CF4594" w:rsidRPr="00D342CF" w:rsidRDefault="00CF4594" w:rsidP="00C42B52">
            <w:pPr>
              <w:tabs>
                <w:tab w:val="left" w:pos="2268"/>
                <w:tab w:val="left" w:pos="4536"/>
                <w:tab w:val="left" w:pos="6804"/>
                <w:tab w:val="right" w:pos="9638"/>
              </w:tabs>
              <w:spacing w:before="20" w:after="40" w:line="252" w:lineRule="auto"/>
              <w:rPr>
                <w:b/>
                <w:szCs w:val="18"/>
              </w:rPr>
            </w:pPr>
            <w:r w:rsidRPr="00D342CF">
              <w:rPr>
                <w:b/>
                <w:szCs w:val="18"/>
              </w:rPr>
              <w:t>MDQ</w:t>
            </w:r>
          </w:p>
        </w:tc>
        <w:tc>
          <w:tcPr>
            <w:tcW w:w="7311" w:type="dxa"/>
            <w:gridSpan w:val="3"/>
            <w:tcBorders>
              <w:top w:val="single" w:sz="4" w:space="0" w:color="auto"/>
              <w:left w:val="single" w:sz="4" w:space="0" w:color="auto"/>
              <w:bottom w:val="single" w:sz="4" w:space="0" w:color="auto"/>
              <w:right w:val="nil"/>
            </w:tcBorders>
            <w:hideMark/>
          </w:tcPr>
          <w:p w14:paraId="6C6F25F3" w14:textId="77777777" w:rsidR="00CF4594" w:rsidRPr="00D342CF" w:rsidRDefault="00CF4594" w:rsidP="00C42B52">
            <w:pPr>
              <w:spacing w:before="20" w:after="40" w:line="252" w:lineRule="auto"/>
              <w:rPr>
                <w:rFonts w:cs="Arial"/>
                <w:szCs w:val="18"/>
              </w:rPr>
            </w:pPr>
            <w:r w:rsidRPr="00D342CF">
              <w:rPr>
                <w:rFonts w:cs="Arial"/>
                <w:szCs w:val="18"/>
              </w:rPr>
              <w:t xml:space="preserve">A number of project team members noted that while the current minimum MDQ parcel size for the GSH is 1 TJ, there may be value in adopting a smaller contract size for capacity products. The two alternatives that the project team identified in this context were 100 GJ and 500 GJ. Of these two alternatives, the 500 GJ option was considered more appropriate although there was some support for the 1 TJ option.  </w:t>
            </w:r>
          </w:p>
          <w:p w14:paraId="7F0FD8C7" w14:textId="77777777" w:rsidR="00CF4594" w:rsidRPr="00D342CF" w:rsidRDefault="00CF4594" w:rsidP="00C42B52">
            <w:pPr>
              <w:spacing w:before="20" w:after="40" w:line="252" w:lineRule="auto"/>
              <w:rPr>
                <w:rFonts w:cs="Arial"/>
                <w:szCs w:val="18"/>
              </w:rPr>
            </w:pPr>
            <w:r w:rsidRPr="00D342CF">
              <w:rPr>
                <w:rFonts w:cs="Arial"/>
                <w:szCs w:val="18"/>
              </w:rPr>
              <w:t>The project team also agreed that these products should have a reasonable endeavours renomination right, which is reflected in the draft standard terms.</w:t>
            </w:r>
          </w:p>
        </w:tc>
      </w:tr>
      <w:tr w:rsidR="00CF4594" w:rsidRPr="00D342CF" w14:paraId="5E434FE7" w14:textId="77777777" w:rsidTr="00DC46AF">
        <w:trPr>
          <w:trHeight w:val="686"/>
        </w:trPr>
        <w:tc>
          <w:tcPr>
            <w:tcW w:w="0" w:type="auto"/>
            <w:vMerge/>
            <w:tcBorders>
              <w:top w:val="single" w:sz="4" w:space="0" w:color="auto"/>
              <w:left w:val="nil"/>
              <w:bottom w:val="single" w:sz="4" w:space="0" w:color="auto"/>
              <w:right w:val="single" w:sz="4" w:space="0" w:color="auto"/>
            </w:tcBorders>
            <w:vAlign w:val="center"/>
            <w:hideMark/>
          </w:tcPr>
          <w:p w14:paraId="7432AB54" w14:textId="77777777" w:rsidR="00CF4594" w:rsidRPr="00D342CF" w:rsidRDefault="00CF4594" w:rsidP="00C42B52">
            <w:pPr>
              <w:spacing w:before="20" w:after="40" w:line="252" w:lineRule="auto"/>
              <w:rPr>
                <w:b/>
                <w:szCs w:val="18"/>
              </w:rPr>
            </w:pPr>
          </w:p>
        </w:tc>
        <w:tc>
          <w:tcPr>
            <w:tcW w:w="804" w:type="dxa"/>
            <w:tcBorders>
              <w:top w:val="single" w:sz="4" w:space="0" w:color="auto"/>
              <w:left w:val="single" w:sz="4" w:space="0" w:color="auto"/>
              <w:bottom w:val="single" w:sz="4" w:space="0" w:color="auto"/>
              <w:right w:val="single" w:sz="4" w:space="0" w:color="auto"/>
            </w:tcBorders>
            <w:shd w:val="clear" w:color="auto" w:fill="E1E2E7" w:themeFill="background2"/>
            <w:hideMark/>
          </w:tcPr>
          <w:p w14:paraId="56E39F77" w14:textId="77777777" w:rsidR="00CF4594" w:rsidRPr="00D342CF" w:rsidRDefault="00CF4594" w:rsidP="00C42B52">
            <w:pPr>
              <w:tabs>
                <w:tab w:val="left" w:pos="2268"/>
                <w:tab w:val="left" w:pos="4536"/>
                <w:tab w:val="left" w:pos="6804"/>
                <w:tab w:val="right" w:pos="9638"/>
              </w:tabs>
              <w:spacing w:before="20" w:after="40" w:line="252" w:lineRule="auto"/>
              <w:rPr>
                <w:b/>
                <w:szCs w:val="18"/>
              </w:rPr>
            </w:pPr>
            <w:r w:rsidRPr="00D342CF">
              <w:rPr>
                <w:b/>
                <w:szCs w:val="18"/>
              </w:rPr>
              <w:t>MHQ</w:t>
            </w:r>
          </w:p>
        </w:tc>
        <w:tc>
          <w:tcPr>
            <w:tcW w:w="5185" w:type="dxa"/>
            <w:gridSpan w:val="2"/>
            <w:tcBorders>
              <w:top w:val="single" w:sz="4" w:space="0" w:color="auto"/>
              <w:left w:val="single" w:sz="4" w:space="0" w:color="auto"/>
              <w:bottom w:val="single" w:sz="4" w:space="0" w:color="auto"/>
              <w:right w:val="single" w:sz="4" w:space="0" w:color="auto"/>
            </w:tcBorders>
            <w:shd w:val="clear" w:color="auto" w:fill="E1E2E7" w:themeFill="background2"/>
            <w:hideMark/>
          </w:tcPr>
          <w:p w14:paraId="75696C13" w14:textId="77777777" w:rsidR="00CF4594" w:rsidRPr="00D342CF" w:rsidRDefault="00CF4594" w:rsidP="00C42B52">
            <w:pPr>
              <w:spacing w:before="20" w:after="40" w:line="252" w:lineRule="auto"/>
              <w:rPr>
                <w:rFonts w:cs="Arial"/>
                <w:szCs w:val="18"/>
              </w:rPr>
            </w:pPr>
            <w:r w:rsidRPr="00D342CF">
              <w:rPr>
                <w:rFonts w:cs="Arial"/>
                <w:szCs w:val="18"/>
              </w:rPr>
              <w:t xml:space="preserve">The project team noted that it may not be possible to have a standardised MHQ factor of more than 1 (i.e. MDQ/24) because not all pipelines offer MHQ flexibility. This was confirmed in the GMRG’s discussions with a number of service providers, with Epic, APA and Jemena advising that an MHQ factor of 1.1 would be possible on their respective pipelines, while TGP and </w:t>
            </w:r>
            <w:proofErr w:type="spellStart"/>
            <w:r w:rsidRPr="00D342CF">
              <w:rPr>
                <w:rFonts w:cs="Arial"/>
                <w:szCs w:val="18"/>
              </w:rPr>
              <w:t>SEAGas</w:t>
            </w:r>
            <w:proofErr w:type="spellEnd"/>
            <w:r w:rsidRPr="00D342CF">
              <w:rPr>
                <w:rFonts w:cs="Arial"/>
                <w:szCs w:val="18"/>
              </w:rPr>
              <w:t xml:space="preserve"> advised that they could only offer an MHQ factor of 1. </w:t>
            </w:r>
          </w:p>
        </w:tc>
        <w:tc>
          <w:tcPr>
            <w:tcW w:w="2126" w:type="dxa"/>
            <w:tcBorders>
              <w:top w:val="single" w:sz="4" w:space="0" w:color="auto"/>
              <w:left w:val="single" w:sz="4" w:space="0" w:color="auto"/>
              <w:bottom w:val="single" w:sz="4" w:space="0" w:color="auto"/>
              <w:right w:val="nil"/>
            </w:tcBorders>
            <w:shd w:val="clear" w:color="auto" w:fill="E1E2E7" w:themeFill="background2"/>
            <w:hideMark/>
          </w:tcPr>
          <w:p w14:paraId="6863F88E" w14:textId="77777777" w:rsidR="00CF4594" w:rsidRPr="00D342CF" w:rsidRDefault="00CF4594" w:rsidP="00C42B52">
            <w:pPr>
              <w:spacing w:before="20" w:after="40" w:line="252" w:lineRule="auto"/>
              <w:rPr>
                <w:rFonts w:cs="Arial"/>
                <w:szCs w:val="18"/>
              </w:rPr>
            </w:pPr>
            <w:proofErr w:type="spellStart"/>
            <w:r w:rsidRPr="00D342CF">
              <w:rPr>
                <w:rFonts w:cs="Arial"/>
                <w:szCs w:val="18"/>
              </w:rPr>
              <w:t>n.a</w:t>
            </w:r>
            <w:proofErr w:type="spellEnd"/>
            <w:r w:rsidRPr="00D342CF">
              <w:rPr>
                <w:rFonts w:cs="Arial"/>
                <w:szCs w:val="18"/>
              </w:rPr>
              <w:t>.</w:t>
            </w:r>
          </w:p>
        </w:tc>
      </w:tr>
      <w:tr w:rsidR="00CF4594" w:rsidRPr="00D342CF" w14:paraId="414E875E" w14:textId="77777777" w:rsidTr="00C42B52">
        <w:trPr>
          <w:cnfStyle w:val="000000010000" w:firstRow="0" w:lastRow="0" w:firstColumn="0" w:lastColumn="0" w:oddVBand="0" w:evenVBand="0" w:oddHBand="0" w:evenHBand="1" w:firstRowFirstColumn="0" w:firstRowLastColumn="0" w:lastRowFirstColumn="0" w:lastRowLastColumn="0"/>
        </w:trPr>
        <w:tc>
          <w:tcPr>
            <w:tcW w:w="1761" w:type="dxa"/>
            <w:gridSpan w:val="2"/>
            <w:tcBorders>
              <w:top w:val="single" w:sz="4" w:space="0" w:color="auto"/>
              <w:left w:val="nil"/>
              <w:bottom w:val="single" w:sz="4" w:space="0" w:color="auto"/>
              <w:right w:val="single" w:sz="4" w:space="0" w:color="auto"/>
            </w:tcBorders>
            <w:hideMark/>
          </w:tcPr>
          <w:p w14:paraId="575D3578" w14:textId="77777777" w:rsidR="00CF4594" w:rsidRPr="00D342CF" w:rsidRDefault="00CF4594" w:rsidP="00E32380">
            <w:pPr>
              <w:tabs>
                <w:tab w:val="left" w:pos="2268"/>
                <w:tab w:val="left" w:pos="4536"/>
                <w:tab w:val="left" w:pos="6804"/>
                <w:tab w:val="right" w:pos="9638"/>
              </w:tabs>
              <w:spacing w:before="20" w:after="40" w:line="252" w:lineRule="auto"/>
              <w:rPr>
                <w:b/>
                <w:szCs w:val="18"/>
              </w:rPr>
            </w:pPr>
            <w:r w:rsidRPr="00D342CF">
              <w:rPr>
                <w:b/>
                <w:szCs w:val="18"/>
              </w:rPr>
              <w:t xml:space="preserve">Contract tenor </w:t>
            </w:r>
          </w:p>
        </w:tc>
        <w:tc>
          <w:tcPr>
            <w:tcW w:w="7311" w:type="dxa"/>
            <w:gridSpan w:val="3"/>
            <w:tcBorders>
              <w:top w:val="single" w:sz="4" w:space="0" w:color="auto"/>
              <w:left w:val="single" w:sz="4" w:space="0" w:color="auto"/>
              <w:bottom w:val="single" w:sz="4" w:space="0" w:color="auto"/>
              <w:right w:val="nil"/>
            </w:tcBorders>
            <w:hideMark/>
          </w:tcPr>
          <w:p w14:paraId="2DD933A8" w14:textId="77777777" w:rsidR="00CF4594" w:rsidRPr="00D342CF" w:rsidRDefault="00CF4594" w:rsidP="00E32380">
            <w:pPr>
              <w:tabs>
                <w:tab w:val="left" w:pos="2268"/>
                <w:tab w:val="left" w:pos="4536"/>
                <w:tab w:val="left" w:pos="6804"/>
                <w:tab w:val="right" w:pos="9638"/>
              </w:tabs>
              <w:spacing w:before="20" w:after="40" w:line="252" w:lineRule="auto"/>
              <w:rPr>
                <w:szCs w:val="18"/>
              </w:rPr>
            </w:pPr>
            <w:r w:rsidRPr="00D342CF">
              <w:rPr>
                <w:szCs w:val="18"/>
              </w:rPr>
              <w:t>The project team agreed that the term of the standardised products should, with the exception of the balance</w:t>
            </w:r>
            <w:r w:rsidR="00DC46AF">
              <w:rPr>
                <w:szCs w:val="18"/>
              </w:rPr>
              <w:t>-</w:t>
            </w:r>
            <w:r w:rsidRPr="00D342CF">
              <w:rPr>
                <w:szCs w:val="18"/>
              </w:rPr>
              <w:t>of</w:t>
            </w:r>
            <w:r w:rsidR="00DC46AF">
              <w:rPr>
                <w:szCs w:val="18"/>
              </w:rPr>
              <w:t>-</w:t>
            </w:r>
            <w:r w:rsidRPr="00D342CF">
              <w:rPr>
                <w:szCs w:val="18"/>
              </w:rPr>
              <w:t>day product,</w:t>
            </w:r>
            <w:r w:rsidRPr="00D342CF">
              <w:rPr>
                <w:szCs w:val="18"/>
                <w:vertAlign w:val="superscript"/>
              </w:rPr>
              <w:footnoteReference w:id="73"/>
            </w:r>
            <w:r w:rsidRPr="00D342CF">
              <w:rPr>
                <w:szCs w:val="18"/>
              </w:rPr>
              <w:t xml:space="preserve"> be aligned with the GSH products, which currently include: </w:t>
            </w:r>
          </w:p>
          <w:p w14:paraId="009F7F90" w14:textId="77777777" w:rsidR="00CF4594" w:rsidRPr="00D342CF" w:rsidRDefault="00CF4594" w:rsidP="00E32380">
            <w:pPr>
              <w:numPr>
                <w:ilvl w:val="0"/>
                <w:numId w:val="57"/>
              </w:numPr>
              <w:spacing w:before="20" w:after="40" w:line="252" w:lineRule="auto"/>
              <w:rPr>
                <w:rFonts w:cs="Arial"/>
                <w:szCs w:val="18"/>
              </w:rPr>
            </w:pPr>
            <w:proofErr w:type="gramStart"/>
            <w:r w:rsidRPr="00D342CF">
              <w:rPr>
                <w:rFonts w:eastAsiaTheme="minorEastAsia" w:cs="Arial"/>
                <w:b/>
                <w:szCs w:val="18"/>
              </w:rPr>
              <w:t>a</w:t>
            </w:r>
            <w:proofErr w:type="gramEnd"/>
            <w:r w:rsidRPr="00D342CF">
              <w:rPr>
                <w:rFonts w:eastAsiaTheme="minorEastAsia" w:cs="Arial"/>
                <w:b/>
                <w:szCs w:val="18"/>
              </w:rPr>
              <w:t xml:space="preserve"> day-ahead product, </w:t>
            </w:r>
            <w:r w:rsidRPr="00D342CF">
              <w:rPr>
                <w:rFonts w:eastAsiaTheme="minorEastAsia" w:cs="Arial"/>
                <w:szCs w:val="18"/>
              </w:rPr>
              <w:t xml:space="preserve">which is </w:t>
            </w:r>
            <w:r w:rsidRPr="00D342CF">
              <w:rPr>
                <w:rFonts w:cs="Arial"/>
                <w:szCs w:val="18"/>
              </w:rPr>
              <w:t xml:space="preserve">available at the start of trade on D-1 until close of trade for the day-ahead product on D-1. </w:t>
            </w:r>
          </w:p>
          <w:p w14:paraId="01ED6E64" w14:textId="77777777" w:rsidR="00CF4594" w:rsidRPr="00D342CF" w:rsidRDefault="00CF4594" w:rsidP="00E32380">
            <w:pPr>
              <w:numPr>
                <w:ilvl w:val="0"/>
                <w:numId w:val="57"/>
              </w:numPr>
              <w:spacing w:before="20" w:after="40" w:line="252" w:lineRule="auto"/>
              <w:rPr>
                <w:rFonts w:cs="Arial"/>
                <w:szCs w:val="18"/>
              </w:rPr>
            </w:pPr>
            <w:proofErr w:type="gramStart"/>
            <w:r w:rsidRPr="00D342CF">
              <w:rPr>
                <w:rFonts w:eastAsiaTheme="minorEastAsia" w:cs="Arial"/>
                <w:b/>
                <w:szCs w:val="18"/>
              </w:rPr>
              <w:t>a</w:t>
            </w:r>
            <w:proofErr w:type="gramEnd"/>
            <w:r w:rsidRPr="00D342CF">
              <w:rPr>
                <w:rFonts w:eastAsiaTheme="minorEastAsia" w:cs="Arial"/>
                <w:b/>
                <w:szCs w:val="18"/>
              </w:rPr>
              <w:t xml:space="preserve"> daily product (6 days), </w:t>
            </w:r>
            <w:r w:rsidRPr="00D342CF">
              <w:rPr>
                <w:rFonts w:eastAsiaTheme="minorEastAsia" w:cs="Arial"/>
                <w:szCs w:val="18"/>
              </w:rPr>
              <w:t xml:space="preserve">which is </w:t>
            </w:r>
            <w:r w:rsidRPr="00D342CF">
              <w:rPr>
                <w:rFonts w:cs="Arial"/>
                <w:szCs w:val="18"/>
              </w:rPr>
              <w:t>available at the start of trade on D-7 until close of trade on D-2.</w:t>
            </w:r>
          </w:p>
          <w:p w14:paraId="0CB092DA" w14:textId="77777777" w:rsidR="00CF4594" w:rsidRPr="00D342CF" w:rsidRDefault="00CF4594" w:rsidP="00E32380">
            <w:pPr>
              <w:numPr>
                <w:ilvl w:val="0"/>
                <w:numId w:val="57"/>
              </w:numPr>
              <w:spacing w:before="20" w:after="40" w:line="252" w:lineRule="auto"/>
              <w:rPr>
                <w:rFonts w:cs="Arial"/>
                <w:szCs w:val="18"/>
              </w:rPr>
            </w:pPr>
            <w:r w:rsidRPr="00D342CF">
              <w:rPr>
                <w:rFonts w:eastAsiaTheme="minorEastAsia" w:cs="Arial"/>
                <w:b/>
                <w:szCs w:val="18"/>
              </w:rPr>
              <w:t>a weekly product (next 4 weeks)</w:t>
            </w:r>
            <w:r w:rsidRPr="00D342CF">
              <w:rPr>
                <w:rFonts w:cs="Arial"/>
                <w:szCs w:val="18"/>
              </w:rPr>
              <w:t xml:space="preserve">, which is currently available from Sunday until Saturday with the trading window opening four weeks prior to gas day D and </w:t>
            </w:r>
            <w:r w:rsidR="00993A3C">
              <w:rPr>
                <w:rFonts w:cs="Arial"/>
                <w:szCs w:val="18"/>
              </w:rPr>
              <w:t>closing</w:t>
            </w:r>
            <w:r w:rsidRPr="00D342CF">
              <w:rPr>
                <w:rFonts w:cs="Arial"/>
                <w:szCs w:val="18"/>
              </w:rPr>
              <w:t xml:space="preserve"> at the end of trade on D-2. </w:t>
            </w:r>
          </w:p>
          <w:p w14:paraId="6CFE6DB9" w14:textId="77777777" w:rsidR="00CF4594" w:rsidRPr="00D342CF" w:rsidRDefault="00CF4594" w:rsidP="00E32380">
            <w:pPr>
              <w:numPr>
                <w:ilvl w:val="0"/>
                <w:numId w:val="57"/>
              </w:numPr>
              <w:spacing w:before="20" w:after="40" w:line="252" w:lineRule="auto"/>
              <w:rPr>
                <w:rFonts w:cs="Arial"/>
                <w:szCs w:val="18"/>
              </w:rPr>
            </w:pPr>
            <w:proofErr w:type="gramStart"/>
            <w:r w:rsidRPr="00D342CF">
              <w:rPr>
                <w:rFonts w:eastAsiaTheme="minorEastAsia" w:cs="Arial"/>
                <w:b/>
                <w:szCs w:val="18"/>
              </w:rPr>
              <w:t>a</w:t>
            </w:r>
            <w:proofErr w:type="gramEnd"/>
            <w:r w:rsidRPr="00D342CF">
              <w:rPr>
                <w:rFonts w:eastAsiaTheme="minorEastAsia" w:cs="Arial"/>
                <w:b/>
                <w:szCs w:val="18"/>
              </w:rPr>
              <w:t xml:space="preserve"> monthly product (next 3 months),</w:t>
            </w:r>
            <w:r w:rsidRPr="00D342CF">
              <w:rPr>
                <w:rFonts w:eastAsiaTheme="minorEastAsia" w:cs="Arial"/>
                <w:szCs w:val="18"/>
              </w:rPr>
              <w:t xml:space="preserve"> which is currently </w:t>
            </w:r>
            <w:r w:rsidRPr="00D342CF">
              <w:rPr>
                <w:rFonts w:cs="Arial"/>
                <w:szCs w:val="18"/>
              </w:rPr>
              <w:t xml:space="preserve">available three months prior to the gas day until close of trade on D-2.  </w:t>
            </w:r>
          </w:p>
          <w:p w14:paraId="77C4506E" w14:textId="77777777" w:rsidR="00CF4594" w:rsidRPr="00D342CF" w:rsidRDefault="00CF4594" w:rsidP="00E32380">
            <w:pPr>
              <w:spacing w:before="20" w:after="40" w:line="252" w:lineRule="auto"/>
              <w:rPr>
                <w:rFonts w:cs="Arial"/>
                <w:szCs w:val="18"/>
              </w:rPr>
            </w:pPr>
            <w:r w:rsidRPr="00D342CF">
              <w:rPr>
                <w:rFonts w:eastAsiaTheme="minorEastAsia" w:cs="Arial"/>
                <w:szCs w:val="18"/>
              </w:rPr>
              <w:t xml:space="preserve">Some members of the project team also suggested that there may be value in developing a quarterly product that could be traded out to </w:t>
            </w:r>
            <w:r w:rsidRPr="00D342CF">
              <w:rPr>
                <w:rFonts w:cs="Arial"/>
                <w:szCs w:val="18"/>
              </w:rPr>
              <w:t xml:space="preserve">12 months on a rolling basis. This proposal was not, however, endorsed by all of the project team, with some members noting that it will increase the risk in terms of forward exposure, which will increase from three months </w:t>
            </w:r>
            <w:r w:rsidRPr="00D342CF">
              <w:rPr>
                <w:rFonts w:cs="Arial"/>
                <w:szCs w:val="18"/>
              </w:rPr>
              <w:lastRenderedPageBreak/>
              <w:t xml:space="preserve">to 12 months. It was also noted that the collateral required for up to 12 months was likely to be substantial and was likely to discourage anyone from using this product. </w:t>
            </w:r>
          </w:p>
        </w:tc>
      </w:tr>
    </w:tbl>
    <w:p w14:paraId="7CAC0147" w14:textId="77777777" w:rsidR="00CF4594" w:rsidRPr="008E3DFE" w:rsidRDefault="00CF4594" w:rsidP="00CF4594">
      <w:pPr>
        <w:pStyle w:val="Heading6"/>
        <w:spacing w:line="252" w:lineRule="auto"/>
        <w:rPr>
          <w:rStyle w:val="Bold"/>
          <w:b/>
          <w:color w:val="0099CC"/>
        </w:rPr>
      </w:pPr>
      <w:r>
        <w:rPr>
          <w:rStyle w:val="Bold"/>
          <w:b/>
          <w:color w:val="0099CC"/>
        </w:rPr>
        <w:lastRenderedPageBreak/>
        <w:t>GMRG’s preliminary view</w:t>
      </w:r>
    </w:p>
    <w:p w14:paraId="6DBA02B7" w14:textId="77777777" w:rsidR="00CF4594" w:rsidRDefault="00CF4594" w:rsidP="00CF4594">
      <w:pPr>
        <w:pStyle w:val="BodyText"/>
        <w:rPr>
          <w:rStyle w:val="Bold"/>
          <w:b w:val="0"/>
        </w:rPr>
      </w:pPr>
      <w:r>
        <w:rPr>
          <w:rStyle w:val="Bold"/>
          <w:b w:val="0"/>
        </w:rPr>
        <w:t>The GMRG’s preliminary view on the initial list of standardised products that should be available on the exchange is set out in the table below.</w:t>
      </w:r>
    </w:p>
    <w:tbl>
      <w:tblPr>
        <w:tblStyle w:val="TableGrid"/>
        <w:tblW w:w="8788" w:type="dxa"/>
        <w:shd w:val="clear" w:color="000000" w:fill="000000"/>
        <w:tblLook w:val="04A0" w:firstRow="1" w:lastRow="0" w:firstColumn="1" w:lastColumn="0" w:noHBand="0" w:noVBand="1"/>
        <w:tblCaption w:val="Table 6.3"/>
        <w:tblDescription w:val="Preliminary view on standardised screen-traded products "/>
      </w:tblPr>
      <w:tblGrid>
        <w:gridCol w:w="5254"/>
        <w:gridCol w:w="3534"/>
      </w:tblGrid>
      <w:tr w:rsidR="00431C3A" w:rsidRPr="00D342CF" w14:paraId="20481BD1" w14:textId="77777777" w:rsidTr="00431C3A">
        <w:trPr>
          <w:cnfStyle w:val="100000000000" w:firstRow="1" w:lastRow="0" w:firstColumn="0" w:lastColumn="0" w:oddVBand="0" w:evenVBand="0" w:oddHBand="0" w:evenHBand="0" w:firstRowFirstColumn="0" w:firstRowLastColumn="0" w:lastRowFirstColumn="0" w:lastRowLastColumn="0"/>
          <w:tblHeader/>
        </w:trPr>
        <w:tc>
          <w:tcPr>
            <w:tcW w:w="8788" w:type="dxa"/>
            <w:gridSpan w:val="2"/>
            <w:tcBorders>
              <w:top w:val="nil"/>
              <w:bottom w:val="single" w:sz="4" w:space="0" w:color="auto"/>
            </w:tcBorders>
            <w:shd w:val="clear" w:color="auto" w:fill="auto"/>
          </w:tcPr>
          <w:p w14:paraId="3A2E60E6" w14:textId="5142E548" w:rsidR="00431C3A" w:rsidRPr="00431C3A" w:rsidRDefault="00431C3A" w:rsidP="00431C3A">
            <w:pPr>
              <w:keepNext/>
              <w:spacing w:before="20"/>
              <w:rPr>
                <w:rFonts w:asciiTheme="majorHAnsi" w:hAnsiTheme="majorHAnsi" w:cstheme="majorHAnsi"/>
                <w:color w:val="auto"/>
                <w:szCs w:val="18"/>
              </w:rPr>
            </w:pPr>
            <w:bookmarkStart w:id="133" w:name="_Ref498878769"/>
            <w:r w:rsidRPr="00431C3A">
              <w:rPr>
                <w:color w:val="auto"/>
                <w:sz w:val="22"/>
              </w:rPr>
              <w:t xml:space="preserve">Table </w:t>
            </w:r>
            <w:r w:rsidRPr="00431C3A">
              <w:rPr>
                <w:color w:val="auto"/>
                <w:sz w:val="22"/>
              </w:rPr>
              <w:fldChar w:fldCharType="begin"/>
            </w:r>
            <w:r w:rsidRPr="00431C3A">
              <w:rPr>
                <w:color w:val="auto"/>
                <w:sz w:val="22"/>
              </w:rPr>
              <w:instrText xml:space="preserve"> STYLEREF 1 \s </w:instrText>
            </w:r>
            <w:r w:rsidRPr="00431C3A">
              <w:rPr>
                <w:color w:val="auto"/>
                <w:sz w:val="22"/>
              </w:rPr>
              <w:fldChar w:fldCharType="separate"/>
            </w:r>
            <w:r w:rsidRPr="00431C3A">
              <w:rPr>
                <w:noProof/>
                <w:color w:val="auto"/>
                <w:sz w:val="22"/>
              </w:rPr>
              <w:t>6</w:t>
            </w:r>
            <w:r w:rsidRPr="00431C3A">
              <w:rPr>
                <w:noProof/>
                <w:color w:val="auto"/>
                <w:sz w:val="22"/>
              </w:rPr>
              <w:fldChar w:fldCharType="end"/>
            </w:r>
            <w:r w:rsidRPr="00431C3A">
              <w:rPr>
                <w:color w:val="auto"/>
                <w:sz w:val="22"/>
              </w:rPr>
              <w:t>.</w:t>
            </w:r>
            <w:r w:rsidRPr="00431C3A">
              <w:rPr>
                <w:color w:val="auto"/>
                <w:sz w:val="22"/>
              </w:rPr>
              <w:fldChar w:fldCharType="begin"/>
            </w:r>
            <w:r w:rsidRPr="00431C3A">
              <w:rPr>
                <w:color w:val="auto"/>
                <w:sz w:val="22"/>
              </w:rPr>
              <w:instrText xml:space="preserve"> SEQ Table \* ARABIC \s 1 </w:instrText>
            </w:r>
            <w:r w:rsidRPr="00431C3A">
              <w:rPr>
                <w:color w:val="auto"/>
                <w:sz w:val="22"/>
              </w:rPr>
              <w:fldChar w:fldCharType="separate"/>
            </w:r>
            <w:r w:rsidRPr="00431C3A">
              <w:rPr>
                <w:noProof/>
                <w:color w:val="auto"/>
                <w:sz w:val="22"/>
              </w:rPr>
              <w:t>3</w:t>
            </w:r>
            <w:r w:rsidRPr="00431C3A">
              <w:rPr>
                <w:noProof/>
                <w:color w:val="auto"/>
                <w:sz w:val="22"/>
              </w:rPr>
              <w:fldChar w:fldCharType="end"/>
            </w:r>
            <w:bookmarkEnd w:id="133"/>
            <w:r w:rsidRPr="00431C3A">
              <w:rPr>
                <w:color w:val="auto"/>
                <w:sz w:val="22"/>
              </w:rPr>
              <w:t xml:space="preserve">: Preliminary view on </w:t>
            </w:r>
            <w:r w:rsidRPr="00431C3A">
              <w:rPr>
                <w:rStyle w:val="Bold"/>
                <w:b/>
                <w:color w:val="auto"/>
                <w:sz w:val="22"/>
              </w:rPr>
              <w:t>standardised screen-traded products</w:t>
            </w:r>
          </w:p>
        </w:tc>
      </w:tr>
      <w:tr w:rsidR="00431C3A" w:rsidRPr="00D342CF" w14:paraId="752B5123" w14:textId="77777777" w:rsidTr="00431C3A">
        <w:tc>
          <w:tcPr>
            <w:tcW w:w="5254" w:type="dxa"/>
            <w:tcBorders>
              <w:top w:val="single" w:sz="4" w:space="0" w:color="auto"/>
            </w:tcBorders>
            <w:shd w:val="clear" w:color="auto" w:fill="65697F" w:themeFill="background2" w:themeFillShade="80"/>
          </w:tcPr>
          <w:p w14:paraId="4A1FFF5B" w14:textId="304DEE6B" w:rsidR="00431C3A" w:rsidRPr="00D342CF" w:rsidRDefault="00431C3A" w:rsidP="00431C3A">
            <w:pPr>
              <w:keepNext/>
              <w:spacing w:before="20"/>
              <w:jc w:val="center"/>
              <w:rPr>
                <w:rFonts w:asciiTheme="majorHAnsi" w:hAnsiTheme="majorHAnsi" w:cstheme="majorHAnsi"/>
                <w:color w:val="FFFFFF" w:themeColor="background1"/>
                <w:szCs w:val="18"/>
              </w:rPr>
            </w:pPr>
            <w:r w:rsidRPr="00D342CF">
              <w:rPr>
                <w:rFonts w:asciiTheme="majorHAnsi" w:hAnsiTheme="majorHAnsi" w:cstheme="majorHAnsi"/>
                <w:color w:val="FFFFFF" w:themeColor="background1"/>
                <w:szCs w:val="18"/>
              </w:rPr>
              <w:t xml:space="preserve">Contract </w:t>
            </w:r>
            <w:r>
              <w:rPr>
                <w:rFonts w:asciiTheme="majorHAnsi" w:hAnsiTheme="majorHAnsi" w:cstheme="majorHAnsi"/>
                <w:color w:val="FFFFFF" w:themeColor="background1"/>
                <w:szCs w:val="18"/>
              </w:rPr>
              <w:t>Tenor</w:t>
            </w:r>
          </w:p>
        </w:tc>
        <w:tc>
          <w:tcPr>
            <w:tcW w:w="3534" w:type="dxa"/>
            <w:tcBorders>
              <w:top w:val="single" w:sz="4" w:space="0" w:color="auto"/>
            </w:tcBorders>
            <w:shd w:val="clear" w:color="auto" w:fill="65697F" w:themeFill="background2" w:themeFillShade="80"/>
          </w:tcPr>
          <w:p w14:paraId="48941D0D" w14:textId="38C0539E" w:rsidR="00431C3A" w:rsidRPr="00D342CF" w:rsidRDefault="00431C3A" w:rsidP="00431C3A">
            <w:pPr>
              <w:keepNext/>
              <w:spacing w:before="20"/>
              <w:jc w:val="center"/>
              <w:rPr>
                <w:rFonts w:asciiTheme="majorHAnsi" w:hAnsiTheme="majorHAnsi" w:cstheme="majorHAnsi"/>
                <w:color w:val="FFFFFF" w:themeColor="background1"/>
                <w:szCs w:val="18"/>
              </w:rPr>
            </w:pPr>
            <w:r w:rsidRPr="00D342CF">
              <w:rPr>
                <w:rFonts w:asciiTheme="majorHAnsi" w:hAnsiTheme="majorHAnsi" w:cstheme="majorHAnsi"/>
                <w:color w:val="FFFFFF" w:themeColor="background1"/>
                <w:szCs w:val="18"/>
              </w:rPr>
              <w:t>Minimum Contract Size</w:t>
            </w:r>
          </w:p>
        </w:tc>
      </w:tr>
      <w:tr w:rsidR="00431C3A" w:rsidRPr="00D342CF" w14:paraId="1A91E02E" w14:textId="77777777" w:rsidTr="00C42B52">
        <w:trPr>
          <w:cnfStyle w:val="000000010000" w:firstRow="0" w:lastRow="0" w:firstColumn="0" w:lastColumn="0" w:oddVBand="0" w:evenVBand="0" w:oddHBand="0" w:evenHBand="1" w:firstRowFirstColumn="0" w:firstRowLastColumn="0" w:lastRowFirstColumn="0" w:lastRowLastColumn="0"/>
        </w:trPr>
        <w:tc>
          <w:tcPr>
            <w:tcW w:w="5254" w:type="dxa"/>
            <w:shd w:val="clear" w:color="000000" w:fill="auto"/>
          </w:tcPr>
          <w:p w14:paraId="095FE69D" w14:textId="77777777" w:rsidR="00431C3A" w:rsidRPr="00D342CF" w:rsidRDefault="00431C3A" w:rsidP="00431C3A">
            <w:pPr>
              <w:keepNext/>
              <w:spacing w:before="20"/>
              <w:rPr>
                <w:rFonts w:asciiTheme="majorHAnsi" w:hAnsiTheme="majorHAnsi" w:cstheme="majorHAnsi"/>
                <w:szCs w:val="18"/>
              </w:rPr>
            </w:pPr>
            <w:r w:rsidRPr="00D342CF">
              <w:rPr>
                <w:rFonts w:asciiTheme="majorHAnsi" w:hAnsiTheme="majorHAnsi" w:cstheme="majorHAnsi"/>
                <w:szCs w:val="18"/>
              </w:rPr>
              <w:t>Day-ahead product</w:t>
            </w:r>
          </w:p>
        </w:tc>
        <w:tc>
          <w:tcPr>
            <w:tcW w:w="3534" w:type="dxa"/>
            <w:vMerge w:val="restart"/>
            <w:shd w:val="clear" w:color="000000" w:fill="auto"/>
          </w:tcPr>
          <w:p w14:paraId="3F1EC5AA" w14:textId="77777777" w:rsidR="00431C3A" w:rsidRPr="00D342CF" w:rsidRDefault="00431C3A" w:rsidP="00431C3A">
            <w:pPr>
              <w:keepNext/>
              <w:spacing w:before="20"/>
              <w:rPr>
                <w:rFonts w:asciiTheme="majorHAnsi" w:hAnsiTheme="majorHAnsi" w:cstheme="majorHAnsi"/>
                <w:szCs w:val="18"/>
              </w:rPr>
            </w:pPr>
            <w:r w:rsidRPr="00D342CF">
              <w:rPr>
                <w:rFonts w:asciiTheme="majorHAnsi" w:hAnsiTheme="majorHAnsi" w:cstheme="majorHAnsi"/>
                <w:szCs w:val="18"/>
              </w:rPr>
              <w:t xml:space="preserve">MDQ: 500 GJ </w:t>
            </w:r>
          </w:p>
        </w:tc>
      </w:tr>
      <w:tr w:rsidR="00431C3A" w:rsidRPr="00D342CF" w14:paraId="2922BEA0" w14:textId="77777777" w:rsidTr="00C42B52">
        <w:tc>
          <w:tcPr>
            <w:tcW w:w="5254" w:type="dxa"/>
            <w:shd w:val="clear" w:color="000000" w:fill="auto"/>
          </w:tcPr>
          <w:p w14:paraId="6951FAE2" w14:textId="77777777" w:rsidR="00431C3A" w:rsidRPr="00D342CF" w:rsidRDefault="00431C3A" w:rsidP="00431C3A">
            <w:pPr>
              <w:keepNext/>
              <w:spacing w:before="20"/>
              <w:rPr>
                <w:rFonts w:asciiTheme="majorHAnsi" w:hAnsiTheme="majorHAnsi" w:cstheme="majorHAnsi"/>
                <w:szCs w:val="18"/>
              </w:rPr>
            </w:pPr>
            <w:r w:rsidRPr="00D342CF">
              <w:rPr>
                <w:rFonts w:asciiTheme="majorHAnsi" w:hAnsiTheme="majorHAnsi" w:cstheme="majorHAnsi"/>
                <w:szCs w:val="18"/>
              </w:rPr>
              <w:t xml:space="preserve">Daily product (available on a 6 day rolling basis) </w:t>
            </w:r>
          </w:p>
        </w:tc>
        <w:tc>
          <w:tcPr>
            <w:tcW w:w="3534" w:type="dxa"/>
            <w:vMerge/>
            <w:shd w:val="clear" w:color="000000" w:fill="auto"/>
          </w:tcPr>
          <w:p w14:paraId="09129675" w14:textId="77777777" w:rsidR="00431C3A" w:rsidRPr="00D342CF" w:rsidRDefault="00431C3A" w:rsidP="00431C3A">
            <w:pPr>
              <w:keepNext/>
              <w:spacing w:before="20"/>
              <w:rPr>
                <w:rFonts w:asciiTheme="majorHAnsi" w:hAnsiTheme="majorHAnsi" w:cstheme="majorHAnsi"/>
                <w:szCs w:val="18"/>
              </w:rPr>
            </w:pPr>
          </w:p>
        </w:tc>
      </w:tr>
      <w:tr w:rsidR="00431C3A" w:rsidRPr="00D342CF" w14:paraId="1F836214" w14:textId="77777777" w:rsidTr="00C42B52">
        <w:trPr>
          <w:cnfStyle w:val="000000010000" w:firstRow="0" w:lastRow="0" w:firstColumn="0" w:lastColumn="0" w:oddVBand="0" w:evenVBand="0" w:oddHBand="0" w:evenHBand="1" w:firstRowFirstColumn="0" w:firstRowLastColumn="0" w:lastRowFirstColumn="0" w:lastRowLastColumn="0"/>
        </w:trPr>
        <w:tc>
          <w:tcPr>
            <w:tcW w:w="5254" w:type="dxa"/>
            <w:shd w:val="clear" w:color="000000" w:fill="auto"/>
          </w:tcPr>
          <w:p w14:paraId="34F7DBD7" w14:textId="77777777" w:rsidR="00431C3A" w:rsidRPr="00D342CF" w:rsidRDefault="00431C3A" w:rsidP="00431C3A">
            <w:pPr>
              <w:keepNext/>
              <w:spacing w:before="20"/>
              <w:rPr>
                <w:rFonts w:asciiTheme="majorHAnsi" w:hAnsiTheme="majorHAnsi" w:cstheme="majorHAnsi"/>
                <w:szCs w:val="18"/>
              </w:rPr>
            </w:pPr>
            <w:r w:rsidRPr="00D342CF">
              <w:rPr>
                <w:rFonts w:asciiTheme="majorHAnsi" w:hAnsiTheme="majorHAnsi" w:cstheme="majorHAnsi"/>
                <w:szCs w:val="18"/>
              </w:rPr>
              <w:t>Weekly (available on a 4 week rolling basis)</w:t>
            </w:r>
          </w:p>
        </w:tc>
        <w:tc>
          <w:tcPr>
            <w:tcW w:w="3534" w:type="dxa"/>
            <w:vMerge/>
            <w:shd w:val="clear" w:color="000000" w:fill="auto"/>
          </w:tcPr>
          <w:p w14:paraId="23B9872C" w14:textId="77777777" w:rsidR="00431C3A" w:rsidRPr="00D342CF" w:rsidRDefault="00431C3A" w:rsidP="00431C3A">
            <w:pPr>
              <w:keepNext/>
              <w:spacing w:before="20"/>
              <w:rPr>
                <w:rFonts w:asciiTheme="majorHAnsi" w:hAnsiTheme="majorHAnsi" w:cstheme="majorHAnsi"/>
                <w:szCs w:val="18"/>
              </w:rPr>
            </w:pPr>
          </w:p>
        </w:tc>
      </w:tr>
      <w:tr w:rsidR="00431C3A" w:rsidRPr="00D342CF" w14:paraId="59C0AB55" w14:textId="77777777" w:rsidTr="00C42B52">
        <w:tc>
          <w:tcPr>
            <w:tcW w:w="5254" w:type="dxa"/>
            <w:shd w:val="clear" w:color="000000" w:fill="auto"/>
          </w:tcPr>
          <w:p w14:paraId="0E564A7F" w14:textId="77777777" w:rsidR="00431C3A" w:rsidRPr="00D342CF" w:rsidRDefault="00431C3A" w:rsidP="00431C3A">
            <w:pPr>
              <w:keepNext/>
              <w:spacing w:before="20"/>
              <w:rPr>
                <w:rFonts w:asciiTheme="majorHAnsi" w:hAnsiTheme="majorHAnsi" w:cstheme="majorHAnsi"/>
                <w:szCs w:val="18"/>
              </w:rPr>
            </w:pPr>
            <w:r w:rsidRPr="00D342CF">
              <w:rPr>
                <w:rFonts w:asciiTheme="majorHAnsi" w:hAnsiTheme="majorHAnsi" w:cstheme="majorHAnsi"/>
                <w:szCs w:val="18"/>
              </w:rPr>
              <w:t>Monthly (available on a 3 month rolling basis)</w:t>
            </w:r>
          </w:p>
        </w:tc>
        <w:tc>
          <w:tcPr>
            <w:tcW w:w="3534" w:type="dxa"/>
            <w:vMerge/>
            <w:shd w:val="clear" w:color="000000" w:fill="auto"/>
          </w:tcPr>
          <w:p w14:paraId="1F74AA94" w14:textId="77777777" w:rsidR="00431C3A" w:rsidRPr="00D342CF" w:rsidRDefault="00431C3A" w:rsidP="00431C3A">
            <w:pPr>
              <w:keepNext/>
              <w:spacing w:before="20"/>
              <w:rPr>
                <w:rFonts w:asciiTheme="majorHAnsi" w:hAnsiTheme="majorHAnsi" w:cstheme="majorHAnsi"/>
                <w:szCs w:val="18"/>
              </w:rPr>
            </w:pPr>
          </w:p>
        </w:tc>
      </w:tr>
      <w:tr w:rsidR="00431C3A" w:rsidRPr="00D342CF" w14:paraId="0D902AC0" w14:textId="77777777" w:rsidTr="00C42B52">
        <w:trPr>
          <w:cnfStyle w:val="000000010000" w:firstRow="0" w:lastRow="0" w:firstColumn="0" w:lastColumn="0" w:oddVBand="0" w:evenVBand="0" w:oddHBand="0" w:evenHBand="1" w:firstRowFirstColumn="0" w:firstRowLastColumn="0" w:lastRowFirstColumn="0" w:lastRowLastColumn="0"/>
        </w:trPr>
        <w:tc>
          <w:tcPr>
            <w:tcW w:w="8788" w:type="dxa"/>
            <w:gridSpan w:val="2"/>
            <w:tcBorders>
              <w:bottom w:val="single" w:sz="4" w:space="0" w:color="auto"/>
            </w:tcBorders>
            <w:shd w:val="clear" w:color="auto" w:fill="0099CC"/>
          </w:tcPr>
          <w:p w14:paraId="4F79C53A" w14:textId="77777777" w:rsidR="00431C3A" w:rsidRPr="00D342CF" w:rsidRDefault="00431C3A" w:rsidP="00431C3A">
            <w:pPr>
              <w:keepNext/>
              <w:spacing w:before="20"/>
              <w:jc w:val="center"/>
              <w:rPr>
                <w:rFonts w:asciiTheme="majorHAnsi" w:hAnsiTheme="majorHAnsi" w:cstheme="majorHAnsi"/>
                <w:b/>
                <w:color w:val="FFFFFF" w:themeColor="background1"/>
                <w:szCs w:val="18"/>
              </w:rPr>
            </w:pPr>
            <w:r w:rsidRPr="00D342CF">
              <w:rPr>
                <w:rFonts w:asciiTheme="majorHAnsi" w:hAnsiTheme="majorHAnsi" w:cstheme="majorHAnsi"/>
                <w:b/>
                <w:color w:val="FFFFFF" w:themeColor="background1"/>
                <w:szCs w:val="18"/>
              </w:rPr>
              <w:t>Firm Forward Haul Products</w:t>
            </w:r>
          </w:p>
        </w:tc>
      </w:tr>
      <w:tr w:rsidR="00431C3A" w:rsidRPr="00D342CF" w14:paraId="29DCD760" w14:textId="77777777" w:rsidTr="00C42B52">
        <w:tblPrEx>
          <w:shd w:val="clear" w:color="auto" w:fill="auto"/>
          <w:tblLook w:val="0420" w:firstRow="1" w:lastRow="0" w:firstColumn="0" w:lastColumn="0" w:noHBand="0" w:noVBand="1"/>
        </w:tblPrEx>
        <w:tc>
          <w:tcPr>
            <w:tcW w:w="5254" w:type="dxa"/>
            <w:tcBorders>
              <w:bottom w:val="single" w:sz="4" w:space="0" w:color="auto"/>
            </w:tcBorders>
            <w:shd w:val="clear" w:color="auto" w:fill="65697F" w:themeFill="background2" w:themeFillShade="80"/>
          </w:tcPr>
          <w:p w14:paraId="6EC4B1B5" w14:textId="77777777" w:rsidR="00431C3A" w:rsidRPr="00D342CF" w:rsidRDefault="00431C3A" w:rsidP="00431C3A">
            <w:pPr>
              <w:pStyle w:val="TableHeading"/>
              <w:spacing w:before="20" w:after="0" w:line="240" w:lineRule="auto"/>
              <w:rPr>
                <w:b/>
                <w:szCs w:val="18"/>
              </w:rPr>
            </w:pPr>
            <w:r w:rsidRPr="00D342CF">
              <w:rPr>
                <w:b/>
                <w:szCs w:val="18"/>
              </w:rPr>
              <w:t xml:space="preserve">Pipeline </w:t>
            </w:r>
          </w:p>
        </w:tc>
        <w:tc>
          <w:tcPr>
            <w:tcW w:w="3534" w:type="dxa"/>
            <w:tcBorders>
              <w:bottom w:val="single" w:sz="4" w:space="0" w:color="auto"/>
            </w:tcBorders>
            <w:shd w:val="clear" w:color="auto" w:fill="65697F" w:themeFill="background2" w:themeFillShade="80"/>
          </w:tcPr>
          <w:p w14:paraId="0AE2622C" w14:textId="77777777" w:rsidR="00431C3A" w:rsidRPr="00D342CF" w:rsidRDefault="00431C3A" w:rsidP="00431C3A">
            <w:pPr>
              <w:pStyle w:val="TableHeading"/>
              <w:spacing w:before="20" w:after="0" w:line="240" w:lineRule="auto"/>
              <w:rPr>
                <w:b/>
                <w:szCs w:val="18"/>
              </w:rPr>
            </w:pPr>
            <w:r w:rsidRPr="00D342CF">
              <w:rPr>
                <w:b/>
                <w:szCs w:val="18"/>
              </w:rPr>
              <w:t>Service provider</w:t>
            </w:r>
          </w:p>
        </w:tc>
      </w:tr>
      <w:tr w:rsidR="00431C3A" w:rsidRPr="00D342CF" w14:paraId="76F900C8" w14:textId="77777777" w:rsidTr="00C42B52">
        <w:tblPrEx>
          <w:shd w:val="clear" w:color="auto" w:fill="auto"/>
          <w:tblLook w:val="0420" w:firstRow="1" w:lastRow="0" w:firstColumn="0" w:lastColumn="0" w:noHBand="0" w:noVBand="1"/>
        </w:tblPrEx>
        <w:trPr>
          <w:cnfStyle w:val="000000010000" w:firstRow="0" w:lastRow="0" w:firstColumn="0" w:lastColumn="0" w:oddVBand="0" w:evenVBand="0" w:oddHBand="0" w:evenHBand="1" w:firstRowFirstColumn="0" w:firstRowLastColumn="0" w:lastRowFirstColumn="0" w:lastRowLastColumn="0"/>
          <w:trHeight w:val="50"/>
        </w:trPr>
        <w:tc>
          <w:tcPr>
            <w:tcW w:w="5254" w:type="dxa"/>
            <w:shd w:val="clear" w:color="auto" w:fill="auto"/>
          </w:tcPr>
          <w:p w14:paraId="183F49DB" w14:textId="77777777" w:rsidR="00431C3A" w:rsidRPr="00D342CF" w:rsidRDefault="00431C3A" w:rsidP="00431C3A">
            <w:pPr>
              <w:pStyle w:val="TableBodyText"/>
              <w:spacing w:before="20" w:after="0" w:line="240" w:lineRule="auto"/>
              <w:rPr>
                <w:szCs w:val="18"/>
              </w:rPr>
            </w:pPr>
            <w:r w:rsidRPr="00D342CF">
              <w:rPr>
                <w:szCs w:val="18"/>
              </w:rPr>
              <w:t>RBP</w:t>
            </w:r>
          </w:p>
        </w:tc>
        <w:tc>
          <w:tcPr>
            <w:tcW w:w="3534" w:type="dxa"/>
            <w:shd w:val="clear" w:color="auto" w:fill="auto"/>
          </w:tcPr>
          <w:p w14:paraId="4F011114" w14:textId="77777777" w:rsidR="00431C3A" w:rsidRPr="00D342CF" w:rsidRDefault="00431C3A" w:rsidP="00431C3A">
            <w:pPr>
              <w:pStyle w:val="TableBodyText"/>
              <w:spacing w:before="20" w:after="0" w:line="240" w:lineRule="auto"/>
              <w:rPr>
                <w:szCs w:val="18"/>
              </w:rPr>
            </w:pPr>
            <w:r w:rsidRPr="00D342CF">
              <w:rPr>
                <w:szCs w:val="18"/>
              </w:rPr>
              <w:t xml:space="preserve">APA </w:t>
            </w:r>
          </w:p>
        </w:tc>
      </w:tr>
      <w:tr w:rsidR="00431C3A" w:rsidRPr="00D342CF" w14:paraId="17E9139B" w14:textId="77777777" w:rsidTr="00C42B52">
        <w:tblPrEx>
          <w:shd w:val="clear" w:color="auto" w:fill="auto"/>
          <w:tblLook w:val="0420" w:firstRow="1" w:lastRow="0" w:firstColumn="0" w:lastColumn="0" w:noHBand="0" w:noVBand="1"/>
        </w:tblPrEx>
        <w:tc>
          <w:tcPr>
            <w:tcW w:w="5254" w:type="dxa"/>
            <w:shd w:val="clear" w:color="auto" w:fill="auto"/>
          </w:tcPr>
          <w:p w14:paraId="499FF4AA" w14:textId="77777777" w:rsidR="00431C3A" w:rsidRPr="00D342CF" w:rsidRDefault="00431C3A" w:rsidP="00431C3A">
            <w:pPr>
              <w:pStyle w:val="TableBodyText"/>
              <w:spacing w:before="20" w:after="0" w:line="240" w:lineRule="auto"/>
              <w:rPr>
                <w:szCs w:val="18"/>
              </w:rPr>
            </w:pPr>
            <w:r w:rsidRPr="00D342CF">
              <w:rPr>
                <w:szCs w:val="18"/>
              </w:rPr>
              <w:t>QGP</w:t>
            </w:r>
          </w:p>
        </w:tc>
        <w:tc>
          <w:tcPr>
            <w:tcW w:w="3534" w:type="dxa"/>
            <w:shd w:val="clear" w:color="auto" w:fill="auto"/>
          </w:tcPr>
          <w:p w14:paraId="1879E8EA" w14:textId="77777777" w:rsidR="00431C3A" w:rsidRPr="00D342CF" w:rsidRDefault="00431C3A" w:rsidP="00431C3A">
            <w:pPr>
              <w:pStyle w:val="TableBodyText"/>
              <w:spacing w:before="20" w:after="0" w:line="240" w:lineRule="auto"/>
              <w:rPr>
                <w:szCs w:val="18"/>
              </w:rPr>
            </w:pPr>
            <w:r w:rsidRPr="00D342CF">
              <w:rPr>
                <w:szCs w:val="18"/>
              </w:rPr>
              <w:t>Jemena</w:t>
            </w:r>
          </w:p>
        </w:tc>
      </w:tr>
      <w:tr w:rsidR="00431C3A" w:rsidRPr="00D342CF" w14:paraId="33011D49" w14:textId="77777777" w:rsidTr="00C42B52">
        <w:tblPrEx>
          <w:shd w:val="clear" w:color="auto" w:fill="auto"/>
          <w:tblLook w:val="0420" w:firstRow="1" w:lastRow="0" w:firstColumn="0" w:lastColumn="0" w:noHBand="0" w:noVBand="1"/>
        </w:tblPrEx>
        <w:trPr>
          <w:cnfStyle w:val="000000010000" w:firstRow="0" w:lastRow="0" w:firstColumn="0" w:lastColumn="0" w:oddVBand="0" w:evenVBand="0" w:oddHBand="0" w:evenHBand="1" w:firstRowFirstColumn="0" w:firstRowLastColumn="0" w:lastRowFirstColumn="0" w:lastRowLastColumn="0"/>
          <w:trHeight w:val="50"/>
        </w:trPr>
        <w:tc>
          <w:tcPr>
            <w:tcW w:w="5254" w:type="dxa"/>
            <w:shd w:val="clear" w:color="auto" w:fill="auto"/>
          </w:tcPr>
          <w:p w14:paraId="63A1D66E" w14:textId="77777777" w:rsidR="00431C3A" w:rsidRPr="00D342CF" w:rsidRDefault="00431C3A" w:rsidP="00431C3A">
            <w:pPr>
              <w:pStyle w:val="TableBodyText"/>
              <w:spacing w:before="20" w:after="0" w:line="240" w:lineRule="auto"/>
              <w:rPr>
                <w:szCs w:val="18"/>
              </w:rPr>
            </w:pPr>
            <w:r w:rsidRPr="00D342CF">
              <w:rPr>
                <w:szCs w:val="18"/>
              </w:rPr>
              <w:t>SWQP</w:t>
            </w:r>
          </w:p>
        </w:tc>
        <w:tc>
          <w:tcPr>
            <w:tcW w:w="3534" w:type="dxa"/>
            <w:shd w:val="clear" w:color="auto" w:fill="auto"/>
          </w:tcPr>
          <w:p w14:paraId="52AC31D8" w14:textId="77777777" w:rsidR="00431C3A" w:rsidRPr="00D342CF" w:rsidRDefault="00431C3A" w:rsidP="00431C3A">
            <w:pPr>
              <w:pStyle w:val="TableBodyText"/>
              <w:spacing w:before="20" w:after="0" w:line="240" w:lineRule="auto"/>
              <w:rPr>
                <w:szCs w:val="18"/>
              </w:rPr>
            </w:pPr>
            <w:r w:rsidRPr="00D342CF">
              <w:rPr>
                <w:szCs w:val="18"/>
              </w:rPr>
              <w:t xml:space="preserve">APA </w:t>
            </w:r>
          </w:p>
        </w:tc>
      </w:tr>
      <w:tr w:rsidR="00431C3A" w:rsidRPr="00D342CF" w14:paraId="54D94F07" w14:textId="77777777" w:rsidTr="00C42B52">
        <w:tblPrEx>
          <w:shd w:val="clear" w:color="auto" w:fill="auto"/>
          <w:tblLook w:val="0420" w:firstRow="1" w:lastRow="0" w:firstColumn="0" w:lastColumn="0" w:noHBand="0" w:noVBand="1"/>
        </w:tblPrEx>
        <w:tc>
          <w:tcPr>
            <w:tcW w:w="5254" w:type="dxa"/>
            <w:shd w:val="clear" w:color="auto" w:fill="auto"/>
          </w:tcPr>
          <w:p w14:paraId="4CCD4FFC" w14:textId="77777777" w:rsidR="00431C3A" w:rsidRPr="00D342CF" w:rsidRDefault="00431C3A" w:rsidP="00431C3A">
            <w:pPr>
              <w:pStyle w:val="TableBodyText"/>
              <w:spacing w:before="20" w:after="0" w:line="240" w:lineRule="auto"/>
              <w:rPr>
                <w:szCs w:val="18"/>
              </w:rPr>
            </w:pPr>
            <w:r w:rsidRPr="00D342CF">
              <w:rPr>
                <w:szCs w:val="18"/>
              </w:rPr>
              <w:t xml:space="preserve">CGP (includes compression service at </w:t>
            </w:r>
            <w:proofErr w:type="spellStart"/>
            <w:r w:rsidRPr="00D342CF">
              <w:rPr>
                <w:szCs w:val="18"/>
              </w:rPr>
              <w:t>Ballera</w:t>
            </w:r>
            <w:proofErr w:type="spellEnd"/>
            <w:r w:rsidRPr="00D342CF">
              <w:rPr>
                <w:szCs w:val="18"/>
              </w:rPr>
              <w:t>)</w:t>
            </w:r>
          </w:p>
        </w:tc>
        <w:tc>
          <w:tcPr>
            <w:tcW w:w="3534" w:type="dxa"/>
            <w:shd w:val="clear" w:color="auto" w:fill="auto"/>
          </w:tcPr>
          <w:p w14:paraId="7B8267E9" w14:textId="77777777" w:rsidR="00431C3A" w:rsidRPr="00D342CF" w:rsidRDefault="00431C3A" w:rsidP="00431C3A">
            <w:pPr>
              <w:pStyle w:val="TableBodyText"/>
              <w:spacing w:before="20" w:after="0" w:line="240" w:lineRule="auto"/>
              <w:rPr>
                <w:szCs w:val="18"/>
              </w:rPr>
            </w:pPr>
            <w:r w:rsidRPr="00D342CF">
              <w:rPr>
                <w:szCs w:val="18"/>
              </w:rPr>
              <w:t xml:space="preserve">APA </w:t>
            </w:r>
          </w:p>
        </w:tc>
      </w:tr>
      <w:tr w:rsidR="00431C3A" w:rsidRPr="00D342CF" w14:paraId="0B37EE64" w14:textId="77777777" w:rsidTr="00C42B52">
        <w:tblPrEx>
          <w:shd w:val="clear" w:color="auto" w:fill="auto"/>
          <w:tblLook w:val="0420" w:firstRow="1" w:lastRow="0" w:firstColumn="0" w:lastColumn="0" w:noHBand="0" w:noVBand="1"/>
        </w:tblPrEx>
        <w:trPr>
          <w:cnfStyle w:val="000000010000" w:firstRow="0" w:lastRow="0" w:firstColumn="0" w:lastColumn="0" w:oddVBand="0" w:evenVBand="0" w:oddHBand="0" w:evenHBand="1" w:firstRowFirstColumn="0" w:firstRowLastColumn="0" w:lastRowFirstColumn="0" w:lastRowLastColumn="0"/>
          <w:trHeight w:val="50"/>
        </w:trPr>
        <w:tc>
          <w:tcPr>
            <w:tcW w:w="5254" w:type="dxa"/>
            <w:shd w:val="clear" w:color="auto" w:fill="auto"/>
          </w:tcPr>
          <w:p w14:paraId="2FB9A346" w14:textId="77777777" w:rsidR="00431C3A" w:rsidRPr="00D342CF" w:rsidRDefault="00431C3A" w:rsidP="00431C3A">
            <w:pPr>
              <w:pStyle w:val="TableBodyText"/>
              <w:spacing w:before="20" w:after="0" w:line="240" w:lineRule="auto"/>
              <w:rPr>
                <w:szCs w:val="18"/>
              </w:rPr>
            </w:pPr>
            <w:r w:rsidRPr="00D342CF">
              <w:rPr>
                <w:szCs w:val="18"/>
              </w:rPr>
              <w:t>MSP</w:t>
            </w:r>
          </w:p>
        </w:tc>
        <w:tc>
          <w:tcPr>
            <w:tcW w:w="3534" w:type="dxa"/>
            <w:shd w:val="clear" w:color="auto" w:fill="auto"/>
          </w:tcPr>
          <w:p w14:paraId="7FB98533" w14:textId="77777777" w:rsidR="00431C3A" w:rsidRPr="00D342CF" w:rsidRDefault="00431C3A" w:rsidP="00431C3A">
            <w:pPr>
              <w:pStyle w:val="TableBodyText"/>
              <w:spacing w:before="20" w:after="0" w:line="240" w:lineRule="auto"/>
              <w:rPr>
                <w:szCs w:val="18"/>
              </w:rPr>
            </w:pPr>
            <w:r w:rsidRPr="00D342CF">
              <w:rPr>
                <w:szCs w:val="18"/>
              </w:rPr>
              <w:t xml:space="preserve">APA </w:t>
            </w:r>
          </w:p>
        </w:tc>
      </w:tr>
      <w:tr w:rsidR="00431C3A" w:rsidRPr="00D342CF" w14:paraId="3E6FD646" w14:textId="77777777" w:rsidTr="00C42B52">
        <w:tblPrEx>
          <w:shd w:val="clear" w:color="auto" w:fill="auto"/>
          <w:tblLook w:val="0420" w:firstRow="1" w:lastRow="0" w:firstColumn="0" w:lastColumn="0" w:noHBand="0" w:noVBand="1"/>
        </w:tblPrEx>
        <w:tc>
          <w:tcPr>
            <w:tcW w:w="5254" w:type="dxa"/>
            <w:shd w:val="clear" w:color="auto" w:fill="auto"/>
          </w:tcPr>
          <w:p w14:paraId="7BC1255A" w14:textId="77777777" w:rsidR="00431C3A" w:rsidRPr="00D342CF" w:rsidRDefault="00431C3A" w:rsidP="00431C3A">
            <w:pPr>
              <w:pStyle w:val="TableBodyText"/>
              <w:spacing w:before="20" w:after="0" w:line="240" w:lineRule="auto"/>
              <w:rPr>
                <w:szCs w:val="18"/>
              </w:rPr>
            </w:pPr>
            <w:r w:rsidRPr="00D342CF">
              <w:rPr>
                <w:szCs w:val="18"/>
              </w:rPr>
              <w:t>EGP</w:t>
            </w:r>
          </w:p>
        </w:tc>
        <w:tc>
          <w:tcPr>
            <w:tcW w:w="3534" w:type="dxa"/>
            <w:shd w:val="clear" w:color="auto" w:fill="auto"/>
          </w:tcPr>
          <w:p w14:paraId="3BC2E249" w14:textId="77777777" w:rsidR="00431C3A" w:rsidRPr="00D342CF" w:rsidRDefault="00431C3A" w:rsidP="00431C3A">
            <w:pPr>
              <w:pStyle w:val="TableBodyText"/>
              <w:spacing w:before="20" w:after="0" w:line="240" w:lineRule="auto"/>
              <w:rPr>
                <w:szCs w:val="18"/>
              </w:rPr>
            </w:pPr>
            <w:r w:rsidRPr="00D342CF">
              <w:rPr>
                <w:szCs w:val="18"/>
              </w:rPr>
              <w:t>Jemena</w:t>
            </w:r>
          </w:p>
        </w:tc>
      </w:tr>
      <w:tr w:rsidR="00431C3A" w:rsidRPr="00D342CF" w14:paraId="148DAB48" w14:textId="77777777" w:rsidTr="00C42B52">
        <w:tblPrEx>
          <w:shd w:val="clear" w:color="auto" w:fill="auto"/>
          <w:tblLook w:val="0420" w:firstRow="1" w:lastRow="0" w:firstColumn="0" w:lastColumn="0" w:noHBand="0" w:noVBand="1"/>
        </w:tblPrEx>
        <w:trPr>
          <w:cnfStyle w:val="000000010000" w:firstRow="0" w:lastRow="0" w:firstColumn="0" w:lastColumn="0" w:oddVBand="0" w:evenVBand="0" w:oddHBand="0" w:evenHBand="1" w:firstRowFirstColumn="0" w:firstRowLastColumn="0" w:lastRowFirstColumn="0" w:lastRowLastColumn="0"/>
        </w:trPr>
        <w:tc>
          <w:tcPr>
            <w:tcW w:w="5254" w:type="dxa"/>
            <w:shd w:val="clear" w:color="auto" w:fill="auto"/>
          </w:tcPr>
          <w:p w14:paraId="637C0768" w14:textId="77777777" w:rsidR="00431C3A" w:rsidRPr="00D342CF" w:rsidRDefault="00431C3A" w:rsidP="00431C3A">
            <w:pPr>
              <w:pStyle w:val="TableBodyText"/>
              <w:spacing w:before="20" w:after="0" w:line="240" w:lineRule="auto"/>
              <w:rPr>
                <w:szCs w:val="18"/>
              </w:rPr>
            </w:pPr>
            <w:r w:rsidRPr="00D342CF">
              <w:rPr>
                <w:szCs w:val="18"/>
              </w:rPr>
              <w:t>MAPS</w:t>
            </w:r>
          </w:p>
        </w:tc>
        <w:tc>
          <w:tcPr>
            <w:tcW w:w="3534" w:type="dxa"/>
            <w:shd w:val="clear" w:color="auto" w:fill="auto"/>
          </w:tcPr>
          <w:p w14:paraId="283501AA" w14:textId="77777777" w:rsidR="00431C3A" w:rsidRPr="00D342CF" w:rsidRDefault="00431C3A" w:rsidP="00431C3A">
            <w:pPr>
              <w:pStyle w:val="TableBodyText"/>
              <w:spacing w:before="20" w:after="0" w:line="240" w:lineRule="auto"/>
              <w:rPr>
                <w:szCs w:val="18"/>
              </w:rPr>
            </w:pPr>
            <w:r w:rsidRPr="00D342CF">
              <w:rPr>
                <w:szCs w:val="18"/>
              </w:rPr>
              <w:t xml:space="preserve">Epic </w:t>
            </w:r>
          </w:p>
        </w:tc>
      </w:tr>
      <w:tr w:rsidR="00431C3A" w:rsidRPr="00D342CF" w14:paraId="3ED9F831" w14:textId="77777777" w:rsidTr="00C42B52">
        <w:tblPrEx>
          <w:shd w:val="clear" w:color="auto" w:fill="auto"/>
          <w:tblLook w:val="0420" w:firstRow="1" w:lastRow="0" w:firstColumn="0" w:lastColumn="0" w:noHBand="0" w:noVBand="1"/>
        </w:tblPrEx>
        <w:tc>
          <w:tcPr>
            <w:tcW w:w="5254" w:type="dxa"/>
            <w:shd w:val="clear" w:color="auto" w:fill="auto"/>
          </w:tcPr>
          <w:p w14:paraId="19F09870" w14:textId="77777777" w:rsidR="00431C3A" w:rsidRPr="00D342CF" w:rsidRDefault="00431C3A" w:rsidP="00431C3A">
            <w:pPr>
              <w:pStyle w:val="TableBodyText"/>
              <w:spacing w:before="20" w:after="0" w:line="240" w:lineRule="auto"/>
              <w:rPr>
                <w:szCs w:val="18"/>
              </w:rPr>
            </w:pPr>
            <w:proofErr w:type="spellStart"/>
            <w:r w:rsidRPr="00D342CF">
              <w:rPr>
                <w:szCs w:val="18"/>
              </w:rPr>
              <w:t>SEAGas</w:t>
            </w:r>
            <w:proofErr w:type="spellEnd"/>
          </w:p>
        </w:tc>
        <w:tc>
          <w:tcPr>
            <w:tcW w:w="3534" w:type="dxa"/>
            <w:shd w:val="clear" w:color="auto" w:fill="auto"/>
          </w:tcPr>
          <w:p w14:paraId="3E14CBC4" w14:textId="77777777" w:rsidR="00431C3A" w:rsidRPr="00D342CF" w:rsidRDefault="00431C3A" w:rsidP="00431C3A">
            <w:pPr>
              <w:pStyle w:val="TableBodyText"/>
              <w:spacing w:before="20" w:after="0" w:line="240" w:lineRule="auto"/>
              <w:rPr>
                <w:szCs w:val="18"/>
              </w:rPr>
            </w:pPr>
            <w:r w:rsidRPr="00D342CF">
              <w:rPr>
                <w:szCs w:val="18"/>
              </w:rPr>
              <w:t>APA /REST</w:t>
            </w:r>
          </w:p>
        </w:tc>
      </w:tr>
      <w:tr w:rsidR="00431C3A" w:rsidRPr="00D342CF" w14:paraId="55E14C38" w14:textId="77777777" w:rsidTr="00C42B52">
        <w:tblPrEx>
          <w:shd w:val="clear" w:color="auto" w:fill="auto"/>
          <w:tblLook w:val="0420" w:firstRow="1" w:lastRow="0" w:firstColumn="0" w:lastColumn="0" w:noHBand="0" w:noVBand="1"/>
        </w:tblPrEx>
        <w:trPr>
          <w:cnfStyle w:val="000000010000" w:firstRow="0" w:lastRow="0" w:firstColumn="0" w:lastColumn="0" w:oddVBand="0" w:evenVBand="0" w:oddHBand="0" w:evenHBand="1" w:firstRowFirstColumn="0" w:firstRowLastColumn="0" w:lastRowFirstColumn="0" w:lastRowLastColumn="0"/>
        </w:trPr>
        <w:tc>
          <w:tcPr>
            <w:tcW w:w="5254" w:type="dxa"/>
            <w:shd w:val="clear" w:color="auto" w:fill="auto"/>
          </w:tcPr>
          <w:p w14:paraId="4B134F69" w14:textId="77777777" w:rsidR="00431C3A" w:rsidRPr="00D342CF" w:rsidRDefault="00431C3A" w:rsidP="00431C3A">
            <w:pPr>
              <w:pStyle w:val="TableBodyText"/>
              <w:spacing w:before="20" w:after="0" w:line="240" w:lineRule="auto"/>
              <w:rPr>
                <w:szCs w:val="18"/>
              </w:rPr>
            </w:pPr>
            <w:r w:rsidRPr="00D342CF">
              <w:rPr>
                <w:szCs w:val="18"/>
              </w:rPr>
              <w:t>TGP (includes TGP transfer service provided by Jemena)</w:t>
            </w:r>
          </w:p>
        </w:tc>
        <w:tc>
          <w:tcPr>
            <w:tcW w:w="3534" w:type="dxa"/>
            <w:shd w:val="clear" w:color="auto" w:fill="auto"/>
          </w:tcPr>
          <w:p w14:paraId="3EDA404B" w14:textId="77777777" w:rsidR="00431C3A" w:rsidRPr="00D342CF" w:rsidRDefault="00431C3A" w:rsidP="00431C3A">
            <w:pPr>
              <w:pStyle w:val="TableBodyText"/>
              <w:spacing w:before="20" w:after="0" w:line="240" w:lineRule="auto"/>
              <w:rPr>
                <w:szCs w:val="18"/>
              </w:rPr>
            </w:pPr>
            <w:r>
              <w:rPr>
                <w:szCs w:val="18"/>
              </w:rPr>
              <w:t>TGP Pty Ltd</w:t>
            </w:r>
          </w:p>
        </w:tc>
      </w:tr>
      <w:tr w:rsidR="00431C3A" w:rsidRPr="00D342CF" w14:paraId="0085B1A2" w14:textId="77777777" w:rsidTr="00C42B52">
        <w:tblPrEx>
          <w:shd w:val="clear" w:color="auto" w:fill="auto"/>
          <w:tblLook w:val="0420" w:firstRow="1" w:lastRow="0" w:firstColumn="0" w:lastColumn="0" w:noHBand="0" w:noVBand="1"/>
        </w:tblPrEx>
        <w:tc>
          <w:tcPr>
            <w:tcW w:w="5254" w:type="dxa"/>
            <w:shd w:val="clear" w:color="auto" w:fill="auto"/>
          </w:tcPr>
          <w:p w14:paraId="3F35EB6B" w14:textId="77777777" w:rsidR="00431C3A" w:rsidRPr="00D342CF" w:rsidRDefault="00431C3A" w:rsidP="00431C3A">
            <w:pPr>
              <w:pStyle w:val="TableBodyText"/>
              <w:spacing w:before="20" w:after="0" w:line="240" w:lineRule="auto"/>
              <w:rPr>
                <w:szCs w:val="18"/>
              </w:rPr>
            </w:pPr>
            <w:r w:rsidRPr="00D342CF">
              <w:rPr>
                <w:szCs w:val="18"/>
              </w:rPr>
              <w:t xml:space="preserve">DTS Transfer Service </w:t>
            </w:r>
          </w:p>
        </w:tc>
        <w:tc>
          <w:tcPr>
            <w:tcW w:w="3534" w:type="dxa"/>
            <w:shd w:val="clear" w:color="auto" w:fill="auto"/>
          </w:tcPr>
          <w:p w14:paraId="12953101" w14:textId="77777777" w:rsidR="00431C3A" w:rsidRPr="00D342CF" w:rsidRDefault="00431C3A" w:rsidP="00431C3A">
            <w:pPr>
              <w:pStyle w:val="TableBodyText"/>
              <w:spacing w:before="20" w:after="0" w:line="240" w:lineRule="auto"/>
              <w:rPr>
                <w:szCs w:val="18"/>
              </w:rPr>
            </w:pPr>
            <w:r w:rsidRPr="00D342CF">
              <w:rPr>
                <w:szCs w:val="18"/>
              </w:rPr>
              <w:t>Jemena</w:t>
            </w:r>
          </w:p>
        </w:tc>
      </w:tr>
      <w:tr w:rsidR="00431C3A" w:rsidRPr="00D342CF" w14:paraId="35439E80" w14:textId="77777777" w:rsidTr="00C42B52">
        <w:tblPrEx>
          <w:shd w:val="clear" w:color="auto" w:fill="auto"/>
          <w:tblLook w:val="0420" w:firstRow="1" w:lastRow="0" w:firstColumn="0" w:lastColumn="0" w:noHBand="0" w:noVBand="1"/>
        </w:tblPrEx>
        <w:trPr>
          <w:cnfStyle w:val="000000010000" w:firstRow="0" w:lastRow="0" w:firstColumn="0" w:lastColumn="0" w:oddVBand="0" w:evenVBand="0" w:oddHBand="0" w:evenHBand="1" w:firstRowFirstColumn="0" w:firstRowLastColumn="0" w:lastRowFirstColumn="0" w:lastRowLastColumn="0"/>
        </w:trPr>
        <w:tc>
          <w:tcPr>
            <w:tcW w:w="5254" w:type="dxa"/>
            <w:shd w:val="clear" w:color="auto" w:fill="auto"/>
          </w:tcPr>
          <w:p w14:paraId="23FC4528" w14:textId="77777777" w:rsidR="00431C3A" w:rsidRPr="00D342CF" w:rsidRDefault="00431C3A" w:rsidP="00431C3A">
            <w:pPr>
              <w:pStyle w:val="TableBodyText"/>
              <w:spacing w:before="20" w:after="0" w:line="240" w:lineRule="auto"/>
              <w:rPr>
                <w:szCs w:val="18"/>
              </w:rPr>
            </w:pPr>
            <w:r w:rsidRPr="00D342CF">
              <w:rPr>
                <w:szCs w:val="18"/>
              </w:rPr>
              <w:t>NGP</w:t>
            </w:r>
          </w:p>
        </w:tc>
        <w:tc>
          <w:tcPr>
            <w:tcW w:w="3534" w:type="dxa"/>
            <w:shd w:val="clear" w:color="auto" w:fill="auto"/>
          </w:tcPr>
          <w:p w14:paraId="1FF5D6F1" w14:textId="77777777" w:rsidR="00431C3A" w:rsidRPr="00D342CF" w:rsidRDefault="00431C3A" w:rsidP="00431C3A">
            <w:pPr>
              <w:pStyle w:val="TableBodyText"/>
              <w:spacing w:before="20" w:after="0" w:line="240" w:lineRule="auto"/>
              <w:rPr>
                <w:szCs w:val="18"/>
              </w:rPr>
            </w:pPr>
            <w:r w:rsidRPr="00D342CF">
              <w:rPr>
                <w:szCs w:val="18"/>
              </w:rPr>
              <w:t>Jemena</w:t>
            </w:r>
          </w:p>
        </w:tc>
      </w:tr>
      <w:tr w:rsidR="00431C3A" w:rsidRPr="00D342CF" w14:paraId="481030A5" w14:textId="77777777" w:rsidTr="00C42B52">
        <w:tblPrEx>
          <w:shd w:val="clear" w:color="auto" w:fill="auto"/>
          <w:tblLook w:val="0420" w:firstRow="1" w:lastRow="0" w:firstColumn="0" w:lastColumn="0" w:noHBand="0" w:noVBand="1"/>
        </w:tblPrEx>
        <w:trPr>
          <w:trHeight w:val="50"/>
        </w:trPr>
        <w:tc>
          <w:tcPr>
            <w:tcW w:w="5254" w:type="dxa"/>
            <w:shd w:val="clear" w:color="auto" w:fill="auto"/>
          </w:tcPr>
          <w:p w14:paraId="7E246681" w14:textId="77777777" w:rsidR="00431C3A" w:rsidRPr="00D342CF" w:rsidRDefault="00431C3A" w:rsidP="00431C3A">
            <w:pPr>
              <w:pStyle w:val="TableBodyText"/>
              <w:spacing w:before="20" w:after="0" w:line="240" w:lineRule="auto"/>
              <w:rPr>
                <w:szCs w:val="18"/>
              </w:rPr>
            </w:pPr>
            <w:r w:rsidRPr="00D342CF">
              <w:rPr>
                <w:szCs w:val="18"/>
              </w:rPr>
              <w:t>ADP</w:t>
            </w:r>
          </w:p>
        </w:tc>
        <w:tc>
          <w:tcPr>
            <w:tcW w:w="3534" w:type="dxa"/>
            <w:shd w:val="clear" w:color="auto" w:fill="auto"/>
          </w:tcPr>
          <w:p w14:paraId="557D6ECA" w14:textId="77777777" w:rsidR="00431C3A" w:rsidRPr="00D342CF" w:rsidRDefault="00431C3A" w:rsidP="00431C3A">
            <w:pPr>
              <w:pStyle w:val="TableBodyText"/>
              <w:spacing w:before="20" w:after="0" w:line="240" w:lineRule="auto"/>
              <w:rPr>
                <w:szCs w:val="18"/>
              </w:rPr>
            </w:pPr>
            <w:r w:rsidRPr="00D342CF">
              <w:rPr>
                <w:szCs w:val="18"/>
              </w:rPr>
              <w:t xml:space="preserve">APA </w:t>
            </w:r>
          </w:p>
        </w:tc>
      </w:tr>
      <w:tr w:rsidR="00431C3A" w:rsidRPr="00D342CF" w14:paraId="6552AF9C" w14:textId="77777777" w:rsidTr="00C42B52">
        <w:trPr>
          <w:cnfStyle w:val="000000010000" w:firstRow="0" w:lastRow="0" w:firstColumn="0" w:lastColumn="0" w:oddVBand="0" w:evenVBand="0" w:oddHBand="0" w:evenHBand="1" w:firstRowFirstColumn="0" w:firstRowLastColumn="0" w:lastRowFirstColumn="0" w:lastRowLastColumn="0"/>
        </w:trPr>
        <w:tc>
          <w:tcPr>
            <w:tcW w:w="8788" w:type="dxa"/>
            <w:gridSpan w:val="2"/>
            <w:tcBorders>
              <w:bottom w:val="single" w:sz="4" w:space="0" w:color="auto"/>
            </w:tcBorders>
            <w:shd w:val="clear" w:color="auto" w:fill="0099CC"/>
          </w:tcPr>
          <w:p w14:paraId="30270E0C" w14:textId="77777777" w:rsidR="00431C3A" w:rsidRPr="00D342CF" w:rsidRDefault="00431C3A" w:rsidP="00431C3A">
            <w:pPr>
              <w:keepNext/>
              <w:spacing w:before="20"/>
              <w:jc w:val="center"/>
              <w:rPr>
                <w:rFonts w:asciiTheme="majorHAnsi" w:hAnsiTheme="majorHAnsi" w:cstheme="majorHAnsi"/>
                <w:b/>
                <w:color w:val="FFFFFF" w:themeColor="background1"/>
                <w:szCs w:val="18"/>
              </w:rPr>
            </w:pPr>
            <w:r w:rsidRPr="00D342CF">
              <w:rPr>
                <w:rFonts w:asciiTheme="majorHAnsi" w:hAnsiTheme="majorHAnsi" w:cstheme="majorHAnsi"/>
                <w:b/>
                <w:color w:val="FFFFFF" w:themeColor="background1"/>
                <w:szCs w:val="18"/>
              </w:rPr>
              <w:t>Firm Park Products</w:t>
            </w:r>
          </w:p>
        </w:tc>
      </w:tr>
      <w:tr w:rsidR="00431C3A" w:rsidRPr="00D342CF" w14:paraId="4BC71E88" w14:textId="77777777" w:rsidTr="000F7A0D">
        <w:tblPrEx>
          <w:shd w:val="clear" w:color="auto" w:fill="auto"/>
          <w:tblLook w:val="0420" w:firstRow="1" w:lastRow="0" w:firstColumn="0" w:lastColumn="0" w:noHBand="0" w:noVBand="1"/>
        </w:tblPrEx>
        <w:tc>
          <w:tcPr>
            <w:tcW w:w="5254" w:type="dxa"/>
            <w:tcBorders>
              <w:bottom w:val="single" w:sz="4" w:space="0" w:color="auto"/>
            </w:tcBorders>
            <w:shd w:val="clear" w:color="auto" w:fill="65697F" w:themeFill="background2" w:themeFillShade="80"/>
          </w:tcPr>
          <w:p w14:paraId="3027D7ED" w14:textId="77777777" w:rsidR="00431C3A" w:rsidRPr="00D342CF" w:rsidRDefault="00431C3A" w:rsidP="00431C3A">
            <w:pPr>
              <w:pStyle w:val="TableHeading"/>
              <w:spacing w:before="20" w:after="0" w:line="240" w:lineRule="auto"/>
              <w:rPr>
                <w:b/>
                <w:szCs w:val="18"/>
              </w:rPr>
            </w:pPr>
            <w:r w:rsidRPr="00D342CF">
              <w:rPr>
                <w:b/>
                <w:szCs w:val="18"/>
              </w:rPr>
              <w:t xml:space="preserve">Pipeline </w:t>
            </w:r>
          </w:p>
        </w:tc>
        <w:tc>
          <w:tcPr>
            <w:tcW w:w="3534" w:type="dxa"/>
            <w:tcBorders>
              <w:bottom w:val="single" w:sz="4" w:space="0" w:color="auto"/>
            </w:tcBorders>
            <w:shd w:val="clear" w:color="auto" w:fill="65697F" w:themeFill="background2" w:themeFillShade="80"/>
          </w:tcPr>
          <w:p w14:paraId="03937A4A" w14:textId="77777777" w:rsidR="00431C3A" w:rsidRPr="00D342CF" w:rsidRDefault="00431C3A" w:rsidP="00431C3A">
            <w:pPr>
              <w:pStyle w:val="TableHeading"/>
              <w:spacing w:before="20" w:after="0" w:line="240" w:lineRule="auto"/>
              <w:rPr>
                <w:b/>
                <w:szCs w:val="18"/>
              </w:rPr>
            </w:pPr>
            <w:r w:rsidRPr="00D342CF">
              <w:rPr>
                <w:b/>
                <w:szCs w:val="18"/>
              </w:rPr>
              <w:t>Service provider</w:t>
            </w:r>
          </w:p>
        </w:tc>
      </w:tr>
      <w:tr w:rsidR="00431C3A" w:rsidRPr="00D342CF" w14:paraId="6EB1BF46" w14:textId="77777777" w:rsidTr="000F7A0D">
        <w:tblPrEx>
          <w:shd w:val="clear" w:color="auto" w:fill="auto"/>
          <w:tblLook w:val="0420" w:firstRow="1" w:lastRow="0" w:firstColumn="0" w:lastColumn="0" w:noHBand="0" w:noVBand="1"/>
        </w:tblPrEx>
        <w:trPr>
          <w:cnfStyle w:val="000000010000" w:firstRow="0" w:lastRow="0" w:firstColumn="0" w:lastColumn="0" w:oddVBand="0" w:evenVBand="0" w:oddHBand="0" w:evenHBand="1" w:firstRowFirstColumn="0" w:firstRowLastColumn="0" w:lastRowFirstColumn="0" w:lastRowLastColumn="0"/>
        </w:trPr>
        <w:tc>
          <w:tcPr>
            <w:tcW w:w="5254" w:type="dxa"/>
            <w:shd w:val="clear" w:color="auto" w:fill="auto"/>
          </w:tcPr>
          <w:p w14:paraId="30EB2358" w14:textId="77777777" w:rsidR="00431C3A" w:rsidRPr="00D342CF" w:rsidRDefault="00431C3A" w:rsidP="00431C3A">
            <w:pPr>
              <w:pStyle w:val="TableBodyText"/>
              <w:spacing w:before="20" w:after="0"/>
              <w:rPr>
                <w:szCs w:val="18"/>
              </w:rPr>
            </w:pPr>
            <w:r w:rsidRPr="00D342CF">
              <w:rPr>
                <w:szCs w:val="18"/>
              </w:rPr>
              <w:t>RBP</w:t>
            </w:r>
          </w:p>
        </w:tc>
        <w:tc>
          <w:tcPr>
            <w:tcW w:w="3534" w:type="dxa"/>
            <w:shd w:val="clear" w:color="auto" w:fill="auto"/>
          </w:tcPr>
          <w:p w14:paraId="47B7BBF0" w14:textId="77777777" w:rsidR="00431C3A" w:rsidRPr="00D342CF" w:rsidRDefault="00431C3A" w:rsidP="00431C3A">
            <w:pPr>
              <w:pStyle w:val="TableBodyText"/>
              <w:spacing w:before="20" w:after="0"/>
              <w:rPr>
                <w:szCs w:val="18"/>
              </w:rPr>
            </w:pPr>
            <w:r w:rsidRPr="00D342CF">
              <w:rPr>
                <w:szCs w:val="18"/>
              </w:rPr>
              <w:t>APA Group</w:t>
            </w:r>
          </w:p>
        </w:tc>
      </w:tr>
      <w:tr w:rsidR="00431C3A" w:rsidRPr="00D342CF" w14:paraId="567551B5" w14:textId="77777777" w:rsidTr="000F7A0D">
        <w:tblPrEx>
          <w:shd w:val="clear" w:color="auto" w:fill="auto"/>
          <w:tblLook w:val="0420" w:firstRow="1" w:lastRow="0" w:firstColumn="0" w:lastColumn="0" w:noHBand="0" w:noVBand="1"/>
        </w:tblPrEx>
        <w:tc>
          <w:tcPr>
            <w:tcW w:w="5254" w:type="dxa"/>
            <w:shd w:val="clear" w:color="auto" w:fill="auto"/>
          </w:tcPr>
          <w:p w14:paraId="3403DF82" w14:textId="77777777" w:rsidR="00431C3A" w:rsidRPr="00D342CF" w:rsidRDefault="00431C3A" w:rsidP="00431C3A">
            <w:pPr>
              <w:pStyle w:val="TableBodyText"/>
              <w:spacing w:before="20" w:after="0"/>
              <w:rPr>
                <w:szCs w:val="18"/>
              </w:rPr>
            </w:pPr>
            <w:r w:rsidRPr="00D342CF">
              <w:rPr>
                <w:szCs w:val="18"/>
              </w:rPr>
              <w:t>SWQP</w:t>
            </w:r>
          </w:p>
        </w:tc>
        <w:tc>
          <w:tcPr>
            <w:tcW w:w="3534" w:type="dxa"/>
            <w:shd w:val="clear" w:color="auto" w:fill="auto"/>
          </w:tcPr>
          <w:p w14:paraId="13A25A77" w14:textId="77777777" w:rsidR="00431C3A" w:rsidRPr="00D342CF" w:rsidRDefault="00431C3A" w:rsidP="00431C3A">
            <w:pPr>
              <w:pStyle w:val="TableBodyText"/>
              <w:spacing w:before="20" w:after="0"/>
              <w:rPr>
                <w:szCs w:val="18"/>
              </w:rPr>
            </w:pPr>
            <w:r w:rsidRPr="00D342CF">
              <w:rPr>
                <w:szCs w:val="18"/>
              </w:rPr>
              <w:t>APA Group</w:t>
            </w:r>
          </w:p>
        </w:tc>
      </w:tr>
      <w:tr w:rsidR="00431C3A" w:rsidRPr="00D342CF" w14:paraId="7007F762" w14:textId="77777777" w:rsidTr="000F7A0D">
        <w:tblPrEx>
          <w:shd w:val="clear" w:color="auto" w:fill="auto"/>
          <w:tblLook w:val="0420" w:firstRow="1" w:lastRow="0" w:firstColumn="0" w:lastColumn="0" w:noHBand="0" w:noVBand="1"/>
        </w:tblPrEx>
        <w:trPr>
          <w:cnfStyle w:val="000000010000" w:firstRow="0" w:lastRow="0" w:firstColumn="0" w:lastColumn="0" w:oddVBand="0" w:evenVBand="0" w:oddHBand="0" w:evenHBand="1" w:firstRowFirstColumn="0" w:firstRowLastColumn="0" w:lastRowFirstColumn="0" w:lastRowLastColumn="0"/>
        </w:trPr>
        <w:tc>
          <w:tcPr>
            <w:tcW w:w="5254" w:type="dxa"/>
            <w:shd w:val="clear" w:color="auto" w:fill="auto"/>
          </w:tcPr>
          <w:p w14:paraId="6DCC7BB8" w14:textId="77777777" w:rsidR="00431C3A" w:rsidRPr="00D342CF" w:rsidRDefault="00431C3A" w:rsidP="00431C3A">
            <w:pPr>
              <w:pStyle w:val="TableBodyText"/>
              <w:spacing w:before="20" w:after="0"/>
              <w:rPr>
                <w:szCs w:val="18"/>
              </w:rPr>
            </w:pPr>
            <w:r w:rsidRPr="00D342CF">
              <w:rPr>
                <w:szCs w:val="18"/>
              </w:rPr>
              <w:t>MSP</w:t>
            </w:r>
          </w:p>
        </w:tc>
        <w:tc>
          <w:tcPr>
            <w:tcW w:w="3534" w:type="dxa"/>
            <w:shd w:val="clear" w:color="auto" w:fill="auto"/>
          </w:tcPr>
          <w:p w14:paraId="58B3426B" w14:textId="77777777" w:rsidR="00431C3A" w:rsidRPr="00D342CF" w:rsidRDefault="00431C3A" w:rsidP="00431C3A">
            <w:pPr>
              <w:pStyle w:val="TableBodyText"/>
              <w:spacing w:before="20" w:after="0"/>
              <w:rPr>
                <w:szCs w:val="18"/>
              </w:rPr>
            </w:pPr>
            <w:r w:rsidRPr="00D342CF">
              <w:rPr>
                <w:szCs w:val="18"/>
              </w:rPr>
              <w:t>APA Group</w:t>
            </w:r>
          </w:p>
        </w:tc>
      </w:tr>
      <w:tr w:rsidR="00431C3A" w:rsidRPr="00D342CF" w14:paraId="32EA0328" w14:textId="77777777" w:rsidTr="000F7A0D">
        <w:tblPrEx>
          <w:shd w:val="clear" w:color="auto" w:fill="auto"/>
          <w:tblLook w:val="0420" w:firstRow="1" w:lastRow="0" w:firstColumn="0" w:lastColumn="0" w:noHBand="0" w:noVBand="1"/>
        </w:tblPrEx>
        <w:tc>
          <w:tcPr>
            <w:tcW w:w="5254" w:type="dxa"/>
            <w:shd w:val="clear" w:color="auto" w:fill="auto"/>
          </w:tcPr>
          <w:p w14:paraId="7CAA55BF" w14:textId="77777777" w:rsidR="00431C3A" w:rsidRPr="00D342CF" w:rsidRDefault="00431C3A" w:rsidP="00431C3A">
            <w:pPr>
              <w:pStyle w:val="TableBodyText"/>
              <w:spacing w:before="20" w:after="0"/>
              <w:rPr>
                <w:szCs w:val="18"/>
              </w:rPr>
            </w:pPr>
            <w:r w:rsidRPr="00D342CF">
              <w:rPr>
                <w:szCs w:val="18"/>
              </w:rPr>
              <w:t>MAPS</w:t>
            </w:r>
          </w:p>
        </w:tc>
        <w:tc>
          <w:tcPr>
            <w:tcW w:w="3534" w:type="dxa"/>
            <w:shd w:val="clear" w:color="auto" w:fill="auto"/>
          </w:tcPr>
          <w:p w14:paraId="2DA87700" w14:textId="77777777" w:rsidR="00431C3A" w:rsidRPr="00D342CF" w:rsidRDefault="00431C3A" w:rsidP="00431C3A">
            <w:pPr>
              <w:pStyle w:val="TableBodyText"/>
              <w:spacing w:before="20" w:after="0"/>
              <w:rPr>
                <w:szCs w:val="18"/>
              </w:rPr>
            </w:pPr>
            <w:r w:rsidRPr="00D342CF">
              <w:rPr>
                <w:szCs w:val="18"/>
              </w:rPr>
              <w:t>Epic Energy</w:t>
            </w:r>
          </w:p>
        </w:tc>
      </w:tr>
      <w:tr w:rsidR="00431C3A" w:rsidRPr="00D342CF" w14:paraId="6BE2ABF2" w14:textId="77777777" w:rsidTr="000F7A0D">
        <w:tblPrEx>
          <w:shd w:val="clear" w:color="auto" w:fill="auto"/>
          <w:tblLook w:val="0420" w:firstRow="1" w:lastRow="0" w:firstColumn="0" w:lastColumn="0" w:noHBand="0" w:noVBand="1"/>
        </w:tblPrEx>
        <w:trPr>
          <w:cnfStyle w:val="000000010000" w:firstRow="0" w:lastRow="0" w:firstColumn="0" w:lastColumn="0" w:oddVBand="0" w:evenVBand="0" w:oddHBand="0" w:evenHBand="1" w:firstRowFirstColumn="0" w:firstRowLastColumn="0" w:lastRowFirstColumn="0" w:lastRowLastColumn="0"/>
        </w:trPr>
        <w:tc>
          <w:tcPr>
            <w:tcW w:w="5254" w:type="dxa"/>
            <w:shd w:val="clear" w:color="auto" w:fill="auto"/>
          </w:tcPr>
          <w:p w14:paraId="5687EC4C" w14:textId="77777777" w:rsidR="00431C3A" w:rsidRPr="00D342CF" w:rsidRDefault="00431C3A" w:rsidP="00431C3A">
            <w:pPr>
              <w:pStyle w:val="TableBodyText"/>
              <w:spacing w:before="20" w:after="0"/>
              <w:rPr>
                <w:szCs w:val="18"/>
              </w:rPr>
            </w:pPr>
            <w:r w:rsidRPr="00D342CF">
              <w:rPr>
                <w:szCs w:val="18"/>
              </w:rPr>
              <w:t>TGP</w:t>
            </w:r>
          </w:p>
        </w:tc>
        <w:tc>
          <w:tcPr>
            <w:tcW w:w="3534" w:type="dxa"/>
            <w:shd w:val="clear" w:color="auto" w:fill="auto"/>
          </w:tcPr>
          <w:p w14:paraId="3781067D" w14:textId="77777777" w:rsidR="00431C3A" w:rsidRPr="00D342CF" w:rsidRDefault="00431C3A" w:rsidP="00431C3A">
            <w:pPr>
              <w:pStyle w:val="TableBodyText"/>
              <w:spacing w:before="20" w:after="0"/>
              <w:rPr>
                <w:szCs w:val="18"/>
              </w:rPr>
            </w:pPr>
            <w:r>
              <w:rPr>
                <w:szCs w:val="18"/>
              </w:rPr>
              <w:t>TGP Pty Ltd</w:t>
            </w:r>
          </w:p>
        </w:tc>
      </w:tr>
      <w:tr w:rsidR="00431C3A" w:rsidRPr="00D342CF" w14:paraId="06327CBD" w14:textId="77777777" w:rsidTr="00431C3A">
        <w:tblPrEx>
          <w:shd w:val="clear" w:color="auto" w:fill="auto"/>
          <w:tblLook w:val="0420" w:firstRow="1" w:lastRow="0" w:firstColumn="0" w:lastColumn="0" w:noHBand="0" w:noVBand="1"/>
        </w:tblPrEx>
        <w:tc>
          <w:tcPr>
            <w:tcW w:w="5254" w:type="dxa"/>
            <w:tcBorders>
              <w:bottom w:val="single" w:sz="4" w:space="0" w:color="auto"/>
            </w:tcBorders>
            <w:shd w:val="clear" w:color="auto" w:fill="auto"/>
          </w:tcPr>
          <w:p w14:paraId="71EB4824" w14:textId="77777777" w:rsidR="00431C3A" w:rsidRPr="00D342CF" w:rsidRDefault="00431C3A" w:rsidP="00431C3A">
            <w:pPr>
              <w:pStyle w:val="TableBodyText"/>
              <w:spacing w:before="20" w:after="0"/>
              <w:rPr>
                <w:szCs w:val="18"/>
              </w:rPr>
            </w:pPr>
            <w:r w:rsidRPr="00D342CF">
              <w:rPr>
                <w:szCs w:val="18"/>
              </w:rPr>
              <w:t>EGP</w:t>
            </w:r>
          </w:p>
        </w:tc>
        <w:tc>
          <w:tcPr>
            <w:tcW w:w="3534" w:type="dxa"/>
            <w:tcBorders>
              <w:bottom w:val="single" w:sz="4" w:space="0" w:color="auto"/>
            </w:tcBorders>
            <w:shd w:val="clear" w:color="auto" w:fill="auto"/>
          </w:tcPr>
          <w:p w14:paraId="6A3B7633" w14:textId="77777777" w:rsidR="00431C3A" w:rsidRPr="00D342CF" w:rsidRDefault="00431C3A" w:rsidP="00431C3A">
            <w:pPr>
              <w:pStyle w:val="TableBodyText"/>
              <w:spacing w:before="20" w:after="0"/>
              <w:rPr>
                <w:szCs w:val="18"/>
              </w:rPr>
            </w:pPr>
            <w:r w:rsidRPr="00D342CF">
              <w:rPr>
                <w:szCs w:val="18"/>
              </w:rPr>
              <w:t>Jemena</w:t>
            </w:r>
          </w:p>
        </w:tc>
      </w:tr>
    </w:tbl>
    <w:p w14:paraId="61A42BEB" w14:textId="77777777" w:rsidR="0094109D" w:rsidRPr="0094109D" w:rsidRDefault="0094109D">
      <w:pPr>
        <w:rPr>
          <w:sz w:val="2"/>
        </w:rPr>
      </w:pPr>
    </w:p>
    <w:tbl>
      <w:tblPr>
        <w:tblStyle w:val="TableGrid6"/>
        <w:tblW w:w="5000" w:type="pct"/>
        <w:shd w:val="clear" w:color="000000" w:fill="000000"/>
        <w:tblLook w:val="04A0" w:firstRow="1" w:lastRow="0" w:firstColumn="1" w:lastColumn="0" w:noHBand="0" w:noVBand="1"/>
        <w:tblCaption w:val="Table 6.3"/>
        <w:tblDescription w:val="Preliminary view on standardised screen-traded products "/>
      </w:tblPr>
      <w:tblGrid>
        <w:gridCol w:w="2197"/>
        <w:gridCol w:w="3048"/>
        <w:gridCol w:w="3543"/>
      </w:tblGrid>
      <w:tr w:rsidR="00431C3A" w:rsidRPr="00D342CF" w14:paraId="2AD70760" w14:textId="77777777" w:rsidTr="0094109D">
        <w:trPr>
          <w:cnfStyle w:val="100000000000" w:firstRow="1" w:lastRow="0" w:firstColumn="0" w:lastColumn="0" w:oddVBand="0" w:evenVBand="0" w:oddHBand="0" w:evenHBand="0" w:firstRowFirstColumn="0" w:firstRowLastColumn="0" w:lastRowFirstColumn="0" w:lastRowLastColumn="0"/>
          <w:tblHeader/>
        </w:trPr>
        <w:tc>
          <w:tcPr>
            <w:tcW w:w="8788" w:type="dxa"/>
            <w:gridSpan w:val="3"/>
            <w:tcBorders>
              <w:top w:val="single" w:sz="4" w:space="0" w:color="auto"/>
              <w:bottom w:val="single" w:sz="4" w:space="0" w:color="auto"/>
            </w:tcBorders>
            <w:shd w:val="clear" w:color="auto" w:fill="0099CC"/>
          </w:tcPr>
          <w:p w14:paraId="3C8A9085" w14:textId="77777777" w:rsidR="00431C3A" w:rsidRPr="0094109D" w:rsidRDefault="00431C3A" w:rsidP="00431C3A">
            <w:pPr>
              <w:keepNext/>
              <w:spacing w:before="20"/>
              <w:jc w:val="center"/>
              <w:rPr>
                <w:rFonts w:asciiTheme="majorHAnsi" w:hAnsiTheme="majorHAnsi" w:cstheme="majorHAnsi"/>
                <w:color w:val="FFFFFF" w:themeColor="background1"/>
                <w:szCs w:val="18"/>
              </w:rPr>
            </w:pPr>
            <w:r w:rsidRPr="0094109D">
              <w:rPr>
                <w:rFonts w:asciiTheme="majorHAnsi" w:hAnsiTheme="majorHAnsi" w:cstheme="majorHAnsi"/>
                <w:color w:val="FFFFFF" w:themeColor="background1"/>
                <w:szCs w:val="18"/>
              </w:rPr>
              <w:t>Firm Compression Products</w:t>
            </w:r>
          </w:p>
        </w:tc>
      </w:tr>
      <w:tr w:rsidR="00431C3A" w:rsidRPr="00D342CF" w14:paraId="1B5BEE1C" w14:textId="77777777" w:rsidTr="00431C3A">
        <w:tblPrEx>
          <w:shd w:val="clear" w:color="auto" w:fill="auto"/>
          <w:tblLook w:val="0420" w:firstRow="1" w:lastRow="0" w:firstColumn="0" w:lastColumn="0" w:noHBand="0" w:noVBand="1"/>
        </w:tblPrEx>
        <w:trPr>
          <w:cnfStyle w:val="100000000000" w:firstRow="1" w:lastRow="0" w:firstColumn="0" w:lastColumn="0" w:oddVBand="0" w:evenVBand="0" w:oddHBand="0" w:evenHBand="0" w:firstRowFirstColumn="0" w:firstRowLastColumn="0" w:lastRowFirstColumn="0" w:lastRowLastColumn="0"/>
          <w:tblHeader/>
        </w:trPr>
        <w:tc>
          <w:tcPr>
            <w:tcW w:w="2197" w:type="dxa"/>
            <w:tcBorders>
              <w:bottom w:val="single" w:sz="4" w:space="0" w:color="auto"/>
            </w:tcBorders>
            <w:shd w:val="clear" w:color="auto" w:fill="65697F" w:themeFill="background2" w:themeFillShade="80"/>
          </w:tcPr>
          <w:p w14:paraId="0BBB066A" w14:textId="77777777" w:rsidR="00431C3A" w:rsidRPr="00D342CF" w:rsidRDefault="00431C3A" w:rsidP="00431C3A">
            <w:pPr>
              <w:pStyle w:val="TableHeading"/>
              <w:spacing w:before="20" w:after="20"/>
              <w:rPr>
                <w:b w:val="0"/>
                <w:szCs w:val="18"/>
              </w:rPr>
            </w:pPr>
            <w:r w:rsidRPr="00D342CF">
              <w:rPr>
                <w:szCs w:val="18"/>
              </w:rPr>
              <w:t>Compressor location</w:t>
            </w:r>
          </w:p>
        </w:tc>
        <w:tc>
          <w:tcPr>
            <w:tcW w:w="3048" w:type="dxa"/>
            <w:tcBorders>
              <w:bottom w:val="single" w:sz="4" w:space="0" w:color="auto"/>
            </w:tcBorders>
            <w:shd w:val="clear" w:color="auto" w:fill="65697F" w:themeFill="background2" w:themeFillShade="80"/>
          </w:tcPr>
          <w:p w14:paraId="20F1C0FD" w14:textId="77777777" w:rsidR="00431C3A" w:rsidRPr="00D342CF" w:rsidRDefault="00431C3A" w:rsidP="00431C3A">
            <w:pPr>
              <w:pStyle w:val="TableHeading"/>
              <w:spacing w:before="20" w:after="20"/>
              <w:rPr>
                <w:b w:val="0"/>
                <w:szCs w:val="18"/>
              </w:rPr>
            </w:pPr>
            <w:r w:rsidRPr="00D342CF">
              <w:rPr>
                <w:szCs w:val="18"/>
              </w:rPr>
              <w:t>Compression product</w:t>
            </w:r>
          </w:p>
        </w:tc>
        <w:tc>
          <w:tcPr>
            <w:tcW w:w="3543" w:type="dxa"/>
            <w:tcBorders>
              <w:bottom w:val="single" w:sz="4" w:space="0" w:color="auto"/>
            </w:tcBorders>
            <w:shd w:val="clear" w:color="auto" w:fill="65697F" w:themeFill="background2" w:themeFillShade="80"/>
          </w:tcPr>
          <w:p w14:paraId="75857164" w14:textId="77777777" w:rsidR="00431C3A" w:rsidRPr="00D342CF" w:rsidRDefault="00431C3A" w:rsidP="00431C3A">
            <w:pPr>
              <w:pStyle w:val="TableHeading"/>
              <w:spacing w:before="20" w:after="20"/>
              <w:rPr>
                <w:b w:val="0"/>
                <w:szCs w:val="18"/>
              </w:rPr>
            </w:pPr>
            <w:r w:rsidRPr="00D342CF">
              <w:rPr>
                <w:b w:val="0"/>
                <w:szCs w:val="18"/>
              </w:rPr>
              <w:t>Service provider</w:t>
            </w:r>
          </w:p>
        </w:tc>
      </w:tr>
      <w:tr w:rsidR="00431C3A" w:rsidRPr="00D342CF" w14:paraId="2B8BF466" w14:textId="77777777" w:rsidTr="00431C3A">
        <w:tblPrEx>
          <w:shd w:val="clear" w:color="auto" w:fill="auto"/>
          <w:tblLook w:val="0420" w:firstRow="1" w:lastRow="0" w:firstColumn="0" w:lastColumn="0" w:noHBand="0" w:noVBand="1"/>
        </w:tblPrEx>
        <w:tc>
          <w:tcPr>
            <w:tcW w:w="2197" w:type="dxa"/>
            <w:shd w:val="clear" w:color="auto" w:fill="auto"/>
          </w:tcPr>
          <w:p w14:paraId="2403BF8A" w14:textId="77777777" w:rsidR="00431C3A" w:rsidRPr="00D342CF" w:rsidRDefault="00431C3A" w:rsidP="00431C3A">
            <w:pPr>
              <w:pStyle w:val="TableBodyText"/>
              <w:spacing w:before="20" w:after="20"/>
              <w:rPr>
                <w:szCs w:val="18"/>
              </w:rPr>
            </w:pPr>
            <w:r w:rsidRPr="00D342CF">
              <w:rPr>
                <w:szCs w:val="18"/>
              </w:rPr>
              <w:t>Wallumbilla</w:t>
            </w:r>
            <w:r w:rsidRPr="00D342CF">
              <w:rPr>
                <w:rStyle w:val="FootnoteReference"/>
                <w:szCs w:val="18"/>
              </w:rPr>
              <w:footnoteReference w:id="74"/>
            </w:r>
          </w:p>
        </w:tc>
        <w:tc>
          <w:tcPr>
            <w:tcW w:w="3048" w:type="dxa"/>
            <w:shd w:val="clear" w:color="auto" w:fill="auto"/>
          </w:tcPr>
          <w:p w14:paraId="3ED7D458" w14:textId="77777777" w:rsidR="00431C3A" w:rsidRPr="00D342CF" w:rsidRDefault="00431C3A" w:rsidP="00431C3A">
            <w:pPr>
              <w:pStyle w:val="TableBodyText"/>
              <w:spacing w:before="20" w:after="20"/>
              <w:rPr>
                <w:szCs w:val="18"/>
              </w:rPr>
            </w:pPr>
            <w:r w:rsidRPr="00D342CF">
              <w:rPr>
                <w:szCs w:val="18"/>
              </w:rPr>
              <w:t>Wallumbilla LPTP to Wallumbilla HPTP</w:t>
            </w:r>
          </w:p>
        </w:tc>
        <w:tc>
          <w:tcPr>
            <w:tcW w:w="3543" w:type="dxa"/>
            <w:shd w:val="clear" w:color="auto" w:fill="auto"/>
          </w:tcPr>
          <w:p w14:paraId="78FA0B2F" w14:textId="77777777" w:rsidR="00431C3A" w:rsidRPr="00D342CF" w:rsidRDefault="00431C3A" w:rsidP="00431C3A">
            <w:pPr>
              <w:pStyle w:val="TableBodyText"/>
              <w:spacing w:before="20" w:after="20"/>
              <w:rPr>
                <w:szCs w:val="18"/>
              </w:rPr>
            </w:pPr>
            <w:r w:rsidRPr="00D342CF">
              <w:rPr>
                <w:szCs w:val="18"/>
              </w:rPr>
              <w:t>APA</w:t>
            </w:r>
          </w:p>
        </w:tc>
      </w:tr>
      <w:tr w:rsidR="00431C3A" w:rsidRPr="00D342CF" w14:paraId="0E01EC1F" w14:textId="77777777" w:rsidTr="00431C3A">
        <w:tblPrEx>
          <w:shd w:val="clear" w:color="auto" w:fill="auto"/>
          <w:tblLook w:val="0420" w:firstRow="1" w:lastRow="0" w:firstColumn="0" w:lastColumn="0" w:noHBand="0" w:noVBand="1"/>
        </w:tblPrEx>
        <w:trPr>
          <w:cnfStyle w:val="000000010000" w:firstRow="0" w:lastRow="0" w:firstColumn="0" w:lastColumn="0" w:oddVBand="0" w:evenVBand="0" w:oddHBand="0" w:evenHBand="1" w:firstRowFirstColumn="0" w:firstRowLastColumn="0" w:lastRowFirstColumn="0" w:lastRowLastColumn="0"/>
        </w:trPr>
        <w:tc>
          <w:tcPr>
            <w:tcW w:w="2197" w:type="dxa"/>
            <w:shd w:val="clear" w:color="auto" w:fill="auto"/>
          </w:tcPr>
          <w:p w14:paraId="332BBD4E" w14:textId="77777777" w:rsidR="00431C3A" w:rsidRPr="00D342CF" w:rsidRDefault="00431C3A" w:rsidP="00431C3A">
            <w:pPr>
              <w:pStyle w:val="TableBodyText"/>
              <w:spacing w:before="20" w:after="20"/>
              <w:rPr>
                <w:szCs w:val="18"/>
              </w:rPr>
            </w:pPr>
            <w:r w:rsidRPr="00D342CF">
              <w:rPr>
                <w:szCs w:val="18"/>
              </w:rPr>
              <w:t>Moomba</w:t>
            </w:r>
          </w:p>
        </w:tc>
        <w:tc>
          <w:tcPr>
            <w:tcW w:w="3048" w:type="dxa"/>
            <w:shd w:val="clear" w:color="auto" w:fill="auto"/>
          </w:tcPr>
          <w:p w14:paraId="300A216B" w14:textId="77777777" w:rsidR="00431C3A" w:rsidRPr="00D342CF" w:rsidRDefault="00431C3A" w:rsidP="00431C3A">
            <w:pPr>
              <w:pStyle w:val="TableBodyText"/>
              <w:spacing w:before="20" w:after="20"/>
              <w:rPr>
                <w:szCs w:val="18"/>
              </w:rPr>
            </w:pPr>
            <w:r w:rsidRPr="00D342CF">
              <w:rPr>
                <w:szCs w:val="18"/>
              </w:rPr>
              <w:t xml:space="preserve">MCF to SWQP In-pipe Trade Point </w:t>
            </w:r>
          </w:p>
        </w:tc>
        <w:tc>
          <w:tcPr>
            <w:tcW w:w="3543" w:type="dxa"/>
            <w:shd w:val="clear" w:color="auto" w:fill="auto"/>
          </w:tcPr>
          <w:p w14:paraId="0FB0D5AC" w14:textId="77777777" w:rsidR="00431C3A" w:rsidRPr="00D342CF" w:rsidRDefault="00431C3A" w:rsidP="00431C3A">
            <w:pPr>
              <w:pStyle w:val="TableBodyText"/>
              <w:spacing w:before="20" w:after="20"/>
              <w:rPr>
                <w:szCs w:val="18"/>
              </w:rPr>
            </w:pPr>
            <w:r w:rsidRPr="00D342CF">
              <w:rPr>
                <w:szCs w:val="18"/>
              </w:rPr>
              <w:t>APA</w:t>
            </w:r>
          </w:p>
        </w:tc>
      </w:tr>
    </w:tbl>
    <w:p w14:paraId="4461DEF6" w14:textId="77777777" w:rsidR="00CF4594" w:rsidRDefault="00CF4594" w:rsidP="00CF4594">
      <w:pPr>
        <w:pStyle w:val="BodyText"/>
        <w:rPr>
          <w:rStyle w:val="Bold"/>
          <w:b w:val="0"/>
          <w:color w:val="0099CC"/>
          <w:sz w:val="2"/>
          <w:szCs w:val="2"/>
        </w:rPr>
      </w:pPr>
    </w:p>
    <w:p w14:paraId="79B365BF" w14:textId="77777777" w:rsidR="00CF4594" w:rsidRDefault="00CF4594" w:rsidP="00CF4594">
      <w:pPr>
        <w:tabs>
          <w:tab w:val="left" w:pos="2268"/>
          <w:tab w:val="left" w:pos="4536"/>
          <w:tab w:val="left" w:pos="6804"/>
          <w:tab w:val="right" w:pos="9638"/>
        </w:tabs>
        <w:spacing w:before="240" w:after="120"/>
        <w:rPr>
          <w:lang w:val="en-US"/>
        </w:rPr>
      </w:pPr>
      <w:r>
        <w:t xml:space="preserve">As is currently the case for gas products, </w:t>
      </w:r>
      <w:r w:rsidR="0078457E">
        <w:t xml:space="preserve">the exchange-based products will be available for </w:t>
      </w:r>
      <w:r>
        <w:t>screen</w:t>
      </w:r>
      <w:r w:rsidR="0078457E">
        <w:t xml:space="preserve"> trading and </w:t>
      </w:r>
      <w:r>
        <w:t xml:space="preserve">pre-matched trades. Members of the project team noted that some additional pre-matched trade products may be required to enable primary shippers on smaller pipelines or laterals that may be subject to the day-ahead auction to trade their </w:t>
      </w:r>
      <w:r>
        <w:lastRenderedPageBreak/>
        <w:t xml:space="preserve">capacity relatively easily (for example, the Angaston and Whyalla laterals). Some other project team members suggested that the pre-matched service should be available between all zones on a pipeline, or between all points on a pipeline. There are, however, some regulatory limits on pre-matched products. The listing of these types of pre-matched products </w:t>
      </w:r>
      <w:r>
        <w:rPr>
          <w:lang w:val="en-US"/>
        </w:rPr>
        <w:t xml:space="preserve">may therefore be limited by other regulatory requirements at market start.  </w:t>
      </w:r>
    </w:p>
    <w:p w14:paraId="72533D2E" w14:textId="77777777" w:rsidR="00CF4594" w:rsidRPr="008E3DFE" w:rsidRDefault="00CF4594" w:rsidP="00CF4594">
      <w:pPr>
        <w:pStyle w:val="Heading6"/>
        <w:spacing w:line="252" w:lineRule="auto"/>
        <w:rPr>
          <w:rStyle w:val="Bold"/>
          <w:b/>
          <w:color w:val="0099CC"/>
        </w:rPr>
      </w:pPr>
      <w:r w:rsidRPr="008E3DFE">
        <w:rPr>
          <w:rStyle w:val="Bold"/>
          <w:b/>
          <w:color w:val="0099CC"/>
        </w:rPr>
        <w:t xml:space="preserve">Feedback provided through the consultation process </w:t>
      </w:r>
    </w:p>
    <w:p w14:paraId="7E5F0405" w14:textId="77777777" w:rsidR="00CF4594" w:rsidRDefault="00CF4594" w:rsidP="00CF4594">
      <w:pPr>
        <w:tabs>
          <w:tab w:val="left" w:pos="2268"/>
          <w:tab w:val="left" w:pos="4536"/>
          <w:tab w:val="left" w:pos="6804"/>
          <w:tab w:val="right" w:pos="9638"/>
        </w:tabs>
        <w:spacing w:before="240" w:after="120"/>
      </w:pPr>
      <w:r>
        <w:t xml:space="preserve">Stakeholders generally supported the standardised products listed in </w:t>
      </w:r>
      <w:r w:rsidR="001008B8">
        <w:fldChar w:fldCharType="begin"/>
      </w:r>
      <w:r w:rsidR="001008B8">
        <w:instrText xml:space="preserve"> REF _Ref498878769 \h </w:instrText>
      </w:r>
      <w:r w:rsidR="001008B8">
        <w:fldChar w:fldCharType="separate"/>
      </w:r>
      <w:r w:rsidR="00761861" w:rsidRPr="00D342CF">
        <w:t xml:space="preserve">Table </w:t>
      </w:r>
      <w:r w:rsidR="00761861">
        <w:rPr>
          <w:noProof/>
        </w:rPr>
        <w:t>6</w:t>
      </w:r>
      <w:r w:rsidR="00761861" w:rsidRPr="00D342CF">
        <w:t>.</w:t>
      </w:r>
      <w:r w:rsidR="00761861">
        <w:rPr>
          <w:noProof/>
        </w:rPr>
        <w:t>3</w:t>
      </w:r>
      <w:r w:rsidR="001008B8">
        <w:fldChar w:fldCharType="end"/>
      </w:r>
      <w:r>
        <w:t xml:space="preserve">, although some stakeholders suggested that longer dated products be considered. Origin, for example, </w:t>
      </w:r>
      <w:r w:rsidR="00425D66">
        <w:t>suggested that</w:t>
      </w:r>
      <w:r>
        <w:t xml:space="preserve"> the inclusion of a quarterly product could provide market participants with additional certainty to undertake longer-term gas trades, but noted that liquidity may be limited, particularly at market start. Origin also noted that the credit support requirements for longer dated products could limit the ability of smaller market participants to trade longer dated quarterly products. APA expressed a similar view, noting that longer tenors would introduce credit risk issues that could complicate the market design.</w:t>
      </w:r>
    </w:p>
    <w:p w14:paraId="1E2A2CD4" w14:textId="77777777" w:rsidR="00CF4594" w:rsidRDefault="00CF4594" w:rsidP="00CF4594">
      <w:pPr>
        <w:tabs>
          <w:tab w:val="left" w:pos="2268"/>
          <w:tab w:val="left" w:pos="4536"/>
          <w:tab w:val="left" w:pos="6804"/>
          <w:tab w:val="right" w:pos="9638"/>
        </w:tabs>
        <w:spacing w:before="240" w:after="120"/>
      </w:pPr>
      <w:r>
        <w:t>Jemena, on the other hand, noted that offering day-ahead services on the platform may be challenging, giv</w:t>
      </w:r>
      <w:r w:rsidR="00F67279">
        <w:t>en</w:t>
      </w:r>
      <w:r>
        <w:t xml:space="preserve"> the limited time available to implement the trade and make it available for use. Jemena </w:t>
      </w:r>
      <w:r w:rsidR="00425D66">
        <w:t>suggested that</w:t>
      </w:r>
      <w:r>
        <w:t xml:space="preserve"> the inclusion of this product would add considerable cost to </w:t>
      </w:r>
      <w:r w:rsidR="00993A3C">
        <w:t xml:space="preserve">the </w:t>
      </w:r>
      <w:r>
        <w:t xml:space="preserve">platform. </w:t>
      </w:r>
    </w:p>
    <w:p w14:paraId="530681FA" w14:textId="77777777" w:rsidR="00CF4594" w:rsidRDefault="00CF4594" w:rsidP="00CF4594">
      <w:pPr>
        <w:tabs>
          <w:tab w:val="left" w:pos="2268"/>
          <w:tab w:val="left" w:pos="4536"/>
          <w:tab w:val="left" w:pos="6804"/>
          <w:tab w:val="right" w:pos="9638"/>
        </w:tabs>
        <w:spacing w:before="240" w:after="120"/>
        <w:rPr>
          <w:rFonts w:eastAsiaTheme="minorEastAsia"/>
        </w:rPr>
      </w:pPr>
      <w:r>
        <w:rPr>
          <w:rFonts w:eastAsiaTheme="minorEastAsia"/>
        </w:rPr>
        <w:t xml:space="preserve">In relation to contract size, some stakeholders supported the proposed 500 GJ minimum contract size, while others supported a 1 TJ minimum contract size. APA, for example, </w:t>
      </w:r>
      <w:r w:rsidR="00425D66">
        <w:rPr>
          <w:rFonts w:eastAsiaTheme="minorEastAsia"/>
        </w:rPr>
        <w:t>was of the view</w:t>
      </w:r>
      <w:r>
        <w:rPr>
          <w:rFonts w:eastAsiaTheme="minorEastAsia"/>
        </w:rPr>
        <w:t xml:space="preserve"> that a 500 GJ minimum contract size was appropriate for the start of the market, and noted that smaller contract sizes could be added in the future if there is demand for it.</w:t>
      </w:r>
      <w:r>
        <w:t xml:space="preserve"> Epic and Shell agreed with this view. O</w:t>
      </w:r>
      <w:r>
        <w:rPr>
          <w:rFonts w:eastAsiaTheme="minorEastAsia"/>
        </w:rPr>
        <w:t xml:space="preserve">rigin, on the other hand, noted that while it is comfortable with the proposed contract size, it is lower than the minimum contract size of 1 TJ for products traded on the GSH. Origin went on to add that, to the extent there is a desire to align the standardised contract size with the GSH, it may be appropriate to allow smaller volumes to be traded off-market. Stanwell and APLNG also </w:t>
      </w:r>
      <w:r w:rsidR="00425D66">
        <w:rPr>
          <w:rFonts w:eastAsiaTheme="minorEastAsia"/>
        </w:rPr>
        <w:t xml:space="preserve">suggested </w:t>
      </w:r>
      <w:r>
        <w:rPr>
          <w:rFonts w:eastAsiaTheme="minorEastAsia"/>
        </w:rPr>
        <w:t>there was value in aligning the minimum contract size for capacity products with the 1 TJ minimum size available on the GSH.</w:t>
      </w:r>
      <w:r>
        <w:t xml:space="preserve"> </w:t>
      </w:r>
    </w:p>
    <w:p w14:paraId="3BB5402B" w14:textId="77777777" w:rsidR="00CF4594" w:rsidRPr="008E3DFE" w:rsidRDefault="00CF4594" w:rsidP="00CF4594">
      <w:pPr>
        <w:pStyle w:val="Heading6"/>
        <w:spacing w:line="252" w:lineRule="auto"/>
        <w:rPr>
          <w:rStyle w:val="Bold"/>
          <w:b/>
          <w:color w:val="0099CC"/>
        </w:rPr>
      </w:pPr>
      <w:r w:rsidRPr="008E3DFE">
        <w:rPr>
          <w:rStyle w:val="Bold"/>
          <w:b/>
          <w:color w:val="0099CC"/>
        </w:rPr>
        <w:t xml:space="preserve">GMRG’s final recommendations </w:t>
      </w:r>
    </w:p>
    <w:p w14:paraId="336B7E20" w14:textId="77777777" w:rsidR="00CF4594" w:rsidRDefault="00CF4594" w:rsidP="00CF4594">
      <w:pPr>
        <w:tabs>
          <w:tab w:val="left" w:pos="2268"/>
          <w:tab w:val="left" w:pos="4536"/>
          <w:tab w:val="left" w:pos="6804"/>
          <w:tab w:val="right" w:pos="9638"/>
        </w:tabs>
        <w:spacing w:before="240" w:after="120"/>
      </w:pPr>
      <w:r>
        <w:t xml:space="preserve">The GMRG has considered the feedback provided by stakeholders on contract tenor and while it can see merit in adding longer date products, it agrees that doing so could add considerable complexity to the initial design, particularly in relation to the credit risk arrangements. The GMRG is therefore recommending that the term of the </w:t>
      </w:r>
      <w:r w:rsidR="0078457E">
        <w:t xml:space="preserve">initial list of </w:t>
      </w:r>
      <w:r>
        <w:t xml:space="preserve">standardised products </w:t>
      </w:r>
      <w:r w:rsidR="0078457E">
        <w:t>be limited to day-ahead, daily, weekly and monthly products</w:t>
      </w:r>
      <w:r>
        <w:t xml:space="preserve">.  </w:t>
      </w:r>
    </w:p>
    <w:p w14:paraId="3DD2568F" w14:textId="77777777" w:rsidR="00CF4594" w:rsidRDefault="00CF4594" w:rsidP="00CF4594">
      <w:pPr>
        <w:tabs>
          <w:tab w:val="left" w:pos="2268"/>
          <w:tab w:val="left" w:pos="4536"/>
          <w:tab w:val="left" w:pos="6804"/>
          <w:tab w:val="right" w:pos="9638"/>
        </w:tabs>
        <w:spacing w:before="240" w:after="120"/>
      </w:pPr>
      <w:r>
        <w:t xml:space="preserve">In relation to contract size, the GMRG recommends that a 500 GJ minimum contract size be adopted and applied to all standardised transportation products available on the exchange. While this is lower than the minimum contract size for gas products on the GSH, the GMRG understands that: </w:t>
      </w:r>
    </w:p>
    <w:p w14:paraId="494F89FC" w14:textId="77777777" w:rsidR="00CF4594" w:rsidRDefault="00CF4594" w:rsidP="00CF4594">
      <w:pPr>
        <w:pStyle w:val="ListBullet"/>
      </w:pPr>
      <w:r>
        <w:t xml:space="preserve">smaller shippers prefer a smaller minimum contract size; and </w:t>
      </w:r>
    </w:p>
    <w:p w14:paraId="0B6D60D1" w14:textId="77777777" w:rsidR="00CF4594" w:rsidRDefault="00CF4594" w:rsidP="00CF4594">
      <w:pPr>
        <w:pStyle w:val="ListBullet"/>
      </w:pPr>
      <w:proofErr w:type="gramStart"/>
      <w:r>
        <w:t>shippers</w:t>
      </w:r>
      <w:proofErr w:type="gramEnd"/>
      <w:r>
        <w:t xml:space="preserve"> are not limited to purchasing gas through the GSH (i.e. they may have their own gas supply contracts in place). </w:t>
      </w:r>
    </w:p>
    <w:p w14:paraId="7E27E459" w14:textId="77777777" w:rsidR="00CF4594" w:rsidRDefault="00CF4594" w:rsidP="00CF4594">
      <w:pPr>
        <w:tabs>
          <w:tab w:val="left" w:pos="2268"/>
          <w:tab w:val="left" w:pos="4536"/>
          <w:tab w:val="left" w:pos="6804"/>
          <w:tab w:val="right" w:pos="9638"/>
        </w:tabs>
        <w:spacing w:before="240" w:after="120"/>
      </w:pPr>
      <w:r>
        <w:lastRenderedPageBreak/>
        <w:t xml:space="preserve">The GMRG does not therefore think it is necessary to align the minimum contract size for transportation products with gas products and believes that a lower minimum contract size will promote liquidity on the exchange.  </w:t>
      </w:r>
    </w:p>
    <w:p w14:paraId="5B7033E6" w14:textId="77777777" w:rsidR="00CF4594" w:rsidRDefault="00CF4594" w:rsidP="00CF4594">
      <w:pPr>
        <w:tabs>
          <w:tab w:val="left" w:pos="2268"/>
          <w:tab w:val="left" w:pos="4536"/>
          <w:tab w:val="left" w:pos="6804"/>
          <w:tab w:val="right" w:pos="9638"/>
        </w:tabs>
        <w:spacing w:before="240" w:after="120"/>
      </w:pPr>
      <w:r>
        <w:t>In terms of the MHQ factor that will apply to the standardised firm forward haul and compression products</w:t>
      </w:r>
      <w:r w:rsidR="00D26275">
        <w:t xml:space="preserve">, </w:t>
      </w:r>
      <w:r>
        <w:rPr>
          <w:vanish/>
        </w:rPr>
        <w:t xml:space="preserve">, </w:t>
      </w:r>
      <w:r>
        <w:t xml:space="preserve">the GMRG understands it is not possible to develop a standardised </w:t>
      </w:r>
      <w:r w:rsidR="0078457E">
        <w:t xml:space="preserve">MHQ </w:t>
      </w:r>
      <w:r>
        <w:t xml:space="preserve">factor because not all pipelines offer MHQ flexibility. The MHQ factor will therefore be specified in the facility specific terms of the standardised operational GTA that service providers will be required to offer. </w:t>
      </w:r>
    </w:p>
    <w:p w14:paraId="7A83EB46" w14:textId="23860C18" w:rsidR="0078457E" w:rsidRDefault="00537991" w:rsidP="0078457E">
      <w:pPr>
        <w:pStyle w:val="BodyText"/>
      </w:pPr>
      <w:r>
        <w:t>T</w:t>
      </w:r>
      <w:r w:rsidR="0078457E">
        <w:t xml:space="preserve">able </w:t>
      </w:r>
      <w:r>
        <w:t>6.4</w:t>
      </w:r>
      <w:r w:rsidR="0078457E">
        <w:t xml:space="preserve"> sets out the GMRG’s final recommendation on the standardised exchange based products that should be available at market start. The contract paths appearing in this table have been developed having regard to the preliminary work carried out by APA, Epic, Jemena and </w:t>
      </w:r>
      <w:proofErr w:type="spellStart"/>
      <w:r w:rsidR="0078457E">
        <w:t>SEAGas</w:t>
      </w:r>
      <w:proofErr w:type="spellEnd"/>
      <w:r w:rsidR="0078457E">
        <w:t xml:space="preserve"> on receipt and delivery point zones. As noted in section 6.2, the GMRG will work with service providers and AEMO on the zonal definitions during the implementation phase in 2018. Accordingly, some refinements may be required to the contract paths set out in </w:t>
      </w:r>
      <w:r w:rsidR="0078457E">
        <w:fldChar w:fldCharType="begin"/>
      </w:r>
      <w:r w:rsidR="0078457E">
        <w:instrText xml:space="preserve"> REF _Ref498878863 \h </w:instrText>
      </w:r>
      <w:r w:rsidR="0078457E">
        <w:fldChar w:fldCharType="separate"/>
      </w:r>
      <w:r w:rsidR="00761861" w:rsidRPr="00D342CF">
        <w:t xml:space="preserve">Table </w:t>
      </w:r>
      <w:r w:rsidR="00761861">
        <w:rPr>
          <w:noProof/>
        </w:rPr>
        <w:t>6</w:t>
      </w:r>
      <w:r w:rsidR="00761861" w:rsidRPr="00D342CF">
        <w:t>.</w:t>
      </w:r>
      <w:r w:rsidR="00761861">
        <w:rPr>
          <w:noProof/>
        </w:rPr>
        <w:t>4</w:t>
      </w:r>
      <w:r w:rsidR="0078457E">
        <w:fldChar w:fldCharType="end"/>
      </w:r>
      <w:r w:rsidR="0078457E">
        <w:t xml:space="preserve">. </w:t>
      </w:r>
    </w:p>
    <w:p w14:paraId="31E5CBC6" w14:textId="77777777" w:rsidR="0078457E" w:rsidRDefault="0078457E" w:rsidP="0078457E">
      <w:pPr>
        <w:pStyle w:val="BodyText"/>
      </w:pPr>
      <w:r>
        <w:t xml:space="preserve">Setting this aside, the GMRG is of the view that the standardised products set out in </w:t>
      </w:r>
      <w:r>
        <w:fldChar w:fldCharType="begin"/>
      </w:r>
      <w:r>
        <w:instrText xml:space="preserve"> REF _Ref498878863 \h </w:instrText>
      </w:r>
      <w:r>
        <w:fldChar w:fldCharType="separate"/>
      </w:r>
      <w:r w:rsidR="00761861" w:rsidRPr="00D342CF">
        <w:t xml:space="preserve">Table </w:t>
      </w:r>
      <w:r w:rsidR="00761861">
        <w:rPr>
          <w:noProof/>
        </w:rPr>
        <w:t>6</w:t>
      </w:r>
      <w:r w:rsidR="00761861" w:rsidRPr="00D342CF">
        <w:t>.</w:t>
      </w:r>
      <w:r w:rsidR="00761861">
        <w:rPr>
          <w:noProof/>
        </w:rPr>
        <w:t>4</w:t>
      </w:r>
      <w:r>
        <w:fldChar w:fldCharType="end"/>
      </w:r>
      <w:r>
        <w:t xml:space="preserve"> will make capacity more fungible, which should facilitate more secondary capacity trading through the exchange. </w:t>
      </w:r>
    </w:p>
    <w:p w14:paraId="57C741C5" w14:textId="77777777" w:rsidR="00CF4594" w:rsidRDefault="00CF4594" w:rsidP="00CF4594">
      <w:pPr>
        <w:tabs>
          <w:tab w:val="left" w:pos="2268"/>
          <w:tab w:val="left" w:pos="4536"/>
          <w:tab w:val="left" w:pos="6804"/>
          <w:tab w:val="right" w:pos="9638"/>
        </w:tabs>
        <w:spacing w:before="240" w:after="120"/>
      </w:pPr>
      <w:r>
        <w:t xml:space="preserve">Finally, it is worth noting that the standardised parameters that are adopted at market start can be amended over time through the Exchange Agreement change process if there is interest in doing so. Market participants </w:t>
      </w:r>
      <w:r w:rsidR="0078457E">
        <w:t>c</w:t>
      </w:r>
      <w:r>
        <w:t>ould therefore propose the inclusion of longer dated products if there was interest in having such product</w:t>
      </w:r>
      <w:r w:rsidR="00425D66">
        <w:t>s</w:t>
      </w:r>
      <w:r>
        <w:t xml:space="preserve"> on the exchange.</w:t>
      </w:r>
    </w:p>
    <w:tbl>
      <w:tblPr>
        <w:tblStyle w:val="TableGrid"/>
        <w:tblW w:w="8510" w:type="dxa"/>
        <w:shd w:val="clear" w:color="000000" w:fill="000000"/>
        <w:tblLook w:val="04A0" w:firstRow="1" w:lastRow="0" w:firstColumn="1" w:lastColumn="0" w:noHBand="0" w:noVBand="1"/>
        <w:tblCaption w:val="Table 6.4"/>
        <w:tblDescription w:val="Final recommendations on standardised exchange products "/>
      </w:tblPr>
      <w:tblGrid>
        <w:gridCol w:w="993"/>
        <w:gridCol w:w="2552"/>
        <w:gridCol w:w="2834"/>
        <w:gridCol w:w="2131"/>
      </w:tblGrid>
      <w:tr w:rsidR="0094109D" w:rsidRPr="00D342CF" w14:paraId="60AD0FC5" w14:textId="77777777" w:rsidTr="0094109D">
        <w:trPr>
          <w:cnfStyle w:val="100000000000" w:firstRow="1" w:lastRow="0" w:firstColumn="0" w:lastColumn="0" w:oddVBand="0" w:evenVBand="0" w:oddHBand="0" w:evenHBand="0" w:firstRowFirstColumn="0" w:firstRowLastColumn="0" w:lastRowFirstColumn="0" w:lastRowLastColumn="0"/>
          <w:tblHeader/>
        </w:trPr>
        <w:tc>
          <w:tcPr>
            <w:tcW w:w="8510" w:type="dxa"/>
            <w:gridSpan w:val="4"/>
            <w:tcBorders>
              <w:top w:val="nil"/>
            </w:tcBorders>
            <w:shd w:val="clear" w:color="auto" w:fill="auto"/>
          </w:tcPr>
          <w:p w14:paraId="213DF357" w14:textId="10F4AC56" w:rsidR="0094109D" w:rsidRPr="0094109D" w:rsidRDefault="0094109D" w:rsidP="0094109D">
            <w:pPr>
              <w:keepNext/>
              <w:spacing w:before="20" w:after="20" w:line="240" w:lineRule="auto"/>
              <w:rPr>
                <w:rFonts w:asciiTheme="majorHAnsi" w:hAnsiTheme="majorHAnsi" w:cstheme="majorHAnsi"/>
                <w:color w:val="auto"/>
                <w:sz w:val="22"/>
                <w:szCs w:val="18"/>
              </w:rPr>
            </w:pPr>
            <w:bookmarkStart w:id="134" w:name="_Toc497653695"/>
            <w:bookmarkStart w:id="135" w:name="_Toc498406345"/>
            <w:bookmarkStart w:id="136" w:name="_Ref498878863"/>
            <w:r w:rsidRPr="0094109D">
              <w:rPr>
                <w:color w:val="auto"/>
                <w:sz w:val="22"/>
              </w:rPr>
              <w:lastRenderedPageBreak/>
              <w:t xml:space="preserve">Table </w:t>
            </w:r>
            <w:r w:rsidRPr="0094109D">
              <w:rPr>
                <w:color w:val="auto"/>
                <w:sz w:val="22"/>
              </w:rPr>
              <w:fldChar w:fldCharType="begin"/>
            </w:r>
            <w:r w:rsidRPr="0094109D">
              <w:rPr>
                <w:color w:val="auto"/>
                <w:sz w:val="22"/>
              </w:rPr>
              <w:instrText xml:space="preserve"> STYLEREF 1 \s </w:instrText>
            </w:r>
            <w:r w:rsidRPr="0094109D">
              <w:rPr>
                <w:color w:val="auto"/>
                <w:sz w:val="22"/>
              </w:rPr>
              <w:fldChar w:fldCharType="separate"/>
            </w:r>
            <w:r w:rsidRPr="0094109D">
              <w:rPr>
                <w:noProof/>
                <w:color w:val="auto"/>
                <w:sz w:val="22"/>
              </w:rPr>
              <w:t>6</w:t>
            </w:r>
            <w:r w:rsidRPr="0094109D">
              <w:rPr>
                <w:noProof/>
                <w:color w:val="auto"/>
                <w:sz w:val="22"/>
              </w:rPr>
              <w:fldChar w:fldCharType="end"/>
            </w:r>
            <w:r w:rsidRPr="0094109D">
              <w:rPr>
                <w:color w:val="auto"/>
                <w:sz w:val="22"/>
              </w:rPr>
              <w:t>.</w:t>
            </w:r>
            <w:r w:rsidRPr="0094109D">
              <w:rPr>
                <w:color w:val="auto"/>
                <w:sz w:val="22"/>
              </w:rPr>
              <w:fldChar w:fldCharType="begin"/>
            </w:r>
            <w:r w:rsidRPr="0094109D">
              <w:rPr>
                <w:color w:val="auto"/>
                <w:sz w:val="22"/>
              </w:rPr>
              <w:instrText xml:space="preserve"> SEQ Table \* ARABIC \s 1 </w:instrText>
            </w:r>
            <w:r w:rsidRPr="0094109D">
              <w:rPr>
                <w:color w:val="auto"/>
                <w:sz w:val="22"/>
              </w:rPr>
              <w:fldChar w:fldCharType="separate"/>
            </w:r>
            <w:r w:rsidRPr="0094109D">
              <w:rPr>
                <w:noProof/>
                <w:color w:val="auto"/>
                <w:sz w:val="22"/>
              </w:rPr>
              <w:t>4</w:t>
            </w:r>
            <w:r w:rsidRPr="0094109D">
              <w:rPr>
                <w:noProof/>
                <w:color w:val="auto"/>
                <w:sz w:val="22"/>
              </w:rPr>
              <w:fldChar w:fldCharType="end"/>
            </w:r>
            <w:bookmarkEnd w:id="136"/>
            <w:r w:rsidRPr="0094109D">
              <w:rPr>
                <w:color w:val="auto"/>
                <w:sz w:val="22"/>
              </w:rPr>
              <w:t xml:space="preserve">: Final recommendations on </w:t>
            </w:r>
            <w:r w:rsidRPr="0094109D">
              <w:rPr>
                <w:rStyle w:val="Bold"/>
                <w:b/>
                <w:color w:val="auto"/>
                <w:sz w:val="22"/>
              </w:rPr>
              <w:t>standardised exchange products</w:t>
            </w:r>
          </w:p>
        </w:tc>
      </w:tr>
      <w:tr w:rsidR="0094109D" w:rsidRPr="00D342CF" w14:paraId="57211313" w14:textId="77777777" w:rsidTr="0094109D">
        <w:tc>
          <w:tcPr>
            <w:tcW w:w="6379" w:type="dxa"/>
            <w:gridSpan w:val="3"/>
            <w:shd w:val="clear" w:color="auto" w:fill="65697F" w:themeFill="background2" w:themeFillShade="80"/>
          </w:tcPr>
          <w:p w14:paraId="08490511" w14:textId="79175118" w:rsidR="0094109D" w:rsidRPr="00D342CF" w:rsidRDefault="0094109D" w:rsidP="0094109D">
            <w:pPr>
              <w:keepNext/>
              <w:spacing w:before="20" w:after="20" w:line="240" w:lineRule="auto"/>
              <w:jc w:val="center"/>
              <w:rPr>
                <w:rFonts w:asciiTheme="majorHAnsi" w:hAnsiTheme="majorHAnsi" w:cstheme="majorHAnsi"/>
                <w:color w:val="FFFFFF" w:themeColor="background1"/>
                <w:szCs w:val="18"/>
              </w:rPr>
            </w:pPr>
            <w:r w:rsidRPr="00D342CF">
              <w:rPr>
                <w:rFonts w:asciiTheme="majorHAnsi" w:hAnsiTheme="majorHAnsi" w:cstheme="majorHAnsi"/>
                <w:color w:val="FFFFFF" w:themeColor="background1"/>
                <w:szCs w:val="18"/>
              </w:rPr>
              <w:t xml:space="preserve">Contract </w:t>
            </w:r>
            <w:r>
              <w:rPr>
                <w:rFonts w:asciiTheme="majorHAnsi" w:hAnsiTheme="majorHAnsi" w:cstheme="majorHAnsi"/>
                <w:color w:val="FFFFFF" w:themeColor="background1"/>
                <w:szCs w:val="18"/>
              </w:rPr>
              <w:t>Tenor</w:t>
            </w:r>
          </w:p>
        </w:tc>
        <w:tc>
          <w:tcPr>
            <w:tcW w:w="2131" w:type="dxa"/>
            <w:shd w:val="clear" w:color="auto" w:fill="65697F" w:themeFill="background2" w:themeFillShade="80"/>
          </w:tcPr>
          <w:p w14:paraId="74540A6E" w14:textId="0E8EF584" w:rsidR="0094109D" w:rsidRPr="00D342CF" w:rsidRDefault="0094109D" w:rsidP="0094109D">
            <w:pPr>
              <w:keepNext/>
              <w:spacing w:before="20" w:after="20" w:line="240" w:lineRule="auto"/>
              <w:jc w:val="center"/>
              <w:rPr>
                <w:rFonts w:asciiTheme="majorHAnsi" w:hAnsiTheme="majorHAnsi" w:cstheme="majorHAnsi"/>
                <w:color w:val="FFFFFF" w:themeColor="background1"/>
                <w:szCs w:val="18"/>
              </w:rPr>
            </w:pPr>
            <w:r w:rsidRPr="00D342CF">
              <w:rPr>
                <w:rFonts w:asciiTheme="majorHAnsi" w:hAnsiTheme="majorHAnsi" w:cstheme="majorHAnsi"/>
                <w:color w:val="FFFFFF" w:themeColor="background1"/>
                <w:szCs w:val="18"/>
              </w:rPr>
              <w:t>Contract Size</w:t>
            </w:r>
          </w:p>
        </w:tc>
      </w:tr>
      <w:tr w:rsidR="0094109D" w:rsidRPr="00D342CF" w14:paraId="408E97A4" w14:textId="77777777" w:rsidTr="0094109D">
        <w:trPr>
          <w:cnfStyle w:val="000000010000" w:firstRow="0" w:lastRow="0" w:firstColumn="0" w:lastColumn="0" w:oddVBand="0" w:evenVBand="0" w:oddHBand="0" w:evenHBand="1" w:firstRowFirstColumn="0" w:firstRowLastColumn="0" w:lastRowFirstColumn="0" w:lastRowLastColumn="0"/>
        </w:trPr>
        <w:tc>
          <w:tcPr>
            <w:tcW w:w="6379" w:type="dxa"/>
            <w:gridSpan w:val="3"/>
            <w:shd w:val="clear" w:color="000000" w:fill="auto"/>
          </w:tcPr>
          <w:p w14:paraId="6A42D720" w14:textId="77777777" w:rsidR="0094109D" w:rsidRPr="00D342CF" w:rsidRDefault="0094109D" w:rsidP="0094109D">
            <w:pPr>
              <w:keepNext/>
              <w:spacing w:before="20" w:after="20" w:line="240" w:lineRule="auto"/>
              <w:rPr>
                <w:rFonts w:asciiTheme="majorHAnsi" w:hAnsiTheme="majorHAnsi" w:cstheme="majorHAnsi"/>
                <w:szCs w:val="18"/>
              </w:rPr>
            </w:pPr>
            <w:r w:rsidRPr="00D342CF">
              <w:rPr>
                <w:rFonts w:asciiTheme="majorHAnsi" w:hAnsiTheme="majorHAnsi" w:cstheme="majorHAnsi"/>
                <w:szCs w:val="18"/>
              </w:rPr>
              <w:t>Day-ahead product</w:t>
            </w:r>
          </w:p>
        </w:tc>
        <w:tc>
          <w:tcPr>
            <w:tcW w:w="2131" w:type="dxa"/>
            <w:vMerge w:val="restart"/>
            <w:shd w:val="clear" w:color="000000" w:fill="auto"/>
          </w:tcPr>
          <w:p w14:paraId="2143C94F" w14:textId="77777777" w:rsidR="0094109D" w:rsidRPr="00D342CF" w:rsidRDefault="0094109D" w:rsidP="0094109D">
            <w:pPr>
              <w:keepNext/>
              <w:spacing w:before="20" w:after="20" w:line="240" w:lineRule="auto"/>
              <w:rPr>
                <w:rFonts w:asciiTheme="majorHAnsi" w:hAnsiTheme="majorHAnsi" w:cstheme="majorHAnsi"/>
                <w:szCs w:val="18"/>
              </w:rPr>
            </w:pPr>
            <w:r w:rsidRPr="00D342CF">
              <w:rPr>
                <w:rFonts w:asciiTheme="majorHAnsi" w:hAnsiTheme="majorHAnsi" w:cstheme="majorHAnsi"/>
                <w:szCs w:val="18"/>
              </w:rPr>
              <w:t xml:space="preserve">MDQ: 500 GJ </w:t>
            </w:r>
          </w:p>
        </w:tc>
      </w:tr>
      <w:tr w:rsidR="0094109D" w:rsidRPr="00D342CF" w14:paraId="0B979665" w14:textId="77777777" w:rsidTr="0094109D">
        <w:tc>
          <w:tcPr>
            <w:tcW w:w="6379" w:type="dxa"/>
            <w:gridSpan w:val="3"/>
            <w:shd w:val="clear" w:color="000000" w:fill="auto"/>
          </w:tcPr>
          <w:p w14:paraId="395C5468" w14:textId="77777777" w:rsidR="0094109D" w:rsidRPr="00D342CF" w:rsidRDefault="0094109D" w:rsidP="0094109D">
            <w:pPr>
              <w:keepNext/>
              <w:spacing w:before="20" w:after="20" w:line="240" w:lineRule="auto"/>
              <w:rPr>
                <w:rFonts w:asciiTheme="majorHAnsi" w:hAnsiTheme="majorHAnsi" w:cstheme="majorHAnsi"/>
                <w:szCs w:val="18"/>
              </w:rPr>
            </w:pPr>
            <w:r w:rsidRPr="00D342CF">
              <w:rPr>
                <w:rFonts w:asciiTheme="majorHAnsi" w:hAnsiTheme="majorHAnsi" w:cstheme="majorHAnsi"/>
                <w:szCs w:val="18"/>
              </w:rPr>
              <w:t xml:space="preserve">Daily product (available on a 6 day rolling basis) </w:t>
            </w:r>
          </w:p>
        </w:tc>
        <w:tc>
          <w:tcPr>
            <w:tcW w:w="2131" w:type="dxa"/>
            <w:vMerge/>
            <w:shd w:val="clear" w:color="000000" w:fill="auto"/>
          </w:tcPr>
          <w:p w14:paraId="261EEDDA" w14:textId="77777777" w:rsidR="0094109D" w:rsidRPr="00D342CF" w:rsidRDefault="0094109D" w:rsidP="0094109D">
            <w:pPr>
              <w:keepNext/>
              <w:spacing w:before="20" w:after="20" w:line="240" w:lineRule="auto"/>
              <w:rPr>
                <w:rFonts w:asciiTheme="majorHAnsi" w:hAnsiTheme="majorHAnsi" w:cstheme="majorHAnsi"/>
                <w:szCs w:val="18"/>
              </w:rPr>
            </w:pPr>
          </w:p>
        </w:tc>
      </w:tr>
      <w:tr w:rsidR="0094109D" w:rsidRPr="00D342CF" w14:paraId="609D6518" w14:textId="77777777" w:rsidTr="0094109D">
        <w:trPr>
          <w:cnfStyle w:val="000000010000" w:firstRow="0" w:lastRow="0" w:firstColumn="0" w:lastColumn="0" w:oddVBand="0" w:evenVBand="0" w:oddHBand="0" w:evenHBand="1" w:firstRowFirstColumn="0" w:firstRowLastColumn="0" w:lastRowFirstColumn="0" w:lastRowLastColumn="0"/>
        </w:trPr>
        <w:tc>
          <w:tcPr>
            <w:tcW w:w="6379" w:type="dxa"/>
            <w:gridSpan w:val="3"/>
            <w:shd w:val="clear" w:color="000000" w:fill="auto"/>
          </w:tcPr>
          <w:p w14:paraId="51715E22" w14:textId="77777777" w:rsidR="0094109D" w:rsidRPr="00D342CF" w:rsidRDefault="0094109D" w:rsidP="0094109D">
            <w:pPr>
              <w:keepNext/>
              <w:spacing w:before="20" w:after="20" w:line="240" w:lineRule="auto"/>
              <w:rPr>
                <w:rFonts w:asciiTheme="majorHAnsi" w:hAnsiTheme="majorHAnsi" w:cstheme="majorHAnsi"/>
                <w:szCs w:val="18"/>
              </w:rPr>
            </w:pPr>
            <w:r w:rsidRPr="00D342CF">
              <w:rPr>
                <w:rFonts w:asciiTheme="majorHAnsi" w:hAnsiTheme="majorHAnsi" w:cstheme="majorHAnsi"/>
                <w:szCs w:val="18"/>
              </w:rPr>
              <w:t>Weekly (available on a 4 week rolling basis)</w:t>
            </w:r>
          </w:p>
        </w:tc>
        <w:tc>
          <w:tcPr>
            <w:tcW w:w="2131" w:type="dxa"/>
            <w:vMerge/>
            <w:shd w:val="clear" w:color="000000" w:fill="auto"/>
          </w:tcPr>
          <w:p w14:paraId="05351619" w14:textId="77777777" w:rsidR="0094109D" w:rsidRPr="00D342CF" w:rsidRDefault="0094109D" w:rsidP="0094109D">
            <w:pPr>
              <w:keepNext/>
              <w:spacing w:before="20" w:after="20" w:line="240" w:lineRule="auto"/>
              <w:rPr>
                <w:rFonts w:asciiTheme="majorHAnsi" w:hAnsiTheme="majorHAnsi" w:cstheme="majorHAnsi"/>
                <w:szCs w:val="18"/>
              </w:rPr>
            </w:pPr>
          </w:p>
        </w:tc>
      </w:tr>
      <w:tr w:rsidR="0094109D" w:rsidRPr="00D342CF" w14:paraId="3A71375F" w14:textId="77777777" w:rsidTr="0094109D">
        <w:tc>
          <w:tcPr>
            <w:tcW w:w="6379" w:type="dxa"/>
            <w:gridSpan w:val="3"/>
            <w:shd w:val="clear" w:color="000000" w:fill="auto"/>
          </w:tcPr>
          <w:p w14:paraId="113C2369" w14:textId="77777777" w:rsidR="0094109D" w:rsidRPr="00D342CF" w:rsidRDefault="0094109D" w:rsidP="0094109D">
            <w:pPr>
              <w:keepNext/>
              <w:spacing w:before="20" w:after="20" w:line="240" w:lineRule="auto"/>
              <w:rPr>
                <w:rFonts w:asciiTheme="majorHAnsi" w:hAnsiTheme="majorHAnsi" w:cstheme="majorHAnsi"/>
                <w:szCs w:val="18"/>
              </w:rPr>
            </w:pPr>
            <w:r w:rsidRPr="00D342CF">
              <w:rPr>
                <w:rFonts w:asciiTheme="majorHAnsi" w:hAnsiTheme="majorHAnsi" w:cstheme="majorHAnsi"/>
                <w:szCs w:val="18"/>
              </w:rPr>
              <w:t>Monthly (available on a 3 month rolling basis)</w:t>
            </w:r>
          </w:p>
        </w:tc>
        <w:tc>
          <w:tcPr>
            <w:tcW w:w="2131" w:type="dxa"/>
            <w:vMerge/>
            <w:shd w:val="clear" w:color="000000" w:fill="auto"/>
          </w:tcPr>
          <w:p w14:paraId="4B2736E1" w14:textId="77777777" w:rsidR="0094109D" w:rsidRPr="00D342CF" w:rsidRDefault="0094109D" w:rsidP="0094109D">
            <w:pPr>
              <w:keepNext/>
              <w:spacing w:before="20" w:after="20" w:line="240" w:lineRule="auto"/>
              <w:rPr>
                <w:rFonts w:asciiTheme="majorHAnsi" w:hAnsiTheme="majorHAnsi" w:cstheme="majorHAnsi"/>
                <w:szCs w:val="18"/>
              </w:rPr>
            </w:pPr>
          </w:p>
        </w:tc>
      </w:tr>
      <w:tr w:rsidR="0094109D" w:rsidRPr="00D342CF" w14:paraId="78DA30B4" w14:textId="77777777" w:rsidTr="00C42B52">
        <w:trPr>
          <w:cnfStyle w:val="000000010000" w:firstRow="0" w:lastRow="0" w:firstColumn="0" w:lastColumn="0" w:oddVBand="0" w:evenVBand="0" w:oddHBand="0" w:evenHBand="1" w:firstRowFirstColumn="0" w:firstRowLastColumn="0" w:lastRowFirstColumn="0" w:lastRowLastColumn="0"/>
        </w:trPr>
        <w:tc>
          <w:tcPr>
            <w:tcW w:w="8510" w:type="dxa"/>
            <w:gridSpan w:val="4"/>
            <w:tcBorders>
              <w:bottom w:val="single" w:sz="4" w:space="0" w:color="auto"/>
            </w:tcBorders>
            <w:shd w:val="clear" w:color="auto" w:fill="0099CC"/>
          </w:tcPr>
          <w:p w14:paraId="246604FD" w14:textId="77777777" w:rsidR="0094109D" w:rsidRPr="00D342CF" w:rsidRDefault="0094109D" w:rsidP="0094109D">
            <w:pPr>
              <w:keepNext/>
              <w:spacing w:before="20" w:after="20" w:line="240" w:lineRule="auto"/>
              <w:jc w:val="center"/>
              <w:rPr>
                <w:rFonts w:asciiTheme="majorHAnsi" w:hAnsiTheme="majorHAnsi" w:cstheme="majorHAnsi"/>
                <w:b/>
                <w:color w:val="FFFFFF" w:themeColor="background1"/>
                <w:szCs w:val="18"/>
              </w:rPr>
            </w:pPr>
            <w:r w:rsidRPr="00D342CF">
              <w:rPr>
                <w:rFonts w:asciiTheme="majorHAnsi" w:hAnsiTheme="majorHAnsi" w:cstheme="majorHAnsi"/>
                <w:b/>
                <w:color w:val="FFFFFF" w:themeColor="background1"/>
                <w:szCs w:val="18"/>
              </w:rPr>
              <w:t>Firm Forward Haul Products</w:t>
            </w:r>
          </w:p>
        </w:tc>
      </w:tr>
      <w:tr w:rsidR="0094109D" w:rsidRPr="00D342CF" w14:paraId="0F4600A1" w14:textId="77777777" w:rsidTr="0094109D">
        <w:tblPrEx>
          <w:shd w:val="clear" w:color="auto" w:fill="auto"/>
          <w:tblLook w:val="0420" w:firstRow="1" w:lastRow="0" w:firstColumn="0" w:lastColumn="0" w:noHBand="0" w:noVBand="1"/>
        </w:tblPrEx>
        <w:tc>
          <w:tcPr>
            <w:tcW w:w="993" w:type="dxa"/>
            <w:tcBorders>
              <w:bottom w:val="single" w:sz="4" w:space="0" w:color="auto"/>
            </w:tcBorders>
            <w:shd w:val="clear" w:color="auto" w:fill="65697F" w:themeFill="background2" w:themeFillShade="80"/>
          </w:tcPr>
          <w:p w14:paraId="658B5E94" w14:textId="77777777" w:rsidR="0094109D" w:rsidRPr="00D342CF" w:rsidRDefault="0094109D" w:rsidP="0094109D">
            <w:pPr>
              <w:pStyle w:val="TableHeading"/>
              <w:keepNext/>
              <w:spacing w:before="20" w:after="20" w:line="240" w:lineRule="auto"/>
              <w:rPr>
                <w:b/>
                <w:szCs w:val="18"/>
              </w:rPr>
            </w:pPr>
            <w:r w:rsidRPr="00D342CF">
              <w:rPr>
                <w:b/>
                <w:szCs w:val="18"/>
              </w:rPr>
              <w:t xml:space="preserve">Pipeline </w:t>
            </w:r>
          </w:p>
        </w:tc>
        <w:tc>
          <w:tcPr>
            <w:tcW w:w="2552" w:type="dxa"/>
            <w:tcBorders>
              <w:bottom w:val="single" w:sz="4" w:space="0" w:color="auto"/>
            </w:tcBorders>
            <w:shd w:val="clear" w:color="auto" w:fill="65697F" w:themeFill="background2" w:themeFillShade="80"/>
          </w:tcPr>
          <w:p w14:paraId="2EB830E7" w14:textId="77777777" w:rsidR="0094109D" w:rsidRPr="00D342CF" w:rsidRDefault="0094109D" w:rsidP="0094109D">
            <w:pPr>
              <w:pStyle w:val="TableHeading"/>
              <w:keepNext/>
              <w:spacing w:before="20" w:after="20" w:line="240" w:lineRule="auto"/>
              <w:rPr>
                <w:b/>
                <w:szCs w:val="18"/>
              </w:rPr>
            </w:pPr>
            <w:r>
              <w:rPr>
                <w:b/>
                <w:szCs w:val="18"/>
              </w:rPr>
              <w:t>Receipt Zone</w:t>
            </w:r>
          </w:p>
        </w:tc>
        <w:tc>
          <w:tcPr>
            <w:tcW w:w="2834" w:type="dxa"/>
            <w:tcBorders>
              <w:bottom w:val="single" w:sz="4" w:space="0" w:color="auto"/>
            </w:tcBorders>
            <w:shd w:val="clear" w:color="auto" w:fill="65697F" w:themeFill="background2" w:themeFillShade="80"/>
          </w:tcPr>
          <w:p w14:paraId="6B38DF4A" w14:textId="77777777" w:rsidR="0094109D" w:rsidRPr="00D342CF" w:rsidRDefault="0094109D" w:rsidP="0094109D">
            <w:pPr>
              <w:pStyle w:val="TableHeading"/>
              <w:keepNext/>
              <w:spacing w:before="20" w:after="20" w:line="240" w:lineRule="auto"/>
              <w:rPr>
                <w:b/>
                <w:szCs w:val="18"/>
              </w:rPr>
            </w:pPr>
            <w:r>
              <w:rPr>
                <w:b/>
                <w:szCs w:val="18"/>
              </w:rPr>
              <w:t>Delivery Zone</w:t>
            </w:r>
          </w:p>
        </w:tc>
        <w:tc>
          <w:tcPr>
            <w:tcW w:w="2131" w:type="dxa"/>
            <w:tcBorders>
              <w:bottom w:val="single" w:sz="4" w:space="0" w:color="auto"/>
            </w:tcBorders>
            <w:shd w:val="clear" w:color="auto" w:fill="65697F" w:themeFill="background2" w:themeFillShade="80"/>
          </w:tcPr>
          <w:p w14:paraId="7FDAFDC2" w14:textId="77777777" w:rsidR="0094109D" w:rsidRPr="00D342CF" w:rsidRDefault="0094109D" w:rsidP="0094109D">
            <w:pPr>
              <w:pStyle w:val="TableHeading"/>
              <w:keepNext/>
              <w:spacing w:before="20" w:after="20" w:line="240" w:lineRule="auto"/>
              <w:rPr>
                <w:b/>
                <w:szCs w:val="18"/>
              </w:rPr>
            </w:pPr>
            <w:r w:rsidRPr="00D342CF">
              <w:rPr>
                <w:b/>
                <w:szCs w:val="18"/>
              </w:rPr>
              <w:t>Service provider</w:t>
            </w:r>
          </w:p>
        </w:tc>
      </w:tr>
      <w:tr w:rsidR="0094109D" w:rsidRPr="00D342CF" w14:paraId="553BD449" w14:textId="77777777" w:rsidTr="0094109D">
        <w:tblPrEx>
          <w:shd w:val="clear" w:color="auto" w:fill="auto"/>
          <w:tblLook w:val="0420" w:firstRow="1" w:lastRow="0" w:firstColumn="0" w:lastColumn="0" w:noHBand="0" w:noVBand="1"/>
        </w:tblPrEx>
        <w:trPr>
          <w:cnfStyle w:val="000000010000" w:firstRow="0" w:lastRow="0" w:firstColumn="0" w:lastColumn="0" w:oddVBand="0" w:evenVBand="0" w:oddHBand="0" w:evenHBand="1" w:firstRowFirstColumn="0" w:firstRowLastColumn="0" w:lastRowFirstColumn="0" w:lastRowLastColumn="0"/>
          <w:trHeight w:val="114"/>
        </w:trPr>
        <w:tc>
          <w:tcPr>
            <w:tcW w:w="993" w:type="dxa"/>
            <w:vMerge w:val="restart"/>
            <w:shd w:val="clear" w:color="auto" w:fill="auto"/>
          </w:tcPr>
          <w:p w14:paraId="0B92CB6D" w14:textId="77777777" w:rsidR="0094109D" w:rsidRPr="00D342CF" w:rsidRDefault="0094109D" w:rsidP="0094109D">
            <w:pPr>
              <w:pStyle w:val="TableBodyText"/>
              <w:keepNext/>
              <w:spacing w:before="20" w:after="20" w:line="240" w:lineRule="auto"/>
              <w:rPr>
                <w:szCs w:val="18"/>
              </w:rPr>
            </w:pPr>
            <w:r w:rsidRPr="00D342CF">
              <w:rPr>
                <w:szCs w:val="18"/>
              </w:rPr>
              <w:t>RBP</w:t>
            </w:r>
          </w:p>
        </w:tc>
        <w:tc>
          <w:tcPr>
            <w:tcW w:w="2552" w:type="dxa"/>
            <w:shd w:val="clear" w:color="auto" w:fill="auto"/>
          </w:tcPr>
          <w:p w14:paraId="1992CB26" w14:textId="77777777" w:rsidR="0094109D" w:rsidRPr="00D342CF" w:rsidRDefault="0094109D" w:rsidP="0094109D">
            <w:pPr>
              <w:pStyle w:val="TableBodyText"/>
              <w:keepNext/>
              <w:spacing w:before="20" w:after="20" w:line="240" w:lineRule="auto"/>
              <w:rPr>
                <w:szCs w:val="18"/>
              </w:rPr>
            </w:pPr>
            <w:r>
              <w:rPr>
                <w:rFonts w:asciiTheme="majorHAnsi" w:hAnsiTheme="majorHAnsi" w:cstheme="majorHAnsi"/>
                <w:szCs w:val="18"/>
              </w:rPr>
              <w:t>Wallumbilla zone (runs 1, 2, 3, 4 and 7)</w:t>
            </w:r>
          </w:p>
        </w:tc>
        <w:tc>
          <w:tcPr>
            <w:tcW w:w="2834" w:type="dxa"/>
            <w:shd w:val="clear" w:color="auto" w:fill="auto"/>
          </w:tcPr>
          <w:p w14:paraId="2F882D46" w14:textId="77777777" w:rsidR="0094109D" w:rsidRPr="00D342CF" w:rsidRDefault="0094109D" w:rsidP="0094109D">
            <w:pPr>
              <w:pStyle w:val="TableBodyText"/>
              <w:keepNext/>
              <w:spacing w:before="20" w:after="20" w:line="240" w:lineRule="auto"/>
              <w:rPr>
                <w:szCs w:val="18"/>
              </w:rPr>
            </w:pPr>
            <w:r>
              <w:rPr>
                <w:rFonts w:asciiTheme="majorHAnsi" w:hAnsiTheme="majorHAnsi" w:cstheme="majorHAnsi"/>
                <w:szCs w:val="18"/>
              </w:rPr>
              <w:t xml:space="preserve">Brisbane STTM zone </w:t>
            </w:r>
          </w:p>
        </w:tc>
        <w:tc>
          <w:tcPr>
            <w:tcW w:w="2131" w:type="dxa"/>
            <w:vMerge w:val="restart"/>
            <w:shd w:val="clear" w:color="auto" w:fill="auto"/>
          </w:tcPr>
          <w:p w14:paraId="163DA050" w14:textId="77777777" w:rsidR="0094109D" w:rsidRPr="00D342CF" w:rsidRDefault="0094109D" w:rsidP="0094109D">
            <w:pPr>
              <w:pStyle w:val="TableBodyText"/>
              <w:keepNext/>
              <w:spacing w:before="20" w:after="20" w:line="240" w:lineRule="auto"/>
              <w:rPr>
                <w:szCs w:val="18"/>
              </w:rPr>
            </w:pPr>
            <w:r w:rsidRPr="00D342CF">
              <w:rPr>
                <w:szCs w:val="18"/>
              </w:rPr>
              <w:t xml:space="preserve">APA </w:t>
            </w:r>
          </w:p>
        </w:tc>
      </w:tr>
      <w:tr w:rsidR="0094109D" w:rsidRPr="00D342CF" w14:paraId="0CECD7FB" w14:textId="77777777" w:rsidTr="0094109D">
        <w:tblPrEx>
          <w:shd w:val="clear" w:color="auto" w:fill="auto"/>
          <w:tblLook w:val="0420" w:firstRow="1" w:lastRow="0" w:firstColumn="0" w:lastColumn="0" w:noHBand="0" w:noVBand="1"/>
        </w:tblPrEx>
        <w:trPr>
          <w:trHeight w:val="114"/>
        </w:trPr>
        <w:tc>
          <w:tcPr>
            <w:tcW w:w="993" w:type="dxa"/>
            <w:vMerge/>
            <w:shd w:val="clear" w:color="auto" w:fill="auto"/>
          </w:tcPr>
          <w:p w14:paraId="734BC956" w14:textId="77777777" w:rsidR="0094109D" w:rsidRPr="00D342CF" w:rsidRDefault="0094109D" w:rsidP="0094109D">
            <w:pPr>
              <w:pStyle w:val="TableBodyText"/>
              <w:keepNext/>
              <w:spacing w:before="20" w:after="20" w:line="240" w:lineRule="auto"/>
              <w:rPr>
                <w:szCs w:val="18"/>
              </w:rPr>
            </w:pPr>
          </w:p>
        </w:tc>
        <w:tc>
          <w:tcPr>
            <w:tcW w:w="2552" w:type="dxa"/>
            <w:shd w:val="clear" w:color="auto" w:fill="auto"/>
          </w:tcPr>
          <w:p w14:paraId="3D77D9C2" w14:textId="77777777" w:rsidR="0094109D" w:rsidRPr="00D342CF" w:rsidRDefault="0094109D" w:rsidP="0094109D">
            <w:pPr>
              <w:pStyle w:val="TableBodyText"/>
              <w:keepNext/>
              <w:spacing w:before="20" w:after="20" w:line="240" w:lineRule="auto"/>
              <w:rPr>
                <w:szCs w:val="18"/>
              </w:rPr>
            </w:pPr>
            <w:r>
              <w:rPr>
                <w:szCs w:val="18"/>
              </w:rPr>
              <w:t>Darling Downs (</w:t>
            </w:r>
            <w:proofErr w:type="spellStart"/>
            <w:r>
              <w:rPr>
                <w:szCs w:val="18"/>
              </w:rPr>
              <w:t>Kogan</w:t>
            </w:r>
            <w:proofErr w:type="spellEnd"/>
            <w:r>
              <w:rPr>
                <w:szCs w:val="18"/>
              </w:rPr>
              <w:t xml:space="preserve"> North, Scotia, </w:t>
            </w:r>
            <w:proofErr w:type="spellStart"/>
            <w:r>
              <w:rPr>
                <w:szCs w:val="18"/>
              </w:rPr>
              <w:t>Woodroyd</w:t>
            </w:r>
            <w:proofErr w:type="spellEnd"/>
            <w:r>
              <w:rPr>
                <w:szCs w:val="18"/>
              </w:rPr>
              <w:t xml:space="preserve">, Condamine, </w:t>
            </w:r>
            <w:proofErr w:type="spellStart"/>
            <w:r>
              <w:rPr>
                <w:szCs w:val="18"/>
              </w:rPr>
              <w:t>Windibri</w:t>
            </w:r>
            <w:proofErr w:type="spellEnd"/>
            <w:r>
              <w:rPr>
                <w:szCs w:val="18"/>
              </w:rPr>
              <w:t xml:space="preserve">, Argyle) </w:t>
            </w:r>
          </w:p>
        </w:tc>
        <w:tc>
          <w:tcPr>
            <w:tcW w:w="2834" w:type="dxa"/>
            <w:shd w:val="clear" w:color="auto" w:fill="auto"/>
          </w:tcPr>
          <w:p w14:paraId="39E9C882" w14:textId="77777777" w:rsidR="0094109D" w:rsidRPr="00D342CF" w:rsidRDefault="0094109D" w:rsidP="0094109D">
            <w:pPr>
              <w:pStyle w:val="TableBodyText"/>
              <w:keepNext/>
              <w:spacing w:before="20" w:after="20" w:line="240" w:lineRule="auto"/>
              <w:rPr>
                <w:szCs w:val="18"/>
              </w:rPr>
            </w:pPr>
            <w:r>
              <w:rPr>
                <w:szCs w:val="18"/>
              </w:rPr>
              <w:t>Wallumbilla (Low Pressure Trade Point (LPTP)</w:t>
            </w:r>
            <w:r>
              <w:rPr>
                <w:rFonts w:eastAsia="Cambria"/>
                <w:szCs w:val="18"/>
                <w:vertAlign w:val="superscript"/>
              </w:rPr>
              <w:footnoteReference w:id="75"/>
            </w:r>
          </w:p>
        </w:tc>
        <w:tc>
          <w:tcPr>
            <w:tcW w:w="2131" w:type="dxa"/>
            <w:vMerge/>
            <w:shd w:val="clear" w:color="auto" w:fill="auto"/>
          </w:tcPr>
          <w:p w14:paraId="58BE05AE" w14:textId="77777777" w:rsidR="0094109D" w:rsidRPr="00D342CF" w:rsidRDefault="0094109D" w:rsidP="0094109D">
            <w:pPr>
              <w:pStyle w:val="TableBodyText"/>
              <w:keepNext/>
              <w:spacing w:before="20" w:after="20" w:line="240" w:lineRule="auto"/>
              <w:rPr>
                <w:szCs w:val="18"/>
              </w:rPr>
            </w:pPr>
          </w:p>
        </w:tc>
      </w:tr>
      <w:tr w:rsidR="0094109D" w:rsidRPr="00D342CF" w14:paraId="726C4A8E" w14:textId="77777777" w:rsidTr="0094109D">
        <w:tblPrEx>
          <w:shd w:val="clear" w:color="auto" w:fill="auto"/>
          <w:tblLook w:val="0420" w:firstRow="1" w:lastRow="0" w:firstColumn="0" w:lastColumn="0" w:noHBand="0" w:noVBand="1"/>
        </w:tblPrEx>
        <w:trPr>
          <w:cnfStyle w:val="000000010000" w:firstRow="0" w:lastRow="0" w:firstColumn="0" w:lastColumn="0" w:oddVBand="0" w:evenVBand="0" w:oddHBand="0" w:evenHBand="1" w:firstRowFirstColumn="0" w:firstRowLastColumn="0" w:lastRowFirstColumn="0" w:lastRowLastColumn="0"/>
        </w:trPr>
        <w:tc>
          <w:tcPr>
            <w:tcW w:w="993" w:type="dxa"/>
            <w:shd w:val="clear" w:color="auto" w:fill="auto"/>
          </w:tcPr>
          <w:p w14:paraId="75265DA5" w14:textId="77777777" w:rsidR="0094109D" w:rsidRPr="00D342CF" w:rsidRDefault="0094109D" w:rsidP="0094109D">
            <w:pPr>
              <w:pStyle w:val="TableBodyText"/>
              <w:keepNext/>
              <w:spacing w:before="20" w:after="20" w:line="240" w:lineRule="auto"/>
              <w:rPr>
                <w:szCs w:val="18"/>
              </w:rPr>
            </w:pPr>
            <w:r w:rsidRPr="00D342CF">
              <w:rPr>
                <w:szCs w:val="18"/>
              </w:rPr>
              <w:t>QGP</w:t>
            </w:r>
          </w:p>
        </w:tc>
        <w:tc>
          <w:tcPr>
            <w:tcW w:w="2552" w:type="dxa"/>
            <w:shd w:val="clear" w:color="auto" w:fill="auto"/>
          </w:tcPr>
          <w:p w14:paraId="5BE37C40" w14:textId="77777777" w:rsidR="0094109D" w:rsidRPr="00D342CF" w:rsidRDefault="0094109D" w:rsidP="0094109D">
            <w:pPr>
              <w:pStyle w:val="TableBodyText"/>
              <w:keepNext/>
              <w:spacing w:before="20" w:after="20" w:line="240" w:lineRule="auto"/>
              <w:rPr>
                <w:szCs w:val="18"/>
              </w:rPr>
            </w:pPr>
            <w:r>
              <w:rPr>
                <w:szCs w:val="18"/>
              </w:rPr>
              <w:t>Wallumbilla (High Pressure Trade Point (HPTP)</w:t>
            </w:r>
            <w:r>
              <w:rPr>
                <w:rFonts w:eastAsia="Cambria"/>
                <w:szCs w:val="18"/>
                <w:vertAlign w:val="superscript"/>
              </w:rPr>
              <w:footnoteReference w:id="76"/>
            </w:r>
            <w:r>
              <w:rPr>
                <w:szCs w:val="18"/>
              </w:rPr>
              <w:t xml:space="preserve"> </w:t>
            </w:r>
          </w:p>
        </w:tc>
        <w:tc>
          <w:tcPr>
            <w:tcW w:w="2834" w:type="dxa"/>
            <w:shd w:val="clear" w:color="auto" w:fill="auto"/>
          </w:tcPr>
          <w:p w14:paraId="41228016" w14:textId="77777777" w:rsidR="0094109D" w:rsidRPr="00D342CF" w:rsidRDefault="0094109D" w:rsidP="0094109D">
            <w:pPr>
              <w:pStyle w:val="TableBodyText"/>
              <w:keepNext/>
              <w:spacing w:before="20" w:after="20" w:line="240" w:lineRule="auto"/>
              <w:rPr>
                <w:szCs w:val="18"/>
              </w:rPr>
            </w:pPr>
            <w:r>
              <w:rPr>
                <w:szCs w:val="18"/>
              </w:rPr>
              <w:t>Gladstone (Gladstone, Wide Bay, NOR, Qld Alumina, Boyne, Yarwun, Orica)</w:t>
            </w:r>
          </w:p>
        </w:tc>
        <w:tc>
          <w:tcPr>
            <w:tcW w:w="2131" w:type="dxa"/>
            <w:shd w:val="clear" w:color="auto" w:fill="auto"/>
          </w:tcPr>
          <w:p w14:paraId="6398A7DA" w14:textId="77777777" w:rsidR="0094109D" w:rsidRPr="00D342CF" w:rsidRDefault="0094109D" w:rsidP="0094109D">
            <w:pPr>
              <w:pStyle w:val="TableBodyText"/>
              <w:keepNext/>
              <w:spacing w:before="20" w:after="20" w:line="240" w:lineRule="auto"/>
              <w:rPr>
                <w:szCs w:val="18"/>
              </w:rPr>
            </w:pPr>
            <w:r w:rsidRPr="00D342CF">
              <w:rPr>
                <w:szCs w:val="18"/>
              </w:rPr>
              <w:t>Jemena</w:t>
            </w:r>
          </w:p>
        </w:tc>
      </w:tr>
      <w:tr w:rsidR="0094109D" w:rsidRPr="00D342CF" w14:paraId="4B518E37" w14:textId="77777777" w:rsidTr="0094109D">
        <w:tblPrEx>
          <w:shd w:val="clear" w:color="auto" w:fill="auto"/>
          <w:tblLook w:val="0420" w:firstRow="1" w:lastRow="0" w:firstColumn="0" w:lastColumn="0" w:noHBand="0" w:noVBand="1"/>
        </w:tblPrEx>
        <w:trPr>
          <w:trHeight w:val="114"/>
        </w:trPr>
        <w:tc>
          <w:tcPr>
            <w:tcW w:w="993" w:type="dxa"/>
            <w:vMerge w:val="restart"/>
            <w:shd w:val="clear" w:color="auto" w:fill="auto"/>
          </w:tcPr>
          <w:p w14:paraId="3F752D29" w14:textId="77777777" w:rsidR="0094109D" w:rsidRPr="00D342CF" w:rsidRDefault="0094109D" w:rsidP="0094109D">
            <w:pPr>
              <w:pStyle w:val="TableBodyText"/>
              <w:keepNext/>
              <w:spacing w:before="20" w:after="20" w:line="240" w:lineRule="auto"/>
              <w:rPr>
                <w:szCs w:val="18"/>
              </w:rPr>
            </w:pPr>
            <w:r w:rsidRPr="00D342CF">
              <w:rPr>
                <w:szCs w:val="18"/>
              </w:rPr>
              <w:t>SWQP</w:t>
            </w:r>
          </w:p>
        </w:tc>
        <w:tc>
          <w:tcPr>
            <w:tcW w:w="2552" w:type="dxa"/>
            <w:shd w:val="clear" w:color="auto" w:fill="auto"/>
          </w:tcPr>
          <w:p w14:paraId="0D52563D" w14:textId="77777777" w:rsidR="0094109D" w:rsidRPr="00D342CF" w:rsidRDefault="0094109D" w:rsidP="0094109D">
            <w:pPr>
              <w:pStyle w:val="TableBodyText"/>
              <w:keepNext/>
              <w:spacing w:before="20" w:after="20" w:line="240" w:lineRule="auto"/>
              <w:rPr>
                <w:szCs w:val="18"/>
              </w:rPr>
            </w:pPr>
            <w:r>
              <w:rPr>
                <w:szCs w:val="18"/>
              </w:rPr>
              <w:t xml:space="preserve">Wallumbilla (HPTP) </w:t>
            </w:r>
          </w:p>
        </w:tc>
        <w:tc>
          <w:tcPr>
            <w:tcW w:w="2834" w:type="dxa"/>
            <w:shd w:val="clear" w:color="auto" w:fill="auto"/>
          </w:tcPr>
          <w:p w14:paraId="2AC31B8F" w14:textId="77777777" w:rsidR="0094109D" w:rsidRPr="00D342CF" w:rsidRDefault="0094109D" w:rsidP="0094109D">
            <w:pPr>
              <w:pStyle w:val="TableBodyText"/>
              <w:keepNext/>
              <w:spacing w:before="20" w:after="20" w:line="240" w:lineRule="auto"/>
              <w:rPr>
                <w:szCs w:val="18"/>
              </w:rPr>
            </w:pPr>
            <w:r>
              <w:rPr>
                <w:szCs w:val="18"/>
              </w:rPr>
              <w:t>Moomba Compression Facility (MCF)</w:t>
            </w:r>
            <w:r>
              <w:rPr>
                <w:rFonts w:eastAsia="Cambria"/>
                <w:szCs w:val="18"/>
                <w:vertAlign w:val="superscript"/>
              </w:rPr>
              <w:footnoteReference w:id="77"/>
            </w:r>
          </w:p>
        </w:tc>
        <w:tc>
          <w:tcPr>
            <w:tcW w:w="2131" w:type="dxa"/>
            <w:vMerge w:val="restart"/>
            <w:shd w:val="clear" w:color="auto" w:fill="auto"/>
          </w:tcPr>
          <w:p w14:paraId="1A04F5AC" w14:textId="77777777" w:rsidR="0094109D" w:rsidRPr="00D342CF" w:rsidRDefault="0094109D" w:rsidP="0094109D">
            <w:pPr>
              <w:pStyle w:val="TableBodyText"/>
              <w:keepNext/>
              <w:spacing w:before="20" w:after="20" w:line="240" w:lineRule="auto"/>
              <w:rPr>
                <w:szCs w:val="18"/>
              </w:rPr>
            </w:pPr>
            <w:r w:rsidRPr="00D342CF">
              <w:rPr>
                <w:szCs w:val="18"/>
              </w:rPr>
              <w:t xml:space="preserve">APA </w:t>
            </w:r>
          </w:p>
        </w:tc>
      </w:tr>
      <w:tr w:rsidR="0094109D" w:rsidRPr="00D342CF" w14:paraId="25F49DB4" w14:textId="77777777" w:rsidTr="0094109D">
        <w:tblPrEx>
          <w:shd w:val="clear" w:color="auto" w:fill="auto"/>
          <w:tblLook w:val="0420" w:firstRow="1" w:lastRow="0" w:firstColumn="0" w:lastColumn="0" w:noHBand="0" w:noVBand="1"/>
        </w:tblPrEx>
        <w:trPr>
          <w:cnfStyle w:val="000000010000" w:firstRow="0" w:lastRow="0" w:firstColumn="0" w:lastColumn="0" w:oddVBand="0" w:evenVBand="0" w:oddHBand="0" w:evenHBand="1" w:firstRowFirstColumn="0" w:firstRowLastColumn="0" w:lastRowFirstColumn="0" w:lastRowLastColumn="0"/>
          <w:trHeight w:val="114"/>
        </w:trPr>
        <w:tc>
          <w:tcPr>
            <w:tcW w:w="993" w:type="dxa"/>
            <w:vMerge/>
            <w:shd w:val="clear" w:color="auto" w:fill="auto"/>
          </w:tcPr>
          <w:p w14:paraId="12C9BFCE" w14:textId="77777777" w:rsidR="0094109D" w:rsidRPr="00D342CF" w:rsidRDefault="0094109D" w:rsidP="0094109D">
            <w:pPr>
              <w:pStyle w:val="TableBodyText"/>
              <w:keepNext/>
              <w:spacing w:before="20" w:after="20" w:line="240" w:lineRule="auto"/>
              <w:rPr>
                <w:szCs w:val="18"/>
              </w:rPr>
            </w:pPr>
          </w:p>
        </w:tc>
        <w:tc>
          <w:tcPr>
            <w:tcW w:w="2552" w:type="dxa"/>
            <w:shd w:val="clear" w:color="auto" w:fill="auto"/>
          </w:tcPr>
          <w:p w14:paraId="60D003EC" w14:textId="77777777" w:rsidR="0094109D" w:rsidRPr="00D342CF" w:rsidRDefault="0094109D" w:rsidP="0094109D">
            <w:pPr>
              <w:pStyle w:val="TableBodyText"/>
              <w:keepNext/>
              <w:spacing w:before="20" w:after="20" w:line="240" w:lineRule="auto"/>
              <w:rPr>
                <w:szCs w:val="18"/>
              </w:rPr>
            </w:pPr>
            <w:r>
              <w:rPr>
                <w:szCs w:val="18"/>
              </w:rPr>
              <w:t xml:space="preserve">Moomba (MCF) </w:t>
            </w:r>
          </w:p>
        </w:tc>
        <w:tc>
          <w:tcPr>
            <w:tcW w:w="2834" w:type="dxa"/>
            <w:shd w:val="clear" w:color="auto" w:fill="auto"/>
          </w:tcPr>
          <w:p w14:paraId="27335685" w14:textId="77777777" w:rsidR="0094109D" w:rsidRPr="00D342CF" w:rsidRDefault="0094109D" w:rsidP="0094109D">
            <w:pPr>
              <w:pStyle w:val="TableBodyText"/>
              <w:keepNext/>
              <w:spacing w:before="20" w:after="20" w:line="240" w:lineRule="auto"/>
              <w:rPr>
                <w:szCs w:val="18"/>
              </w:rPr>
            </w:pPr>
            <w:r>
              <w:rPr>
                <w:szCs w:val="18"/>
              </w:rPr>
              <w:t>Wallumbilla (LPTP)</w:t>
            </w:r>
          </w:p>
        </w:tc>
        <w:tc>
          <w:tcPr>
            <w:tcW w:w="2131" w:type="dxa"/>
            <w:vMerge/>
            <w:shd w:val="clear" w:color="auto" w:fill="auto"/>
          </w:tcPr>
          <w:p w14:paraId="778AE15D" w14:textId="77777777" w:rsidR="0094109D" w:rsidRPr="00D342CF" w:rsidRDefault="0094109D" w:rsidP="0094109D">
            <w:pPr>
              <w:pStyle w:val="TableBodyText"/>
              <w:keepNext/>
              <w:spacing w:before="20" w:after="20" w:line="240" w:lineRule="auto"/>
              <w:rPr>
                <w:szCs w:val="18"/>
              </w:rPr>
            </w:pPr>
          </w:p>
        </w:tc>
      </w:tr>
      <w:tr w:rsidR="0094109D" w:rsidRPr="00D342CF" w14:paraId="56036DAE" w14:textId="77777777" w:rsidTr="0094109D">
        <w:tblPrEx>
          <w:shd w:val="clear" w:color="auto" w:fill="auto"/>
          <w:tblLook w:val="0420" w:firstRow="1" w:lastRow="0" w:firstColumn="0" w:lastColumn="0" w:noHBand="0" w:noVBand="1"/>
        </w:tblPrEx>
        <w:tc>
          <w:tcPr>
            <w:tcW w:w="993" w:type="dxa"/>
            <w:shd w:val="clear" w:color="auto" w:fill="auto"/>
          </w:tcPr>
          <w:p w14:paraId="3452D20A" w14:textId="77777777" w:rsidR="0094109D" w:rsidRPr="00D342CF" w:rsidRDefault="0094109D" w:rsidP="0094109D">
            <w:pPr>
              <w:pStyle w:val="TableBodyText"/>
              <w:keepNext/>
              <w:spacing w:before="20" w:after="20" w:line="240" w:lineRule="auto"/>
              <w:rPr>
                <w:szCs w:val="18"/>
              </w:rPr>
            </w:pPr>
            <w:r w:rsidRPr="00D342CF">
              <w:rPr>
                <w:szCs w:val="18"/>
              </w:rPr>
              <w:t xml:space="preserve">CGP </w:t>
            </w:r>
          </w:p>
        </w:tc>
        <w:tc>
          <w:tcPr>
            <w:tcW w:w="2552" w:type="dxa"/>
            <w:shd w:val="clear" w:color="auto" w:fill="auto"/>
          </w:tcPr>
          <w:p w14:paraId="6850A6B1" w14:textId="77777777" w:rsidR="0094109D" w:rsidRPr="00D342CF" w:rsidRDefault="0094109D" w:rsidP="0094109D">
            <w:pPr>
              <w:pStyle w:val="TableBodyText"/>
              <w:keepNext/>
              <w:spacing w:before="20" w:after="20" w:line="240" w:lineRule="auto"/>
              <w:rPr>
                <w:szCs w:val="18"/>
              </w:rPr>
            </w:pPr>
            <w:proofErr w:type="spellStart"/>
            <w:r>
              <w:rPr>
                <w:szCs w:val="18"/>
              </w:rPr>
              <w:t>Ballera</w:t>
            </w:r>
            <w:proofErr w:type="spellEnd"/>
            <w:r>
              <w:rPr>
                <w:szCs w:val="18"/>
              </w:rPr>
              <w:t xml:space="preserve"> (includes compression service provided by Santos) </w:t>
            </w:r>
          </w:p>
        </w:tc>
        <w:tc>
          <w:tcPr>
            <w:tcW w:w="2834" w:type="dxa"/>
            <w:shd w:val="clear" w:color="auto" w:fill="auto"/>
          </w:tcPr>
          <w:p w14:paraId="7917C511" w14:textId="77777777" w:rsidR="0094109D" w:rsidRPr="00D342CF" w:rsidRDefault="0094109D" w:rsidP="0094109D">
            <w:pPr>
              <w:pStyle w:val="TableBodyText"/>
              <w:keepNext/>
              <w:spacing w:before="20" w:after="20" w:line="240" w:lineRule="auto"/>
              <w:rPr>
                <w:szCs w:val="18"/>
              </w:rPr>
            </w:pPr>
            <w:r>
              <w:rPr>
                <w:szCs w:val="18"/>
              </w:rPr>
              <w:t>Mt Isa (Mt Isa Mine, Diamantina, Mica Creek, Phosphate Hill, Osborne, Cannington)</w:t>
            </w:r>
          </w:p>
        </w:tc>
        <w:tc>
          <w:tcPr>
            <w:tcW w:w="2131" w:type="dxa"/>
            <w:shd w:val="clear" w:color="auto" w:fill="auto"/>
          </w:tcPr>
          <w:p w14:paraId="1FF0052E" w14:textId="77777777" w:rsidR="0094109D" w:rsidRPr="00D342CF" w:rsidRDefault="0094109D" w:rsidP="0094109D">
            <w:pPr>
              <w:pStyle w:val="TableBodyText"/>
              <w:keepNext/>
              <w:spacing w:before="20" w:after="20" w:line="240" w:lineRule="auto"/>
              <w:rPr>
                <w:szCs w:val="18"/>
              </w:rPr>
            </w:pPr>
            <w:r w:rsidRPr="00D342CF">
              <w:rPr>
                <w:szCs w:val="18"/>
              </w:rPr>
              <w:t xml:space="preserve">APA </w:t>
            </w:r>
          </w:p>
        </w:tc>
      </w:tr>
      <w:tr w:rsidR="0094109D" w:rsidRPr="00D342CF" w14:paraId="265B44D5" w14:textId="77777777" w:rsidTr="0094109D">
        <w:tblPrEx>
          <w:shd w:val="clear" w:color="auto" w:fill="auto"/>
          <w:tblLook w:val="0420" w:firstRow="1" w:lastRow="0" w:firstColumn="0" w:lastColumn="0" w:noHBand="0" w:noVBand="1"/>
        </w:tblPrEx>
        <w:trPr>
          <w:cnfStyle w:val="000000010000" w:firstRow="0" w:lastRow="0" w:firstColumn="0" w:lastColumn="0" w:oddVBand="0" w:evenVBand="0" w:oddHBand="0" w:evenHBand="1" w:firstRowFirstColumn="0" w:firstRowLastColumn="0" w:lastRowFirstColumn="0" w:lastRowLastColumn="0"/>
          <w:trHeight w:val="114"/>
        </w:trPr>
        <w:tc>
          <w:tcPr>
            <w:tcW w:w="993" w:type="dxa"/>
            <w:vMerge w:val="restart"/>
            <w:shd w:val="clear" w:color="auto" w:fill="auto"/>
          </w:tcPr>
          <w:p w14:paraId="5C93A059" w14:textId="77777777" w:rsidR="0094109D" w:rsidRPr="00D342CF" w:rsidRDefault="0094109D" w:rsidP="0094109D">
            <w:pPr>
              <w:pStyle w:val="TableBodyText"/>
              <w:keepNext/>
              <w:spacing w:before="20" w:after="20" w:line="240" w:lineRule="auto"/>
              <w:rPr>
                <w:szCs w:val="18"/>
              </w:rPr>
            </w:pPr>
            <w:r w:rsidRPr="00D342CF">
              <w:rPr>
                <w:szCs w:val="18"/>
              </w:rPr>
              <w:t>MSP</w:t>
            </w:r>
          </w:p>
        </w:tc>
        <w:tc>
          <w:tcPr>
            <w:tcW w:w="2552" w:type="dxa"/>
            <w:shd w:val="clear" w:color="auto" w:fill="auto"/>
          </w:tcPr>
          <w:p w14:paraId="267B6501" w14:textId="77777777" w:rsidR="0094109D" w:rsidRPr="00D342CF" w:rsidRDefault="0094109D" w:rsidP="0094109D">
            <w:pPr>
              <w:pStyle w:val="TableBodyText"/>
              <w:keepNext/>
              <w:spacing w:before="20" w:after="20" w:line="240" w:lineRule="auto"/>
              <w:rPr>
                <w:szCs w:val="18"/>
              </w:rPr>
            </w:pPr>
            <w:r>
              <w:rPr>
                <w:szCs w:val="18"/>
              </w:rPr>
              <w:t xml:space="preserve">Moomba (MSP Inlet) </w:t>
            </w:r>
          </w:p>
        </w:tc>
        <w:tc>
          <w:tcPr>
            <w:tcW w:w="2834" w:type="dxa"/>
            <w:shd w:val="clear" w:color="auto" w:fill="auto"/>
          </w:tcPr>
          <w:p w14:paraId="66DE95B4" w14:textId="77777777" w:rsidR="0094109D" w:rsidRPr="00D342CF" w:rsidRDefault="0094109D" w:rsidP="0094109D">
            <w:pPr>
              <w:pStyle w:val="TableBodyText"/>
              <w:keepNext/>
              <w:spacing w:before="20" w:after="20" w:line="240" w:lineRule="auto"/>
              <w:rPr>
                <w:szCs w:val="18"/>
              </w:rPr>
            </w:pPr>
            <w:r>
              <w:rPr>
                <w:szCs w:val="18"/>
              </w:rPr>
              <w:t>Sydney STTM (Wilton)</w:t>
            </w:r>
          </w:p>
        </w:tc>
        <w:tc>
          <w:tcPr>
            <w:tcW w:w="2131" w:type="dxa"/>
            <w:vMerge w:val="restart"/>
            <w:shd w:val="clear" w:color="auto" w:fill="auto"/>
          </w:tcPr>
          <w:p w14:paraId="0421F907" w14:textId="77777777" w:rsidR="0094109D" w:rsidRPr="00D342CF" w:rsidRDefault="0094109D" w:rsidP="0094109D">
            <w:pPr>
              <w:pStyle w:val="TableBodyText"/>
              <w:keepNext/>
              <w:spacing w:before="20" w:after="20" w:line="240" w:lineRule="auto"/>
              <w:rPr>
                <w:szCs w:val="18"/>
              </w:rPr>
            </w:pPr>
            <w:r w:rsidRPr="00D342CF">
              <w:rPr>
                <w:szCs w:val="18"/>
              </w:rPr>
              <w:t xml:space="preserve">APA </w:t>
            </w:r>
          </w:p>
        </w:tc>
      </w:tr>
      <w:tr w:rsidR="0094109D" w:rsidRPr="00D342CF" w14:paraId="556ADC0B" w14:textId="77777777" w:rsidTr="0094109D">
        <w:tblPrEx>
          <w:shd w:val="clear" w:color="auto" w:fill="auto"/>
          <w:tblLook w:val="0420" w:firstRow="1" w:lastRow="0" w:firstColumn="0" w:lastColumn="0" w:noHBand="0" w:noVBand="1"/>
        </w:tblPrEx>
        <w:trPr>
          <w:trHeight w:val="114"/>
        </w:trPr>
        <w:tc>
          <w:tcPr>
            <w:tcW w:w="993" w:type="dxa"/>
            <w:vMerge/>
            <w:shd w:val="clear" w:color="auto" w:fill="auto"/>
          </w:tcPr>
          <w:p w14:paraId="166C5734" w14:textId="77777777" w:rsidR="0094109D" w:rsidRPr="00D342CF" w:rsidRDefault="0094109D" w:rsidP="0094109D">
            <w:pPr>
              <w:pStyle w:val="TableBodyText"/>
              <w:keepNext/>
              <w:spacing w:before="20" w:after="20" w:line="240" w:lineRule="auto"/>
              <w:rPr>
                <w:szCs w:val="18"/>
              </w:rPr>
            </w:pPr>
          </w:p>
        </w:tc>
        <w:tc>
          <w:tcPr>
            <w:tcW w:w="2552" w:type="dxa"/>
            <w:shd w:val="clear" w:color="auto" w:fill="auto"/>
          </w:tcPr>
          <w:p w14:paraId="555A25BB" w14:textId="77777777" w:rsidR="0094109D" w:rsidRPr="00D342CF" w:rsidRDefault="0094109D" w:rsidP="0094109D">
            <w:pPr>
              <w:pStyle w:val="TableBodyText"/>
              <w:keepNext/>
              <w:spacing w:before="20" w:after="20" w:line="240" w:lineRule="auto"/>
              <w:rPr>
                <w:szCs w:val="18"/>
              </w:rPr>
            </w:pPr>
            <w:r>
              <w:rPr>
                <w:szCs w:val="18"/>
              </w:rPr>
              <w:t xml:space="preserve">Moomba (MSP Inlet) </w:t>
            </w:r>
          </w:p>
        </w:tc>
        <w:tc>
          <w:tcPr>
            <w:tcW w:w="2834" w:type="dxa"/>
            <w:shd w:val="clear" w:color="auto" w:fill="auto"/>
          </w:tcPr>
          <w:p w14:paraId="7E66477A" w14:textId="77777777" w:rsidR="0094109D" w:rsidRPr="00D342CF" w:rsidRDefault="0094109D" w:rsidP="0094109D">
            <w:pPr>
              <w:pStyle w:val="TableBodyText"/>
              <w:keepNext/>
              <w:spacing w:before="20" w:after="20" w:line="240" w:lineRule="auto"/>
              <w:rPr>
                <w:szCs w:val="18"/>
              </w:rPr>
            </w:pPr>
            <w:r>
              <w:rPr>
                <w:szCs w:val="18"/>
              </w:rPr>
              <w:t>Culcairn (Culcairn South)</w:t>
            </w:r>
          </w:p>
        </w:tc>
        <w:tc>
          <w:tcPr>
            <w:tcW w:w="2131" w:type="dxa"/>
            <w:vMerge/>
            <w:shd w:val="clear" w:color="auto" w:fill="auto"/>
          </w:tcPr>
          <w:p w14:paraId="34D11DA4" w14:textId="77777777" w:rsidR="0094109D" w:rsidRPr="00D342CF" w:rsidRDefault="0094109D" w:rsidP="0094109D">
            <w:pPr>
              <w:pStyle w:val="TableBodyText"/>
              <w:keepNext/>
              <w:spacing w:before="20" w:after="20" w:line="240" w:lineRule="auto"/>
              <w:rPr>
                <w:szCs w:val="18"/>
              </w:rPr>
            </w:pPr>
          </w:p>
        </w:tc>
      </w:tr>
      <w:tr w:rsidR="0094109D" w:rsidRPr="00D342CF" w14:paraId="07BD14E4" w14:textId="77777777" w:rsidTr="0094109D">
        <w:tblPrEx>
          <w:shd w:val="clear" w:color="auto" w:fill="auto"/>
          <w:tblLook w:val="0420" w:firstRow="1" w:lastRow="0" w:firstColumn="0" w:lastColumn="0" w:noHBand="0" w:noVBand="1"/>
        </w:tblPrEx>
        <w:trPr>
          <w:cnfStyle w:val="000000010000" w:firstRow="0" w:lastRow="0" w:firstColumn="0" w:lastColumn="0" w:oddVBand="0" w:evenVBand="0" w:oddHBand="0" w:evenHBand="1" w:firstRowFirstColumn="0" w:firstRowLastColumn="0" w:lastRowFirstColumn="0" w:lastRowLastColumn="0"/>
          <w:trHeight w:val="114"/>
        </w:trPr>
        <w:tc>
          <w:tcPr>
            <w:tcW w:w="993" w:type="dxa"/>
            <w:vMerge/>
            <w:shd w:val="clear" w:color="auto" w:fill="auto"/>
          </w:tcPr>
          <w:p w14:paraId="7F886610" w14:textId="77777777" w:rsidR="0094109D" w:rsidRPr="00D342CF" w:rsidRDefault="0094109D" w:rsidP="0094109D">
            <w:pPr>
              <w:pStyle w:val="TableBodyText"/>
              <w:keepNext/>
              <w:spacing w:before="20" w:after="20" w:line="240" w:lineRule="auto"/>
              <w:rPr>
                <w:szCs w:val="18"/>
              </w:rPr>
            </w:pPr>
          </w:p>
        </w:tc>
        <w:tc>
          <w:tcPr>
            <w:tcW w:w="2552" w:type="dxa"/>
            <w:shd w:val="clear" w:color="auto" w:fill="auto"/>
          </w:tcPr>
          <w:p w14:paraId="2EC06C60" w14:textId="77777777" w:rsidR="0094109D" w:rsidRPr="00D342CF" w:rsidRDefault="0094109D" w:rsidP="0094109D">
            <w:pPr>
              <w:pStyle w:val="TableBodyText"/>
              <w:keepNext/>
              <w:spacing w:before="20" w:after="20" w:line="240" w:lineRule="auto"/>
              <w:rPr>
                <w:szCs w:val="18"/>
              </w:rPr>
            </w:pPr>
            <w:r>
              <w:rPr>
                <w:szCs w:val="18"/>
              </w:rPr>
              <w:t>Culcairn (Culcairn North)</w:t>
            </w:r>
          </w:p>
        </w:tc>
        <w:tc>
          <w:tcPr>
            <w:tcW w:w="2834" w:type="dxa"/>
            <w:shd w:val="clear" w:color="auto" w:fill="auto"/>
          </w:tcPr>
          <w:p w14:paraId="270A5C65" w14:textId="77777777" w:rsidR="0094109D" w:rsidRPr="00D342CF" w:rsidRDefault="0094109D" w:rsidP="0094109D">
            <w:pPr>
              <w:pStyle w:val="TableBodyText"/>
              <w:keepNext/>
              <w:spacing w:before="20" w:after="20" w:line="240" w:lineRule="auto"/>
              <w:rPr>
                <w:szCs w:val="18"/>
              </w:rPr>
            </w:pPr>
            <w:r>
              <w:rPr>
                <w:szCs w:val="18"/>
              </w:rPr>
              <w:t>Moomba (MCF)</w:t>
            </w:r>
          </w:p>
        </w:tc>
        <w:tc>
          <w:tcPr>
            <w:tcW w:w="2131" w:type="dxa"/>
            <w:vMerge/>
            <w:shd w:val="clear" w:color="auto" w:fill="auto"/>
          </w:tcPr>
          <w:p w14:paraId="53874709" w14:textId="77777777" w:rsidR="0094109D" w:rsidRPr="00D342CF" w:rsidRDefault="0094109D" w:rsidP="0094109D">
            <w:pPr>
              <w:pStyle w:val="TableBodyText"/>
              <w:keepNext/>
              <w:spacing w:before="20" w:after="20" w:line="240" w:lineRule="auto"/>
              <w:rPr>
                <w:szCs w:val="18"/>
              </w:rPr>
            </w:pPr>
          </w:p>
        </w:tc>
      </w:tr>
      <w:tr w:rsidR="0094109D" w:rsidRPr="00D342CF" w14:paraId="0CADA261" w14:textId="77777777" w:rsidTr="0094109D">
        <w:tblPrEx>
          <w:shd w:val="clear" w:color="auto" w:fill="auto"/>
          <w:tblLook w:val="0420" w:firstRow="1" w:lastRow="0" w:firstColumn="0" w:lastColumn="0" w:noHBand="0" w:noVBand="1"/>
        </w:tblPrEx>
        <w:trPr>
          <w:trHeight w:val="114"/>
        </w:trPr>
        <w:tc>
          <w:tcPr>
            <w:tcW w:w="993" w:type="dxa"/>
            <w:vMerge/>
            <w:shd w:val="clear" w:color="auto" w:fill="auto"/>
          </w:tcPr>
          <w:p w14:paraId="7BD72286" w14:textId="77777777" w:rsidR="0094109D" w:rsidRPr="00D342CF" w:rsidRDefault="0094109D" w:rsidP="0094109D">
            <w:pPr>
              <w:pStyle w:val="TableBodyText"/>
              <w:keepNext/>
              <w:spacing w:before="20" w:after="20" w:line="240" w:lineRule="auto"/>
              <w:rPr>
                <w:szCs w:val="18"/>
              </w:rPr>
            </w:pPr>
          </w:p>
        </w:tc>
        <w:tc>
          <w:tcPr>
            <w:tcW w:w="2552" w:type="dxa"/>
            <w:shd w:val="clear" w:color="auto" w:fill="auto"/>
          </w:tcPr>
          <w:p w14:paraId="07547BA0" w14:textId="77777777" w:rsidR="0094109D" w:rsidRPr="00D342CF" w:rsidRDefault="0094109D" w:rsidP="0094109D">
            <w:pPr>
              <w:pStyle w:val="TableBodyText"/>
              <w:keepNext/>
              <w:spacing w:before="20" w:after="20" w:line="240" w:lineRule="auto"/>
              <w:rPr>
                <w:szCs w:val="18"/>
              </w:rPr>
            </w:pPr>
            <w:r>
              <w:rPr>
                <w:szCs w:val="18"/>
              </w:rPr>
              <w:t xml:space="preserve">Culcairn (Culcairn North) </w:t>
            </w:r>
          </w:p>
        </w:tc>
        <w:tc>
          <w:tcPr>
            <w:tcW w:w="2834" w:type="dxa"/>
            <w:shd w:val="clear" w:color="auto" w:fill="auto"/>
          </w:tcPr>
          <w:p w14:paraId="4F174FDD" w14:textId="77777777" w:rsidR="0094109D" w:rsidRPr="00D342CF" w:rsidRDefault="0094109D" w:rsidP="0094109D">
            <w:pPr>
              <w:pStyle w:val="TableBodyText"/>
              <w:keepNext/>
              <w:spacing w:before="20" w:after="20" w:line="240" w:lineRule="auto"/>
              <w:rPr>
                <w:szCs w:val="18"/>
              </w:rPr>
            </w:pPr>
            <w:r>
              <w:rPr>
                <w:szCs w:val="18"/>
              </w:rPr>
              <w:t>Sydney STTM (Wilton)</w:t>
            </w:r>
          </w:p>
        </w:tc>
        <w:tc>
          <w:tcPr>
            <w:tcW w:w="2131" w:type="dxa"/>
            <w:vMerge/>
            <w:shd w:val="clear" w:color="auto" w:fill="auto"/>
          </w:tcPr>
          <w:p w14:paraId="4C5FA79A" w14:textId="77777777" w:rsidR="0094109D" w:rsidRPr="00D342CF" w:rsidRDefault="0094109D" w:rsidP="0094109D">
            <w:pPr>
              <w:pStyle w:val="TableBodyText"/>
              <w:keepNext/>
              <w:spacing w:before="20" w:after="20" w:line="240" w:lineRule="auto"/>
              <w:rPr>
                <w:szCs w:val="18"/>
              </w:rPr>
            </w:pPr>
          </w:p>
        </w:tc>
      </w:tr>
      <w:tr w:rsidR="0094109D" w:rsidRPr="00D342CF" w14:paraId="194BF802" w14:textId="77777777" w:rsidTr="0094109D">
        <w:tblPrEx>
          <w:shd w:val="clear" w:color="auto" w:fill="auto"/>
          <w:tblLook w:val="0420" w:firstRow="1" w:lastRow="0" w:firstColumn="0" w:lastColumn="0" w:noHBand="0" w:noVBand="1"/>
        </w:tblPrEx>
        <w:trPr>
          <w:cnfStyle w:val="000000010000" w:firstRow="0" w:lastRow="0" w:firstColumn="0" w:lastColumn="0" w:oddVBand="0" w:evenVBand="0" w:oddHBand="0" w:evenHBand="1" w:firstRowFirstColumn="0" w:firstRowLastColumn="0" w:lastRowFirstColumn="0" w:lastRowLastColumn="0"/>
        </w:trPr>
        <w:tc>
          <w:tcPr>
            <w:tcW w:w="993" w:type="dxa"/>
            <w:shd w:val="clear" w:color="auto" w:fill="auto"/>
          </w:tcPr>
          <w:p w14:paraId="7C3B1822" w14:textId="77777777" w:rsidR="0094109D" w:rsidRPr="00D342CF" w:rsidRDefault="0094109D" w:rsidP="0094109D">
            <w:pPr>
              <w:pStyle w:val="TableBodyText"/>
              <w:keepNext/>
              <w:spacing w:before="20" w:after="20" w:line="240" w:lineRule="auto"/>
              <w:rPr>
                <w:szCs w:val="18"/>
              </w:rPr>
            </w:pPr>
            <w:r w:rsidRPr="00D342CF">
              <w:rPr>
                <w:szCs w:val="18"/>
              </w:rPr>
              <w:t>EGP</w:t>
            </w:r>
          </w:p>
        </w:tc>
        <w:tc>
          <w:tcPr>
            <w:tcW w:w="2552" w:type="dxa"/>
            <w:shd w:val="clear" w:color="auto" w:fill="auto"/>
          </w:tcPr>
          <w:p w14:paraId="0219D9B3" w14:textId="77777777" w:rsidR="0094109D" w:rsidRPr="00D342CF" w:rsidRDefault="0094109D" w:rsidP="0094109D">
            <w:pPr>
              <w:pStyle w:val="TableBodyText"/>
              <w:keepNext/>
              <w:spacing w:before="20" w:after="20" w:line="240" w:lineRule="auto"/>
              <w:rPr>
                <w:szCs w:val="18"/>
              </w:rPr>
            </w:pPr>
            <w:r>
              <w:rPr>
                <w:szCs w:val="18"/>
              </w:rPr>
              <w:t xml:space="preserve">Longford </w:t>
            </w:r>
          </w:p>
        </w:tc>
        <w:tc>
          <w:tcPr>
            <w:tcW w:w="2834" w:type="dxa"/>
            <w:shd w:val="clear" w:color="auto" w:fill="auto"/>
          </w:tcPr>
          <w:p w14:paraId="34C1598E" w14:textId="77777777" w:rsidR="0094109D" w:rsidRPr="00D342CF" w:rsidRDefault="0094109D" w:rsidP="0094109D">
            <w:pPr>
              <w:pStyle w:val="TableBodyText"/>
              <w:keepNext/>
              <w:spacing w:before="20" w:after="20" w:line="240" w:lineRule="auto"/>
              <w:rPr>
                <w:szCs w:val="18"/>
              </w:rPr>
            </w:pPr>
            <w:r>
              <w:rPr>
                <w:szCs w:val="18"/>
              </w:rPr>
              <w:t>Sydney STTM</w:t>
            </w:r>
          </w:p>
        </w:tc>
        <w:tc>
          <w:tcPr>
            <w:tcW w:w="2131" w:type="dxa"/>
            <w:shd w:val="clear" w:color="auto" w:fill="auto"/>
          </w:tcPr>
          <w:p w14:paraId="789578E6" w14:textId="77777777" w:rsidR="0094109D" w:rsidRPr="00D342CF" w:rsidRDefault="0094109D" w:rsidP="0094109D">
            <w:pPr>
              <w:pStyle w:val="TableBodyText"/>
              <w:keepNext/>
              <w:spacing w:before="20" w:after="20" w:line="240" w:lineRule="auto"/>
              <w:rPr>
                <w:szCs w:val="18"/>
              </w:rPr>
            </w:pPr>
            <w:r w:rsidRPr="00D342CF">
              <w:rPr>
                <w:szCs w:val="18"/>
              </w:rPr>
              <w:t>Jemena</w:t>
            </w:r>
          </w:p>
        </w:tc>
      </w:tr>
      <w:tr w:rsidR="0094109D" w:rsidRPr="00D342CF" w14:paraId="02D5D902" w14:textId="77777777" w:rsidTr="0094109D">
        <w:tblPrEx>
          <w:shd w:val="clear" w:color="auto" w:fill="auto"/>
          <w:tblLook w:val="0420" w:firstRow="1" w:lastRow="0" w:firstColumn="0" w:lastColumn="0" w:noHBand="0" w:noVBand="1"/>
        </w:tblPrEx>
        <w:trPr>
          <w:trHeight w:val="205"/>
        </w:trPr>
        <w:tc>
          <w:tcPr>
            <w:tcW w:w="993" w:type="dxa"/>
            <w:vMerge w:val="restart"/>
            <w:shd w:val="clear" w:color="auto" w:fill="auto"/>
          </w:tcPr>
          <w:p w14:paraId="1276204C" w14:textId="77777777" w:rsidR="0094109D" w:rsidRPr="00D342CF" w:rsidRDefault="0094109D" w:rsidP="0094109D">
            <w:pPr>
              <w:pStyle w:val="TableBodyText"/>
              <w:spacing w:before="20" w:after="20" w:line="240" w:lineRule="auto"/>
              <w:rPr>
                <w:szCs w:val="18"/>
              </w:rPr>
            </w:pPr>
            <w:r w:rsidRPr="00D342CF">
              <w:rPr>
                <w:szCs w:val="18"/>
              </w:rPr>
              <w:t>MAPS</w:t>
            </w:r>
          </w:p>
        </w:tc>
        <w:tc>
          <w:tcPr>
            <w:tcW w:w="2552" w:type="dxa"/>
            <w:shd w:val="clear" w:color="auto" w:fill="auto"/>
          </w:tcPr>
          <w:p w14:paraId="58C1C698" w14:textId="77777777" w:rsidR="0094109D" w:rsidRPr="00D342CF" w:rsidRDefault="0094109D" w:rsidP="0094109D">
            <w:pPr>
              <w:pStyle w:val="TableBodyText"/>
              <w:spacing w:before="20" w:after="20" w:line="240" w:lineRule="auto"/>
              <w:rPr>
                <w:szCs w:val="18"/>
              </w:rPr>
            </w:pPr>
            <w:r>
              <w:rPr>
                <w:szCs w:val="18"/>
              </w:rPr>
              <w:t>Moomba (MAPS IPT)</w:t>
            </w:r>
          </w:p>
        </w:tc>
        <w:tc>
          <w:tcPr>
            <w:tcW w:w="2834" w:type="dxa"/>
            <w:shd w:val="clear" w:color="auto" w:fill="auto"/>
          </w:tcPr>
          <w:p w14:paraId="1CEC9DE5" w14:textId="77777777" w:rsidR="0094109D" w:rsidRPr="00D342CF" w:rsidRDefault="0094109D" w:rsidP="0094109D">
            <w:pPr>
              <w:pStyle w:val="TableBodyText"/>
              <w:spacing w:before="20" w:after="20" w:line="240" w:lineRule="auto"/>
              <w:rPr>
                <w:szCs w:val="18"/>
              </w:rPr>
            </w:pPr>
            <w:r>
              <w:rPr>
                <w:szCs w:val="18"/>
              </w:rPr>
              <w:t>Adelaide STTM (Metro Mainline)</w:t>
            </w:r>
          </w:p>
        </w:tc>
        <w:tc>
          <w:tcPr>
            <w:tcW w:w="2131" w:type="dxa"/>
            <w:vMerge w:val="restart"/>
            <w:shd w:val="clear" w:color="auto" w:fill="auto"/>
          </w:tcPr>
          <w:p w14:paraId="3C722A84" w14:textId="77777777" w:rsidR="0094109D" w:rsidRPr="00D342CF" w:rsidRDefault="0094109D" w:rsidP="0094109D">
            <w:pPr>
              <w:pStyle w:val="TableBodyText"/>
              <w:spacing w:before="20" w:after="20" w:line="240" w:lineRule="auto"/>
              <w:rPr>
                <w:szCs w:val="18"/>
              </w:rPr>
            </w:pPr>
            <w:r w:rsidRPr="00D342CF">
              <w:rPr>
                <w:szCs w:val="18"/>
              </w:rPr>
              <w:t xml:space="preserve">Epic </w:t>
            </w:r>
          </w:p>
        </w:tc>
      </w:tr>
      <w:tr w:rsidR="0094109D" w:rsidRPr="00D342CF" w14:paraId="748E45D7" w14:textId="77777777" w:rsidTr="0094109D">
        <w:tblPrEx>
          <w:shd w:val="clear" w:color="auto" w:fill="auto"/>
          <w:tblLook w:val="0420" w:firstRow="1" w:lastRow="0" w:firstColumn="0" w:lastColumn="0" w:noHBand="0" w:noVBand="1"/>
        </w:tblPrEx>
        <w:trPr>
          <w:cnfStyle w:val="000000010000" w:firstRow="0" w:lastRow="0" w:firstColumn="0" w:lastColumn="0" w:oddVBand="0" w:evenVBand="0" w:oddHBand="0" w:evenHBand="1" w:firstRowFirstColumn="0" w:firstRowLastColumn="0" w:lastRowFirstColumn="0" w:lastRowLastColumn="0"/>
          <w:trHeight w:val="205"/>
        </w:trPr>
        <w:tc>
          <w:tcPr>
            <w:tcW w:w="993" w:type="dxa"/>
            <w:vMerge/>
            <w:shd w:val="clear" w:color="auto" w:fill="auto"/>
          </w:tcPr>
          <w:p w14:paraId="60F2C70A" w14:textId="77777777" w:rsidR="0094109D" w:rsidRPr="00D342CF" w:rsidRDefault="0094109D" w:rsidP="0094109D">
            <w:pPr>
              <w:pStyle w:val="TableBodyText"/>
              <w:spacing w:before="20" w:after="20" w:line="240" w:lineRule="auto"/>
              <w:rPr>
                <w:szCs w:val="18"/>
              </w:rPr>
            </w:pPr>
          </w:p>
        </w:tc>
        <w:tc>
          <w:tcPr>
            <w:tcW w:w="2552" w:type="dxa"/>
            <w:shd w:val="clear" w:color="auto" w:fill="auto"/>
          </w:tcPr>
          <w:p w14:paraId="5CCAB602" w14:textId="77777777" w:rsidR="0094109D" w:rsidRDefault="0094109D" w:rsidP="0094109D">
            <w:pPr>
              <w:pStyle w:val="TableBodyText"/>
              <w:spacing w:before="20" w:after="20" w:line="240" w:lineRule="auto"/>
              <w:rPr>
                <w:szCs w:val="18"/>
              </w:rPr>
            </w:pPr>
            <w:r>
              <w:rPr>
                <w:szCs w:val="18"/>
              </w:rPr>
              <w:t>Adelaide STTM</w:t>
            </w:r>
          </w:p>
        </w:tc>
        <w:tc>
          <w:tcPr>
            <w:tcW w:w="2834" w:type="dxa"/>
            <w:shd w:val="clear" w:color="auto" w:fill="auto"/>
          </w:tcPr>
          <w:p w14:paraId="67B5405E" w14:textId="77777777" w:rsidR="0094109D" w:rsidRDefault="0094109D" w:rsidP="0094109D">
            <w:pPr>
              <w:pStyle w:val="TableBodyText"/>
              <w:spacing w:before="20" w:after="20" w:line="240" w:lineRule="auto"/>
              <w:rPr>
                <w:szCs w:val="18"/>
              </w:rPr>
            </w:pPr>
            <w:r>
              <w:rPr>
                <w:szCs w:val="18"/>
              </w:rPr>
              <w:t>Moomba (MAPS IPT)</w:t>
            </w:r>
          </w:p>
        </w:tc>
        <w:tc>
          <w:tcPr>
            <w:tcW w:w="2131" w:type="dxa"/>
            <w:vMerge/>
            <w:shd w:val="clear" w:color="auto" w:fill="auto"/>
          </w:tcPr>
          <w:p w14:paraId="2F734797" w14:textId="77777777" w:rsidR="0094109D" w:rsidRPr="00D342CF" w:rsidRDefault="0094109D" w:rsidP="0094109D">
            <w:pPr>
              <w:pStyle w:val="TableBodyText"/>
              <w:spacing w:before="20" w:after="20" w:line="240" w:lineRule="auto"/>
              <w:rPr>
                <w:szCs w:val="18"/>
              </w:rPr>
            </w:pPr>
          </w:p>
        </w:tc>
      </w:tr>
      <w:tr w:rsidR="0094109D" w:rsidRPr="00D342CF" w14:paraId="6209B89B" w14:textId="77777777" w:rsidTr="0094109D">
        <w:tblPrEx>
          <w:shd w:val="clear" w:color="auto" w:fill="auto"/>
          <w:tblLook w:val="0420" w:firstRow="1" w:lastRow="0" w:firstColumn="0" w:lastColumn="0" w:noHBand="0" w:noVBand="1"/>
        </w:tblPrEx>
        <w:tc>
          <w:tcPr>
            <w:tcW w:w="993" w:type="dxa"/>
            <w:shd w:val="clear" w:color="auto" w:fill="auto"/>
          </w:tcPr>
          <w:p w14:paraId="111A4F15" w14:textId="77777777" w:rsidR="0094109D" w:rsidRPr="00D342CF" w:rsidRDefault="0094109D" w:rsidP="0094109D">
            <w:pPr>
              <w:pStyle w:val="TableBodyText"/>
              <w:spacing w:before="20" w:after="20" w:line="240" w:lineRule="auto"/>
              <w:rPr>
                <w:szCs w:val="18"/>
              </w:rPr>
            </w:pPr>
            <w:proofErr w:type="spellStart"/>
            <w:r w:rsidRPr="00D342CF">
              <w:rPr>
                <w:szCs w:val="18"/>
              </w:rPr>
              <w:t>SEAGas</w:t>
            </w:r>
            <w:proofErr w:type="spellEnd"/>
          </w:p>
        </w:tc>
        <w:tc>
          <w:tcPr>
            <w:tcW w:w="2552" w:type="dxa"/>
            <w:shd w:val="clear" w:color="auto" w:fill="auto"/>
          </w:tcPr>
          <w:p w14:paraId="3958836A" w14:textId="77777777" w:rsidR="0094109D" w:rsidRPr="00D342CF" w:rsidRDefault="0094109D" w:rsidP="0094109D">
            <w:pPr>
              <w:pStyle w:val="TableBodyText"/>
              <w:spacing w:before="20" w:after="20" w:line="240" w:lineRule="auto"/>
              <w:rPr>
                <w:szCs w:val="18"/>
              </w:rPr>
            </w:pPr>
            <w:r>
              <w:rPr>
                <w:szCs w:val="18"/>
              </w:rPr>
              <w:t xml:space="preserve">Brumby </w:t>
            </w:r>
          </w:p>
        </w:tc>
        <w:tc>
          <w:tcPr>
            <w:tcW w:w="2834" w:type="dxa"/>
            <w:shd w:val="clear" w:color="auto" w:fill="auto"/>
          </w:tcPr>
          <w:p w14:paraId="13B6487C" w14:textId="77777777" w:rsidR="0094109D" w:rsidRPr="00D342CF" w:rsidRDefault="0094109D" w:rsidP="0094109D">
            <w:pPr>
              <w:pStyle w:val="TableBodyText"/>
              <w:spacing w:before="20" w:after="20" w:line="240" w:lineRule="auto"/>
              <w:rPr>
                <w:szCs w:val="18"/>
              </w:rPr>
            </w:pPr>
            <w:r>
              <w:rPr>
                <w:szCs w:val="18"/>
              </w:rPr>
              <w:t>Adelaide STTM</w:t>
            </w:r>
          </w:p>
        </w:tc>
        <w:tc>
          <w:tcPr>
            <w:tcW w:w="2131" w:type="dxa"/>
            <w:shd w:val="clear" w:color="auto" w:fill="auto"/>
          </w:tcPr>
          <w:p w14:paraId="530781C1" w14:textId="77777777" w:rsidR="0094109D" w:rsidRPr="00D342CF" w:rsidRDefault="0094109D" w:rsidP="0094109D">
            <w:pPr>
              <w:pStyle w:val="TableBodyText"/>
              <w:spacing w:before="20" w:after="20" w:line="240" w:lineRule="auto"/>
              <w:rPr>
                <w:szCs w:val="18"/>
              </w:rPr>
            </w:pPr>
            <w:r w:rsidRPr="00D342CF">
              <w:rPr>
                <w:szCs w:val="18"/>
              </w:rPr>
              <w:t>APA /REST</w:t>
            </w:r>
          </w:p>
        </w:tc>
      </w:tr>
      <w:tr w:rsidR="0094109D" w:rsidRPr="00D342CF" w14:paraId="253C88DC" w14:textId="77777777" w:rsidTr="0094109D">
        <w:tblPrEx>
          <w:shd w:val="clear" w:color="auto" w:fill="auto"/>
          <w:tblLook w:val="0420" w:firstRow="1" w:lastRow="0" w:firstColumn="0" w:lastColumn="0" w:noHBand="0" w:noVBand="1"/>
        </w:tblPrEx>
        <w:trPr>
          <w:cnfStyle w:val="000000010000" w:firstRow="0" w:lastRow="0" w:firstColumn="0" w:lastColumn="0" w:oddVBand="0" w:evenVBand="0" w:oddHBand="0" w:evenHBand="1" w:firstRowFirstColumn="0" w:firstRowLastColumn="0" w:lastRowFirstColumn="0" w:lastRowLastColumn="0"/>
        </w:trPr>
        <w:tc>
          <w:tcPr>
            <w:tcW w:w="993" w:type="dxa"/>
            <w:shd w:val="clear" w:color="auto" w:fill="auto"/>
          </w:tcPr>
          <w:p w14:paraId="29FBF6F0" w14:textId="77777777" w:rsidR="0094109D" w:rsidRPr="00D342CF" w:rsidRDefault="0094109D" w:rsidP="0094109D">
            <w:pPr>
              <w:pStyle w:val="TableBodyText"/>
              <w:spacing w:before="20" w:after="20" w:line="240" w:lineRule="auto"/>
              <w:rPr>
                <w:szCs w:val="18"/>
              </w:rPr>
            </w:pPr>
            <w:r w:rsidRPr="00D342CF">
              <w:rPr>
                <w:szCs w:val="18"/>
              </w:rPr>
              <w:t>TGP</w:t>
            </w:r>
          </w:p>
        </w:tc>
        <w:tc>
          <w:tcPr>
            <w:tcW w:w="2552" w:type="dxa"/>
            <w:shd w:val="clear" w:color="auto" w:fill="auto"/>
          </w:tcPr>
          <w:p w14:paraId="423D2CDB" w14:textId="77777777" w:rsidR="0094109D" w:rsidRPr="00D342CF" w:rsidRDefault="0094109D" w:rsidP="0094109D">
            <w:pPr>
              <w:pStyle w:val="TableBodyText"/>
              <w:spacing w:before="20" w:after="20" w:line="240" w:lineRule="auto"/>
              <w:rPr>
                <w:szCs w:val="18"/>
              </w:rPr>
            </w:pPr>
            <w:r>
              <w:rPr>
                <w:szCs w:val="18"/>
              </w:rPr>
              <w:t>Longford (includes TGP transfer service provided by Jemena)</w:t>
            </w:r>
          </w:p>
        </w:tc>
        <w:tc>
          <w:tcPr>
            <w:tcW w:w="2834" w:type="dxa"/>
            <w:shd w:val="clear" w:color="auto" w:fill="auto"/>
          </w:tcPr>
          <w:p w14:paraId="3FEE94F7" w14:textId="77777777" w:rsidR="0094109D" w:rsidRPr="00D342CF" w:rsidRDefault="0094109D" w:rsidP="0094109D">
            <w:pPr>
              <w:pStyle w:val="TableBodyText"/>
              <w:spacing w:before="20" w:after="20" w:line="240" w:lineRule="auto"/>
              <w:rPr>
                <w:szCs w:val="18"/>
              </w:rPr>
            </w:pPr>
            <w:r>
              <w:rPr>
                <w:szCs w:val="18"/>
              </w:rPr>
              <w:t xml:space="preserve">Hobart </w:t>
            </w:r>
          </w:p>
        </w:tc>
        <w:tc>
          <w:tcPr>
            <w:tcW w:w="2131" w:type="dxa"/>
            <w:shd w:val="clear" w:color="auto" w:fill="auto"/>
          </w:tcPr>
          <w:p w14:paraId="3ED5A58B" w14:textId="77777777" w:rsidR="0094109D" w:rsidRPr="00D342CF" w:rsidRDefault="0094109D" w:rsidP="0094109D">
            <w:pPr>
              <w:pStyle w:val="TableBodyText"/>
              <w:spacing w:before="20" w:after="20" w:line="240" w:lineRule="auto"/>
              <w:rPr>
                <w:szCs w:val="18"/>
              </w:rPr>
            </w:pPr>
            <w:r>
              <w:rPr>
                <w:szCs w:val="18"/>
              </w:rPr>
              <w:t>TGP Pty Ltd</w:t>
            </w:r>
          </w:p>
        </w:tc>
      </w:tr>
      <w:tr w:rsidR="0094109D" w:rsidRPr="00D342CF" w14:paraId="261C37C4" w14:textId="77777777" w:rsidTr="0094109D">
        <w:tblPrEx>
          <w:shd w:val="clear" w:color="auto" w:fill="auto"/>
          <w:tblLook w:val="0420" w:firstRow="1" w:lastRow="0" w:firstColumn="0" w:lastColumn="0" w:noHBand="0" w:noVBand="1"/>
        </w:tblPrEx>
        <w:tc>
          <w:tcPr>
            <w:tcW w:w="993" w:type="dxa"/>
            <w:shd w:val="clear" w:color="auto" w:fill="auto"/>
          </w:tcPr>
          <w:p w14:paraId="1E5B1EB7" w14:textId="77777777" w:rsidR="0094109D" w:rsidRPr="00D342CF" w:rsidRDefault="0094109D" w:rsidP="0094109D">
            <w:pPr>
              <w:pStyle w:val="TableBodyText"/>
              <w:spacing w:before="20" w:after="20" w:line="240" w:lineRule="auto"/>
              <w:rPr>
                <w:szCs w:val="18"/>
              </w:rPr>
            </w:pPr>
            <w:r w:rsidRPr="00D342CF">
              <w:rPr>
                <w:szCs w:val="18"/>
              </w:rPr>
              <w:t xml:space="preserve">DTS Transfer </w:t>
            </w:r>
          </w:p>
        </w:tc>
        <w:tc>
          <w:tcPr>
            <w:tcW w:w="2552" w:type="dxa"/>
            <w:shd w:val="clear" w:color="auto" w:fill="auto"/>
          </w:tcPr>
          <w:p w14:paraId="28B60E33" w14:textId="77777777" w:rsidR="0094109D" w:rsidRPr="00D342CF" w:rsidRDefault="0094109D" w:rsidP="0094109D">
            <w:pPr>
              <w:pStyle w:val="TableBodyText"/>
              <w:spacing w:before="20" w:after="20" w:line="240" w:lineRule="auto"/>
              <w:rPr>
                <w:szCs w:val="18"/>
              </w:rPr>
            </w:pPr>
            <w:r>
              <w:t>Longford zone</w:t>
            </w:r>
          </w:p>
        </w:tc>
        <w:tc>
          <w:tcPr>
            <w:tcW w:w="2834" w:type="dxa"/>
            <w:shd w:val="clear" w:color="auto" w:fill="auto"/>
          </w:tcPr>
          <w:p w14:paraId="6B4B8B73" w14:textId="77777777" w:rsidR="0094109D" w:rsidRPr="00D342CF" w:rsidRDefault="0094109D" w:rsidP="0094109D">
            <w:pPr>
              <w:pStyle w:val="TableBodyText"/>
              <w:spacing w:before="20" w:after="20" w:line="240" w:lineRule="auto"/>
              <w:rPr>
                <w:szCs w:val="18"/>
              </w:rPr>
            </w:pPr>
            <w:r>
              <w:t>Entry point of DTS</w:t>
            </w:r>
          </w:p>
        </w:tc>
        <w:tc>
          <w:tcPr>
            <w:tcW w:w="2131" w:type="dxa"/>
            <w:shd w:val="clear" w:color="auto" w:fill="auto"/>
          </w:tcPr>
          <w:p w14:paraId="4C319B36" w14:textId="77777777" w:rsidR="0094109D" w:rsidRPr="00D342CF" w:rsidRDefault="0094109D" w:rsidP="0094109D">
            <w:pPr>
              <w:pStyle w:val="TableBodyText"/>
              <w:spacing w:before="20" w:after="20" w:line="240" w:lineRule="auto"/>
              <w:rPr>
                <w:szCs w:val="18"/>
              </w:rPr>
            </w:pPr>
            <w:r w:rsidRPr="00D342CF">
              <w:rPr>
                <w:szCs w:val="18"/>
              </w:rPr>
              <w:t>Jemena</w:t>
            </w:r>
          </w:p>
        </w:tc>
      </w:tr>
      <w:tr w:rsidR="0094109D" w:rsidRPr="00D342CF" w14:paraId="05FC8E6D" w14:textId="77777777" w:rsidTr="00C42B52">
        <w:trPr>
          <w:cnfStyle w:val="000000010000" w:firstRow="0" w:lastRow="0" w:firstColumn="0" w:lastColumn="0" w:oddVBand="0" w:evenVBand="0" w:oddHBand="0" w:evenHBand="1" w:firstRowFirstColumn="0" w:firstRowLastColumn="0" w:lastRowFirstColumn="0" w:lastRowLastColumn="0"/>
        </w:trPr>
        <w:tc>
          <w:tcPr>
            <w:tcW w:w="8510" w:type="dxa"/>
            <w:gridSpan w:val="4"/>
            <w:tcBorders>
              <w:bottom w:val="single" w:sz="4" w:space="0" w:color="auto"/>
            </w:tcBorders>
            <w:shd w:val="clear" w:color="auto" w:fill="0099CC"/>
          </w:tcPr>
          <w:p w14:paraId="2394292E" w14:textId="77777777" w:rsidR="0094109D" w:rsidRPr="00D342CF" w:rsidRDefault="0094109D" w:rsidP="0094109D">
            <w:pPr>
              <w:keepNext/>
              <w:spacing w:before="20" w:after="20" w:line="240" w:lineRule="auto"/>
              <w:jc w:val="center"/>
              <w:rPr>
                <w:rFonts w:asciiTheme="majorHAnsi" w:hAnsiTheme="majorHAnsi" w:cstheme="majorHAnsi"/>
                <w:b/>
                <w:color w:val="FFFFFF" w:themeColor="background1"/>
                <w:szCs w:val="18"/>
              </w:rPr>
            </w:pPr>
            <w:r w:rsidRPr="00D342CF">
              <w:rPr>
                <w:rFonts w:asciiTheme="majorHAnsi" w:hAnsiTheme="majorHAnsi" w:cstheme="majorHAnsi"/>
                <w:b/>
                <w:color w:val="FFFFFF" w:themeColor="background1"/>
                <w:szCs w:val="18"/>
              </w:rPr>
              <w:t>Firm Park Products</w:t>
            </w:r>
          </w:p>
        </w:tc>
      </w:tr>
      <w:tr w:rsidR="0094109D" w:rsidRPr="00D342CF" w14:paraId="1B093C2D" w14:textId="77777777" w:rsidTr="0094109D">
        <w:tblPrEx>
          <w:shd w:val="clear" w:color="auto" w:fill="auto"/>
          <w:tblLook w:val="0420" w:firstRow="1" w:lastRow="0" w:firstColumn="0" w:lastColumn="0" w:noHBand="0" w:noVBand="1"/>
        </w:tblPrEx>
        <w:tc>
          <w:tcPr>
            <w:tcW w:w="6379" w:type="dxa"/>
            <w:gridSpan w:val="3"/>
            <w:tcBorders>
              <w:bottom w:val="single" w:sz="4" w:space="0" w:color="auto"/>
            </w:tcBorders>
            <w:shd w:val="clear" w:color="auto" w:fill="65697F" w:themeFill="background2" w:themeFillShade="80"/>
          </w:tcPr>
          <w:p w14:paraId="44F08E5D" w14:textId="77777777" w:rsidR="0094109D" w:rsidRPr="00D342CF" w:rsidRDefault="0094109D" w:rsidP="0094109D">
            <w:pPr>
              <w:pStyle w:val="TableHeading"/>
              <w:keepNext/>
              <w:spacing w:before="20" w:after="20" w:line="240" w:lineRule="auto"/>
              <w:rPr>
                <w:b/>
                <w:szCs w:val="18"/>
              </w:rPr>
            </w:pPr>
            <w:r w:rsidRPr="00D342CF">
              <w:rPr>
                <w:b/>
                <w:szCs w:val="18"/>
              </w:rPr>
              <w:t xml:space="preserve">Pipeline </w:t>
            </w:r>
          </w:p>
        </w:tc>
        <w:tc>
          <w:tcPr>
            <w:tcW w:w="2131" w:type="dxa"/>
            <w:tcBorders>
              <w:bottom w:val="single" w:sz="4" w:space="0" w:color="auto"/>
            </w:tcBorders>
            <w:shd w:val="clear" w:color="auto" w:fill="65697F" w:themeFill="background2" w:themeFillShade="80"/>
          </w:tcPr>
          <w:p w14:paraId="5B926A6A" w14:textId="77777777" w:rsidR="0094109D" w:rsidRPr="00D342CF" w:rsidRDefault="0094109D" w:rsidP="0094109D">
            <w:pPr>
              <w:pStyle w:val="TableHeading"/>
              <w:keepNext/>
              <w:spacing w:before="20" w:after="20" w:line="240" w:lineRule="auto"/>
              <w:rPr>
                <w:b/>
                <w:szCs w:val="18"/>
              </w:rPr>
            </w:pPr>
            <w:r w:rsidRPr="00D342CF">
              <w:rPr>
                <w:b/>
                <w:szCs w:val="18"/>
              </w:rPr>
              <w:t>Service provider</w:t>
            </w:r>
          </w:p>
        </w:tc>
      </w:tr>
      <w:tr w:rsidR="0094109D" w:rsidRPr="00D342CF" w14:paraId="45C6E575" w14:textId="77777777" w:rsidTr="0094109D">
        <w:tblPrEx>
          <w:shd w:val="clear" w:color="auto" w:fill="auto"/>
          <w:tblLook w:val="0420" w:firstRow="1" w:lastRow="0" w:firstColumn="0" w:lastColumn="0" w:noHBand="0" w:noVBand="1"/>
        </w:tblPrEx>
        <w:trPr>
          <w:cnfStyle w:val="000000010000" w:firstRow="0" w:lastRow="0" w:firstColumn="0" w:lastColumn="0" w:oddVBand="0" w:evenVBand="0" w:oddHBand="0" w:evenHBand="1" w:firstRowFirstColumn="0" w:firstRowLastColumn="0" w:lastRowFirstColumn="0" w:lastRowLastColumn="0"/>
        </w:trPr>
        <w:tc>
          <w:tcPr>
            <w:tcW w:w="6379" w:type="dxa"/>
            <w:gridSpan w:val="3"/>
            <w:shd w:val="clear" w:color="auto" w:fill="FFFFFF" w:themeFill="background1"/>
          </w:tcPr>
          <w:p w14:paraId="4C5651C1" w14:textId="77777777" w:rsidR="0094109D" w:rsidRPr="00D342CF" w:rsidRDefault="0094109D" w:rsidP="0094109D">
            <w:pPr>
              <w:pStyle w:val="TableBodyText"/>
              <w:keepNext/>
              <w:spacing w:before="20" w:after="20" w:line="240" w:lineRule="auto"/>
              <w:rPr>
                <w:szCs w:val="18"/>
              </w:rPr>
            </w:pPr>
            <w:r w:rsidRPr="00D342CF">
              <w:rPr>
                <w:szCs w:val="18"/>
              </w:rPr>
              <w:t>RBP</w:t>
            </w:r>
          </w:p>
        </w:tc>
        <w:tc>
          <w:tcPr>
            <w:tcW w:w="2131" w:type="dxa"/>
            <w:shd w:val="clear" w:color="auto" w:fill="FFFFFF" w:themeFill="background1"/>
          </w:tcPr>
          <w:p w14:paraId="268B36ED" w14:textId="77777777" w:rsidR="0094109D" w:rsidRPr="00D342CF" w:rsidRDefault="0094109D" w:rsidP="0094109D">
            <w:pPr>
              <w:pStyle w:val="TableBodyText"/>
              <w:keepNext/>
              <w:spacing w:before="20" w:after="20" w:line="240" w:lineRule="auto"/>
              <w:rPr>
                <w:szCs w:val="18"/>
              </w:rPr>
            </w:pPr>
            <w:r w:rsidRPr="00D342CF">
              <w:rPr>
                <w:szCs w:val="18"/>
              </w:rPr>
              <w:t xml:space="preserve">APA </w:t>
            </w:r>
          </w:p>
        </w:tc>
      </w:tr>
      <w:tr w:rsidR="0094109D" w:rsidRPr="00D342CF" w14:paraId="3145AA89" w14:textId="77777777" w:rsidTr="0094109D">
        <w:tblPrEx>
          <w:shd w:val="clear" w:color="auto" w:fill="auto"/>
          <w:tblLook w:val="0420" w:firstRow="1" w:lastRow="0" w:firstColumn="0" w:lastColumn="0" w:noHBand="0" w:noVBand="1"/>
        </w:tblPrEx>
        <w:tc>
          <w:tcPr>
            <w:tcW w:w="6379" w:type="dxa"/>
            <w:gridSpan w:val="3"/>
            <w:shd w:val="clear" w:color="auto" w:fill="FFFFFF" w:themeFill="background1"/>
          </w:tcPr>
          <w:p w14:paraId="7A5D9EA7" w14:textId="77777777" w:rsidR="0094109D" w:rsidRPr="00D342CF" w:rsidRDefault="0094109D" w:rsidP="0094109D">
            <w:pPr>
              <w:pStyle w:val="TableBodyText"/>
              <w:keepNext/>
              <w:spacing w:before="20" w:after="20" w:line="240" w:lineRule="auto"/>
              <w:rPr>
                <w:szCs w:val="18"/>
              </w:rPr>
            </w:pPr>
            <w:r w:rsidRPr="00D342CF">
              <w:rPr>
                <w:szCs w:val="18"/>
              </w:rPr>
              <w:t>SWQP</w:t>
            </w:r>
          </w:p>
        </w:tc>
        <w:tc>
          <w:tcPr>
            <w:tcW w:w="2131" w:type="dxa"/>
            <w:shd w:val="clear" w:color="auto" w:fill="FFFFFF" w:themeFill="background1"/>
          </w:tcPr>
          <w:p w14:paraId="749C751C" w14:textId="77777777" w:rsidR="0094109D" w:rsidRPr="00D342CF" w:rsidRDefault="0094109D" w:rsidP="0094109D">
            <w:pPr>
              <w:pStyle w:val="TableBodyText"/>
              <w:keepNext/>
              <w:spacing w:before="20" w:after="20" w:line="240" w:lineRule="auto"/>
              <w:rPr>
                <w:szCs w:val="18"/>
              </w:rPr>
            </w:pPr>
            <w:r w:rsidRPr="00D342CF">
              <w:rPr>
                <w:szCs w:val="18"/>
              </w:rPr>
              <w:t xml:space="preserve">APA </w:t>
            </w:r>
          </w:p>
        </w:tc>
      </w:tr>
      <w:tr w:rsidR="0094109D" w:rsidRPr="00D342CF" w14:paraId="01E62E72" w14:textId="77777777" w:rsidTr="0094109D">
        <w:tblPrEx>
          <w:shd w:val="clear" w:color="auto" w:fill="auto"/>
          <w:tblLook w:val="0420" w:firstRow="1" w:lastRow="0" w:firstColumn="0" w:lastColumn="0" w:noHBand="0" w:noVBand="1"/>
        </w:tblPrEx>
        <w:trPr>
          <w:cnfStyle w:val="000000010000" w:firstRow="0" w:lastRow="0" w:firstColumn="0" w:lastColumn="0" w:oddVBand="0" w:evenVBand="0" w:oddHBand="0" w:evenHBand="1" w:firstRowFirstColumn="0" w:firstRowLastColumn="0" w:lastRowFirstColumn="0" w:lastRowLastColumn="0"/>
        </w:trPr>
        <w:tc>
          <w:tcPr>
            <w:tcW w:w="6379" w:type="dxa"/>
            <w:gridSpan w:val="3"/>
            <w:shd w:val="clear" w:color="auto" w:fill="FFFFFF" w:themeFill="background1"/>
          </w:tcPr>
          <w:p w14:paraId="58AC0AE2" w14:textId="77777777" w:rsidR="0094109D" w:rsidRPr="00D342CF" w:rsidRDefault="0094109D" w:rsidP="0094109D">
            <w:pPr>
              <w:pStyle w:val="TableBodyText"/>
              <w:keepNext/>
              <w:spacing w:before="20" w:after="20" w:line="240" w:lineRule="auto"/>
              <w:rPr>
                <w:szCs w:val="18"/>
              </w:rPr>
            </w:pPr>
            <w:r w:rsidRPr="00D342CF">
              <w:rPr>
                <w:szCs w:val="18"/>
              </w:rPr>
              <w:t>MSP</w:t>
            </w:r>
          </w:p>
        </w:tc>
        <w:tc>
          <w:tcPr>
            <w:tcW w:w="2131" w:type="dxa"/>
            <w:shd w:val="clear" w:color="auto" w:fill="FFFFFF" w:themeFill="background1"/>
          </w:tcPr>
          <w:p w14:paraId="5B2A5405" w14:textId="77777777" w:rsidR="0094109D" w:rsidRPr="00D342CF" w:rsidRDefault="0094109D" w:rsidP="0094109D">
            <w:pPr>
              <w:pStyle w:val="TableBodyText"/>
              <w:keepNext/>
              <w:spacing w:before="20" w:after="20" w:line="240" w:lineRule="auto"/>
              <w:rPr>
                <w:szCs w:val="18"/>
              </w:rPr>
            </w:pPr>
            <w:r w:rsidRPr="00D342CF">
              <w:rPr>
                <w:szCs w:val="18"/>
              </w:rPr>
              <w:t xml:space="preserve">APA </w:t>
            </w:r>
          </w:p>
        </w:tc>
      </w:tr>
      <w:tr w:rsidR="0094109D" w:rsidRPr="00D342CF" w14:paraId="5B15544D" w14:textId="77777777" w:rsidTr="0094109D">
        <w:tblPrEx>
          <w:shd w:val="clear" w:color="auto" w:fill="auto"/>
          <w:tblLook w:val="0420" w:firstRow="1" w:lastRow="0" w:firstColumn="0" w:lastColumn="0" w:noHBand="0" w:noVBand="1"/>
        </w:tblPrEx>
        <w:tc>
          <w:tcPr>
            <w:tcW w:w="6379" w:type="dxa"/>
            <w:gridSpan w:val="3"/>
            <w:shd w:val="clear" w:color="auto" w:fill="FFFFFF" w:themeFill="background1"/>
          </w:tcPr>
          <w:p w14:paraId="76906ABB" w14:textId="77777777" w:rsidR="0094109D" w:rsidRPr="00D342CF" w:rsidRDefault="0094109D" w:rsidP="0094109D">
            <w:pPr>
              <w:pStyle w:val="TableBodyText"/>
              <w:spacing w:before="20" w:after="20" w:line="240" w:lineRule="auto"/>
              <w:rPr>
                <w:szCs w:val="18"/>
              </w:rPr>
            </w:pPr>
            <w:r w:rsidRPr="00D342CF">
              <w:rPr>
                <w:szCs w:val="18"/>
              </w:rPr>
              <w:t>MAPS</w:t>
            </w:r>
          </w:p>
        </w:tc>
        <w:tc>
          <w:tcPr>
            <w:tcW w:w="2131" w:type="dxa"/>
            <w:shd w:val="clear" w:color="auto" w:fill="FFFFFF" w:themeFill="background1"/>
          </w:tcPr>
          <w:p w14:paraId="1D5B854B" w14:textId="77777777" w:rsidR="0094109D" w:rsidRPr="00D342CF" w:rsidRDefault="0094109D" w:rsidP="0094109D">
            <w:pPr>
              <w:pStyle w:val="TableBodyText"/>
              <w:spacing w:before="20" w:after="20" w:line="240" w:lineRule="auto"/>
              <w:rPr>
                <w:szCs w:val="18"/>
              </w:rPr>
            </w:pPr>
            <w:r w:rsidRPr="00D342CF">
              <w:rPr>
                <w:szCs w:val="18"/>
              </w:rPr>
              <w:t xml:space="preserve">Epic </w:t>
            </w:r>
          </w:p>
        </w:tc>
      </w:tr>
      <w:tr w:rsidR="0094109D" w:rsidRPr="00D342CF" w14:paraId="4258BE80" w14:textId="77777777" w:rsidTr="0094109D">
        <w:tblPrEx>
          <w:shd w:val="clear" w:color="auto" w:fill="auto"/>
          <w:tblLook w:val="0420" w:firstRow="1" w:lastRow="0" w:firstColumn="0" w:lastColumn="0" w:noHBand="0" w:noVBand="1"/>
        </w:tblPrEx>
        <w:trPr>
          <w:cnfStyle w:val="000000010000" w:firstRow="0" w:lastRow="0" w:firstColumn="0" w:lastColumn="0" w:oddVBand="0" w:evenVBand="0" w:oddHBand="0" w:evenHBand="1" w:firstRowFirstColumn="0" w:firstRowLastColumn="0" w:lastRowFirstColumn="0" w:lastRowLastColumn="0"/>
        </w:trPr>
        <w:tc>
          <w:tcPr>
            <w:tcW w:w="6379" w:type="dxa"/>
            <w:gridSpan w:val="3"/>
            <w:tcBorders>
              <w:bottom w:val="single" w:sz="4" w:space="0" w:color="auto"/>
            </w:tcBorders>
            <w:shd w:val="clear" w:color="auto" w:fill="FFFFFF" w:themeFill="background1"/>
          </w:tcPr>
          <w:p w14:paraId="5C5007CE" w14:textId="77777777" w:rsidR="0094109D" w:rsidRPr="00D342CF" w:rsidRDefault="0094109D" w:rsidP="0094109D">
            <w:pPr>
              <w:pStyle w:val="TableBodyText"/>
              <w:spacing w:before="20" w:after="20" w:line="240" w:lineRule="auto"/>
              <w:rPr>
                <w:szCs w:val="18"/>
              </w:rPr>
            </w:pPr>
            <w:proofErr w:type="spellStart"/>
            <w:r>
              <w:rPr>
                <w:szCs w:val="18"/>
              </w:rPr>
              <w:t>SEAGas</w:t>
            </w:r>
            <w:proofErr w:type="spellEnd"/>
          </w:p>
        </w:tc>
        <w:tc>
          <w:tcPr>
            <w:tcW w:w="2131" w:type="dxa"/>
            <w:tcBorders>
              <w:bottom w:val="single" w:sz="4" w:space="0" w:color="auto"/>
            </w:tcBorders>
            <w:shd w:val="clear" w:color="auto" w:fill="FFFFFF" w:themeFill="background1"/>
          </w:tcPr>
          <w:p w14:paraId="05485104" w14:textId="77777777" w:rsidR="0094109D" w:rsidRPr="00D342CF" w:rsidRDefault="0094109D" w:rsidP="0094109D">
            <w:pPr>
              <w:pStyle w:val="TableBodyText"/>
              <w:spacing w:before="20" w:after="20" w:line="240" w:lineRule="auto"/>
              <w:rPr>
                <w:szCs w:val="18"/>
              </w:rPr>
            </w:pPr>
            <w:r w:rsidRPr="00D342CF">
              <w:rPr>
                <w:szCs w:val="18"/>
              </w:rPr>
              <w:t>APA /REST</w:t>
            </w:r>
          </w:p>
        </w:tc>
      </w:tr>
      <w:tr w:rsidR="0094109D" w:rsidRPr="00D342CF" w14:paraId="2383E99F" w14:textId="77777777" w:rsidTr="0094109D">
        <w:tblPrEx>
          <w:shd w:val="clear" w:color="auto" w:fill="auto"/>
          <w:tblLook w:val="0420" w:firstRow="1" w:lastRow="0" w:firstColumn="0" w:lastColumn="0" w:noHBand="0" w:noVBand="1"/>
        </w:tblPrEx>
        <w:tc>
          <w:tcPr>
            <w:tcW w:w="6379" w:type="dxa"/>
            <w:gridSpan w:val="3"/>
            <w:shd w:val="clear" w:color="auto" w:fill="FFFFFF" w:themeFill="background1"/>
          </w:tcPr>
          <w:p w14:paraId="6191093E" w14:textId="77777777" w:rsidR="0094109D" w:rsidRPr="00D342CF" w:rsidRDefault="0094109D" w:rsidP="0094109D">
            <w:pPr>
              <w:pStyle w:val="TableBodyText"/>
              <w:spacing w:before="20" w:after="20" w:line="240" w:lineRule="auto"/>
              <w:rPr>
                <w:szCs w:val="18"/>
              </w:rPr>
            </w:pPr>
            <w:r w:rsidRPr="00D342CF">
              <w:rPr>
                <w:szCs w:val="18"/>
              </w:rPr>
              <w:t>TGP</w:t>
            </w:r>
          </w:p>
        </w:tc>
        <w:tc>
          <w:tcPr>
            <w:tcW w:w="2131" w:type="dxa"/>
            <w:shd w:val="clear" w:color="auto" w:fill="FFFFFF" w:themeFill="background1"/>
          </w:tcPr>
          <w:p w14:paraId="141C7A13" w14:textId="77777777" w:rsidR="0094109D" w:rsidRPr="00D342CF" w:rsidRDefault="0094109D" w:rsidP="0094109D">
            <w:pPr>
              <w:pStyle w:val="TableBodyText"/>
              <w:spacing w:before="20" w:after="20" w:line="240" w:lineRule="auto"/>
              <w:rPr>
                <w:szCs w:val="18"/>
              </w:rPr>
            </w:pPr>
            <w:r>
              <w:rPr>
                <w:szCs w:val="18"/>
              </w:rPr>
              <w:t>TGP Pty Ltd</w:t>
            </w:r>
          </w:p>
        </w:tc>
      </w:tr>
      <w:tr w:rsidR="0094109D" w:rsidRPr="00D342CF" w14:paraId="522659E9" w14:textId="77777777" w:rsidTr="0094109D">
        <w:tblPrEx>
          <w:shd w:val="clear" w:color="auto" w:fill="auto"/>
          <w:tblLook w:val="0420" w:firstRow="1" w:lastRow="0" w:firstColumn="0" w:lastColumn="0" w:noHBand="0" w:noVBand="1"/>
        </w:tblPrEx>
        <w:trPr>
          <w:cnfStyle w:val="000000010000" w:firstRow="0" w:lastRow="0" w:firstColumn="0" w:lastColumn="0" w:oddVBand="0" w:evenVBand="0" w:oddHBand="0" w:evenHBand="1" w:firstRowFirstColumn="0" w:firstRowLastColumn="0" w:lastRowFirstColumn="0" w:lastRowLastColumn="0"/>
        </w:trPr>
        <w:tc>
          <w:tcPr>
            <w:tcW w:w="6379" w:type="dxa"/>
            <w:gridSpan w:val="3"/>
            <w:tcBorders>
              <w:bottom w:val="single" w:sz="4" w:space="0" w:color="auto"/>
            </w:tcBorders>
            <w:shd w:val="clear" w:color="auto" w:fill="FFFFFF" w:themeFill="background1"/>
          </w:tcPr>
          <w:p w14:paraId="16A62D84" w14:textId="77777777" w:rsidR="0094109D" w:rsidRPr="00D342CF" w:rsidRDefault="0094109D" w:rsidP="0094109D">
            <w:pPr>
              <w:pStyle w:val="TableBodyText"/>
              <w:spacing w:before="20" w:after="20" w:line="240" w:lineRule="auto"/>
              <w:rPr>
                <w:szCs w:val="18"/>
              </w:rPr>
            </w:pPr>
            <w:r w:rsidRPr="00D342CF">
              <w:rPr>
                <w:szCs w:val="18"/>
              </w:rPr>
              <w:t>EGP</w:t>
            </w:r>
          </w:p>
        </w:tc>
        <w:tc>
          <w:tcPr>
            <w:tcW w:w="2131" w:type="dxa"/>
            <w:tcBorders>
              <w:bottom w:val="single" w:sz="4" w:space="0" w:color="auto"/>
            </w:tcBorders>
            <w:shd w:val="clear" w:color="auto" w:fill="FFFFFF" w:themeFill="background1"/>
          </w:tcPr>
          <w:p w14:paraId="002CCFA3" w14:textId="77777777" w:rsidR="0094109D" w:rsidRPr="00D342CF" w:rsidRDefault="0094109D" w:rsidP="0094109D">
            <w:pPr>
              <w:pStyle w:val="TableBodyText"/>
              <w:spacing w:before="20" w:after="20" w:line="240" w:lineRule="auto"/>
              <w:rPr>
                <w:szCs w:val="18"/>
              </w:rPr>
            </w:pPr>
            <w:r w:rsidRPr="00D342CF">
              <w:rPr>
                <w:szCs w:val="18"/>
              </w:rPr>
              <w:t>Jemena</w:t>
            </w:r>
          </w:p>
        </w:tc>
      </w:tr>
    </w:tbl>
    <w:p w14:paraId="69F2EC7D" w14:textId="77777777" w:rsidR="0094109D" w:rsidRPr="0094109D" w:rsidRDefault="0094109D">
      <w:pPr>
        <w:rPr>
          <w:sz w:val="2"/>
        </w:rPr>
      </w:pPr>
    </w:p>
    <w:tbl>
      <w:tblPr>
        <w:tblStyle w:val="TableGrid6"/>
        <w:tblW w:w="4839" w:type="pct"/>
        <w:shd w:val="clear" w:color="000000" w:fill="000000"/>
        <w:tblLook w:val="04A0" w:firstRow="1" w:lastRow="0" w:firstColumn="1" w:lastColumn="0" w:noHBand="0" w:noVBand="1"/>
        <w:tblCaption w:val="Table 6.4"/>
        <w:tblDescription w:val="Final recommendations on standardised exchange products "/>
      </w:tblPr>
      <w:tblGrid>
        <w:gridCol w:w="2197"/>
        <w:gridCol w:w="4182"/>
        <w:gridCol w:w="2126"/>
      </w:tblGrid>
      <w:tr w:rsidR="00CF4594" w:rsidRPr="00D342CF" w14:paraId="48995328" w14:textId="77777777" w:rsidTr="0094109D">
        <w:trPr>
          <w:cnfStyle w:val="100000000000" w:firstRow="1" w:lastRow="0" w:firstColumn="0" w:lastColumn="0" w:oddVBand="0" w:evenVBand="0" w:oddHBand="0" w:evenHBand="0" w:firstRowFirstColumn="0" w:firstRowLastColumn="0" w:lastRowFirstColumn="0" w:lastRowLastColumn="0"/>
          <w:tblHeader/>
        </w:trPr>
        <w:tc>
          <w:tcPr>
            <w:tcW w:w="8505" w:type="dxa"/>
            <w:gridSpan w:val="3"/>
            <w:tcBorders>
              <w:bottom w:val="single" w:sz="4" w:space="0" w:color="auto"/>
            </w:tcBorders>
            <w:shd w:val="clear" w:color="auto" w:fill="0099CC"/>
          </w:tcPr>
          <w:p w14:paraId="2454143E" w14:textId="77777777" w:rsidR="00CF4594" w:rsidRPr="00D342CF" w:rsidRDefault="00CF4594" w:rsidP="00C42B52">
            <w:pPr>
              <w:keepNext/>
              <w:spacing w:before="20" w:after="20"/>
              <w:jc w:val="center"/>
              <w:rPr>
                <w:rFonts w:asciiTheme="majorHAnsi" w:hAnsiTheme="majorHAnsi" w:cstheme="majorHAnsi"/>
                <w:b w:val="0"/>
                <w:color w:val="FFFFFF" w:themeColor="background1"/>
                <w:szCs w:val="18"/>
              </w:rPr>
            </w:pPr>
            <w:r w:rsidRPr="00D342CF">
              <w:rPr>
                <w:rFonts w:asciiTheme="majorHAnsi" w:hAnsiTheme="majorHAnsi" w:cstheme="majorHAnsi"/>
                <w:color w:val="FFFFFF" w:themeColor="background1"/>
                <w:szCs w:val="18"/>
              </w:rPr>
              <w:t>Firm Compression Products</w:t>
            </w:r>
          </w:p>
        </w:tc>
      </w:tr>
      <w:tr w:rsidR="00CF4594" w:rsidRPr="00D342CF" w14:paraId="3CE1D833" w14:textId="77777777" w:rsidTr="00993A3C">
        <w:tblPrEx>
          <w:shd w:val="clear" w:color="auto" w:fill="auto"/>
          <w:tblLook w:val="0420" w:firstRow="1" w:lastRow="0" w:firstColumn="0" w:lastColumn="0" w:noHBand="0" w:noVBand="1"/>
        </w:tblPrEx>
        <w:trPr>
          <w:cnfStyle w:val="100000000000" w:firstRow="1" w:lastRow="0" w:firstColumn="0" w:lastColumn="0" w:oddVBand="0" w:evenVBand="0" w:oddHBand="0" w:evenHBand="0" w:firstRowFirstColumn="0" w:firstRowLastColumn="0" w:lastRowFirstColumn="0" w:lastRowLastColumn="0"/>
          <w:tblHeader/>
        </w:trPr>
        <w:tc>
          <w:tcPr>
            <w:tcW w:w="2197" w:type="dxa"/>
            <w:tcBorders>
              <w:bottom w:val="single" w:sz="4" w:space="0" w:color="auto"/>
            </w:tcBorders>
            <w:shd w:val="clear" w:color="auto" w:fill="65697F" w:themeFill="background2" w:themeFillShade="80"/>
          </w:tcPr>
          <w:p w14:paraId="3D180E0F" w14:textId="77777777" w:rsidR="00CF4594" w:rsidRPr="00D342CF" w:rsidRDefault="00CF4594" w:rsidP="00C42B52">
            <w:pPr>
              <w:pStyle w:val="TableHeading"/>
              <w:spacing w:before="20" w:after="20"/>
              <w:rPr>
                <w:b w:val="0"/>
                <w:szCs w:val="18"/>
              </w:rPr>
            </w:pPr>
            <w:r w:rsidRPr="00D342CF">
              <w:rPr>
                <w:szCs w:val="18"/>
              </w:rPr>
              <w:t>Compressor location</w:t>
            </w:r>
          </w:p>
        </w:tc>
        <w:tc>
          <w:tcPr>
            <w:tcW w:w="4182" w:type="dxa"/>
            <w:tcBorders>
              <w:bottom w:val="single" w:sz="4" w:space="0" w:color="auto"/>
            </w:tcBorders>
            <w:shd w:val="clear" w:color="auto" w:fill="65697F" w:themeFill="background2" w:themeFillShade="80"/>
          </w:tcPr>
          <w:p w14:paraId="5EE017D6" w14:textId="77777777" w:rsidR="00CF4594" w:rsidRPr="00D342CF" w:rsidRDefault="00CF4594" w:rsidP="00C42B52">
            <w:pPr>
              <w:pStyle w:val="TableHeading"/>
              <w:spacing w:before="20" w:after="20"/>
              <w:rPr>
                <w:b w:val="0"/>
                <w:szCs w:val="18"/>
              </w:rPr>
            </w:pPr>
            <w:r w:rsidRPr="00D342CF">
              <w:rPr>
                <w:szCs w:val="18"/>
              </w:rPr>
              <w:t>Compression product</w:t>
            </w:r>
          </w:p>
        </w:tc>
        <w:tc>
          <w:tcPr>
            <w:tcW w:w="2126" w:type="dxa"/>
            <w:tcBorders>
              <w:bottom w:val="single" w:sz="4" w:space="0" w:color="auto"/>
            </w:tcBorders>
            <w:shd w:val="clear" w:color="auto" w:fill="65697F" w:themeFill="background2" w:themeFillShade="80"/>
          </w:tcPr>
          <w:p w14:paraId="55FF4408" w14:textId="77777777" w:rsidR="00CF4594" w:rsidRPr="00D342CF" w:rsidRDefault="00CF4594" w:rsidP="00C42B52">
            <w:pPr>
              <w:pStyle w:val="TableHeading"/>
              <w:spacing w:before="20" w:after="20"/>
              <w:rPr>
                <w:b w:val="0"/>
                <w:szCs w:val="18"/>
              </w:rPr>
            </w:pPr>
            <w:r w:rsidRPr="00D342CF">
              <w:rPr>
                <w:b w:val="0"/>
                <w:szCs w:val="18"/>
              </w:rPr>
              <w:t>Service provider</w:t>
            </w:r>
          </w:p>
        </w:tc>
      </w:tr>
      <w:tr w:rsidR="00CF4594" w:rsidRPr="00D342CF" w14:paraId="2336D621" w14:textId="77777777" w:rsidTr="00993A3C">
        <w:tblPrEx>
          <w:shd w:val="clear" w:color="auto" w:fill="auto"/>
          <w:tblLook w:val="0420" w:firstRow="1" w:lastRow="0" w:firstColumn="0" w:lastColumn="0" w:noHBand="0" w:noVBand="1"/>
        </w:tblPrEx>
        <w:tc>
          <w:tcPr>
            <w:tcW w:w="2197" w:type="dxa"/>
            <w:tcBorders>
              <w:bottom w:val="single" w:sz="4" w:space="0" w:color="auto"/>
            </w:tcBorders>
            <w:shd w:val="clear" w:color="auto" w:fill="auto"/>
          </w:tcPr>
          <w:p w14:paraId="3F2FE894" w14:textId="77777777" w:rsidR="00CF4594" w:rsidRPr="00D342CF" w:rsidRDefault="00CF4594" w:rsidP="00C42B52">
            <w:pPr>
              <w:pStyle w:val="TableBodyText"/>
              <w:spacing w:before="20" w:after="20"/>
              <w:rPr>
                <w:szCs w:val="18"/>
              </w:rPr>
            </w:pPr>
            <w:r w:rsidRPr="00D342CF">
              <w:rPr>
                <w:szCs w:val="18"/>
              </w:rPr>
              <w:t>Wallumbilla</w:t>
            </w:r>
            <w:r w:rsidRPr="00D342CF">
              <w:rPr>
                <w:rStyle w:val="FootnoteReference"/>
                <w:szCs w:val="18"/>
              </w:rPr>
              <w:footnoteReference w:id="78"/>
            </w:r>
          </w:p>
        </w:tc>
        <w:tc>
          <w:tcPr>
            <w:tcW w:w="4182" w:type="dxa"/>
            <w:tcBorders>
              <w:bottom w:val="single" w:sz="4" w:space="0" w:color="auto"/>
            </w:tcBorders>
            <w:shd w:val="clear" w:color="auto" w:fill="auto"/>
          </w:tcPr>
          <w:p w14:paraId="2BFA5D9E" w14:textId="77777777" w:rsidR="00CF4594" w:rsidRPr="00D342CF" w:rsidRDefault="00CF4594" w:rsidP="00C42B52">
            <w:pPr>
              <w:pStyle w:val="TableBodyText"/>
              <w:spacing w:before="20" w:after="20"/>
              <w:rPr>
                <w:szCs w:val="18"/>
              </w:rPr>
            </w:pPr>
            <w:r w:rsidRPr="00D342CF">
              <w:rPr>
                <w:szCs w:val="18"/>
              </w:rPr>
              <w:t>Wallumbilla LPTP to Wallumbilla HPTP</w:t>
            </w:r>
          </w:p>
        </w:tc>
        <w:tc>
          <w:tcPr>
            <w:tcW w:w="2126" w:type="dxa"/>
            <w:tcBorders>
              <w:bottom w:val="single" w:sz="4" w:space="0" w:color="auto"/>
            </w:tcBorders>
            <w:shd w:val="clear" w:color="auto" w:fill="auto"/>
          </w:tcPr>
          <w:p w14:paraId="3EE646CC" w14:textId="77777777" w:rsidR="00CF4594" w:rsidRPr="00D342CF" w:rsidRDefault="00CF4594" w:rsidP="00C42B52">
            <w:pPr>
              <w:pStyle w:val="TableBodyText"/>
              <w:spacing w:before="20" w:after="20"/>
              <w:rPr>
                <w:szCs w:val="18"/>
              </w:rPr>
            </w:pPr>
            <w:r w:rsidRPr="00D342CF">
              <w:rPr>
                <w:szCs w:val="18"/>
              </w:rPr>
              <w:t>APA</w:t>
            </w:r>
          </w:p>
        </w:tc>
      </w:tr>
      <w:tr w:rsidR="00CF4594" w:rsidRPr="00D342CF" w14:paraId="1FA21B45" w14:textId="77777777" w:rsidTr="00993A3C">
        <w:tblPrEx>
          <w:shd w:val="clear" w:color="auto" w:fill="auto"/>
          <w:tblLook w:val="0420" w:firstRow="1" w:lastRow="0" w:firstColumn="0" w:lastColumn="0" w:noHBand="0" w:noVBand="1"/>
        </w:tblPrEx>
        <w:trPr>
          <w:cnfStyle w:val="000000010000" w:firstRow="0" w:lastRow="0" w:firstColumn="0" w:lastColumn="0" w:oddVBand="0" w:evenVBand="0" w:oddHBand="0" w:evenHBand="1" w:firstRowFirstColumn="0" w:firstRowLastColumn="0" w:lastRowFirstColumn="0" w:lastRowLastColumn="0"/>
        </w:trPr>
        <w:tc>
          <w:tcPr>
            <w:tcW w:w="2197" w:type="dxa"/>
            <w:shd w:val="clear" w:color="auto" w:fill="FFFFFF" w:themeFill="background1"/>
          </w:tcPr>
          <w:p w14:paraId="09C1778C" w14:textId="77777777" w:rsidR="00CF4594" w:rsidRPr="00D342CF" w:rsidRDefault="00CF4594" w:rsidP="00C42B52">
            <w:pPr>
              <w:pStyle w:val="TableBodyText"/>
              <w:spacing w:before="20" w:after="20"/>
              <w:rPr>
                <w:szCs w:val="18"/>
              </w:rPr>
            </w:pPr>
            <w:r w:rsidRPr="00D342CF">
              <w:rPr>
                <w:szCs w:val="18"/>
              </w:rPr>
              <w:t>Moomba</w:t>
            </w:r>
          </w:p>
        </w:tc>
        <w:tc>
          <w:tcPr>
            <w:tcW w:w="4182" w:type="dxa"/>
            <w:shd w:val="clear" w:color="auto" w:fill="FFFFFF" w:themeFill="background1"/>
          </w:tcPr>
          <w:p w14:paraId="5E13FB3E" w14:textId="77777777" w:rsidR="00CF4594" w:rsidRPr="00D342CF" w:rsidRDefault="00CF4594" w:rsidP="00C42B52">
            <w:pPr>
              <w:pStyle w:val="TableBodyText"/>
              <w:spacing w:before="20" w:after="20"/>
              <w:rPr>
                <w:szCs w:val="18"/>
              </w:rPr>
            </w:pPr>
            <w:r w:rsidRPr="00D342CF">
              <w:rPr>
                <w:szCs w:val="18"/>
              </w:rPr>
              <w:t xml:space="preserve">MCF to SWQP In-pipe Trade Point </w:t>
            </w:r>
          </w:p>
        </w:tc>
        <w:tc>
          <w:tcPr>
            <w:tcW w:w="2126" w:type="dxa"/>
            <w:shd w:val="clear" w:color="auto" w:fill="FFFFFF" w:themeFill="background1"/>
          </w:tcPr>
          <w:p w14:paraId="3F9A5B01" w14:textId="77777777" w:rsidR="00CF4594" w:rsidRPr="00D342CF" w:rsidRDefault="00CF4594" w:rsidP="00C42B52">
            <w:pPr>
              <w:pStyle w:val="TableBodyText"/>
              <w:spacing w:before="20" w:after="20"/>
              <w:rPr>
                <w:szCs w:val="18"/>
              </w:rPr>
            </w:pPr>
            <w:r w:rsidRPr="00D342CF">
              <w:rPr>
                <w:szCs w:val="18"/>
              </w:rPr>
              <w:t>APA</w:t>
            </w:r>
          </w:p>
        </w:tc>
      </w:tr>
    </w:tbl>
    <w:p w14:paraId="28FCDABE" w14:textId="77777777" w:rsidR="00CF4594" w:rsidRDefault="00CF4594" w:rsidP="00C42B52">
      <w:pPr>
        <w:pStyle w:val="Heading2"/>
        <w:rPr>
          <w:b w:val="0"/>
          <w:bCs w:val="0"/>
        </w:rPr>
      </w:pPr>
      <w:bookmarkStart w:id="137" w:name="_Toc498577941"/>
      <w:bookmarkStart w:id="138" w:name="_Toc499542663"/>
      <w:r>
        <w:lastRenderedPageBreak/>
        <w:t>Charging parameters for capacity products</w:t>
      </w:r>
      <w:bookmarkEnd w:id="134"/>
      <w:bookmarkEnd w:id="137"/>
      <w:bookmarkEnd w:id="138"/>
      <w:r>
        <w:t xml:space="preserve"> </w:t>
      </w:r>
      <w:bookmarkEnd w:id="135"/>
    </w:p>
    <w:p w14:paraId="0760791A" w14:textId="77777777" w:rsidR="00CF4594" w:rsidRPr="008E3DFE" w:rsidRDefault="00CF4594" w:rsidP="00CF4594">
      <w:pPr>
        <w:pStyle w:val="Heading6"/>
        <w:spacing w:line="252" w:lineRule="auto"/>
        <w:rPr>
          <w:rStyle w:val="Bold"/>
          <w:b/>
          <w:color w:val="0099CC"/>
        </w:rPr>
      </w:pPr>
      <w:r>
        <w:rPr>
          <w:rStyle w:val="Bold"/>
          <w:b/>
          <w:color w:val="0099CC"/>
        </w:rPr>
        <w:t xml:space="preserve">Background </w:t>
      </w:r>
    </w:p>
    <w:p w14:paraId="1B129844" w14:textId="77777777" w:rsidR="00CF4594" w:rsidRDefault="00CF4594" w:rsidP="00CF4594">
      <w:pPr>
        <w:pStyle w:val="BodyText"/>
      </w:pPr>
      <w:r>
        <w:t>The GMRG understands that while the charges levied by service providers for firm forward haul, park and compression services are usually capacity based (i.e. $/GJ of MDQ) and payable irrespective of the volume of gas actually transported, there are some shippers that are currently paying:</w:t>
      </w:r>
    </w:p>
    <w:p w14:paraId="3368168F" w14:textId="77777777" w:rsidR="00CF4594" w:rsidRDefault="00CF4594" w:rsidP="00CF4594">
      <w:pPr>
        <w:pStyle w:val="ListBullet"/>
      </w:pPr>
      <w:r>
        <w:t>a purely variable charge ($/GJ), with the charge levied by the service provider depending on the volume of gas actually transported; and</w:t>
      </w:r>
    </w:p>
    <w:p w14:paraId="3B364C15" w14:textId="77777777" w:rsidR="00CF4594" w:rsidRDefault="00CF4594" w:rsidP="00CF4594">
      <w:pPr>
        <w:pStyle w:val="ListBullet"/>
      </w:pPr>
      <w:proofErr w:type="gramStart"/>
      <w:r>
        <w:t>a</w:t>
      </w:r>
      <w:proofErr w:type="gramEnd"/>
      <w:r>
        <w:t xml:space="preserve"> combined capacity and variable charge.</w:t>
      </w:r>
    </w:p>
    <w:p w14:paraId="2D119D31" w14:textId="77777777" w:rsidR="00CF4594" w:rsidRDefault="00CF4594" w:rsidP="00CF4594">
      <w:pPr>
        <w:pStyle w:val="BodyText"/>
      </w:pPr>
      <w:r>
        <w:t xml:space="preserve">This variation in charging parameters raises an important question about how the price of capacity products on the exchange should be expressed, with the options including a capacity based charge, a variable charge </w:t>
      </w:r>
      <w:r w:rsidR="0078457E">
        <w:t xml:space="preserve">or </w:t>
      </w:r>
      <w:r>
        <w:t xml:space="preserve">a combined fixed and variable charge. The latter two of these options are problematic because they may result in the primary shipper obtaining information on how much gas the secondary shipper transported (unless the variable charge was payable to the service provider rather than the primary shipper). </w:t>
      </w:r>
      <w:r w:rsidR="00425D66">
        <w:t xml:space="preserve">These two options </w:t>
      </w:r>
      <w:r>
        <w:t xml:space="preserve">would also result in higher system costs and complexity for AEMO, who would also need to know how much gas was transported to calculate the settlement amounts. </w:t>
      </w:r>
      <w:r w:rsidR="0078457E">
        <w:t xml:space="preserve">Of the three options, the Capacity Trading Platform project team thought the </w:t>
      </w:r>
      <w:r>
        <w:t xml:space="preserve">fixed capacity charge ($/GJ of MDQ) option </w:t>
      </w:r>
      <w:r w:rsidR="0078457E">
        <w:t xml:space="preserve">was </w:t>
      </w:r>
      <w:r>
        <w:t xml:space="preserve">the most workable. </w:t>
      </w:r>
    </w:p>
    <w:p w14:paraId="17C8394B" w14:textId="77777777" w:rsidR="00CF4594" w:rsidRPr="00330D4A" w:rsidRDefault="00CF4594" w:rsidP="00CF4594">
      <w:pPr>
        <w:pStyle w:val="BodyText"/>
      </w:pPr>
      <w:r>
        <w:t xml:space="preserve">If a capacity charge is applied, then the next question that must be considered is how to deal with the variable charge that the primary shipper is required to pay under its primary GTA. </w:t>
      </w:r>
      <w:r w:rsidRPr="00330D4A">
        <w:t xml:space="preserve">There are three potential </w:t>
      </w:r>
      <w:r>
        <w:t xml:space="preserve">ways in which this </w:t>
      </w:r>
      <w:r w:rsidRPr="00330D4A">
        <w:t>issue</w:t>
      </w:r>
      <w:r>
        <w:t xml:space="preserve"> could be resolved</w:t>
      </w:r>
      <w:r w:rsidRPr="00330D4A">
        <w:t>:</w:t>
      </w:r>
    </w:p>
    <w:p w14:paraId="774AB993" w14:textId="77777777" w:rsidR="00CF4594" w:rsidRPr="00330D4A" w:rsidRDefault="00CF4594" w:rsidP="00CF4594">
      <w:pPr>
        <w:pStyle w:val="ListBullet"/>
      </w:pPr>
      <w:r w:rsidRPr="00B21AEE">
        <w:rPr>
          <w:b/>
        </w:rPr>
        <w:t>Option 1:</w:t>
      </w:r>
      <w:r w:rsidRPr="00330D4A">
        <w:t xml:space="preserve"> </w:t>
      </w:r>
      <w:r>
        <w:t>T</w:t>
      </w:r>
      <w:r w:rsidRPr="00330D4A">
        <w:t xml:space="preserve">he </w:t>
      </w:r>
      <w:r>
        <w:t xml:space="preserve">variable </w:t>
      </w:r>
      <w:r w:rsidRPr="00330D4A">
        <w:t xml:space="preserve">charge </w:t>
      </w:r>
      <w:r>
        <w:t>could be</w:t>
      </w:r>
      <w:r w:rsidRPr="00330D4A">
        <w:t xml:space="preserve"> paid by the secondary shipper</w:t>
      </w:r>
      <w:r>
        <w:t xml:space="preserve"> to the service provider, which would need to be set out in the operational GTA</w:t>
      </w:r>
      <w:r w:rsidRPr="00330D4A">
        <w:t xml:space="preserve"> </w:t>
      </w:r>
      <w:r>
        <w:t xml:space="preserve">(note that this may not be equal to </w:t>
      </w:r>
      <w:r w:rsidRPr="00330D4A">
        <w:t xml:space="preserve">the charge </w:t>
      </w:r>
      <w:r>
        <w:t>in the</w:t>
      </w:r>
      <w:r w:rsidRPr="00330D4A">
        <w:t xml:space="preserve"> primary shipper</w:t>
      </w:r>
      <w:r>
        <w:t>’s GTA).</w:t>
      </w:r>
    </w:p>
    <w:p w14:paraId="08BE399C" w14:textId="77777777" w:rsidR="00CF4594" w:rsidRPr="00330D4A" w:rsidRDefault="00CF4594" w:rsidP="00CF4594">
      <w:pPr>
        <w:pStyle w:val="ListBullet"/>
      </w:pPr>
      <w:r w:rsidRPr="00330D4A">
        <w:rPr>
          <w:b/>
        </w:rPr>
        <w:t>Option 2:</w:t>
      </w:r>
      <w:r w:rsidRPr="00330D4A">
        <w:t xml:space="preserve"> </w:t>
      </w:r>
      <w:r>
        <w:t>T</w:t>
      </w:r>
      <w:r w:rsidRPr="00330D4A">
        <w:t xml:space="preserve">he </w:t>
      </w:r>
      <w:r>
        <w:t>variable</w:t>
      </w:r>
      <w:r w:rsidRPr="00330D4A">
        <w:t xml:space="preserve"> charge </w:t>
      </w:r>
      <w:r>
        <w:t xml:space="preserve">could be </w:t>
      </w:r>
      <w:r w:rsidRPr="00330D4A">
        <w:t>paid by the primary shipper</w:t>
      </w:r>
      <w:r>
        <w:t xml:space="preserve"> to the service provider</w:t>
      </w:r>
      <w:r w:rsidRPr="00330D4A">
        <w:t>, based on the actual volume of gas transported by the secondary shipper</w:t>
      </w:r>
      <w:r>
        <w:t>. This implicitly allows for the primary shipper to convert the variable charge into a fixed charge when the primary shipper offers the capacity on the exchange.</w:t>
      </w:r>
    </w:p>
    <w:p w14:paraId="04B4DD3B" w14:textId="77777777" w:rsidR="00CF4594" w:rsidRPr="00330D4A" w:rsidRDefault="00CF4594" w:rsidP="00CF4594">
      <w:pPr>
        <w:pStyle w:val="ListBullet"/>
      </w:pPr>
      <w:r w:rsidRPr="00330D4A">
        <w:rPr>
          <w:b/>
        </w:rPr>
        <w:t>Option 3:</w:t>
      </w:r>
      <w:r w:rsidRPr="00330D4A">
        <w:t xml:space="preserve"> </w:t>
      </w:r>
      <w:r>
        <w:t>T</w:t>
      </w:r>
      <w:r w:rsidRPr="00330D4A">
        <w:t xml:space="preserve">he primary shipper’s </w:t>
      </w:r>
      <w:r>
        <w:t xml:space="preserve">variable </w:t>
      </w:r>
      <w:r w:rsidRPr="00330D4A">
        <w:t xml:space="preserve">charge </w:t>
      </w:r>
      <w:r>
        <w:t xml:space="preserve">could be converted by the service provider into </w:t>
      </w:r>
      <w:r w:rsidRPr="00330D4A">
        <w:t xml:space="preserve">a capacity charge for </w:t>
      </w:r>
      <w:r>
        <w:t xml:space="preserve">that portion of capacity that has been sold for </w:t>
      </w:r>
      <w:r w:rsidRPr="00330D4A">
        <w:t>the duration of the trade (i.e. it is assumed they use all the capacity every day of the trade</w:t>
      </w:r>
      <w:r>
        <w:t xml:space="preserve"> and the service provider retains any difference between the reserved capacity and actual volume of gas transported</w:t>
      </w:r>
      <w:r w:rsidRPr="00330D4A">
        <w:t>).</w:t>
      </w:r>
    </w:p>
    <w:p w14:paraId="2997E5D2" w14:textId="77777777" w:rsidR="00CF4594" w:rsidRPr="008E3DFE" w:rsidRDefault="00CF4594" w:rsidP="00CF4594">
      <w:pPr>
        <w:pStyle w:val="Heading6"/>
        <w:spacing w:line="252" w:lineRule="auto"/>
        <w:rPr>
          <w:rStyle w:val="Bold"/>
          <w:b/>
          <w:color w:val="0099CC"/>
        </w:rPr>
      </w:pPr>
      <w:r>
        <w:rPr>
          <w:rStyle w:val="Bold"/>
          <w:b/>
          <w:color w:val="0099CC"/>
        </w:rPr>
        <w:t>GMRG</w:t>
      </w:r>
      <w:r w:rsidR="00E32380">
        <w:rPr>
          <w:rStyle w:val="Bold"/>
          <w:b/>
          <w:color w:val="0099CC"/>
        </w:rPr>
        <w:t>’s</w:t>
      </w:r>
      <w:r>
        <w:rPr>
          <w:rStyle w:val="Bold"/>
          <w:b/>
          <w:color w:val="0099CC"/>
        </w:rPr>
        <w:t xml:space="preserve"> preliminary view </w:t>
      </w:r>
    </w:p>
    <w:p w14:paraId="43586468" w14:textId="77777777" w:rsidR="00CF4594" w:rsidRDefault="0078457E" w:rsidP="00CF4594">
      <w:pPr>
        <w:tabs>
          <w:tab w:val="left" w:pos="2268"/>
          <w:tab w:val="left" w:pos="4536"/>
          <w:tab w:val="left" w:pos="6804"/>
          <w:tab w:val="right" w:pos="9638"/>
        </w:tabs>
        <w:spacing w:before="240" w:after="120"/>
      </w:pPr>
      <w:r>
        <w:t xml:space="preserve">In the consultation paper, the GMRG agreed with the project team that a </w:t>
      </w:r>
      <w:r w:rsidR="00CF4594">
        <w:t xml:space="preserve">fixed capacity </w:t>
      </w:r>
      <w:r>
        <w:t xml:space="preserve">charging parameter </w:t>
      </w:r>
      <w:r w:rsidR="00CF4594">
        <w:t>($/GJ of MDQ) should be adopted</w:t>
      </w:r>
      <w:r>
        <w:t xml:space="preserve"> for capacity products</w:t>
      </w:r>
      <w:r w:rsidR="00CF4594">
        <w:t xml:space="preserve">. The GMRG did not, however, express a view on the options for dealing with </w:t>
      </w:r>
      <w:r>
        <w:t xml:space="preserve">any </w:t>
      </w:r>
      <w:r w:rsidR="00CF4594">
        <w:t>variable charges</w:t>
      </w:r>
      <w:r w:rsidR="003412B8">
        <w:t xml:space="preserve"> </w:t>
      </w:r>
      <w:r>
        <w:t xml:space="preserve">that primary shippers may be required to pay </w:t>
      </w:r>
      <w:r w:rsidR="003412B8">
        <w:t>and</w:t>
      </w:r>
      <w:r w:rsidR="00CF4594">
        <w:t xml:space="preserve"> sought further feedback from stakeholders on the options</w:t>
      </w:r>
      <w:r w:rsidR="003412B8">
        <w:t xml:space="preserve"> identified</w:t>
      </w:r>
      <w:r w:rsidR="00CF4594">
        <w:t xml:space="preserve">. </w:t>
      </w:r>
    </w:p>
    <w:p w14:paraId="3110CFAF" w14:textId="77777777" w:rsidR="00CF4594" w:rsidRPr="00ED294E" w:rsidRDefault="00CF4594" w:rsidP="00CF4594">
      <w:pPr>
        <w:pStyle w:val="Heading6"/>
        <w:spacing w:line="252" w:lineRule="auto"/>
        <w:rPr>
          <w:rFonts w:eastAsiaTheme="minorEastAsia"/>
          <w:color w:val="0099CC"/>
        </w:rPr>
      </w:pPr>
      <w:r w:rsidRPr="00ED294E">
        <w:rPr>
          <w:rFonts w:eastAsiaTheme="minorEastAsia"/>
          <w:color w:val="0099CC"/>
        </w:rPr>
        <w:lastRenderedPageBreak/>
        <w:t xml:space="preserve">Feedback provided through the consultation process </w:t>
      </w:r>
    </w:p>
    <w:p w14:paraId="6CFC479C" w14:textId="77777777" w:rsidR="00CF4594" w:rsidRDefault="00CF4594" w:rsidP="00CF4594">
      <w:pPr>
        <w:tabs>
          <w:tab w:val="left" w:pos="2268"/>
          <w:tab w:val="left" w:pos="4536"/>
          <w:tab w:val="left" w:pos="6804"/>
          <w:tab w:val="right" w:pos="9638"/>
        </w:tabs>
        <w:spacing w:before="240" w:after="120"/>
      </w:pPr>
      <w:r>
        <w:t>Stakeholders were divided on the three options</w:t>
      </w:r>
      <w:r w:rsidR="003412B8">
        <w:t xml:space="preserve"> identified</w:t>
      </w:r>
      <w:r>
        <w:t>, with:</w:t>
      </w:r>
    </w:p>
    <w:p w14:paraId="2554201D" w14:textId="77777777" w:rsidR="00CF4594" w:rsidRDefault="00CF4594" w:rsidP="00CF4594">
      <w:pPr>
        <w:pStyle w:val="ListBullet"/>
      </w:pPr>
      <w:r>
        <w:t xml:space="preserve">Origin and Shell supporting Option 1 </w:t>
      </w:r>
      <w:r w:rsidR="003A1EFB">
        <w:t xml:space="preserve">because they thought </w:t>
      </w:r>
      <w:r>
        <w:t xml:space="preserve">it would be easier to implement and transparent with the variable charge set out in the operational GTA.  </w:t>
      </w:r>
    </w:p>
    <w:p w14:paraId="2760B681" w14:textId="77777777" w:rsidR="00CF4594" w:rsidRDefault="00CF4594" w:rsidP="00CF4594">
      <w:pPr>
        <w:pStyle w:val="ListBullet"/>
      </w:pPr>
      <w:r>
        <w:t xml:space="preserve">Stanwell, the MEU, Epic and Jemena supporting Option 2 </w:t>
      </w:r>
      <w:r w:rsidR="003A1EFB">
        <w:t xml:space="preserve">because they thought </w:t>
      </w:r>
      <w:r>
        <w:t xml:space="preserve">it was appropriate for the liability to pay the variable charge to remain with the primary shipper. The MEU and Epic also </w:t>
      </w:r>
      <w:r w:rsidR="003412B8">
        <w:t xml:space="preserve">suggested </w:t>
      </w:r>
      <w:r>
        <w:t>that the use of the fully anonymous delivery model would mean primary capacity holders would not actually know who was using the capacity so the transfer of this information on actual flows may not be a significant issue.</w:t>
      </w:r>
    </w:p>
    <w:p w14:paraId="44462EA8" w14:textId="77777777" w:rsidR="00CF4594" w:rsidRDefault="00CF4594" w:rsidP="00CF4594">
      <w:pPr>
        <w:pStyle w:val="ListBullet"/>
      </w:pPr>
      <w:r>
        <w:t xml:space="preserve">APGA, APA and AGL supporting Option 3 </w:t>
      </w:r>
      <w:r w:rsidR="003A1EFB">
        <w:t xml:space="preserve">because they thought </w:t>
      </w:r>
      <w:r>
        <w:t>it would be relatively easy to implement and primary shippers would be able to factor in the variable component when determining the prices at which they are willing to trade. These parties also noted that this is the current approach applied and which shippers are comfortable working with.</w:t>
      </w:r>
    </w:p>
    <w:p w14:paraId="5378BAEC" w14:textId="77777777" w:rsidR="00CF4594" w:rsidRDefault="00CF4594" w:rsidP="00CF4594">
      <w:pPr>
        <w:pStyle w:val="ListBullet"/>
      </w:pPr>
      <w:r>
        <w:t xml:space="preserve">APLNG stating that any option that results in the primary shipper becoming aware of the volumes transported by the secondary shipper should be avoided. </w:t>
      </w:r>
    </w:p>
    <w:p w14:paraId="59A7CC0B" w14:textId="77777777" w:rsidR="00CF4594" w:rsidRPr="00DF0551" w:rsidRDefault="00CF4594" w:rsidP="00E32380">
      <w:pPr>
        <w:pStyle w:val="Heading6"/>
        <w:spacing w:line="252" w:lineRule="auto"/>
        <w:rPr>
          <w:rStyle w:val="Bold"/>
          <w:color w:val="0099CC"/>
        </w:rPr>
      </w:pPr>
      <w:r w:rsidRPr="00DF0551">
        <w:rPr>
          <w:rStyle w:val="Bold"/>
          <w:color w:val="0099CC"/>
        </w:rPr>
        <w:t xml:space="preserve">GMRG’s final recommendations </w:t>
      </w:r>
    </w:p>
    <w:p w14:paraId="154BB9CF" w14:textId="77777777" w:rsidR="00CF4594" w:rsidRDefault="00CF4594" w:rsidP="00CF4594">
      <w:pPr>
        <w:tabs>
          <w:tab w:val="left" w:pos="2268"/>
          <w:tab w:val="left" w:pos="4536"/>
          <w:tab w:val="left" w:pos="6804"/>
          <w:tab w:val="right" w:pos="9638"/>
        </w:tabs>
        <w:spacing w:before="240" w:after="120"/>
      </w:pPr>
      <w:r>
        <w:t xml:space="preserve">Consistent with the position reached in the consultation paper, the GMRG recommends that all the </w:t>
      </w:r>
      <w:r w:rsidR="003A1EFB">
        <w:t xml:space="preserve">capacity </w:t>
      </w:r>
      <w:r>
        <w:t xml:space="preserve">products be sold using a fixed capacity </w:t>
      </w:r>
      <w:r w:rsidR="003A1EFB">
        <w:t xml:space="preserve">charging mechanism </w:t>
      </w:r>
      <w:r>
        <w:t xml:space="preserve">($/GJ of MDQ). </w:t>
      </w:r>
    </w:p>
    <w:p w14:paraId="1523FEB0" w14:textId="77777777" w:rsidR="00CF4594" w:rsidRDefault="00CF4594" w:rsidP="00CF4594">
      <w:pPr>
        <w:tabs>
          <w:tab w:val="left" w:pos="2268"/>
          <w:tab w:val="left" w:pos="4536"/>
          <w:tab w:val="left" w:pos="6804"/>
          <w:tab w:val="right" w:pos="9638"/>
        </w:tabs>
        <w:spacing w:before="240" w:after="120"/>
      </w:pPr>
      <w:r>
        <w:t>As to the approach that should be used to deal with variable charges, the GMRG has considered the feedback provided by stakeholders on each of the options and while it recognises that no option is perfect, it recommends that Option 3 be implemented</w:t>
      </w:r>
      <w:r w:rsidR="003A1EFB">
        <w:t xml:space="preserve"> because it will </w:t>
      </w:r>
      <w:r>
        <w:t xml:space="preserve">cause the fewest distortions and provide all parties </w:t>
      </w:r>
      <w:r w:rsidR="002043A5">
        <w:t xml:space="preserve">with </w:t>
      </w:r>
      <w:r>
        <w:t>greater certainty about the price being paid. Under this option, the service provider will convert the variable charge into a capacity charge by assuming that all the capacity is used on every day of the trade and the primary shipper would incorporate the fixed charge into its offer.</w:t>
      </w:r>
    </w:p>
    <w:p w14:paraId="20EE5A2A" w14:textId="77777777" w:rsidR="00777833" w:rsidRDefault="00CF4594" w:rsidP="00CF4594">
      <w:pPr>
        <w:tabs>
          <w:tab w:val="left" w:pos="2268"/>
          <w:tab w:val="left" w:pos="4536"/>
          <w:tab w:val="left" w:pos="6804"/>
          <w:tab w:val="right" w:pos="9638"/>
        </w:tabs>
        <w:spacing w:before="240" w:after="120"/>
      </w:pPr>
      <w:r>
        <w:t xml:space="preserve">In relation to the other options, the GMRG notes that while Option 1 would be the easiest to implement, it cannot deal with the situation where the primary shipper’s charge is a pure throughput charge </w:t>
      </w:r>
      <w:r w:rsidR="003A1EFB">
        <w:t xml:space="preserve">or if a </w:t>
      </w:r>
      <w:r>
        <w:t>variable transportation charge i</w:t>
      </w:r>
      <w:r w:rsidR="003A1EFB">
        <w:t xml:space="preserve">s </w:t>
      </w:r>
      <w:r>
        <w:t>set at different levels for shippers on the same pipeline. There is also a risk that some secondary shippers will pay a higher variable charge than the primary shipper because the service provider will need to establish a common variable charge for all secondary shippers. The GMRG is not therefore advocating the adoption of this option. As to Option 2, the GMRG notes that a major limitation with this option is that it requires the primary shipper to be informed of the secondary shipper</w:t>
      </w:r>
      <w:r w:rsidR="001D1500">
        <w:t>’s</w:t>
      </w:r>
      <w:r>
        <w:t xml:space="preserve"> actual volumes shipped under the capacity transferred. </w:t>
      </w:r>
      <w:r w:rsidR="003A1EFB">
        <w:t xml:space="preserve">Even under the fully anonymous delivery model, this could result in the primary shipper having access to information that the secondary shipper may consider confidential. The GMRG is </w:t>
      </w:r>
      <w:r>
        <w:t>not therefore advocating this option.</w:t>
      </w:r>
    </w:p>
    <w:p w14:paraId="7305C7E2" w14:textId="77777777" w:rsidR="00777833" w:rsidRDefault="00777833">
      <w:r>
        <w:br w:type="page"/>
      </w:r>
    </w:p>
    <w:p w14:paraId="3FD22602" w14:textId="77777777" w:rsidR="00C34E9D" w:rsidRPr="008B1B73" w:rsidRDefault="00C34E9D" w:rsidP="00F65A13">
      <w:pPr>
        <w:pStyle w:val="Heading1"/>
      </w:pPr>
      <w:bookmarkStart w:id="139" w:name="_Toc489464934"/>
      <w:bookmarkStart w:id="140" w:name="_Toc499542664"/>
      <w:r w:rsidRPr="008B1B73">
        <w:lastRenderedPageBreak/>
        <w:t xml:space="preserve">Delivery </w:t>
      </w:r>
      <w:r w:rsidR="00854182">
        <w:t>P</w:t>
      </w:r>
      <w:r w:rsidRPr="008B1B73">
        <w:t>rocess</w:t>
      </w:r>
      <w:r w:rsidR="00854182">
        <w:t xml:space="preserve"> </w:t>
      </w:r>
      <w:bookmarkEnd w:id="139"/>
      <w:r w:rsidR="003529C7">
        <w:t>for Exchange Traded Products</w:t>
      </w:r>
      <w:bookmarkEnd w:id="140"/>
      <w:r w:rsidR="003529C7">
        <w:t xml:space="preserve"> </w:t>
      </w:r>
    </w:p>
    <w:p w14:paraId="7C08ECC5" w14:textId="77777777" w:rsidR="00C34E9D" w:rsidRPr="008B1B73" w:rsidRDefault="00DA70CF" w:rsidP="00C34E9D">
      <w:pPr>
        <w:pStyle w:val="BodyText"/>
      </w:pPr>
      <w:r>
        <w:rPr>
          <w:rFonts w:cs="Arial"/>
        </w:rPr>
        <w:t>Once</w:t>
      </w:r>
      <w:r w:rsidR="00C90431">
        <w:rPr>
          <w:rFonts w:cs="Arial"/>
        </w:rPr>
        <w:t xml:space="preserve"> </w:t>
      </w:r>
      <w:r w:rsidR="00C34E9D" w:rsidRPr="008B1B73">
        <w:rPr>
          <w:rFonts w:cs="Arial"/>
        </w:rPr>
        <w:t xml:space="preserve">a </w:t>
      </w:r>
      <w:r w:rsidR="0003249B">
        <w:rPr>
          <w:rFonts w:cs="Arial"/>
        </w:rPr>
        <w:t xml:space="preserve">trade </w:t>
      </w:r>
      <w:r w:rsidR="00C34E9D" w:rsidRPr="008B1B73">
        <w:rPr>
          <w:rFonts w:cs="Arial"/>
        </w:rPr>
        <w:t xml:space="preserve">has </w:t>
      </w:r>
      <w:r w:rsidR="007C6B51">
        <w:rPr>
          <w:rFonts w:cs="Arial"/>
        </w:rPr>
        <w:t xml:space="preserve">been conducted </w:t>
      </w:r>
      <w:r>
        <w:rPr>
          <w:rFonts w:cs="Arial"/>
        </w:rPr>
        <w:t xml:space="preserve">on the exchange, </w:t>
      </w:r>
      <w:r w:rsidR="00C34E9D" w:rsidRPr="008B1B73">
        <w:rPr>
          <w:rFonts w:cs="Arial"/>
        </w:rPr>
        <w:t xml:space="preserve">the </w:t>
      </w:r>
      <w:r w:rsidR="0003249B">
        <w:rPr>
          <w:rFonts w:cs="Arial"/>
        </w:rPr>
        <w:t xml:space="preserve">capacity </w:t>
      </w:r>
      <w:r w:rsidR="00C34E9D" w:rsidRPr="008B1B73">
        <w:rPr>
          <w:rFonts w:cs="Arial"/>
        </w:rPr>
        <w:t xml:space="preserve">will need to be transferred </w:t>
      </w:r>
      <w:r w:rsidR="00F85F7D">
        <w:rPr>
          <w:rFonts w:cs="Arial"/>
        </w:rPr>
        <w:t xml:space="preserve">by the service provider </w:t>
      </w:r>
      <w:r w:rsidR="00C34E9D" w:rsidRPr="008B1B73">
        <w:rPr>
          <w:rFonts w:cs="Arial"/>
        </w:rPr>
        <w:t>from the seller</w:t>
      </w:r>
      <w:r w:rsidR="00F85F7D">
        <w:rPr>
          <w:rFonts w:cs="Arial"/>
        </w:rPr>
        <w:t>’s GTA</w:t>
      </w:r>
      <w:r w:rsidR="00C34E9D" w:rsidRPr="008B1B73">
        <w:rPr>
          <w:rFonts w:cs="Arial"/>
        </w:rPr>
        <w:t xml:space="preserve"> to the buyer</w:t>
      </w:r>
      <w:r w:rsidR="00F85F7D">
        <w:rPr>
          <w:rFonts w:cs="Arial"/>
        </w:rPr>
        <w:t>’s operational GTA</w:t>
      </w:r>
      <w:r w:rsidR="00C34E9D" w:rsidRPr="008B1B73">
        <w:rPr>
          <w:rFonts w:cs="Arial"/>
        </w:rPr>
        <w:t>.</w:t>
      </w:r>
      <w:r w:rsidR="00F85F7D" w:rsidRPr="00F85F7D">
        <w:rPr>
          <w:rStyle w:val="FootnoteReference"/>
        </w:rPr>
        <w:t xml:space="preserve"> </w:t>
      </w:r>
      <w:r w:rsidR="00F85F7D">
        <w:rPr>
          <w:rStyle w:val="FootnoteReference"/>
        </w:rPr>
        <w:footnoteReference w:id="79"/>
      </w:r>
      <w:r w:rsidR="00C34E9D" w:rsidRPr="008B1B73">
        <w:rPr>
          <w:rFonts w:cs="Arial"/>
        </w:rPr>
        <w:t xml:space="preserve"> This </w:t>
      </w:r>
      <w:r w:rsidR="0003249B">
        <w:rPr>
          <w:rFonts w:cs="Arial"/>
        </w:rPr>
        <w:t>transfer will need</w:t>
      </w:r>
      <w:r w:rsidR="00C34E9D" w:rsidRPr="008B1B73">
        <w:rPr>
          <w:rFonts w:cs="Arial"/>
        </w:rPr>
        <w:t xml:space="preserve"> to occur ahead of the gas day so </w:t>
      </w:r>
      <w:r w:rsidR="0003249B">
        <w:rPr>
          <w:rFonts w:cs="Arial"/>
        </w:rPr>
        <w:t xml:space="preserve">that </w:t>
      </w:r>
      <w:r w:rsidR="00C34E9D" w:rsidRPr="008B1B73">
        <w:rPr>
          <w:rFonts w:cs="Arial"/>
        </w:rPr>
        <w:t xml:space="preserve">the buyer can </w:t>
      </w:r>
      <w:r w:rsidR="0003249B">
        <w:rPr>
          <w:rFonts w:cs="Arial"/>
        </w:rPr>
        <w:t xml:space="preserve">take ‘delivery’ of the capacity and make nominations </w:t>
      </w:r>
      <w:r w:rsidR="00C34E9D" w:rsidRPr="008B1B73">
        <w:rPr>
          <w:rFonts w:cs="Arial"/>
        </w:rPr>
        <w:t xml:space="preserve">against </w:t>
      </w:r>
      <w:r w:rsidR="0003249B">
        <w:rPr>
          <w:rFonts w:cs="Arial"/>
        </w:rPr>
        <w:t xml:space="preserve">the </w:t>
      </w:r>
      <w:r w:rsidR="00C34E9D" w:rsidRPr="008B1B73">
        <w:rPr>
          <w:rFonts w:cs="Arial"/>
        </w:rPr>
        <w:t xml:space="preserve">capacity prior to the </w:t>
      </w:r>
      <w:r w:rsidR="00734F1F">
        <w:rPr>
          <w:rFonts w:cs="Arial"/>
        </w:rPr>
        <w:t xml:space="preserve">service provider’s </w:t>
      </w:r>
      <w:r w:rsidR="00C34E9D" w:rsidRPr="008B1B73">
        <w:rPr>
          <w:rFonts w:cs="Arial"/>
        </w:rPr>
        <w:t xml:space="preserve">nomination cut-off time.  </w:t>
      </w:r>
    </w:p>
    <w:p w14:paraId="7D703DCB" w14:textId="77777777" w:rsidR="00C34E9D" w:rsidRPr="008B1B73" w:rsidRDefault="0003249B" w:rsidP="00C34E9D">
      <w:pPr>
        <w:pStyle w:val="BodyText"/>
      </w:pPr>
      <w:r>
        <w:t>At a high level, the delivery process is expected to involve</w:t>
      </w:r>
      <w:r w:rsidR="00C34E9D" w:rsidRPr="008B1B73">
        <w:t>:</w:t>
      </w:r>
    </w:p>
    <w:p w14:paraId="55FF9B3E" w14:textId="77777777" w:rsidR="00C34E9D" w:rsidRPr="008B1B73" w:rsidRDefault="00E50FC4" w:rsidP="00CF4594">
      <w:pPr>
        <w:pStyle w:val="ListBullet"/>
        <w:numPr>
          <w:ilvl w:val="0"/>
          <w:numId w:val="41"/>
        </w:numPr>
      </w:pPr>
      <w:r>
        <w:t>the p</w:t>
      </w:r>
      <w:r w:rsidR="00C34E9D" w:rsidRPr="008B1B73">
        <w:t xml:space="preserve">rovision of transaction information to </w:t>
      </w:r>
      <w:r w:rsidR="00734F1F">
        <w:t>service providers</w:t>
      </w:r>
      <w:r w:rsidR="00C34E9D" w:rsidRPr="008B1B73">
        <w:t>;</w:t>
      </w:r>
    </w:p>
    <w:p w14:paraId="49F37529" w14:textId="77777777" w:rsidR="00C34E9D" w:rsidRPr="008B1B73" w:rsidRDefault="00E50FC4" w:rsidP="00CF4594">
      <w:pPr>
        <w:pStyle w:val="ListBullet"/>
        <w:numPr>
          <w:ilvl w:val="0"/>
          <w:numId w:val="40"/>
        </w:numPr>
      </w:pPr>
      <w:r>
        <w:t>s</w:t>
      </w:r>
      <w:r w:rsidR="00734F1F">
        <w:t xml:space="preserve">ervice providers </w:t>
      </w:r>
      <w:r w:rsidR="00C34E9D" w:rsidRPr="008B1B73">
        <w:t xml:space="preserve">transferring </w:t>
      </w:r>
      <w:r w:rsidR="0003249B">
        <w:t xml:space="preserve">the </w:t>
      </w:r>
      <w:r w:rsidR="00723C4D">
        <w:t>capacity</w:t>
      </w:r>
      <w:r w:rsidR="00C34E9D" w:rsidRPr="008B1B73">
        <w:t xml:space="preserve"> </w:t>
      </w:r>
      <w:r w:rsidR="0003249B">
        <w:t xml:space="preserve">from the seller to the buyer </w:t>
      </w:r>
      <w:r w:rsidR="00734F1F">
        <w:t xml:space="preserve">and providing AEMO </w:t>
      </w:r>
      <w:r w:rsidR="0003249B">
        <w:t xml:space="preserve">and the </w:t>
      </w:r>
      <w:r w:rsidR="00642421">
        <w:t xml:space="preserve">buyer </w:t>
      </w:r>
      <w:r w:rsidR="00734F1F">
        <w:t xml:space="preserve">with confirmation that </w:t>
      </w:r>
      <w:r w:rsidR="00642421">
        <w:t xml:space="preserve">the transfer </w:t>
      </w:r>
      <w:r w:rsidR="00734F1F">
        <w:t>has occurred</w:t>
      </w:r>
      <w:r w:rsidR="00C34E9D" w:rsidRPr="008B1B73">
        <w:t>;</w:t>
      </w:r>
      <w:r w:rsidR="0003249B">
        <w:t xml:space="preserve"> and</w:t>
      </w:r>
    </w:p>
    <w:p w14:paraId="1BE2855B" w14:textId="77777777" w:rsidR="00C34E9D" w:rsidRPr="008B1B73" w:rsidRDefault="00C34E9D" w:rsidP="00CF4594">
      <w:pPr>
        <w:pStyle w:val="ListBullet"/>
        <w:numPr>
          <w:ilvl w:val="0"/>
          <w:numId w:val="40"/>
        </w:numPr>
      </w:pPr>
      <w:r w:rsidRPr="008B1B73">
        <w:t xml:space="preserve">AEMO transferring </w:t>
      </w:r>
      <w:r w:rsidR="0003249B">
        <w:t xml:space="preserve">the </w:t>
      </w:r>
      <w:r w:rsidRPr="008B1B73">
        <w:t xml:space="preserve">STTM trading rights </w:t>
      </w:r>
      <w:r w:rsidR="0003249B">
        <w:t xml:space="preserve">and/or </w:t>
      </w:r>
      <w:r w:rsidR="004C1EF9">
        <w:t xml:space="preserve">updating </w:t>
      </w:r>
      <w:r w:rsidR="0003249B">
        <w:t xml:space="preserve">the DWGM accreditation constraints </w:t>
      </w:r>
      <w:r w:rsidRPr="008B1B73">
        <w:t>where applicable</w:t>
      </w:r>
      <w:r w:rsidR="0003249B">
        <w:t>.</w:t>
      </w:r>
    </w:p>
    <w:p w14:paraId="5C22B745" w14:textId="77777777" w:rsidR="001E46B3" w:rsidRPr="001E46B3" w:rsidRDefault="001E46B3" w:rsidP="001E46B3">
      <w:pPr>
        <w:pStyle w:val="BodyText"/>
      </w:pPr>
      <w:r>
        <w:t xml:space="preserve">The remainder of this </w:t>
      </w:r>
      <w:r w:rsidRPr="001E46B3">
        <w:t xml:space="preserve">chapter sets out </w:t>
      </w:r>
      <w:r>
        <w:t xml:space="preserve">the </w:t>
      </w:r>
      <w:r w:rsidRPr="001E46B3">
        <w:t>GMRG</w:t>
      </w:r>
      <w:r>
        <w:t>’s</w:t>
      </w:r>
      <w:r w:rsidRPr="001E46B3">
        <w:t xml:space="preserve"> </w:t>
      </w:r>
      <w:r w:rsidR="00DA70CF">
        <w:t xml:space="preserve">final </w:t>
      </w:r>
      <w:r w:rsidRPr="001E46B3">
        <w:t>recommendations on the</w:t>
      </w:r>
      <w:r w:rsidR="00DA70CF">
        <w:t>se</w:t>
      </w:r>
      <w:r w:rsidRPr="001E46B3">
        <w:t xml:space="preserve"> </w:t>
      </w:r>
      <w:r w:rsidR="00DA70CF">
        <w:t xml:space="preserve">elements of </w:t>
      </w:r>
      <w:r w:rsidRPr="001E46B3">
        <w:t xml:space="preserve">the delivery process. </w:t>
      </w:r>
    </w:p>
    <w:p w14:paraId="3ADDA949" w14:textId="77777777" w:rsidR="00A01546" w:rsidRDefault="00A01546" w:rsidP="00330913">
      <w:pPr>
        <w:pStyle w:val="Heading2"/>
      </w:pPr>
      <w:bookmarkStart w:id="141" w:name="_Toc499542665"/>
      <w:r>
        <w:t>Provision of transaction information to service providers</w:t>
      </w:r>
      <w:bookmarkEnd w:id="141"/>
    </w:p>
    <w:p w14:paraId="64B4197A" w14:textId="77777777" w:rsidR="00A01546" w:rsidRDefault="00A01546" w:rsidP="00A01546">
      <w:pPr>
        <w:pStyle w:val="BodyText"/>
        <w:rPr>
          <w:rFonts w:cs="Arial"/>
        </w:rPr>
      </w:pPr>
      <w:r>
        <w:rPr>
          <w:rFonts w:cs="Arial"/>
        </w:rPr>
        <w:t>The way in which transaction information is provided to service providers will depend on</w:t>
      </w:r>
      <w:r w:rsidR="00DA70CF">
        <w:rPr>
          <w:rFonts w:cs="Arial"/>
        </w:rPr>
        <w:t>:</w:t>
      </w:r>
    </w:p>
    <w:p w14:paraId="6C4253DB" w14:textId="77777777" w:rsidR="00A01546" w:rsidRDefault="00A01546" w:rsidP="00A01546">
      <w:pPr>
        <w:pStyle w:val="ListBullet"/>
      </w:pPr>
      <w:r>
        <w:t>whether anonymity is to be preserved post-transaction;</w:t>
      </w:r>
      <w:r w:rsidR="00C303EE">
        <w:t xml:space="preserve"> and</w:t>
      </w:r>
    </w:p>
    <w:p w14:paraId="4797E009" w14:textId="77777777" w:rsidR="00A01546" w:rsidRDefault="00A01546" w:rsidP="00C303EE">
      <w:pPr>
        <w:pStyle w:val="ListBullet"/>
      </w:pPr>
      <w:proofErr w:type="gramStart"/>
      <w:r>
        <w:t>the</w:t>
      </w:r>
      <w:proofErr w:type="gramEnd"/>
      <w:r>
        <w:t xml:space="preserve"> frequency with which information is transferred</w:t>
      </w:r>
      <w:r w:rsidR="00C303EE">
        <w:t>.</w:t>
      </w:r>
    </w:p>
    <w:p w14:paraId="287A8D44" w14:textId="77777777" w:rsidR="00330913" w:rsidRPr="008B1B73" w:rsidRDefault="00330913" w:rsidP="00A01546">
      <w:pPr>
        <w:pStyle w:val="Heading3"/>
      </w:pPr>
      <w:bookmarkStart w:id="142" w:name="_Ref492066101"/>
      <w:r w:rsidRPr="008B1B73">
        <w:t>Anonymity</w:t>
      </w:r>
      <w:r w:rsidR="00A01546">
        <w:t xml:space="preserve"> post transaction</w:t>
      </w:r>
      <w:bookmarkEnd w:id="142"/>
    </w:p>
    <w:p w14:paraId="008A34EF" w14:textId="77777777" w:rsidR="001E46B3" w:rsidRPr="00350E30" w:rsidRDefault="001E46B3" w:rsidP="004E791B">
      <w:pPr>
        <w:pStyle w:val="Heading6"/>
        <w:spacing w:line="252" w:lineRule="auto"/>
        <w:rPr>
          <w:color w:val="0099CC"/>
        </w:rPr>
      </w:pPr>
      <w:r>
        <w:rPr>
          <w:color w:val="0099CC"/>
        </w:rPr>
        <w:t>Background</w:t>
      </w:r>
    </w:p>
    <w:p w14:paraId="511D7663" w14:textId="77777777" w:rsidR="00330913" w:rsidRPr="008B1B73" w:rsidRDefault="00330913" w:rsidP="00330913">
      <w:pPr>
        <w:pStyle w:val="BodyText"/>
      </w:pPr>
      <w:r>
        <w:rPr>
          <w:rFonts w:cs="Arial"/>
        </w:rPr>
        <w:t xml:space="preserve">Trades executed through the exchange will </w:t>
      </w:r>
      <w:r w:rsidR="00350E30">
        <w:rPr>
          <w:rFonts w:cs="Arial"/>
        </w:rPr>
        <w:t xml:space="preserve">occur on an anonymous basis. </w:t>
      </w:r>
      <w:r w:rsidRPr="008B1B73">
        <w:t>After a transaction occurs on the exchange there are two options with respect to anonymity:</w:t>
      </w:r>
    </w:p>
    <w:p w14:paraId="72538B54" w14:textId="77777777" w:rsidR="00330913" w:rsidRPr="008B1B73" w:rsidRDefault="00330913" w:rsidP="00CF4594">
      <w:pPr>
        <w:pStyle w:val="ListBullet"/>
        <w:numPr>
          <w:ilvl w:val="0"/>
          <w:numId w:val="36"/>
        </w:numPr>
      </w:pPr>
      <w:r w:rsidRPr="008B1B73">
        <w:rPr>
          <w:rStyle w:val="Bold"/>
        </w:rPr>
        <w:t>Partial anonymity</w:t>
      </w:r>
      <w:r w:rsidRPr="008B1B73">
        <w:t xml:space="preserve">: </w:t>
      </w:r>
      <w:r w:rsidR="00350E30">
        <w:t>Under this option the counterparties</w:t>
      </w:r>
      <w:r w:rsidR="000773DF">
        <w:t>’</w:t>
      </w:r>
      <w:r w:rsidR="00350E30">
        <w:t xml:space="preserve"> </w:t>
      </w:r>
      <w:r w:rsidRPr="008B1B73">
        <w:t xml:space="preserve">names </w:t>
      </w:r>
      <w:r w:rsidR="00350E30">
        <w:t xml:space="preserve">would be </w:t>
      </w:r>
      <w:r w:rsidRPr="008B1B73">
        <w:t xml:space="preserve">revealed after the transaction so they can jointly confirm the transfer of </w:t>
      </w:r>
      <w:r w:rsidR="00723C4D">
        <w:t>capacity</w:t>
      </w:r>
      <w:r w:rsidRPr="008B1B73">
        <w:t xml:space="preserve"> with the </w:t>
      </w:r>
      <w:r>
        <w:t>service provider</w:t>
      </w:r>
      <w:r w:rsidR="00642421">
        <w:t>; or</w:t>
      </w:r>
    </w:p>
    <w:p w14:paraId="0A15193E" w14:textId="77777777" w:rsidR="00330913" w:rsidRDefault="00330913" w:rsidP="00CF4594">
      <w:pPr>
        <w:pStyle w:val="ListBullet"/>
        <w:numPr>
          <w:ilvl w:val="0"/>
          <w:numId w:val="35"/>
        </w:numPr>
      </w:pPr>
      <w:r w:rsidRPr="008B1B73">
        <w:rPr>
          <w:rStyle w:val="Bold"/>
        </w:rPr>
        <w:t>Full anonymity</w:t>
      </w:r>
      <w:r w:rsidRPr="008B1B73">
        <w:t xml:space="preserve">: </w:t>
      </w:r>
      <w:r w:rsidR="00350E30">
        <w:t xml:space="preserve">Under this option </w:t>
      </w:r>
      <w:r w:rsidRPr="008B1B73">
        <w:t xml:space="preserve">AEMO </w:t>
      </w:r>
      <w:r w:rsidR="00350E30">
        <w:t>would confirm</w:t>
      </w:r>
      <w:r w:rsidRPr="008B1B73">
        <w:t xml:space="preserve"> the transaction with the </w:t>
      </w:r>
      <w:r>
        <w:t>service provider</w:t>
      </w:r>
      <w:r w:rsidRPr="008B1B73">
        <w:t xml:space="preserve"> so counterparty names are not revealed.</w:t>
      </w:r>
    </w:p>
    <w:p w14:paraId="66761F96" w14:textId="77777777" w:rsidR="00DA70CF" w:rsidRPr="00DA70CF" w:rsidRDefault="00DA70CF" w:rsidP="00DA70CF">
      <w:pPr>
        <w:pStyle w:val="ListBullet"/>
        <w:numPr>
          <w:ilvl w:val="0"/>
          <w:numId w:val="0"/>
        </w:numPr>
        <w:rPr>
          <w:b/>
        </w:rPr>
      </w:pPr>
      <w:r w:rsidRPr="00DA70CF">
        <w:rPr>
          <w:rStyle w:val="Bold"/>
          <w:b w:val="0"/>
        </w:rPr>
        <w:t>Further detail on these options is provided below</w:t>
      </w:r>
      <w:r w:rsidRPr="00DA70CF">
        <w:rPr>
          <w:b/>
        </w:rPr>
        <w:t>.</w:t>
      </w:r>
    </w:p>
    <w:p w14:paraId="5CA6A2F2" w14:textId="77777777" w:rsidR="00330913" w:rsidRPr="001E46B3" w:rsidRDefault="00330913" w:rsidP="001E46B3">
      <w:pPr>
        <w:pStyle w:val="BoldHeading"/>
        <w:keepNext/>
        <w:rPr>
          <w:b w:val="0"/>
          <w:i/>
          <w:color w:val="0099CC"/>
        </w:rPr>
      </w:pPr>
      <w:r w:rsidRPr="001E46B3">
        <w:rPr>
          <w:b w:val="0"/>
          <w:i/>
          <w:color w:val="0099CC"/>
        </w:rPr>
        <w:t>Partial anonymity</w:t>
      </w:r>
    </w:p>
    <w:p w14:paraId="7FC5F580" w14:textId="77777777" w:rsidR="00330913" w:rsidRDefault="00330913" w:rsidP="00330913">
      <w:pPr>
        <w:pStyle w:val="BodyText"/>
        <w:rPr>
          <w:rFonts w:cs="Arial"/>
        </w:rPr>
      </w:pPr>
      <w:r w:rsidRPr="008B1B73">
        <w:rPr>
          <w:rFonts w:cs="Arial"/>
        </w:rPr>
        <w:t>Under the partially anonymous approach</w:t>
      </w:r>
      <w:r w:rsidR="00C26F3D">
        <w:rPr>
          <w:rFonts w:cs="Arial"/>
        </w:rPr>
        <w:t>,</w:t>
      </w:r>
      <w:r w:rsidRPr="008B1B73">
        <w:rPr>
          <w:rFonts w:cs="Arial"/>
        </w:rPr>
        <w:t xml:space="preserve"> counterparties </w:t>
      </w:r>
      <w:r w:rsidR="00A01546">
        <w:rPr>
          <w:rFonts w:cs="Arial"/>
        </w:rPr>
        <w:t xml:space="preserve">would be </w:t>
      </w:r>
      <w:r w:rsidRPr="008B1B73">
        <w:rPr>
          <w:rFonts w:cs="Arial"/>
        </w:rPr>
        <w:t xml:space="preserve">anonymous until the </w:t>
      </w:r>
      <w:r w:rsidR="00642421">
        <w:rPr>
          <w:rFonts w:cs="Arial"/>
        </w:rPr>
        <w:t xml:space="preserve">capacity </w:t>
      </w:r>
      <w:r w:rsidRPr="008B1B73">
        <w:rPr>
          <w:rFonts w:cs="Arial"/>
        </w:rPr>
        <w:t xml:space="preserve">needs to be transferred. </w:t>
      </w:r>
      <w:r w:rsidR="00C5374D">
        <w:rPr>
          <w:rFonts w:cs="Arial"/>
        </w:rPr>
        <w:t xml:space="preserve">At this point, </w:t>
      </w:r>
      <w:r w:rsidRPr="008B1B73">
        <w:rPr>
          <w:rFonts w:cs="Arial"/>
        </w:rPr>
        <w:t xml:space="preserve">AEMO would reveal </w:t>
      </w:r>
      <w:r w:rsidR="00C5374D">
        <w:rPr>
          <w:rFonts w:cs="Arial"/>
        </w:rPr>
        <w:t xml:space="preserve">the </w:t>
      </w:r>
      <w:r w:rsidRPr="008B1B73">
        <w:rPr>
          <w:rFonts w:cs="Arial"/>
        </w:rPr>
        <w:t xml:space="preserve">counterparty names so that participants can provide this information to the </w:t>
      </w:r>
      <w:r>
        <w:rPr>
          <w:rFonts w:cs="Arial"/>
        </w:rPr>
        <w:t>service provider</w:t>
      </w:r>
      <w:r w:rsidRPr="008B1B73">
        <w:rPr>
          <w:rFonts w:cs="Arial"/>
        </w:rPr>
        <w:t xml:space="preserve">. </w:t>
      </w:r>
      <w:r w:rsidR="00A01546">
        <w:rPr>
          <w:rFonts w:cs="Arial"/>
        </w:rPr>
        <w:t xml:space="preserve">The </w:t>
      </w:r>
      <w:r w:rsidR="00A01546">
        <w:rPr>
          <w:rFonts w:cs="Arial"/>
        </w:rPr>
        <w:lastRenderedPageBreak/>
        <w:t xml:space="preserve">information that counterparties would </w:t>
      </w:r>
      <w:r w:rsidR="00C5374D">
        <w:rPr>
          <w:rFonts w:cs="Arial"/>
        </w:rPr>
        <w:t xml:space="preserve">be expected </w:t>
      </w:r>
      <w:r w:rsidR="00A01546">
        <w:rPr>
          <w:rFonts w:cs="Arial"/>
        </w:rPr>
        <w:t xml:space="preserve">to provide </w:t>
      </w:r>
      <w:r w:rsidR="006E6F2C">
        <w:rPr>
          <w:rFonts w:cs="Arial"/>
        </w:rPr>
        <w:t xml:space="preserve">to </w:t>
      </w:r>
      <w:r w:rsidR="00A01546">
        <w:rPr>
          <w:rFonts w:cs="Arial"/>
        </w:rPr>
        <w:t>the service provider, includes</w:t>
      </w:r>
      <w:r w:rsidR="00642421">
        <w:rPr>
          <w:rFonts w:cs="Arial"/>
        </w:rPr>
        <w:t>:</w:t>
      </w:r>
      <w:r w:rsidR="00A01546">
        <w:rPr>
          <w:rFonts w:cs="Arial"/>
        </w:rPr>
        <w:t xml:space="preserve"> </w:t>
      </w:r>
    </w:p>
    <w:p w14:paraId="68683CAA" w14:textId="77777777" w:rsidR="00A01546" w:rsidRPr="008B1B73" w:rsidRDefault="00C5374D" w:rsidP="00CF4594">
      <w:pPr>
        <w:pStyle w:val="ListBullet"/>
        <w:numPr>
          <w:ilvl w:val="0"/>
          <w:numId w:val="35"/>
        </w:numPr>
      </w:pPr>
      <w:r>
        <w:t xml:space="preserve">the </w:t>
      </w:r>
      <w:r w:rsidR="00642421">
        <w:t>amount of capacity that has been traded</w:t>
      </w:r>
      <w:r w:rsidR="00A01546" w:rsidRPr="008B1B73">
        <w:t>;</w:t>
      </w:r>
    </w:p>
    <w:p w14:paraId="01EC27B1" w14:textId="77777777" w:rsidR="00A01546" w:rsidRPr="008B1B73" w:rsidRDefault="00C5374D" w:rsidP="00CF4594">
      <w:pPr>
        <w:pStyle w:val="ListBullet"/>
        <w:numPr>
          <w:ilvl w:val="0"/>
          <w:numId w:val="34"/>
        </w:numPr>
      </w:pPr>
      <w:r>
        <w:t xml:space="preserve">the </w:t>
      </w:r>
      <w:r w:rsidR="00642421">
        <w:t>buyer’s and seller’s identities</w:t>
      </w:r>
      <w:r w:rsidR="00A01546" w:rsidRPr="008B1B73">
        <w:t xml:space="preserve">; </w:t>
      </w:r>
    </w:p>
    <w:p w14:paraId="5BBB7449" w14:textId="77777777" w:rsidR="00A01546" w:rsidRPr="008B1B73" w:rsidRDefault="00A01546" w:rsidP="00CF4594">
      <w:pPr>
        <w:pStyle w:val="ListBullet"/>
        <w:numPr>
          <w:ilvl w:val="0"/>
          <w:numId w:val="34"/>
        </w:numPr>
      </w:pPr>
      <w:r>
        <w:t xml:space="preserve">the </w:t>
      </w:r>
      <w:r w:rsidR="00C5374D">
        <w:t xml:space="preserve">seller’s </w:t>
      </w:r>
      <w:r w:rsidRPr="008B1B73">
        <w:t xml:space="preserve">GTA </w:t>
      </w:r>
      <w:r w:rsidR="00C5374D">
        <w:t xml:space="preserve">that the capacity will be transferred </w:t>
      </w:r>
      <w:r w:rsidRPr="008B1B73">
        <w:t xml:space="preserve">from and </w:t>
      </w:r>
      <w:r>
        <w:t xml:space="preserve">the </w:t>
      </w:r>
      <w:r w:rsidRPr="008B1B73">
        <w:t>receipt and delivery points</w:t>
      </w:r>
      <w:r w:rsidR="00C5374D">
        <w:t xml:space="preserve"> from which the capacity will be released</w:t>
      </w:r>
      <w:r w:rsidRPr="008B1B73">
        <w:t>; and</w:t>
      </w:r>
    </w:p>
    <w:p w14:paraId="4168FD32" w14:textId="77777777" w:rsidR="00A01546" w:rsidRPr="008B1B73" w:rsidRDefault="00A01546" w:rsidP="00CF4594">
      <w:pPr>
        <w:pStyle w:val="ListBullet"/>
        <w:numPr>
          <w:ilvl w:val="0"/>
          <w:numId w:val="34"/>
        </w:numPr>
      </w:pPr>
      <w:proofErr w:type="gramStart"/>
      <w:r>
        <w:t>the</w:t>
      </w:r>
      <w:proofErr w:type="gramEnd"/>
      <w:r>
        <w:t xml:space="preserve"> </w:t>
      </w:r>
      <w:r w:rsidR="00C5374D">
        <w:t xml:space="preserve">buyer’s </w:t>
      </w:r>
      <w:r>
        <w:t xml:space="preserve">operational </w:t>
      </w:r>
      <w:r w:rsidRPr="008B1B73">
        <w:t xml:space="preserve">GTA </w:t>
      </w:r>
      <w:r w:rsidR="00C5374D">
        <w:t xml:space="preserve">that the capacity will be transferred to </w:t>
      </w:r>
      <w:r w:rsidRPr="008B1B73">
        <w:t xml:space="preserve">and </w:t>
      </w:r>
      <w:r>
        <w:t xml:space="preserve">the </w:t>
      </w:r>
      <w:r w:rsidRPr="008B1B73">
        <w:t>receipt and delivery points</w:t>
      </w:r>
      <w:r w:rsidR="00C5374D">
        <w:t xml:space="preserve"> the buyer intends to use</w:t>
      </w:r>
      <w:r w:rsidR="000773DF">
        <w:t xml:space="preserve"> (note that information on receipt and delivery points could also be provided through the nomination process)</w:t>
      </w:r>
      <w:r w:rsidRPr="008B1B73">
        <w:t xml:space="preserve">. </w:t>
      </w:r>
    </w:p>
    <w:p w14:paraId="73C64E7D" w14:textId="77777777" w:rsidR="00330913" w:rsidRPr="008B1B73" w:rsidRDefault="00330913" w:rsidP="00330913">
      <w:pPr>
        <w:pStyle w:val="BodyText"/>
      </w:pPr>
      <w:r w:rsidRPr="008B1B73">
        <w:t xml:space="preserve">The partially anonymous </w:t>
      </w:r>
      <w:r w:rsidR="00350E30">
        <w:t>option</w:t>
      </w:r>
      <w:r w:rsidRPr="008B1B73">
        <w:t xml:space="preserve"> is illustrated in </w:t>
      </w:r>
      <w:r>
        <w:fldChar w:fldCharType="begin"/>
      </w:r>
      <w:r>
        <w:instrText xml:space="preserve"> REF _Ref491917372 \h </w:instrText>
      </w:r>
      <w:r>
        <w:fldChar w:fldCharType="separate"/>
      </w:r>
      <w:r w:rsidR="00761861" w:rsidRPr="00446B58">
        <w:t xml:space="preserve">Figure </w:t>
      </w:r>
      <w:r w:rsidR="00761861">
        <w:rPr>
          <w:noProof/>
        </w:rPr>
        <w:t>7</w:t>
      </w:r>
      <w:r w:rsidR="00761861">
        <w:t>.</w:t>
      </w:r>
      <w:r w:rsidR="00761861">
        <w:rPr>
          <w:noProof/>
        </w:rPr>
        <w:t>1</w:t>
      </w:r>
      <w:r>
        <w:fldChar w:fldCharType="end"/>
      </w:r>
      <w:r w:rsidRPr="008B1B73">
        <w:t xml:space="preserve">. The top line </w:t>
      </w:r>
      <w:r w:rsidR="00707575">
        <w:t xml:space="preserve">shows </w:t>
      </w:r>
      <w:r w:rsidRPr="008B1B73">
        <w:t xml:space="preserve">a transaction taking place on the exchange. To facilitate the transfer of </w:t>
      </w:r>
      <w:r w:rsidR="00723C4D">
        <w:t>capacity</w:t>
      </w:r>
      <w:r w:rsidRPr="008B1B73">
        <w:t xml:space="preserve">, AEMO would reveal counterparty names and shippers would confirm the </w:t>
      </w:r>
      <w:r w:rsidR="00723C4D">
        <w:t>capacity</w:t>
      </w:r>
      <w:r w:rsidRPr="008B1B73">
        <w:t xml:space="preserve"> transfer with the </w:t>
      </w:r>
      <w:r>
        <w:t>service provider</w:t>
      </w:r>
      <w:r w:rsidRPr="008B1B73">
        <w:t xml:space="preserve"> separately. </w:t>
      </w:r>
    </w:p>
    <w:p w14:paraId="19BDFDC2" w14:textId="77777777" w:rsidR="00330913" w:rsidRPr="00446B58" w:rsidRDefault="00330913" w:rsidP="00330913">
      <w:pPr>
        <w:pStyle w:val="Caption"/>
        <w:rPr>
          <w:rStyle w:val="Bold"/>
          <w:b/>
        </w:rPr>
      </w:pPr>
      <w:bookmarkStart w:id="143" w:name="_Ref491917372"/>
      <w:r w:rsidRPr="00446B58">
        <w:t xml:space="preserve">Figure </w:t>
      </w:r>
      <w:r w:rsidR="00983431">
        <w:fldChar w:fldCharType="begin"/>
      </w:r>
      <w:r w:rsidR="00983431">
        <w:instrText xml:space="preserve"> STYLEREF 1 \s </w:instrText>
      </w:r>
      <w:r w:rsidR="00983431">
        <w:fldChar w:fldCharType="separate"/>
      </w:r>
      <w:r w:rsidR="00761861">
        <w:rPr>
          <w:noProof/>
        </w:rPr>
        <w:t>7</w:t>
      </w:r>
      <w:r w:rsidR="00983431">
        <w:rPr>
          <w:noProof/>
        </w:rPr>
        <w:fldChar w:fldCharType="end"/>
      </w:r>
      <w:r w:rsidR="003C673F">
        <w:t>.</w:t>
      </w:r>
      <w:r w:rsidR="00983431">
        <w:fldChar w:fldCharType="begin"/>
      </w:r>
      <w:r w:rsidR="00983431">
        <w:instrText xml:space="preserve"> SEQ Figure \* ARABIC \s 1 </w:instrText>
      </w:r>
      <w:r w:rsidR="00983431">
        <w:fldChar w:fldCharType="separate"/>
      </w:r>
      <w:r w:rsidR="00761861">
        <w:rPr>
          <w:noProof/>
        </w:rPr>
        <w:t>1</w:t>
      </w:r>
      <w:r w:rsidR="00983431">
        <w:rPr>
          <w:noProof/>
        </w:rPr>
        <w:fldChar w:fldCharType="end"/>
      </w:r>
      <w:bookmarkEnd w:id="143"/>
      <w:r w:rsidRPr="00446B58">
        <w:t>:</w:t>
      </w:r>
      <w:r w:rsidRPr="00446B58">
        <w:rPr>
          <w:rStyle w:val="Bold"/>
        </w:rPr>
        <w:t xml:space="preserve"> </w:t>
      </w:r>
      <w:r w:rsidRPr="00446B58">
        <w:rPr>
          <w:rStyle w:val="Bold"/>
          <w:b/>
        </w:rPr>
        <w:t>Partial anonymity</w:t>
      </w:r>
    </w:p>
    <w:p w14:paraId="28BCC821" w14:textId="77777777" w:rsidR="00330913" w:rsidRDefault="00330913" w:rsidP="00330913">
      <w:pPr>
        <w:pStyle w:val="BodyText"/>
      </w:pPr>
      <w:r w:rsidRPr="008B1B73">
        <w:rPr>
          <w:noProof/>
        </w:rPr>
        <w:drawing>
          <wp:inline distT="0" distB="0" distL="0" distR="0" wp14:anchorId="5E97680B" wp14:editId="717F58C4">
            <wp:extent cx="5493334" cy="2380891"/>
            <wp:effectExtent l="0" t="0" r="0" b="635"/>
            <wp:docPr id="48" name="Picture 48" descr="Partial anonymity" title="Fig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506016" cy="2386388"/>
                    </a:xfrm>
                    <a:prstGeom prst="rect">
                      <a:avLst/>
                    </a:prstGeom>
                  </pic:spPr>
                </pic:pic>
              </a:graphicData>
            </a:graphic>
          </wp:inline>
        </w:drawing>
      </w:r>
    </w:p>
    <w:p w14:paraId="6D566CDB" w14:textId="77777777" w:rsidR="000A1F71" w:rsidRDefault="00C5374D" w:rsidP="000A1F71">
      <w:pPr>
        <w:pStyle w:val="BodyText"/>
      </w:pPr>
      <w:r>
        <w:rPr>
          <w:rFonts w:cs="Arial"/>
        </w:rPr>
        <w:t>The key difference between this option and the fully anonymous option is that</w:t>
      </w:r>
      <w:r w:rsidR="00707575">
        <w:rPr>
          <w:rFonts w:cs="Arial"/>
        </w:rPr>
        <w:t xml:space="preserve"> rather than AEMO providing the transaction information directly to the service provider, </w:t>
      </w:r>
      <w:r w:rsidR="00642421">
        <w:rPr>
          <w:rFonts w:cs="Arial"/>
        </w:rPr>
        <w:t xml:space="preserve">AEMO would provide the </w:t>
      </w:r>
      <w:r w:rsidR="00707575">
        <w:rPr>
          <w:rFonts w:cs="Arial"/>
        </w:rPr>
        <w:t xml:space="preserve">information to the trading </w:t>
      </w:r>
      <w:r>
        <w:rPr>
          <w:rFonts w:cs="Arial"/>
        </w:rPr>
        <w:t>counterparties</w:t>
      </w:r>
      <w:r w:rsidR="00CC7A28">
        <w:rPr>
          <w:rFonts w:cs="Arial"/>
        </w:rPr>
        <w:t xml:space="preserve"> as part of the trade conf</w:t>
      </w:r>
      <w:r w:rsidR="000773DF">
        <w:rPr>
          <w:rFonts w:cs="Arial"/>
        </w:rPr>
        <w:t>i</w:t>
      </w:r>
      <w:r w:rsidR="00CC7A28">
        <w:rPr>
          <w:rFonts w:cs="Arial"/>
        </w:rPr>
        <w:t xml:space="preserve">rmation. The information would then be provided by the counterparties </w:t>
      </w:r>
      <w:r>
        <w:rPr>
          <w:rFonts w:cs="Arial"/>
        </w:rPr>
        <w:t xml:space="preserve">to the service provider.  The cost of advising the service provider about any trades would therefore be borne by shippers rather than AEMO. </w:t>
      </w:r>
      <w:r w:rsidR="000A1F71">
        <w:rPr>
          <w:rFonts w:cs="Arial"/>
        </w:rPr>
        <w:t xml:space="preserve"> From AEMO’s perspective, </w:t>
      </w:r>
      <w:r w:rsidR="00C26F3D">
        <w:rPr>
          <w:rFonts w:cs="Arial"/>
        </w:rPr>
        <w:t xml:space="preserve">this </w:t>
      </w:r>
      <w:r w:rsidR="000A1F71">
        <w:rPr>
          <w:rFonts w:cs="Arial"/>
        </w:rPr>
        <w:t xml:space="preserve">cost saving is likely to be relatively low because </w:t>
      </w:r>
      <w:r w:rsidR="000A1F71" w:rsidRPr="008B1B73">
        <w:rPr>
          <w:rFonts w:cs="Arial"/>
        </w:rPr>
        <w:t xml:space="preserve">data links </w:t>
      </w:r>
      <w:r w:rsidR="000A1F71">
        <w:rPr>
          <w:rFonts w:cs="Arial"/>
        </w:rPr>
        <w:t xml:space="preserve">would still </w:t>
      </w:r>
      <w:r w:rsidR="000A1F71" w:rsidRPr="008B1B73">
        <w:rPr>
          <w:rFonts w:cs="Arial"/>
        </w:rPr>
        <w:t xml:space="preserve">be required for the day-ahead auction and </w:t>
      </w:r>
      <w:r w:rsidR="000A1F71">
        <w:rPr>
          <w:rFonts w:cs="Arial"/>
        </w:rPr>
        <w:t xml:space="preserve">to </w:t>
      </w:r>
      <w:r w:rsidR="000A1F71" w:rsidRPr="008B1B73">
        <w:rPr>
          <w:rFonts w:cs="Arial"/>
        </w:rPr>
        <w:t xml:space="preserve">potentially facilitate the transfer of STTM trading rights. </w:t>
      </w:r>
    </w:p>
    <w:p w14:paraId="279B09B7" w14:textId="77777777" w:rsidR="00330913" w:rsidRPr="001E46B3" w:rsidRDefault="00330913" w:rsidP="001E46B3">
      <w:pPr>
        <w:pStyle w:val="BoldHeading"/>
        <w:keepNext/>
        <w:rPr>
          <w:b w:val="0"/>
          <w:i/>
          <w:color w:val="0099CC"/>
        </w:rPr>
      </w:pPr>
      <w:r w:rsidRPr="001E46B3">
        <w:rPr>
          <w:b w:val="0"/>
          <w:i/>
          <w:color w:val="0099CC"/>
        </w:rPr>
        <w:t>Full anonymity</w:t>
      </w:r>
    </w:p>
    <w:p w14:paraId="01D08A93" w14:textId="77777777" w:rsidR="00330913" w:rsidRPr="008B1B73" w:rsidRDefault="00330913" w:rsidP="00330913">
      <w:pPr>
        <w:pStyle w:val="BodyText"/>
      </w:pPr>
      <w:r w:rsidRPr="008B1B73">
        <w:rPr>
          <w:rFonts w:cs="Arial"/>
        </w:rPr>
        <w:t xml:space="preserve">Under the fully anonymous </w:t>
      </w:r>
      <w:r w:rsidR="00350E30">
        <w:rPr>
          <w:rFonts w:cs="Arial"/>
        </w:rPr>
        <w:t>option</w:t>
      </w:r>
      <w:r w:rsidRPr="008B1B73">
        <w:rPr>
          <w:rFonts w:cs="Arial"/>
        </w:rPr>
        <w:t xml:space="preserve">, </w:t>
      </w:r>
      <w:r w:rsidR="00C5374D">
        <w:rPr>
          <w:rFonts w:cs="Arial"/>
        </w:rPr>
        <w:t xml:space="preserve">the names of </w:t>
      </w:r>
      <w:r w:rsidRPr="008B1B73">
        <w:rPr>
          <w:rFonts w:cs="Arial"/>
        </w:rPr>
        <w:t>counterpart</w:t>
      </w:r>
      <w:r w:rsidR="00C5374D">
        <w:rPr>
          <w:rFonts w:cs="Arial"/>
        </w:rPr>
        <w:t>ies</w:t>
      </w:r>
      <w:r w:rsidRPr="008B1B73">
        <w:rPr>
          <w:rFonts w:cs="Arial"/>
        </w:rPr>
        <w:t xml:space="preserve"> would </w:t>
      </w:r>
      <w:r w:rsidR="00350E30">
        <w:rPr>
          <w:rFonts w:cs="Arial"/>
        </w:rPr>
        <w:t xml:space="preserve">not </w:t>
      </w:r>
      <w:r w:rsidRPr="008B1B73">
        <w:rPr>
          <w:rFonts w:cs="Arial"/>
        </w:rPr>
        <w:t>be revealed</w:t>
      </w:r>
      <w:r w:rsidR="00350E30">
        <w:rPr>
          <w:rFonts w:cs="Arial"/>
        </w:rPr>
        <w:t xml:space="preserve"> post transaction</w:t>
      </w:r>
      <w:r w:rsidRPr="008B1B73">
        <w:rPr>
          <w:rFonts w:cs="Arial"/>
        </w:rPr>
        <w:t>. AEMO’s system</w:t>
      </w:r>
      <w:r w:rsidR="00350E30">
        <w:rPr>
          <w:rFonts w:cs="Arial"/>
        </w:rPr>
        <w:t xml:space="preserve">s would </w:t>
      </w:r>
      <w:r w:rsidRPr="008B1B73">
        <w:rPr>
          <w:rFonts w:cs="Arial"/>
        </w:rPr>
        <w:t xml:space="preserve">send </w:t>
      </w:r>
      <w:r w:rsidR="00350E30">
        <w:rPr>
          <w:rFonts w:cs="Arial"/>
        </w:rPr>
        <w:t xml:space="preserve">the </w:t>
      </w:r>
      <w:r w:rsidR="00642421">
        <w:rPr>
          <w:rFonts w:cs="Arial"/>
        </w:rPr>
        <w:t xml:space="preserve">transaction information </w:t>
      </w:r>
      <w:r w:rsidRPr="008B1B73">
        <w:rPr>
          <w:rFonts w:cs="Arial"/>
        </w:rPr>
        <w:t xml:space="preserve">to the relevant </w:t>
      </w:r>
      <w:r>
        <w:rPr>
          <w:rFonts w:cs="Arial"/>
        </w:rPr>
        <w:t>service provider</w:t>
      </w:r>
      <w:r w:rsidRPr="008B1B73">
        <w:rPr>
          <w:rFonts w:cs="Arial"/>
        </w:rPr>
        <w:t xml:space="preserve"> each day</w:t>
      </w:r>
      <w:r w:rsidR="00350E30">
        <w:rPr>
          <w:rFonts w:cs="Arial"/>
        </w:rPr>
        <w:t xml:space="preserve"> and s</w:t>
      </w:r>
      <w:r>
        <w:rPr>
          <w:rFonts w:cs="Arial"/>
        </w:rPr>
        <w:t>ervice provider</w:t>
      </w:r>
      <w:r w:rsidRPr="008B1B73">
        <w:rPr>
          <w:rFonts w:cs="Arial"/>
        </w:rPr>
        <w:t xml:space="preserve">s would then transfer </w:t>
      </w:r>
      <w:r w:rsidR="00642421">
        <w:rPr>
          <w:rFonts w:cs="Arial"/>
        </w:rPr>
        <w:t>the capacity</w:t>
      </w:r>
      <w:r w:rsidRPr="008B1B73">
        <w:rPr>
          <w:rFonts w:cs="Arial"/>
        </w:rPr>
        <w:t xml:space="preserve">. The </w:t>
      </w:r>
      <w:r w:rsidR="00350E30">
        <w:rPr>
          <w:rFonts w:cs="Arial"/>
        </w:rPr>
        <w:t xml:space="preserve">way in which the </w:t>
      </w:r>
      <w:r w:rsidRPr="008B1B73">
        <w:rPr>
          <w:rFonts w:cs="Arial"/>
        </w:rPr>
        <w:t xml:space="preserve">fully anonymous </w:t>
      </w:r>
      <w:r w:rsidR="00350E30">
        <w:rPr>
          <w:rFonts w:cs="Arial"/>
        </w:rPr>
        <w:t xml:space="preserve">option would operate </w:t>
      </w:r>
      <w:r w:rsidRPr="008B1B73">
        <w:rPr>
          <w:rFonts w:cs="Arial"/>
        </w:rPr>
        <w:t xml:space="preserve">is </w:t>
      </w:r>
      <w:r w:rsidR="00C26F3D">
        <w:rPr>
          <w:rFonts w:cs="Arial"/>
        </w:rPr>
        <w:t xml:space="preserve">illustrated </w:t>
      </w:r>
      <w:r w:rsidRPr="00350E30">
        <w:rPr>
          <w:rFonts w:cs="Arial"/>
        </w:rPr>
        <w:t xml:space="preserve">in </w:t>
      </w:r>
      <w:r w:rsidRPr="00350E30">
        <w:rPr>
          <w:rFonts w:cs="Arial"/>
        </w:rPr>
        <w:fldChar w:fldCharType="begin"/>
      </w:r>
      <w:r w:rsidRPr="00350E30">
        <w:rPr>
          <w:rFonts w:cs="Arial"/>
        </w:rPr>
        <w:instrText xml:space="preserve"> REF _Ref491917383 \h </w:instrText>
      </w:r>
      <w:r w:rsidR="00350E30" w:rsidRPr="00350E30">
        <w:rPr>
          <w:rFonts w:cs="Arial"/>
        </w:rPr>
        <w:instrText xml:space="preserve"> \* MERGEFORMAT </w:instrText>
      </w:r>
      <w:r w:rsidRPr="00350E30">
        <w:rPr>
          <w:rFonts w:cs="Arial"/>
        </w:rPr>
      </w:r>
      <w:r w:rsidRPr="00350E30">
        <w:rPr>
          <w:rFonts w:cs="Arial"/>
        </w:rPr>
        <w:fldChar w:fldCharType="separate"/>
      </w:r>
      <w:r w:rsidR="00761861" w:rsidRPr="00761861">
        <w:t xml:space="preserve">Figure </w:t>
      </w:r>
      <w:r w:rsidR="00761861" w:rsidRPr="00761861">
        <w:rPr>
          <w:noProof/>
        </w:rPr>
        <w:t>7.2</w:t>
      </w:r>
      <w:r w:rsidRPr="00350E30">
        <w:rPr>
          <w:rFonts w:cs="Arial"/>
        </w:rPr>
        <w:fldChar w:fldCharType="end"/>
      </w:r>
      <w:r w:rsidRPr="00350E30">
        <w:rPr>
          <w:rFonts w:cs="Arial"/>
        </w:rPr>
        <w:t>.</w:t>
      </w:r>
    </w:p>
    <w:p w14:paraId="3860DBC1" w14:textId="77777777" w:rsidR="00330913" w:rsidRPr="008B1B73" w:rsidRDefault="00330913" w:rsidP="00350E30">
      <w:pPr>
        <w:pStyle w:val="BodyText"/>
        <w:keepNext/>
        <w:rPr>
          <w:rStyle w:val="Bold"/>
        </w:rPr>
      </w:pPr>
      <w:bookmarkStart w:id="144" w:name="_Ref491917383"/>
      <w:r w:rsidRPr="00446B58">
        <w:rPr>
          <w:b/>
        </w:rPr>
        <w:lastRenderedPageBreak/>
        <w:t xml:space="preserve">Figure </w:t>
      </w:r>
      <w:r w:rsidR="003C673F">
        <w:rPr>
          <w:b/>
        </w:rPr>
        <w:fldChar w:fldCharType="begin"/>
      </w:r>
      <w:r w:rsidR="003C673F">
        <w:rPr>
          <w:b/>
        </w:rPr>
        <w:instrText xml:space="preserve"> STYLEREF 1 \s </w:instrText>
      </w:r>
      <w:r w:rsidR="003C673F">
        <w:rPr>
          <w:b/>
        </w:rPr>
        <w:fldChar w:fldCharType="separate"/>
      </w:r>
      <w:r w:rsidR="00761861">
        <w:rPr>
          <w:b/>
          <w:noProof/>
        </w:rPr>
        <w:t>7</w:t>
      </w:r>
      <w:r w:rsidR="003C673F">
        <w:rPr>
          <w:b/>
        </w:rPr>
        <w:fldChar w:fldCharType="end"/>
      </w:r>
      <w:r w:rsidR="003C673F">
        <w:rPr>
          <w:b/>
        </w:rPr>
        <w:t>.</w:t>
      </w:r>
      <w:r w:rsidR="003C673F">
        <w:rPr>
          <w:b/>
        </w:rPr>
        <w:fldChar w:fldCharType="begin"/>
      </w:r>
      <w:r w:rsidR="003C673F">
        <w:rPr>
          <w:b/>
        </w:rPr>
        <w:instrText xml:space="preserve"> SEQ Figure \* ARABIC \s 1 </w:instrText>
      </w:r>
      <w:r w:rsidR="003C673F">
        <w:rPr>
          <w:b/>
        </w:rPr>
        <w:fldChar w:fldCharType="separate"/>
      </w:r>
      <w:r w:rsidR="00761861">
        <w:rPr>
          <w:b/>
          <w:noProof/>
        </w:rPr>
        <w:t>2</w:t>
      </w:r>
      <w:r w:rsidR="003C673F">
        <w:rPr>
          <w:b/>
        </w:rPr>
        <w:fldChar w:fldCharType="end"/>
      </w:r>
      <w:bookmarkEnd w:id="144"/>
      <w:r w:rsidRPr="00446B58">
        <w:rPr>
          <w:b/>
        </w:rPr>
        <w:t>:</w:t>
      </w:r>
      <w:r w:rsidR="007447D4" w:rsidRPr="008B1B73">
        <w:rPr>
          <w:rStyle w:val="Bold"/>
        </w:rPr>
        <w:t xml:space="preserve"> </w:t>
      </w:r>
      <w:r w:rsidRPr="008B1B73">
        <w:rPr>
          <w:rStyle w:val="Bold"/>
        </w:rPr>
        <w:t>Full anonymity</w:t>
      </w:r>
    </w:p>
    <w:p w14:paraId="76DB5759" w14:textId="77777777" w:rsidR="00330913" w:rsidRPr="008B1B73" w:rsidRDefault="00330913" w:rsidP="00330913">
      <w:pPr>
        <w:pStyle w:val="BodyText"/>
      </w:pPr>
      <w:r w:rsidRPr="008B1B73">
        <w:rPr>
          <w:noProof/>
        </w:rPr>
        <w:drawing>
          <wp:inline distT="0" distB="0" distL="0" distR="0" wp14:anchorId="3D7D5130" wp14:editId="0BA06D31">
            <wp:extent cx="5591664" cy="2518913"/>
            <wp:effectExtent l="0" t="0" r="0" b="0"/>
            <wp:docPr id="88" name="Picture 88" descr="Full anonymity" title="Fig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599420" cy="2522407"/>
                    </a:xfrm>
                    <a:prstGeom prst="rect">
                      <a:avLst/>
                    </a:prstGeom>
                  </pic:spPr>
                </pic:pic>
              </a:graphicData>
            </a:graphic>
          </wp:inline>
        </w:drawing>
      </w:r>
    </w:p>
    <w:p w14:paraId="57B2F92D" w14:textId="77777777" w:rsidR="001E46B3" w:rsidRPr="001E46B3" w:rsidRDefault="001E46B3" w:rsidP="00350E30">
      <w:pPr>
        <w:pStyle w:val="BoldHeading"/>
        <w:rPr>
          <w:b w:val="0"/>
          <w:i/>
          <w:color w:val="0099CC"/>
        </w:rPr>
      </w:pPr>
      <w:r w:rsidRPr="001E46B3">
        <w:rPr>
          <w:b w:val="0"/>
          <w:i/>
          <w:color w:val="0099CC"/>
        </w:rPr>
        <w:t>Project team’s views on the options</w:t>
      </w:r>
    </w:p>
    <w:p w14:paraId="080E1954" w14:textId="77777777" w:rsidR="001E46B3" w:rsidRDefault="00C26F3D" w:rsidP="001E46B3">
      <w:pPr>
        <w:pStyle w:val="BodyText"/>
        <w:rPr>
          <w:color w:val="0099CC"/>
        </w:rPr>
      </w:pPr>
      <w:r>
        <w:t>The options outlined above were discussed with the Capacity Trading Platform project team and a number of service providers. In short, the project team and service providers initially consulted were of the view that the fully anonymous option should be employed.</w:t>
      </w:r>
    </w:p>
    <w:p w14:paraId="1FEE6729" w14:textId="77777777" w:rsidR="004E791B" w:rsidRDefault="004E791B" w:rsidP="004E791B">
      <w:pPr>
        <w:pStyle w:val="Heading6"/>
        <w:spacing w:line="252" w:lineRule="auto"/>
        <w:rPr>
          <w:color w:val="0099CC"/>
        </w:rPr>
      </w:pPr>
      <w:r>
        <w:rPr>
          <w:color w:val="0099CC"/>
        </w:rPr>
        <w:t>GMRG’s preliminary view</w:t>
      </w:r>
    </w:p>
    <w:p w14:paraId="17F859DA" w14:textId="77777777" w:rsidR="00350E30" w:rsidRDefault="001E46B3" w:rsidP="00734F1F">
      <w:pPr>
        <w:pStyle w:val="BodyText"/>
      </w:pPr>
      <w:r>
        <w:t xml:space="preserve">In the consultation paper, </w:t>
      </w:r>
      <w:r w:rsidR="00B32624">
        <w:t xml:space="preserve">the GMRG </w:t>
      </w:r>
      <w:r>
        <w:t xml:space="preserve">agreed there would be </w:t>
      </w:r>
      <w:r w:rsidR="00B32624">
        <w:t xml:space="preserve">merit </w:t>
      </w:r>
      <w:r>
        <w:t xml:space="preserve">in </w:t>
      </w:r>
      <w:r w:rsidR="00B32624">
        <w:t>adopting the fully anonymous option</w:t>
      </w:r>
      <w:r>
        <w:t xml:space="preserve">, but sought further feedback from </w:t>
      </w:r>
      <w:r w:rsidR="00B32624">
        <w:t>stakehold</w:t>
      </w:r>
      <w:r>
        <w:t>ers</w:t>
      </w:r>
      <w:r w:rsidR="00B32624">
        <w:t xml:space="preserve"> on the two options.</w:t>
      </w:r>
    </w:p>
    <w:p w14:paraId="2D9BBE63" w14:textId="77777777" w:rsidR="001E46B3" w:rsidRPr="004E791B" w:rsidRDefault="001E46B3" w:rsidP="004E791B">
      <w:pPr>
        <w:pStyle w:val="Heading6"/>
        <w:spacing w:line="252" w:lineRule="auto"/>
        <w:rPr>
          <w:color w:val="0099CC"/>
        </w:rPr>
      </w:pPr>
      <w:r w:rsidRPr="004E791B">
        <w:rPr>
          <w:color w:val="0099CC"/>
        </w:rPr>
        <w:t xml:space="preserve">Feedback provided through the consultation process </w:t>
      </w:r>
    </w:p>
    <w:p w14:paraId="4AE3ACAA" w14:textId="77777777" w:rsidR="00C26F3D" w:rsidRDefault="00C26F3D" w:rsidP="00C26F3D">
      <w:pPr>
        <w:pStyle w:val="BodyText"/>
      </w:pPr>
      <w:r>
        <w:t xml:space="preserve">Stakeholders supported the adoption of the fully anonymous approach, with the only exception being APA who suggested a partially anonymous system be adopted at market start and for this approach to be reviewed as liquidity increases and demand warrants. Shell, on the other hand, </w:t>
      </w:r>
      <w:r w:rsidR="007C6B51">
        <w:t xml:space="preserve">cautioned against </w:t>
      </w:r>
      <w:r>
        <w:t xml:space="preserve">the </w:t>
      </w:r>
      <w:r w:rsidR="007C6B51">
        <w:t xml:space="preserve">use of the </w:t>
      </w:r>
      <w:r>
        <w:t xml:space="preserve">partially anonymous option </w:t>
      </w:r>
      <w:r w:rsidR="007C6B51">
        <w:t xml:space="preserve">and noted it could have </w:t>
      </w:r>
      <w:r>
        <w:t>unintended consequences, such as encouraging future trades to occur off-market (i.e. because buyers and sellers names will be revealed and parties may decide to go directly to each other to avoid the platform fees).</w:t>
      </w:r>
    </w:p>
    <w:p w14:paraId="1B63C14A" w14:textId="77777777" w:rsidR="00C26F3D" w:rsidRDefault="00C26F3D" w:rsidP="00C26F3D">
      <w:pPr>
        <w:pStyle w:val="BodyText"/>
        <w:keepNext/>
      </w:pPr>
      <w:r>
        <w:rPr>
          <w:rStyle w:val="Bold"/>
          <w:color w:val="0099CC"/>
        </w:rPr>
        <w:t>GMRG’s final recommendations</w:t>
      </w:r>
      <w:r>
        <w:t xml:space="preserve"> </w:t>
      </w:r>
    </w:p>
    <w:p w14:paraId="5CFAEAF4" w14:textId="77777777" w:rsidR="00C26F3D" w:rsidRDefault="00C26F3D" w:rsidP="00C26F3D">
      <w:pPr>
        <w:pStyle w:val="ListBullet"/>
        <w:numPr>
          <w:ilvl w:val="0"/>
          <w:numId w:val="0"/>
        </w:numPr>
      </w:pPr>
      <w:r>
        <w:t>In keeping with the view</w:t>
      </w:r>
      <w:r w:rsidR="007C6B51">
        <w:t>s</w:t>
      </w:r>
      <w:r>
        <w:t xml:space="preserve"> expressed by the majority of stakeholders, the GMRG recommends the adoption of the full</w:t>
      </w:r>
      <w:r w:rsidR="0059193B">
        <w:t>y</w:t>
      </w:r>
      <w:r>
        <w:t xml:space="preserve"> anonymous approach to the execution of trades on the exchange and the transfer of information. While the GMRG recognises this option will cost more to implement, it will also provide for a more robust and credible method for delivery. It is also likely to encourage more secondary trading because it reduces the risk of error and encourages parties to use the platform</w:t>
      </w:r>
      <w:r w:rsidRPr="00990003">
        <w:t xml:space="preserve"> </w:t>
      </w:r>
      <w:r>
        <w:t>by preserving the anonymity of counterparties post-transaction.</w:t>
      </w:r>
    </w:p>
    <w:p w14:paraId="21147FE3" w14:textId="77777777" w:rsidR="00C26F3D" w:rsidRDefault="00C26F3D" w:rsidP="00C26F3D">
      <w:pPr>
        <w:pStyle w:val="BodyText"/>
      </w:pPr>
      <w:r>
        <w:t xml:space="preserve">In response to APA’s suggestion, </w:t>
      </w:r>
      <w:r w:rsidR="007C6B51">
        <w:t xml:space="preserve">the GMRG notes </w:t>
      </w:r>
      <w:r>
        <w:t xml:space="preserve">that AEMO considered that any cost savings associated with the partially anonymous approach are likely to be minimal, because the costs </w:t>
      </w:r>
      <w:r w:rsidR="007C6B51">
        <w:t xml:space="preserve">AEMO </w:t>
      </w:r>
      <w:r>
        <w:t xml:space="preserve">would otherwise incur providing information to service providers </w:t>
      </w:r>
      <w:r w:rsidR="007C6B51">
        <w:lastRenderedPageBreak/>
        <w:t xml:space="preserve">would </w:t>
      </w:r>
      <w:r>
        <w:t>shift to buyers</w:t>
      </w:r>
      <w:r w:rsidR="007C6B51">
        <w:t xml:space="preserve"> and </w:t>
      </w:r>
      <w:r>
        <w:t>sellers</w:t>
      </w:r>
      <w:r w:rsidR="007C6B51">
        <w:t xml:space="preserve"> and the risks could increase. There is therefore no clear benefit in implementing this option as a transitional measure.</w:t>
      </w:r>
    </w:p>
    <w:p w14:paraId="2A7AFADD" w14:textId="77777777" w:rsidR="00C34E9D" w:rsidRDefault="000A1F71" w:rsidP="001E0E4B">
      <w:pPr>
        <w:pStyle w:val="Heading3"/>
      </w:pPr>
      <w:r>
        <w:t>Frequency with which i</w:t>
      </w:r>
      <w:r w:rsidR="00C34E9D" w:rsidRPr="008B1B73">
        <w:t xml:space="preserve">nformation </w:t>
      </w:r>
      <w:r>
        <w:t xml:space="preserve">is </w:t>
      </w:r>
      <w:r w:rsidR="00642421">
        <w:t>relayed</w:t>
      </w:r>
      <w:r w:rsidR="00C34E9D" w:rsidRPr="008B1B73">
        <w:t xml:space="preserve"> to </w:t>
      </w:r>
      <w:r w:rsidR="00BD0988">
        <w:t>service providers</w:t>
      </w:r>
    </w:p>
    <w:p w14:paraId="4AF6AA21" w14:textId="77777777" w:rsidR="001E46B3" w:rsidRPr="004E791B" w:rsidRDefault="001E46B3" w:rsidP="004E791B">
      <w:pPr>
        <w:pStyle w:val="Heading6"/>
        <w:spacing w:line="252" w:lineRule="auto"/>
        <w:rPr>
          <w:color w:val="0099CC"/>
        </w:rPr>
      </w:pPr>
      <w:r w:rsidRPr="004E791B">
        <w:rPr>
          <w:color w:val="0099CC"/>
        </w:rPr>
        <w:t>Background</w:t>
      </w:r>
    </w:p>
    <w:p w14:paraId="73E99684" w14:textId="77777777" w:rsidR="001E46B3" w:rsidRDefault="001E46B3" w:rsidP="001E46B3">
      <w:pPr>
        <w:pStyle w:val="BodyText"/>
        <w:rPr>
          <w:rFonts w:cs="Arial"/>
        </w:rPr>
      </w:pPr>
      <w:r>
        <w:rPr>
          <w:rFonts w:cs="Arial"/>
        </w:rPr>
        <w:t xml:space="preserve">The consultation paper identified the following options for the provision of trading information from AEMO to the service provider: </w:t>
      </w:r>
    </w:p>
    <w:p w14:paraId="634040AF" w14:textId="77777777" w:rsidR="001E46B3" w:rsidRDefault="001E46B3" w:rsidP="00CF4594">
      <w:pPr>
        <w:pStyle w:val="ListNumber"/>
        <w:numPr>
          <w:ilvl w:val="0"/>
          <w:numId w:val="67"/>
        </w:numPr>
      </w:pPr>
      <w:r>
        <w:rPr>
          <w:b/>
        </w:rPr>
        <w:t>O</w:t>
      </w:r>
      <w:r w:rsidR="001E0E4B">
        <w:rPr>
          <w:b/>
        </w:rPr>
        <w:t>ption 1: after each transaction –</w:t>
      </w:r>
      <w:r>
        <w:t xml:space="preserve"> Under this option AEMO would send service providers a transaction report after each trade takes place on the platform and, subject to verification, the capacity would be transferred immediately after each trade</w:t>
      </w:r>
      <w:r w:rsidR="001E0E4B">
        <w:t>.</w:t>
      </w:r>
    </w:p>
    <w:p w14:paraId="32FE67CB" w14:textId="77777777" w:rsidR="001E46B3" w:rsidRDefault="001E46B3" w:rsidP="00CF4594">
      <w:pPr>
        <w:pStyle w:val="ListNumber"/>
        <w:numPr>
          <w:ilvl w:val="0"/>
          <w:numId w:val="67"/>
        </w:numPr>
      </w:pPr>
      <w:r>
        <w:rPr>
          <w:b/>
        </w:rPr>
        <w:t>Option 2: once a day for all transactions in the last 24 hours</w:t>
      </w:r>
      <w:r w:rsidR="001E0E4B">
        <w:rPr>
          <w:b/>
        </w:rPr>
        <w:t xml:space="preserve"> – </w:t>
      </w:r>
      <w:r>
        <w:t>Under this option AEMO would send net positions to the service providers once a day for all the trades that have occurred in the last 24 hours (including day-ahead trades and trades with longer tenors). Subject to verification, the service providers would transfer capacity for all tenors in time to allow shippers to nominate against any day-ahead products they had purchased.</w:t>
      </w:r>
    </w:p>
    <w:p w14:paraId="64E0B800" w14:textId="77777777" w:rsidR="001E46B3" w:rsidRDefault="001E46B3" w:rsidP="00CF4594">
      <w:pPr>
        <w:pStyle w:val="ListNumber"/>
        <w:numPr>
          <w:ilvl w:val="0"/>
          <w:numId w:val="67"/>
        </w:numPr>
      </w:pPr>
      <w:r>
        <w:rPr>
          <w:b/>
        </w:rPr>
        <w:t>Option 3: once a day for transactions that will be on foot the following day</w:t>
      </w:r>
      <w:r w:rsidR="001E0E4B">
        <w:t xml:space="preserve"> –</w:t>
      </w:r>
      <w:r>
        <w:t xml:space="preserve"> Under this option AEMO would send net positions to service providers for the transactions that will be on foot the next day. Service providers would then transfer that capacity prior to the nomination cut-off time, subject to verification. AEMO could also provide additional information on transactions applying past day-ahead. This would facilitate monitoring of future positions.</w:t>
      </w:r>
    </w:p>
    <w:p w14:paraId="1BFFCF5D" w14:textId="77777777" w:rsidR="0091135B" w:rsidRDefault="00025438" w:rsidP="00330913">
      <w:pPr>
        <w:pStyle w:val="BodyText"/>
      </w:pPr>
      <w:r>
        <w:t>The</w:t>
      </w:r>
      <w:r w:rsidR="001E46B3">
        <w:t>se</w:t>
      </w:r>
      <w:r w:rsidR="00330913">
        <w:t xml:space="preserve"> options were </w:t>
      </w:r>
      <w:r w:rsidR="00D30EB7">
        <w:t xml:space="preserve">considered </w:t>
      </w:r>
      <w:r w:rsidR="00330913">
        <w:t xml:space="preserve">by the </w:t>
      </w:r>
      <w:r w:rsidR="00C34E9D" w:rsidRPr="008B1B73">
        <w:t xml:space="preserve">Capacity </w:t>
      </w:r>
      <w:r w:rsidR="00330913">
        <w:t>T</w:t>
      </w:r>
      <w:r w:rsidR="00C34E9D" w:rsidRPr="008B1B73">
        <w:t xml:space="preserve">rading </w:t>
      </w:r>
      <w:r w:rsidR="00330913">
        <w:t>P</w:t>
      </w:r>
      <w:r w:rsidR="00C34E9D" w:rsidRPr="008B1B73">
        <w:t xml:space="preserve">latform </w:t>
      </w:r>
      <w:r w:rsidR="00330913">
        <w:t>project team</w:t>
      </w:r>
      <w:r w:rsidR="006A5405">
        <w:t xml:space="preserve"> and </w:t>
      </w:r>
      <w:r w:rsidR="00C26F3D">
        <w:t>service providers</w:t>
      </w:r>
      <w:r>
        <w:t xml:space="preserve">, who were of the view that </w:t>
      </w:r>
      <w:r w:rsidR="00C34E9D" w:rsidRPr="008B1B73">
        <w:rPr>
          <w:rStyle w:val="Bold"/>
        </w:rPr>
        <w:t>Option 2</w:t>
      </w:r>
      <w:r w:rsidR="00C34E9D" w:rsidRPr="008B1B73">
        <w:t xml:space="preserve"> </w:t>
      </w:r>
      <w:r w:rsidR="00330913">
        <w:t>should be implemented</w:t>
      </w:r>
      <w:r w:rsidR="0091135B">
        <w:t xml:space="preserve"> because it would: </w:t>
      </w:r>
    </w:p>
    <w:p w14:paraId="3FC2E3D3" w14:textId="77777777" w:rsidR="0091135B" w:rsidRDefault="00025438" w:rsidP="0091135B">
      <w:pPr>
        <w:pStyle w:val="ListBullet"/>
      </w:pPr>
      <w:r>
        <w:t xml:space="preserve">provide parties </w:t>
      </w:r>
      <w:r w:rsidRPr="008B1B73">
        <w:t xml:space="preserve">greater scope to resolve any issues that </w:t>
      </w:r>
      <w:r>
        <w:t xml:space="preserve">may </w:t>
      </w:r>
      <w:r w:rsidRPr="008B1B73">
        <w:t xml:space="preserve">arise during the </w:t>
      </w:r>
      <w:r w:rsidR="00723C4D">
        <w:t>capacity</w:t>
      </w:r>
      <w:r w:rsidRPr="008B1B73">
        <w:t xml:space="preserve"> transfer process</w:t>
      </w:r>
      <w:r w:rsidR="0091135B">
        <w:t>;</w:t>
      </w:r>
      <w:r w:rsidRPr="008B1B73">
        <w:t xml:space="preserve"> </w:t>
      </w:r>
      <w:r>
        <w:t xml:space="preserve">and </w:t>
      </w:r>
    </w:p>
    <w:p w14:paraId="32AAE29B" w14:textId="77777777" w:rsidR="0091135B" w:rsidRDefault="00025438" w:rsidP="0091135B">
      <w:pPr>
        <w:pStyle w:val="ListBullet"/>
      </w:pPr>
      <w:proofErr w:type="gramStart"/>
      <w:r>
        <w:t>enable</w:t>
      </w:r>
      <w:proofErr w:type="gramEnd"/>
      <w:r>
        <w:t xml:space="preserve"> </w:t>
      </w:r>
      <w:r w:rsidR="00550FE9">
        <w:t xml:space="preserve">service providers to be more informed about the expected use of their facilities. </w:t>
      </w:r>
    </w:p>
    <w:p w14:paraId="60C41CB0" w14:textId="77777777" w:rsidR="001E46B3" w:rsidRPr="00350E30" w:rsidRDefault="004E791B" w:rsidP="004E791B">
      <w:pPr>
        <w:pStyle w:val="Heading6"/>
        <w:spacing w:line="252" w:lineRule="auto"/>
        <w:rPr>
          <w:color w:val="0099CC"/>
        </w:rPr>
      </w:pPr>
      <w:r>
        <w:rPr>
          <w:color w:val="0099CC"/>
        </w:rPr>
        <w:t>GMRG’s p</w:t>
      </w:r>
      <w:r w:rsidR="001E46B3">
        <w:rPr>
          <w:color w:val="0099CC"/>
        </w:rPr>
        <w:t xml:space="preserve">reliminary view </w:t>
      </w:r>
    </w:p>
    <w:p w14:paraId="5E8D779C" w14:textId="77777777" w:rsidR="0091135B" w:rsidRDefault="001E46B3" w:rsidP="0091135B">
      <w:pPr>
        <w:keepLines/>
        <w:spacing w:after="120"/>
      </w:pPr>
      <w:r>
        <w:rPr>
          <w:rFonts w:cs="Arial"/>
        </w:rPr>
        <w:t>In the consultation paper, the GMRG agreed</w:t>
      </w:r>
      <w:r w:rsidR="0091135B">
        <w:rPr>
          <w:rFonts w:cs="Arial"/>
        </w:rPr>
        <w:t xml:space="preserve"> </w:t>
      </w:r>
      <w:r w:rsidR="001E0E4B">
        <w:rPr>
          <w:rFonts w:cs="Arial"/>
        </w:rPr>
        <w:t xml:space="preserve">with the project team and </w:t>
      </w:r>
      <w:r w:rsidR="00C26F3D">
        <w:rPr>
          <w:rFonts w:cs="Arial"/>
        </w:rPr>
        <w:t xml:space="preserve">service providers </w:t>
      </w:r>
      <w:r w:rsidR="001E0E4B">
        <w:rPr>
          <w:rFonts w:cs="Arial"/>
        </w:rPr>
        <w:t xml:space="preserve">that Option 2 should be implemented and noted that this option </w:t>
      </w:r>
      <w:r w:rsidR="0091135B">
        <w:rPr>
          <w:rFonts w:cs="Arial"/>
        </w:rPr>
        <w:t>provide</w:t>
      </w:r>
      <w:r>
        <w:rPr>
          <w:rFonts w:cs="Arial"/>
        </w:rPr>
        <w:t>d</w:t>
      </w:r>
      <w:r w:rsidR="0091135B">
        <w:rPr>
          <w:rFonts w:cs="Arial"/>
        </w:rPr>
        <w:t xml:space="preserve"> a more appropriate </w:t>
      </w:r>
      <w:r w:rsidR="0091135B" w:rsidRPr="001C267C">
        <w:rPr>
          <w:rFonts w:cs="Arial"/>
        </w:rPr>
        <w:t>balance</w:t>
      </w:r>
      <w:r w:rsidR="0091135B">
        <w:rPr>
          <w:rFonts w:cs="Arial"/>
        </w:rPr>
        <w:t xml:space="preserve"> between</w:t>
      </w:r>
      <w:r w:rsidR="0091135B" w:rsidRPr="001C267C">
        <w:rPr>
          <w:rFonts w:cs="Arial"/>
        </w:rPr>
        <w:t xml:space="preserve"> the costs of </w:t>
      </w:r>
      <w:r w:rsidR="0091135B">
        <w:rPr>
          <w:rFonts w:cs="Arial"/>
        </w:rPr>
        <w:t>transfer</w:t>
      </w:r>
      <w:r w:rsidR="00F348D8">
        <w:rPr>
          <w:rFonts w:cs="Arial"/>
        </w:rPr>
        <w:t xml:space="preserve">ring information to the service provider </w:t>
      </w:r>
      <w:r w:rsidR="0091135B">
        <w:rPr>
          <w:rFonts w:cs="Arial"/>
        </w:rPr>
        <w:t>and the management of risks</w:t>
      </w:r>
      <w:r w:rsidR="0091135B" w:rsidRPr="001C267C">
        <w:t xml:space="preserve">.  </w:t>
      </w:r>
    </w:p>
    <w:p w14:paraId="7432762F" w14:textId="77777777" w:rsidR="001E46B3" w:rsidRPr="00350E30" w:rsidRDefault="001E46B3" w:rsidP="004E791B">
      <w:pPr>
        <w:pStyle w:val="Heading6"/>
        <w:spacing w:line="252" w:lineRule="auto"/>
        <w:rPr>
          <w:color w:val="0099CC"/>
        </w:rPr>
      </w:pPr>
      <w:r>
        <w:rPr>
          <w:color w:val="0099CC"/>
        </w:rPr>
        <w:t xml:space="preserve">Feedback provided through the consultation process </w:t>
      </w:r>
    </w:p>
    <w:p w14:paraId="4EECD319" w14:textId="77777777" w:rsidR="001E46B3" w:rsidRDefault="00C26F3D" w:rsidP="001E46B3">
      <w:pPr>
        <w:pStyle w:val="BodyText"/>
      </w:pPr>
      <w:r>
        <w:t xml:space="preserve">The stakeholders that provided feedback on this </w:t>
      </w:r>
      <w:r w:rsidR="00BE7B15">
        <w:t>issue agreed that O</w:t>
      </w:r>
      <w:r w:rsidR="001E46B3">
        <w:t>ption 2</w:t>
      </w:r>
      <w:r w:rsidR="00BE7B15">
        <w:t xml:space="preserve"> should be implemented</w:t>
      </w:r>
      <w:r w:rsidR="001E46B3">
        <w:t>.</w:t>
      </w:r>
      <w:r w:rsidR="00BE7B15">
        <w:t xml:space="preserve"> </w:t>
      </w:r>
      <w:r w:rsidR="001E46B3">
        <w:t xml:space="preserve">Some parties </w:t>
      </w:r>
      <w:r w:rsidR="00BE7B15">
        <w:t xml:space="preserve">did, however, note </w:t>
      </w:r>
      <w:r w:rsidR="001E46B3">
        <w:t xml:space="preserve">that </w:t>
      </w:r>
      <w:r w:rsidR="00BE7B15">
        <w:t xml:space="preserve">Option 1 could be implemented in the future, </w:t>
      </w:r>
      <w:r w:rsidR="001E46B3">
        <w:t xml:space="preserve">subject to the performance and liquidity of the exchange.  </w:t>
      </w:r>
    </w:p>
    <w:p w14:paraId="6E6B40D1" w14:textId="77777777" w:rsidR="00C26F3D" w:rsidRDefault="00C26F3D" w:rsidP="00C26F3D">
      <w:pPr>
        <w:pStyle w:val="BodyText"/>
      </w:pPr>
      <w:r>
        <w:t xml:space="preserve">The consultation paper also questioned whether AEMO should net out shippers’ positions prior to transaction information being provided to service providers to transfer capacity. While most submissions supported this approach and thought it would reduce costs and complexity, Jemena noted that ‘net positions’ may not provide the detail required by service providers to effect the trades. It went on to note that it may be necessary to </w:t>
      </w:r>
      <w:r>
        <w:lastRenderedPageBreak/>
        <w:t xml:space="preserve">provide the full details of the intermediate trades to follow the origin of the capacity bought to enable the service provider to balance MDQs and correctly allocate any imbalance or overrun. Shell </w:t>
      </w:r>
      <w:r w:rsidR="007C6B51">
        <w:t xml:space="preserve">also noted the potential for the </w:t>
      </w:r>
      <w:r>
        <w:t xml:space="preserve">netting out positions </w:t>
      </w:r>
      <w:r w:rsidR="007C6B51">
        <w:t xml:space="preserve">to </w:t>
      </w:r>
      <w:r>
        <w:t xml:space="preserve">reduce shippers’ ability to trade at interim shipping locations (e.g. where a shipper has purchased transport as two separate legs) and could reduce trading volumes. </w:t>
      </w:r>
    </w:p>
    <w:p w14:paraId="23A290DB" w14:textId="77777777" w:rsidR="001E46B3" w:rsidRPr="004E791B" w:rsidRDefault="001E46B3" w:rsidP="004E791B">
      <w:pPr>
        <w:pStyle w:val="Heading6"/>
        <w:spacing w:line="252" w:lineRule="auto"/>
        <w:rPr>
          <w:color w:val="0099CC"/>
        </w:rPr>
      </w:pPr>
      <w:r w:rsidRPr="004E791B">
        <w:rPr>
          <w:color w:val="0099CC"/>
        </w:rPr>
        <w:t xml:space="preserve">GMRG’s final recommendations </w:t>
      </w:r>
    </w:p>
    <w:p w14:paraId="2E9BF003" w14:textId="77777777" w:rsidR="001E46B3" w:rsidRDefault="001E46B3" w:rsidP="001E46B3">
      <w:pPr>
        <w:pStyle w:val="BodyText"/>
      </w:pPr>
      <w:r>
        <w:t xml:space="preserve">Based on the feedback provided by stakeholders, the GMRG recommends that </w:t>
      </w:r>
      <w:r w:rsidR="00BE7B15">
        <w:rPr>
          <w:b/>
        </w:rPr>
        <w:t>O</w:t>
      </w:r>
      <w:r>
        <w:rPr>
          <w:rStyle w:val="Bold"/>
        </w:rPr>
        <w:t xml:space="preserve">ption 2 </w:t>
      </w:r>
      <w:r w:rsidRPr="001E46B3">
        <w:rPr>
          <w:rStyle w:val="Bold"/>
          <w:b w:val="0"/>
        </w:rPr>
        <w:t>be implemented</w:t>
      </w:r>
      <w:r>
        <w:rPr>
          <w:rStyle w:val="Bold"/>
          <w:b w:val="0"/>
        </w:rPr>
        <w:t xml:space="preserve">, which will require </w:t>
      </w:r>
      <w:r>
        <w:t>AEMO to send net positions to the service providers once a day for all the trades that have occurred in the last 24 hours.  In the GMRG’s view, this approach:</w:t>
      </w:r>
    </w:p>
    <w:p w14:paraId="2F535D63" w14:textId="77777777" w:rsidR="001E46B3" w:rsidRDefault="001E46B3" w:rsidP="001E46B3">
      <w:pPr>
        <w:pStyle w:val="ListBullet"/>
      </w:pPr>
      <w:r>
        <w:t xml:space="preserve">provides a more appropriate balance between the costs of transferring information to the service provider and the management of risks;  </w:t>
      </w:r>
    </w:p>
    <w:p w14:paraId="2C325E95" w14:textId="77777777" w:rsidR="001E46B3" w:rsidRDefault="001E46B3" w:rsidP="001E46B3">
      <w:pPr>
        <w:pStyle w:val="ListBullet"/>
      </w:pPr>
      <w:r>
        <w:t xml:space="preserve">provides parties greater scope to resolve any issues that may arise during the capacity transfer process; and </w:t>
      </w:r>
    </w:p>
    <w:p w14:paraId="236335C6" w14:textId="77777777" w:rsidR="001E46B3" w:rsidRDefault="005B0F57" w:rsidP="001E46B3">
      <w:pPr>
        <w:pStyle w:val="ListBullet"/>
      </w:pPr>
      <w:proofErr w:type="gramStart"/>
      <w:r>
        <w:t>will</w:t>
      </w:r>
      <w:proofErr w:type="gramEnd"/>
      <w:r>
        <w:t xml:space="preserve"> </w:t>
      </w:r>
      <w:r w:rsidR="001E46B3">
        <w:t xml:space="preserve">enable service providers to be more informed about the expected use of their facilities. </w:t>
      </w:r>
    </w:p>
    <w:p w14:paraId="3012B6E3" w14:textId="77777777" w:rsidR="003E20E8" w:rsidRDefault="005B0F57" w:rsidP="001E46B3">
      <w:pPr>
        <w:pStyle w:val="BodyText"/>
        <w:rPr>
          <w:rFonts w:cs="Arial"/>
        </w:rPr>
      </w:pPr>
      <w:r>
        <w:rPr>
          <w:rFonts w:cs="Arial"/>
        </w:rPr>
        <w:t xml:space="preserve">As to </w:t>
      </w:r>
      <w:r w:rsidR="001E46B3">
        <w:rPr>
          <w:rFonts w:cs="Arial"/>
        </w:rPr>
        <w:t xml:space="preserve">whether AEMO should net out shippers’ positions </w:t>
      </w:r>
      <w:r>
        <w:rPr>
          <w:rFonts w:cs="Arial"/>
        </w:rPr>
        <w:t xml:space="preserve">before sending the </w:t>
      </w:r>
      <w:r w:rsidR="001E46B3">
        <w:rPr>
          <w:rFonts w:cs="Arial"/>
        </w:rPr>
        <w:t xml:space="preserve">transaction information to service providers, </w:t>
      </w:r>
      <w:r>
        <w:rPr>
          <w:rFonts w:cs="Arial"/>
        </w:rPr>
        <w:t xml:space="preserve">the </w:t>
      </w:r>
      <w:r w:rsidR="001E46B3">
        <w:rPr>
          <w:rFonts w:cs="Arial"/>
        </w:rPr>
        <w:t>GMRG</w:t>
      </w:r>
      <w:r w:rsidR="00C26F3D">
        <w:rPr>
          <w:rFonts w:cs="Arial"/>
        </w:rPr>
        <w:t xml:space="preserve"> believes </w:t>
      </w:r>
      <w:r w:rsidR="007C6B51">
        <w:rPr>
          <w:rFonts w:cs="Arial"/>
        </w:rPr>
        <w:t xml:space="preserve">the netted position should be sufficient for service providers’ purposes. In relation to </w:t>
      </w:r>
      <w:r w:rsidR="003E20E8">
        <w:rPr>
          <w:rFonts w:cs="Arial"/>
        </w:rPr>
        <w:t xml:space="preserve">the </w:t>
      </w:r>
      <w:r w:rsidR="007C6B51">
        <w:rPr>
          <w:rFonts w:cs="Arial"/>
        </w:rPr>
        <w:t>concerns</w:t>
      </w:r>
      <w:r w:rsidR="003E20E8">
        <w:rPr>
          <w:rFonts w:cs="Arial"/>
        </w:rPr>
        <w:t xml:space="preserve"> Shell has raised about netting</w:t>
      </w:r>
      <w:r w:rsidR="007C6B51">
        <w:rPr>
          <w:rFonts w:cs="Arial"/>
        </w:rPr>
        <w:t xml:space="preserve">, it </w:t>
      </w:r>
      <w:r w:rsidR="003E20E8">
        <w:rPr>
          <w:rFonts w:cs="Arial"/>
        </w:rPr>
        <w:t>would appear that there is some confusion about what netting involves. The way in which netting is expected to work can be seen in the following example, which assumes that there are four trades and that:</w:t>
      </w:r>
    </w:p>
    <w:p w14:paraId="58FEE0A7" w14:textId="77777777" w:rsidR="003E20E8" w:rsidRDefault="003E20E8" w:rsidP="003E20E8">
      <w:pPr>
        <w:pStyle w:val="ListBullet"/>
      </w:pPr>
      <w:r>
        <w:t>one trade involves the sale of 20 TJ of capacity from AGL to Origin between Wallumbilla and Moomba on the SWQP;</w:t>
      </w:r>
    </w:p>
    <w:p w14:paraId="44FD5DBB" w14:textId="77777777" w:rsidR="003E20E8" w:rsidRDefault="003E20E8" w:rsidP="003E20E8">
      <w:pPr>
        <w:pStyle w:val="ListBullet"/>
      </w:pPr>
      <w:r>
        <w:t>one trade involves the sale of 20 TJ of capacity from Origin to ERM between Wallumbilla and Moomba on the SWQP;</w:t>
      </w:r>
    </w:p>
    <w:p w14:paraId="47019A76" w14:textId="77777777" w:rsidR="003E20E8" w:rsidRDefault="003E20E8" w:rsidP="003E20E8">
      <w:pPr>
        <w:pStyle w:val="ListBullet"/>
      </w:pPr>
      <w:r>
        <w:t xml:space="preserve">one trade involves the sale of 10 TJ of capacity from AGL to Shell between Wallumbilla and </w:t>
      </w:r>
      <w:r w:rsidR="00694F94">
        <w:t xml:space="preserve">Moomba </w:t>
      </w:r>
      <w:r>
        <w:t>on the SWQP</w:t>
      </w:r>
      <w:r w:rsidR="00694F94">
        <w:t xml:space="preserve"> and between Moomba and Sydney on the MSP</w:t>
      </w:r>
      <w:r>
        <w:t xml:space="preserve">; and </w:t>
      </w:r>
    </w:p>
    <w:p w14:paraId="238F7E4E" w14:textId="77777777" w:rsidR="003E20E8" w:rsidRDefault="003E20E8" w:rsidP="003E20E8">
      <w:pPr>
        <w:pStyle w:val="ListBullet"/>
      </w:pPr>
      <w:proofErr w:type="gramStart"/>
      <w:r>
        <w:t>one</w:t>
      </w:r>
      <w:proofErr w:type="gramEnd"/>
      <w:r>
        <w:t xml:space="preserve"> trade involves the sale of 5 TJ of capacity from AGL to </w:t>
      </w:r>
      <w:r w:rsidR="00694F94">
        <w:t xml:space="preserve">APLNG </w:t>
      </w:r>
      <w:r>
        <w:t xml:space="preserve">between </w:t>
      </w:r>
      <w:r w:rsidR="00694F94">
        <w:t>Wallumbilla and Moomba on the SWQP and between Moomba and Sydney on the MSP</w:t>
      </w:r>
      <w:r>
        <w:t>.</w:t>
      </w:r>
    </w:p>
    <w:p w14:paraId="52ED3D38" w14:textId="77777777" w:rsidR="003E20E8" w:rsidRDefault="003E20E8" w:rsidP="001E46B3">
      <w:pPr>
        <w:pStyle w:val="BodyText"/>
        <w:rPr>
          <w:rFonts w:cs="Arial"/>
        </w:rPr>
      </w:pPr>
      <w:r>
        <w:rPr>
          <w:rFonts w:cs="Arial"/>
        </w:rPr>
        <w:t xml:space="preserve">In this example, the netting process would result in the following net positions being reported to APA as the owner of </w:t>
      </w:r>
      <w:r w:rsidR="00694F94">
        <w:rPr>
          <w:rFonts w:cs="Arial"/>
        </w:rPr>
        <w:t xml:space="preserve">both </w:t>
      </w:r>
      <w:r>
        <w:rPr>
          <w:rFonts w:cs="Arial"/>
        </w:rPr>
        <w:t>the SWQP</w:t>
      </w:r>
      <w:r w:rsidR="00694F94">
        <w:rPr>
          <w:rFonts w:cs="Arial"/>
        </w:rPr>
        <w:t xml:space="preserve"> and MSP</w:t>
      </w:r>
      <w:r>
        <w:rPr>
          <w:rFonts w:cs="Arial"/>
        </w:rPr>
        <w:t>:</w:t>
      </w:r>
    </w:p>
    <w:p w14:paraId="725260BC" w14:textId="77777777" w:rsidR="003E20E8" w:rsidRDefault="003E20E8" w:rsidP="003E20E8">
      <w:pPr>
        <w:pStyle w:val="ListBullet"/>
      </w:pPr>
      <w:r>
        <w:t xml:space="preserve">AGL sales of </w:t>
      </w:r>
      <w:r w:rsidR="00694F94">
        <w:t>35</w:t>
      </w:r>
      <w:r>
        <w:t xml:space="preserve"> TJ between Wallumbilla and Moomba and 15 TJ between </w:t>
      </w:r>
      <w:r w:rsidR="00694F94">
        <w:t>Moomba and Sydney</w:t>
      </w:r>
      <w:r>
        <w:t>;</w:t>
      </w:r>
    </w:p>
    <w:p w14:paraId="5D5612DE" w14:textId="77777777" w:rsidR="003E20E8" w:rsidRDefault="003E20E8" w:rsidP="003E20E8">
      <w:pPr>
        <w:pStyle w:val="ListBullet"/>
      </w:pPr>
      <w:r>
        <w:t>ERM purchase of 20 TJ between Wallumbilla and Moomba;</w:t>
      </w:r>
    </w:p>
    <w:p w14:paraId="4A1EB12E" w14:textId="77777777" w:rsidR="003E20E8" w:rsidRDefault="00694F94" w:rsidP="003E20E8">
      <w:pPr>
        <w:pStyle w:val="ListBullet"/>
      </w:pPr>
      <w:r>
        <w:t xml:space="preserve">Shell </w:t>
      </w:r>
      <w:r w:rsidR="003E20E8">
        <w:t xml:space="preserve">purchase of </w:t>
      </w:r>
      <w:r>
        <w:t>10</w:t>
      </w:r>
      <w:r w:rsidR="003E20E8">
        <w:t xml:space="preserve"> TJ between Wallumbilla and </w:t>
      </w:r>
      <w:r>
        <w:t>Moomba and Moomba and Sydney</w:t>
      </w:r>
      <w:r w:rsidR="003E20E8">
        <w:t>; and</w:t>
      </w:r>
    </w:p>
    <w:p w14:paraId="16800615" w14:textId="77777777" w:rsidR="003E20E8" w:rsidRDefault="00694F94" w:rsidP="003E20E8">
      <w:pPr>
        <w:pStyle w:val="ListBullet"/>
      </w:pPr>
      <w:r>
        <w:t xml:space="preserve">APLNG </w:t>
      </w:r>
      <w:r w:rsidR="003E20E8">
        <w:t xml:space="preserve">purchase of 5 TJ </w:t>
      </w:r>
      <w:r>
        <w:t xml:space="preserve">between </w:t>
      </w:r>
      <w:r w:rsidR="003E20E8">
        <w:t xml:space="preserve">Wallumbilla and </w:t>
      </w:r>
      <w:r>
        <w:t>Moomba and Moomba and Sydney</w:t>
      </w:r>
      <w:r w:rsidR="003E20E8">
        <w:t>.</w:t>
      </w:r>
    </w:p>
    <w:p w14:paraId="48761B56" w14:textId="77777777" w:rsidR="00C26F3D" w:rsidRDefault="003E20E8" w:rsidP="001E46B3">
      <w:pPr>
        <w:pStyle w:val="BodyText"/>
      </w:pPr>
      <w:r>
        <w:rPr>
          <w:rFonts w:cs="Arial"/>
        </w:rPr>
        <w:lastRenderedPageBreak/>
        <w:t xml:space="preserve">As this example highlights, the only thing the netting process does is take into account offsetting </w:t>
      </w:r>
      <w:r w:rsidR="00694F94">
        <w:rPr>
          <w:rFonts w:cs="Arial"/>
        </w:rPr>
        <w:t>positions once the trade has occurred (i.e. the 20 TJ purchase of capacity by Origin is netted against the 20 TJ sale of capacity by Origin), which is done to simplify the administration of the trades</w:t>
      </w:r>
      <w:r>
        <w:rPr>
          <w:rFonts w:cs="Arial"/>
        </w:rPr>
        <w:t xml:space="preserve">. </w:t>
      </w:r>
      <w:r w:rsidR="00694F94">
        <w:rPr>
          <w:rFonts w:cs="Arial"/>
        </w:rPr>
        <w:t>The netting process is not therefore expected to affect the volume of trades</w:t>
      </w:r>
      <w:r>
        <w:t>.</w:t>
      </w:r>
    </w:p>
    <w:p w14:paraId="7603858F" w14:textId="77777777" w:rsidR="00C34E9D" w:rsidRDefault="00C34E9D" w:rsidP="00C34E9D">
      <w:pPr>
        <w:pStyle w:val="Heading2"/>
      </w:pPr>
      <w:bookmarkStart w:id="145" w:name="_Toc489442957"/>
      <w:bookmarkStart w:id="146" w:name="_Toc489443057"/>
      <w:bookmarkStart w:id="147" w:name="_Toc489443158"/>
      <w:bookmarkStart w:id="148" w:name="_Toc489443252"/>
      <w:bookmarkStart w:id="149" w:name="_Toc489443346"/>
      <w:bookmarkStart w:id="150" w:name="_Toc489464865"/>
      <w:bookmarkStart w:id="151" w:name="_Toc489442959"/>
      <w:bookmarkStart w:id="152" w:name="_Toc489443059"/>
      <w:bookmarkStart w:id="153" w:name="_Toc489443160"/>
      <w:bookmarkStart w:id="154" w:name="_Toc489443254"/>
      <w:bookmarkStart w:id="155" w:name="_Toc489443348"/>
      <w:bookmarkStart w:id="156" w:name="_Toc489464867"/>
      <w:bookmarkStart w:id="157" w:name="_Toc489442961"/>
      <w:bookmarkStart w:id="158" w:name="_Toc489443061"/>
      <w:bookmarkStart w:id="159" w:name="_Toc489443162"/>
      <w:bookmarkStart w:id="160" w:name="_Toc489443256"/>
      <w:bookmarkStart w:id="161" w:name="_Toc489443350"/>
      <w:bookmarkStart w:id="162" w:name="_Toc489464869"/>
      <w:bookmarkStart w:id="163" w:name="_Toc499542666"/>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r w:rsidRPr="008B1B73">
        <w:t>Transfer of capacity</w:t>
      </w:r>
      <w:bookmarkEnd w:id="163"/>
      <w:r w:rsidR="00F348D8">
        <w:t xml:space="preserve"> </w:t>
      </w:r>
    </w:p>
    <w:p w14:paraId="0027BE8E" w14:textId="77777777" w:rsidR="001E46B3" w:rsidRPr="004E791B" w:rsidRDefault="00573BA2" w:rsidP="004E791B">
      <w:pPr>
        <w:pStyle w:val="Heading6"/>
        <w:spacing w:line="252" w:lineRule="auto"/>
        <w:rPr>
          <w:color w:val="0099CC"/>
        </w:rPr>
      </w:pPr>
      <w:r w:rsidRPr="004E791B">
        <w:rPr>
          <w:color w:val="0099CC"/>
        </w:rPr>
        <w:t xml:space="preserve">Background and </w:t>
      </w:r>
      <w:r w:rsidR="004E791B">
        <w:rPr>
          <w:color w:val="0099CC"/>
        </w:rPr>
        <w:t xml:space="preserve">GMRG’s </w:t>
      </w:r>
      <w:r w:rsidRPr="004E791B">
        <w:rPr>
          <w:color w:val="0099CC"/>
        </w:rPr>
        <w:t>preliminary view</w:t>
      </w:r>
    </w:p>
    <w:p w14:paraId="0FC60DF4" w14:textId="77777777" w:rsidR="00F348D8" w:rsidRDefault="00C34E9D" w:rsidP="00F348D8">
      <w:pPr>
        <w:pStyle w:val="BodyText"/>
      </w:pPr>
      <w:r w:rsidRPr="008B1B73">
        <w:rPr>
          <w:rFonts w:cs="Arial"/>
        </w:rPr>
        <w:t xml:space="preserve">Once the </w:t>
      </w:r>
      <w:r w:rsidR="00734F1F">
        <w:rPr>
          <w:rFonts w:cs="Arial"/>
        </w:rPr>
        <w:t>service provider</w:t>
      </w:r>
      <w:r w:rsidRPr="008B1B73">
        <w:rPr>
          <w:rFonts w:cs="Arial"/>
        </w:rPr>
        <w:t xml:space="preserve"> has received information</w:t>
      </w:r>
      <w:r w:rsidR="0026795F">
        <w:rPr>
          <w:rFonts w:cs="Arial"/>
        </w:rPr>
        <w:t xml:space="preserve"> on the trades that have occurred</w:t>
      </w:r>
      <w:r w:rsidRPr="008B1B73">
        <w:rPr>
          <w:rFonts w:cs="Arial"/>
        </w:rPr>
        <w:t xml:space="preserve">, it will need to transfer </w:t>
      </w:r>
      <w:r w:rsidR="0026795F">
        <w:rPr>
          <w:rFonts w:cs="Arial"/>
        </w:rPr>
        <w:t xml:space="preserve">the capacity </w:t>
      </w:r>
      <w:r w:rsidRPr="008B1B73">
        <w:rPr>
          <w:rFonts w:cs="Arial"/>
        </w:rPr>
        <w:t xml:space="preserve">in </w:t>
      </w:r>
      <w:r w:rsidR="0026795F">
        <w:rPr>
          <w:rFonts w:cs="Arial"/>
        </w:rPr>
        <w:t xml:space="preserve">sufficient </w:t>
      </w:r>
      <w:r w:rsidRPr="008B1B73">
        <w:rPr>
          <w:rFonts w:cs="Arial"/>
        </w:rPr>
        <w:t xml:space="preserve">time for shippers to nominate against </w:t>
      </w:r>
      <w:r w:rsidR="00F348D8">
        <w:rPr>
          <w:rFonts w:cs="Arial"/>
        </w:rPr>
        <w:t xml:space="preserve">any </w:t>
      </w:r>
      <w:r w:rsidRPr="008B1B73">
        <w:rPr>
          <w:rFonts w:cs="Arial"/>
        </w:rPr>
        <w:t xml:space="preserve">day-ahead products </w:t>
      </w:r>
      <w:r w:rsidR="00F348D8">
        <w:rPr>
          <w:rFonts w:cs="Arial"/>
        </w:rPr>
        <w:t xml:space="preserve">that may have been </w:t>
      </w:r>
      <w:r w:rsidRPr="008B1B73">
        <w:rPr>
          <w:rFonts w:cs="Arial"/>
        </w:rPr>
        <w:t>purchased on the exchange.</w:t>
      </w:r>
      <w:r w:rsidR="004C1EF9">
        <w:rPr>
          <w:rStyle w:val="FootnoteReference"/>
          <w:rFonts w:cs="Arial"/>
        </w:rPr>
        <w:footnoteReference w:id="80"/>
      </w:r>
      <w:r w:rsidRPr="008B1B73">
        <w:rPr>
          <w:rFonts w:cs="Arial"/>
        </w:rPr>
        <w:t xml:space="preserve"> </w:t>
      </w:r>
      <w:r w:rsidR="00F348D8">
        <w:t>Service providers will also be required to confirm with AEMO that the transfer</w:t>
      </w:r>
      <w:r w:rsidR="0026795F">
        <w:t>s</w:t>
      </w:r>
      <w:r w:rsidR="00F348D8">
        <w:t xml:space="preserve"> </w:t>
      </w:r>
      <w:r w:rsidR="0026795F">
        <w:t xml:space="preserve">have </w:t>
      </w:r>
      <w:r w:rsidR="00F348D8">
        <w:t>occurred and p</w:t>
      </w:r>
      <w:r w:rsidRPr="008B1B73">
        <w:t xml:space="preserve">rovide </w:t>
      </w:r>
      <w:r w:rsidR="00F348D8">
        <w:t>buyer</w:t>
      </w:r>
      <w:r w:rsidR="0026795F">
        <w:t>s</w:t>
      </w:r>
      <w:r w:rsidR="00F348D8">
        <w:t xml:space="preserve"> with </w:t>
      </w:r>
      <w:r w:rsidRPr="008B1B73">
        <w:t xml:space="preserve">notification as to when they can make nominations.  </w:t>
      </w:r>
      <w:r w:rsidR="00F348D8">
        <w:t xml:space="preserve">The confirmation provided to AEMO </w:t>
      </w:r>
      <w:r w:rsidR="00D74E82">
        <w:t>could</w:t>
      </w:r>
      <w:r w:rsidR="00F348D8">
        <w:t xml:space="preserve">, where applicable, </w:t>
      </w:r>
      <w:r w:rsidR="0026795F">
        <w:t xml:space="preserve">act as a trigger for </w:t>
      </w:r>
      <w:r w:rsidR="00F348D8" w:rsidRPr="008B1B73">
        <w:t xml:space="preserve">STTM trading rights </w:t>
      </w:r>
      <w:r w:rsidR="0026795F">
        <w:t xml:space="preserve">to be transferred </w:t>
      </w:r>
      <w:r w:rsidR="00F348D8">
        <w:t>or DWGM a</w:t>
      </w:r>
      <w:r w:rsidR="00F348D8" w:rsidRPr="008B1B73">
        <w:t xml:space="preserve">ccreditation constraints </w:t>
      </w:r>
      <w:r w:rsidR="001E46B3">
        <w:t>updated</w:t>
      </w:r>
      <w:r w:rsidR="00D30EB7">
        <w:t>.</w:t>
      </w:r>
    </w:p>
    <w:p w14:paraId="3C11FE3E" w14:textId="77777777" w:rsidR="00F348D8" w:rsidRDefault="00F348D8" w:rsidP="00C34E9D">
      <w:pPr>
        <w:pStyle w:val="BodyText"/>
        <w:rPr>
          <w:rFonts w:cs="Arial"/>
        </w:rPr>
      </w:pPr>
      <w:r>
        <w:rPr>
          <w:rFonts w:cs="Arial"/>
        </w:rPr>
        <w:t xml:space="preserve">There may be circumstances </w:t>
      </w:r>
      <w:r w:rsidR="004C1EF9">
        <w:rPr>
          <w:rFonts w:cs="Arial"/>
        </w:rPr>
        <w:t xml:space="preserve">in which </w:t>
      </w:r>
      <w:r>
        <w:rPr>
          <w:rFonts w:cs="Arial"/>
        </w:rPr>
        <w:t xml:space="preserve">the service provider is unable to transfer </w:t>
      </w:r>
      <w:r w:rsidR="00723C4D">
        <w:rPr>
          <w:rFonts w:cs="Arial"/>
        </w:rPr>
        <w:t>capacity</w:t>
      </w:r>
      <w:r w:rsidR="004C1EF9">
        <w:rPr>
          <w:rFonts w:cs="Arial"/>
        </w:rPr>
        <w:t xml:space="preserve"> because, for example</w:t>
      </w:r>
      <w:r>
        <w:rPr>
          <w:rFonts w:cs="Arial"/>
        </w:rPr>
        <w:t xml:space="preserve">: </w:t>
      </w:r>
    </w:p>
    <w:p w14:paraId="19536600" w14:textId="77777777" w:rsidR="002D5C8A" w:rsidRDefault="00F348D8" w:rsidP="00CF4594">
      <w:pPr>
        <w:pStyle w:val="ListBullet"/>
        <w:numPr>
          <w:ilvl w:val="0"/>
          <w:numId w:val="38"/>
        </w:numPr>
      </w:pPr>
      <w:r>
        <w:rPr>
          <w:rFonts w:cs="Arial"/>
        </w:rPr>
        <w:t>the seller has</w:t>
      </w:r>
      <w:r w:rsidR="00C34E9D" w:rsidRPr="008B1B73">
        <w:rPr>
          <w:rFonts w:cs="Arial"/>
        </w:rPr>
        <w:t xml:space="preserve"> </w:t>
      </w:r>
      <w:r w:rsidRPr="008B1B73">
        <w:t xml:space="preserve">insufficient </w:t>
      </w:r>
      <w:r w:rsidR="00723C4D">
        <w:t>capacity</w:t>
      </w:r>
      <w:r w:rsidRPr="008B1B73">
        <w:t xml:space="preserve"> at the time of transfer</w:t>
      </w:r>
      <w:r w:rsidR="00D30EB7">
        <w:t>;</w:t>
      </w:r>
      <w:r w:rsidR="0026795F">
        <w:t xml:space="preserve"> </w:t>
      </w:r>
    </w:p>
    <w:p w14:paraId="2F7CD303" w14:textId="77777777" w:rsidR="00F348D8" w:rsidRPr="008B1B73" w:rsidRDefault="0026795F" w:rsidP="00CF4594">
      <w:pPr>
        <w:pStyle w:val="ListBullet"/>
        <w:numPr>
          <w:ilvl w:val="0"/>
          <w:numId w:val="38"/>
        </w:numPr>
      </w:pPr>
      <w:r>
        <w:t>the seller’s primary GTA has been terminated</w:t>
      </w:r>
      <w:r w:rsidR="00F348D8" w:rsidRPr="008B1B73">
        <w:t xml:space="preserve"> or</w:t>
      </w:r>
      <w:r w:rsidR="00F348D8">
        <w:t xml:space="preserve"> </w:t>
      </w:r>
      <w:r>
        <w:t xml:space="preserve">the seller </w:t>
      </w:r>
      <w:r w:rsidR="00F348D8">
        <w:t xml:space="preserve">has </w:t>
      </w:r>
      <w:r w:rsidR="00F348D8" w:rsidRPr="008B1B73">
        <w:t xml:space="preserve">breached </w:t>
      </w:r>
      <w:r w:rsidR="00F348D8">
        <w:t xml:space="preserve">its </w:t>
      </w:r>
      <w:r w:rsidR="00F348D8" w:rsidRPr="008B1B73">
        <w:t>obligations under the Exchange Agreement and membership is terminated by AEMO</w:t>
      </w:r>
      <w:r w:rsidR="004C1EF9">
        <w:t>; or</w:t>
      </w:r>
    </w:p>
    <w:p w14:paraId="62B7D8BA" w14:textId="77777777" w:rsidR="00C34E9D" w:rsidRPr="008B1B73" w:rsidRDefault="004C1EF9" w:rsidP="00CF4594">
      <w:pPr>
        <w:pStyle w:val="ListBullet"/>
        <w:numPr>
          <w:ilvl w:val="0"/>
          <w:numId w:val="37"/>
        </w:numPr>
      </w:pPr>
      <w:proofErr w:type="gramStart"/>
      <w:r>
        <w:t>the</w:t>
      </w:r>
      <w:proofErr w:type="gramEnd"/>
      <w:r>
        <w:t xml:space="preserve"> s</w:t>
      </w:r>
      <w:r w:rsidR="00734F1F">
        <w:t>ervice provider</w:t>
      </w:r>
      <w:r w:rsidR="006E6F2C">
        <w:t>’s</w:t>
      </w:r>
      <w:r w:rsidR="00C34E9D" w:rsidRPr="008B1B73">
        <w:t xml:space="preserve"> </w:t>
      </w:r>
      <w:r>
        <w:t xml:space="preserve">or AEMO’s </w:t>
      </w:r>
      <w:r w:rsidR="00C34E9D" w:rsidRPr="008B1B73">
        <w:t xml:space="preserve">systems </w:t>
      </w:r>
      <w:r>
        <w:t xml:space="preserve">or </w:t>
      </w:r>
      <w:r w:rsidR="00C34E9D" w:rsidRPr="008B1B73">
        <w:t xml:space="preserve">processes </w:t>
      </w:r>
      <w:r>
        <w:t>fail</w:t>
      </w:r>
      <w:r w:rsidR="00C34E9D" w:rsidRPr="008B1B73">
        <w:t>.</w:t>
      </w:r>
    </w:p>
    <w:p w14:paraId="42025214" w14:textId="77777777" w:rsidR="00573BA2" w:rsidRDefault="00573BA2" w:rsidP="00573BA2">
      <w:pPr>
        <w:pStyle w:val="BodyText"/>
      </w:pPr>
      <w:r>
        <w:t xml:space="preserve">The first two of these risks are </w:t>
      </w:r>
      <w:r w:rsidR="00694F94">
        <w:t>discussed in C</w:t>
      </w:r>
      <w:r w:rsidR="005B0F57">
        <w:t>hapter</w:t>
      </w:r>
      <w:r>
        <w:t xml:space="preserve"> 9, while this section considers how the </w:t>
      </w:r>
      <w:r w:rsidR="005B0F57">
        <w:t xml:space="preserve">risk of </w:t>
      </w:r>
      <w:r>
        <w:t>technical failure will be managed in the design of the trading platform.  In the consultation paper, the GMRG noted that further consideration needed to be given to this issue and sought feedback from stakeholders.</w:t>
      </w:r>
      <w:r w:rsidR="005B0F57">
        <w:t xml:space="preserve"> Feedback was also sought on whether service providers should provide AEMO with confirmation that the trade has occurred.</w:t>
      </w:r>
    </w:p>
    <w:p w14:paraId="6E13A26E" w14:textId="77777777" w:rsidR="00573BA2" w:rsidRPr="004E791B" w:rsidRDefault="00573BA2" w:rsidP="004E791B">
      <w:pPr>
        <w:pStyle w:val="Heading6"/>
        <w:spacing w:line="252" w:lineRule="auto"/>
        <w:rPr>
          <w:color w:val="0099CC"/>
        </w:rPr>
      </w:pPr>
      <w:r w:rsidRPr="004E791B">
        <w:rPr>
          <w:color w:val="0099CC"/>
        </w:rPr>
        <w:t xml:space="preserve">Feedback provided through the consultation process </w:t>
      </w:r>
    </w:p>
    <w:p w14:paraId="024B35A6" w14:textId="1444FDEA" w:rsidR="00521ADD" w:rsidRDefault="00521ADD" w:rsidP="00521ADD">
      <w:pPr>
        <w:pStyle w:val="BodyText"/>
        <w:rPr>
          <w:rFonts w:eastAsiaTheme="minorHAnsi"/>
          <w:lang w:eastAsia="en-US"/>
        </w:rPr>
      </w:pPr>
      <w:r>
        <w:rPr>
          <w:rFonts w:eastAsiaTheme="minorHAnsi"/>
          <w:lang w:eastAsia="en-US"/>
        </w:rPr>
        <w:t>Most stakeholders supported the proposal for service providers to provide AEMO with confirmation that the transfer has occurred.</w:t>
      </w:r>
      <w:r>
        <w:t xml:space="preserve"> APLNG, for example, was of the view that confirmation is required </w:t>
      </w:r>
      <w:r>
        <w:rPr>
          <w:rFonts w:eastAsiaTheme="minorHAnsi"/>
          <w:lang w:eastAsia="en-US"/>
        </w:rPr>
        <w:t>particularly in the fully anonymous model where the service provider has full visibility regarding the trading counterparties. Jemena, on the other hand, suggested that such a confirmation was unnecessary because shippers would be able to log on to service provider</w:t>
      </w:r>
      <w:r w:rsidR="00537991">
        <w:rPr>
          <w:rFonts w:eastAsiaTheme="minorHAnsi"/>
          <w:lang w:eastAsia="en-US"/>
        </w:rPr>
        <w:t>s’</w:t>
      </w:r>
      <w:r>
        <w:rPr>
          <w:rFonts w:eastAsiaTheme="minorHAnsi"/>
          <w:lang w:eastAsia="en-US"/>
        </w:rPr>
        <w:t xml:space="preserve"> systems and review their contracted capacity levels. Jemena added that if shippers had any concerns they could raise it directly with the service provider, whereas if AEMO was involved it would give rise to some uncertainty regarding accountability.</w:t>
      </w:r>
    </w:p>
    <w:p w14:paraId="1A55D322" w14:textId="77777777" w:rsidR="00521ADD" w:rsidRDefault="00521ADD" w:rsidP="00521ADD">
      <w:pPr>
        <w:pStyle w:val="BodyText"/>
        <w:rPr>
          <w:rFonts w:eastAsiaTheme="minorHAnsi" w:cs="Arial"/>
          <w:lang w:eastAsia="en-US"/>
        </w:rPr>
      </w:pPr>
      <w:r>
        <w:rPr>
          <w:rFonts w:eastAsiaTheme="minorHAnsi" w:cs="Arial"/>
          <w:lang w:eastAsia="en-US"/>
        </w:rPr>
        <w:t>As to whether buyers should be provided a confirmation by service providers, AGL and APLNG suggested that the buyer should only be notified if there is a problem with the transfer, while APA suggested there may be value in the buyer being notified either way.</w:t>
      </w:r>
    </w:p>
    <w:p w14:paraId="6991912C" w14:textId="77777777" w:rsidR="00521ADD" w:rsidRDefault="00521ADD" w:rsidP="00521ADD">
      <w:pPr>
        <w:pStyle w:val="BodyText"/>
        <w:rPr>
          <w:rFonts w:eastAsiaTheme="minorHAnsi" w:cs="Arial"/>
          <w:lang w:eastAsia="en-US"/>
        </w:rPr>
      </w:pPr>
      <w:r>
        <w:rPr>
          <w:rFonts w:eastAsiaTheme="minorHAnsi" w:cs="Arial"/>
          <w:lang w:eastAsia="en-US"/>
        </w:rPr>
        <w:lastRenderedPageBreak/>
        <w:t>A number of stakeholders provided suggestions on how the risk of technical failure should be dealt with. For example:</w:t>
      </w:r>
    </w:p>
    <w:p w14:paraId="107B4351" w14:textId="77777777" w:rsidR="00521ADD" w:rsidRDefault="00521ADD" w:rsidP="00521ADD">
      <w:pPr>
        <w:pStyle w:val="ListBullet"/>
        <w:rPr>
          <w:rFonts w:eastAsiaTheme="minorHAnsi"/>
          <w:lang w:eastAsia="en-US"/>
        </w:rPr>
      </w:pPr>
      <w:r>
        <w:rPr>
          <w:rFonts w:eastAsiaTheme="minorHAnsi"/>
          <w:lang w:eastAsia="en-US"/>
        </w:rPr>
        <w:t xml:space="preserve">AGL was of the view that the risk could be dealt with by providing the service provider additional time (such as 4/8/12 hours) to complete the transfer and that trading should be suspended until the issue has concluded. </w:t>
      </w:r>
    </w:p>
    <w:p w14:paraId="63D23757" w14:textId="02423104" w:rsidR="00521ADD" w:rsidRDefault="00521ADD" w:rsidP="00521ADD">
      <w:pPr>
        <w:pStyle w:val="ListBullet"/>
        <w:rPr>
          <w:rFonts w:eastAsiaTheme="minorHAnsi"/>
          <w:lang w:eastAsia="en-US"/>
        </w:rPr>
      </w:pPr>
      <w:r>
        <w:rPr>
          <w:rFonts w:eastAsiaTheme="minorHAnsi"/>
          <w:lang w:eastAsia="en-US"/>
        </w:rPr>
        <w:t>Stanwell noted that failure of AEMO or service providers</w:t>
      </w:r>
      <w:r w:rsidR="00537991">
        <w:rPr>
          <w:rFonts w:eastAsiaTheme="minorHAnsi"/>
          <w:lang w:eastAsia="en-US"/>
        </w:rPr>
        <w:t>’</w:t>
      </w:r>
      <w:r>
        <w:rPr>
          <w:rFonts w:eastAsiaTheme="minorHAnsi"/>
          <w:lang w:eastAsia="en-US"/>
        </w:rPr>
        <w:t xml:space="preserve"> systems should not be very common and suggested a simple procedure be adopted (e.g. the transfer of capacity occurs as soon as the systems are online again).</w:t>
      </w:r>
    </w:p>
    <w:p w14:paraId="12A1F84C" w14:textId="77777777" w:rsidR="00521ADD" w:rsidRDefault="00521ADD" w:rsidP="00521ADD">
      <w:pPr>
        <w:pStyle w:val="ListBullet"/>
      </w:pPr>
      <w:r>
        <w:rPr>
          <w:rFonts w:eastAsiaTheme="minorHAnsi"/>
          <w:lang w:eastAsia="en-US"/>
        </w:rPr>
        <w:t>Jemena noted that technical failures will happen from time to time because IT systems are not perfect and suggested that this be dealt with by cancelling trades and parties refunded any money owning. Epic and APA agreed with this suggestion.</w:t>
      </w:r>
      <w:r>
        <w:t xml:space="preserve"> </w:t>
      </w:r>
    </w:p>
    <w:p w14:paraId="6ABF4077" w14:textId="77777777" w:rsidR="00B64A2C" w:rsidRPr="004E791B" w:rsidRDefault="00B64A2C" w:rsidP="004E791B">
      <w:pPr>
        <w:pStyle w:val="Heading6"/>
        <w:spacing w:line="252" w:lineRule="auto"/>
        <w:rPr>
          <w:color w:val="0099CC"/>
        </w:rPr>
      </w:pPr>
      <w:r w:rsidRPr="004E791B">
        <w:rPr>
          <w:color w:val="0099CC"/>
        </w:rPr>
        <w:t xml:space="preserve">GMRG’s final recommendations </w:t>
      </w:r>
    </w:p>
    <w:p w14:paraId="461912A9" w14:textId="77777777" w:rsidR="00DE2D0F" w:rsidRDefault="00B64A2C" w:rsidP="00B64A2C">
      <w:pPr>
        <w:pStyle w:val="BodyText"/>
      </w:pPr>
      <w:r>
        <w:t xml:space="preserve">The GMRG agrees with the majority of stakeholders that: </w:t>
      </w:r>
    </w:p>
    <w:p w14:paraId="4AEDB9C8" w14:textId="77777777" w:rsidR="00B64A2C" w:rsidRDefault="00B64A2C" w:rsidP="00DE2D0F">
      <w:pPr>
        <w:pStyle w:val="ListBullet"/>
      </w:pPr>
      <w:r>
        <w:t>service providers should be required to provide AEMO with a confirmation once capacity has been transferred</w:t>
      </w:r>
      <w:r w:rsidR="00DE2D0F">
        <w:t>;</w:t>
      </w:r>
      <w:r w:rsidR="00DE2D0F">
        <w:rPr>
          <w:rStyle w:val="FootnoteReference"/>
        </w:rPr>
        <w:footnoteReference w:id="81"/>
      </w:r>
      <w:r w:rsidR="00DE2D0F">
        <w:t xml:space="preserve"> and</w:t>
      </w:r>
      <w:r>
        <w:t xml:space="preserve">  </w:t>
      </w:r>
    </w:p>
    <w:p w14:paraId="1CFD0613" w14:textId="77777777" w:rsidR="00DE2D0F" w:rsidRDefault="00DE2D0F" w:rsidP="00DE2D0F">
      <w:pPr>
        <w:pStyle w:val="ListBullet"/>
      </w:pPr>
      <w:proofErr w:type="gramStart"/>
      <w:r>
        <w:t>buyers</w:t>
      </w:r>
      <w:proofErr w:type="gramEnd"/>
      <w:r>
        <w:t xml:space="preserve"> should only be notified if there is a problem with the transaction and the trade has to be voided (given the range of potential causes of an invalid trade, it would be sensible for AEMO to provide this notification).</w:t>
      </w:r>
    </w:p>
    <w:p w14:paraId="31DEC744" w14:textId="77777777" w:rsidR="00B64A2C" w:rsidRDefault="00DE2D0F" w:rsidP="00B64A2C">
      <w:pPr>
        <w:pStyle w:val="BodyText"/>
      </w:pPr>
      <w:r>
        <w:t xml:space="preserve">In relation to the risk of </w:t>
      </w:r>
      <w:r w:rsidR="00573BA2">
        <w:t>technical failure</w:t>
      </w:r>
      <w:r>
        <w:t xml:space="preserve">, the GMRG has considered the suggestions made by stakeholders </w:t>
      </w:r>
      <w:r w:rsidR="005702F0">
        <w:t xml:space="preserve">and is of the view that </w:t>
      </w:r>
      <w:r>
        <w:t>cancel</w:t>
      </w:r>
      <w:r w:rsidR="005702F0">
        <w:t>ling</w:t>
      </w:r>
      <w:r>
        <w:t xml:space="preserve"> </w:t>
      </w:r>
      <w:r w:rsidR="00573BA2">
        <w:t xml:space="preserve">the trade could undermine confidence </w:t>
      </w:r>
      <w:r>
        <w:t xml:space="preserve">in the market. </w:t>
      </w:r>
      <w:r w:rsidR="00694F94">
        <w:t>The GMRG is therefore of the</w:t>
      </w:r>
      <w:r>
        <w:t xml:space="preserve"> view</w:t>
      </w:r>
      <w:r w:rsidR="00694F94">
        <w:t xml:space="preserve"> that</w:t>
      </w:r>
      <w:r>
        <w:t xml:space="preserve">, service providers should have a </w:t>
      </w:r>
      <w:r w:rsidR="00573BA2">
        <w:t>period of time to rectify the failure and complete the capacity transfer</w:t>
      </w:r>
      <w:r>
        <w:t xml:space="preserve">, with the rectification period </w:t>
      </w:r>
      <w:r w:rsidR="008C6615">
        <w:t xml:space="preserve">to depend </w:t>
      </w:r>
      <w:r w:rsidR="00573BA2">
        <w:t xml:space="preserve">on the duration and start date of the capacity traded.  </w:t>
      </w:r>
      <w:r w:rsidR="008C6615">
        <w:t>For example, if the trade was commencing in seven days’ time, then the service provider could potentially have up to six days to rectify the problem.</w:t>
      </w:r>
      <w:r w:rsidR="00694F94">
        <w:t xml:space="preserve"> </w:t>
      </w:r>
      <w:r w:rsidR="00B64A2C">
        <w:t xml:space="preserve">In the GMRG’s view, </w:t>
      </w:r>
      <w:r w:rsidR="00694F94">
        <w:t xml:space="preserve">this </w:t>
      </w:r>
      <w:r w:rsidR="00B64A2C">
        <w:t xml:space="preserve">will promote certainty and transparency for the buyer and facilitate secondary trading on the platform.  </w:t>
      </w:r>
    </w:p>
    <w:p w14:paraId="4A8F56AA" w14:textId="77777777" w:rsidR="00C34E9D" w:rsidRDefault="00F84124" w:rsidP="00C34E9D">
      <w:pPr>
        <w:pStyle w:val="Heading2"/>
      </w:pPr>
      <w:bookmarkStart w:id="164" w:name="_Toc499542667"/>
      <w:r>
        <w:t>Key t</w:t>
      </w:r>
      <w:r w:rsidR="0092582A">
        <w:t>iming</w:t>
      </w:r>
      <w:r>
        <w:t>s on the capacity trading platform</w:t>
      </w:r>
      <w:bookmarkEnd w:id="164"/>
      <w:r>
        <w:t xml:space="preserve"> </w:t>
      </w:r>
    </w:p>
    <w:p w14:paraId="77FCA53A" w14:textId="77777777" w:rsidR="00573BA2" w:rsidRPr="004E791B" w:rsidRDefault="00573BA2" w:rsidP="004E791B">
      <w:pPr>
        <w:pStyle w:val="Heading6"/>
        <w:spacing w:line="252" w:lineRule="auto"/>
        <w:rPr>
          <w:color w:val="0099CC"/>
        </w:rPr>
      </w:pPr>
      <w:r w:rsidRPr="004E791B">
        <w:rPr>
          <w:color w:val="0099CC"/>
        </w:rPr>
        <w:t>B</w:t>
      </w:r>
      <w:r w:rsidR="00A52672" w:rsidRPr="004E791B">
        <w:rPr>
          <w:color w:val="0099CC"/>
        </w:rPr>
        <w:t xml:space="preserve">ackground and </w:t>
      </w:r>
      <w:r w:rsidR="004E791B">
        <w:rPr>
          <w:color w:val="0099CC"/>
        </w:rPr>
        <w:t xml:space="preserve">GMRG’s </w:t>
      </w:r>
      <w:r w:rsidR="00A52672" w:rsidRPr="004E791B">
        <w:rPr>
          <w:color w:val="0099CC"/>
        </w:rPr>
        <w:t>preliminary view</w:t>
      </w:r>
      <w:r w:rsidRPr="004E791B">
        <w:rPr>
          <w:color w:val="0099CC"/>
        </w:rPr>
        <w:t xml:space="preserve"> </w:t>
      </w:r>
    </w:p>
    <w:p w14:paraId="325B8A5F" w14:textId="77777777" w:rsidR="00C34E9D" w:rsidRPr="008B1B73" w:rsidRDefault="00573BA2" w:rsidP="00BE0FDE">
      <w:pPr>
        <w:pStyle w:val="BodyText"/>
      </w:pPr>
      <w:r>
        <w:rPr>
          <w:rFonts w:cs="Arial"/>
        </w:rPr>
        <w:t xml:space="preserve">A </w:t>
      </w:r>
      <w:r w:rsidR="00C34E9D" w:rsidRPr="008B1B73">
        <w:rPr>
          <w:rFonts w:cs="Arial"/>
        </w:rPr>
        <w:t xml:space="preserve">number of activities will need to occur the day prior to the gas day (D-1) for the capacity trading platform and day-ahead auction to </w:t>
      </w:r>
      <w:r w:rsidR="004C1EF9">
        <w:rPr>
          <w:rFonts w:cs="Arial"/>
        </w:rPr>
        <w:t xml:space="preserve">function effectively and </w:t>
      </w:r>
      <w:r w:rsidR="0092582A">
        <w:rPr>
          <w:rFonts w:cs="Arial"/>
        </w:rPr>
        <w:t>in the manner envisaged by the AEMC</w:t>
      </w:r>
      <w:r w:rsidR="00C34E9D" w:rsidRPr="008B1B73">
        <w:rPr>
          <w:rFonts w:cs="Arial"/>
        </w:rPr>
        <w:t xml:space="preserve">. </w:t>
      </w:r>
      <w:r w:rsidR="00A52672">
        <w:rPr>
          <w:rFonts w:cs="Arial"/>
        </w:rPr>
        <w:t xml:space="preserve">In the consultation paper, the following figure was included to provide stakeholders with an indication of the potential timing of these activities assuming a </w:t>
      </w:r>
      <w:r w:rsidR="00BE0FDE">
        <w:t>4 pm</w:t>
      </w:r>
      <w:r w:rsidR="004C2EDF">
        <w:t xml:space="preserve"> </w:t>
      </w:r>
      <w:r w:rsidR="00A52672">
        <w:t xml:space="preserve">nomination cut-off time </w:t>
      </w:r>
      <w:r w:rsidR="004C2EDF">
        <w:t xml:space="preserve">and a </w:t>
      </w:r>
      <w:r w:rsidR="004C2EDF" w:rsidRPr="008B1B73">
        <w:rPr>
          <w:rFonts w:cs="Arial"/>
        </w:rPr>
        <w:t>fully anonymous and automated approach to transferring capacity.</w:t>
      </w:r>
      <w:r w:rsidR="00A52672">
        <w:rPr>
          <w:rFonts w:cs="Arial"/>
        </w:rPr>
        <w:t xml:space="preserve"> </w:t>
      </w:r>
      <w:proofErr w:type="gramStart"/>
      <w:r w:rsidR="00A52672">
        <w:rPr>
          <w:rFonts w:cs="Arial"/>
        </w:rPr>
        <w:t>Stakeholders</w:t>
      </w:r>
      <w:proofErr w:type="gramEnd"/>
      <w:r w:rsidR="00A52672">
        <w:rPr>
          <w:rFonts w:cs="Arial"/>
        </w:rPr>
        <w:t xml:space="preserve"> </w:t>
      </w:r>
      <w:r w:rsidR="005702F0">
        <w:rPr>
          <w:rFonts w:cs="Arial"/>
        </w:rPr>
        <w:t xml:space="preserve">views </w:t>
      </w:r>
      <w:r w:rsidR="00A52672">
        <w:rPr>
          <w:rFonts w:cs="Arial"/>
        </w:rPr>
        <w:t xml:space="preserve">were </w:t>
      </w:r>
      <w:r w:rsidR="005702F0">
        <w:rPr>
          <w:rFonts w:cs="Arial"/>
        </w:rPr>
        <w:t xml:space="preserve">sought </w:t>
      </w:r>
      <w:r w:rsidR="00A52672">
        <w:rPr>
          <w:rFonts w:cs="Arial"/>
        </w:rPr>
        <w:t>on the indicative timeframes.</w:t>
      </w:r>
      <w:r w:rsidR="008C6615">
        <w:rPr>
          <w:rFonts w:cs="Arial"/>
        </w:rPr>
        <w:t xml:space="preserve"> It is worth noting that some refinements have been made to this timeline since the consultation paper was issued.  These changes are reflected in </w:t>
      </w:r>
      <w:r w:rsidR="008C6615">
        <w:rPr>
          <w:rFonts w:cs="Arial"/>
        </w:rPr>
        <w:fldChar w:fldCharType="begin"/>
      </w:r>
      <w:r w:rsidR="008C6615">
        <w:rPr>
          <w:rFonts w:cs="Arial"/>
        </w:rPr>
        <w:instrText xml:space="preserve"> REF _Ref490636402 \h </w:instrText>
      </w:r>
      <w:r w:rsidR="008C6615">
        <w:rPr>
          <w:rFonts w:cs="Arial"/>
        </w:rPr>
      </w:r>
      <w:r w:rsidR="008C6615">
        <w:rPr>
          <w:rFonts w:cs="Arial"/>
        </w:rPr>
        <w:fldChar w:fldCharType="separate"/>
      </w:r>
      <w:r w:rsidR="00761861">
        <w:t xml:space="preserve">Table </w:t>
      </w:r>
      <w:r w:rsidR="00761861">
        <w:rPr>
          <w:noProof/>
        </w:rPr>
        <w:t>5</w:t>
      </w:r>
      <w:r w:rsidR="00761861">
        <w:t>.</w:t>
      </w:r>
      <w:r w:rsidR="00761861">
        <w:rPr>
          <w:noProof/>
        </w:rPr>
        <w:t>3</w:t>
      </w:r>
      <w:r w:rsidR="008C6615">
        <w:rPr>
          <w:rFonts w:cs="Arial"/>
        </w:rPr>
        <w:fldChar w:fldCharType="end"/>
      </w:r>
      <w:r w:rsidR="008C6615">
        <w:rPr>
          <w:rFonts w:cs="Arial"/>
        </w:rPr>
        <w:t>.</w:t>
      </w:r>
    </w:p>
    <w:p w14:paraId="7CD8325A" w14:textId="77777777" w:rsidR="00446B58" w:rsidRDefault="00446B58" w:rsidP="004C2EDF">
      <w:pPr>
        <w:pStyle w:val="BodyText"/>
        <w:keepNext/>
        <w:rPr>
          <w:b/>
        </w:rPr>
      </w:pPr>
      <w:bookmarkStart w:id="165" w:name="_Ref491917343"/>
      <w:r w:rsidRPr="00446B58">
        <w:rPr>
          <w:b/>
        </w:rPr>
        <w:lastRenderedPageBreak/>
        <w:t xml:space="preserve">Figure </w:t>
      </w:r>
      <w:r w:rsidR="003C673F">
        <w:rPr>
          <w:b/>
        </w:rPr>
        <w:fldChar w:fldCharType="begin"/>
      </w:r>
      <w:r w:rsidR="003C673F">
        <w:rPr>
          <w:b/>
        </w:rPr>
        <w:instrText xml:space="preserve"> STYLEREF 1 \s </w:instrText>
      </w:r>
      <w:r w:rsidR="003C673F">
        <w:rPr>
          <w:b/>
        </w:rPr>
        <w:fldChar w:fldCharType="separate"/>
      </w:r>
      <w:r w:rsidR="00761861">
        <w:rPr>
          <w:b/>
          <w:noProof/>
        </w:rPr>
        <w:t>7</w:t>
      </w:r>
      <w:r w:rsidR="003C673F">
        <w:rPr>
          <w:b/>
        </w:rPr>
        <w:fldChar w:fldCharType="end"/>
      </w:r>
      <w:r w:rsidR="003C673F">
        <w:rPr>
          <w:b/>
        </w:rPr>
        <w:t>.</w:t>
      </w:r>
      <w:r w:rsidR="003C673F">
        <w:rPr>
          <w:b/>
        </w:rPr>
        <w:fldChar w:fldCharType="begin"/>
      </w:r>
      <w:r w:rsidR="003C673F">
        <w:rPr>
          <w:b/>
        </w:rPr>
        <w:instrText xml:space="preserve"> SEQ Figure \* ARABIC \s 1 </w:instrText>
      </w:r>
      <w:r w:rsidR="003C673F">
        <w:rPr>
          <w:b/>
        </w:rPr>
        <w:fldChar w:fldCharType="separate"/>
      </w:r>
      <w:r w:rsidR="00761861">
        <w:rPr>
          <w:b/>
          <w:noProof/>
        </w:rPr>
        <w:t>3</w:t>
      </w:r>
      <w:r w:rsidR="003C673F">
        <w:rPr>
          <w:b/>
        </w:rPr>
        <w:fldChar w:fldCharType="end"/>
      </w:r>
      <w:bookmarkEnd w:id="165"/>
      <w:r w:rsidRPr="00446B58">
        <w:rPr>
          <w:b/>
        </w:rPr>
        <w:t>: Illustrative D-1 timeline</w:t>
      </w:r>
    </w:p>
    <w:p w14:paraId="0D10B0B7" w14:textId="77777777" w:rsidR="00A52672" w:rsidRDefault="00A52672" w:rsidP="0076167D">
      <w:pPr>
        <w:pStyle w:val="BodyText"/>
        <w:rPr>
          <w:rFonts w:cs="Arial"/>
        </w:rPr>
      </w:pPr>
      <w:r>
        <w:rPr>
          <w:rStyle w:val="Bold"/>
          <w:noProof/>
        </w:rPr>
        <w:drawing>
          <wp:inline distT="0" distB="0" distL="0" distR="0" wp14:anchorId="2489A09B" wp14:editId="4EE32FCD">
            <wp:extent cx="5580380" cy="1809528"/>
            <wp:effectExtent l="0" t="0" r="1270" b="635"/>
            <wp:docPr id="16" name="Picture 16" descr="Illustrative D-1 timeline" title="Fig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580380" cy="1809528"/>
                    </a:xfrm>
                    <a:prstGeom prst="rect">
                      <a:avLst/>
                    </a:prstGeom>
                    <a:noFill/>
                  </pic:spPr>
                </pic:pic>
              </a:graphicData>
            </a:graphic>
          </wp:inline>
        </w:drawing>
      </w:r>
    </w:p>
    <w:p w14:paraId="5458266F" w14:textId="77777777" w:rsidR="00063820" w:rsidRDefault="00A52672" w:rsidP="0076167D">
      <w:pPr>
        <w:pStyle w:val="BodyText"/>
        <w:rPr>
          <w:rFonts w:cs="Arial"/>
        </w:rPr>
      </w:pPr>
      <w:r>
        <w:rPr>
          <w:rFonts w:cs="Arial"/>
        </w:rPr>
        <w:t>In the consultation paper, the GMRG noted that t</w:t>
      </w:r>
      <w:r w:rsidR="0076167D" w:rsidRPr="008B1B73">
        <w:rPr>
          <w:rFonts w:cs="Arial"/>
        </w:rPr>
        <w:t xml:space="preserve">he </w:t>
      </w:r>
      <w:r w:rsidR="00694F94">
        <w:rPr>
          <w:rFonts w:cs="Arial"/>
        </w:rPr>
        <w:t xml:space="preserve">capacity trading platform </w:t>
      </w:r>
      <w:r>
        <w:rPr>
          <w:rFonts w:cs="Arial"/>
        </w:rPr>
        <w:t xml:space="preserve">could </w:t>
      </w:r>
      <w:r w:rsidR="0076167D" w:rsidRPr="008B1B73">
        <w:rPr>
          <w:rFonts w:cs="Arial"/>
        </w:rPr>
        <w:t xml:space="preserve">be configured </w:t>
      </w:r>
      <w:r w:rsidR="00063820">
        <w:rPr>
          <w:rFonts w:cs="Arial"/>
        </w:rPr>
        <w:t xml:space="preserve">to enable the trade of day-ahead products to </w:t>
      </w:r>
      <w:r w:rsidR="004354FA">
        <w:rPr>
          <w:rFonts w:cs="Arial"/>
        </w:rPr>
        <w:t xml:space="preserve">close at </w:t>
      </w:r>
      <w:r w:rsidR="00063820">
        <w:rPr>
          <w:rFonts w:cs="Arial"/>
        </w:rPr>
        <w:t xml:space="preserve">either: </w:t>
      </w:r>
    </w:p>
    <w:p w14:paraId="54C754E1" w14:textId="77777777" w:rsidR="00063820" w:rsidRDefault="00063820" w:rsidP="004354FA">
      <w:pPr>
        <w:pStyle w:val="ListBullet"/>
      </w:pPr>
      <w:r>
        <w:t xml:space="preserve">a </w:t>
      </w:r>
      <w:r w:rsidR="004354FA">
        <w:t xml:space="preserve">uniform </w:t>
      </w:r>
      <w:r>
        <w:t xml:space="preserve">time </w:t>
      </w:r>
      <w:r w:rsidR="004354FA">
        <w:t xml:space="preserve">across all pipelines </w:t>
      </w:r>
      <w:r>
        <w:t>(e.g. 11 am); or</w:t>
      </w:r>
    </w:p>
    <w:p w14:paraId="7E100C6F" w14:textId="77777777" w:rsidR="004354FA" w:rsidRDefault="004354FA" w:rsidP="004354FA">
      <w:pPr>
        <w:pStyle w:val="ListBullet"/>
      </w:pPr>
      <w:proofErr w:type="gramStart"/>
      <w:r>
        <w:t>different</w:t>
      </w:r>
      <w:proofErr w:type="gramEnd"/>
      <w:r>
        <w:t xml:space="preserve"> times depending on the pipeline’s nomination cut-off time</w:t>
      </w:r>
      <w:r w:rsidR="0076167D" w:rsidRPr="008B1B73">
        <w:t xml:space="preserve">. </w:t>
      </w:r>
    </w:p>
    <w:p w14:paraId="48B9F037" w14:textId="77777777" w:rsidR="0076167D" w:rsidRPr="008B1B73" w:rsidRDefault="00A52672" w:rsidP="0076167D">
      <w:pPr>
        <w:pStyle w:val="BodyText"/>
      </w:pPr>
      <w:r>
        <w:rPr>
          <w:rFonts w:cs="Arial"/>
        </w:rPr>
        <w:t>It was also noted that w</w:t>
      </w:r>
      <w:r w:rsidR="004354FA">
        <w:rPr>
          <w:rFonts w:cs="Arial"/>
        </w:rPr>
        <w:t xml:space="preserve">hile </w:t>
      </w:r>
      <w:r w:rsidR="0076167D" w:rsidRPr="008B1B73">
        <w:rPr>
          <w:rFonts w:cs="Arial"/>
        </w:rPr>
        <w:t xml:space="preserve">different cut-off times for day-ahead products would provide participants with more flexibility, it might add to complexity for little additional benefit. </w:t>
      </w:r>
    </w:p>
    <w:p w14:paraId="20414B6B" w14:textId="77777777" w:rsidR="0076167D" w:rsidRDefault="0076167D" w:rsidP="0076167D">
      <w:pPr>
        <w:pStyle w:val="BodyText"/>
      </w:pPr>
      <w:r>
        <w:t>The GMR</w:t>
      </w:r>
      <w:r w:rsidR="00A52672">
        <w:t>G</w:t>
      </w:r>
      <w:r>
        <w:t xml:space="preserve"> </w:t>
      </w:r>
      <w:r w:rsidR="00A52672">
        <w:t xml:space="preserve">therefore proposed the adoption of a </w:t>
      </w:r>
      <w:r w:rsidR="004C2EDF">
        <w:t xml:space="preserve">uniform </w:t>
      </w:r>
      <w:r>
        <w:t>close of trading time</w:t>
      </w:r>
      <w:r w:rsidR="00A52672">
        <w:t xml:space="preserve">, but sought feedback from </w:t>
      </w:r>
      <w:r>
        <w:t>stakeh</w:t>
      </w:r>
      <w:r w:rsidR="00A52672">
        <w:t>olders</w:t>
      </w:r>
      <w:r>
        <w:t xml:space="preserve"> on </w:t>
      </w:r>
      <w:r w:rsidR="00A52672">
        <w:t>this option</w:t>
      </w:r>
      <w:r>
        <w:t>.</w:t>
      </w:r>
    </w:p>
    <w:p w14:paraId="03F70EC2" w14:textId="77777777" w:rsidR="00A52672" w:rsidRPr="004E791B" w:rsidRDefault="00A52672" w:rsidP="004E791B">
      <w:pPr>
        <w:pStyle w:val="Heading6"/>
        <w:spacing w:line="252" w:lineRule="auto"/>
        <w:rPr>
          <w:color w:val="0099CC"/>
        </w:rPr>
      </w:pPr>
      <w:r w:rsidRPr="004E791B">
        <w:rPr>
          <w:color w:val="0099CC"/>
        </w:rPr>
        <w:t xml:space="preserve">Feedback provided through the consultation process </w:t>
      </w:r>
    </w:p>
    <w:p w14:paraId="37FDD582" w14:textId="77777777" w:rsidR="00A52672" w:rsidRPr="00A52672" w:rsidRDefault="00A52672" w:rsidP="000D7FE8">
      <w:pPr>
        <w:pStyle w:val="BodyText"/>
        <w:keepNext/>
        <w:rPr>
          <w:rStyle w:val="Bold"/>
          <w:b w:val="0"/>
          <w:i/>
          <w:color w:val="0099CC"/>
        </w:rPr>
      </w:pPr>
      <w:r w:rsidRPr="00A52672">
        <w:rPr>
          <w:rStyle w:val="Bold"/>
          <w:b w:val="0"/>
          <w:i/>
          <w:color w:val="0099CC"/>
        </w:rPr>
        <w:t>Proposed timeframes for platform</w:t>
      </w:r>
    </w:p>
    <w:p w14:paraId="1FF4BC70" w14:textId="77777777" w:rsidR="00AA7482" w:rsidRDefault="00A52672" w:rsidP="00A52672">
      <w:pPr>
        <w:pStyle w:val="BodyText"/>
        <w:rPr>
          <w:rStyle w:val="Bold"/>
          <w:b w:val="0"/>
        </w:rPr>
      </w:pPr>
      <w:r w:rsidRPr="00A52672">
        <w:rPr>
          <w:rStyle w:val="Bold"/>
          <w:b w:val="0"/>
        </w:rPr>
        <w:t xml:space="preserve">Most </w:t>
      </w:r>
      <w:r w:rsidR="00694F94">
        <w:rPr>
          <w:rStyle w:val="Bold"/>
          <w:b w:val="0"/>
        </w:rPr>
        <w:t>shippers provided in principle support</w:t>
      </w:r>
      <w:r w:rsidRPr="00A52672">
        <w:rPr>
          <w:rStyle w:val="Bold"/>
          <w:b w:val="0"/>
        </w:rPr>
        <w:t xml:space="preserve"> </w:t>
      </w:r>
      <w:r w:rsidR="00694F94">
        <w:rPr>
          <w:rStyle w:val="Bold"/>
          <w:b w:val="0"/>
        </w:rPr>
        <w:t xml:space="preserve">for </w:t>
      </w:r>
      <w:r w:rsidR="005702F0">
        <w:rPr>
          <w:rStyle w:val="Bold"/>
          <w:b w:val="0"/>
        </w:rPr>
        <w:t xml:space="preserve">the </w:t>
      </w:r>
      <w:r w:rsidRPr="00A52672">
        <w:rPr>
          <w:rStyle w:val="Bold"/>
          <w:b w:val="0"/>
        </w:rPr>
        <w:t>proposed timeframes</w:t>
      </w:r>
      <w:r w:rsidR="00694F94">
        <w:rPr>
          <w:rStyle w:val="Bold"/>
          <w:b w:val="0"/>
        </w:rPr>
        <w:t>, although some questions were raised about the time at which particular activities are assumed to occur</w:t>
      </w:r>
      <w:r w:rsidRPr="00A52672">
        <w:rPr>
          <w:rStyle w:val="Bold"/>
          <w:b w:val="0"/>
        </w:rPr>
        <w:t xml:space="preserve">.  </w:t>
      </w:r>
      <w:proofErr w:type="spellStart"/>
      <w:r w:rsidRPr="00A52672">
        <w:rPr>
          <w:rStyle w:val="Bold"/>
          <w:b w:val="0"/>
        </w:rPr>
        <w:t>EnergyAustralia</w:t>
      </w:r>
      <w:proofErr w:type="spellEnd"/>
      <w:r w:rsidRPr="00A52672">
        <w:rPr>
          <w:rStyle w:val="Bold"/>
          <w:b w:val="0"/>
        </w:rPr>
        <w:t xml:space="preserve"> and AGL </w:t>
      </w:r>
      <w:r w:rsidR="00694F94">
        <w:rPr>
          <w:rStyle w:val="Bold"/>
          <w:b w:val="0"/>
        </w:rPr>
        <w:t xml:space="preserve">for example, </w:t>
      </w:r>
      <w:r w:rsidR="005702F0">
        <w:rPr>
          <w:rStyle w:val="Bold"/>
          <w:b w:val="0"/>
        </w:rPr>
        <w:t>stated</w:t>
      </w:r>
      <w:r w:rsidRPr="00A52672">
        <w:rPr>
          <w:rStyle w:val="Bold"/>
          <w:b w:val="0"/>
        </w:rPr>
        <w:t xml:space="preserve"> the timings </w:t>
      </w:r>
      <w:r w:rsidR="008C6615">
        <w:rPr>
          <w:rStyle w:val="Bold"/>
          <w:b w:val="0"/>
        </w:rPr>
        <w:t xml:space="preserve">set out </w:t>
      </w:r>
      <w:r w:rsidR="008C6615" w:rsidRPr="008C6615">
        <w:rPr>
          <w:rStyle w:val="Bold"/>
          <w:b w:val="0"/>
        </w:rPr>
        <w:t>in</w:t>
      </w:r>
      <w:r w:rsidR="008C6615" w:rsidRPr="008C6615">
        <w:rPr>
          <w:rStyle w:val="Bold"/>
        </w:rPr>
        <w:t xml:space="preserve"> </w:t>
      </w:r>
      <w:r w:rsidR="008C6615" w:rsidRPr="008C6615">
        <w:rPr>
          <w:rStyle w:val="Bold"/>
        </w:rPr>
        <w:fldChar w:fldCharType="begin"/>
      </w:r>
      <w:r w:rsidR="008C6615" w:rsidRPr="008C6615">
        <w:rPr>
          <w:rStyle w:val="Bold"/>
        </w:rPr>
        <w:instrText xml:space="preserve"> REF _Ref491917343 \h </w:instrText>
      </w:r>
      <w:r w:rsidR="008C6615">
        <w:rPr>
          <w:rStyle w:val="Bold"/>
        </w:rPr>
        <w:instrText xml:space="preserve"> \* MERGEFORMAT </w:instrText>
      </w:r>
      <w:r w:rsidR="008C6615" w:rsidRPr="008C6615">
        <w:rPr>
          <w:rStyle w:val="Bold"/>
        </w:rPr>
      </w:r>
      <w:r w:rsidR="008C6615" w:rsidRPr="008C6615">
        <w:rPr>
          <w:rStyle w:val="Bold"/>
        </w:rPr>
        <w:fldChar w:fldCharType="separate"/>
      </w:r>
      <w:r w:rsidR="00761861" w:rsidRPr="00761861">
        <w:t xml:space="preserve">Figure </w:t>
      </w:r>
      <w:r w:rsidR="00761861" w:rsidRPr="00761861">
        <w:rPr>
          <w:noProof/>
        </w:rPr>
        <w:t>7.3</w:t>
      </w:r>
      <w:r w:rsidR="008C6615" w:rsidRPr="008C6615">
        <w:rPr>
          <w:rStyle w:val="Bold"/>
        </w:rPr>
        <w:fldChar w:fldCharType="end"/>
      </w:r>
      <w:r w:rsidR="008C6615">
        <w:rPr>
          <w:rStyle w:val="Bold"/>
          <w:b w:val="0"/>
        </w:rPr>
        <w:t xml:space="preserve"> </w:t>
      </w:r>
      <w:r w:rsidRPr="00A52672">
        <w:rPr>
          <w:rStyle w:val="Bold"/>
          <w:b w:val="0"/>
        </w:rPr>
        <w:t>seem</w:t>
      </w:r>
      <w:r w:rsidR="008C6615">
        <w:rPr>
          <w:rStyle w:val="Bold"/>
          <w:b w:val="0"/>
        </w:rPr>
        <w:t>ed appropriate, although AGL supported</w:t>
      </w:r>
      <w:r w:rsidRPr="00A52672">
        <w:rPr>
          <w:rStyle w:val="Bold"/>
          <w:b w:val="0"/>
        </w:rPr>
        <w:t xml:space="preserve"> </w:t>
      </w:r>
      <w:r w:rsidR="008C6615">
        <w:rPr>
          <w:rStyle w:val="Bold"/>
          <w:b w:val="0"/>
        </w:rPr>
        <w:t xml:space="preserve">a </w:t>
      </w:r>
      <w:r w:rsidRPr="00A52672">
        <w:rPr>
          <w:rStyle w:val="Bold"/>
          <w:b w:val="0"/>
        </w:rPr>
        <w:t xml:space="preserve">shortening </w:t>
      </w:r>
      <w:r w:rsidR="008C6615">
        <w:rPr>
          <w:rStyle w:val="Bold"/>
          <w:b w:val="0"/>
        </w:rPr>
        <w:t xml:space="preserve">of the trading period for day-ahead products because there are </w:t>
      </w:r>
      <w:r w:rsidRPr="00A52672">
        <w:rPr>
          <w:rStyle w:val="Bold"/>
          <w:b w:val="0"/>
        </w:rPr>
        <w:t>few options to source gas after 3</w:t>
      </w:r>
      <w:r w:rsidR="008C6615">
        <w:rPr>
          <w:rStyle w:val="Bold"/>
          <w:b w:val="0"/>
        </w:rPr>
        <w:t xml:space="preserve"> </w:t>
      </w:r>
      <w:r w:rsidRPr="00A52672">
        <w:rPr>
          <w:rStyle w:val="Bold"/>
          <w:b w:val="0"/>
        </w:rPr>
        <w:t>pm for the next day (Wallumbilla and the DWGM being two exceptions).</w:t>
      </w:r>
      <w:r w:rsidR="00AA7482">
        <w:rPr>
          <w:rStyle w:val="Bold"/>
          <w:b w:val="0"/>
        </w:rPr>
        <w:t xml:space="preserve"> </w:t>
      </w:r>
      <w:r w:rsidRPr="00A52672">
        <w:rPr>
          <w:rStyle w:val="Bold"/>
          <w:b w:val="0"/>
        </w:rPr>
        <w:t>Stanwell</w:t>
      </w:r>
      <w:r w:rsidR="008C6615">
        <w:rPr>
          <w:rStyle w:val="Bold"/>
          <w:b w:val="0"/>
        </w:rPr>
        <w:t xml:space="preserve">, on the other hand, </w:t>
      </w:r>
      <w:r w:rsidR="005702F0">
        <w:rPr>
          <w:rStyle w:val="Bold"/>
          <w:b w:val="0"/>
        </w:rPr>
        <w:t>was of the view</w:t>
      </w:r>
      <w:r w:rsidR="008C6615">
        <w:rPr>
          <w:rStyle w:val="Bold"/>
          <w:b w:val="0"/>
        </w:rPr>
        <w:t xml:space="preserve"> that an 11 am cut-off for the trading of day-ahead products was too early </w:t>
      </w:r>
      <w:r w:rsidR="00AA7482">
        <w:rPr>
          <w:rStyle w:val="Bold"/>
          <w:b w:val="0"/>
        </w:rPr>
        <w:t xml:space="preserve">and suggested that further consideration be given to whether: </w:t>
      </w:r>
    </w:p>
    <w:p w14:paraId="0AEDD0DC" w14:textId="77777777" w:rsidR="00AA7482" w:rsidRDefault="00AA7482" w:rsidP="00AA7482">
      <w:pPr>
        <w:pStyle w:val="ListBullet"/>
        <w:rPr>
          <w:rStyle w:val="Bold"/>
          <w:b w:val="0"/>
        </w:rPr>
      </w:pPr>
      <w:r>
        <w:rPr>
          <w:rStyle w:val="Bold"/>
          <w:b w:val="0"/>
        </w:rPr>
        <w:t xml:space="preserve">service providers require </w:t>
      </w:r>
      <w:r w:rsidR="00A52672" w:rsidRPr="00A52672">
        <w:rPr>
          <w:rStyle w:val="Bold"/>
          <w:b w:val="0"/>
        </w:rPr>
        <w:t>3</w:t>
      </w:r>
      <w:r>
        <w:rPr>
          <w:rStyle w:val="Bold"/>
          <w:b w:val="0"/>
        </w:rPr>
        <w:t xml:space="preserve">.75 hours </w:t>
      </w:r>
      <w:r w:rsidR="00A52672" w:rsidRPr="00A52672">
        <w:rPr>
          <w:rStyle w:val="Bold"/>
          <w:b w:val="0"/>
        </w:rPr>
        <w:t>to transfer capacity</w:t>
      </w:r>
      <w:r>
        <w:rPr>
          <w:rStyle w:val="Bold"/>
          <w:b w:val="0"/>
        </w:rPr>
        <w:t>; or</w:t>
      </w:r>
    </w:p>
    <w:p w14:paraId="607235ED" w14:textId="77777777" w:rsidR="00AA7482" w:rsidRDefault="00AA7482" w:rsidP="00AA7482">
      <w:pPr>
        <w:pStyle w:val="ListBullet"/>
        <w:rPr>
          <w:rStyle w:val="Bold"/>
          <w:b w:val="0"/>
        </w:rPr>
      </w:pPr>
      <w:proofErr w:type="gramStart"/>
      <w:r w:rsidRPr="00A52672">
        <w:rPr>
          <w:rStyle w:val="Bold"/>
          <w:b w:val="0"/>
        </w:rPr>
        <w:t>service</w:t>
      </w:r>
      <w:proofErr w:type="gramEnd"/>
      <w:r w:rsidRPr="00A52672">
        <w:rPr>
          <w:rStyle w:val="Bold"/>
          <w:b w:val="0"/>
        </w:rPr>
        <w:t xml:space="preserve"> providers </w:t>
      </w:r>
      <w:r>
        <w:rPr>
          <w:rStyle w:val="Bold"/>
          <w:b w:val="0"/>
        </w:rPr>
        <w:t xml:space="preserve">could be provided more time </w:t>
      </w:r>
      <w:r w:rsidRPr="00A52672">
        <w:rPr>
          <w:rStyle w:val="Bold"/>
          <w:b w:val="0"/>
        </w:rPr>
        <w:t>to update capacity</w:t>
      </w:r>
      <w:r>
        <w:rPr>
          <w:rStyle w:val="Bold"/>
          <w:b w:val="0"/>
        </w:rPr>
        <w:t xml:space="preserve"> on a day-ahead basis</w:t>
      </w:r>
      <w:r w:rsidRPr="00A52672">
        <w:rPr>
          <w:rStyle w:val="Bold"/>
          <w:b w:val="0"/>
        </w:rPr>
        <w:t xml:space="preserve">, </w:t>
      </w:r>
      <w:r>
        <w:rPr>
          <w:rStyle w:val="Bold"/>
          <w:b w:val="0"/>
        </w:rPr>
        <w:t xml:space="preserve">by being </w:t>
      </w:r>
      <w:r w:rsidRPr="00A52672">
        <w:rPr>
          <w:rStyle w:val="Bold"/>
          <w:b w:val="0"/>
        </w:rPr>
        <w:t>sent the capacity trades as they occur rather than waiting for a daily report from AEMO</w:t>
      </w:r>
      <w:r>
        <w:rPr>
          <w:rStyle w:val="Bold"/>
          <w:b w:val="0"/>
        </w:rPr>
        <w:t>.</w:t>
      </w:r>
    </w:p>
    <w:p w14:paraId="188BB32C" w14:textId="77777777" w:rsidR="00A52672" w:rsidRPr="00A52672" w:rsidRDefault="00AA7482" w:rsidP="00A52672">
      <w:pPr>
        <w:pStyle w:val="BodyText"/>
        <w:rPr>
          <w:rStyle w:val="Bold"/>
          <w:b w:val="0"/>
        </w:rPr>
      </w:pPr>
      <w:r w:rsidRPr="00AA7482">
        <w:t xml:space="preserve">APLNG </w:t>
      </w:r>
      <w:r>
        <w:t xml:space="preserve">also questioned whether service providers require 3.75 hours to transfer capacity. </w:t>
      </w:r>
    </w:p>
    <w:p w14:paraId="42654BF1" w14:textId="77777777" w:rsidR="00A52672" w:rsidRPr="00A52672" w:rsidRDefault="00A52672" w:rsidP="00A52672">
      <w:pPr>
        <w:pStyle w:val="BodyText"/>
        <w:rPr>
          <w:rStyle w:val="Bold"/>
          <w:b w:val="0"/>
        </w:rPr>
      </w:pPr>
      <w:r w:rsidRPr="00A52672">
        <w:rPr>
          <w:rStyle w:val="Bold"/>
          <w:b w:val="0"/>
        </w:rPr>
        <w:t xml:space="preserve">Shell </w:t>
      </w:r>
      <w:r w:rsidR="005702F0">
        <w:rPr>
          <w:rStyle w:val="Bold"/>
          <w:b w:val="0"/>
        </w:rPr>
        <w:t xml:space="preserve">suggested </w:t>
      </w:r>
      <w:r w:rsidRPr="00A52672">
        <w:rPr>
          <w:rStyle w:val="Bold"/>
          <w:b w:val="0"/>
        </w:rPr>
        <w:t xml:space="preserve">nomination cut-off times </w:t>
      </w:r>
      <w:r w:rsidR="00AA7482">
        <w:rPr>
          <w:rStyle w:val="Bold"/>
          <w:b w:val="0"/>
        </w:rPr>
        <w:t xml:space="preserve">be </w:t>
      </w:r>
      <w:r w:rsidRPr="00A52672">
        <w:rPr>
          <w:rStyle w:val="Bold"/>
          <w:b w:val="0"/>
        </w:rPr>
        <w:t xml:space="preserve">brought forward to enable the </w:t>
      </w:r>
      <w:r w:rsidR="00AA7482">
        <w:rPr>
          <w:rStyle w:val="Bold"/>
          <w:b w:val="0"/>
        </w:rPr>
        <w:t>day-a</w:t>
      </w:r>
      <w:r w:rsidRPr="00A52672">
        <w:rPr>
          <w:rStyle w:val="Bold"/>
          <w:b w:val="0"/>
        </w:rPr>
        <w:t xml:space="preserve">head </w:t>
      </w:r>
      <w:r w:rsidR="00AA7482">
        <w:rPr>
          <w:rStyle w:val="Bold"/>
          <w:b w:val="0"/>
        </w:rPr>
        <w:t>a</w:t>
      </w:r>
      <w:r w:rsidRPr="00A52672">
        <w:rPr>
          <w:rStyle w:val="Bold"/>
          <w:b w:val="0"/>
        </w:rPr>
        <w:t xml:space="preserve">uction to be </w:t>
      </w:r>
      <w:r w:rsidR="00AA7482">
        <w:rPr>
          <w:rStyle w:val="Bold"/>
          <w:b w:val="0"/>
        </w:rPr>
        <w:t xml:space="preserve">conducted </w:t>
      </w:r>
      <w:r w:rsidRPr="00A52672">
        <w:rPr>
          <w:rStyle w:val="Bold"/>
          <w:b w:val="0"/>
        </w:rPr>
        <w:t>earlier in the day</w:t>
      </w:r>
      <w:r w:rsidR="00AA7482">
        <w:rPr>
          <w:rStyle w:val="Bold"/>
          <w:b w:val="0"/>
        </w:rPr>
        <w:t xml:space="preserve">, but suggested that </w:t>
      </w:r>
      <w:r w:rsidRPr="00A52672">
        <w:rPr>
          <w:rStyle w:val="Bold"/>
          <w:b w:val="0"/>
        </w:rPr>
        <w:t xml:space="preserve">further industry consultation </w:t>
      </w:r>
      <w:r w:rsidR="00AA7482">
        <w:rPr>
          <w:rStyle w:val="Bold"/>
          <w:b w:val="0"/>
        </w:rPr>
        <w:t xml:space="preserve">may be </w:t>
      </w:r>
      <w:r w:rsidRPr="00A52672">
        <w:rPr>
          <w:rStyle w:val="Bold"/>
          <w:b w:val="0"/>
        </w:rPr>
        <w:t>necessary to determine an appropriate time.</w:t>
      </w:r>
    </w:p>
    <w:p w14:paraId="431F35CA" w14:textId="77777777" w:rsidR="00A52672" w:rsidRPr="00A52672" w:rsidRDefault="00AA7482" w:rsidP="00A52672">
      <w:pPr>
        <w:pStyle w:val="BodyText"/>
        <w:rPr>
          <w:rStyle w:val="Bold"/>
          <w:b w:val="0"/>
        </w:rPr>
      </w:pPr>
      <w:r>
        <w:rPr>
          <w:rStyle w:val="Bold"/>
          <w:b w:val="0"/>
        </w:rPr>
        <w:t xml:space="preserve">Service providers raised </w:t>
      </w:r>
      <w:r w:rsidR="000D7FE8">
        <w:rPr>
          <w:rStyle w:val="Bold"/>
          <w:b w:val="0"/>
        </w:rPr>
        <w:t xml:space="preserve">some </w:t>
      </w:r>
      <w:r>
        <w:rPr>
          <w:rStyle w:val="Bold"/>
          <w:b w:val="0"/>
        </w:rPr>
        <w:t xml:space="preserve">concerns </w:t>
      </w:r>
      <w:r w:rsidR="000D7FE8">
        <w:rPr>
          <w:rStyle w:val="Bold"/>
          <w:b w:val="0"/>
        </w:rPr>
        <w:t xml:space="preserve">with </w:t>
      </w:r>
      <w:r>
        <w:rPr>
          <w:rStyle w:val="Bold"/>
          <w:b w:val="0"/>
        </w:rPr>
        <w:t xml:space="preserve">the timing assumed for the provision of information on auction capacity, with a number of service providers noting that one </w:t>
      </w:r>
      <w:r w:rsidR="00A52672" w:rsidRPr="00A52672">
        <w:rPr>
          <w:rStyle w:val="Bold"/>
          <w:b w:val="0"/>
        </w:rPr>
        <w:t xml:space="preserve">hour </w:t>
      </w:r>
      <w:r w:rsidR="00A52672" w:rsidRPr="00A52672">
        <w:rPr>
          <w:rStyle w:val="Bold"/>
          <w:b w:val="0"/>
        </w:rPr>
        <w:lastRenderedPageBreak/>
        <w:t xml:space="preserve">would be </w:t>
      </w:r>
      <w:r>
        <w:rPr>
          <w:rStyle w:val="Bold"/>
          <w:b w:val="0"/>
        </w:rPr>
        <w:t>in</w:t>
      </w:r>
      <w:r w:rsidR="00A52672" w:rsidRPr="00A52672">
        <w:rPr>
          <w:rStyle w:val="Bold"/>
          <w:b w:val="0"/>
        </w:rPr>
        <w:t xml:space="preserve">sufficient </w:t>
      </w:r>
      <w:r>
        <w:rPr>
          <w:rStyle w:val="Bold"/>
          <w:b w:val="0"/>
        </w:rPr>
        <w:t xml:space="preserve">to carry out the scheduling and determine auction quantities. </w:t>
      </w:r>
      <w:r w:rsidR="00A52672" w:rsidRPr="00A52672">
        <w:rPr>
          <w:rStyle w:val="Bold"/>
          <w:b w:val="0"/>
        </w:rPr>
        <w:t xml:space="preserve">APA </w:t>
      </w:r>
      <w:r>
        <w:rPr>
          <w:rStyle w:val="Bold"/>
          <w:b w:val="0"/>
        </w:rPr>
        <w:t xml:space="preserve">noted </w:t>
      </w:r>
      <w:r w:rsidR="00A52672" w:rsidRPr="00A52672">
        <w:rPr>
          <w:rStyle w:val="Bold"/>
          <w:b w:val="0"/>
        </w:rPr>
        <w:t xml:space="preserve">that a period of </w:t>
      </w:r>
      <w:r>
        <w:rPr>
          <w:rStyle w:val="Bold"/>
          <w:b w:val="0"/>
        </w:rPr>
        <w:t xml:space="preserve">at least </w:t>
      </w:r>
      <w:r w:rsidR="00A52672" w:rsidRPr="00A52672">
        <w:rPr>
          <w:rStyle w:val="Bold"/>
          <w:b w:val="0"/>
        </w:rPr>
        <w:t xml:space="preserve">two hours would be </w:t>
      </w:r>
      <w:r>
        <w:rPr>
          <w:rStyle w:val="Bold"/>
          <w:b w:val="0"/>
        </w:rPr>
        <w:t xml:space="preserve">required </w:t>
      </w:r>
      <w:r w:rsidR="00A52672" w:rsidRPr="00A52672">
        <w:rPr>
          <w:rStyle w:val="Bold"/>
          <w:b w:val="0"/>
        </w:rPr>
        <w:t>given the time scheduling currently takes and the additional complexity introduced by the capacity calculation, validation and data transfer process.</w:t>
      </w:r>
      <w:r w:rsidR="000D7FE8">
        <w:rPr>
          <w:rStyle w:val="Bold"/>
          <w:b w:val="0"/>
        </w:rPr>
        <w:t xml:space="preserve"> </w:t>
      </w:r>
      <w:r w:rsidR="00A52672" w:rsidRPr="00A52672">
        <w:rPr>
          <w:rStyle w:val="Bold"/>
          <w:b w:val="0"/>
        </w:rPr>
        <w:t xml:space="preserve">Jemena also </w:t>
      </w:r>
      <w:r w:rsidR="000D7FE8">
        <w:rPr>
          <w:rStyle w:val="Bold"/>
          <w:b w:val="0"/>
        </w:rPr>
        <w:t xml:space="preserve">noted the proposed timing </w:t>
      </w:r>
      <w:r w:rsidR="00A52672" w:rsidRPr="00A52672">
        <w:rPr>
          <w:rStyle w:val="Bold"/>
          <w:b w:val="0"/>
        </w:rPr>
        <w:t xml:space="preserve">may </w:t>
      </w:r>
      <w:r w:rsidR="000D7FE8">
        <w:rPr>
          <w:rStyle w:val="Bold"/>
          <w:b w:val="0"/>
        </w:rPr>
        <w:t xml:space="preserve">provide service providers </w:t>
      </w:r>
      <w:r w:rsidR="00A52672" w:rsidRPr="00A52672">
        <w:rPr>
          <w:rStyle w:val="Bold"/>
          <w:b w:val="0"/>
        </w:rPr>
        <w:t>very little time to set up the pipeline for operation the following gas day</w:t>
      </w:r>
      <w:r w:rsidR="000D7FE8">
        <w:rPr>
          <w:rStyle w:val="Bold"/>
          <w:b w:val="0"/>
        </w:rPr>
        <w:t>,</w:t>
      </w:r>
      <w:r w:rsidR="00A52672" w:rsidRPr="00A52672">
        <w:rPr>
          <w:rStyle w:val="Bold"/>
          <w:b w:val="0"/>
        </w:rPr>
        <w:t xml:space="preserve"> which has the potential to impact security of supply. It </w:t>
      </w:r>
      <w:r w:rsidR="000D7FE8">
        <w:rPr>
          <w:rStyle w:val="Bold"/>
          <w:b w:val="0"/>
        </w:rPr>
        <w:t xml:space="preserve">also expressed some </w:t>
      </w:r>
      <w:r w:rsidR="00A52672" w:rsidRPr="00A52672">
        <w:rPr>
          <w:rStyle w:val="Bold"/>
          <w:b w:val="0"/>
        </w:rPr>
        <w:t xml:space="preserve">concerns </w:t>
      </w:r>
      <w:r w:rsidR="000D7FE8">
        <w:rPr>
          <w:rStyle w:val="Bold"/>
          <w:b w:val="0"/>
        </w:rPr>
        <w:t xml:space="preserve">about </w:t>
      </w:r>
      <w:r w:rsidR="00A52672" w:rsidRPr="00A52672">
        <w:rPr>
          <w:rStyle w:val="Bold"/>
          <w:b w:val="0"/>
        </w:rPr>
        <w:t xml:space="preserve">D-1 trading </w:t>
      </w:r>
      <w:r w:rsidR="000D7FE8">
        <w:rPr>
          <w:rStyle w:val="Bold"/>
          <w:b w:val="0"/>
        </w:rPr>
        <w:t>compromising</w:t>
      </w:r>
      <w:r w:rsidR="00A52672" w:rsidRPr="00A52672">
        <w:rPr>
          <w:rStyle w:val="Bold"/>
          <w:b w:val="0"/>
        </w:rPr>
        <w:t xml:space="preserve"> the ability to </w:t>
      </w:r>
      <w:r w:rsidR="000D7FE8">
        <w:rPr>
          <w:rStyle w:val="Bold"/>
          <w:b w:val="0"/>
        </w:rPr>
        <w:t xml:space="preserve">develop </w:t>
      </w:r>
      <w:r w:rsidR="00A52672" w:rsidRPr="00A52672">
        <w:rPr>
          <w:rStyle w:val="Bold"/>
          <w:b w:val="0"/>
        </w:rPr>
        <w:t>accurate pipeline flow forecasts.</w:t>
      </w:r>
    </w:p>
    <w:p w14:paraId="1F5F6D09" w14:textId="77777777" w:rsidR="00A52672" w:rsidRPr="00A52672" w:rsidRDefault="00A52672" w:rsidP="00A52672">
      <w:pPr>
        <w:pStyle w:val="BodyText"/>
        <w:rPr>
          <w:rStyle w:val="Bold"/>
          <w:b w:val="0"/>
        </w:rPr>
      </w:pPr>
      <w:r w:rsidRPr="00A52672">
        <w:rPr>
          <w:rStyle w:val="Bold"/>
          <w:b w:val="0"/>
        </w:rPr>
        <w:t>Epic</w:t>
      </w:r>
      <w:r w:rsidR="000D7FE8">
        <w:rPr>
          <w:rStyle w:val="Bold"/>
          <w:b w:val="0"/>
        </w:rPr>
        <w:t xml:space="preserve">, on the other hand, thought </w:t>
      </w:r>
      <w:r w:rsidRPr="00A52672">
        <w:rPr>
          <w:rStyle w:val="Bold"/>
          <w:b w:val="0"/>
        </w:rPr>
        <w:t xml:space="preserve">the proposed timings </w:t>
      </w:r>
      <w:r w:rsidR="000D7FE8">
        <w:rPr>
          <w:rStyle w:val="Bold"/>
          <w:b w:val="0"/>
        </w:rPr>
        <w:t xml:space="preserve">were </w:t>
      </w:r>
      <w:r w:rsidRPr="00A52672">
        <w:rPr>
          <w:rStyle w:val="Bold"/>
          <w:b w:val="0"/>
        </w:rPr>
        <w:t xml:space="preserve">acceptable although they would have to adjust them slightly to align with </w:t>
      </w:r>
      <w:r w:rsidR="000D7FE8">
        <w:rPr>
          <w:rStyle w:val="Bold"/>
          <w:b w:val="0"/>
        </w:rPr>
        <w:t xml:space="preserve">their </w:t>
      </w:r>
      <w:r w:rsidRPr="00A52672">
        <w:rPr>
          <w:rStyle w:val="Bold"/>
          <w:b w:val="0"/>
        </w:rPr>
        <w:t xml:space="preserve">nomination cut off times. </w:t>
      </w:r>
      <w:r w:rsidR="005702F0">
        <w:rPr>
          <w:rStyle w:val="Bold"/>
          <w:b w:val="0"/>
        </w:rPr>
        <w:t xml:space="preserve">Epic was of the view that a minimum of </w:t>
      </w:r>
      <w:r w:rsidRPr="00A52672">
        <w:rPr>
          <w:rStyle w:val="Bold"/>
          <w:b w:val="0"/>
        </w:rPr>
        <w:t>one hour should be provided between when a set of data becomes available and any expectation for a service provider to execute an action based on that data.</w:t>
      </w:r>
    </w:p>
    <w:p w14:paraId="2AE6C644" w14:textId="77777777" w:rsidR="00A52672" w:rsidRPr="00A52672" w:rsidRDefault="000D7FE8" w:rsidP="000D7FE8">
      <w:pPr>
        <w:pStyle w:val="BodyText"/>
        <w:keepNext/>
        <w:rPr>
          <w:rStyle w:val="Bold"/>
          <w:b w:val="0"/>
          <w:i/>
          <w:color w:val="0099CC"/>
        </w:rPr>
      </w:pPr>
      <w:r>
        <w:rPr>
          <w:rStyle w:val="Bold"/>
          <w:b w:val="0"/>
          <w:i/>
          <w:color w:val="0099CC"/>
        </w:rPr>
        <w:t>Trading period for day-ahead products</w:t>
      </w:r>
    </w:p>
    <w:p w14:paraId="7250E9EE" w14:textId="77777777" w:rsidR="00A52672" w:rsidRPr="00A52672" w:rsidRDefault="00A52672" w:rsidP="00A52672">
      <w:pPr>
        <w:pStyle w:val="BodyText"/>
        <w:rPr>
          <w:rStyle w:val="Bold"/>
          <w:b w:val="0"/>
        </w:rPr>
      </w:pPr>
      <w:r w:rsidRPr="00A52672">
        <w:rPr>
          <w:rStyle w:val="Bold"/>
          <w:b w:val="0"/>
        </w:rPr>
        <w:t xml:space="preserve">While most shippers supported the adoption of a uniform trading time, Shell and Stanwell stated that they would prefer the </w:t>
      </w:r>
      <w:r w:rsidR="000D7FE8">
        <w:rPr>
          <w:rStyle w:val="Bold"/>
          <w:b w:val="0"/>
        </w:rPr>
        <w:t xml:space="preserve">close of trade to </w:t>
      </w:r>
      <w:r w:rsidRPr="00A52672">
        <w:rPr>
          <w:rStyle w:val="Bold"/>
          <w:b w:val="0"/>
        </w:rPr>
        <w:t xml:space="preserve">be linked to </w:t>
      </w:r>
      <w:r w:rsidR="000D7FE8">
        <w:rPr>
          <w:rStyle w:val="Bold"/>
          <w:b w:val="0"/>
        </w:rPr>
        <w:t xml:space="preserve">the </w:t>
      </w:r>
      <w:r w:rsidRPr="00A52672">
        <w:rPr>
          <w:rStyle w:val="Bold"/>
          <w:b w:val="0"/>
        </w:rPr>
        <w:t>nomination</w:t>
      </w:r>
      <w:r w:rsidR="000D7FE8">
        <w:rPr>
          <w:rStyle w:val="Bold"/>
          <w:b w:val="0"/>
        </w:rPr>
        <w:t xml:space="preserve"> cut-off</w:t>
      </w:r>
      <w:r w:rsidRPr="00A52672">
        <w:rPr>
          <w:rStyle w:val="Bold"/>
          <w:b w:val="0"/>
        </w:rPr>
        <w:t xml:space="preserve"> time for each pipeline to allow shippers additional time to trade on the platform.  </w:t>
      </w:r>
      <w:r w:rsidR="000D7FE8">
        <w:rPr>
          <w:rStyle w:val="Bold"/>
          <w:b w:val="0"/>
        </w:rPr>
        <w:t xml:space="preserve">Shell and Stanwell stated that this was </w:t>
      </w:r>
      <w:r w:rsidRPr="00A52672">
        <w:rPr>
          <w:rStyle w:val="Bold"/>
          <w:b w:val="0"/>
        </w:rPr>
        <w:t xml:space="preserve">consistent with the objectives of </w:t>
      </w:r>
      <w:r w:rsidR="000D7FE8">
        <w:rPr>
          <w:rStyle w:val="Bold"/>
          <w:b w:val="0"/>
        </w:rPr>
        <w:t>encouraging</w:t>
      </w:r>
      <w:r w:rsidRPr="00A52672">
        <w:rPr>
          <w:rStyle w:val="Bold"/>
          <w:b w:val="0"/>
        </w:rPr>
        <w:t xml:space="preserve"> trade </w:t>
      </w:r>
      <w:r w:rsidR="000D7FE8">
        <w:rPr>
          <w:rStyle w:val="Bold"/>
          <w:b w:val="0"/>
        </w:rPr>
        <w:t xml:space="preserve">to occur </w:t>
      </w:r>
      <w:r w:rsidRPr="00A52672">
        <w:rPr>
          <w:rStyle w:val="Bold"/>
          <w:b w:val="0"/>
        </w:rPr>
        <w:t xml:space="preserve">ahead of the </w:t>
      </w:r>
      <w:r w:rsidR="000D7FE8">
        <w:rPr>
          <w:rStyle w:val="Bold"/>
          <w:b w:val="0"/>
        </w:rPr>
        <w:t>day-a</w:t>
      </w:r>
      <w:r w:rsidRPr="00A52672">
        <w:rPr>
          <w:rStyle w:val="Bold"/>
          <w:b w:val="0"/>
        </w:rPr>
        <w:t xml:space="preserve">head </w:t>
      </w:r>
      <w:r w:rsidR="000D7FE8">
        <w:rPr>
          <w:rStyle w:val="Bold"/>
          <w:b w:val="0"/>
        </w:rPr>
        <w:t>auction</w:t>
      </w:r>
      <w:r w:rsidRPr="00A52672">
        <w:rPr>
          <w:rStyle w:val="Bold"/>
          <w:b w:val="0"/>
        </w:rPr>
        <w:t xml:space="preserve">.  </w:t>
      </w:r>
      <w:r w:rsidR="000D7FE8">
        <w:rPr>
          <w:rStyle w:val="Bold"/>
          <w:b w:val="0"/>
        </w:rPr>
        <w:t xml:space="preserve">Stanwell went on to add </w:t>
      </w:r>
      <w:r w:rsidRPr="00A52672">
        <w:rPr>
          <w:rStyle w:val="Bold"/>
          <w:b w:val="0"/>
        </w:rPr>
        <w:t xml:space="preserve">that traders already deal with different times and allowing this for capacity products </w:t>
      </w:r>
      <w:r w:rsidR="000D7FE8">
        <w:rPr>
          <w:rStyle w:val="Bold"/>
          <w:b w:val="0"/>
        </w:rPr>
        <w:t xml:space="preserve">would provide </w:t>
      </w:r>
      <w:r w:rsidRPr="00A52672">
        <w:rPr>
          <w:rStyle w:val="Bold"/>
          <w:b w:val="0"/>
        </w:rPr>
        <w:t xml:space="preserve">traders additional flexibility. </w:t>
      </w:r>
    </w:p>
    <w:p w14:paraId="252B3763" w14:textId="77777777" w:rsidR="00A52672" w:rsidRPr="00A52672" w:rsidRDefault="00A52672" w:rsidP="00A52672">
      <w:pPr>
        <w:pStyle w:val="BodyText"/>
        <w:rPr>
          <w:rStyle w:val="Bold"/>
          <w:b w:val="0"/>
        </w:rPr>
      </w:pPr>
      <w:r w:rsidRPr="00A52672">
        <w:rPr>
          <w:rStyle w:val="Bold"/>
          <w:b w:val="0"/>
        </w:rPr>
        <w:t>Some service providers also raised concerns with introducing a uniform trading time</w:t>
      </w:r>
      <w:r w:rsidR="000D7FE8">
        <w:rPr>
          <w:rStyle w:val="Bold"/>
          <w:b w:val="0"/>
        </w:rPr>
        <w:t xml:space="preserve">. </w:t>
      </w:r>
      <w:r w:rsidRPr="00A52672">
        <w:rPr>
          <w:rStyle w:val="Bold"/>
          <w:b w:val="0"/>
        </w:rPr>
        <w:t>APA</w:t>
      </w:r>
      <w:r w:rsidR="000D7FE8">
        <w:rPr>
          <w:rStyle w:val="Bold"/>
          <w:b w:val="0"/>
        </w:rPr>
        <w:t>, for example,</w:t>
      </w:r>
      <w:r w:rsidRPr="00A52672">
        <w:rPr>
          <w:rStyle w:val="Bold"/>
          <w:b w:val="0"/>
        </w:rPr>
        <w:t xml:space="preserve"> considered that a uniform </w:t>
      </w:r>
      <w:r w:rsidR="000D7FE8">
        <w:rPr>
          <w:rStyle w:val="Bold"/>
          <w:b w:val="0"/>
        </w:rPr>
        <w:t xml:space="preserve">trading </w:t>
      </w:r>
      <w:r w:rsidRPr="00A52672">
        <w:rPr>
          <w:rStyle w:val="Bold"/>
          <w:b w:val="0"/>
        </w:rPr>
        <w:t xml:space="preserve">time should only be introduced </w:t>
      </w:r>
      <w:r w:rsidR="000D7FE8">
        <w:rPr>
          <w:rStyle w:val="Bold"/>
          <w:b w:val="0"/>
        </w:rPr>
        <w:t xml:space="preserve">when </w:t>
      </w:r>
      <w:r w:rsidRPr="00A52672">
        <w:rPr>
          <w:rStyle w:val="Bold"/>
          <w:b w:val="0"/>
        </w:rPr>
        <w:t>gas day harmonisation</w:t>
      </w:r>
      <w:r w:rsidR="000D7FE8">
        <w:rPr>
          <w:rStyle w:val="Bold"/>
          <w:b w:val="0"/>
        </w:rPr>
        <w:t xml:space="preserve"> occurs</w:t>
      </w:r>
      <w:r w:rsidRPr="00A52672">
        <w:rPr>
          <w:rStyle w:val="Bold"/>
          <w:b w:val="0"/>
        </w:rPr>
        <w:t xml:space="preserve">. Jemena </w:t>
      </w:r>
      <w:r w:rsidR="005702F0">
        <w:rPr>
          <w:rStyle w:val="Bold"/>
          <w:b w:val="0"/>
        </w:rPr>
        <w:t>was of the view</w:t>
      </w:r>
      <w:r w:rsidRPr="00A52672">
        <w:rPr>
          <w:rStyle w:val="Bold"/>
          <w:b w:val="0"/>
        </w:rPr>
        <w:t xml:space="preserve"> that each pipeline should have the flexibility to set its own trading times as suits its operation. It </w:t>
      </w:r>
      <w:r w:rsidR="00694F94">
        <w:rPr>
          <w:rStyle w:val="Bold"/>
          <w:b w:val="0"/>
        </w:rPr>
        <w:t xml:space="preserve">noted </w:t>
      </w:r>
      <w:r w:rsidRPr="00A52672">
        <w:rPr>
          <w:rStyle w:val="Bold"/>
          <w:b w:val="0"/>
        </w:rPr>
        <w:t xml:space="preserve">that the cost impost to lesser used pipelines in providing the same utility as busier pipelines is disproportionate to the benefit shippers would receive. </w:t>
      </w:r>
    </w:p>
    <w:p w14:paraId="05F8A869" w14:textId="77777777" w:rsidR="00A52672" w:rsidRDefault="000D7FE8" w:rsidP="00A52672">
      <w:pPr>
        <w:pStyle w:val="BodyText"/>
        <w:rPr>
          <w:rStyle w:val="Bold"/>
          <w:b w:val="0"/>
        </w:rPr>
      </w:pPr>
      <w:r>
        <w:rPr>
          <w:rStyle w:val="Bold"/>
          <w:b w:val="0"/>
        </w:rPr>
        <w:t xml:space="preserve">In the consultation paper, stakeholders were asked if </w:t>
      </w:r>
      <w:r w:rsidR="00A52672" w:rsidRPr="00A52672">
        <w:rPr>
          <w:rStyle w:val="Bold"/>
          <w:b w:val="0"/>
        </w:rPr>
        <w:t xml:space="preserve">uniform close of trading time </w:t>
      </w:r>
      <w:r>
        <w:rPr>
          <w:rStyle w:val="Bold"/>
          <w:b w:val="0"/>
        </w:rPr>
        <w:t>was</w:t>
      </w:r>
      <w:r w:rsidR="00A52672" w:rsidRPr="00A52672">
        <w:rPr>
          <w:rStyle w:val="Bold"/>
          <w:b w:val="0"/>
        </w:rPr>
        <w:t xml:space="preserve"> to be adopted, </w:t>
      </w:r>
      <w:r>
        <w:rPr>
          <w:rStyle w:val="Bold"/>
          <w:b w:val="0"/>
        </w:rPr>
        <w:t xml:space="preserve">whether </w:t>
      </w:r>
      <w:r w:rsidR="00A52672" w:rsidRPr="00A52672">
        <w:rPr>
          <w:rStyle w:val="Bold"/>
          <w:b w:val="0"/>
        </w:rPr>
        <w:t xml:space="preserve">11am </w:t>
      </w:r>
      <w:r>
        <w:rPr>
          <w:rStyle w:val="Bold"/>
          <w:b w:val="0"/>
        </w:rPr>
        <w:t xml:space="preserve">was the </w:t>
      </w:r>
      <w:r w:rsidR="00A52672" w:rsidRPr="00A52672">
        <w:rPr>
          <w:rStyle w:val="Bold"/>
          <w:b w:val="0"/>
        </w:rPr>
        <w:t>appropriate</w:t>
      </w:r>
      <w:r>
        <w:rPr>
          <w:rStyle w:val="Bold"/>
          <w:b w:val="0"/>
        </w:rPr>
        <w:t xml:space="preserve"> time. Mixed views were expressed on this issue, with s</w:t>
      </w:r>
      <w:r w:rsidR="00A52672" w:rsidRPr="00A52672">
        <w:rPr>
          <w:rStyle w:val="Bold"/>
          <w:b w:val="0"/>
        </w:rPr>
        <w:t>ome parties suggest</w:t>
      </w:r>
      <w:r>
        <w:rPr>
          <w:rStyle w:val="Bold"/>
          <w:b w:val="0"/>
        </w:rPr>
        <w:t>ing</w:t>
      </w:r>
      <w:r w:rsidR="00A52672" w:rsidRPr="00A52672">
        <w:rPr>
          <w:rStyle w:val="Bold"/>
          <w:b w:val="0"/>
        </w:rPr>
        <w:t xml:space="preserve"> a later time</w:t>
      </w:r>
      <w:r w:rsidR="00694F94">
        <w:rPr>
          <w:rStyle w:val="Bold"/>
          <w:b w:val="0"/>
        </w:rPr>
        <w:t>,</w:t>
      </w:r>
      <w:r w:rsidR="00A52672" w:rsidRPr="00A52672">
        <w:rPr>
          <w:rStyle w:val="Bold"/>
          <w:b w:val="0"/>
        </w:rPr>
        <w:t xml:space="preserve"> while others </w:t>
      </w:r>
      <w:r w:rsidR="00A662DD">
        <w:rPr>
          <w:rStyle w:val="Bold"/>
          <w:b w:val="0"/>
        </w:rPr>
        <w:t xml:space="preserve">suggested </w:t>
      </w:r>
      <w:r w:rsidR="00A52672" w:rsidRPr="00A52672">
        <w:rPr>
          <w:rStyle w:val="Bold"/>
          <w:b w:val="0"/>
        </w:rPr>
        <w:t xml:space="preserve">the closing time </w:t>
      </w:r>
      <w:r w:rsidR="00A662DD">
        <w:rPr>
          <w:rStyle w:val="Bold"/>
          <w:b w:val="0"/>
        </w:rPr>
        <w:t xml:space="preserve">be brought </w:t>
      </w:r>
      <w:r w:rsidR="00A52672" w:rsidRPr="00A52672">
        <w:rPr>
          <w:rStyle w:val="Bold"/>
          <w:b w:val="0"/>
        </w:rPr>
        <w:t>forward.</w:t>
      </w:r>
    </w:p>
    <w:p w14:paraId="2F6176A6" w14:textId="77777777" w:rsidR="00A52672" w:rsidRPr="004E791B" w:rsidRDefault="00A52672" w:rsidP="004E791B">
      <w:pPr>
        <w:pStyle w:val="Heading6"/>
        <w:spacing w:line="252" w:lineRule="auto"/>
        <w:rPr>
          <w:color w:val="0099CC"/>
        </w:rPr>
      </w:pPr>
      <w:r w:rsidRPr="004E791B">
        <w:rPr>
          <w:color w:val="0099CC"/>
        </w:rPr>
        <w:t xml:space="preserve">GMRG’s final recommendations </w:t>
      </w:r>
    </w:p>
    <w:p w14:paraId="4911821D" w14:textId="77777777" w:rsidR="001F0E2D" w:rsidRPr="004F36FB" w:rsidRDefault="00A52672" w:rsidP="001F0E2D">
      <w:pPr>
        <w:pStyle w:val="BodyText"/>
        <w:rPr>
          <w:sz w:val="16"/>
          <w:szCs w:val="16"/>
        </w:rPr>
      </w:pPr>
      <w:r w:rsidRPr="00A52672">
        <w:t>As the preceding discussion highlights, a number of activities will need to occur the day prior</w:t>
      </w:r>
      <w:r w:rsidR="00A662DD">
        <w:t xml:space="preserve"> to the gas day </w:t>
      </w:r>
      <w:r w:rsidR="00694F94">
        <w:t xml:space="preserve">(D-1) </w:t>
      </w:r>
      <w:r w:rsidR="00A662DD">
        <w:t>and deciding on the appropriate timeframes for these activities requires</w:t>
      </w:r>
      <w:r w:rsidRPr="00A52672">
        <w:t xml:space="preserve"> </w:t>
      </w:r>
      <w:r w:rsidR="00A662DD">
        <w:t>a number of factors to be balanced</w:t>
      </w:r>
      <w:r w:rsidRPr="00A52672">
        <w:t xml:space="preserve">. </w:t>
      </w:r>
      <w:r w:rsidR="00A662DD">
        <w:t xml:space="preserve">Having considered the feedback provided by stakeholders, the GMRG </w:t>
      </w:r>
      <w:r w:rsidR="005702F0">
        <w:t xml:space="preserve">is of the view that </w:t>
      </w:r>
      <w:r w:rsidR="00A662DD">
        <w:t xml:space="preserve">there would be value in carrying out further work on the </w:t>
      </w:r>
      <w:r w:rsidRPr="00A52672">
        <w:rPr>
          <w:rStyle w:val="Bold"/>
          <w:rFonts w:asciiTheme="majorHAnsi" w:hAnsiTheme="majorHAnsi" w:cstheme="majorHAnsi"/>
          <w:b w:val="0"/>
        </w:rPr>
        <w:t>timing</w:t>
      </w:r>
      <w:r w:rsidR="00A662DD">
        <w:rPr>
          <w:rStyle w:val="Bold"/>
          <w:rFonts w:asciiTheme="majorHAnsi" w:hAnsiTheme="majorHAnsi" w:cstheme="majorHAnsi"/>
          <w:b w:val="0"/>
        </w:rPr>
        <w:t xml:space="preserve">s </w:t>
      </w:r>
      <w:r w:rsidR="005702F0">
        <w:rPr>
          <w:rStyle w:val="Bold"/>
          <w:rFonts w:asciiTheme="majorHAnsi" w:hAnsiTheme="majorHAnsi" w:cstheme="majorHAnsi"/>
          <w:b w:val="0"/>
        </w:rPr>
        <w:t xml:space="preserve">of </w:t>
      </w:r>
      <w:r w:rsidR="00A662DD">
        <w:rPr>
          <w:rStyle w:val="Bold"/>
          <w:rFonts w:asciiTheme="majorHAnsi" w:hAnsiTheme="majorHAnsi" w:cstheme="majorHAnsi"/>
          <w:b w:val="0"/>
        </w:rPr>
        <w:t xml:space="preserve">key activities for the capacity trading platform and the day-ahead auction once the </w:t>
      </w:r>
      <w:r w:rsidRPr="00A52672">
        <w:rPr>
          <w:rStyle w:val="Bold"/>
          <w:rFonts w:asciiTheme="majorHAnsi" w:hAnsiTheme="majorHAnsi" w:cstheme="majorHAnsi"/>
          <w:b w:val="0"/>
        </w:rPr>
        <w:t xml:space="preserve">design of the day ahead auction and the system requirements </w:t>
      </w:r>
      <w:r w:rsidR="00A662DD">
        <w:rPr>
          <w:rStyle w:val="Bold"/>
          <w:rFonts w:asciiTheme="majorHAnsi" w:hAnsiTheme="majorHAnsi" w:cstheme="majorHAnsi"/>
          <w:b w:val="0"/>
        </w:rPr>
        <w:t>are better understood</w:t>
      </w:r>
      <w:r w:rsidRPr="00A52672">
        <w:rPr>
          <w:rStyle w:val="Bold"/>
          <w:rFonts w:asciiTheme="majorHAnsi" w:hAnsiTheme="majorHAnsi" w:cstheme="majorHAnsi"/>
          <w:b w:val="0"/>
        </w:rPr>
        <w:t xml:space="preserve">. </w:t>
      </w:r>
      <w:r w:rsidR="00A662DD">
        <w:rPr>
          <w:rStyle w:val="Bold"/>
          <w:rFonts w:asciiTheme="majorHAnsi" w:hAnsiTheme="majorHAnsi" w:cstheme="majorHAnsi"/>
          <w:b w:val="0"/>
        </w:rPr>
        <w:t xml:space="preserve">The GMRG intends therefore to </w:t>
      </w:r>
      <w:r w:rsidR="00A662DD" w:rsidRPr="00A52672">
        <w:rPr>
          <w:rStyle w:val="Bold"/>
          <w:rFonts w:asciiTheme="majorHAnsi" w:hAnsiTheme="majorHAnsi" w:cstheme="majorHAnsi"/>
          <w:b w:val="0"/>
        </w:rPr>
        <w:t xml:space="preserve">work with AEMO and stakeholders </w:t>
      </w:r>
      <w:r w:rsidR="00A662DD">
        <w:rPr>
          <w:rStyle w:val="Bold"/>
          <w:rFonts w:asciiTheme="majorHAnsi" w:hAnsiTheme="majorHAnsi" w:cstheme="majorHAnsi"/>
          <w:b w:val="0"/>
        </w:rPr>
        <w:t xml:space="preserve">on this issue in early 2018. </w:t>
      </w:r>
    </w:p>
    <w:p w14:paraId="3FB97B23" w14:textId="77777777" w:rsidR="001F0E2D" w:rsidRDefault="00A52672" w:rsidP="001F0E2D">
      <w:pPr>
        <w:pStyle w:val="BodyText"/>
        <w:rPr>
          <w:rStyle w:val="Bold"/>
          <w:rFonts w:asciiTheme="majorHAnsi" w:hAnsiTheme="majorHAnsi" w:cstheme="majorHAnsi"/>
          <w:b w:val="0"/>
        </w:rPr>
      </w:pPr>
      <w:r w:rsidRPr="00A52672">
        <w:rPr>
          <w:rStyle w:val="Bold"/>
          <w:rFonts w:asciiTheme="majorHAnsi" w:hAnsiTheme="majorHAnsi" w:cstheme="majorHAnsi"/>
          <w:b w:val="0"/>
        </w:rPr>
        <w:t xml:space="preserve">While </w:t>
      </w:r>
      <w:r w:rsidR="00A662DD">
        <w:rPr>
          <w:rStyle w:val="Bold"/>
          <w:rFonts w:asciiTheme="majorHAnsi" w:hAnsiTheme="majorHAnsi" w:cstheme="majorHAnsi"/>
          <w:b w:val="0"/>
        </w:rPr>
        <w:t>the timing of particular activities</w:t>
      </w:r>
      <w:r w:rsidRPr="00A52672">
        <w:rPr>
          <w:rStyle w:val="Bold"/>
          <w:rFonts w:asciiTheme="majorHAnsi" w:hAnsiTheme="majorHAnsi" w:cstheme="majorHAnsi"/>
          <w:b w:val="0"/>
        </w:rPr>
        <w:t xml:space="preserve"> will be subject to further </w:t>
      </w:r>
      <w:r w:rsidR="00694F94">
        <w:rPr>
          <w:rStyle w:val="Bold"/>
          <w:rFonts w:asciiTheme="majorHAnsi" w:hAnsiTheme="majorHAnsi" w:cstheme="majorHAnsi"/>
          <w:b w:val="0"/>
        </w:rPr>
        <w:t>consultation</w:t>
      </w:r>
      <w:r w:rsidRPr="00A52672">
        <w:rPr>
          <w:rStyle w:val="Bold"/>
          <w:rFonts w:asciiTheme="majorHAnsi" w:hAnsiTheme="majorHAnsi" w:cstheme="majorHAnsi"/>
          <w:b w:val="0"/>
        </w:rPr>
        <w:t xml:space="preserve">, </w:t>
      </w:r>
      <w:r>
        <w:rPr>
          <w:rStyle w:val="Bold"/>
          <w:rFonts w:asciiTheme="majorHAnsi" w:hAnsiTheme="majorHAnsi" w:cstheme="majorHAnsi"/>
          <w:b w:val="0"/>
        </w:rPr>
        <w:t xml:space="preserve">the </w:t>
      </w:r>
      <w:r w:rsidRPr="00A52672">
        <w:rPr>
          <w:rStyle w:val="Bold"/>
          <w:rFonts w:asciiTheme="majorHAnsi" w:hAnsiTheme="majorHAnsi" w:cstheme="majorHAnsi"/>
          <w:b w:val="0"/>
        </w:rPr>
        <w:t xml:space="preserve">GMRG recommends that a uniform </w:t>
      </w:r>
      <w:r w:rsidR="00A662DD">
        <w:rPr>
          <w:rStyle w:val="Bold"/>
          <w:rFonts w:asciiTheme="majorHAnsi" w:hAnsiTheme="majorHAnsi" w:cstheme="majorHAnsi"/>
          <w:b w:val="0"/>
        </w:rPr>
        <w:t xml:space="preserve">close of trade </w:t>
      </w:r>
      <w:r w:rsidRPr="00A52672">
        <w:rPr>
          <w:rStyle w:val="Bold"/>
          <w:rFonts w:asciiTheme="majorHAnsi" w:hAnsiTheme="majorHAnsi" w:cstheme="majorHAnsi"/>
          <w:b w:val="0"/>
        </w:rPr>
        <w:t xml:space="preserve">be implemented </w:t>
      </w:r>
      <w:r w:rsidR="00A662DD">
        <w:rPr>
          <w:rStyle w:val="Bold"/>
          <w:rFonts w:asciiTheme="majorHAnsi" w:hAnsiTheme="majorHAnsi" w:cstheme="majorHAnsi"/>
          <w:b w:val="0"/>
        </w:rPr>
        <w:t xml:space="preserve">for day-ahead products. This is consistent with the GMRG’s recommendation that a uniform nomination cut-off time </w:t>
      </w:r>
      <w:r w:rsidR="00694F94">
        <w:rPr>
          <w:rStyle w:val="Bold"/>
          <w:rFonts w:asciiTheme="majorHAnsi" w:hAnsiTheme="majorHAnsi" w:cstheme="majorHAnsi"/>
          <w:b w:val="0"/>
        </w:rPr>
        <w:t xml:space="preserve">of 3 pm </w:t>
      </w:r>
      <w:r w:rsidR="00A662DD">
        <w:rPr>
          <w:rStyle w:val="Bold"/>
          <w:rFonts w:asciiTheme="majorHAnsi" w:hAnsiTheme="majorHAnsi" w:cstheme="majorHAnsi"/>
          <w:b w:val="0"/>
        </w:rPr>
        <w:t xml:space="preserve">be adopted by 1 October 2019 (see section 5.3) and </w:t>
      </w:r>
      <w:r w:rsidR="00760446">
        <w:rPr>
          <w:rStyle w:val="Bold"/>
          <w:rFonts w:asciiTheme="majorHAnsi" w:hAnsiTheme="majorHAnsi" w:cstheme="majorHAnsi"/>
          <w:b w:val="0"/>
        </w:rPr>
        <w:t xml:space="preserve">will </w:t>
      </w:r>
      <w:r w:rsidRPr="00A52672">
        <w:rPr>
          <w:rStyle w:val="Bold"/>
          <w:rFonts w:asciiTheme="majorHAnsi" w:hAnsiTheme="majorHAnsi" w:cstheme="majorHAnsi"/>
          <w:b w:val="0"/>
        </w:rPr>
        <w:t xml:space="preserve">reduce </w:t>
      </w:r>
      <w:r w:rsidR="00760446">
        <w:rPr>
          <w:rStyle w:val="Bold"/>
          <w:rFonts w:asciiTheme="majorHAnsi" w:hAnsiTheme="majorHAnsi" w:cstheme="majorHAnsi"/>
          <w:b w:val="0"/>
        </w:rPr>
        <w:t xml:space="preserve">the </w:t>
      </w:r>
      <w:r w:rsidRPr="00A52672">
        <w:rPr>
          <w:rStyle w:val="Bold"/>
          <w:rFonts w:asciiTheme="majorHAnsi" w:hAnsiTheme="majorHAnsi" w:cstheme="majorHAnsi"/>
          <w:b w:val="0"/>
        </w:rPr>
        <w:t xml:space="preserve">complexity </w:t>
      </w:r>
      <w:r w:rsidR="00760446">
        <w:rPr>
          <w:rStyle w:val="Bold"/>
          <w:rFonts w:asciiTheme="majorHAnsi" w:hAnsiTheme="majorHAnsi" w:cstheme="majorHAnsi"/>
          <w:b w:val="0"/>
        </w:rPr>
        <w:t xml:space="preserve">of the </w:t>
      </w:r>
      <w:r w:rsidR="00760446">
        <w:rPr>
          <w:rStyle w:val="Bold"/>
          <w:rFonts w:asciiTheme="majorHAnsi" w:hAnsiTheme="majorHAnsi" w:cstheme="majorHAnsi"/>
          <w:b w:val="0"/>
        </w:rPr>
        <w:lastRenderedPageBreak/>
        <w:t xml:space="preserve">market for both shippers and service providers. </w:t>
      </w:r>
      <w:r w:rsidR="001F0E2D">
        <w:rPr>
          <w:rStyle w:val="Bold"/>
          <w:rFonts w:asciiTheme="majorHAnsi" w:hAnsiTheme="majorHAnsi" w:cstheme="majorHAnsi"/>
          <w:b w:val="0"/>
        </w:rPr>
        <w:t xml:space="preserve">The table below provides an indication of what this will mean for </w:t>
      </w:r>
      <w:r w:rsidR="00694F94">
        <w:rPr>
          <w:rStyle w:val="Bold"/>
          <w:rFonts w:asciiTheme="majorHAnsi" w:hAnsiTheme="majorHAnsi" w:cstheme="majorHAnsi"/>
          <w:b w:val="0"/>
        </w:rPr>
        <w:t xml:space="preserve">the close of trade for day-ahead products </w:t>
      </w:r>
      <w:r w:rsidR="001F0E2D">
        <w:rPr>
          <w:rStyle w:val="Bold"/>
          <w:rFonts w:asciiTheme="majorHAnsi" w:hAnsiTheme="majorHAnsi" w:cstheme="majorHAnsi"/>
          <w:b w:val="0"/>
        </w:rPr>
        <w:t>both pre and post harmonisation of gas day start times</w:t>
      </w:r>
      <w:r w:rsidR="00694F94">
        <w:rPr>
          <w:rStyle w:val="Bold"/>
          <w:rFonts w:asciiTheme="majorHAnsi" w:hAnsiTheme="majorHAnsi" w:cstheme="majorHAnsi"/>
          <w:b w:val="0"/>
        </w:rPr>
        <w:t xml:space="preserve"> and nomination cut-off times</w:t>
      </w:r>
      <w:r w:rsidR="001F0E2D">
        <w:rPr>
          <w:rStyle w:val="Bold"/>
          <w:rFonts w:asciiTheme="majorHAnsi" w:hAnsiTheme="majorHAnsi" w:cstheme="majorHAnsi"/>
          <w:b w:val="0"/>
        </w:rPr>
        <w:t>.</w:t>
      </w:r>
    </w:p>
    <w:p w14:paraId="49B5B712" w14:textId="77777777" w:rsidR="001F0E2D" w:rsidRDefault="001F0E2D" w:rsidP="001F0E2D">
      <w:pPr>
        <w:pStyle w:val="Caption"/>
        <w:spacing w:before="40" w:after="0"/>
      </w:pPr>
      <w:r>
        <w:t xml:space="preserve">Table </w:t>
      </w:r>
      <w:r w:rsidR="00983431">
        <w:fldChar w:fldCharType="begin"/>
      </w:r>
      <w:r w:rsidR="00983431">
        <w:instrText xml:space="preserve"> STYLEREF 1 \s </w:instrText>
      </w:r>
      <w:r w:rsidR="00983431">
        <w:fldChar w:fldCharType="separate"/>
      </w:r>
      <w:r w:rsidR="00761861">
        <w:rPr>
          <w:noProof/>
        </w:rPr>
        <w:t>7</w:t>
      </w:r>
      <w:r w:rsidR="00983431">
        <w:rPr>
          <w:noProof/>
        </w:rPr>
        <w:fldChar w:fldCharType="end"/>
      </w:r>
      <w:r>
        <w:t>.</w:t>
      </w:r>
      <w:r w:rsidR="00983431">
        <w:fldChar w:fldCharType="begin"/>
      </w:r>
      <w:r w:rsidR="00983431">
        <w:instrText xml:space="preserve"> SEQ Table \* ARABIC \s 1 </w:instrText>
      </w:r>
      <w:r w:rsidR="00983431">
        <w:fldChar w:fldCharType="separate"/>
      </w:r>
      <w:r w:rsidR="00761861">
        <w:rPr>
          <w:noProof/>
        </w:rPr>
        <w:t>1</w:t>
      </w:r>
      <w:r w:rsidR="00983431">
        <w:rPr>
          <w:noProof/>
        </w:rPr>
        <w:fldChar w:fldCharType="end"/>
      </w:r>
      <w:r>
        <w:t>: Indicative timings for the trading platform and auction</w:t>
      </w:r>
      <w:r w:rsidR="00993A3C">
        <w:t xml:space="preserve"> </w:t>
      </w:r>
      <w:r>
        <w:t>(all times AEST)</w:t>
      </w:r>
    </w:p>
    <w:tbl>
      <w:tblPr>
        <w:tblStyle w:val="TableGrid"/>
        <w:tblW w:w="5000" w:type="pct"/>
        <w:tblBorders>
          <w:left w:val="single" w:sz="4" w:space="0" w:color="auto"/>
          <w:right w:val="single" w:sz="4" w:space="0" w:color="auto"/>
        </w:tblBorders>
        <w:tblLook w:val="04A0" w:firstRow="1" w:lastRow="0" w:firstColumn="1" w:lastColumn="0" w:noHBand="0" w:noVBand="1"/>
        <w:tblCaption w:val="Table 7.1"/>
        <w:tblDescription w:val="Indicative timings for the trading platform and auction (all times AEST)"/>
      </w:tblPr>
      <w:tblGrid>
        <w:gridCol w:w="1601"/>
        <w:gridCol w:w="1067"/>
        <w:gridCol w:w="1591"/>
        <w:gridCol w:w="1261"/>
        <w:gridCol w:w="1074"/>
        <w:gridCol w:w="1073"/>
        <w:gridCol w:w="1111"/>
      </w:tblGrid>
      <w:tr w:rsidR="001F0E2D" w:rsidRPr="001B6BC7" w14:paraId="1FA7C322" w14:textId="77777777" w:rsidTr="00694F94">
        <w:trPr>
          <w:cnfStyle w:val="100000000000" w:firstRow="1" w:lastRow="0" w:firstColumn="0" w:lastColumn="0" w:oddVBand="0" w:evenVBand="0" w:oddHBand="0" w:evenHBand="0" w:firstRowFirstColumn="0" w:firstRowLastColumn="0" w:lastRowFirstColumn="0" w:lastRowLastColumn="0"/>
          <w:cantSplit/>
          <w:tblHeader/>
        </w:trPr>
        <w:tc>
          <w:tcPr>
            <w:tcW w:w="858" w:type="pct"/>
            <w:vMerge w:val="restart"/>
            <w:shd w:val="clear" w:color="auto" w:fill="0099CC"/>
            <w:noWrap/>
            <w:hideMark/>
          </w:tcPr>
          <w:p w14:paraId="5B3D00B5" w14:textId="77777777" w:rsidR="001F0E2D" w:rsidRPr="001B6BC7" w:rsidRDefault="001F0E2D" w:rsidP="0013370B">
            <w:pPr>
              <w:pStyle w:val="TableHeading"/>
              <w:spacing w:before="40" w:after="40"/>
            </w:pPr>
          </w:p>
        </w:tc>
        <w:tc>
          <w:tcPr>
            <w:tcW w:w="620" w:type="pct"/>
            <w:vMerge w:val="restart"/>
            <w:shd w:val="clear" w:color="auto" w:fill="0099CC"/>
            <w:hideMark/>
          </w:tcPr>
          <w:p w14:paraId="4E51116B" w14:textId="77777777" w:rsidR="001F0E2D" w:rsidRPr="001B6BC7" w:rsidRDefault="001F0E2D" w:rsidP="0013370B">
            <w:pPr>
              <w:pStyle w:val="TableHeading"/>
              <w:spacing w:before="40" w:after="40"/>
            </w:pPr>
            <w:r w:rsidRPr="001B6BC7">
              <w:t xml:space="preserve">Gas Day Start Time </w:t>
            </w:r>
          </w:p>
        </w:tc>
        <w:tc>
          <w:tcPr>
            <w:tcW w:w="918" w:type="pct"/>
            <w:vMerge w:val="restart"/>
            <w:shd w:val="clear" w:color="auto" w:fill="0099CC"/>
            <w:hideMark/>
          </w:tcPr>
          <w:p w14:paraId="171624C5" w14:textId="77777777" w:rsidR="001F0E2D" w:rsidRPr="001B6BC7" w:rsidRDefault="001F0E2D" w:rsidP="0013370B">
            <w:pPr>
              <w:pStyle w:val="TableHeading"/>
              <w:spacing w:before="40" w:after="40"/>
            </w:pPr>
            <w:r w:rsidRPr="001B6BC7">
              <w:t xml:space="preserve">Indicative Timing </w:t>
            </w:r>
            <w:r>
              <w:t xml:space="preserve">for Capacity Trading Platform </w:t>
            </w:r>
            <w:r w:rsidRPr="001B6BC7">
              <w:t>Close</w:t>
            </w:r>
            <w:r>
              <w:t xml:space="preserve"> for Day-Ahead Products</w:t>
            </w:r>
            <w:r w:rsidRPr="001B6BC7">
              <w:t>*</w:t>
            </w:r>
          </w:p>
        </w:tc>
        <w:tc>
          <w:tcPr>
            <w:tcW w:w="730" w:type="pct"/>
            <w:vMerge w:val="restart"/>
            <w:shd w:val="clear" w:color="auto" w:fill="0099CC"/>
            <w:hideMark/>
          </w:tcPr>
          <w:p w14:paraId="478D4673" w14:textId="77777777" w:rsidR="001F0E2D" w:rsidRPr="001B6BC7" w:rsidRDefault="001F0E2D" w:rsidP="0013370B">
            <w:pPr>
              <w:pStyle w:val="TableHeading"/>
              <w:spacing w:before="40" w:after="40"/>
            </w:pPr>
            <w:r w:rsidRPr="001B6BC7">
              <w:t>Pipeline Nomination Cut Off Time for Gas Day D+1**</w:t>
            </w:r>
          </w:p>
        </w:tc>
        <w:tc>
          <w:tcPr>
            <w:tcW w:w="1874" w:type="pct"/>
            <w:gridSpan w:val="3"/>
            <w:shd w:val="clear" w:color="auto" w:fill="0099CC"/>
            <w:hideMark/>
          </w:tcPr>
          <w:p w14:paraId="11D47C0D" w14:textId="77777777" w:rsidR="001F0E2D" w:rsidRPr="001B6BC7" w:rsidRDefault="001F0E2D" w:rsidP="0013370B">
            <w:pPr>
              <w:pStyle w:val="TableHeading"/>
              <w:spacing w:before="40" w:after="40"/>
              <w:jc w:val="center"/>
            </w:pPr>
            <w:r w:rsidRPr="001B6BC7">
              <w:t>Indicative Timing for Day-Ahead Auction***</w:t>
            </w:r>
          </w:p>
        </w:tc>
      </w:tr>
      <w:tr w:rsidR="001F0E2D" w:rsidRPr="001B6BC7" w14:paraId="58C36CFB" w14:textId="77777777" w:rsidTr="00694F94">
        <w:trPr>
          <w:cnfStyle w:val="100000000000" w:firstRow="1" w:lastRow="0" w:firstColumn="0" w:lastColumn="0" w:oddVBand="0" w:evenVBand="0" w:oddHBand="0" w:evenHBand="0" w:firstRowFirstColumn="0" w:firstRowLastColumn="0" w:lastRowFirstColumn="0" w:lastRowLastColumn="0"/>
          <w:cantSplit/>
          <w:tblHeader/>
        </w:trPr>
        <w:tc>
          <w:tcPr>
            <w:tcW w:w="858" w:type="pct"/>
            <w:vMerge/>
            <w:tcBorders>
              <w:bottom w:val="single" w:sz="4" w:space="0" w:color="auto"/>
            </w:tcBorders>
            <w:shd w:val="clear" w:color="auto" w:fill="0099CC"/>
            <w:noWrap/>
            <w:hideMark/>
          </w:tcPr>
          <w:p w14:paraId="01F5C2FA" w14:textId="77777777" w:rsidR="001F0E2D" w:rsidRPr="001B6BC7" w:rsidRDefault="001F0E2D" w:rsidP="0013370B">
            <w:pPr>
              <w:pStyle w:val="TableBodyText"/>
              <w:spacing w:before="40" w:after="40"/>
              <w:rPr>
                <w:bCs/>
                <w:color w:val="000000"/>
              </w:rPr>
            </w:pPr>
          </w:p>
        </w:tc>
        <w:tc>
          <w:tcPr>
            <w:tcW w:w="620" w:type="pct"/>
            <w:vMerge/>
            <w:tcBorders>
              <w:bottom w:val="single" w:sz="4" w:space="0" w:color="auto"/>
            </w:tcBorders>
            <w:shd w:val="clear" w:color="auto" w:fill="0099CC"/>
            <w:hideMark/>
          </w:tcPr>
          <w:p w14:paraId="4C459935" w14:textId="77777777" w:rsidR="001F0E2D" w:rsidRPr="001B6BC7" w:rsidRDefault="001F0E2D" w:rsidP="0013370B">
            <w:pPr>
              <w:pStyle w:val="TableBodyText"/>
              <w:spacing w:before="40" w:after="40"/>
              <w:rPr>
                <w:bCs/>
                <w:color w:val="000000"/>
              </w:rPr>
            </w:pPr>
          </w:p>
        </w:tc>
        <w:tc>
          <w:tcPr>
            <w:tcW w:w="918" w:type="pct"/>
            <w:vMerge/>
            <w:tcBorders>
              <w:bottom w:val="single" w:sz="4" w:space="0" w:color="auto"/>
            </w:tcBorders>
            <w:shd w:val="clear" w:color="auto" w:fill="0099CC"/>
            <w:hideMark/>
          </w:tcPr>
          <w:p w14:paraId="25135C6D" w14:textId="77777777" w:rsidR="001F0E2D" w:rsidRPr="001B6BC7" w:rsidRDefault="001F0E2D" w:rsidP="0013370B">
            <w:pPr>
              <w:pStyle w:val="TableBodyText"/>
              <w:spacing w:before="40" w:after="40"/>
              <w:rPr>
                <w:bCs/>
                <w:color w:val="000000"/>
              </w:rPr>
            </w:pPr>
          </w:p>
        </w:tc>
        <w:tc>
          <w:tcPr>
            <w:tcW w:w="730" w:type="pct"/>
            <w:vMerge/>
            <w:tcBorders>
              <w:bottom w:val="single" w:sz="4" w:space="0" w:color="auto"/>
            </w:tcBorders>
            <w:shd w:val="clear" w:color="auto" w:fill="0099CC"/>
            <w:hideMark/>
          </w:tcPr>
          <w:p w14:paraId="72CD87BA" w14:textId="77777777" w:rsidR="001F0E2D" w:rsidRPr="001B6BC7" w:rsidRDefault="001F0E2D" w:rsidP="0013370B">
            <w:pPr>
              <w:pStyle w:val="TableBodyText"/>
              <w:spacing w:before="40" w:after="40"/>
              <w:rPr>
                <w:bCs/>
                <w:color w:val="000000"/>
              </w:rPr>
            </w:pPr>
          </w:p>
        </w:tc>
        <w:tc>
          <w:tcPr>
            <w:tcW w:w="624" w:type="pct"/>
            <w:tcBorders>
              <w:bottom w:val="single" w:sz="4" w:space="0" w:color="auto"/>
            </w:tcBorders>
            <w:shd w:val="clear" w:color="auto" w:fill="0099CC"/>
            <w:hideMark/>
          </w:tcPr>
          <w:p w14:paraId="51DCEB5F" w14:textId="77777777" w:rsidR="001F0E2D" w:rsidRPr="001B6BC7" w:rsidRDefault="001F0E2D" w:rsidP="0013370B">
            <w:pPr>
              <w:pStyle w:val="TableBodyText"/>
              <w:spacing w:before="40" w:after="40"/>
              <w:rPr>
                <w:bCs/>
                <w:color w:val="FFFFFF" w:themeColor="background1"/>
              </w:rPr>
            </w:pPr>
            <w:r w:rsidRPr="001B6BC7">
              <w:rPr>
                <w:bCs/>
                <w:color w:val="FFFFFF" w:themeColor="background1"/>
              </w:rPr>
              <w:t>Auction Capacity Published</w:t>
            </w:r>
          </w:p>
        </w:tc>
        <w:tc>
          <w:tcPr>
            <w:tcW w:w="623" w:type="pct"/>
            <w:tcBorders>
              <w:bottom w:val="single" w:sz="4" w:space="0" w:color="auto"/>
            </w:tcBorders>
            <w:shd w:val="clear" w:color="auto" w:fill="0099CC"/>
            <w:hideMark/>
          </w:tcPr>
          <w:p w14:paraId="233E7EA5" w14:textId="77777777" w:rsidR="001F0E2D" w:rsidRPr="001B6BC7" w:rsidRDefault="001F0E2D" w:rsidP="0013370B">
            <w:pPr>
              <w:pStyle w:val="TableBodyText"/>
              <w:spacing w:before="40" w:after="40"/>
              <w:rPr>
                <w:bCs/>
                <w:color w:val="FFFFFF" w:themeColor="background1"/>
              </w:rPr>
            </w:pPr>
            <w:r>
              <w:rPr>
                <w:bCs/>
                <w:color w:val="FFFFFF" w:themeColor="background1"/>
              </w:rPr>
              <w:t>Auction Bids Due</w:t>
            </w:r>
          </w:p>
        </w:tc>
        <w:tc>
          <w:tcPr>
            <w:tcW w:w="627" w:type="pct"/>
            <w:tcBorders>
              <w:bottom w:val="single" w:sz="4" w:space="0" w:color="auto"/>
            </w:tcBorders>
            <w:shd w:val="clear" w:color="auto" w:fill="0099CC"/>
            <w:hideMark/>
          </w:tcPr>
          <w:p w14:paraId="2F8D3F55" w14:textId="77777777" w:rsidR="001F0E2D" w:rsidRPr="001B6BC7" w:rsidRDefault="001F0E2D" w:rsidP="0013370B">
            <w:pPr>
              <w:pStyle w:val="TableBodyText"/>
              <w:spacing w:before="40" w:after="40"/>
              <w:rPr>
                <w:bCs/>
                <w:color w:val="FFFFFF" w:themeColor="background1"/>
              </w:rPr>
            </w:pPr>
            <w:r w:rsidRPr="001B6BC7">
              <w:rPr>
                <w:bCs/>
                <w:color w:val="FFFFFF" w:themeColor="background1"/>
              </w:rPr>
              <w:t>Auction Completed</w:t>
            </w:r>
          </w:p>
        </w:tc>
      </w:tr>
      <w:tr w:rsidR="001F0E2D" w:rsidRPr="001B6BC7" w14:paraId="05B1A4EF" w14:textId="77777777" w:rsidTr="00694F94">
        <w:trPr>
          <w:cnfStyle w:val="100000000000" w:firstRow="1" w:lastRow="0" w:firstColumn="0" w:lastColumn="0" w:oddVBand="0" w:evenVBand="0" w:oddHBand="0" w:evenHBand="0" w:firstRowFirstColumn="0" w:firstRowLastColumn="0" w:lastRowFirstColumn="0" w:lastRowLastColumn="0"/>
          <w:cantSplit/>
          <w:tblHeader/>
        </w:trPr>
        <w:tc>
          <w:tcPr>
            <w:tcW w:w="5000" w:type="pct"/>
            <w:gridSpan w:val="7"/>
            <w:shd w:val="clear" w:color="auto" w:fill="D9D9D9" w:themeFill="background1" w:themeFillShade="D9"/>
            <w:noWrap/>
            <w:hideMark/>
          </w:tcPr>
          <w:p w14:paraId="5C38AF80" w14:textId="77777777" w:rsidR="001F0E2D" w:rsidRPr="001B6BC7" w:rsidRDefault="001F0E2D" w:rsidP="0013370B">
            <w:pPr>
              <w:pStyle w:val="TableBodyText"/>
              <w:spacing w:before="40" w:after="40"/>
              <w:jc w:val="center"/>
              <w:rPr>
                <w:bCs/>
                <w:color w:val="000000"/>
              </w:rPr>
            </w:pPr>
            <w:r w:rsidRPr="001B6BC7">
              <w:rPr>
                <w:bCs/>
                <w:color w:val="000000"/>
              </w:rPr>
              <w:t>Current Gas Day and Nomination Cut-Off Times</w:t>
            </w:r>
          </w:p>
        </w:tc>
      </w:tr>
      <w:tr w:rsidR="001F0E2D" w:rsidRPr="001B6BC7" w14:paraId="19D2D435" w14:textId="77777777" w:rsidTr="00694F94">
        <w:trPr>
          <w:cnfStyle w:val="100000000000" w:firstRow="1" w:lastRow="0" w:firstColumn="0" w:lastColumn="0" w:oddVBand="0" w:evenVBand="0" w:oddHBand="0" w:evenHBand="0" w:firstRowFirstColumn="0" w:firstRowLastColumn="0" w:lastRowFirstColumn="0" w:lastRowLastColumn="0"/>
          <w:cantSplit/>
          <w:tblHeader/>
        </w:trPr>
        <w:tc>
          <w:tcPr>
            <w:tcW w:w="858" w:type="pct"/>
            <w:shd w:val="clear" w:color="auto" w:fill="auto"/>
            <w:noWrap/>
            <w:hideMark/>
          </w:tcPr>
          <w:p w14:paraId="0B1119BA" w14:textId="77777777" w:rsidR="001F0E2D" w:rsidRPr="001B6BC7" w:rsidRDefault="001F0E2D" w:rsidP="0013370B">
            <w:pPr>
              <w:pStyle w:val="TableBodyText"/>
              <w:spacing w:before="40" w:after="40"/>
              <w:rPr>
                <w:b w:val="0"/>
                <w:bCs/>
                <w:color w:val="000000"/>
              </w:rPr>
            </w:pPr>
            <w:r w:rsidRPr="001B6BC7">
              <w:rPr>
                <w:b w:val="0"/>
                <w:bCs/>
                <w:color w:val="000000"/>
              </w:rPr>
              <w:t>NSW/ACT</w:t>
            </w:r>
          </w:p>
        </w:tc>
        <w:tc>
          <w:tcPr>
            <w:tcW w:w="620" w:type="pct"/>
            <w:shd w:val="clear" w:color="auto" w:fill="auto"/>
            <w:noWrap/>
            <w:vAlign w:val="center"/>
            <w:hideMark/>
          </w:tcPr>
          <w:p w14:paraId="2A14B130" w14:textId="77777777" w:rsidR="001F0E2D" w:rsidRPr="001B6BC7" w:rsidRDefault="001F0E2D" w:rsidP="0013370B">
            <w:pPr>
              <w:pStyle w:val="TableBodyText"/>
              <w:spacing w:before="40" w:after="40"/>
              <w:jc w:val="center"/>
              <w:rPr>
                <w:b w:val="0"/>
                <w:bCs/>
                <w:color w:val="000000"/>
              </w:rPr>
            </w:pPr>
            <w:r w:rsidRPr="001B6BC7">
              <w:rPr>
                <w:b w:val="0"/>
                <w:bCs/>
                <w:color w:val="000000"/>
              </w:rPr>
              <w:t xml:space="preserve">6:30 </w:t>
            </w:r>
            <w:r>
              <w:rPr>
                <w:b w:val="0"/>
                <w:bCs/>
                <w:color w:val="000000"/>
              </w:rPr>
              <w:t>am</w:t>
            </w:r>
          </w:p>
        </w:tc>
        <w:tc>
          <w:tcPr>
            <w:tcW w:w="918" w:type="pct"/>
            <w:vMerge w:val="restart"/>
            <w:shd w:val="clear" w:color="auto" w:fill="auto"/>
            <w:noWrap/>
            <w:vAlign w:val="center"/>
            <w:hideMark/>
          </w:tcPr>
          <w:p w14:paraId="76DE5640" w14:textId="77777777" w:rsidR="001F0E2D" w:rsidRPr="001B6BC7" w:rsidRDefault="001F0E2D" w:rsidP="0013370B">
            <w:pPr>
              <w:pStyle w:val="TableBodyText"/>
              <w:spacing w:before="40" w:after="40"/>
              <w:jc w:val="center"/>
              <w:rPr>
                <w:b w:val="0"/>
                <w:bCs/>
                <w:color w:val="000000"/>
              </w:rPr>
            </w:pPr>
            <w:r w:rsidRPr="001B6BC7">
              <w:rPr>
                <w:b w:val="0"/>
                <w:bCs/>
                <w:color w:val="000000"/>
              </w:rPr>
              <w:t>1</w:t>
            </w:r>
            <w:r>
              <w:rPr>
                <w:b w:val="0"/>
                <w:bCs/>
                <w:color w:val="000000"/>
              </w:rPr>
              <w:t>1</w:t>
            </w:r>
            <w:r w:rsidRPr="001B6BC7">
              <w:rPr>
                <w:b w:val="0"/>
                <w:bCs/>
                <w:color w:val="000000"/>
              </w:rPr>
              <w:t xml:space="preserve">:00 </w:t>
            </w:r>
            <w:r>
              <w:rPr>
                <w:b w:val="0"/>
                <w:bCs/>
                <w:color w:val="000000"/>
              </w:rPr>
              <w:t>am</w:t>
            </w:r>
          </w:p>
        </w:tc>
        <w:tc>
          <w:tcPr>
            <w:tcW w:w="730" w:type="pct"/>
            <w:shd w:val="clear" w:color="auto" w:fill="auto"/>
            <w:noWrap/>
            <w:vAlign w:val="center"/>
            <w:hideMark/>
          </w:tcPr>
          <w:p w14:paraId="4A9FD0F5" w14:textId="77777777" w:rsidR="001F0E2D" w:rsidRPr="001B6BC7" w:rsidRDefault="001F0E2D" w:rsidP="0013370B">
            <w:pPr>
              <w:pStyle w:val="TableBodyText"/>
              <w:spacing w:before="40" w:after="40"/>
              <w:jc w:val="center"/>
              <w:rPr>
                <w:b w:val="0"/>
                <w:bCs/>
                <w:color w:val="000000"/>
              </w:rPr>
            </w:pPr>
            <w:r w:rsidRPr="001B6BC7">
              <w:rPr>
                <w:b w:val="0"/>
                <w:bCs/>
                <w:color w:val="000000"/>
              </w:rPr>
              <w:t xml:space="preserve">2-2:30 </w:t>
            </w:r>
            <w:r>
              <w:rPr>
                <w:b w:val="0"/>
                <w:bCs/>
                <w:color w:val="000000"/>
              </w:rPr>
              <w:t>pm</w:t>
            </w:r>
          </w:p>
        </w:tc>
        <w:tc>
          <w:tcPr>
            <w:tcW w:w="624" w:type="pct"/>
            <w:vMerge w:val="restart"/>
            <w:shd w:val="clear" w:color="auto" w:fill="auto"/>
            <w:noWrap/>
            <w:vAlign w:val="center"/>
            <w:hideMark/>
          </w:tcPr>
          <w:p w14:paraId="70201CA5" w14:textId="77777777" w:rsidR="001F0E2D" w:rsidRPr="001B6BC7" w:rsidRDefault="001F0E2D" w:rsidP="0013370B">
            <w:pPr>
              <w:pStyle w:val="TableBodyText"/>
              <w:spacing w:before="40" w:after="40"/>
              <w:jc w:val="center"/>
              <w:rPr>
                <w:b w:val="0"/>
                <w:bCs/>
                <w:color w:val="000000"/>
              </w:rPr>
            </w:pPr>
            <w:r>
              <w:rPr>
                <w:b w:val="0"/>
                <w:bCs/>
                <w:color w:val="000000"/>
              </w:rPr>
              <w:t>5</w:t>
            </w:r>
            <w:r w:rsidRPr="001B6BC7">
              <w:rPr>
                <w:b w:val="0"/>
                <w:bCs/>
                <w:color w:val="000000"/>
              </w:rPr>
              <w:t>:</w:t>
            </w:r>
            <w:r>
              <w:rPr>
                <w:b w:val="0"/>
                <w:bCs/>
                <w:color w:val="000000"/>
              </w:rPr>
              <w:t>45</w:t>
            </w:r>
            <w:r w:rsidRPr="001B6BC7">
              <w:rPr>
                <w:b w:val="0"/>
                <w:bCs/>
                <w:color w:val="000000"/>
              </w:rPr>
              <w:t xml:space="preserve"> </w:t>
            </w:r>
            <w:r>
              <w:rPr>
                <w:b w:val="0"/>
                <w:bCs/>
                <w:color w:val="000000"/>
              </w:rPr>
              <w:t>pm</w:t>
            </w:r>
          </w:p>
        </w:tc>
        <w:tc>
          <w:tcPr>
            <w:tcW w:w="623" w:type="pct"/>
            <w:vMerge w:val="restart"/>
            <w:shd w:val="clear" w:color="auto" w:fill="auto"/>
            <w:noWrap/>
            <w:vAlign w:val="center"/>
            <w:hideMark/>
          </w:tcPr>
          <w:p w14:paraId="1AF7D763" w14:textId="77777777" w:rsidR="001F0E2D" w:rsidRPr="001B6BC7" w:rsidRDefault="001F0E2D" w:rsidP="0013370B">
            <w:pPr>
              <w:pStyle w:val="TableBodyText"/>
              <w:spacing w:before="40" w:after="40"/>
              <w:jc w:val="center"/>
              <w:rPr>
                <w:b w:val="0"/>
                <w:bCs/>
                <w:color w:val="000000"/>
              </w:rPr>
            </w:pPr>
            <w:r>
              <w:rPr>
                <w:b w:val="0"/>
                <w:bCs/>
                <w:color w:val="000000"/>
              </w:rPr>
              <w:t>6:15</w:t>
            </w:r>
            <w:r w:rsidRPr="001B6BC7">
              <w:rPr>
                <w:b w:val="0"/>
                <w:bCs/>
                <w:color w:val="000000"/>
              </w:rPr>
              <w:t xml:space="preserve"> </w:t>
            </w:r>
            <w:r>
              <w:rPr>
                <w:b w:val="0"/>
                <w:bCs/>
                <w:color w:val="000000"/>
              </w:rPr>
              <w:t>pm</w:t>
            </w:r>
          </w:p>
        </w:tc>
        <w:tc>
          <w:tcPr>
            <w:tcW w:w="627" w:type="pct"/>
            <w:vMerge w:val="restart"/>
            <w:shd w:val="clear" w:color="auto" w:fill="auto"/>
            <w:noWrap/>
            <w:vAlign w:val="center"/>
            <w:hideMark/>
          </w:tcPr>
          <w:p w14:paraId="310EA4BE" w14:textId="77777777" w:rsidR="001F0E2D" w:rsidRPr="001B6BC7" w:rsidRDefault="001F0E2D" w:rsidP="0013370B">
            <w:pPr>
              <w:pStyle w:val="TableBodyText"/>
              <w:spacing w:before="40" w:after="40"/>
              <w:jc w:val="center"/>
              <w:rPr>
                <w:b w:val="0"/>
                <w:bCs/>
                <w:color w:val="000000"/>
              </w:rPr>
            </w:pPr>
            <w:r>
              <w:rPr>
                <w:b w:val="0"/>
                <w:bCs/>
                <w:color w:val="000000"/>
              </w:rPr>
              <w:t>6</w:t>
            </w:r>
            <w:r w:rsidRPr="001B6BC7">
              <w:rPr>
                <w:b w:val="0"/>
                <w:bCs/>
                <w:color w:val="000000"/>
              </w:rPr>
              <w:t>:</w:t>
            </w:r>
            <w:r>
              <w:rPr>
                <w:b w:val="0"/>
                <w:bCs/>
                <w:color w:val="000000"/>
              </w:rPr>
              <w:t>45</w:t>
            </w:r>
            <w:r w:rsidRPr="001B6BC7">
              <w:rPr>
                <w:b w:val="0"/>
                <w:bCs/>
                <w:color w:val="000000"/>
              </w:rPr>
              <w:t xml:space="preserve"> </w:t>
            </w:r>
            <w:r>
              <w:rPr>
                <w:b w:val="0"/>
                <w:bCs/>
                <w:color w:val="000000"/>
              </w:rPr>
              <w:t>pm</w:t>
            </w:r>
          </w:p>
        </w:tc>
      </w:tr>
      <w:tr w:rsidR="001F0E2D" w:rsidRPr="001B6BC7" w14:paraId="71F1E9C0" w14:textId="77777777" w:rsidTr="00694F94">
        <w:trPr>
          <w:cnfStyle w:val="100000000000" w:firstRow="1" w:lastRow="0" w:firstColumn="0" w:lastColumn="0" w:oddVBand="0" w:evenVBand="0" w:oddHBand="0" w:evenHBand="0" w:firstRowFirstColumn="0" w:firstRowLastColumn="0" w:lastRowFirstColumn="0" w:lastRowLastColumn="0"/>
          <w:cantSplit/>
          <w:tblHeader/>
        </w:trPr>
        <w:tc>
          <w:tcPr>
            <w:tcW w:w="858" w:type="pct"/>
            <w:shd w:val="clear" w:color="auto" w:fill="auto"/>
            <w:noWrap/>
            <w:hideMark/>
          </w:tcPr>
          <w:p w14:paraId="4823BE29" w14:textId="77777777" w:rsidR="001F0E2D" w:rsidRPr="001B6BC7" w:rsidRDefault="001F0E2D" w:rsidP="0013370B">
            <w:pPr>
              <w:pStyle w:val="TableBodyText"/>
              <w:spacing w:before="40" w:after="40"/>
              <w:rPr>
                <w:b w:val="0"/>
                <w:bCs/>
                <w:color w:val="000000"/>
              </w:rPr>
            </w:pPr>
            <w:r w:rsidRPr="001B6BC7">
              <w:rPr>
                <w:b w:val="0"/>
                <w:bCs/>
                <w:color w:val="000000"/>
              </w:rPr>
              <w:t>SA</w:t>
            </w:r>
          </w:p>
        </w:tc>
        <w:tc>
          <w:tcPr>
            <w:tcW w:w="620" w:type="pct"/>
            <w:shd w:val="clear" w:color="auto" w:fill="auto"/>
            <w:noWrap/>
            <w:vAlign w:val="center"/>
            <w:hideMark/>
          </w:tcPr>
          <w:p w14:paraId="1E42FA9F" w14:textId="77777777" w:rsidR="001F0E2D" w:rsidRPr="001B6BC7" w:rsidRDefault="001F0E2D" w:rsidP="0013370B">
            <w:pPr>
              <w:pStyle w:val="TableBodyText"/>
              <w:spacing w:before="40" w:after="40"/>
              <w:jc w:val="center"/>
              <w:rPr>
                <w:b w:val="0"/>
                <w:bCs/>
                <w:color w:val="000000"/>
              </w:rPr>
            </w:pPr>
            <w:r w:rsidRPr="001B6BC7">
              <w:rPr>
                <w:b w:val="0"/>
                <w:bCs/>
                <w:color w:val="000000"/>
              </w:rPr>
              <w:t xml:space="preserve">6:30 </w:t>
            </w:r>
            <w:r>
              <w:rPr>
                <w:b w:val="0"/>
                <w:bCs/>
                <w:color w:val="000000"/>
              </w:rPr>
              <w:t>am</w:t>
            </w:r>
          </w:p>
        </w:tc>
        <w:tc>
          <w:tcPr>
            <w:tcW w:w="918" w:type="pct"/>
            <w:vMerge/>
            <w:shd w:val="clear" w:color="auto" w:fill="auto"/>
            <w:vAlign w:val="center"/>
            <w:hideMark/>
          </w:tcPr>
          <w:p w14:paraId="0A95636E" w14:textId="77777777" w:rsidR="001F0E2D" w:rsidRPr="001B6BC7" w:rsidRDefault="001F0E2D" w:rsidP="0013370B">
            <w:pPr>
              <w:pStyle w:val="TableBodyText"/>
              <w:spacing w:before="40" w:after="40"/>
              <w:jc w:val="center"/>
              <w:rPr>
                <w:b w:val="0"/>
                <w:bCs/>
                <w:color w:val="000000"/>
              </w:rPr>
            </w:pPr>
          </w:p>
        </w:tc>
        <w:tc>
          <w:tcPr>
            <w:tcW w:w="730" w:type="pct"/>
            <w:shd w:val="clear" w:color="auto" w:fill="auto"/>
            <w:noWrap/>
            <w:vAlign w:val="center"/>
            <w:hideMark/>
          </w:tcPr>
          <w:p w14:paraId="2014393F" w14:textId="77777777" w:rsidR="001F0E2D" w:rsidRPr="001B6BC7" w:rsidRDefault="001F0E2D" w:rsidP="0013370B">
            <w:pPr>
              <w:pStyle w:val="TableBodyText"/>
              <w:spacing w:before="40" w:after="40"/>
              <w:jc w:val="center"/>
              <w:rPr>
                <w:b w:val="0"/>
                <w:bCs/>
                <w:color w:val="000000"/>
              </w:rPr>
            </w:pPr>
            <w:r w:rsidRPr="001B6BC7">
              <w:rPr>
                <w:b w:val="0"/>
                <w:bCs/>
                <w:color w:val="000000"/>
              </w:rPr>
              <w:t xml:space="preserve">3:30 </w:t>
            </w:r>
            <w:r>
              <w:rPr>
                <w:b w:val="0"/>
                <w:bCs/>
                <w:color w:val="000000"/>
              </w:rPr>
              <w:t>pm</w:t>
            </w:r>
          </w:p>
        </w:tc>
        <w:tc>
          <w:tcPr>
            <w:tcW w:w="624" w:type="pct"/>
            <w:vMerge/>
            <w:shd w:val="clear" w:color="auto" w:fill="auto"/>
            <w:vAlign w:val="center"/>
            <w:hideMark/>
          </w:tcPr>
          <w:p w14:paraId="42E4E7E6" w14:textId="77777777" w:rsidR="001F0E2D" w:rsidRPr="001B6BC7" w:rsidRDefault="001F0E2D" w:rsidP="0013370B">
            <w:pPr>
              <w:pStyle w:val="TableBodyText"/>
              <w:spacing w:before="40" w:after="40"/>
              <w:jc w:val="center"/>
              <w:rPr>
                <w:b w:val="0"/>
                <w:bCs/>
                <w:color w:val="000000"/>
              </w:rPr>
            </w:pPr>
          </w:p>
        </w:tc>
        <w:tc>
          <w:tcPr>
            <w:tcW w:w="623" w:type="pct"/>
            <w:vMerge/>
            <w:shd w:val="clear" w:color="auto" w:fill="auto"/>
            <w:vAlign w:val="center"/>
            <w:hideMark/>
          </w:tcPr>
          <w:p w14:paraId="62A13D5E" w14:textId="77777777" w:rsidR="001F0E2D" w:rsidRPr="001B6BC7" w:rsidRDefault="001F0E2D" w:rsidP="0013370B">
            <w:pPr>
              <w:pStyle w:val="TableBodyText"/>
              <w:spacing w:before="40" w:after="40"/>
              <w:jc w:val="center"/>
              <w:rPr>
                <w:b w:val="0"/>
                <w:bCs/>
                <w:color w:val="000000"/>
              </w:rPr>
            </w:pPr>
          </w:p>
        </w:tc>
        <w:tc>
          <w:tcPr>
            <w:tcW w:w="627" w:type="pct"/>
            <w:vMerge/>
            <w:shd w:val="clear" w:color="auto" w:fill="auto"/>
            <w:vAlign w:val="center"/>
            <w:hideMark/>
          </w:tcPr>
          <w:p w14:paraId="5EBC1EAE" w14:textId="77777777" w:rsidR="001F0E2D" w:rsidRPr="001B6BC7" w:rsidRDefault="001F0E2D" w:rsidP="0013370B">
            <w:pPr>
              <w:pStyle w:val="TableBodyText"/>
              <w:spacing w:before="40" w:after="40"/>
              <w:jc w:val="center"/>
              <w:rPr>
                <w:b w:val="0"/>
                <w:bCs/>
                <w:color w:val="000000"/>
              </w:rPr>
            </w:pPr>
          </w:p>
        </w:tc>
      </w:tr>
      <w:tr w:rsidR="001F0E2D" w:rsidRPr="001B6BC7" w14:paraId="680D84C6" w14:textId="77777777" w:rsidTr="00694F94">
        <w:trPr>
          <w:cnfStyle w:val="100000000000" w:firstRow="1" w:lastRow="0" w:firstColumn="0" w:lastColumn="0" w:oddVBand="0" w:evenVBand="0" w:oddHBand="0" w:evenHBand="0" w:firstRowFirstColumn="0" w:firstRowLastColumn="0" w:lastRowFirstColumn="0" w:lastRowLastColumn="0"/>
          <w:cantSplit/>
          <w:tblHeader/>
        </w:trPr>
        <w:tc>
          <w:tcPr>
            <w:tcW w:w="858" w:type="pct"/>
            <w:shd w:val="clear" w:color="auto" w:fill="auto"/>
            <w:noWrap/>
            <w:hideMark/>
          </w:tcPr>
          <w:p w14:paraId="68A16435" w14:textId="77777777" w:rsidR="001F0E2D" w:rsidRPr="001B6BC7" w:rsidRDefault="001F0E2D" w:rsidP="0013370B">
            <w:pPr>
              <w:pStyle w:val="TableBodyText"/>
              <w:spacing w:before="40" w:after="40"/>
              <w:rPr>
                <w:b w:val="0"/>
                <w:bCs/>
                <w:color w:val="000000"/>
              </w:rPr>
            </w:pPr>
            <w:r w:rsidRPr="001B6BC7">
              <w:rPr>
                <w:b w:val="0"/>
                <w:bCs/>
                <w:color w:val="000000"/>
              </w:rPr>
              <w:t>Queensland</w:t>
            </w:r>
          </w:p>
        </w:tc>
        <w:tc>
          <w:tcPr>
            <w:tcW w:w="620" w:type="pct"/>
            <w:shd w:val="clear" w:color="auto" w:fill="auto"/>
            <w:noWrap/>
            <w:vAlign w:val="center"/>
            <w:hideMark/>
          </w:tcPr>
          <w:p w14:paraId="128E3008" w14:textId="77777777" w:rsidR="001F0E2D" w:rsidRPr="001B6BC7" w:rsidRDefault="001F0E2D" w:rsidP="0013370B">
            <w:pPr>
              <w:pStyle w:val="TableBodyText"/>
              <w:spacing w:before="40" w:after="40"/>
              <w:jc w:val="center"/>
              <w:rPr>
                <w:b w:val="0"/>
                <w:bCs/>
                <w:color w:val="000000"/>
              </w:rPr>
            </w:pPr>
            <w:r w:rsidRPr="001B6BC7">
              <w:rPr>
                <w:b w:val="0"/>
                <w:bCs/>
                <w:color w:val="000000"/>
              </w:rPr>
              <w:t xml:space="preserve">8:00 </w:t>
            </w:r>
            <w:r>
              <w:rPr>
                <w:b w:val="0"/>
                <w:bCs/>
                <w:color w:val="000000"/>
              </w:rPr>
              <w:t>am</w:t>
            </w:r>
          </w:p>
        </w:tc>
        <w:tc>
          <w:tcPr>
            <w:tcW w:w="918" w:type="pct"/>
            <w:vMerge/>
            <w:shd w:val="clear" w:color="auto" w:fill="auto"/>
            <w:vAlign w:val="center"/>
            <w:hideMark/>
          </w:tcPr>
          <w:p w14:paraId="73D55029" w14:textId="77777777" w:rsidR="001F0E2D" w:rsidRPr="001B6BC7" w:rsidRDefault="001F0E2D" w:rsidP="0013370B">
            <w:pPr>
              <w:pStyle w:val="TableBodyText"/>
              <w:spacing w:before="40" w:after="40"/>
              <w:jc w:val="center"/>
              <w:rPr>
                <w:b w:val="0"/>
                <w:bCs/>
                <w:color w:val="000000"/>
              </w:rPr>
            </w:pPr>
          </w:p>
        </w:tc>
        <w:tc>
          <w:tcPr>
            <w:tcW w:w="730" w:type="pct"/>
            <w:shd w:val="clear" w:color="auto" w:fill="auto"/>
            <w:noWrap/>
            <w:vAlign w:val="center"/>
            <w:hideMark/>
          </w:tcPr>
          <w:p w14:paraId="59712A02" w14:textId="77777777" w:rsidR="001F0E2D" w:rsidRPr="001B6BC7" w:rsidRDefault="001F0E2D" w:rsidP="0013370B">
            <w:pPr>
              <w:pStyle w:val="TableBodyText"/>
              <w:spacing w:before="40" w:after="40"/>
              <w:jc w:val="center"/>
              <w:rPr>
                <w:b w:val="0"/>
                <w:bCs/>
                <w:color w:val="000000"/>
              </w:rPr>
            </w:pPr>
            <w:r w:rsidRPr="001B6BC7">
              <w:rPr>
                <w:b w:val="0"/>
                <w:bCs/>
                <w:color w:val="000000"/>
              </w:rPr>
              <w:t xml:space="preserve">3-4:00 </w:t>
            </w:r>
            <w:r>
              <w:rPr>
                <w:b w:val="0"/>
                <w:bCs/>
                <w:color w:val="000000"/>
              </w:rPr>
              <w:t>pm</w:t>
            </w:r>
          </w:p>
        </w:tc>
        <w:tc>
          <w:tcPr>
            <w:tcW w:w="624" w:type="pct"/>
            <w:vMerge/>
            <w:shd w:val="clear" w:color="auto" w:fill="auto"/>
            <w:vAlign w:val="center"/>
            <w:hideMark/>
          </w:tcPr>
          <w:p w14:paraId="656564F8" w14:textId="77777777" w:rsidR="001F0E2D" w:rsidRPr="001B6BC7" w:rsidRDefault="001F0E2D" w:rsidP="0013370B">
            <w:pPr>
              <w:pStyle w:val="TableBodyText"/>
              <w:spacing w:before="40" w:after="40"/>
              <w:jc w:val="center"/>
              <w:rPr>
                <w:b w:val="0"/>
                <w:bCs/>
                <w:color w:val="000000"/>
              </w:rPr>
            </w:pPr>
          </w:p>
        </w:tc>
        <w:tc>
          <w:tcPr>
            <w:tcW w:w="623" w:type="pct"/>
            <w:vMerge/>
            <w:shd w:val="clear" w:color="auto" w:fill="auto"/>
            <w:vAlign w:val="center"/>
            <w:hideMark/>
          </w:tcPr>
          <w:p w14:paraId="7DDF5A8D" w14:textId="77777777" w:rsidR="001F0E2D" w:rsidRPr="001B6BC7" w:rsidRDefault="001F0E2D" w:rsidP="0013370B">
            <w:pPr>
              <w:pStyle w:val="TableBodyText"/>
              <w:spacing w:before="40" w:after="40"/>
              <w:jc w:val="center"/>
              <w:rPr>
                <w:b w:val="0"/>
                <w:bCs/>
                <w:color w:val="000000"/>
              </w:rPr>
            </w:pPr>
          </w:p>
        </w:tc>
        <w:tc>
          <w:tcPr>
            <w:tcW w:w="627" w:type="pct"/>
            <w:vMerge/>
            <w:shd w:val="clear" w:color="auto" w:fill="auto"/>
            <w:vAlign w:val="center"/>
            <w:hideMark/>
          </w:tcPr>
          <w:p w14:paraId="7CA1D8F7" w14:textId="77777777" w:rsidR="001F0E2D" w:rsidRPr="001B6BC7" w:rsidRDefault="001F0E2D" w:rsidP="0013370B">
            <w:pPr>
              <w:pStyle w:val="TableBodyText"/>
              <w:spacing w:before="40" w:after="40"/>
              <w:jc w:val="center"/>
              <w:rPr>
                <w:b w:val="0"/>
                <w:bCs/>
                <w:color w:val="000000"/>
              </w:rPr>
            </w:pPr>
          </w:p>
        </w:tc>
      </w:tr>
      <w:tr w:rsidR="001F0E2D" w:rsidRPr="001B6BC7" w14:paraId="2F3DA1F4" w14:textId="77777777" w:rsidTr="00694F94">
        <w:trPr>
          <w:cnfStyle w:val="100000000000" w:firstRow="1" w:lastRow="0" w:firstColumn="0" w:lastColumn="0" w:oddVBand="0" w:evenVBand="0" w:oddHBand="0" w:evenHBand="0" w:firstRowFirstColumn="0" w:firstRowLastColumn="0" w:lastRowFirstColumn="0" w:lastRowLastColumn="0"/>
          <w:cantSplit/>
          <w:tblHeader/>
        </w:trPr>
        <w:tc>
          <w:tcPr>
            <w:tcW w:w="858" w:type="pct"/>
            <w:shd w:val="clear" w:color="auto" w:fill="auto"/>
            <w:noWrap/>
            <w:hideMark/>
          </w:tcPr>
          <w:p w14:paraId="69AB824F" w14:textId="77777777" w:rsidR="001F0E2D" w:rsidRPr="001B6BC7" w:rsidRDefault="001F0E2D" w:rsidP="0013370B">
            <w:pPr>
              <w:pStyle w:val="TableBodyText"/>
              <w:spacing w:before="40" w:after="40"/>
              <w:rPr>
                <w:b w:val="0"/>
                <w:bCs/>
                <w:color w:val="000000"/>
              </w:rPr>
            </w:pPr>
            <w:r w:rsidRPr="001B6BC7">
              <w:rPr>
                <w:b w:val="0"/>
                <w:bCs/>
                <w:color w:val="000000"/>
              </w:rPr>
              <w:t>Tasmania</w:t>
            </w:r>
          </w:p>
        </w:tc>
        <w:tc>
          <w:tcPr>
            <w:tcW w:w="620" w:type="pct"/>
            <w:shd w:val="clear" w:color="auto" w:fill="auto"/>
            <w:noWrap/>
            <w:vAlign w:val="center"/>
            <w:hideMark/>
          </w:tcPr>
          <w:p w14:paraId="73B2FD7E" w14:textId="77777777" w:rsidR="001F0E2D" w:rsidRPr="001B6BC7" w:rsidRDefault="001F0E2D" w:rsidP="0013370B">
            <w:pPr>
              <w:pStyle w:val="TableBodyText"/>
              <w:spacing w:before="40" w:after="40"/>
              <w:jc w:val="center"/>
              <w:rPr>
                <w:b w:val="0"/>
                <w:bCs/>
                <w:color w:val="000000"/>
              </w:rPr>
            </w:pPr>
            <w:r w:rsidRPr="001B6BC7">
              <w:rPr>
                <w:b w:val="0"/>
                <w:bCs/>
                <w:color w:val="000000"/>
              </w:rPr>
              <w:t>6</w:t>
            </w:r>
            <w:r>
              <w:rPr>
                <w:b w:val="0"/>
                <w:bCs/>
                <w:color w:val="000000"/>
              </w:rPr>
              <w:t>:</w:t>
            </w:r>
            <w:r w:rsidRPr="001B6BC7">
              <w:rPr>
                <w:b w:val="0"/>
                <w:bCs/>
                <w:color w:val="000000"/>
              </w:rPr>
              <w:t xml:space="preserve">30 </w:t>
            </w:r>
            <w:r>
              <w:rPr>
                <w:b w:val="0"/>
                <w:bCs/>
                <w:color w:val="000000"/>
              </w:rPr>
              <w:t>am</w:t>
            </w:r>
          </w:p>
        </w:tc>
        <w:tc>
          <w:tcPr>
            <w:tcW w:w="918" w:type="pct"/>
            <w:vMerge/>
            <w:shd w:val="clear" w:color="auto" w:fill="auto"/>
            <w:vAlign w:val="center"/>
            <w:hideMark/>
          </w:tcPr>
          <w:p w14:paraId="34B3C116" w14:textId="77777777" w:rsidR="001F0E2D" w:rsidRPr="001B6BC7" w:rsidRDefault="001F0E2D" w:rsidP="0013370B">
            <w:pPr>
              <w:pStyle w:val="TableBodyText"/>
              <w:spacing w:before="40" w:after="40"/>
              <w:jc w:val="center"/>
              <w:rPr>
                <w:b w:val="0"/>
                <w:bCs/>
                <w:color w:val="000000"/>
              </w:rPr>
            </w:pPr>
          </w:p>
        </w:tc>
        <w:tc>
          <w:tcPr>
            <w:tcW w:w="730" w:type="pct"/>
            <w:shd w:val="clear" w:color="auto" w:fill="auto"/>
            <w:noWrap/>
            <w:vAlign w:val="center"/>
            <w:hideMark/>
          </w:tcPr>
          <w:p w14:paraId="6F033BA3" w14:textId="77777777" w:rsidR="001F0E2D" w:rsidRPr="001B6BC7" w:rsidRDefault="001F0E2D" w:rsidP="0013370B">
            <w:pPr>
              <w:pStyle w:val="TableBodyText"/>
              <w:spacing w:before="40" w:after="40"/>
              <w:jc w:val="center"/>
              <w:rPr>
                <w:b w:val="0"/>
                <w:bCs/>
                <w:color w:val="000000"/>
              </w:rPr>
            </w:pPr>
            <w:r w:rsidRPr="001B6BC7">
              <w:rPr>
                <w:b w:val="0"/>
                <w:bCs/>
                <w:color w:val="000000"/>
              </w:rPr>
              <w:t>1</w:t>
            </w:r>
            <w:r>
              <w:rPr>
                <w:b w:val="0"/>
                <w:bCs/>
                <w:color w:val="000000"/>
              </w:rPr>
              <w:t>:</w:t>
            </w:r>
            <w:r w:rsidRPr="001B6BC7">
              <w:rPr>
                <w:b w:val="0"/>
                <w:bCs/>
                <w:color w:val="000000"/>
              </w:rPr>
              <w:t xml:space="preserve">30 </w:t>
            </w:r>
            <w:r>
              <w:rPr>
                <w:b w:val="0"/>
                <w:bCs/>
                <w:color w:val="000000"/>
              </w:rPr>
              <w:t>pm</w:t>
            </w:r>
          </w:p>
        </w:tc>
        <w:tc>
          <w:tcPr>
            <w:tcW w:w="624" w:type="pct"/>
            <w:vMerge/>
            <w:shd w:val="clear" w:color="auto" w:fill="auto"/>
            <w:vAlign w:val="center"/>
            <w:hideMark/>
          </w:tcPr>
          <w:p w14:paraId="6A13C377" w14:textId="77777777" w:rsidR="001F0E2D" w:rsidRPr="001B6BC7" w:rsidRDefault="001F0E2D" w:rsidP="0013370B">
            <w:pPr>
              <w:pStyle w:val="TableBodyText"/>
              <w:spacing w:before="40" w:after="40"/>
              <w:jc w:val="center"/>
              <w:rPr>
                <w:b w:val="0"/>
                <w:bCs/>
                <w:color w:val="000000"/>
              </w:rPr>
            </w:pPr>
          </w:p>
        </w:tc>
        <w:tc>
          <w:tcPr>
            <w:tcW w:w="623" w:type="pct"/>
            <w:vMerge/>
            <w:shd w:val="clear" w:color="auto" w:fill="auto"/>
            <w:vAlign w:val="center"/>
            <w:hideMark/>
          </w:tcPr>
          <w:p w14:paraId="133E91C3" w14:textId="77777777" w:rsidR="001F0E2D" w:rsidRPr="001B6BC7" w:rsidRDefault="001F0E2D" w:rsidP="0013370B">
            <w:pPr>
              <w:pStyle w:val="TableBodyText"/>
              <w:spacing w:before="40" w:after="40"/>
              <w:jc w:val="center"/>
              <w:rPr>
                <w:b w:val="0"/>
                <w:bCs/>
                <w:color w:val="000000"/>
              </w:rPr>
            </w:pPr>
          </w:p>
        </w:tc>
        <w:tc>
          <w:tcPr>
            <w:tcW w:w="627" w:type="pct"/>
            <w:vMerge/>
            <w:shd w:val="clear" w:color="auto" w:fill="auto"/>
            <w:vAlign w:val="center"/>
            <w:hideMark/>
          </w:tcPr>
          <w:p w14:paraId="626A9E09" w14:textId="77777777" w:rsidR="001F0E2D" w:rsidRPr="001B6BC7" w:rsidRDefault="001F0E2D" w:rsidP="0013370B">
            <w:pPr>
              <w:pStyle w:val="TableBodyText"/>
              <w:spacing w:before="40" w:after="40"/>
              <w:jc w:val="center"/>
              <w:rPr>
                <w:b w:val="0"/>
                <w:bCs/>
                <w:color w:val="000000"/>
              </w:rPr>
            </w:pPr>
          </w:p>
        </w:tc>
      </w:tr>
      <w:tr w:rsidR="001F0E2D" w:rsidRPr="001B6BC7" w14:paraId="76859B53" w14:textId="77777777" w:rsidTr="00694F94">
        <w:trPr>
          <w:cnfStyle w:val="100000000000" w:firstRow="1" w:lastRow="0" w:firstColumn="0" w:lastColumn="0" w:oddVBand="0" w:evenVBand="0" w:oddHBand="0" w:evenHBand="0" w:firstRowFirstColumn="0" w:firstRowLastColumn="0" w:lastRowFirstColumn="0" w:lastRowLastColumn="0"/>
          <w:cantSplit/>
          <w:tblHeader/>
        </w:trPr>
        <w:tc>
          <w:tcPr>
            <w:tcW w:w="858" w:type="pct"/>
            <w:shd w:val="clear" w:color="auto" w:fill="auto"/>
            <w:noWrap/>
          </w:tcPr>
          <w:p w14:paraId="6A7AC995" w14:textId="77777777" w:rsidR="001F0E2D" w:rsidRPr="001B6BC7" w:rsidRDefault="001F0E2D" w:rsidP="0013370B">
            <w:pPr>
              <w:pStyle w:val="TableBodyText"/>
              <w:spacing w:before="40" w:after="40"/>
              <w:rPr>
                <w:b w:val="0"/>
                <w:bCs/>
                <w:color w:val="000000"/>
              </w:rPr>
            </w:pPr>
            <w:r>
              <w:rPr>
                <w:b w:val="0"/>
                <w:bCs/>
                <w:color w:val="000000"/>
              </w:rPr>
              <w:t>Northern Territory</w:t>
            </w:r>
          </w:p>
        </w:tc>
        <w:tc>
          <w:tcPr>
            <w:tcW w:w="620" w:type="pct"/>
            <w:shd w:val="clear" w:color="auto" w:fill="auto"/>
            <w:noWrap/>
            <w:vAlign w:val="center"/>
          </w:tcPr>
          <w:p w14:paraId="03943EF6" w14:textId="77777777" w:rsidR="001F0E2D" w:rsidRPr="001B6BC7" w:rsidRDefault="001F0E2D" w:rsidP="007C71D2">
            <w:pPr>
              <w:pStyle w:val="TableBodyText"/>
              <w:spacing w:before="40" w:after="40"/>
              <w:jc w:val="center"/>
              <w:rPr>
                <w:b w:val="0"/>
                <w:bCs/>
                <w:color w:val="000000"/>
              </w:rPr>
            </w:pPr>
            <w:r>
              <w:rPr>
                <w:b w:val="0"/>
                <w:bCs/>
                <w:color w:val="000000"/>
              </w:rPr>
              <w:t>8</w:t>
            </w:r>
            <w:r w:rsidR="007C71D2">
              <w:rPr>
                <w:b w:val="0"/>
                <w:bCs/>
                <w:color w:val="000000"/>
              </w:rPr>
              <w:t>:</w:t>
            </w:r>
            <w:r>
              <w:rPr>
                <w:b w:val="0"/>
                <w:bCs/>
                <w:color w:val="000000"/>
              </w:rPr>
              <w:t>30 am</w:t>
            </w:r>
          </w:p>
        </w:tc>
        <w:tc>
          <w:tcPr>
            <w:tcW w:w="918" w:type="pct"/>
            <w:shd w:val="clear" w:color="auto" w:fill="auto"/>
            <w:vAlign w:val="center"/>
          </w:tcPr>
          <w:p w14:paraId="69401112" w14:textId="77777777" w:rsidR="001F0E2D" w:rsidRPr="001B6BC7" w:rsidRDefault="001F0E2D" w:rsidP="0013370B">
            <w:pPr>
              <w:pStyle w:val="TableBodyText"/>
              <w:spacing w:before="40" w:after="40"/>
              <w:jc w:val="center"/>
              <w:rPr>
                <w:b w:val="0"/>
                <w:bCs/>
                <w:color w:val="000000"/>
              </w:rPr>
            </w:pPr>
            <w:proofErr w:type="spellStart"/>
            <w:r>
              <w:rPr>
                <w:b w:val="0"/>
                <w:bCs/>
                <w:color w:val="000000"/>
              </w:rPr>
              <w:t>n.a</w:t>
            </w:r>
            <w:proofErr w:type="spellEnd"/>
            <w:r>
              <w:rPr>
                <w:b w:val="0"/>
                <w:bCs/>
                <w:color w:val="000000"/>
              </w:rPr>
              <w:t>.</w:t>
            </w:r>
          </w:p>
        </w:tc>
        <w:tc>
          <w:tcPr>
            <w:tcW w:w="730" w:type="pct"/>
            <w:shd w:val="clear" w:color="auto" w:fill="auto"/>
            <w:noWrap/>
            <w:vAlign w:val="center"/>
          </w:tcPr>
          <w:p w14:paraId="59DBD819" w14:textId="77777777" w:rsidR="001F0E2D" w:rsidRPr="001B6BC7" w:rsidRDefault="001F0E2D" w:rsidP="0013370B">
            <w:pPr>
              <w:pStyle w:val="TableBodyText"/>
              <w:spacing w:before="40" w:after="40"/>
              <w:jc w:val="center"/>
              <w:rPr>
                <w:b w:val="0"/>
                <w:bCs/>
                <w:color w:val="000000"/>
              </w:rPr>
            </w:pPr>
            <w:r>
              <w:rPr>
                <w:b w:val="0"/>
                <w:bCs/>
                <w:color w:val="000000"/>
              </w:rPr>
              <w:t>2-2:30 pm</w:t>
            </w:r>
          </w:p>
        </w:tc>
        <w:tc>
          <w:tcPr>
            <w:tcW w:w="624" w:type="pct"/>
            <w:vMerge/>
            <w:shd w:val="clear" w:color="auto" w:fill="auto"/>
            <w:vAlign w:val="center"/>
          </w:tcPr>
          <w:p w14:paraId="61FE1AE3" w14:textId="77777777" w:rsidR="001F0E2D" w:rsidRPr="001B6BC7" w:rsidRDefault="001F0E2D" w:rsidP="0013370B">
            <w:pPr>
              <w:pStyle w:val="TableBodyText"/>
              <w:spacing w:before="40" w:after="40"/>
              <w:jc w:val="center"/>
              <w:rPr>
                <w:b w:val="0"/>
                <w:bCs/>
                <w:color w:val="000000"/>
              </w:rPr>
            </w:pPr>
          </w:p>
        </w:tc>
        <w:tc>
          <w:tcPr>
            <w:tcW w:w="623" w:type="pct"/>
            <w:vMerge/>
            <w:shd w:val="clear" w:color="auto" w:fill="auto"/>
            <w:vAlign w:val="center"/>
          </w:tcPr>
          <w:p w14:paraId="6C5A4E34" w14:textId="77777777" w:rsidR="001F0E2D" w:rsidRPr="001B6BC7" w:rsidRDefault="001F0E2D" w:rsidP="0013370B">
            <w:pPr>
              <w:pStyle w:val="TableBodyText"/>
              <w:spacing w:before="40" w:after="40"/>
              <w:jc w:val="center"/>
              <w:rPr>
                <w:b w:val="0"/>
                <w:bCs/>
                <w:color w:val="000000"/>
              </w:rPr>
            </w:pPr>
          </w:p>
        </w:tc>
        <w:tc>
          <w:tcPr>
            <w:tcW w:w="627" w:type="pct"/>
            <w:vMerge/>
            <w:shd w:val="clear" w:color="auto" w:fill="auto"/>
            <w:vAlign w:val="center"/>
          </w:tcPr>
          <w:p w14:paraId="5F7715A1" w14:textId="77777777" w:rsidR="001F0E2D" w:rsidRPr="001B6BC7" w:rsidRDefault="001F0E2D" w:rsidP="0013370B">
            <w:pPr>
              <w:pStyle w:val="TableBodyText"/>
              <w:spacing w:before="40" w:after="40"/>
              <w:jc w:val="center"/>
              <w:rPr>
                <w:b w:val="0"/>
                <w:bCs/>
                <w:color w:val="000000"/>
              </w:rPr>
            </w:pPr>
          </w:p>
        </w:tc>
      </w:tr>
      <w:tr w:rsidR="001F0E2D" w:rsidRPr="001B6BC7" w14:paraId="12C321C5" w14:textId="77777777" w:rsidTr="00694F94">
        <w:trPr>
          <w:cnfStyle w:val="100000000000" w:firstRow="1" w:lastRow="0" w:firstColumn="0" w:lastColumn="0" w:oddVBand="0" w:evenVBand="0" w:oddHBand="0" w:evenHBand="0" w:firstRowFirstColumn="0" w:firstRowLastColumn="0" w:lastRowFirstColumn="0" w:lastRowLastColumn="0"/>
          <w:cantSplit/>
          <w:tblHeader/>
        </w:trPr>
        <w:tc>
          <w:tcPr>
            <w:tcW w:w="858" w:type="pct"/>
            <w:tcBorders>
              <w:bottom w:val="single" w:sz="4" w:space="0" w:color="auto"/>
            </w:tcBorders>
            <w:shd w:val="clear" w:color="auto" w:fill="auto"/>
            <w:noWrap/>
            <w:hideMark/>
          </w:tcPr>
          <w:p w14:paraId="7EA4B72F" w14:textId="77777777" w:rsidR="001F0E2D" w:rsidRPr="001B6BC7" w:rsidRDefault="001F0E2D" w:rsidP="0013370B">
            <w:pPr>
              <w:pStyle w:val="TableBodyText"/>
              <w:spacing w:before="40" w:after="40"/>
              <w:rPr>
                <w:b w:val="0"/>
                <w:bCs/>
                <w:color w:val="000000"/>
              </w:rPr>
            </w:pPr>
            <w:r w:rsidRPr="001B6BC7">
              <w:rPr>
                <w:b w:val="0"/>
                <w:bCs/>
                <w:color w:val="000000"/>
              </w:rPr>
              <w:t>Victoria</w:t>
            </w:r>
          </w:p>
        </w:tc>
        <w:tc>
          <w:tcPr>
            <w:tcW w:w="620" w:type="pct"/>
            <w:tcBorders>
              <w:bottom w:val="single" w:sz="4" w:space="0" w:color="auto"/>
            </w:tcBorders>
            <w:shd w:val="clear" w:color="auto" w:fill="auto"/>
            <w:noWrap/>
            <w:vAlign w:val="center"/>
            <w:hideMark/>
          </w:tcPr>
          <w:p w14:paraId="101485FB" w14:textId="77777777" w:rsidR="001F0E2D" w:rsidRPr="001B6BC7" w:rsidRDefault="001F0E2D" w:rsidP="0013370B">
            <w:pPr>
              <w:pStyle w:val="TableBodyText"/>
              <w:spacing w:before="40" w:after="40"/>
              <w:jc w:val="center"/>
              <w:rPr>
                <w:b w:val="0"/>
                <w:bCs/>
                <w:color w:val="000000"/>
              </w:rPr>
            </w:pPr>
            <w:r w:rsidRPr="001B6BC7">
              <w:rPr>
                <w:b w:val="0"/>
                <w:bCs/>
                <w:color w:val="000000"/>
              </w:rPr>
              <w:t xml:space="preserve">6:00 </w:t>
            </w:r>
            <w:r>
              <w:rPr>
                <w:b w:val="0"/>
                <w:bCs/>
                <w:color w:val="000000"/>
              </w:rPr>
              <w:t>am</w:t>
            </w:r>
          </w:p>
        </w:tc>
        <w:tc>
          <w:tcPr>
            <w:tcW w:w="918" w:type="pct"/>
            <w:tcBorders>
              <w:bottom w:val="single" w:sz="4" w:space="0" w:color="auto"/>
            </w:tcBorders>
            <w:shd w:val="clear" w:color="auto" w:fill="auto"/>
            <w:noWrap/>
            <w:vAlign w:val="center"/>
            <w:hideMark/>
          </w:tcPr>
          <w:p w14:paraId="7E64A40E" w14:textId="77777777" w:rsidR="001F0E2D" w:rsidRPr="001B6BC7" w:rsidRDefault="001F0E2D" w:rsidP="0013370B">
            <w:pPr>
              <w:pStyle w:val="TableBodyText"/>
              <w:spacing w:before="40" w:after="40"/>
              <w:jc w:val="center"/>
              <w:rPr>
                <w:b w:val="0"/>
                <w:bCs/>
                <w:color w:val="000000"/>
              </w:rPr>
            </w:pPr>
            <w:proofErr w:type="spellStart"/>
            <w:r w:rsidRPr="001B6BC7">
              <w:rPr>
                <w:b w:val="0"/>
                <w:bCs/>
                <w:color w:val="000000"/>
              </w:rPr>
              <w:t>n.a</w:t>
            </w:r>
            <w:proofErr w:type="spellEnd"/>
            <w:r w:rsidRPr="001B6BC7">
              <w:rPr>
                <w:b w:val="0"/>
                <w:bCs/>
                <w:color w:val="000000"/>
              </w:rPr>
              <w:t>.</w:t>
            </w:r>
          </w:p>
        </w:tc>
        <w:tc>
          <w:tcPr>
            <w:tcW w:w="730" w:type="pct"/>
            <w:tcBorders>
              <w:bottom w:val="single" w:sz="4" w:space="0" w:color="auto"/>
            </w:tcBorders>
            <w:shd w:val="clear" w:color="auto" w:fill="auto"/>
            <w:noWrap/>
            <w:vAlign w:val="center"/>
            <w:hideMark/>
          </w:tcPr>
          <w:p w14:paraId="75F69DED" w14:textId="77777777" w:rsidR="001F0E2D" w:rsidRPr="001B6BC7" w:rsidRDefault="001F0E2D" w:rsidP="0013370B">
            <w:pPr>
              <w:pStyle w:val="TableBodyText"/>
              <w:spacing w:before="40" w:after="40"/>
              <w:jc w:val="center"/>
              <w:rPr>
                <w:b w:val="0"/>
                <w:bCs/>
                <w:color w:val="000000"/>
              </w:rPr>
            </w:pPr>
            <w:proofErr w:type="spellStart"/>
            <w:r w:rsidRPr="001B6BC7">
              <w:rPr>
                <w:b w:val="0"/>
                <w:bCs/>
                <w:color w:val="000000"/>
              </w:rPr>
              <w:t>n.a</w:t>
            </w:r>
            <w:proofErr w:type="spellEnd"/>
            <w:r w:rsidRPr="001B6BC7">
              <w:rPr>
                <w:b w:val="0"/>
                <w:bCs/>
                <w:color w:val="000000"/>
              </w:rPr>
              <w:t>.</w:t>
            </w:r>
          </w:p>
        </w:tc>
        <w:tc>
          <w:tcPr>
            <w:tcW w:w="624" w:type="pct"/>
            <w:tcBorders>
              <w:bottom w:val="single" w:sz="4" w:space="0" w:color="auto"/>
            </w:tcBorders>
            <w:shd w:val="clear" w:color="auto" w:fill="auto"/>
            <w:noWrap/>
            <w:vAlign w:val="center"/>
            <w:hideMark/>
          </w:tcPr>
          <w:p w14:paraId="11157C38" w14:textId="77777777" w:rsidR="001F0E2D" w:rsidRPr="001B6BC7" w:rsidRDefault="001F0E2D" w:rsidP="0013370B">
            <w:pPr>
              <w:pStyle w:val="TableBodyText"/>
              <w:spacing w:before="40" w:after="40"/>
              <w:jc w:val="center"/>
              <w:rPr>
                <w:b w:val="0"/>
                <w:bCs/>
                <w:color w:val="000000"/>
              </w:rPr>
            </w:pPr>
            <w:proofErr w:type="spellStart"/>
            <w:r w:rsidRPr="001B6BC7">
              <w:rPr>
                <w:b w:val="0"/>
                <w:bCs/>
                <w:color w:val="000000"/>
              </w:rPr>
              <w:t>n.a</w:t>
            </w:r>
            <w:proofErr w:type="spellEnd"/>
            <w:r w:rsidRPr="001B6BC7">
              <w:rPr>
                <w:b w:val="0"/>
                <w:bCs/>
                <w:color w:val="000000"/>
              </w:rPr>
              <w:t>.</w:t>
            </w:r>
          </w:p>
        </w:tc>
        <w:tc>
          <w:tcPr>
            <w:tcW w:w="623" w:type="pct"/>
            <w:tcBorders>
              <w:bottom w:val="single" w:sz="4" w:space="0" w:color="auto"/>
            </w:tcBorders>
            <w:shd w:val="clear" w:color="auto" w:fill="auto"/>
            <w:noWrap/>
            <w:vAlign w:val="center"/>
            <w:hideMark/>
          </w:tcPr>
          <w:p w14:paraId="004B3236" w14:textId="77777777" w:rsidR="001F0E2D" w:rsidRPr="001B6BC7" w:rsidRDefault="001F0E2D" w:rsidP="0013370B">
            <w:pPr>
              <w:pStyle w:val="TableBodyText"/>
              <w:spacing w:before="40" w:after="40"/>
              <w:jc w:val="center"/>
              <w:rPr>
                <w:b w:val="0"/>
                <w:bCs/>
                <w:color w:val="000000"/>
              </w:rPr>
            </w:pPr>
            <w:proofErr w:type="spellStart"/>
            <w:r w:rsidRPr="001B6BC7">
              <w:rPr>
                <w:b w:val="0"/>
                <w:bCs/>
                <w:color w:val="000000"/>
              </w:rPr>
              <w:t>n.a</w:t>
            </w:r>
            <w:proofErr w:type="spellEnd"/>
            <w:r w:rsidRPr="001B6BC7">
              <w:rPr>
                <w:b w:val="0"/>
                <w:bCs/>
                <w:color w:val="000000"/>
              </w:rPr>
              <w:t>.</w:t>
            </w:r>
          </w:p>
        </w:tc>
        <w:tc>
          <w:tcPr>
            <w:tcW w:w="627" w:type="pct"/>
            <w:tcBorders>
              <w:bottom w:val="single" w:sz="4" w:space="0" w:color="auto"/>
            </w:tcBorders>
            <w:shd w:val="clear" w:color="auto" w:fill="auto"/>
            <w:noWrap/>
            <w:vAlign w:val="center"/>
            <w:hideMark/>
          </w:tcPr>
          <w:p w14:paraId="5FD1E821" w14:textId="77777777" w:rsidR="001F0E2D" w:rsidRPr="001B6BC7" w:rsidRDefault="001F0E2D" w:rsidP="0013370B">
            <w:pPr>
              <w:pStyle w:val="TableBodyText"/>
              <w:spacing w:before="40" w:after="40"/>
              <w:jc w:val="center"/>
              <w:rPr>
                <w:b w:val="0"/>
                <w:bCs/>
                <w:color w:val="000000"/>
              </w:rPr>
            </w:pPr>
            <w:proofErr w:type="spellStart"/>
            <w:r w:rsidRPr="001B6BC7">
              <w:rPr>
                <w:b w:val="0"/>
                <w:bCs/>
                <w:color w:val="000000"/>
              </w:rPr>
              <w:t>n.a</w:t>
            </w:r>
            <w:proofErr w:type="spellEnd"/>
            <w:r w:rsidRPr="001B6BC7">
              <w:rPr>
                <w:b w:val="0"/>
                <w:bCs/>
                <w:color w:val="000000"/>
              </w:rPr>
              <w:t>.</w:t>
            </w:r>
          </w:p>
        </w:tc>
      </w:tr>
      <w:tr w:rsidR="001F0E2D" w:rsidRPr="001B6BC7" w14:paraId="271F7929" w14:textId="77777777" w:rsidTr="00694F94">
        <w:trPr>
          <w:cnfStyle w:val="100000000000" w:firstRow="1" w:lastRow="0" w:firstColumn="0" w:lastColumn="0" w:oddVBand="0" w:evenVBand="0" w:oddHBand="0" w:evenHBand="0" w:firstRowFirstColumn="0" w:firstRowLastColumn="0" w:lastRowFirstColumn="0" w:lastRowLastColumn="0"/>
          <w:cantSplit/>
          <w:tblHeader/>
        </w:trPr>
        <w:tc>
          <w:tcPr>
            <w:tcW w:w="5000" w:type="pct"/>
            <w:gridSpan w:val="7"/>
            <w:shd w:val="clear" w:color="auto" w:fill="D9D9D9" w:themeFill="background1" w:themeFillShade="D9"/>
            <w:noWrap/>
            <w:vAlign w:val="center"/>
            <w:hideMark/>
          </w:tcPr>
          <w:p w14:paraId="62F33404" w14:textId="77777777" w:rsidR="001F0E2D" w:rsidRPr="001B6BC7" w:rsidRDefault="001F0E2D" w:rsidP="0013370B">
            <w:pPr>
              <w:pStyle w:val="TableBodyText"/>
              <w:spacing w:before="40" w:after="40"/>
              <w:jc w:val="center"/>
              <w:rPr>
                <w:bCs/>
                <w:color w:val="000000"/>
              </w:rPr>
            </w:pPr>
            <w:r w:rsidRPr="001B6BC7">
              <w:rPr>
                <w:bCs/>
                <w:color w:val="000000"/>
              </w:rPr>
              <w:t>Harmonised Gas Day and Nomination Cut-Off Times</w:t>
            </w:r>
          </w:p>
        </w:tc>
      </w:tr>
      <w:tr w:rsidR="001F0E2D" w:rsidRPr="001B6BC7" w14:paraId="3B87C97D" w14:textId="77777777" w:rsidTr="00694F94">
        <w:trPr>
          <w:cnfStyle w:val="100000000000" w:firstRow="1" w:lastRow="0" w:firstColumn="0" w:lastColumn="0" w:oddVBand="0" w:evenVBand="0" w:oddHBand="0" w:evenHBand="0" w:firstRowFirstColumn="0" w:firstRowLastColumn="0" w:lastRowFirstColumn="0" w:lastRowLastColumn="0"/>
          <w:cantSplit/>
          <w:tblHeader/>
        </w:trPr>
        <w:tc>
          <w:tcPr>
            <w:tcW w:w="858" w:type="pct"/>
            <w:shd w:val="clear" w:color="auto" w:fill="auto"/>
            <w:noWrap/>
            <w:hideMark/>
          </w:tcPr>
          <w:p w14:paraId="7D77EF76" w14:textId="77777777" w:rsidR="001F0E2D" w:rsidRPr="001B6BC7" w:rsidRDefault="001F0E2D" w:rsidP="0013370B">
            <w:pPr>
              <w:pStyle w:val="TableBodyText"/>
              <w:spacing w:before="40" w:after="40"/>
              <w:rPr>
                <w:b w:val="0"/>
                <w:bCs/>
                <w:color w:val="000000"/>
              </w:rPr>
            </w:pPr>
            <w:r w:rsidRPr="001B6BC7">
              <w:rPr>
                <w:b w:val="0"/>
                <w:bCs/>
                <w:color w:val="000000"/>
              </w:rPr>
              <w:t>NSW/ACT</w:t>
            </w:r>
          </w:p>
        </w:tc>
        <w:tc>
          <w:tcPr>
            <w:tcW w:w="620" w:type="pct"/>
            <w:vMerge w:val="restart"/>
            <w:shd w:val="clear" w:color="auto" w:fill="auto"/>
            <w:noWrap/>
            <w:vAlign w:val="center"/>
            <w:hideMark/>
          </w:tcPr>
          <w:p w14:paraId="7D2A6C56" w14:textId="77777777" w:rsidR="001F0E2D" w:rsidRPr="00126476" w:rsidRDefault="001F0E2D" w:rsidP="0013370B">
            <w:pPr>
              <w:pStyle w:val="TableBodyText"/>
              <w:spacing w:before="40" w:after="40"/>
              <w:jc w:val="center"/>
              <w:rPr>
                <w:b w:val="0"/>
                <w:bCs/>
                <w:color w:val="000000"/>
              </w:rPr>
            </w:pPr>
            <w:r w:rsidRPr="00126476">
              <w:rPr>
                <w:b w:val="0"/>
                <w:bCs/>
                <w:color w:val="000000"/>
              </w:rPr>
              <w:t>6:00 am</w:t>
            </w:r>
          </w:p>
        </w:tc>
        <w:tc>
          <w:tcPr>
            <w:tcW w:w="918" w:type="pct"/>
            <w:vMerge w:val="restart"/>
            <w:shd w:val="clear" w:color="auto" w:fill="auto"/>
            <w:noWrap/>
            <w:vAlign w:val="center"/>
            <w:hideMark/>
          </w:tcPr>
          <w:p w14:paraId="5F8B23CA" w14:textId="77777777" w:rsidR="001F0E2D" w:rsidRPr="00126476" w:rsidRDefault="001F0E2D" w:rsidP="0013370B">
            <w:pPr>
              <w:pStyle w:val="TableBodyText"/>
              <w:spacing w:before="40" w:after="40"/>
              <w:jc w:val="center"/>
              <w:rPr>
                <w:b w:val="0"/>
                <w:bCs/>
                <w:color w:val="000000"/>
              </w:rPr>
            </w:pPr>
            <w:r>
              <w:rPr>
                <w:b w:val="0"/>
                <w:bCs/>
                <w:color w:val="000000"/>
              </w:rPr>
              <w:br/>
              <w:t>12:3</w:t>
            </w:r>
            <w:r w:rsidRPr="00126476">
              <w:rPr>
                <w:b w:val="0"/>
                <w:bCs/>
                <w:color w:val="000000"/>
              </w:rPr>
              <w:t>0 pm</w:t>
            </w:r>
          </w:p>
        </w:tc>
        <w:tc>
          <w:tcPr>
            <w:tcW w:w="730" w:type="pct"/>
            <w:vMerge w:val="restart"/>
            <w:shd w:val="clear" w:color="auto" w:fill="auto"/>
            <w:noWrap/>
            <w:vAlign w:val="center"/>
            <w:hideMark/>
          </w:tcPr>
          <w:p w14:paraId="77E8E2A8" w14:textId="77777777" w:rsidR="001F0E2D" w:rsidRPr="00126476" w:rsidRDefault="001F0E2D" w:rsidP="0013370B">
            <w:pPr>
              <w:pStyle w:val="TableBodyText"/>
              <w:spacing w:before="40" w:after="40"/>
              <w:jc w:val="center"/>
              <w:rPr>
                <w:b w:val="0"/>
                <w:bCs/>
                <w:color w:val="000000"/>
              </w:rPr>
            </w:pPr>
            <w:r w:rsidRPr="00126476">
              <w:rPr>
                <w:b w:val="0"/>
                <w:bCs/>
                <w:color w:val="000000"/>
              </w:rPr>
              <w:br/>
              <w:t>3:00 pm</w:t>
            </w:r>
          </w:p>
        </w:tc>
        <w:tc>
          <w:tcPr>
            <w:tcW w:w="624" w:type="pct"/>
            <w:vMerge w:val="restart"/>
            <w:shd w:val="clear" w:color="auto" w:fill="auto"/>
            <w:noWrap/>
            <w:vAlign w:val="center"/>
            <w:hideMark/>
          </w:tcPr>
          <w:p w14:paraId="3C4C44E9" w14:textId="77777777" w:rsidR="001F0E2D" w:rsidRPr="00126476" w:rsidRDefault="001F0E2D" w:rsidP="0013370B">
            <w:pPr>
              <w:pStyle w:val="TableBodyText"/>
              <w:spacing w:before="40" w:after="40"/>
              <w:jc w:val="center"/>
              <w:rPr>
                <w:b w:val="0"/>
                <w:bCs/>
                <w:color w:val="000000"/>
              </w:rPr>
            </w:pPr>
            <w:r w:rsidRPr="00126476">
              <w:rPr>
                <w:b w:val="0"/>
                <w:bCs/>
                <w:color w:val="000000"/>
              </w:rPr>
              <w:br/>
              <w:t>4:</w:t>
            </w:r>
            <w:r>
              <w:rPr>
                <w:b w:val="0"/>
                <w:bCs/>
                <w:color w:val="000000"/>
              </w:rPr>
              <w:t>45</w:t>
            </w:r>
            <w:r w:rsidRPr="00126476">
              <w:rPr>
                <w:b w:val="0"/>
                <w:bCs/>
                <w:color w:val="000000"/>
              </w:rPr>
              <w:t xml:space="preserve"> pm</w:t>
            </w:r>
          </w:p>
        </w:tc>
        <w:tc>
          <w:tcPr>
            <w:tcW w:w="623" w:type="pct"/>
            <w:vMerge w:val="restart"/>
            <w:shd w:val="clear" w:color="auto" w:fill="auto"/>
            <w:noWrap/>
            <w:vAlign w:val="center"/>
            <w:hideMark/>
          </w:tcPr>
          <w:p w14:paraId="54FC7E7A" w14:textId="77777777" w:rsidR="001F0E2D" w:rsidRPr="00126476" w:rsidRDefault="001F0E2D" w:rsidP="0013370B">
            <w:pPr>
              <w:pStyle w:val="TableBodyText"/>
              <w:spacing w:before="40" w:after="40"/>
              <w:jc w:val="center"/>
              <w:rPr>
                <w:b w:val="0"/>
                <w:bCs/>
                <w:color w:val="000000"/>
              </w:rPr>
            </w:pPr>
            <w:r w:rsidRPr="00126476">
              <w:rPr>
                <w:b w:val="0"/>
                <w:bCs/>
                <w:color w:val="000000"/>
              </w:rPr>
              <w:br/>
            </w:r>
            <w:r>
              <w:rPr>
                <w:b w:val="0"/>
                <w:bCs/>
                <w:color w:val="000000"/>
              </w:rPr>
              <w:t>5:15</w:t>
            </w:r>
            <w:r w:rsidRPr="00126476">
              <w:rPr>
                <w:b w:val="0"/>
                <w:bCs/>
                <w:color w:val="000000"/>
              </w:rPr>
              <w:t xml:space="preserve"> pm</w:t>
            </w:r>
          </w:p>
        </w:tc>
        <w:tc>
          <w:tcPr>
            <w:tcW w:w="627" w:type="pct"/>
            <w:vMerge w:val="restart"/>
            <w:shd w:val="clear" w:color="auto" w:fill="auto"/>
            <w:noWrap/>
            <w:vAlign w:val="center"/>
            <w:hideMark/>
          </w:tcPr>
          <w:p w14:paraId="758CF45F" w14:textId="77777777" w:rsidR="001F0E2D" w:rsidRPr="00126476" w:rsidRDefault="001F0E2D" w:rsidP="0013370B">
            <w:pPr>
              <w:pStyle w:val="TableBodyText"/>
              <w:spacing w:before="40" w:after="40"/>
              <w:jc w:val="center"/>
              <w:rPr>
                <w:b w:val="0"/>
                <w:bCs/>
                <w:color w:val="000000"/>
              </w:rPr>
            </w:pPr>
            <w:r w:rsidRPr="00126476">
              <w:rPr>
                <w:b w:val="0"/>
                <w:bCs/>
                <w:color w:val="000000"/>
              </w:rPr>
              <w:br/>
            </w:r>
            <w:r>
              <w:rPr>
                <w:b w:val="0"/>
                <w:bCs/>
                <w:color w:val="000000"/>
              </w:rPr>
              <w:t>5</w:t>
            </w:r>
            <w:r w:rsidRPr="00126476">
              <w:rPr>
                <w:b w:val="0"/>
                <w:bCs/>
                <w:color w:val="000000"/>
              </w:rPr>
              <w:t>:4</w:t>
            </w:r>
            <w:r>
              <w:rPr>
                <w:b w:val="0"/>
                <w:bCs/>
                <w:color w:val="000000"/>
              </w:rPr>
              <w:t>5</w:t>
            </w:r>
            <w:r w:rsidRPr="00126476">
              <w:rPr>
                <w:b w:val="0"/>
                <w:bCs/>
                <w:color w:val="000000"/>
              </w:rPr>
              <w:t xml:space="preserve"> pm</w:t>
            </w:r>
          </w:p>
        </w:tc>
      </w:tr>
      <w:tr w:rsidR="001F0E2D" w:rsidRPr="001B6BC7" w14:paraId="05905101" w14:textId="77777777" w:rsidTr="00694F94">
        <w:trPr>
          <w:cnfStyle w:val="100000000000" w:firstRow="1" w:lastRow="0" w:firstColumn="0" w:lastColumn="0" w:oddVBand="0" w:evenVBand="0" w:oddHBand="0" w:evenHBand="0" w:firstRowFirstColumn="0" w:firstRowLastColumn="0" w:lastRowFirstColumn="0" w:lastRowLastColumn="0"/>
          <w:cantSplit/>
          <w:tblHeader/>
        </w:trPr>
        <w:tc>
          <w:tcPr>
            <w:tcW w:w="858" w:type="pct"/>
            <w:shd w:val="clear" w:color="auto" w:fill="auto"/>
            <w:noWrap/>
            <w:hideMark/>
          </w:tcPr>
          <w:p w14:paraId="63498651" w14:textId="77777777" w:rsidR="001F0E2D" w:rsidRPr="001B6BC7" w:rsidRDefault="001F0E2D" w:rsidP="0013370B">
            <w:pPr>
              <w:pStyle w:val="TableBodyText"/>
              <w:spacing w:before="40" w:after="40"/>
              <w:rPr>
                <w:b w:val="0"/>
                <w:bCs/>
                <w:color w:val="000000"/>
              </w:rPr>
            </w:pPr>
            <w:r w:rsidRPr="001B6BC7">
              <w:rPr>
                <w:b w:val="0"/>
                <w:bCs/>
                <w:color w:val="000000"/>
              </w:rPr>
              <w:t>SA</w:t>
            </w:r>
          </w:p>
        </w:tc>
        <w:tc>
          <w:tcPr>
            <w:tcW w:w="620" w:type="pct"/>
            <w:vMerge/>
            <w:shd w:val="clear" w:color="auto" w:fill="auto"/>
            <w:vAlign w:val="center"/>
            <w:hideMark/>
          </w:tcPr>
          <w:p w14:paraId="16B2BD53" w14:textId="77777777" w:rsidR="001F0E2D" w:rsidRPr="001B6BC7" w:rsidRDefault="001F0E2D" w:rsidP="0013370B">
            <w:pPr>
              <w:pStyle w:val="TableBodyText"/>
              <w:spacing w:before="40" w:after="40"/>
              <w:jc w:val="center"/>
              <w:rPr>
                <w:b w:val="0"/>
                <w:bCs/>
                <w:color w:val="000000"/>
              </w:rPr>
            </w:pPr>
          </w:p>
        </w:tc>
        <w:tc>
          <w:tcPr>
            <w:tcW w:w="918" w:type="pct"/>
            <w:vMerge/>
            <w:shd w:val="clear" w:color="auto" w:fill="auto"/>
            <w:vAlign w:val="center"/>
            <w:hideMark/>
          </w:tcPr>
          <w:p w14:paraId="6215E235" w14:textId="77777777" w:rsidR="001F0E2D" w:rsidRPr="001B6BC7" w:rsidRDefault="001F0E2D" w:rsidP="0013370B">
            <w:pPr>
              <w:pStyle w:val="TableBodyText"/>
              <w:spacing w:before="40" w:after="40"/>
              <w:jc w:val="center"/>
              <w:rPr>
                <w:b w:val="0"/>
                <w:bCs/>
                <w:color w:val="000000"/>
              </w:rPr>
            </w:pPr>
          </w:p>
        </w:tc>
        <w:tc>
          <w:tcPr>
            <w:tcW w:w="730" w:type="pct"/>
            <w:vMerge/>
            <w:shd w:val="clear" w:color="auto" w:fill="auto"/>
            <w:vAlign w:val="center"/>
            <w:hideMark/>
          </w:tcPr>
          <w:p w14:paraId="7C93E8E9" w14:textId="77777777" w:rsidR="001F0E2D" w:rsidRPr="001B6BC7" w:rsidRDefault="001F0E2D" w:rsidP="0013370B">
            <w:pPr>
              <w:pStyle w:val="TableBodyText"/>
              <w:spacing w:before="40" w:after="40"/>
              <w:jc w:val="center"/>
              <w:rPr>
                <w:b w:val="0"/>
                <w:bCs/>
                <w:color w:val="000000"/>
              </w:rPr>
            </w:pPr>
          </w:p>
        </w:tc>
        <w:tc>
          <w:tcPr>
            <w:tcW w:w="624" w:type="pct"/>
            <w:vMerge/>
            <w:shd w:val="clear" w:color="auto" w:fill="auto"/>
            <w:vAlign w:val="center"/>
            <w:hideMark/>
          </w:tcPr>
          <w:p w14:paraId="515B34CB" w14:textId="77777777" w:rsidR="001F0E2D" w:rsidRPr="001B6BC7" w:rsidRDefault="001F0E2D" w:rsidP="0013370B">
            <w:pPr>
              <w:pStyle w:val="TableBodyText"/>
              <w:spacing w:before="40" w:after="40"/>
              <w:jc w:val="center"/>
              <w:rPr>
                <w:b w:val="0"/>
                <w:bCs/>
                <w:color w:val="000000"/>
              </w:rPr>
            </w:pPr>
          </w:p>
        </w:tc>
        <w:tc>
          <w:tcPr>
            <w:tcW w:w="623" w:type="pct"/>
            <w:vMerge/>
            <w:shd w:val="clear" w:color="auto" w:fill="auto"/>
            <w:vAlign w:val="center"/>
            <w:hideMark/>
          </w:tcPr>
          <w:p w14:paraId="33053D38" w14:textId="77777777" w:rsidR="001F0E2D" w:rsidRPr="001B6BC7" w:rsidRDefault="001F0E2D" w:rsidP="0013370B">
            <w:pPr>
              <w:pStyle w:val="TableBodyText"/>
              <w:spacing w:before="40" w:after="40"/>
              <w:jc w:val="center"/>
              <w:rPr>
                <w:b w:val="0"/>
                <w:bCs/>
                <w:color w:val="000000"/>
              </w:rPr>
            </w:pPr>
          </w:p>
        </w:tc>
        <w:tc>
          <w:tcPr>
            <w:tcW w:w="627" w:type="pct"/>
            <w:vMerge/>
            <w:shd w:val="clear" w:color="auto" w:fill="auto"/>
            <w:vAlign w:val="center"/>
            <w:hideMark/>
          </w:tcPr>
          <w:p w14:paraId="6B0A4F47" w14:textId="77777777" w:rsidR="001F0E2D" w:rsidRPr="001B6BC7" w:rsidRDefault="001F0E2D" w:rsidP="0013370B">
            <w:pPr>
              <w:pStyle w:val="TableBodyText"/>
              <w:spacing w:before="40" w:after="40"/>
              <w:jc w:val="center"/>
              <w:rPr>
                <w:b w:val="0"/>
                <w:bCs/>
                <w:color w:val="000000"/>
              </w:rPr>
            </w:pPr>
          </w:p>
        </w:tc>
      </w:tr>
      <w:tr w:rsidR="001F0E2D" w:rsidRPr="001B6BC7" w14:paraId="732DE9C8" w14:textId="77777777" w:rsidTr="00694F94">
        <w:trPr>
          <w:cnfStyle w:val="100000000000" w:firstRow="1" w:lastRow="0" w:firstColumn="0" w:lastColumn="0" w:oddVBand="0" w:evenVBand="0" w:oddHBand="0" w:evenHBand="0" w:firstRowFirstColumn="0" w:firstRowLastColumn="0" w:lastRowFirstColumn="0" w:lastRowLastColumn="0"/>
          <w:cantSplit/>
          <w:tblHeader/>
        </w:trPr>
        <w:tc>
          <w:tcPr>
            <w:tcW w:w="858" w:type="pct"/>
            <w:shd w:val="clear" w:color="auto" w:fill="auto"/>
            <w:noWrap/>
            <w:hideMark/>
          </w:tcPr>
          <w:p w14:paraId="0C8050BC" w14:textId="77777777" w:rsidR="001F0E2D" w:rsidRPr="001B6BC7" w:rsidRDefault="001F0E2D" w:rsidP="0013370B">
            <w:pPr>
              <w:pStyle w:val="TableBodyText"/>
              <w:spacing w:before="40" w:after="40"/>
              <w:rPr>
                <w:b w:val="0"/>
                <w:bCs/>
                <w:color w:val="000000"/>
              </w:rPr>
            </w:pPr>
            <w:r w:rsidRPr="001B6BC7">
              <w:rPr>
                <w:b w:val="0"/>
                <w:bCs/>
                <w:color w:val="000000"/>
              </w:rPr>
              <w:t>Queensland</w:t>
            </w:r>
          </w:p>
        </w:tc>
        <w:tc>
          <w:tcPr>
            <w:tcW w:w="620" w:type="pct"/>
            <w:vMerge/>
            <w:shd w:val="clear" w:color="auto" w:fill="auto"/>
            <w:vAlign w:val="center"/>
            <w:hideMark/>
          </w:tcPr>
          <w:p w14:paraId="31A5E6B5" w14:textId="77777777" w:rsidR="001F0E2D" w:rsidRPr="001B6BC7" w:rsidRDefault="001F0E2D" w:rsidP="0013370B">
            <w:pPr>
              <w:pStyle w:val="TableBodyText"/>
              <w:spacing w:before="40" w:after="40"/>
              <w:jc w:val="center"/>
              <w:rPr>
                <w:b w:val="0"/>
                <w:bCs/>
                <w:color w:val="000000"/>
              </w:rPr>
            </w:pPr>
          </w:p>
        </w:tc>
        <w:tc>
          <w:tcPr>
            <w:tcW w:w="918" w:type="pct"/>
            <w:vMerge/>
            <w:shd w:val="clear" w:color="auto" w:fill="auto"/>
            <w:vAlign w:val="center"/>
            <w:hideMark/>
          </w:tcPr>
          <w:p w14:paraId="44908040" w14:textId="77777777" w:rsidR="001F0E2D" w:rsidRPr="001B6BC7" w:rsidRDefault="001F0E2D" w:rsidP="0013370B">
            <w:pPr>
              <w:pStyle w:val="TableBodyText"/>
              <w:spacing w:before="40" w:after="40"/>
              <w:jc w:val="center"/>
              <w:rPr>
                <w:b w:val="0"/>
                <w:bCs/>
                <w:color w:val="000000"/>
              </w:rPr>
            </w:pPr>
          </w:p>
        </w:tc>
        <w:tc>
          <w:tcPr>
            <w:tcW w:w="730" w:type="pct"/>
            <w:vMerge/>
            <w:shd w:val="clear" w:color="auto" w:fill="auto"/>
            <w:vAlign w:val="center"/>
            <w:hideMark/>
          </w:tcPr>
          <w:p w14:paraId="7694F090" w14:textId="77777777" w:rsidR="001F0E2D" w:rsidRPr="001B6BC7" w:rsidRDefault="001F0E2D" w:rsidP="0013370B">
            <w:pPr>
              <w:pStyle w:val="TableBodyText"/>
              <w:spacing w:before="40" w:after="40"/>
              <w:jc w:val="center"/>
              <w:rPr>
                <w:b w:val="0"/>
                <w:bCs/>
                <w:color w:val="000000"/>
              </w:rPr>
            </w:pPr>
          </w:p>
        </w:tc>
        <w:tc>
          <w:tcPr>
            <w:tcW w:w="624" w:type="pct"/>
            <w:vMerge/>
            <w:shd w:val="clear" w:color="auto" w:fill="auto"/>
            <w:vAlign w:val="center"/>
            <w:hideMark/>
          </w:tcPr>
          <w:p w14:paraId="4ADDB1EF" w14:textId="77777777" w:rsidR="001F0E2D" w:rsidRPr="001B6BC7" w:rsidRDefault="001F0E2D" w:rsidP="0013370B">
            <w:pPr>
              <w:pStyle w:val="TableBodyText"/>
              <w:spacing w:before="40" w:after="40"/>
              <w:jc w:val="center"/>
              <w:rPr>
                <w:b w:val="0"/>
                <w:bCs/>
                <w:color w:val="000000"/>
              </w:rPr>
            </w:pPr>
          </w:p>
        </w:tc>
        <w:tc>
          <w:tcPr>
            <w:tcW w:w="623" w:type="pct"/>
            <w:vMerge/>
            <w:shd w:val="clear" w:color="auto" w:fill="auto"/>
            <w:vAlign w:val="center"/>
            <w:hideMark/>
          </w:tcPr>
          <w:p w14:paraId="35FFEDC6" w14:textId="77777777" w:rsidR="001F0E2D" w:rsidRPr="001B6BC7" w:rsidRDefault="001F0E2D" w:rsidP="0013370B">
            <w:pPr>
              <w:pStyle w:val="TableBodyText"/>
              <w:spacing w:before="40" w:after="40"/>
              <w:jc w:val="center"/>
              <w:rPr>
                <w:b w:val="0"/>
                <w:bCs/>
                <w:color w:val="000000"/>
              </w:rPr>
            </w:pPr>
          </w:p>
        </w:tc>
        <w:tc>
          <w:tcPr>
            <w:tcW w:w="627" w:type="pct"/>
            <w:vMerge/>
            <w:shd w:val="clear" w:color="auto" w:fill="auto"/>
            <w:vAlign w:val="center"/>
            <w:hideMark/>
          </w:tcPr>
          <w:p w14:paraId="36519780" w14:textId="77777777" w:rsidR="001F0E2D" w:rsidRPr="001B6BC7" w:rsidRDefault="001F0E2D" w:rsidP="0013370B">
            <w:pPr>
              <w:pStyle w:val="TableBodyText"/>
              <w:spacing w:before="40" w:after="40"/>
              <w:jc w:val="center"/>
              <w:rPr>
                <w:b w:val="0"/>
                <w:bCs/>
                <w:color w:val="000000"/>
              </w:rPr>
            </w:pPr>
          </w:p>
        </w:tc>
      </w:tr>
      <w:tr w:rsidR="001F0E2D" w:rsidRPr="001B6BC7" w14:paraId="2D900EC0" w14:textId="77777777" w:rsidTr="00694F94">
        <w:trPr>
          <w:cnfStyle w:val="100000000000" w:firstRow="1" w:lastRow="0" w:firstColumn="0" w:lastColumn="0" w:oddVBand="0" w:evenVBand="0" w:oddHBand="0" w:evenHBand="0" w:firstRowFirstColumn="0" w:firstRowLastColumn="0" w:lastRowFirstColumn="0" w:lastRowLastColumn="0"/>
          <w:cantSplit/>
          <w:tblHeader/>
        </w:trPr>
        <w:tc>
          <w:tcPr>
            <w:tcW w:w="858" w:type="pct"/>
            <w:shd w:val="clear" w:color="auto" w:fill="auto"/>
            <w:noWrap/>
            <w:hideMark/>
          </w:tcPr>
          <w:p w14:paraId="436E8728" w14:textId="77777777" w:rsidR="001F0E2D" w:rsidRPr="001B6BC7" w:rsidRDefault="001F0E2D" w:rsidP="0013370B">
            <w:pPr>
              <w:pStyle w:val="TableBodyText"/>
              <w:spacing w:before="40" w:after="40"/>
              <w:rPr>
                <w:b w:val="0"/>
                <w:bCs/>
                <w:color w:val="000000"/>
              </w:rPr>
            </w:pPr>
            <w:r w:rsidRPr="001B6BC7">
              <w:rPr>
                <w:b w:val="0"/>
                <w:bCs/>
                <w:color w:val="000000"/>
              </w:rPr>
              <w:t>Tasmania</w:t>
            </w:r>
          </w:p>
        </w:tc>
        <w:tc>
          <w:tcPr>
            <w:tcW w:w="620" w:type="pct"/>
            <w:vMerge/>
            <w:shd w:val="clear" w:color="auto" w:fill="auto"/>
            <w:vAlign w:val="center"/>
            <w:hideMark/>
          </w:tcPr>
          <w:p w14:paraId="0243D9C9" w14:textId="77777777" w:rsidR="001F0E2D" w:rsidRPr="001B6BC7" w:rsidRDefault="001F0E2D" w:rsidP="0013370B">
            <w:pPr>
              <w:pStyle w:val="TableBodyText"/>
              <w:spacing w:before="40" w:after="40"/>
              <w:jc w:val="center"/>
              <w:rPr>
                <w:b w:val="0"/>
                <w:bCs/>
                <w:color w:val="000000"/>
              </w:rPr>
            </w:pPr>
          </w:p>
        </w:tc>
        <w:tc>
          <w:tcPr>
            <w:tcW w:w="918" w:type="pct"/>
            <w:vMerge/>
            <w:shd w:val="clear" w:color="auto" w:fill="auto"/>
            <w:vAlign w:val="center"/>
            <w:hideMark/>
          </w:tcPr>
          <w:p w14:paraId="000695BE" w14:textId="77777777" w:rsidR="001F0E2D" w:rsidRPr="001B6BC7" w:rsidRDefault="001F0E2D" w:rsidP="0013370B">
            <w:pPr>
              <w:pStyle w:val="TableBodyText"/>
              <w:spacing w:before="40" w:after="40"/>
              <w:jc w:val="center"/>
              <w:rPr>
                <w:b w:val="0"/>
                <w:bCs/>
                <w:color w:val="000000"/>
              </w:rPr>
            </w:pPr>
          </w:p>
        </w:tc>
        <w:tc>
          <w:tcPr>
            <w:tcW w:w="730" w:type="pct"/>
            <w:vMerge/>
            <w:shd w:val="clear" w:color="auto" w:fill="auto"/>
            <w:vAlign w:val="center"/>
            <w:hideMark/>
          </w:tcPr>
          <w:p w14:paraId="17AB4377" w14:textId="77777777" w:rsidR="001F0E2D" w:rsidRPr="001B6BC7" w:rsidRDefault="001F0E2D" w:rsidP="0013370B">
            <w:pPr>
              <w:pStyle w:val="TableBodyText"/>
              <w:spacing w:before="40" w:after="40"/>
              <w:jc w:val="center"/>
              <w:rPr>
                <w:b w:val="0"/>
                <w:bCs/>
                <w:color w:val="000000"/>
              </w:rPr>
            </w:pPr>
          </w:p>
        </w:tc>
        <w:tc>
          <w:tcPr>
            <w:tcW w:w="624" w:type="pct"/>
            <w:vMerge/>
            <w:shd w:val="clear" w:color="auto" w:fill="auto"/>
            <w:vAlign w:val="center"/>
            <w:hideMark/>
          </w:tcPr>
          <w:p w14:paraId="2047E180" w14:textId="77777777" w:rsidR="001F0E2D" w:rsidRPr="001B6BC7" w:rsidRDefault="001F0E2D" w:rsidP="0013370B">
            <w:pPr>
              <w:pStyle w:val="TableBodyText"/>
              <w:spacing w:before="40" w:after="40"/>
              <w:jc w:val="center"/>
              <w:rPr>
                <w:b w:val="0"/>
                <w:bCs/>
                <w:color w:val="000000"/>
              </w:rPr>
            </w:pPr>
          </w:p>
        </w:tc>
        <w:tc>
          <w:tcPr>
            <w:tcW w:w="623" w:type="pct"/>
            <w:vMerge/>
            <w:shd w:val="clear" w:color="auto" w:fill="auto"/>
            <w:vAlign w:val="center"/>
            <w:hideMark/>
          </w:tcPr>
          <w:p w14:paraId="00A2B9FE" w14:textId="77777777" w:rsidR="001F0E2D" w:rsidRPr="001B6BC7" w:rsidRDefault="001F0E2D" w:rsidP="0013370B">
            <w:pPr>
              <w:pStyle w:val="TableBodyText"/>
              <w:spacing w:before="40" w:after="40"/>
              <w:jc w:val="center"/>
              <w:rPr>
                <w:b w:val="0"/>
                <w:bCs/>
                <w:color w:val="000000"/>
              </w:rPr>
            </w:pPr>
          </w:p>
        </w:tc>
        <w:tc>
          <w:tcPr>
            <w:tcW w:w="627" w:type="pct"/>
            <w:vMerge/>
            <w:shd w:val="clear" w:color="auto" w:fill="auto"/>
            <w:vAlign w:val="center"/>
            <w:hideMark/>
          </w:tcPr>
          <w:p w14:paraId="7DC5EFDE" w14:textId="77777777" w:rsidR="001F0E2D" w:rsidRPr="001B6BC7" w:rsidRDefault="001F0E2D" w:rsidP="0013370B">
            <w:pPr>
              <w:pStyle w:val="TableBodyText"/>
              <w:spacing w:before="40" w:after="40"/>
              <w:jc w:val="center"/>
              <w:rPr>
                <w:b w:val="0"/>
                <w:bCs/>
                <w:color w:val="000000"/>
              </w:rPr>
            </w:pPr>
          </w:p>
        </w:tc>
      </w:tr>
      <w:tr w:rsidR="001F0E2D" w:rsidRPr="001B6BC7" w14:paraId="577280B5" w14:textId="77777777" w:rsidTr="00694F94">
        <w:trPr>
          <w:cnfStyle w:val="100000000000" w:firstRow="1" w:lastRow="0" w:firstColumn="0" w:lastColumn="0" w:oddVBand="0" w:evenVBand="0" w:oddHBand="0" w:evenHBand="0" w:firstRowFirstColumn="0" w:firstRowLastColumn="0" w:lastRowFirstColumn="0" w:lastRowLastColumn="0"/>
          <w:cantSplit/>
          <w:tblHeader/>
        </w:trPr>
        <w:tc>
          <w:tcPr>
            <w:tcW w:w="858" w:type="pct"/>
            <w:shd w:val="clear" w:color="auto" w:fill="auto"/>
            <w:noWrap/>
          </w:tcPr>
          <w:p w14:paraId="0A92A329" w14:textId="77777777" w:rsidR="001F0E2D" w:rsidRPr="001B6BC7" w:rsidRDefault="001F0E2D" w:rsidP="0013370B">
            <w:pPr>
              <w:pStyle w:val="TableBodyText"/>
              <w:spacing w:before="40" w:after="40"/>
              <w:rPr>
                <w:b w:val="0"/>
                <w:bCs/>
                <w:color w:val="000000"/>
              </w:rPr>
            </w:pPr>
            <w:r>
              <w:rPr>
                <w:b w:val="0"/>
                <w:bCs/>
                <w:color w:val="000000"/>
              </w:rPr>
              <w:t>Northern Territory</w:t>
            </w:r>
          </w:p>
        </w:tc>
        <w:tc>
          <w:tcPr>
            <w:tcW w:w="620" w:type="pct"/>
            <w:vMerge/>
            <w:shd w:val="clear" w:color="auto" w:fill="auto"/>
            <w:vAlign w:val="center"/>
          </w:tcPr>
          <w:p w14:paraId="368A1358" w14:textId="77777777" w:rsidR="001F0E2D" w:rsidRPr="001B6BC7" w:rsidRDefault="001F0E2D" w:rsidP="0013370B">
            <w:pPr>
              <w:pStyle w:val="TableBodyText"/>
              <w:spacing w:before="40" w:after="40"/>
              <w:jc w:val="center"/>
              <w:rPr>
                <w:b w:val="0"/>
                <w:bCs/>
                <w:color w:val="000000"/>
              </w:rPr>
            </w:pPr>
          </w:p>
        </w:tc>
        <w:tc>
          <w:tcPr>
            <w:tcW w:w="918" w:type="pct"/>
            <w:vMerge/>
            <w:shd w:val="clear" w:color="auto" w:fill="auto"/>
            <w:vAlign w:val="center"/>
          </w:tcPr>
          <w:p w14:paraId="6A14DA54" w14:textId="77777777" w:rsidR="001F0E2D" w:rsidRPr="001B6BC7" w:rsidRDefault="001F0E2D" w:rsidP="0013370B">
            <w:pPr>
              <w:pStyle w:val="TableBodyText"/>
              <w:spacing w:before="40" w:after="40"/>
              <w:jc w:val="center"/>
              <w:rPr>
                <w:b w:val="0"/>
                <w:bCs/>
                <w:color w:val="000000"/>
              </w:rPr>
            </w:pPr>
          </w:p>
        </w:tc>
        <w:tc>
          <w:tcPr>
            <w:tcW w:w="730" w:type="pct"/>
            <w:vMerge/>
            <w:shd w:val="clear" w:color="auto" w:fill="auto"/>
            <w:vAlign w:val="center"/>
          </w:tcPr>
          <w:p w14:paraId="3D08ADAB" w14:textId="77777777" w:rsidR="001F0E2D" w:rsidRPr="001B6BC7" w:rsidRDefault="001F0E2D" w:rsidP="0013370B">
            <w:pPr>
              <w:pStyle w:val="TableBodyText"/>
              <w:spacing w:before="40" w:after="40"/>
              <w:jc w:val="center"/>
              <w:rPr>
                <w:b w:val="0"/>
                <w:bCs/>
                <w:color w:val="000000"/>
              </w:rPr>
            </w:pPr>
          </w:p>
        </w:tc>
        <w:tc>
          <w:tcPr>
            <w:tcW w:w="624" w:type="pct"/>
            <w:vMerge/>
            <w:shd w:val="clear" w:color="auto" w:fill="auto"/>
            <w:vAlign w:val="center"/>
          </w:tcPr>
          <w:p w14:paraId="10FB5B35" w14:textId="77777777" w:rsidR="001F0E2D" w:rsidRPr="001B6BC7" w:rsidRDefault="001F0E2D" w:rsidP="0013370B">
            <w:pPr>
              <w:pStyle w:val="TableBodyText"/>
              <w:spacing w:before="40" w:after="40"/>
              <w:jc w:val="center"/>
              <w:rPr>
                <w:b w:val="0"/>
                <w:bCs/>
                <w:color w:val="000000"/>
              </w:rPr>
            </w:pPr>
          </w:p>
        </w:tc>
        <w:tc>
          <w:tcPr>
            <w:tcW w:w="623" w:type="pct"/>
            <w:vMerge/>
            <w:shd w:val="clear" w:color="auto" w:fill="auto"/>
            <w:vAlign w:val="center"/>
          </w:tcPr>
          <w:p w14:paraId="15E6AAD1" w14:textId="77777777" w:rsidR="001F0E2D" w:rsidRPr="001B6BC7" w:rsidRDefault="001F0E2D" w:rsidP="0013370B">
            <w:pPr>
              <w:pStyle w:val="TableBodyText"/>
              <w:spacing w:before="40" w:after="40"/>
              <w:jc w:val="center"/>
              <w:rPr>
                <w:b w:val="0"/>
                <w:bCs/>
                <w:color w:val="000000"/>
              </w:rPr>
            </w:pPr>
          </w:p>
        </w:tc>
        <w:tc>
          <w:tcPr>
            <w:tcW w:w="627" w:type="pct"/>
            <w:vMerge/>
            <w:shd w:val="clear" w:color="auto" w:fill="auto"/>
            <w:vAlign w:val="center"/>
          </w:tcPr>
          <w:p w14:paraId="4D33CDFF" w14:textId="77777777" w:rsidR="001F0E2D" w:rsidRPr="001B6BC7" w:rsidRDefault="001F0E2D" w:rsidP="0013370B">
            <w:pPr>
              <w:pStyle w:val="TableBodyText"/>
              <w:spacing w:before="40" w:after="40"/>
              <w:jc w:val="center"/>
              <w:rPr>
                <w:b w:val="0"/>
                <w:bCs/>
                <w:color w:val="000000"/>
              </w:rPr>
            </w:pPr>
          </w:p>
        </w:tc>
      </w:tr>
      <w:tr w:rsidR="001F0E2D" w:rsidRPr="001B6BC7" w14:paraId="6E4D8DB1" w14:textId="77777777" w:rsidTr="00694F94">
        <w:trPr>
          <w:cnfStyle w:val="100000000000" w:firstRow="1" w:lastRow="0" w:firstColumn="0" w:lastColumn="0" w:oddVBand="0" w:evenVBand="0" w:oddHBand="0" w:evenHBand="0" w:firstRowFirstColumn="0" w:firstRowLastColumn="0" w:lastRowFirstColumn="0" w:lastRowLastColumn="0"/>
          <w:cantSplit/>
          <w:tblHeader/>
        </w:trPr>
        <w:tc>
          <w:tcPr>
            <w:tcW w:w="858" w:type="pct"/>
            <w:shd w:val="clear" w:color="auto" w:fill="auto"/>
            <w:noWrap/>
            <w:hideMark/>
          </w:tcPr>
          <w:p w14:paraId="5EC08E1F" w14:textId="77777777" w:rsidR="001F0E2D" w:rsidRPr="001B6BC7" w:rsidRDefault="001F0E2D" w:rsidP="0013370B">
            <w:pPr>
              <w:pStyle w:val="TableBodyText"/>
              <w:spacing w:before="40" w:after="40"/>
              <w:rPr>
                <w:b w:val="0"/>
                <w:bCs/>
                <w:color w:val="000000"/>
              </w:rPr>
            </w:pPr>
            <w:r w:rsidRPr="001B6BC7">
              <w:rPr>
                <w:b w:val="0"/>
                <w:bCs/>
                <w:color w:val="000000"/>
              </w:rPr>
              <w:t>Victoria</w:t>
            </w:r>
          </w:p>
        </w:tc>
        <w:tc>
          <w:tcPr>
            <w:tcW w:w="620" w:type="pct"/>
            <w:vMerge/>
            <w:shd w:val="clear" w:color="auto" w:fill="auto"/>
            <w:vAlign w:val="center"/>
            <w:hideMark/>
          </w:tcPr>
          <w:p w14:paraId="1C192A75" w14:textId="77777777" w:rsidR="001F0E2D" w:rsidRPr="001B6BC7" w:rsidRDefault="001F0E2D" w:rsidP="0013370B">
            <w:pPr>
              <w:pStyle w:val="TableBodyText"/>
              <w:spacing w:before="40" w:after="40"/>
              <w:jc w:val="center"/>
              <w:rPr>
                <w:b w:val="0"/>
                <w:bCs/>
                <w:color w:val="000000"/>
              </w:rPr>
            </w:pPr>
          </w:p>
        </w:tc>
        <w:tc>
          <w:tcPr>
            <w:tcW w:w="918" w:type="pct"/>
            <w:shd w:val="clear" w:color="auto" w:fill="auto"/>
            <w:noWrap/>
            <w:vAlign w:val="center"/>
            <w:hideMark/>
          </w:tcPr>
          <w:p w14:paraId="0C7E9343" w14:textId="77777777" w:rsidR="001F0E2D" w:rsidRPr="001B6BC7" w:rsidRDefault="001F0E2D" w:rsidP="0013370B">
            <w:pPr>
              <w:pStyle w:val="TableBodyText"/>
              <w:spacing w:before="40" w:after="40"/>
              <w:jc w:val="center"/>
              <w:rPr>
                <w:b w:val="0"/>
                <w:bCs/>
                <w:color w:val="000000"/>
              </w:rPr>
            </w:pPr>
            <w:proofErr w:type="spellStart"/>
            <w:r w:rsidRPr="001B6BC7">
              <w:rPr>
                <w:b w:val="0"/>
                <w:bCs/>
                <w:color w:val="000000"/>
              </w:rPr>
              <w:t>n.a</w:t>
            </w:r>
            <w:proofErr w:type="spellEnd"/>
            <w:r w:rsidRPr="001B6BC7">
              <w:rPr>
                <w:b w:val="0"/>
                <w:bCs/>
                <w:color w:val="000000"/>
              </w:rPr>
              <w:t>.</w:t>
            </w:r>
          </w:p>
        </w:tc>
        <w:tc>
          <w:tcPr>
            <w:tcW w:w="730" w:type="pct"/>
            <w:shd w:val="clear" w:color="auto" w:fill="auto"/>
            <w:noWrap/>
            <w:vAlign w:val="center"/>
            <w:hideMark/>
          </w:tcPr>
          <w:p w14:paraId="6EE43320" w14:textId="77777777" w:rsidR="001F0E2D" w:rsidRPr="001B6BC7" w:rsidRDefault="001F0E2D" w:rsidP="0013370B">
            <w:pPr>
              <w:pStyle w:val="TableBodyText"/>
              <w:spacing w:before="40" w:after="40"/>
              <w:jc w:val="center"/>
              <w:rPr>
                <w:b w:val="0"/>
                <w:bCs/>
                <w:color w:val="000000"/>
              </w:rPr>
            </w:pPr>
            <w:proofErr w:type="spellStart"/>
            <w:r w:rsidRPr="001B6BC7">
              <w:rPr>
                <w:b w:val="0"/>
                <w:bCs/>
                <w:color w:val="000000"/>
              </w:rPr>
              <w:t>n.a</w:t>
            </w:r>
            <w:proofErr w:type="spellEnd"/>
            <w:r w:rsidRPr="001B6BC7">
              <w:rPr>
                <w:b w:val="0"/>
                <w:bCs/>
                <w:color w:val="000000"/>
              </w:rPr>
              <w:t>.</w:t>
            </w:r>
          </w:p>
        </w:tc>
        <w:tc>
          <w:tcPr>
            <w:tcW w:w="624" w:type="pct"/>
            <w:shd w:val="clear" w:color="auto" w:fill="auto"/>
            <w:noWrap/>
            <w:vAlign w:val="center"/>
            <w:hideMark/>
          </w:tcPr>
          <w:p w14:paraId="438A3EE6" w14:textId="77777777" w:rsidR="001F0E2D" w:rsidRPr="001B6BC7" w:rsidRDefault="001F0E2D" w:rsidP="0013370B">
            <w:pPr>
              <w:pStyle w:val="TableBodyText"/>
              <w:spacing w:before="40" w:after="40"/>
              <w:jc w:val="center"/>
              <w:rPr>
                <w:b w:val="0"/>
                <w:bCs/>
                <w:color w:val="000000"/>
              </w:rPr>
            </w:pPr>
            <w:proofErr w:type="spellStart"/>
            <w:r w:rsidRPr="001B6BC7">
              <w:rPr>
                <w:b w:val="0"/>
                <w:bCs/>
                <w:color w:val="000000"/>
              </w:rPr>
              <w:t>n.a</w:t>
            </w:r>
            <w:proofErr w:type="spellEnd"/>
            <w:r w:rsidRPr="001B6BC7">
              <w:rPr>
                <w:b w:val="0"/>
                <w:bCs/>
                <w:color w:val="000000"/>
              </w:rPr>
              <w:t>.</w:t>
            </w:r>
          </w:p>
        </w:tc>
        <w:tc>
          <w:tcPr>
            <w:tcW w:w="623" w:type="pct"/>
            <w:shd w:val="clear" w:color="auto" w:fill="auto"/>
            <w:noWrap/>
            <w:vAlign w:val="center"/>
            <w:hideMark/>
          </w:tcPr>
          <w:p w14:paraId="299BC32A" w14:textId="77777777" w:rsidR="001F0E2D" w:rsidRPr="001B6BC7" w:rsidRDefault="001F0E2D" w:rsidP="0013370B">
            <w:pPr>
              <w:pStyle w:val="TableBodyText"/>
              <w:spacing w:before="40" w:after="40"/>
              <w:jc w:val="center"/>
              <w:rPr>
                <w:b w:val="0"/>
                <w:bCs/>
                <w:color w:val="000000"/>
              </w:rPr>
            </w:pPr>
            <w:proofErr w:type="spellStart"/>
            <w:r w:rsidRPr="001B6BC7">
              <w:rPr>
                <w:b w:val="0"/>
                <w:bCs/>
                <w:color w:val="000000"/>
              </w:rPr>
              <w:t>n.a</w:t>
            </w:r>
            <w:proofErr w:type="spellEnd"/>
            <w:r w:rsidRPr="001B6BC7">
              <w:rPr>
                <w:b w:val="0"/>
                <w:bCs/>
                <w:color w:val="000000"/>
              </w:rPr>
              <w:t>.</w:t>
            </w:r>
          </w:p>
        </w:tc>
        <w:tc>
          <w:tcPr>
            <w:tcW w:w="627" w:type="pct"/>
            <w:shd w:val="clear" w:color="auto" w:fill="auto"/>
            <w:noWrap/>
            <w:vAlign w:val="center"/>
            <w:hideMark/>
          </w:tcPr>
          <w:p w14:paraId="579AF248" w14:textId="77777777" w:rsidR="001F0E2D" w:rsidRPr="001B6BC7" w:rsidRDefault="001F0E2D" w:rsidP="0013370B">
            <w:pPr>
              <w:pStyle w:val="TableBodyText"/>
              <w:spacing w:before="40" w:after="40"/>
              <w:jc w:val="center"/>
              <w:rPr>
                <w:b w:val="0"/>
                <w:bCs/>
                <w:color w:val="000000"/>
              </w:rPr>
            </w:pPr>
            <w:proofErr w:type="spellStart"/>
            <w:r w:rsidRPr="001B6BC7">
              <w:rPr>
                <w:b w:val="0"/>
                <w:bCs/>
                <w:color w:val="000000"/>
              </w:rPr>
              <w:t>n.a</w:t>
            </w:r>
            <w:proofErr w:type="spellEnd"/>
            <w:r w:rsidRPr="001B6BC7">
              <w:rPr>
                <w:b w:val="0"/>
                <w:bCs/>
                <w:color w:val="000000"/>
              </w:rPr>
              <w:t>.</w:t>
            </w:r>
          </w:p>
        </w:tc>
      </w:tr>
    </w:tbl>
    <w:p w14:paraId="3041C1D4" w14:textId="77777777" w:rsidR="001F0E2D" w:rsidRPr="004F36FB" w:rsidRDefault="001F0E2D" w:rsidP="001F0E2D">
      <w:pPr>
        <w:pStyle w:val="BodyText"/>
        <w:spacing w:before="0" w:after="20"/>
        <w:rPr>
          <w:sz w:val="16"/>
          <w:szCs w:val="16"/>
        </w:rPr>
      </w:pPr>
      <w:r w:rsidRPr="004F36FB">
        <w:rPr>
          <w:sz w:val="16"/>
          <w:szCs w:val="16"/>
        </w:rPr>
        <w:t xml:space="preserve">Notes: </w:t>
      </w:r>
      <w:r>
        <w:rPr>
          <w:sz w:val="16"/>
          <w:szCs w:val="16"/>
        </w:rPr>
        <w:br/>
      </w:r>
      <w:r w:rsidRPr="004F36FB">
        <w:rPr>
          <w:sz w:val="16"/>
          <w:szCs w:val="16"/>
        </w:rPr>
        <w:t xml:space="preserve">* Trading assumed to end </w:t>
      </w:r>
      <w:r>
        <w:rPr>
          <w:sz w:val="16"/>
          <w:szCs w:val="16"/>
        </w:rPr>
        <w:t>2.5-3</w:t>
      </w:r>
      <w:r w:rsidRPr="004F36FB">
        <w:rPr>
          <w:sz w:val="16"/>
          <w:szCs w:val="16"/>
        </w:rPr>
        <w:t xml:space="preserve"> hours before nomination cut-off time to allow pipeline operators to make MDQ transfers.</w:t>
      </w:r>
    </w:p>
    <w:p w14:paraId="65B5A5AD" w14:textId="77777777" w:rsidR="001F0E2D" w:rsidRPr="004F36FB" w:rsidRDefault="001F0E2D" w:rsidP="001F0E2D">
      <w:pPr>
        <w:pStyle w:val="BodyText"/>
        <w:spacing w:before="0" w:after="20"/>
        <w:rPr>
          <w:sz w:val="16"/>
          <w:szCs w:val="16"/>
        </w:rPr>
      </w:pPr>
      <w:r w:rsidRPr="004F36FB">
        <w:rPr>
          <w:sz w:val="16"/>
          <w:szCs w:val="16"/>
        </w:rPr>
        <w:t>** Nomination cut-off times assumed to be offsets to gas day start times.</w:t>
      </w:r>
    </w:p>
    <w:p w14:paraId="04A1B884" w14:textId="77777777" w:rsidR="001F0E2D" w:rsidRPr="004F36FB" w:rsidRDefault="001F0E2D" w:rsidP="001F0E2D">
      <w:pPr>
        <w:pStyle w:val="BodyText"/>
        <w:spacing w:before="0" w:after="20"/>
        <w:rPr>
          <w:sz w:val="16"/>
          <w:szCs w:val="16"/>
        </w:rPr>
      </w:pPr>
      <w:r w:rsidRPr="004F36FB">
        <w:rPr>
          <w:sz w:val="16"/>
          <w:szCs w:val="16"/>
        </w:rPr>
        <w:t xml:space="preserve">*** Capacity assumed to be published </w:t>
      </w:r>
      <w:r>
        <w:rPr>
          <w:sz w:val="16"/>
          <w:szCs w:val="16"/>
        </w:rPr>
        <w:t>1.5</w:t>
      </w:r>
      <w:r w:rsidRPr="004F36FB">
        <w:rPr>
          <w:sz w:val="16"/>
          <w:szCs w:val="16"/>
        </w:rPr>
        <w:t xml:space="preserve"> </w:t>
      </w:r>
      <w:r>
        <w:rPr>
          <w:sz w:val="16"/>
          <w:szCs w:val="16"/>
        </w:rPr>
        <w:t xml:space="preserve">hours </w:t>
      </w:r>
      <w:r w:rsidRPr="004F36FB">
        <w:rPr>
          <w:sz w:val="16"/>
          <w:szCs w:val="16"/>
        </w:rPr>
        <w:t>after nomination cut-off time. Shippers are then assumed to have 30 minutes to make their bids in the auction. The auction is then assumed to be completed within 10 minutes of bids closing.</w:t>
      </w:r>
    </w:p>
    <w:p w14:paraId="4B304B30" w14:textId="77777777" w:rsidR="00A52672" w:rsidRDefault="00A52672" w:rsidP="00A52672">
      <w:pPr>
        <w:pStyle w:val="Heading2"/>
      </w:pPr>
      <w:bookmarkStart w:id="166" w:name="_Toc492524765"/>
      <w:bookmarkStart w:id="167" w:name="_Toc499542668"/>
      <w:bookmarkStart w:id="168" w:name="_Ref492102841"/>
      <w:r>
        <w:t>Interaction between the delivery process and other markets</w:t>
      </w:r>
      <w:bookmarkEnd w:id="166"/>
      <w:bookmarkEnd w:id="167"/>
      <w:r>
        <w:t xml:space="preserve"> </w:t>
      </w:r>
      <w:bookmarkEnd w:id="168"/>
    </w:p>
    <w:p w14:paraId="16C142DD" w14:textId="77777777" w:rsidR="00A52672" w:rsidRPr="004E791B" w:rsidRDefault="00A52672" w:rsidP="004E791B">
      <w:pPr>
        <w:pStyle w:val="Heading6"/>
        <w:spacing w:line="252" w:lineRule="auto"/>
        <w:rPr>
          <w:color w:val="0099CC"/>
        </w:rPr>
      </w:pPr>
      <w:r w:rsidRPr="00A52672">
        <w:rPr>
          <w:color w:val="0099CC"/>
        </w:rPr>
        <w:t>Background</w:t>
      </w:r>
      <w:r w:rsidR="00760446">
        <w:rPr>
          <w:color w:val="0099CC"/>
        </w:rPr>
        <w:t xml:space="preserve"> and </w:t>
      </w:r>
      <w:r w:rsidR="004E791B">
        <w:rPr>
          <w:color w:val="0099CC"/>
        </w:rPr>
        <w:t xml:space="preserve">GMRG’s </w:t>
      </w:r>
      <w:r w:rsidR="00760446">
        <w:rPr>
          <w:color w:val="0099CC"/>
        </w:rPr>
        <w:t>preliminary view</w:t>
      </w:r>
    </w:p>
    <w:p w14:paraId="0F2EC445" w14:textId="77777777" w:rsidR="00A52672" w:rsidRDefault="00A52672" w:rsidP="00A52672">
      <w:pPr>
        <w:pStyle w:val="BodyText"/>
      </w:pPr>
      <w:r>
        <w:t>The consultation paper contained a detailed discussion on integration with both the STTM and DWGM</w:t>
      </w:r>
      <w:r>
        <w:rPr>
          <w:rStyle w:val="FootnoteReference"/>
        </w:rPr>
        <w:footnoteReference w:id="82"/>
      </w:r>
      <w:r>
        <w:t xml:space="preserve"> </w:t>
      </w:r>
      <w:r w:rsidR="00760446">
        <w:t xml:space="preserve">and sought </w:t>
      </w:r>
      <w:r>
        <w:t>feedback on the following issues:</w:t>
      </w:r>
    </w:p>
    <w:p w14:paraId="102C5673" w14:textId="77777777" w:rsidR="00A52672" w:rsidRDefault="00A52672" w:rsidP="00760446">
      <w:pPr>
        <w:pStyle w:val="ListBullet"/>
      </w:pPr>
      <w:r>
        <w:t>The timing interactions between the STTM and the platform, in particular whether participants had any concerns about the proposal that shippers wanting to participate in the ex-ante STTM schedule would need to purchase the capacity on D-2</w:t>
      </w:r>
      <w:r w:rsidR="00760446">
        <w:t>.</w:t>
      </w:r>
    </w:p>
    <w:p w14:paraId="0FFD22EB" w14:textId="77777777" w:rsidR="00A52672" w:rsidRDefault="00A52672" w:rsidP="00760446">
      <w:pPr>
        <w:pStyle w:val="ListBullet"/>
      </w:pPr>
      <w:r>
        <w:t>How to achieve integration of the capacity trading platform and the STTM</w:t>
      </w:r>
      <w:r w:rsidR="00694F94">
        <w:t>,</w:t>
      </w:r>
      <w:r>
        <w:t xml:space="preserve"> including the process for transfer of STTM trading rights</w:t>
      </w:r>
      <w:r w:rsidR="00760446">
        <w:t>, with the options including transferring STTM rights on</w:t>
      </w:r>
      <w:r>
        <w:t>:</w:t>
      </w:r>
    </w:p>
    <w:p w14:paraId="7D313A21" w14:textId="77777777" w:rsidR="00A52672" w:rsidRDefault="00A52672" w:rsidP="00760446">
      <w:pPr>
        <w:pStyle w:val="ListBullet2"/>
      </w:pPr>
      <w:r>
        <w:t xml:space="preserve">a manual and partially anonymous basis; </w:t>
      </w:r>
    </w:p>
    <w:p w14:paraId="648FFCFF" w14:textId="77777777" w:rsidR="00A52672" w:rsidRDefault="00A52672" w:rsidP="00760446">
      <w:pPr>
        <w:pStyle w:val="ListBullet2"/>
      </w:pPr>
      <w:r>
        <w:t>an automatic and fully anonymous basis; or</w:t>
      </w:r>
    </w:p>
    <w:p w14:paraId="02E9A9F8" w14:textId="77777777" w:rsidR="00A52672" w:rsidRDefault="00A52672" w:rsidP="00760446">
      <w:pPr>
        <w:pStyle w:val="ListBullet2"/>
      </w:pPr>
      <w:proofErr w:type="gramStart"/>
      <w:r>
        <w:lastRenderedPageBreak/>
        <w:t>a</w:t>
      </w:r>
      <w:proofErr w:type="gramEnd"/>
      <w:r>
        <w:t xml:space="preserve"> manual and fully anonymous basis (hybrid option).</w:t>
      </w:r>
    </w:p>
    <w:p w14:paraId="592A2EB6" w14:textId="77777777" w:rsidR="00760446" w:rsidRDefault="00760446" w:rsidP="00760446">
      <w:pPr>
        <w:pStyle w:val="ListBullet"/>
      </w:pPr>
      <w:r>
        <w:t>How market participants currently manage MHQ constraints in the DWGM and the options for dealing with accreditation constraints, which included:</w:t>
      </w:r>
    </w:p>
    <w:p w14:paraId="424EEEFC" w14:textId="77777777" w:rsidR="00760446" w:rsidRPr="00760446" w:rsidRDefault="00760446" w:rsidP="00760446">
      <w:pPr>
        <w:pStyle w:val="ListBullet2"/>
      </w:pPr>
      <w:proofErr w:type="gramStart"/>
      <w:r w:rsidRPr="00760446">
        <w:rPr>
          <w:rStyle w:val="Bold"/>
          <w:b w:val="0"/>
        </w:rPr>
        <w:t>a</w:t>
      </w:r>
      <w:proofErr w:type="gramEnd"/>
      <w:r w:rsidRPr="00760446">
        <w:rPr>
          <w:rStyle w:val="Bold"/>
          <w:b w:val="0"/>
        </w:rPr>
        <w:t xml:space="preserve"> standing accreditation constraint</w:t>
      </w:r>
      <w:r w:rsidRPr="00760446">
        <w:rPr>
          <w:b/>
        </w:rPr>
        <w:t>:</w:t>
      </w:r>
      <w:r w:rsidRPr="00760446">
        <w:t xml:space="preserve"> A default accreditation constraint could remain in place for all transactions unless a participant requests a change. </w:t>
      </w:r>
    </w:p>
    <w:p w14:paraId="6933157B" w14:textId="77777777" w:rsidR="00760446" w:rsidRPr="00760446" w:rsidRDefault="00760446" w:rsidP="00760446">
      <w:pPr>
        <w:pStyle w:val="ListBullet2"/>
      </w:pPr>
      <w:proofErr w:type="gramStart"/>
      <w:r w:rsidRPr="00760446">
        <w:rPr>
          <w:rStyle w:val="Bold"/>
          <w:b w:val="0"/>
        </w:rPr>
        <w:t>an</w:t>
      </w:r>
      <w:proofErr w:type="gramEnd"/>
      <w:r w:rsidRPr="00760446">
        <w:rPr>
          <w:rStyle w:val="Bold"/>
          <w:b w:val="0"/>
        </w:rPr>
        <w:t xml:space="preserve"> automatic accreditation constraint</w:t>
      </w:r>
      <w:r w:rsidRPr="00760446">
        <w:rPr>
          <w:b/>
        </w:rPr>
        <w:t>:</w:t>
      </w:r>
      <w:r w:rsidRPr="00760446">
        <w:t xml:space="preserve"> </w:t>
      </w:r>
      <w:r w:rsidR="00210E8E" w:rsidRPr="00777833">
        <w:t xml:space="preserve">Automatic update of accreditation constraint when capacity is purchased on the capacity trading platform. </w:t>
      </w:r>
    </w:p>
    <w:p w14:paraId="67CC0B03" w14:textId="77777777" w:rsidR="00760446" w:rsidRPr="00760446" w:rsidRDefault="00760446" w:rsidP="00760446">
      <w:pPr>
        <w:pStyle w:val="ListBullet2"/>
      </w:pPr>
      <w:proofErr w:type="gramStart"/>
      <w:r w:rsidRPr="00760446">
        <w:rPr>
          <w:rStyle w:val="Bold"/>
          <w:b w:val="0"/>
        </w:rPr>
        <w:t>a</w:t>
      </w:r>
      <w:proofErr w:type="gramEnd"/>
      <w:r w:rsidRPr="00760446">
        <w:rPr>
          <w:rStyle w:val="Bold"/>
          <w:b w:val="0"/>
        </w:rPr>
        <w:t xml:space="preserve"> blank accreditation constraint</w:t>
      </w:r>
      <w:r w:rsidRPr="00760446">
        <w:rPr>
          <w:b/>
        </w:rPr>
        <w:t>:</w:t>
      </w:r>
      <w:r w:rsidRPr="00760446">
        <w:t xml:space="preserve"> No accreditation constraint is entered for capacity purchased on the platform or auction. </w:t>
      </w:r>
    </w:p>
    <w:p w14:paraId="19CF718C" w14:textId="77777777" w:rsidR="00A52672" w:rsidRPr="004E791B" w:rsidRDefault="00A52672" w:rsidP="004E791B">
      <w:pPr>
        <w:pStyle w:val="Heading6"/>
        <w:spacing w:line="252" w:lineRule="auto"/>
        <w:rPr>
          <w:color w:val="0099CC"/>
        </w:rPr>
      </w:pPr>
      <w:r w:rsidRPr="004E791B">
        <w:rPr>
          <w:color w:val="0099CC"/>
        </w:rPr>
        <w:t>Feedback provided through the consultation process</w:t>
      </w:r>
    </w:p>
    <w:p w14:paraId="4643BA36" w14:textId="77777777" w:rsidR="00A52672" w:rsidRPr="00A52672" w:rsidRDefault="00A52672" w:rsidP="00A52672">
      <w:pPr>
        <w:pStyle w:val="BodyText"/>
        <w:rPr>
          <w:rStyle w:val="Bold"/>
          <w:b w:val="0"/>
          <w:i/>
          <w:color w:val="0099CC"/>
          <w:sz w:val="20"/>
          <w:szCs w:val="20"/>
        </w:rPr>
      </w:pPr>
      <w:r w:rsidRPr="00A52672">
        <w:rPr>
          <w:rStyle w:val="Bold"/>
          <w:b w:val="0"/>
          <w:i/>
          <w:color w:val="0099CC"/>
          <w:sz w:val="20"/>
          <w:szCs w:val="20"/>
        </w:rPr>
        <w:t xml:space="preserve">STTM </w:t>
      </w:r>
      <w:r w:rsidR="00760446">
        <w:rPr>
          <w:rStyle w:val="Bold"/>
          <w:b w:val="0"/>
          <w:i/>
          <w:color w:val="0099CC"/>
          <w:sz w:val="20"/>
          <w:szCs w:val="20"/>
        </w:rPr>
        <w:t>timing interactions</w:t>
      </w:r>
    </w:p>
    <w:p w14:paraId="2F4B85DB" w14:textId="77777777" w:rsidR="002E1582" w:rsidRDefault="00A52672" w:rsidP="00A52672">
      <w:pPr>
        <w:pStyle w:val="BodyText"/>
        <w:rPr>
          <w:rStyle w:val="Bold"/>
          <w:b w:val="0"/>
        </w:rPr>
      </w:pPr>
      <w:r w:rsidRPr="00A52672">
        <w:rPr>
          <w:rStyle w:val="Bold"/>
          <w:b w:val="0"/>
        </w:rPr>
        <w:t xml:space="preserve">Only a small </w:t>
      </w:r>
      <w:r w:rsidR="00760446">
        <w:rPr>
          <w:rStyle w:val="Bold"/>
          <w:b w:val="0"/>
        </w:rPr>
        <w:t xml:space="preserve">number of stakeholders commented </w:t>
      </w:r>
      <w:r w:rsidRPr="00A52672">
        <w:rPr>
          <w:rStyle w:val="Bold"/>
          <w:b w:val="0"/>
        </w:rPr>
        <w:t xml:space="preserve">on this issue, all of </w:t>
      </w:r>
      <w:r w:rsidR="00760446">
        <w:rPr>
          <w:rStyle w:val="Bold"/>
          <w:b w:val="0"/>
        </w:rPr>
        <w:t xml:space="preserve">whom </w:t>
      </w:r>
      <w:r w:rsidRPr="00A52672">
        <w:rPr>
          <w:rStyle w:val="Bold"/>
          <w:b w:val="0"/>
        </w:rPr>
        <w:t xml:space="preserve">raised concerns with the potential D-2 </w:t>
      </w:r>
      <w:r w:rsidR="00760446">
        <w:rPr>
          <w:rStyle w:val="Bold"/>
          <w:b w:val="0"/>
        </w:rPr>
        <w:t xml:space="preserve">timing limitation.  </w:t>
      </w:r>
      <w:proofErr w:type="spellStart"/>
      <w:r w:rsidR="00760446">
        <w:rPr>
          <w:rStyle w:val="Bold"/>
          <w:b w:val="0"/>
        </w:rPr>
        <w:t>Energy</w:t>
      </w:r>
      <w:r w:rsidRPr="00A52672">
        <w:rPr>
          <w:rStyle w:val="Bold"/>
          <w:b w:val="0"/>
        </w:rPr>
        <w:t>Australia</w:t>
      </w:r>
      <w:proofErr w:type="spellEnd"/>
      <w:r w:rsidR="00760446">
        <w:rPr>
          <w:rStyle w:val="Bold"/>
          <w:b w:val="0"/>
        </w:rPr>
        <w:t>, for example,</w:t>
      </w:r>
      <w:r w:rsidRPr="00A52672">
        <w:rPr>
          <w:rStyle w:val="Bold"/>
          <w:b w:val="0"/>
        </w:rPr>
        <w:t xml:space="preserve"> </w:t>
      </w:r>
      <w:r w:rsidR="005702F0">
        <w:rPr>
          <w:rStyle w:val="Bold"/>
          <w:b w:val="0"/>
        </w:rPr>
        <w:t>suggested</w:t>
      </w:r>
      <w:r w:rsidRPr="00A52672">
        <w:rPr>
          <w:rStyle w:val="Bold"/>
          <w:b w:val="0"/>
        </w:rPr>
        <w:t xml:space="preserve"> that it would be better </w:t>
      </w:r>
      <w:r w:rsidR="00760446">
        <w:rPr>
          <w:rStyle w:val="Bold"/>
          <w:b w:val="0"/>
        </w:rPr>
        <w:t xml:space="preserve">if the timing was </w:t>
      </w:r>
      <w:r w:rsidRPr="00A52672">
        <w:rPr>
          <w:rStyle w:val="Bold"/>
          <w:b w:val="0"/>
        </w:rPr>
        <w:t xml:space="preserve">closer </w:t>
      </w:r>
      <w:r w:rsidR="00760446">
        <w:rPr>
          <w:rStyle w:val="Bold"/>
          <w:b w:val="0"/>
        </w:rPr>
        <w:t xml:space="preserve">to </w:t>
      </w:r>
      <w:r w:rsidRPr="00A52672">
        <w:rPr>
          <w:rStyle w:val="Bold"/>
          <w:b w:val="0"/>
        </w:rPr>
        <w:t>the D-1 bid/offer cut off time, however it understood that tra</w:t>
      </w:r>
      <w:r w:rsidR="0001631B">
        <w:rPr>
          <w:rStyle w:val="Bold"/>
          <w:b w:val="0"/>
        </w:rPr>
        <w:t>nsferring Trading Rights Number</w:t>
      </w:r>
      <w:r w:rsidRPr="00A52672">
        <w:rPr>
          <w:rStyle w:val="Bold"/>
          <w:b w:val="0"/>
        </w:rPr>
        <w:t xml:space="preserve"> (TRN) and </w:t>
      </w:r>
      <w:r w:rsidR="00760446">
        <w:rPr>
          <w:rStyle w:val="Bold"/>
          <w:b w:val="0"/>
        </w:rPr>
        <w:t>registration</w:t>
      </w:r>
      <w:r w:rsidRPr="00A52672">
        <w:rPr>
          <w:rStyle w:val="Bold"/>
          <w:b w:val="0"/>
        </w:rPr>
        <w:t xml:space="preserve"> could take time.</w:t>
      </w:r>
      <w:r w:rsidR="002E1582">
        <w:rPr>
          <w:rStyle w:val="Bold"/>
          <w:b w:val="0"/>
        </w:rPr>
        <w:t xml:space="preserve"> </w:t>
      </w:r>
      <w:r w:rsidRPr="00A52672">
        <w:rPr>
          <w:rStyle w:val="Bold"/>
          <w:b w:val="0"/>
        </w:rPr>
        <w:t xml:space="preserve">AGL </w:t>
      </w:r>
      <w:r w:rsidR="00760446">
        <w:rPr>
          <w:rStyle w:val="Bold"/>
          <w:b w:val="0"/>
        </w:rPr>
        <w:t xml:space="preserve">noted the timing was linked to the </w:t>
      </w:r>
      <w:r w:rsidRPr="00A52672">
        <w:rPr>
          <w:rStyle w:val="Bold"/>
          <w:b w:val="0"/>
        </w:rPr>
        <w:t>TRN process</w:t>
      </w:r>
      <w:r w:rsidR="002E1582">
        <w:rPr>
          <w:rStyle w:val="Bold"/>
          <w:b w:val="0"/>
        </w:rPr>
        <w:t xml:space="preserve">, but stated that in its view the </w:t>
      </w:r>
      <w:r w:rsidRPr="00A52672">
        <w:rPr>
          <w:rStyle w:val="Bold"/>
          <w:b w:val="0"/>
        </w:rPr>
        <w:t xml:space="preserve">TRN process is complicated and should be reviewed to negate/reduce this D-2 limitation. </w:t>
      </w:r>
    </w:p>
    <w:p w14:paraId="7F5AED09" w14:textId="77777777" w:rsidR="00A52672" w:rsidRPr="00A52672" w:rsidRDefault="00A52672" w:rsidP="00A52672">
      <w:pPr>
        <w:pStyle w:val="BodyText"/>
        <w:rPr>
          <w:rStyle w:val="Bold"/>
          <w:b w:val="0"/>
        </w:rPr>
      </w:pPr>
      <w:r w:rsidRPr="00A52672">
        <w:rPr>
          <w:rStyle w:val="Bold"/>
          <w:b w:val="0"/>
        </w:rPr>
        <w:t>Stanwell</w:t>
      </w:r>
      <w:r w:rsidR="002E1582">
        <w:rPr>
          <w:rStyle w:val="Bold"/>
          <w:b w:val="0"/>
        </w:rPr>
        <w:t>, on the other hand,</w:t>
      </w:r>
      <w:r w:rsidRPr="00A52672">
        <w:rPr>
          <w:rStyle w:val="Bold"/>
          <w:b w:val="0"/>
        </w:rPr>
        <w:t xml:space="preserve"> </w:t>
      </w:r>
      <w:r w:rsidR="005702F0">
        <w:rPr>
          <w:rStyle w:val="Bold"/>
          <w:b w:val="0"/>
        </w:rPr>
        <w:t>indicated</w:t>
      </w:r>
      <w:r w:rsidRPr="00A52672">
        <w:rPr>
          <w:rStyle w:val="Bold"/>
          <w:b w:val="0"/>
        </w:rPr>
        <w:t xml:space="preserve"> that while the situation </w:t>
      </w:r>
      <w:r w:rsidR="002E1582">
        <w:rPr>
          <w:rStyle w:val="Bold"/>
          <w:b w:val="0"/>
        </w:rPr>
        <w:t xml:space="preserve">was </w:t>
      </w:r>
      <w:r w:rsidRPr="00A52672">
        <w:rPr>
          <w:rStyle w:val="Bold"/>
          <w:b w:val="0"/>
        </w:rPr>
        <w:t>not ideal</w:t>
      </w:r>
      <w:r w:rsidR="002E1582">
        <w:rPr>
          <w:rStyle w:val="Bold"/>
          <w:b w:val="0"/>
        </w:rPr>
        <w:t>,</w:t>
      </w:r>
      <w:r w:rsidRPr="00A52672">
        <w:rPr>
          <w:rStyle w:val="Bold"/>
          <w:b w:val="0"/>
        </w:rPr>
        <w:t xml:space="preserve"> it expects traders </w:t>
      </w:r>
      <w:r w:rsidR="002E1582">
        <w:rPr>
          <w:rStyle w:val="Bold"/>
          <w:b w:val="0"/>
        </w:rPr>
        <w:t xml:space="preserve">to </w:t>
      </w:r>
      <w:r w:rsidRPr="00A52672">
        <w:rPr>
          <w:rStyle w:val="Bold"/>
          <w:b w:val="0"/>
        </w:rPr>
        <w:t>be able to work with this timeframe including by organising trades on D-2 and participating in the STTM through the MSV schedule. Stanwell did not support a change to the timings of the STTM or any other proposal which alters existing markets just to better integrate the day ahead capacity product with the STTM.</w:t>
      </w:r>
    </w:p>
    <w:p w14:paraId="5E44613D" w14:textId="77777777" w:rsidR="00A52672" w:rsidRPr="00A52672" w:rsidRDefault="00A52672" w:rsidP="00A52672">
      <w:pPr>
        <w:pStyle w:val="BodyText"/>
        <w:rPr>
          <w:rStyle w:val="Bold"/>
          <w:b w:val="0"/>
          <w:i/>
          <w:color w:val="0099CC"/>
          <w:sz w:val="20"/>
          <w:szCs w:val="20"/>
        </w:rPr>
      </w:pPr>
      <w:r w:rsidRPr="00A52672">
        <w:rPr>
          <w:rStyle w:val="Bold"/>
          <w:b w:val="0"/>
          <w:i/>
          <w:color w:val="0099CC"/>
          <w:sz w:val="20"/>
          <w:szCs w:val="20"/>
        </w:rPr>
        <w:t>Process for transferring STTM trading rights</w:t>
      </w:r>
    </w:p>
    <w:p w14:paraId="00533B74" w14:textId="77777777" w:rsidR="002E1582" w:rsidRDefault="00A52672" w:rsidP="00A52672">
      <w:pPr>
        <w:pStyle w:val="BodyText"/>
        <w:rPr>
          <w:rStyle w:val="Bold"/>
          <w:b w:val="0"/>
        </w:rPr>
      </w:pPr>
      <w:r w:rsidRPr="00A52672">
        <w:rPr>
          <w:rStyle w:val="Bold"/>
          <w:b w:val="0"/>
        </w:rPr>
        <w:t>Generally, participants supported an automatic and fully anonymous approach</w:t>
      </w:r>
      <w:r w:rsidR="002E1582">
        <w:rPr>
          <w:rStyle w:val="Bold"/>
          <w:b w:val="0"/>
        </w:rPr>
        <w:t xml:space="preserve"> to transferring STTM trading rights,</w:t>
      </w:r>
      <w:r w:rsidRPr="00A52672">
        <w:rPr>
          <w:rStyle w:val="Bold"/>
          <w:b w:val="0"/>
        </w:rPr>
        <w:t xml:space="preserve"> </w:t>
      </w:r>
      <w:r w:rsidR="002E1582">
        <w:rPr>
          <w:rStyle w:val="Bold"/>
          <w:b w:val="0"/>
        </w:rPr>
        <w:t xml:space="preserve">although some </w:t>
      </w:r>
      <w:r w:rsidR="005702F0">
        <w:rPr>
          <w:rStyle w:val="Bold"/>
          <w:b w:val="0"/>
        </w:rPr>
        <w:t xml:space="preserve">suggested </w:t>
      </w:r>
      <w:r w:rsidRPr="00A52672">
        <w:rPr>
          <w:rStyle w:val="Bold"/>
          <w:b w:val="0"/>
        </w:rPr>
        <w:t xml:space="preserve">that further consideration of the systems and costs </w:t>
      </w:r>
      <w:r w:rsidR="005702F0">
        <w:rPr>
          <w:rStyle w:val="Bold"/>
          <w:b w:val="0"/>
        </w:rPr>
        <w:t xml:space="preserve">is </w:t>
      </w:r>
      <w:r w:rsidRPr="00A52672">
        <w:rPr>
          <w:rStyle w:val="Bold"/>
          <w:b w:val="0"/>
        </w:rPr>
        <w:t xml:space="preserve">required.  </w:t>
      </w:r>
    </w:p>
    <w:p w14:paraId="141C7FE6" w14:textId="77777777" w:rsidR="00A52672" w:rsidRPr="00A52672" w:rsidRDefault="00A52672" w:rsidP="00A52672">
      <w:pPr>
        <w:pStyle w:val="BodyText"/>
        <w:rPr>
          <w:rStyle w:val="Bold"/>
          <w:b w:val="0"/>
        </w:rPr>
      </w:pPr>
      <w:r w:rsidRPr="00A52672">
        <w:rPr>
          <w:rStyle w:val="Bold"/>
          <w:b w:val="0"/>
        </w:rPr>
        <w:t>AGL and Stanwell</w:t>
      </w:r>
      <w:r w:rsidR="002E1582">
        <w:rPr>
          <w:rStyle w:val="Bold"/>
          <w:b w:val="0"/>
        </w:rPr>
        <w:t>, for example, suggested</w:t>
      </w:r>
      <w:r w:rsidRPr="00A52672">
        <w:rPr>
          <w:rStyle w:val="Bold"/>
          <w:b w:val="0"/>
        </w:rPr>
        <w:t xml:space="preserve"> that the integration with the STTM be delayed until after market start</w:t>
      </w:r>
      <w:r w:rsidRPr="00A52672">
        <w:rPr>
          <w:b/>
        </w:rPr>
        <w:t xml:space="preserve"> </w:t>
      </w:r>
      <w:r w:rsidRPr="002E1582">
        <w:t>given</w:t>
      </w:r>
      <w:r w:rsidRPr="00A52672">
        <w:rPr>
          <w:b/>
        </w:rPr>
        <w:t xml:space="preserve"> </w:t>
      </w:r>
      <w:r w:rsidR="002E1582">
        <w:rPr>
          <w:rStyle w:val="Bold"/>
          <w:b w:val="0"/>
        </w:rPr>
        <w:t xml:space="preserve">the </w:t>
      </w:r>
      <w:r w:rsidRPr="00A52672">
        <w:rPr>
          <w:rStyle w:val="Bold"/>
          <w:b w:val="0"/>
        </w:rPr>
        <w:t>short amount of time to market start and the amount and cost of IT work for AEMO, service providers and shippers</w:t>
      </w:r>
      <w:r w:rsidR="002E1582">
        <w:rPr>
          <w:rStyle w:val="Bold"/>
          <w:b w:val="0"/>
        </w:rPr>
        <w:t xml:space="preserve"> and the potential for this </w:t>
      </w:r>
      <w:r w:rsidRPr="00A52672">
        <w:rPr>
          <w:rStyle w:val="Bold"/>
          <w:b w:val="0"/>
        </w:rPr>
        <w:t xml:space="preserve">integration </w:t>
      </w:r>
      <w:r w:rsidR="002E1582">
        <w:rPr>
          <w:rStyle w:val="Bold"/>
          <w:b w:val="0"/>
        </w:rPr>
        <w:t xml:space="preserve">to </w:t>
      </w:r>
      <w:r w:rsidRPr="00A52672">
        <w:rPr>
          <w:rStyle w:val="Bold"/>
          <w:b w:val="0"/>
        </w:rPr>
        <w:t xml:space="preserve">be </w:t>
      </w:r>
      <w:r w:rsidR="002E1582">
        <w:rPr>
          <w:rStyle w:val="Bold"/>
          <w:b w:val="0"/>
        </w:rPr>
        <w:t>quite complex</w:t>
      </w:r>
      <w:r w:rsidRPr="00A52672">
        <w:rPr>
          <w:rStyle w:val="Bold"/>
          <w:b w:val="0"/>
        </w:rPr>
        <w:t>.</w:t>
      </w:r>
      <w:r w:rsidRPr="002E1582">
        <w:rPr>
          <w:rStyle w:val="FootnoteReference"/>
          <w:rFonts w:eastAsiaTheme="minorEastAsia"/>
        </w:rPr>
        <w:footnoteReference w:id="83"/>
      </w:r>
      <w:r w:rsidR="002E1582">
        <w:rPr>
          <w:rStyle w:val="Bold"/>
          <w:b w:val="0"/>
        </w:rPr>
        <w:t xml:space="preserve"> </w:t>
      </w:r>
      <w:r w:rsidRPr="00A52672">
        <w:rPr>
          <w:rStyle w:val="Bold"/>
          <w:b w:val="0"/>
        </w:rPr>
        <w:t>Origin</w:t>
      </w:r>
      <w:r w:rsidR="002E1582">
        <w:rPr>
          <w:rStyle w:val="Bold"/>
          <w:b w:val="0"/>
        </w:rPr>
        <w:t xml:space="preserve"> also noted that </w:t>
      </w:r>
      <w:r w:rsidRPr="00A52672">
        <w:rPr>
          <w:rStyle w:val="Bold"/>
          <w:b w:val="0"/>
        </w:rPr>
        <w:t>automating the flow of information would provide for a more efficient transaction process and reduce the risk of administrative error</w:t>
      </w:r>
      <w:r w:rsidR="002E1582">
        <w:rPr>
          <w:rStyle w:val="Bold"/>
          <w:b w:val="0"/>
        </w:rPr>
        <w:t xml:space="preserve">, but </w:t>
      </w:r>
      <w:r w:rsidR="005702F0">
        <w:rPr>
          <w:rStyle w:val="Bold"/>
          <w:b w:val="0"/>
        </w:rPr>
        <w:t xml:space="preserve">suggested </w:t>
      </w:r>
      <w:r w:rsidR="002E1582">
        <w:rPr>
          <w:rStyle w:val="Bold"/>
          <w:b w:val="0"/>
        </w:rPr>
        <w:t xml:space="preserve">that </w:t>
      </w:r>
      <w:r w:rsidRPr="00A52672">
        <w:rPr>
          <w:rStyle w:val="Bold"/>
          <w:b w:val="0"/>
        </w:rPr>
        <w:t>further information describing the extent to which this automation can be achieved, and the overall implementation costs, is needed to fully evaluate this proposal.</w:t>
      </w:r>
    </w:p>
    <w:p w14:paraId="24635B39" w14:textId="77777777" w:rsidR="00A52672" w:rsidRPr="00A52672" w:rsidRDefault="00A52672" w:rsidP="002E1582">
      <w:pPr>
        <w:pStyle w:val="BodyText"/>
        <w:keepNext/>
        <w:spacing w:before="120"/>
        <w:rPr>
          <w:rStyle w:val="Bold"/>
          <w:b w:val="0"/>
          <w:i/>
          <w:color w:val="0099CC"/>
          <w:sz w:val="20"/>
          <w:szCs w:val="20"/>
        </w:rPr>
      </w:pPr>
      <w:r w:rsidRPr="00A52672">
        <w:rPr>
          <w:rStyle w:val="Bold"/>
          <w:b w:val="0"/>
          <w:i/>
          <w:color w:val="0099CC"/>
          <w:sz w:val="20"/>
          <w:szCs w:val="20"/>
        </w:rPr>
        <w:t>Accreditation for DWGM</w:t>
      </w:r>
    </w:p>
    <w:p w14:paraId="12AF5230" w14:textId="77777777" w:rsidR="00A52672" w:rsidRPr="00A52672" w:rsidRDefault="00A52672" w:rsidP="00A52672">
      <w:pPr>
        <w:pStyle w:val="BodyText"/>
        <w:spacing w:before="120"/>
        <w:rPr>
          <w:rStyle w:val="Bold"/>
          <w:b w:val="0"/>
        </w:rPr>
      </w:pPr>
      <w:r w:rsidRPr="00A52672">
        <w:rPr>
          <w:rStyle w:val="Bold"/>
          <w:b w:val="0"/>
        </w:rPr>
        <w:t xml:space="preserve">The majority of </w:t>
      </w:r>
      <w:r w:rsidR="002E1582">
        <w:rPr>
          <w:rStyle w:val="Bold"/>
          <w:b w:val="0"/>
        </w:rPr>
        <w:t>stakeholders did not comment</w:t>
      </w:r>
      <w:r w:rsidRPr="00A52672">
        <w:rPr>
          <w:rStyle w:val="Bold"/>
          <w:b w:val="0"/>
        </w:rPr>
        <w:t xml:space="preserve"> on this </w:t>
      </w:r>
      <w:r w:rsidR="002E1582">
        <w:rPr>
          <w:rStyle w:val="Bold"/>
          <w:b w:val="0"/>
        </w:rPr>
        <w:t>issue</w:t>
      </w:r>
      <w:r w:rsidRPr="00A52672">
        <w:rPr>
          <w:rStyle w:val="Bold"/>
          <w:b w:val="0"/>
        </w:rPr>
        <w:t xml:space="preserve">.  The </w:t>
      </w:r>
      <w:r w:rsidR="002E1582">
        <w:rPr>
          <w:rStyle w:val="Bold"/>
          <w:b w:val="0"/>
        </w:rPr>
        <w:t xml:space="preserve">stakeholders that did comment </w:t>
      </w:r>
      <w:r w:rsidR="005702F0">
        <w:rPr>
          <w:rStyle w:val="Bold"/>
          <w:b w:val="0"/>
        </w:rPr>
        <w:t xml:space="preserve">suggested that </w:t>
      </w:r>
      <w:r w:rsidR="002E1582">
        <w:rPr>
          <w:rStyle w:val="Bold"/>
          <w:b w:val="0"/>
        </w:rPr>
        <w:t xml:space="preserve">this </w:t>
      </w:r>
      <w:r w:rsidR="005702F0">
        <w:rPr>
          <w:rStyle w:val="Bold"/>
          <w:b w:val="0"/>
        </w:rPr>
        <w:t xml:space="preserve">is </w:t>
      </w:r>
      <w:r w:rsidR="002E1582">
        <w:rPr>
          <w:rStyle w:val="Bold"/>
          <w:b w:val="0"/>
        </w:rPr>
        <w:t xml:space="preserve">a detailed implementation issue that did not </w:t>
      </w:r>
      <w:r w:rsidRPr="00A52672">
        <w:rPr>
          <w:rStyle w:val="Bold"/>
          <w:b w:val="0"/>
        </w:rPr>
        <w:t>need to be resolved at this stage of the process.</w:t>
      </w:r>
    </w:p>
    <w:p w14:paraId="6AF0B521" w14:textId="77777777" w:rsidR="002E1582" w:rsidRDefault="00A52672" w:rsidP="00A52672">
      <w:pPr>
        <w:pStyle w:val="BodyText"/>
        <w:rPr>
          <w:rStyle w:val="Bold"/>
          <w:b w:val="0"/>
        </w:rPr>
      </w:pPr>
      <w:r w:rsidRPr="00A52672">
        <w:rPr>
          <w:rStyle w:val="Bold"/>
          <w:b w:val="0"/>
        </w:rPr>
        <w:lastRenderedPageBreak/>
        <w:t xml:space="preserve">AGL </w:t>
      </w:r>
      <w:r w:rsidR="002E1582">
        <w:rPr>
          <w:rStyle w:val="Bold"/>
          <w:b w:val="0"/>
        </w:rPr>
        <w:t xml:space="preserve">was the only </w:t>
      </w:r>
      <w:r w:rsidR="005702F0">
        <w:rPr>
          <w:rStyle w:val="Bold"/>
          <w:b w:val="0"/>
        </w:rPr>
        <w:t xml:space="preserve">stakeholder </w:t>
      </w:r>
      <w:r w:rsidR="002E1582">
        <w:rPr>
          <w:rStyle w:val="Bold"/>
          <w:b w:val="0"/>
        </w:rPr>
        <w:t xml:space="preserve">to provide any feedback on the options identified in the consultation paper. In short, AGL </w:t>
      </w:r>
      <w:r w:rsidR="005702F0">
        <w:rPr>
          <w:rStyle w:val="Bold"/>
          <w:b w:val="0"/>
        </w:rPr>
        <w:t>was of the view</w:t>
      </w:r>
      <w:r w:rsidR="002E1582">
        <w:rPr>
          <w:rStyle w:val="Bold"/>
          <w:b w:val="0"/>
        </w:rPr>
        <w:t xml:space="preserve"> that:</w:t>
      </w:r>
    </w:p>
    <w:p w14:paraId="2F61ADF2" w14:textId="77777777" w:rsidR="002E1582" w:rsidRDefault="00A52672" w:rsidP="002E1582">
      <w:pPr>
        <w:pStyle w:val="ListBullet"/>
        <w:rPr>
          <w:rStyle w:val="Bold"/>
          <w:b w:val="0"/>
        </w:rPr>
      </w:pPr>
      <w:r w:rsidRPr="00A52672">
        <w:rPr>
          <w:rStyle w:val="Bold"/>
          <w:b w:val="0"/>
        </w:rPr>
        <w:t>standing constraints may work if they are published and set in a manner than does not cause more traditionally accredited shippers to be disadvantaged (i.e. the accreditatio</w:t>
      </w:r>
      <w:r w:rsidR="002E1582">
        <w:rPr>
          <w:rStyle w:val="Bold"/>
          <w:b w:val="0"/>
        </w:rPr>
        <w:t>n should not be more generous); and</w:t>
      </w:r>
    </w:p>
    <w:p w14:paraId="515AF99A" w14:textId="77777777" w:rsidR="00A52672" w:rsidRPr="00A52672" w:rsidRDefault="002E1582" w:rsidP="002E1582">
      <w:pPr>
        <w:pStyle w:val="ListBullet"/>
        <w:rPr>
          <w:rStyle w:val="Bold"/>
          <w:b w:val="0"/>
        </w:rPr>
      </w:pPr>
      <w:proofErr w:type="gramStart"/>
      <w:r>
        <w:rPr>
          <w:rStyle w:val="Bold"/>
          <w:b w:val="0"/>
        </w:rPr>
        <w:t>b</w:t>
      </w:r>
      <w:r w:rsidR="00A52672" w:rsidRPr="00A52672">
        <w:rPr>
          <w:rStyle w:val="Bold"/>
          <w:b w:val="0"/>
        </w:rPr>
        <w:t>lank</w:t>
      </w:r>
      <w:proofErr w:type="gramEnd"/>
      <w:r w:rsidR="00A52672" w:rsidRPr="00A52672">
        <w:rPr>
          <w:rStyle w:val="Bold"/>
          <w:b w:val="0"/>
        </w:rPr>
        <w:t xml:space="preserve"> accreditation would be </w:t>
      </w:r>
      <w:r>
        <w:rPr>
          <w:rStyle w:val="Bold"/>
          <w:b w:val="0"/>
        </w:rPr>
        <w:t xml:space="preserve">a concern if they are </w:t>
      </w:r>
      <w:r w:rsidR="00A52672" w:rsidRPr="00A52672">
        <w:rPr>
          <w:rStyle w:val="Bold"/>
          <w:b w:val="0"/>
        </w:rPr>
        <w:t>treated as ‘unconstrained’ in scheduling given that any unconstrained bid/offer would be superior to a more accurate bid/offer that is subject to the constraints of accreditation.</w:t>
      </w:r>
    </w:p>
    <w:p w14:paraId="2A2656DF" w14:textId="77777777" w:rsidR="00A52672" w:rsidRPr="004E791B" w:rsidRDefault="00A52672" w:rsidP="004E791B">
      <w:pPr>
        <w:pStyle w:val="Heading6"/>
        <w:spacing w:line="252" w:lineRule="auto"/>
        <w:rPr>
          <w:color w:val="0099CC"/>
        </w:rPr>
      </w:pPr>
      <w:r w:rsidRPr="004E791B">
        <w:rPr>
          <w:color w:val="0099CC"/>
        </w:rPr>
        <w:t xml:space="preserve">GMRG’s final recommendations </w:t>
      </w:r>
    </w:p>
    <w:p w14:paraId="1BDF7F42" w14:textId="77777777" w:rsidR="00A52672" w:rsidRPr="00A52672" w:rsidRDefault="00A52672" w:rsidP="00320782">
      <w:pPr>
        <w:pStyle w:val="BodyText"/>
      </w:pPr>
      <w:r>
        <w:rPr>
          <w:rStyle w:val="Bold"/>
          <w:b w:val="0"/>
        </w:rPr>
        <w:t xml:space="preserve">The GMRG </w:t>
      </w:r>
      <w:r w:rsidRPr="00A52672">
        <w:rPr>
          <w:rStyle w:val="Bold"/>
          <w:b w:val="0"/>
        </w:rPr>
        <w:t xml:space="preserve">recognises </w:t>
      </w:r>
      <w:r w:rsidR="005702F0">
        <w:rPr>
          <w:rStyle w:val="Bold"/>
          <w:b w:val="0"/>
        </w:rPr>
        <w:t>the</w:t>
      </w:r>
      <w:r w:rsidRPr="00A52672">
        <w:rPr>
          <w:rStyle w:val="Bold"/>
          <w:b w:val="0"/>
        </w:rPr>
        <w:t xml:space="preserve"> practicalities </w:t>
      </w:r>
      <w:r w:rsidR="005702F0">
        <w:rPr>
          <w:rStyle w:val="Bold"/>
          <w:b w:val="0"/>
        </w:rPr>
        <w:t xml:space="preserve">associated with </w:t>
      </w:r>
      <w:r w:rsidRPr="00A52672">
        <w:rPr>
          <w:rStyle w:val="Bold"/>
          <w:b w:val="0"/>
        </w:rPr>
        <w:t xml:space="preserve">integrating the DWGM and STTM with the </w:t>
      </w:r>
      <w:r w:rsidR="002E1582">
        <w:rPr>
          <w:rStyle w:val="Bold"/>
          <w:b w:val="0"/>
        </w:rPr>
        <w:t>capacity trading platform</w:t>
      </w:r>
      <w:r w:rsidRPr="00A52672">
        <w:rPr>
          <w:rStyle w:val="Bold"/>
          <w:b w:val="0"/>
        </w:rPr>
        <w:t xml:space="preserve"> </w:t>
      </w:r>
      <w:r w:rsidR="005702F0">
        <w:rPr>
          <w:rStyle w:val="Bold"/>
          <w:b w:val="0"/>
        </w:rPr>
        <w:t xml:space="preserve">require </w:t>
      </w:r>
      <w:r w:rsidRPr="00A52672">
        <w:rPr>
          <w:rStyle w:val="Bold"/>
          <w:b w:val="0"/>
        </w:rPr>
        <w:t xml:space="preserve">further </w:t>
      </w:r>
      <w:r w:rsidR="005702F0">
        <w:rPr>
          <w:rStyle w:val="Bold"/>
          <w:b w:val="0"/>
        </w:rPr>
        <w:t>consideration and development</w:t>
      </w:r>
      <w:r w:rsidRPr="00A52672">
        <w:rPr>
          <w:rStyle w:val="Bold"/>
          <w:b w:val="0"/>
        </w:rPr>
        <w:t xml:space="preserve">. </w:t>
      </w:r>
      <w:r w:rsidRPr="00A52672">
        <w:t xml:space="preserve">AEMO has also advised that further consideration and assessment is required on these matters before a final decision can be made.  </w:t>
      </w:r>
      <w:r w:rsidR="002E1582">
        <w:t>T</w:t>
      </w:r>
      <w:r>
        <w:t xml:space="preserve">he </w:t>
      </w:r>
      <w:r w:rsidRPr="00A52672">
        <w:t xml:space="preserve">GMRG </w:t>
      </w:r>
      <w:r w:rsidR="002E1582">
        <w:t xml:space="preserve">intends therefore to </w:t>
      </w:r>
      <w:r w:rsidRPr="00A52672">
        <w:t xml:space="preserve">work closely with AEMO during the </w:t>
      </w:r>
      <w:r w:rsidR="005702F0">
        <w:t xml:space="preserve">implementation </w:t>
      </w:r>
      <w:r w:rsidRPr="00A52672">
        <w:t xml:space="preserve">phase </w:t>
      </w:r>
      <w:r w:rsidR="002E1582">
        <w:t xml:space="preserve">and carry out </w:t>
      </w:r>
      <w:r w:rsidRPr="00A52672">
        <w:t>further consultation with stakeholder</w:t>
      </w:r>
      <w:r w:rsidR="002E1582">
        <w:t>s as required</w:t>
      </w:r>
      <w:r w:rsidRPr="00A52672">
        <w:t xml:space="preserve">.  </w:t>
      </w:r>
      <w:r w:rsidR="002E1582">
        <w:t xml:space="preserve">As part of this process, the GMRG and AEMO will consider whether </w:t>
      </w:r>
      <w:r w:rsidRPr="00A52672">
        <w:t xml:space="preserve">there </w:t>
      </w:r>
      <w:r w:rsidR="002E1582">
        <w:t xml:space="preserve">are </w:t>
      </w:r>
      <w:r w:rsidRPr="00A52672">
        <w:t>any solution</w:t>
      </w:r>
      <w:r w:rsidR="00210E8E">
        <w:t>s</w:t>
      </w:r>
      <w:r w:rsidRPr="00A52672">
        <w:t xml:space="preserve"> to the D-2 limitation for participation in the </w:t>
      </w:r>
      <w:proofErr w:type="spellStart"/>
      <w:r w:rsidR="002E1582" w:rsidRPr="004E791B">
        <w:rPr>
          <w:i/>
        </w:rPr>
        <w:t>ex ante</w:t>
      </w:r>
      <w:proofErr w:type="spellEnd"/>
      <w:r w:rsidR="002E1582">
        <w:t xml:space="preserve"> schedule for the </w:t>
      </w:r>
      <w:r w:rsidRPr="00A52672">
        <w:t>STTM.</w:t>
      </w:r>
    </w:p>
    <w:p w14:paraId="6821BD13" w14:textId="77777777" w:rsidR="004D2856" w:rsidRDefault="00C41205" w:rsidP="00320782">
      <w:pPr>
        <w:pStyle w:val="BodyText"/>
      </w:pPr>
      <w:r>
        <w:t>On a separate but related issue, it is worth noting that t</w:t>
      </w:r>
      <w:r w:rsidR="00A52672" w:rsidRPr="00A52672">
        <w:t xml:space="preserve">rading rights can currently only be transferred from one shipper to another through a </w:t>
      </w:r>
      <w:r w:rsidR="00A52672" w:rsidRPr="00A52672">
        <w:rPr>
          <w:rStyle w:val="Italics"/>
          <w:rFonts w:eastAsia="Cambria"/>
        </w:rPr>
        <w:t>bare</w:t>
      </w:r>
      <w:r w:rsidR="00A52672" w:rsidRPr="00A52672">
        <w:t xml:space="preserve"> </w:t>
      </w:r>
      <w:r w:rsidR="00A52672" w:rsidRPr="00A52672">
        <w:rPr>
          <w:rStyle w:val="Italics"/>
          <w:rFonts w:eastAsia="Cambria"/>
        </w:rPr>
        <w:t>transfer</w:t>
      </w:r>
      <w:r w:rsidR="00A52672" w:rsidRPr="00A52672">
        <w:t xml:space="preserve">. That is, under the NGR, there is no relationship between the service provider and buyer of secondary capacity. When a capacity trade occurs, the seller makes nominations to the service provider on behalf of the buyer. As outlined in Part A, a required outcome under the AEMC’s recommendations is that trades carried out through the exchange and day-ahead auction be given effect through an operational transfer. Under this transfer mechanism, a relationship is established between the buyer of secondary capacity and the relevant service provider. </w:t>
      </w:r>
      <w:r>
        <w:t xml:space="preserve">Changes will therefore need to be made to the NGR to </w:t>
      </w:r>
      <w:r w:rsidR="00A52672" w:rsidRPr="00A52672">
        <w:t xml:space="preserve">enable STTM trading rights to be transferred between shippers via an operational transfer.  </w:t>
      </w:r>
      <w:bookmarkStart w:id="169" w:name="_Toc489464935"/>
      <w:r w:rsidR="004D2856">
        <w:br w:type="page"/>
      </w:r>
    </w:p>
    <w:p w14:paraId="715F6149" w14:textId="77777777" w:rsidR="00C34E9D" w:rsidRPr="008B1B73" w:rsidRDefault="00F65A13" w:rsidP="00F65A13">
      <w:pPr>
        <w:pStyle w:val="Heading1"/>
      </w:pPr>
      <w:bookmarkStart w:id="170" w:name="_Toc489464936"/>
      <w:bookmarkStart w:id="171" w:name="_Ref492099928"/>
      <w:bookmarkStart w:id="172" w:name="_Toc499542669"/>
      <w:bookmarkEnd w:id="169"/>
      <w:r>
        <w:lastRenderedPageBreak/>
        <w:t xml:space="preserve">Settlement and </w:t>
      </w:r>
      <w:r w:rsidR="003529C7">
        <w:t>C</w:t>
      </w:r>
      <w:r>
        <w:t xml:space="preserve">redit </w:t>
      </w:r>
      <w:bookmarkEnd w:id="170"/>
      <w:r w:rsidR="003529C7">
        <w:t>R</w:t>
      </w:r>
      <w:r>
        <w:t xml:space="preserve">isk </w:t>
      </w:r>
      <w:bookmarkEnd w:id="171"/>
      <w:r w:rsidR="00CE2370">
        <w:t>Management</w:t>
      </w:r>
      <w:bookmarkEnd w:id="172"/>
      <w:r w:rsidR="00CE2370">
        <w:t xml:space="preserve"> </w:t>
      </w:r>
    </w:p>
    <w:p w14:paraId="7324101F" w14:textId="77777777" w:rsidR="00C34E9D" w:rsidRPr="008B1B73" w:rsidRDefault="00C34E9D" w:rsidP="00AE53CB">
      <w:pPr>
        <w:pStyle w:val="BodyText"/>
      </w:pPr>
      <w:r w:rsidRPr="008B1B73">
        <w:rPr>
          <w:rFonts w:cs="Arial"/>
        </w:rPr>
        <w:t xml:space="preserve">Effective settlement and credit risk management processes provide participants with confidence in the integrity of the market. </w:t>
      </w:r>
      <w:r w:rsidR="005958FF">
        <w:rPr>
          <w:rFonts w:cs="Arial"/>
        </w:rPr>
        <w:t xml:space="preserve">The remainder of this chapter </w:t>
      </w:r>
      <w:r w:rsidR="00DA70CF">
        <w:rPr>
          <w:rFonts w:cs="Arial"/>
        </w:rPr>
        <w:t xml:space="preserve">sets out the GMRG’s final recommendations on the </w:t>
      </w:r>
      <w:r w:rsidR="005958FF">
        <w:rPr>
          <w:rFonts w:cs="Arial"/>
        </w:rPr>
        <w:t xml:space="preserve">settlement and credit risk management processes </w:t>
      </w:r>
      <w:r w:rsidR="00AE53CB">
        <w:rPr>
          <w:rFonts w:cs="Arial"/>
        </w:rPr>
        <w:t xml:space="preserve">that </w:t>
      </w:r>
      <w:r w:rsidR="00DA70CF">
        <w:rPr>
          <w:rFonts w:cs="Arial"/>
        </w:rPr>
        <w:t xml:space="preserve">should apply </w:t>
      </w:r>
      <w:r w:rsidR="00AE53CB">
        <w:rPr>
          <w:rFonts w:cs="Arial"/>
        </w:rPr>
        <w:t>to capacity products purchased through the exchange.</w:t>
      </w:r>
    </w:p>
    <w:p w14:paraId="498B76F6" w14:textId="77777777" w:rsidR="00C34E9D" w:rsidRDefault="00B33AD5" w:rsidP="00C34E9D">
      <w:pPr>
        <w:pStyle w:val="Heading2"/>
      </w:pPr>
      <w:bookmarkStart w:id="173" w:name="_Toc499542670"/>
      <w:r>
        <w:t>Centralised s</w:t>
      </w:r>
      <w:r w:rsidR="00C34E9D" w:rsidRPr="008B1B73">
        <w:t xml:space="preserve">ettlement </w:t>
      </w:r>
      <w:r>
        <w:t>system</w:t>
      </w:r>
      <w:bookmarkEnd w:id="173"/>
    </w:p>
    <w:p w14:paraId="065FA565" w14:textId="77777777" w:rsidR="00333218" w:rsidRPr="004E791B" w:rsidRDefault="00333218" w:rsidP="004E791B">
      <w:pPr>
        <w:pStyle w:val="Heading6"/>
        <w:spacing w:line="252" w:lineRule="auto"/>
        <w:rPr>
          <w:color w:val="0099CC"/>
        </w:rPr>
      </w:pPr>
      <w:bookmarkStart w:id="174" w:name="_Toc489464939"/>
      <w:r w:rsidRPr="004E791B">
        <w:rPr>
          <w:color w:val="0099CC"/>
        </w:rPr>
        <w:t>Background</w:t>
      </w:r>
    </w:p>
    <w:p w14:paraId="1E58C7FE" w14:textId="77777777" w:rsidR="00D557DD" w:rsidRDefault="00333218" w:rsidP="00333218">
      <w:pPr>
        <w:tabs>
          <w:tab w:val="left" w:pos="2268"/>
          <w:tab w:val="left" w:pos="4536"/>
          <w:tab w:val="left" w:pos="6804"/>
          <w:tab w:val="right" w:pos="9638"/>
        </w:tabs>
        <w:spacing w:before="240" w:after="120"/>
        <w:rPr>
          <w:rFonts w:eastAsiaTheme="minorEastAsia"/>
        </w:rPr>
      </w:pPr>
      <w:r>
        <w:rPr>
          <w:rFonts w:eastAsiaTheme="minorEastAsia"/>
        </w:rPr>
        <w:t>Currently on the GSH trades carried out using the screen trading or pre-matched service are settled centrally by AEMO, with settlement amounts calculated and reported to each market participant on a daily basis.</w:t>
      </w:r>
      <w:r>
        <w:rPr>
          <w:rFonts w:eastAsiaTheme="minorEastAsia"/>
          <w:vertAlign w:val="superscript"/>
        </w:rPr>
        <w:footnoteReference w:id="84"/>
      </w:r>
      <w:r>
        <w:rPr>
          <w:rFonts w:eastAsiaTheme="minorEastAsia"/>
          <w:vertAlign w:val="superscript"/>
        </w:rPr>
        <w:t xml:space="preserve"> </w:t>
      </w:r>
      <w:r>
        <w:rPr>
          <w:rFonts w:eastAsiaTheme="minorEastAsia"/>
        </w:rPr>
        <w:t xml:space="preserve"> The daily settlement calculation enables the credit risk of </w:t>
      </w:r>
      <w:r w:rsidR="002D0314">
        <w:rPr>
          <w:rFonts w:eastAsiaTheme="minorEastAsia"/>
        </w:rPr>
        <w:t>t</w:t>
      </w:r>
      <w:r>
        <w:rPr>
          <w:rFonts w:eastAsiaTheme="minorEastAsia"/>
        </w:rPr>
        <w:t xml:space="preserve">rading </w:t>
      </w:r>
      <w:r w:rsidR="002D0314">
        <w:rPr>
          <w:rFonts w:eastAsiaTheme="minorEastAsia"/>
        </w:rPr>
        <w:t>p</w:t>
      </w:r>
      <w:r>
        <w:rPr>
          <w:rFonts w:eastAsiaTheme="minorEastAsia"/>
        </w:rPr>
        <w:t xml:space="preserve">articipants to be monitored on a daily basis.  </w:t>
      </w:r>
    </w:p>
    <w:p w14:paraId="4EFD2CDF" w14:textId="77777777" w:rsidR="00333218" w:rsidRDefault="00333218" w:rsidP="00333218">
      <w:pPr>
        <w:tabs>
          <w:tab w:val="left" w:pos="2268"/>
          <w:tab w:val="left" w:pos="4536"/>
          <w:tab w:val="left" w:pos="6804"/>
          <w:tab w:val="right" w:pos="9638"/>
        </w:tabs>
        <w:spacing w:before="240" w:after="120"/>
        <w:rPr>
          <w:rFonts w:eastAsiaTheme="minorEastAsia"/>
        </w:rPr>
      </w:pPr>
      <w:r>
        <w:rPr>
          <w:rFonts w:eastAsiaTheme="minorEastAsia"/>
        </w:rPr>
        <w:t xml:space="preserve">The settlement amount for a </w:t>
      </w:r>
      <w:r w:rsidR="002D0314">
        <w:rPr>
          <w:rFonts w:eastAsiaTheme="minorEastAsia"/>
        </w:rPr>
        <w:t xml:space="preserve">trading participant </w:t>
      </w:r>
      <w:r>
        <w:rPr>
          <w:rFonts w:eastAsiaTheme="minorEastAsia"/>
        </w:rPr>
        <w:t>that has purchased capacity products through the exchange will be calculated having regard to:</w:t>
      </w:r>
    </w:p>
    <w:p w14:paraId="61AF396E" w14:textId="77777777" w:rsidR="00333218" w:rsidRDefault="00333218" w:rsidP="00333218">
      <w:pPr>
        <w:pStyle w:val="ListBullet"/>
        <w:rPr>
          <w:rFonts w:eastAsiaTheme="minorEastAsia"/>
        </w:rPr>
      </w:pPr>
      <w:r>
        <w:rPr>
          <w:rFonts w:eastAsiaTheme="minorEastAsia"/>
        </w:rPr>
        <w:t xml:space="preserve">the face value (i.e. price x quantity) of each transaction the </w:t>
      </w:r>
      <w:r w:rsidR="002D0314">
        <w:rPr>
          <w:rFonts w:eastAsiaTheme="minorEastAsia"/>
        </w:rPr>
        <w:t xml:space="preserve">trading participant </w:t>
      </w:r>
      <w:r>
        <w:rPr>
          <w:rFonts w:eastAsiaTheme="minorEastAsia"/>
        </w:rPr>
        <w:t>has entered into;</w:t>
      </w:r>
    </w:p>
    <w:p w14:paraId="1A3B29AC" w14:textId="77777777" w:rsidR="00333218" w:rsidRDefault="00333218" w:rsidP="00333218">
      <w:pPr>
        <w:pStyle w:val="ListBullet"/>
        <w:rPr>
          <w:rFonts w:eastAsiaTheme="minorEastAsia"/>
        </w:rPr>
      </w:pPr>
      <w:r>
        <w:rPr>
          <w:rFonts w:eastAsiaTheme="minorEastAsia"/>
        </w:rPr>
        <w:t xml:space="preserve">the value of any reallocation that the </w:t>
      </w:r>
      <w:r w:rsidR="00EB307E">
        <w:rPr>
          <w:rFonts w:eastAsiaTheme="minorEastAsia"/>
        </w:rPr>
        <w:t>trading participant</w:t>
      </w:r>
      <w:r>
        <w:rPr>
          <w:rFonts w:eastAsiaTheme="minorEastAsia"/>
        </w:rPr>
        <w:t xml:space="preserve"> has entered into</w:t>
      </w:r>
      <w:r w:rsidR="0001631B">
        <w:rPr>
          <w:rFonts w:eastAsiaTheme="minorEastAsia"/>
        </w:rPr>
        <w:t>;</w:t>
      </w:r>
      <w:r>
        <w:rPr>
          <w:rFonts w:eastAsiaTheme="minorEastAsia"/>
          <w:vertAlign w:val="superscript"/>
        </w:rPr>
        <w:footnoteReference w:id="85"/>
      </w:r>
      <w:r>
        <w:rPr>
          <w:rFonts w:eastAsiaTheme="minorEastAsia"/>
          <w:vertAlign w:val="superscript"/>
        </w:rPr>
        <w:t xml:space="preserve"> </w:t>
      </w:r>
    </w:p>
    <w:p w14:paraId="6ABA76DC" w14:textId="77777777" w:rsidR="00333218" w:rsidRDefault="00333218" w:rsidP="00333218">
      <w:pPr>
        <w:pStyle w:val="ListBullet"/>
        <w:rPr>
          <w:rFonts w:eastAsiaTheme="minorEastAsia"/>
        </w:rPr>
      </w:pPr>
      <w:r>
        <w:rPr>
          <w:rFonts w:eastAsiaTheme="minorEastAsia"/>
        </w:rPr>
        <w:t xml:space="preserve">the market fees payable by the </w:t>
      </w:r>
      <w:r w:rsidR="0001631B">
        <w:rPr>
          <w:rFonts w:eastAsiaTheme="minorEastAsia"/>
        </w:rPr>
        <w:t>trading participant</w:t>
      </w:r>
      <w:r>
        <w:rPr>
          <w:rFonts w:eastAsiaTheme="minorEastAsia"/>
        </w:rPr>
        <w:t>; and</w:t>
      </w:r>
    </w:p>
    <w:p w14:paraId="0E6ECBCA" w14:textId="77777777" w:rsidR="00333218" w:rsidRDefault="00333218" w:rsidP="00333218">
      <w:pPr>
        <w:pStyle w:val="ListBullet"/>
        <w:rPr>
          <w:rFonts w:eastAsiaTheme="minorEastAsia"/>
        </w:rPr>
      </w:pPr>
      <w:proofErr w:type="gramStart"/>
      <w:r>
        <w:rPr>
          <w:rFonts w:eastAsiaTheme="minorEastAsia"/>
        </w:rPr>
        <w:t>any</w:t>
      </w:r>
      <w:proofErr w:type="gramEnd"/>
      <w:r>
        <w:rPr>
          <w:rFonts w:eastAsiaTheme="minorEastAsia"/>
        </w:rPr>
        <w:t xml:space="preserve"> miscellaneous settlement items that do not fit into the above categories.</w:t>
      </w:r>
    </w:p>
    <w:p w14:paraId="4B8CAD25" w14:textId="77777777" w:rsidR="00D557DD" w:rsidRDefault="00D557DD" w:rsidP="00D557DD">
      <w:pPr>
        <w:pStyle w:val="BodyText"/>
      </w:pPr>
      <w:r>
        <w:t xml:space="preserve">While settlement amounts are calculated on a daily basis, the GSH billing cycle is monthly. </w:t>
      </w:r>
      <w:r w:rsidRPr="008B1B73">
        <w:t xml:space="preserve">Final </w:t>
      </w:r>
      <w:r>
        <w:t>s</w:t>
      </w:r>
      <w:r w:rsidRPr="008B1B73">
        <w:t xml:space="preserve">ettlement </w:t>
      </w:r>
      <w:r>
        <w:t>s</w:t>
      </w:r>
      <w:r w:rsidRPr="008B1B73">
        <w:t xml:space="preserve">tatements are </w:t>
      </w:r>
      <w:r>
        <w:t xml:space="preserve">therefore </w:t>
      </w:r>
      <w:r w:rsidRPr="008B1B73">
        <w:t xml:space="preserve">prepared and issued by AEMO to participants </w:t>
      </w:r>
      <w:r>
        <w:t xml:space="preserve">on a </w:t>
      </w:r>
      <w:r w:rsidRPr="008B1B73">
        <w:t>monthly</w:t>
      </w:r>
      <w:r>
        <w:t xml:space="preserve"> basis, </w:t>
      </w:r>
      <w:r w:rsidR="00993A3C">
        <w:t xml:space="preserve">in part based on </w:t>
      </w:r>
      <w:r>
        <w:t xml:space="preserve">information provided by </w:t>
      </w:r>
      <w:r w:rsidR="002D0314">
        <w:t>trading pa</w:t>
      </w:r>
      <w:r w:rsidR="00EB307E">
        <w:t>rticipant</w:t>
      </w:r>
      <w:r>
        <w:t>s</w:t>
      </w:r>
      <w:r w:rsidR="0024743C">
        <w:t xml:space="preserve"> about deliveries</w:t>
      </w:r>
      <w:r w:rsidRPr="008B1B73">
        <w:t xml:space="preserve">. </w:t>
      </w:r>
      <w:r>
        <w:t>AEMO also prepares r</w:t>
      </w:r>
      <w:r w:rsidRPr="008B1B73">
        <w:t xml:space="preserve">evised </w:t>
      </w:r>
      <w:r>
        <w:t>s</w:t>
      </w:r>
      <w:r w:rsidRPr="008B1B73">
        <w:t xml:space="preserve">ettlement </w:t>
      </w:r>
      <w:r>
        <w:t>s</w:t>
      </w:r>
      <w:r w:rsidRPr="008B1B73">
        <w:t xml:space="preserve">tatements three months after the </w:t>
      </w:r>
      <w:r>
        <w:t>f</w:t>
      </w:r>
      <w:r w:rsidRPr="008B1B73">
        <w:t xml:space="preserve">inal </w:t>
      </w:r>
      <w:r>
        <w:t>s</w:t>
      </w:r>
      <w:r w:rsidRPr="008B1B73">
        <w:t>ettlement</w:t>
      </w:r>
      <w:r>
        <w:t>, which are</w:t>
      </w:r>
      <w:r w:rsidRPr="008B1B73">
        <w:t xml:space="preserve"> based on the most recent </w:t>
      </w:r>
      <w:r>
        <w:t xml:space="preserve">gas delivery </w:t>
      </w:r>
      <w:r w:rsidRPr="008B1B73">
        <w:t>information</w:t>
      </w:r>
      <w:r>
        <w:t xml:space="preserve"> and include any adjustment that may be required to account for differences between the settlement amount specified in the final settlement statement and the revised settlement statement</w:t>
      </w:r>
      <w:r w:rsidRPr="008B1B73">
        <w:t>.</w:t>
      </w:r>
    </w:p>
    <w:p w14:paraId="6EDB3716" w14:textId="77777777" w:rsidR="00D557DD" w:rsidRDefault="00D557DD" w:rsidP="00D557DD">
      <w:pPr>
        <w:pStyle w:val="BodyText"/>
        <w:rPr>
          <w:rFonts w:eastAsiaTheme="minorEastAsia"/>
        </w:rPr>
      </w:pPr>
      <w:r>
        <w:t xml:space="preserve">When presenting its proposal to operate the capacity trading platform, </w:t>
      </w:r>
      <w:r w:rsidRPr="008B1B73">
        <w:t xml:space="preserve">AEMO </w:t>
      </w:r>
      <w:r>
        <w:t>proposed</w:t>
      </w:r>
      <w:r w:rsidRPr="008B1B73">
        <w:t xml:space="preserve"> </w:t>
      </w:r>
      <w:r>
        <w:t xml:space="preserve">to combine the </w:t>
      </w:r>
      <w:r w:rsidRPr="008B1B73">
        <w:t xml:space="preserve">settlement </w:t>
      </w:r>
      <w:r>
        <w:t xml:space="preserve">amount for </w:t>
      </w:r>
      <w:r w:rsidRPr="008B1B73">
        <w:t xml:space="preserve">capacity products with </w:t>
      </w:r>
      <w:r>
        <w:t xml:space="preserve">the </w:t>
      </w:r>
      <w:r w:rsidRPr="008B1B73">
        <w:t xml:space="preserve">settlement </w:t>
      </w:r>
      <w:r>
        <w:t xml:space="preserve">amount for </w:t>
      </w:r>
      <w:r w:rsidRPr="008B1B73">
        <w:t>GSH gas products</w:t>
      </w:r>
      <w:r w:rsidR="0068490C">
        <w:t xml:space="preserve"> and to issue </w:t>
      </w:r>
      <w:r w:rsidRPr="008B1B73">
        <w:t>one settlement statement for all products traded on the GSH.</w:t>
      </w:r>
      <w:r>
        <w:rPr>
          <w:rStyle w:val="FootnoteReference"/>
        </w:rPr>
        <w:footnoteReference w:id="86"/>
      </w:r>
      <w:r>
        <w:t xml:space="preserve"> </w:t>
      </w:r>
      <w:r w:rsidR="0068490C">
        <w:t>This proposal was supported by project team members.</w:t>
      </w:r>
    </w:p>
    <w:p w14:paraId="6ADD2E3E" w14:textId="77777777" w:rsidR="004E791B" w:rsidRDefault="004E791B" w:rsidP="004E791B">
      <w:pPr>
        <w:pStyle w:val="Heading6"/>
        <w:spacing w:line="252" w:lineRule="auto"/>
        <w:rPr>
          <w:color w:val="0099CC"/>
        </w:rPr>
      </w:pPr>
      <w:r>
        <w:rPr>
          <w:color w:val="0099CC"/>
        </w:rPr>
        <w:lastRenderedPageBreak/>
        <w:t>GMRG’s preliminary view</w:t>
      </w:r>
    </w:p>
    <w:p w14:paraId="4243E60D" w14:textId="77777777" w:rsidR="00333218" w:rsidRDefault="00333218" w:rsidP="00333218">
      <w:pPr>
        <w:tabs>
          <w:tab w:val="left" w:pos="2268"/>
          <w:tab w:val="left" w:pos="4536"/>
          <w:tab w:val="left" w:pos="6804"/>
          <w:tab w:val="right" w:pos="9638"/>
        </w:tabs>
        <w:spacing w:before="240" w:after="120"/>
        <w:rPr>
          <w:rFonts w:eastAsiaTheme="minorEastAsia"/>
        </w:rPr>
      </w:pPr>
      <w:r>
        <w:rPr>
          <w:rFonts w:eastAsiaTheme="minorEastAsia"/>
        </w:rPr>
        <w:t xml:space="preserve">In the consultation paper, the GMRG </w:t>
      </w:r>
      <w:r w:rsidR="0068490C">
        <w:rPr>
          <w:rFonts w:eastAsiaTheme="minorEastAsia"/>
        </w:rPr>
        <w:t xml:space="preserve">agreed </w:t>
      </w:r>
      <w:r w:rsidR="002D0314">
        <w:rPr>
          <w:rFonts w:eastAsiaTheme="minorEastAsia"/>
        </w:rPr>
        <w:t xml:space="preserve">that </w:t>
      </w:r>
      <w:r w:rsidR="00D557DD">
        <w:rPr>
          <w:rFonts w:eastAsiaTheme="minorEastAsia"/>
        </w:rPr>
        <w:t xml:space="preserve">there would be value in </w:t>
      </w:r>
      <w:r w:rsidR="0068490C">
        <w:rPr>
          <w:rFonts w:eastAsiaTheme="minorEastAsia"/>
        </w:rPr>
        <w:t xml:space="preserve">using the existing GSH settlement process and </w:t>
      </w:r>
      <w:r w:rsidR="00D557DD">
        <w:rPr>
          <w:rFonts w:eastAsiaTheme="minorEastAsia"/>
        </w:rPr>
        <w:t xml:space="preserve">combining the settlement amounts for capacity </w:t>
      </w:r>
      <w:r w:rsidR="0068490C">
        <w:rPr>
          <w:rFonts w:eastAsiaTheme="minorEastAsia"/>
        </w:rPr>
        <w:t xml:space="preserve">products </w:t>
      </w:r>
      <w:r w:rsidR="00D557DD">
        <w:rPr>
          <w:rFonts w:eastAsiaTheme="minorEastAsia"/>
        </w:rPr>
        <w:t>and gas products, but sought further feedback on these issues</w:t>
      </w:r>
      <w:r>
        <w:rPr>
          <w:rFonts w:eastAsiaTheme="minorEastAsia"/>
        </w:rPr>
        <w:t xml:space="preserve">. </w:t>
      </w:r>
    </w:p>
    <w:p w14:paraId="41DD5F5B" w14:textId="77777777" w:rsidR="00333218" w:rsidRPr="004E791B" w:rsidRDefault="00333218" w:rsidP="004E791B">
      <w:pPr>
        <w:pStyle w:val="Heading6"/>
        <w:spacing w:line="252" w:lineRule="auto"/>
        <w:rPr>
          <w:color w:val="0099CC"/>
        </w:rPr>
      </w:pPr>
      <w:r w:rsidRPr="004E791B">
        <w:rPr>
          <w:color w:val="0099CC"/>
        </w:rPr>
        <w:t xml:space="preserve">Feedback provided through the consultation process </w:t>
      </w:r>
    </w:p>
    <w:p w14:paraId="64A00FB5" w14:textId="77777777" w:rsidR="002D0314" w:rsidRDefault="002D0314" w:rsidP="002D0314">
      <w:pPr>
        <w:tabs>
          <w:tab w:val="left" w:pos="2268"/>
          <w:tab w:val="left" w:pos="4536"/>
          <w:tab w:val="left" w:pos="6804"/>
          <w:tab w:val="right" w:pos="9638"/>
        </w:tabs>
        <w:spacing w:before="240" w:after="120"/>
        <w:rPr>
          <w:rFonts w:eastAsiaTheme="minorEastAsia"/>
        </w:rPr>
      </w:pPr>
      <w:r>
        <w:t xml:space="preserve">The stakeholders that provided feedback on this issue </w:t>
      </w:r>
      <w:r>
        <w:rPr>
          <w:rFonts w:eastAsiaTheme="minorEastAsia"/>
        </w:rPr>
        <w:t xml:space="preserve">supported the GMRG’s preliminary view. AGL, for example, noted its support for any move to combine or simplify settlement amounts, but noted that some changes to the current settlement arrangements might be required to </w:t>
      </w:r>
      <w:r w:rsidR="0024743C">
        <w:rPr>
          <w:rFonts w:eastAsiaTheme="minorEastAsia"/>
        </w:rPr>
        <w:t xml:space="preserve">calculate </w:t>
      </w:r>
      <w:r>
        <w:rPr>
          <w:rFonts w:eastAsiaTheme="minorEastAsia"/>
        </w:rPr>
        <w:t xml:space="preserve">daily settlement </w:t>
      </w:r>
      <w:r w:rsidR="0024743C">
        <w:rPr>
          <w:rFonts w:eastAsiaTheme="minorEastAsia"/>
        </w:rPr>
        <w:t xml:space="preserve">amounts </w:t>
      </w:r>
      <w:r>
        <w:rPr>
          <w:rFonts w:eastAsiaTheme="minorEastAsia"/>
        </w:rPr>
        <w:t>with monthly invoicing that aligns with the GSH. Shell and APLNG were also of the view that it is sensible to combine the settlement amounts and for one statement to be issued, subject to the caveat that separate information is listed for gas and transport products.</w:t>
      </w:r>
      <w:r>
        <w:t xml:space="preserve"> </w:t>
      </w:r>
    </w:p>
    <w:p w14:paraId="6B8770F0" w14:textId="77777777" w:rsidR="00333218" w:rsidRPr="004E791B" w:rsidRDefault="00333218" w:rsidP="004E791B">
      <w:pPr>
        <w:pStyle w:val="Heading6"/>
        <w:spacing w:line="252" w:lineRule="auto"/>
        <w:rPr>
          <w:color w:val="0099CC"/>
        </w:rPr>
      </w:pPr>
      <w:r w:rsidRPr="004E791B">
        <w:rPr>
          <w:color w:val="0099CC"/>
        </w:rPr>
        <w:t xml:space="preserve">GMRG’s final recommendations </w:t>
      </w:r>
    </w:p>
    <w:p w14:paraId="46048D64" w14:textId="77777777" w:rsidR="002D0314" w:rsidRDefault="0001631B" w:rsidP="002D0314">
      <w:pPr>
        <w:tabs>
          <w:tab w:val="left" w:pos="2268"/>
          <w:tab w:val="left" w:pos="4536"/>
          <w:tab w:val="left" w:pos="6804"/>
          <w:tab w:val="right" w:pos="9638"/>
        </w:tabs>
        <w:spacing w:before="240" w:after="120"/>
        <w:rPr>
          <w:rFonts w:asciiTheme="minorHAnsi" w:eastAsiaTheme="minorHAnsi" w:hAnsiTheme="minorHAnsi" w:cstheme="minorBidi"/>
          <w:lang w:eastAsia="en-US"/>
        </w:rPr>
      </w:pPr>
      <w:bookmarkStart w:id="175" w:name="_Toc492524769"/>
      <w:bookmarkStart w:id="176" w:name="_Ref492225821"/>
      <w:r>
        <w:rPr>
          <w:rFonts w:eastAsiaTheme="minorEastAsia"/>
        </w:rPr>
        <w:t>In keeping with the views expressed by stakeholders, t</w:t>
      </w:r>
      <w:r w:rsidR="002D0314">
        <w:rPr>
          <w:rFonts w:eastAsiaTheme="minorEastAsia"/>
        </w:rPr>
        <w:t xml:space="preserve">he GMRG recommends that a centralised settlement system be </w:t>
      </w:r>
      <w:r>
        <w:rPr>
          <w:rFonts w:eastAsiaTheme="minorEastAsia"/>
        </w:rPr>
        <w:t xml:space="preserve">implemented. The centralised system, which will cover all products traded through the GSH, including both gas and capacity products, will </w:t>
      </w:r>
      <w:r w:rsidR="002D0314">
        <w:rPr>
          <w:rFonts w:eastAsiaTheme="minorEastAsia"/>
        </w:rPr>
        <w:t xml:space="preserve">facilitate access to the exchange </w:t>
      </w:r>
      <w:r>
        <w:rPr>
          <w:rFonts w:eastAsiaTheme="minorEastAsia"/>
        </w:rPr>
        <w:t xml:space="preserve">by reducing </w:t>
      </w:r>
      <w:r w:rsidR="002D0314">
        <w:rPr>
          <w:rFonts w:eastAsiaTheme="minorEastAsia"/>
        </w:rPr>
        <w:t xml:space="preserve">trading costs. This recommendation will also </w:t>
      </w:r>
      <w:r>
        <w:rPr>
          <w:rFonts w:eastAsiaTheme="minorEastAsia"/>
        </w:rPr>
        <w:t xml:space="preserve">enable the </w:t>
      </w:r>
      <w:r w:rsidR="002D0314">
        <w:rPr>
          <w:rFonts w:eastAsiaTheme="minorEastAsia"/>
        </w:rPr>
        <w:t>co-ordination benefits associated with having a single platform</w:t>
      </w:r>
      <w:r>
        <w:rPr>
          <w:rFonts w:eastAsiaTheme="minorEastAsia"/>
        </w:rPr>
        <w:t xml:space="preserve"> that market participants can use to trade gas</w:t>
      </w:r>
      <w:r w:rsidR="002D0314">
        <w:rPr>
          <w:rFonts w:eastAsiaTheme="minorEastAsia"/>
        </w:rPr>
        <w:t xml:space="preserve">, hub services and </w:t>
      </w:r>
      <w:r>
        <w:rPr>
          <w:rFonts w:eastAsiaTheme="minorEastAsia"/>
        </w:rPr>
        <w:t xml:space="preserve">secondary capacity </w:t>
      </w:r>
      <w:r w:rsidR="002D0314">
        <w:rPr>
          <w:rFonts w:eastAsiaTheme="minorEastAsia"/>
        </w:rPr>
        <w:t>and to co-ordinate secondary capacity trades across pipelines</w:t>
      </w:r>
      <w:r>
        <w:rPr>
          <w:rFonts w:eastAsiaTheme="minorEastAsia"/>
        </w:rPr>
        <w:t xml:space="preserve"> to be realised</w:t>
      </w:r>
      <w:r w:rsidR="002D0314">
        <w:rPr>
          <w:rFonts w:eastAsiaTheme="minorEastAsia"/>
        </w:rPr>
        <w:t>.</w:t>
      </w:r>
    </w:p>
    <w:p w14:paraId="37B105E0" w14:textId="77777777" w:rsidR="00333218" w:rsidRDefault="00333218" w:rsidP="004E3524">
      <w:pPr>
        <w:pStyle w:val="Heading2"/>
        <w:rPr>
          <w:rFonts w:ascii="Arial" w:eastAsia="Times New Roman" w:hAnsi="Arial" w:cs="Times New Roman"/>
        </w:rPr>
      </w:pPr>
      <w:bookmarkStart w:id="177" w:name="_Toc499542671"/>
      <w:r>
        <w:t>Centralised credit risk management</w:t>
      </w:r>
      <w:bookmarkEnd w:id="175"/>
      <w:bookmarkEnd w:id="176"/>
      <w:bookmarkEnd w:id="177"/>
    </w:p>
    <w:p w14:paraId="1D3B4655" w14:textId="77777777" w:rsidR="0068490C" w:rsidRPr="004E791B" w:rsidRDefault="0068490C" w:rsidP="004E791B">
      <w:pPr>
        <w:pStyle w:val="Heading6"/>
        <w:spacing w:line="252" w:lineRule="auto"/>
        <w:rPr>
          <w:color w:val="0099CC"/>
        </w:rPr>
      </w:pPr>
      <w:r w:rsidRPr="004E791B">
        <w:rPr>
          <w:color w:val="0099CC"/>
        </w:rPr>
        <w:t>Background</w:t>
      </w:r>
    </w:p>
    <w:p w14:paraId="0605EA32" w14:textId="77777777" w:rsidR="00333218" w:rsidRDefault="00333218" w:rsidP="00333218">
      <w:pPr>
        <w:pStyle w:val="BodyText"/>
        <w:rPr>
          <w:rFonts w:eastAsiaTheme="minorEastAsia"/>
        </w:rPr>
      </w:pPr>
      <w:r>
        <w:rPr>
          <w:rFonts w:eastAsiaTheme="minorEastAsia"/>
        </w:rPr>
        <w:t xml:space="preserve">Credit risk in the GSH is managed centrally by AEMO through the collection of credit support (collateral) from each </w:t>
      </w:r>
      <w:r w:rsidR="00EB307E">
        <w:rPr>
          <w:rFonts w:eastAsiaTheme="minorEastAsia"/>
        </w:rPr>
        <w:t>trading participant</w:t>
      </w:r>
      <w:r>
        <w:rPr>
          <w:rFonts w:eastAsiaTheme="minorEastAsia"/>
        </w:rPr>
        <w:t xml:space="preserve"> to cover their prudential exposure. In a similar manner to settlement, AEMO has proposed to aggregate the prudential requirements across all products on the GSH, which means that if a </w:t>
      </w:r>
      <w:r w:rsidR="002D0314">
        <w:rPr>
          <w:rFonts w:eastAsiaTheme="minorEastAsia"/>
        </w:rPr>
        <w:t xml:space="preserve">trading participant </w:t>
      </w:r>
      <w:r>
        <w:rPr>
          <w:rFonts w:eastAsiaTheme="minorEastAsia"/>
        </w:rPr>
        <w:t>has an offsetting exposure in another product, it will reduce the collateral requirements.</w:t>
      </w:r>
    </w:p>
    <w:p w14:paraId="2BF6464C" w14:textId="77777777" w:rsidR="00333218" w:rsidRDefault="00333218" w:rsidP="00333218">
      <w:pPr>
        <w:tabs>
          <w:tab w:val="left" w:pos="2268"/>
          <w:tab w:val="left" w:pos="4536"/>
          <w:tab w:val="left" w:pos="6804"/>
          <w:tab w:val="right" w:pos="9638"/>
        </w:tabs>
        <w:spacing w:before="240" w:after="120"/>
        <w:rPr>
          <w:rFonts w:eastAsiaTheme="minorEastAsia"/>
        </w:rPr>
      </w:pPr>
      <w:r>
        <w:rPr>
          <w:rFonts w:eastAsiaTheme="minorEastAsia"/>
        </w:rPr>
        <w:t xml:space="preserve">In the event of a payment default AEMO would call </w:t>
      </w:r>
      <w:r w:rsidR="002D0314">
        <w:rPr>
          <w:rFonts w:eastAsiaTheme="minorEastAsia"/>
        </w:rPr>
        <w:t>up</w:t>
      </w:r>
      <w:r>
        <w:rPr>
          <w:rFonts w:eastAsiaTheme="minorEastAsia"/>
        </w:rPr>
        <w:t xml:space="preserve">on that </w:t>
      </w:r>
      <w:r w:rsidR="00777833">
        <w:rPr>
          <w:rFonts w:eastAsiaTheme="minorEastAsia"/>
        </w:rPr>
        <w:t>trading participant</w:t>
      </w:r>
      <w:r>
        <w:rPr>
          <w:rFonts w:eastAsiaTheme="minorEastAsia"/>
        </w:rPr>
        <w:t xml:space="preserve">’s collateral </w:t>
      </w:r>
      <w:r w:rsidR="002D0314">
        <w:rPr>
          <w:rFonts w:eastAsiaTheme="minorEastAsia"/>
        </w:rPr>
        <w:t xml:space="preserve">to </w:t>
      </w:r>
      <w:r>
        <w:rPr>
          <w:rFonts w:eastAsiaTheme="minorEastAsia"/>
        </w:rPr>
        <w:t xml:space="preserve">meet payments to traders that are owed money from the market. In the unlikely event there is a payment default and the </w:t>
      </w:r>
      <w:r w:rsidR="00777833">
        <w:rPr>
          <w:rFonts w:eastAsiaTheme="minorEastAsia"/>
        </w:rPr>
        <w:t>trading participant</w:t>
      </w:r>
      <w:r>
        <w:rPr>
          <w:rFonts w:eastAsiaTheme="minorEastAsia"/>
        </w:rPr>
        <w:t>’s credit support is insufficient to meet its exposure, then any shortfall will be borne by market participants that are owed money by the market.</w:t>
      </w:r>
    </w:p>
    <w:p w14:paraId="21F3AC0D" w14:textId="77777777" w:rsidR="00333218" w:rsidRDefault="00333218" w:rsidP="004E3524">
      <w:pPr>
        <w:pStyle w:val="BodyText"/>
        <w:rPr>
          <w:rFonts w:eastAsiaTheme="minorEastAsia"/>
        </w:rPr>
      </w:pPr>
      <w:r>
        <w:rPr>
          <w:rFonts w:eastAsiaTheme="minorEastAsia"/>
        </w:rPr>
        <w:t xml:space="preserve">The primary mechanism that is used for credit support in the GSH is an unconditional bank guarantee from an authorised financial institution or state-owned treasury.  Cash deposits, which are treated as an interest-bearing security deposit, may also be used for collateral up to a cap of $100,000 if a participant has not lodged a bank guarantee with AEMO, or if a bank guarantee has been lodged up to the value of the bank guarantee. Cash deposits are not considered a payment for goods or services, but are made by the participant as a pre-payment against future liabilities. The security deposit must therefore be lodged against a specific billing period, and unless alternative instructions are </w:t>
      </w:r>
      <w:r>
        <w:rPr>
          <w:rFonts w:eastAsiaTheme="minorEastAsia"/>
        </w:rPr>
        <w:lastRenderedPageBreak/>
        <w:t>provided, the security deposit and applicable interest are applied to the settlement of the designated billing period.</w:t>
      </w:r>
      <w:r w:rsidR="0068490C">
        <w:rPr>
          <w:rFonts w:eastAsiaTheme="minorEastAsia"/>
        </w:rPr>
        <w:t xml:space="preserve"> </w:t>
      </w:r>
      <w:r>
        <w:rPr>
          <w:rFonts w:eastAsiaTheme="minorEastAsia"/>
        </w:rPr>
        <w:t>Reallocations are another mechanism available to participants to reduce exposure to AEMO and therefore collateral requirements.</w:t>
      </w:r>
    </w:p>
    <w:p w14:paraId="1C1C2B6B" w14:textId="77777777" w:rsidR="0068490C" w:rsidRDefault="0068490C" w:rsidP="0068490C">
      <w:pPr>
        <w:tabs>
          <w:tab w:val="left" w:pos="2268"/>
          <w:tab w:val="left" w:pos="4536"/>
          <w:tab w:val="left" w:pos="6804"/>
          <w:tab w:val="right" w:pos="9638"/>
        </w:tabs>
        <w:spacing w:before="240" w:after="120"/>
        <w:rPr>
          <w:rFonts w:eastAsiaTheme="minorEastAsia"/>
        </w:rPr>
      </w:pPr>
      <w:r>
        <w:rPr>
          <w:rFonts w:eastAsiaTheme="minorEastAsia"/>
        </w:rPr>
        <w:t>Under the GSH, prudential assessments are performed each business day to assess the trading position of each participant against the level of collateral provided and to determine whether further collateral is required. The trading position is determined once a day within the settlement and credit risk management system.</w:t>
      </w:r>
    </w:p>
    <w:p w14:paraId="7FBA604A" w14:textId="77777777" w:rsidR="0068490C" w:rsidRDefault="0068490C" w:rsidP="0068490C">
      <w:pPr>
        <w:tabs>
          <w:tab w:val="left" w:pos="2268"/>
          <w:tab w:val="left" w:pos="4536"/>
          <w:tab w:val="left" w:pos="6804"/>
          <w:tab w:val="right" w:pos="9638"/>
        </w:tabs>
        <w:spacing w:before="240" w:after="120"/>
        <w:rPr>
          <w:rFonts w:eastAsiaTheme="minorEastAsia"/>
        </w:rPr>
      </w:pPr>
      <w:r>
        <w:rPr>
          <w:rFonts w:eastAsiaTheme="minorEastAsia"/>
        </w:rPr>
        <w:t xml:space="preserve">The consultation paper provided a detailed explanation of the current GSH procedures to calculate participant’s credit exposure against which they have to provide a form of collateral. </w:t>
      </w:r>
      <w:r w:rsidR="00EF56CF">
        <w:rPr>
          <w:rFonts w:eastAsiaTheme="minorEastAsia"/>
        </w:rPr>
        <w:t xml:space="preserve">The collateral </w:t>
      </w:r>
      <w:r w:rsidR="002D0314">
        <w:rPr>
          <w:rFonts w:eastAsiaTheme="minorEastAsia"/>
        </w:rPr>
        <w:t xml:space="preserve">participants </w:t>
      </w:r>
      <w:r w:rsidR="00EF56CF">
        <w:rPr>
          <w:rFonts w:eastAsiaTheme="minorEastAsia"/>
        </w:rPr>
        <w:t xml:space="preserve">are required to provide varies as </w:t>
      </w:r>
      <w:r>
        <w:rPr>
          <w:rFonts w:eastAsiaTheme="minorEastAsia"/>
        </w:rPr>
        <w:t>follows:</w:t>
      </w:r>
    </w:p>
    <w:p w14:paraId="2C0CEE78" w14:textId="77777777" w:rsidR="0068490C" w:rsidRDefault="0068490C" w:rsidP="00CF4594">
      <w:pPr>
        <w:pStyle w:val="ListBullet"/>
        <w:numPr>
          <w:ilvl w:val="0"/>
          <w:numId w:val="66"/>
        </w:numPr>
        <w:ind w:left="357" w:hanging="357"/>
      </w:pPr>
      <w:r>
        <w:t>during the settlement period buyers provide 100% collateral against the face value of their net position and sellers are owed 100% of the face value of their net positions;</w:t>
      </w:r>
    </w:p>
    <w:p w14:paraId="0725478A" w14:textId="77777777" w:rsidR="0068490C" w:rsidRDefault="0068490C" w:rsidP="00CF4594">
      <w:pPr>
        <w:pStyle w:val="ListBullet"/>
        <w:numPr>
          <w:ilvl w:val="0"/>
          <w:numId w:val="66"/>
        </w:numPr>
        <w:ind w:left="357" w:hanging="357"/>
      </w:pPr>
      <w:r>
        <w:t xml:space="preserve">during the delivery period buyers provide 100% collateral against the face value of their net position while sellers are owed 25% of the face value of their net positions; and </w:t>
      </w:r>
    </w:p>
    <w:p w14:paraId="3C3639B9" w14:textId="77777777" w:rsidR="0068490C" w:rsidRDefault="0068490C" w:rsidP="00CF4594">
      <w:pPr>
        <w:pStyle w:val="ListBullet"/>
        <w:numPr>
          <w:ilvl w:val="0"/>
          <w:numId w:val="66"/>
        </w:numPr>
        <w:ind w:left="357" w:hanging="357"/>
      </w:pPr>
      <w:proofErr w:type="gramStart"/>
      <w:r>
        <w:t>during</w:t>
      </w:r>
      <w:proofErr w:type="gramEnd"/>
      <w:r>
        <w:t xml:space="preserve"> the forward period buyers and sellers are required to hold 25% collateral against their net positions. </w:t>
      </w:r>
    </w:p>
    <w:p w14:paraId="075137B7" w14:textId="77777777" w:rsidR="00EF56CF" w:rsidRPr="008B1B73" w:rsidRDefault="00EF56CF" w:rsidP="00EF56CF">
      <w:pPr>
        <w:pStyle w:val="BodyText"/>
        <w:rPr>
          <w:rFonts w:cs="Arial"/>
        </w:rPr>
      </w:pPr>
      <w:r w:rsidRPr="008B1B73">
        <w:rPr>
          <w:rFonts w:cs="Arial"/>
        </w:rPr>
        <w:t xml:space="preserve">The rationale behind </w:t>
      </w:r>
      <w:r>
        <w:rPr>
          <w:rFonts w:cs="Arial"/>
        </w:rPr>
        <w:t xml:space="preserve">a lower </w:t>
      </w:r>
      <w:r w:rsidRPr="008B1B73">
        <w:rPr>
          <w:rFonts w:cs="Arial"/>
        </w:rPr>
        <w:t xml:space="preserve">collateral requirement in the forward period is that if a default occurs, then AEMO will cancel the transaction and the counterparty has time to go back to the market and </w:t>
      </w:r>
      <w:r>
        <w:rPr>
          <w:rFonts w:cs="Arial"/>
        </w:rPr>
        <w:t xml:space="preserve">purchase or </w:t>
      </w:r>
      <w:r w:rsidRPr="008B1B73">
        <w:rPr>
          <w:rFonts w:cs="Arial"/>
        </w:rPr>
        <w:t xml:space="preserve">sell the product to </w:t>
      </w:r>
      <w:r>
        <w:rPr>
          <w:rFonts w:cs="Arial"/>
        </w:rPr>
        <w:t xml:space="preserve">try and </w:t>
      </w:r>
      <w:r w:rsidRPr="008B1B73">
        <w:rPr>
          <w:rFonts w:cs="Arial"/>
        </w:rPr>
        <w:t>make itself whole. The risk is that the market price has moved in an adverse direction from the time of the original transaction. Without daily margining</w:t>
      </w:r>
      <w:r>
        <w:rPr>
          <w:rFonts w:cs="Arial"/>
        </w:rPr>
        <w:t>,</w:t>
      </w:r>
      <w:r w:rsidRPr="008B1B73">
        <w:rPr>
          <w:rFonts w:cs="Arial"/>
        </w:rPr>
        <w:t xml:space="preserve"> this risk cannot be completely removed. However, it can be mitigated by requiring traders to hold some collateral that can be used by AEMO to compensate the impacted market participant. </w:t>
      </w:r>
    </w:p>
    <w:p w14:paraId="51D32239" w14:textId="77777777" w:rsidR="00EF56CF" w:rsidRDefault="00EF56CF" w:rsidP="00EF56CF">
      <w:pPr>
        <w:pStyle w:val="BodyText"/>
      </w:pPr>
      <w:r>
        <w:t xml:space="preserve">In discussions with the Capacity Trading Platform project team, project team members questioned whether the same amount of collateral </w:t>
      </w:r>
      <w:r w:rsidR="002D0314">
        <w:t xml:space="preserve">should </w:t>
      </w:r>
      <w:r>
        <w:t xml:space="preserve">be required for capacity products because: </w:t>
      </w:r>
    </w:p>
    <w:p w14:paraId="2BD4CE22" w14:textId="77777777" w:rsidR="00EF56CF" w:rsidRDefault="00EF56CF" w:rsidP="00EF56CF">
      <w:pPr>
        <w:pStyle w:val="ListBullet"/>
      </w:pPr>
      <w:r w:rsidRPr="008B1B73">
        <w:t xml:space="preserve">the price of capacity is effectively capped at the as-available price offered by </w:t>
      </w:r>
      <w:r>
        <w:t>the service provider; and</w:t>
      </w:r>
    </w:p>
    <w:p w14:paraId="1DF4B7A2" w14:textId="77777777" w:rsidR="00EF56CF" w:rsidRPr="008B1B73" w:rsidRDefault="00EF56CF" w:rsidP="00EF56CF">
      <w:pPr>
        <w:pStyle w:val="ListBullet"/>
      </w:pPr>
      <w:proofErr w:type="gramStart"/>
      <w:r>
        <w:t>in</w:t>
      </w:r>
      <w:proofErr w:type="gramEnd"/>
      <w:r>
        <w:t xml:space="preserve"> contrast to gas, </w:t>
      </w:r>
      <w:r w:rsidRPr="008B1B73">
        <w:t xml:space="preserve">capacity prices </w:t>
      </w:r>
      <w:r>
        <w:t xml:space="preserve">are likely to </w:t>
      </w:r>
      <w:r w:rsidRPr="008B1B73">
        <w:t xml:space="preserve">exhibit low </w:t>
      </w:r>
      <w:r>
        <w:t xml:space="preserve">levels of </w:t>
      </w:r>
      <w:r w:rsidRPr="008B1B73">
        <w:t>volatility</w:t>
      </w:r>
      <w:r>
        <w:t xml:space="preserve"> in the short-term</w:t>
      </w:r>
      <w:r w:rsidRPr="008B1B73">
        <w:t xml:space="preserve">. </w:t>
      </w:r>
    </w:p>
    <w:p w14:paraId="50358E0E" w14:textId="77777777" w:rsidR="00EF56CF" w:rsidRDefault="00EF56CF" w:rsidP="00EF56CF">
      <w:pPr>
        <w:pStyle w:val="BodyText"/>
      </w:pPr>
      <w:r>
        <w:t xml:space="preserve">One of the options discussed in this context was to reduce the </w:t>
      </w:r>
      <w:r w:rsidRPr="008B1B73">
        <w:t xml:space="preserve">collateral </w:t>
      </w:r>
      <w:r>
        <w:t xml:space="preserve">requirement for capacity products </w:t>
      </w:r>
      <w:r w:rsidRPr="008B1B73">
        <w:t>in the forward period to</w:t>
      </w:r>
      <w:r>
        <w:t>, for example,</w:t>
      </w:r>
      <w:r w:rsidRPr="008B1B73">
        <w:t xml:space="preserve"> 10%</w:t>
      </w:r>
      <w:r>
        <w:t xml:space="preserve">. </w:t>
      </w:r>
      <w:r w:rsidRPr="008B1B73">
        <w:t xml:space="preserve">The </w:t>
      </w:r>
      <w:r>
        <w:t xml:space="preserve">risk with </w:t>
      </w:r>
      <w:r w:rsidRPr="008B1B73">
        <w:t xml:space="preserve">reduced collateral is that compensation paid to a counterparty impacted by a default is reduced, which may result in a loss on the original transaction. Further, if quarterly products are listed 12 months out, then </w:t>
      </w:r>
      <w:r>
        <w:t xml:space="preserve">there may be a greater level of volatility </w:t>
      </w:r>
      <w:r w:rsidRPr="008B1B73">
        <w:t>over that period</w:t>
      </w:r>
      <w:r>
        <w:t xml:space="preserve"> and the </w:t>
      </w:r>
      <w:r w:rsidRPr="008B1B73">
        <w:t xml:space="preserve">lower level of collateral </w:t>
      </w:r>
      <w:r>
        <w:t xml:space="preserve">may be </w:t>
      </w:r>
      <w:r w:rsidR="002D0314">
        <w:t>in</w:t>
      </w:r>
      <w:r w:rsidRPr="008B1B73">
        <w:t>sufficient to compensate the impacted counterparty.</w:t>
      </w:r>
      <w:r>
        <w:t xml:space="preserve"> The other point to bear in mind with the collateral is that transportation products are lower cost products than gas products, so a 25% collateral level applied to a $1/GJ of MDQ forward haul product is only $0.25/GJ of MDQ. This is in contrast to gas products, where a 25% collateral level applied to an $8/GJ gas price is $2/GJ.</w:t>
      </w:r>
    </w:p>
    <w:p w14:paraId="31977E83" w14:textId="77777777" w:rsidR="00EF56CF" w:rsidRPr="004E791B" w:rsidRDefault="004E791B" w:rsidP="004E791B">
      <w:pPr>
        <w:pStyle w:val="Heading6"/>
        <w:spacing w:line="252" w:lineRule="auto"/>
        <w:rPr>
          <w:color w:val="0099CC"/>
        </w:rPr>
      </w:pPr>
      <w:r>
        <w:rPr>
          <w:color w:val="0099CC"/>
        </w:rPr>
        <w:lastRenderedPageBreak/>
        <w:t xml:space="preserve">GMRG’s </w:t>
      </w:r>
      <w:r w:rsidR="009C53F3">
        <w:rPr>
          <w:color w:val="0099CC"/>
        </w:rPr>
        <w:t>p</w:t>
      </w:r>
      <w:r w:rsidR="00EF56CF" w:rsidRPr="004E791B">
        <w:rPr>
          <w:color w:val="0099CC"/>
        </w:rPr>
        <w:t xml:space="preserve">reliminary view </w:t>
      </w:r>
    </w:p>
    <w:p w14:paraId="1BDD2FC0" w14:textId="77777777" w:rsidR="00EF56CF" w:rsidRDefault="00EF56CF" w:rsidP="00EF56CF">
      <w:pPr>
        <w:pStyle w:val="BodyText"/>
      </w:pPr>
      <w:r>
        <w:t xml:space="preserve">In the consultation paper, the GMRG agreed with AEMO’s proposal to aggregate the prudential requirements across all products on the GSH, but sought further feedback from stakeholders on whether the same level of collateral should be provided for both capacity and gas products, or should </w:t>
      </w:r>
      <w:r w:rsidR="009C53F3">
        <w:t xml:space="preserve">it </w:t>
      </w:r>
      <w:r>
        <w:t xml:space="preserve">be reduced. </w:t>
      </w:r>
    </w:p>
    <w:p w14:paraId="0F7D8928" w14:textId="77777777" w:rsidR="00333218" w:rsidRDefault="00333218" w:rsidP="004E791B">
      <w:pPr>
        <w:pStyle w:val="Heading6"/>
        <w:spacing w:line="252" w:lineRule="auto"/>
        <w:rPr>
          <w:rFonts w:eastAsiaTheme="minorEastAsia"/>
          <w:b w:val="0"/>
          <w:color w:val="0099CC"/>
        </w:rPr>
      </w:pPr>
      <w:r w:rsidRPr="004E791B">
        <w:rPr>
          <w:color w:val="0099CC"/>
        </w:rPr>
        <w:t xml:space="preserve">Feedback provided through the consultation process </w:t>
      </w:r>
    </w:p>
    <w:p w14:paraId="5E03840B" w14:textId="77777777" w:rsidR="00D919B3" w:rsidRDefault="00EF56CF" w:rsidP="00EF56CF">
      <w:pPr>
        <w:tabs>
          <w:tab w:val="left" w:pos="2268"/>
          <w:tab w:val="left" w:pos="4536"/>
          <w:tab w:val="left" w:pos="6804"/>
          <w:tab w:val="right" w:pos="9638"/>
        </w:tabs>
        <w:spacing w:before="240" w:after="120"/>
        <w:rPr>
          <w:rFonts w:eastAsiaTheme="minorEastAsia"/>
        </w:rPr>
      </w:pPr>
      <w:r>
        <w:rPr>
          <w:rFonts w:eastAsiaTheme="minorEastAsia"/>
        </w:rPr>
        <w:t xml:space="preserve">There was widespread support from stakeholders to </w:t>
      </w:r>
      <w:r w:rsidR="00333218">
        <w:rPr>
          <w:rFonts w:eastAsiaTheme="minorEastAsia"/>
        </w:rPr>
        <w:t>aggregate the prudential requirements across gas and capacity products on the GSH.</w:t>
      </w:r>
      <w:r>
        <w:rPr>
          <w:rFonts w:eastAsiaTheme="minorEastAsia"/>
        </w:rPr>
        <w:t xml:space="preserve"> Differing views were, however, expressed about whether lower levels of collateral should be required for cap</w:t>
      </w:r>
      <w:r w:rsidR="00D919B3">
        <w:rPr>
          <w:rFonts w:eastAsiaTheme="minorEastAsia"/>
        </w:rPr>
        <w:t>a</w:t>
      </w:r>
      <w:r>
        <w:rPr>
          <w:rFonts w:eastAsiaTheme="minorEastAsia"/>
        </w:rPr>
        <w:t>city products</w:t>
      </w:r>
      <w:r w:rsidR="00D919B3">
        <w:rPr>
          <w:rFonts w:eastAsiaTheme="minorEastAsia"/>
        </w:rPr>
        <w:t>:</w:t>
      </w:r>
    </w:p>
    <w:p w14:paraId="47ED82E5" w14:textId="77777777" w:rsidR="00EF56CF" w:rsidRDefault="00EF56CF" w:rsidP="00D919B3">
      <w:pPr>
        <w:pStyle w:val="ListBullet"/>
        <w:rPr>
          <w:rFonts w:eastAsiaTheme="minorEastAsia"/>
        </w:rPr>
      </w:pPr>
      <w:r>
        <w:rPr>
          <w:rFonts w:eastAsiaTheme="minorEastAsia"/>
        </w:rPr>
        <w:t xml:space="preserve">AGL, for example, thought that with the proposed </w:t>
      </w:r>
      <w:r w:rsidR="00D919B3">
        <w:rPr>
          <w:rFonts w:eastAsiaTheme="minorEastAsia"/>
        </w:rPr>
        <w:t xml:space="preserve">contract durations </w:t>
      </w:r>
      <w:r>
        <w:rPr>
          <w:rFonts w:eastAsiaTheme="minorEastAsia"/>
        </w:rPr>
        <w:t>(as long as one month) the current collateral requirements seem</w:t>
      </w:r>
      <w:r w:rsidR="00D919B3">
        <w:rPr>
          <w:rFonts w:eastAsiaTheme="minorEastAsia"/>
        </w:rPr>
        <w:t>s</w:t>
      </w:r>
      <w:r>
        <w:rPr>
          <w:rFonts w:eastAsiaTheme="minorEastAsia"/>
        </w:rPr>
        <w:t xml:space="preserve"> appropriate (i.e. enough to cover the potential compensation under a default).  Stanwell was </w:t>
      </w:r>
      <w:r w:rsidR="00D919B3">
        <w:rPr>
          <w:rFonts w:eastAsiaTheme="minorEastAsia"/>
        </w:rPr>
        <w:t xml:space="preserve">also </w:t>
      </w:r>
      <w:r>
        <w:rPr>
          <w:rFonts w:eastAsiaTheme="minorEastAsia"/>
        </w:rPr>
        <w:t xml:space="preserve">comfortable with </w:t>
      </w:r>
      <w:r w:rsidR="00D919B3">
        <w:rPr>
          <w:rFonts w:eastAsiaTheme="minorEastAsia"/>
        </w:rPr>
        <w:t xml:space="preserve">the current arrangements and </w:t>
      </w:r>
      <w:r>
        <w:rPr>
          <w:rFonts w:eastAsiaTheme="minorEastAsia"/>
        </w:rPr>
        <w:t xml:space="preserve">noted that </w:t>
      </w:r>
      <w:r w:rsidR="00D919B3">
        <w:rPr>
          <w:rFonts w:eastAsiaTheme="minorEastAsia"/>
        </w:rPr>
        <w:t xml:space="preserve">because </w:t>
      </w:r>
      <w:r>
        <w:rPr>
          <w:rFonts w:eastAsiaTheme="minorEastAsia"/>
        </w:rPr>
        <w:t xml:space="preserve">capacity is typically a relatively low value product, </w:t>
      </w:r>
      <w:r w:rsidR="00D919B3">
        <w:rPr>
          <w:rFonts w:eastAsiaTheme="minorEastAsia"/>
        </w:rPr>
        <w:t xml:space="preserve">the level of collateral </w:t>
      </w:r>
      <w:r>
        <w:rPr>
          <w:rFonts w:eastAsiaTheme="minorEastAsia"/>
        </w:rPr>
        <w:t xml:space="preserve">is unlikely to </w:t>
      </w:r>
      <w:r w:rsidR="00D919B3">
        <w:rPr>
          <w:rFonts w:eastAsiaTheme="minorEastAsia"/>
        </w:rPr>
        <w:t>constitute a barrier</w:t>
      </w:r>
      <w:r>
        <w:rPr>
          <w:rFonts w:eastAsiaTheme="minorEastAsia"/>
        </w:rPr>
        <w:t>.</w:t>
      </w:r>
      <w:r w:rsidR="00D919B3">
        <w:rPr>
          <w:rFonts w:eastAsiaTheme="minorEastAsia"/>
        </w:rPr>
        <w:t xml:space="preserve"> </w:t>
      </w:r>
    </w:p>
    <w:p w14:paraId="7DC3706B" w14:textId="77777777" w:rsidR="00EF56CF" w:rsidRDefault="00EF56CF" w:rsidP="00D919B3">
      <w:pPr>
        <w:pStyle w:val="ListBullet"/>
        <w:rPr>
          <w:rFonts w:eastAsiaTheme="minorEastAsia"/>
        </w:rPr>
      </w:pPr>
      <w:proofErr w:type="spellStart"/>
      <w:r>
        <w:rPr>
          <w:rFonts w:eastAsiaTheme="minorEastAsia"/>
        </w:rPr>
        <w:t>EnergyAustralia</w:t>
      </w:r>
      <w:proofErr w:type="spellEnd"/>
      <w:r w:rsidR="00D919B3">
        <w:rPr>
          <w:rFonts w:eastAsiaTheme="minorEastAsia"/>
        </w:rPr>
        <w:t>, on the other hand,</w:t>
      </w:r>
      <w:r>
        <w:rPr>
          <w:rFonts w:eastAsiaTheme="minorEastAsia"/>
        </w:rPr>
        <w:t xml:space="preserve"> thought that </w:t>
      </w:r>
      <w:r w:rsidR="00D919B3">
        <w:rPr>
          <w:rFonts w:eastAsiaTheme="minorEastAsia"/>
        </w:rPr>
        <w:t xml:space="preserve">a lower </w:t>
      </w:r>
      <w:r w:rsidR="00D87A0F">
        <w:rPr>
          <w:rFonts w:eastAsiaTheme="minorEastAsia"/>
        </w:rPr>
        <w:t xml:space="preserve">level of </w:t>
      </w:r>
      <w:r w:rsidR="00D919B3">
        <w:rPr>
          <w:rFonts w:eastAsiaTheme="minorEastAsia"/>
        </w:rPr>
        <w:t xml:space="preserve">collateral </w:t>
      </w:r>
      <w:r>
        <w:rPr>
          <w:rFonts w:eastAsiaTheme="minorEastAsia"/>
        </w:rPr>
        <w:t xml:space="preserve">would be </w:t>
      </w:r>
      <w:r w:rsidR="002D0314">
        <w:rPr>
          <w:rFonts w:eastAsiaTheme="minorEastAsia"/>
        </w:rPr>
        <w:t>beneficial</w:t>
      </w:r>
      <w:r>
        <w:rPr>
          <w:rFonts w:eastAsiaTheme="minorEastAsia"/>
        </w:rPr>
        <w:t xml:space="preserve"> for the secondary </w:t>
      </w:r>
      <w:r w:rsidR="00D919B3">
        <w:rPr>
          <w:rFonts w:eastAsiaTheme="minorEastAsia"/>
        </w:rPr>
        <w:t xml:space="preserve">capacity </w:t>
      </w:r>
      <w:r>
        <w:rPr>
          <w:rFonts w:eastAsiaTheme="minorEastAsia"/>
        </w:rPr>
        <w:t xml:space="preserve">market.  </w:t>
      </w:r>
    </w:p>
    <w:p w14:paraId="4DBCA1EC" w14:textId="77777777" w:rsidR="00333218" w:rsidRPr="004E791B" w:rsidRDefault="00333218" w:rsidP="004E791B">
      <w:pPr>
        <w:pStyle w:val="Heading6"/>
        <w:spacing w:line="252" w:lineRule="auto"/>
        <w:rPr>
          <w:color w:val="0099CC"/>
        </w:rPr>
      </w:pPr>
      <w:r w:rsidRPr="004E791B">
        <w:rPr>
          <w:color w:val="0099CC"/>
        </w:rPr>
        <w:t xml:space="preserve">GMRG’s final recommendations </w:t>
      </w:r>
    </w:p>
    <w:p w14:paraId="589CA7AF" w14:textId="77777777" w:rsidR="00333218" w:rsidRDefault="0001631B" w:rsidP="00333218">
      <w:pPr>
        <w:tabs>
          <w:tab w:val="left" w:pos="2268"/>
          <w:tab w:val="left" w:pos="4536"/>
          <w:tab w:val="left" w:pos="6804"/>
          <w:tab w:val="right" w:pos="9638"/>
        </w:tabs>
        <w:spacing w:before="240" w:after="120"/>
      </w:pPr>
      <w:r>
        <w:t xml:space="preserve">For similar reasons to those set out for </w:t>
      </w:r>
      <w:r w:rsidR="00D87A0F">
        <w:t xml:space="preserve">the centralised settlement arrangements, the GMRG recommends that the prudential requirements be aggregated across </w:t>
      </w:r>
      <w:r>
        <w:t xml:space="preserve">all products traded through the GSH. </w:t>
      </w:r>
      <w:r w:rsidR="00D87A0F">
        <w:t xml:space="preserve">In short, the </w:t>
      </w:r>
      <w:r>
        <w:t xml:space="preserve">GMRG expects the </w:t>
      </w:r>
      <w:r w:rsidR="00333218">
        <w:t xml:space="preserve">aggregation of </w:t>
      </w:r>
      <w:r>
        <w:t xml:space="preserve">the prudential </w:t>
      </w:r>
      <w:r w:rsidR="00333218">
        <w:t xml:space="preserve">requirements </w:t>
      </w:r>
      <w:r w:rsidR="00D87A0F">
        <w:t xml:space="preserve">to </w:t>
      </w:r>
      <w:r>
        <w:t xml:space="preserve">facilitate </w:t>
      </w:r>
      <w:r w:rsidR="00333218">
        <w:t>access to the exchange</w:t>
      </w:r>
      <w:r w:rsidR="00D919B3">
        <w:t xml:space="preserve"> </w:t>
      </w:r>
      <w:r>
        <w:t xml:space="preserve">by reducing </w:t>
      </w:r>
      <w:r w:rsidR="00D919B3">
        <w:t>the barriers to trade</w:t>
      </w:r>
      <w:r>
        <w:t xml:space="preserve"> and enable the co-ordination benefits associated with a single platform to be realised</w:t>
      </w:r>
      <w:r w:rsidR="00D919B3">
        <w:t xml:space="preserve">. </w:t>
      </w:r>
    </w:p>
    <w:p w14:paraId="0CD9D352" w14:textId="77777777" w:rsidR="00333218" w:rsidRPr="00D87A0F" w:rsidRDefault="00D919B3" w:rsidP="004E3524">
      <w:pPr>
        <w:pStyle w:val="BodyText"/>
      </w:pPr>
      <w:r w:rsidRPr="00D87A0F">
        <w:t xml:space="preserve">As to the level of collateral </w:t>
      </w:r>
      <w:r w:rsidR="00D87A0F" w:rsidRPr="00D87A0F">
        <w:t xml:space="preserve">that </w:t>
      </w:r>
      <w:r w:rsidRPr="00D87A0F">
        <w:t xml:space="preserve">should apply to capacity products, </w:t>
      </w:r>
      <w:r w:rsidR="00D87A0F" w:rsidRPr="00D87A0F">
        <w:t xml:space="preserve">it is important to recognise </w:t>
      </w:r>
      <w:r w:rsidRPr="00D87A0F">
        <w:t xml:space="preserve">that the </w:t>
      </w:r>
      <w:r w:rsidR="00333218" w:rsidRPr="00D87A0F">
        <w:t xml:space="preserve">design of the collateral requirements will </w:t>
      </w:r>
      <w:r w:rsidRPr="00D87A0F">
        <w:t xml:space="preserve">have </w:t>
      </w:r>
      <w:r w:rsidR="00D87A0F" w:rsidRPr="00D87A0F">
        <w:t xml:space="preserve">a </w:t>
      </w:r>
      <w:r w:rsidRPr="00D87A0F">
        <w:t xml:space="preserve">bearing on </w:t>
      </w:r>
      <w:r w:rsidR="00333218" w:rsidRPr="00D87A0F">
        <w:t xml:space="preserve">the effectiveness of the platform and requires careful balancing between protecting participants </w:t>
      </w:r>
      <w:r w:rsidR="00753863" w:rsidRPr="00D87A0F">
        <w:t xml:space="preserve">from default </w:t>
      </w:r>
      <w:r w:rsidR="00333218" w:rsidRPr="00D87A0F">
        <w:t xml:space="preserve">and not </w:t>
      </w:r>
      <w:r w:rsidRPr="00D87A0F">
        <w:t xml:space="preserve">acting as a barrier </w:t>
      </w:r>
      <w:r w:rsidR="00753863" w:rsidRPr="00D87A0F">
        <w:t xml:space="preserve">to </w:t>
      </w:r>
      <w:r w:rsidRPr="00D87A0F">
        <w:t xml:space="preserve">entry. </w:t>
      </w:r>
      <w:r w:rsidR="00D87A0F" w:rsidRPr="00D87A0F">
        <w:t xml:space="preserve">Having regard to </w:t>
      </w:r>
      <w:r w:rsidR="00333218" w:rsidRPr="00D87A0F">
        <w:t xml:space="preserve">the </w:t>
      </w:r>
      <w:r w:rsidRPr="00D87A0F">
        <w:t>feedback provided by stakeholders</w:t>
      </w:r>
      <w:r w:rsidR="00D87A0F" w:rsidRPr="00D87A0F">
        <w:t xml:space="preserve">, the GMRG is of the view that the same collateral levels should apply to capacity and gas products and that if the longest dated product is a one month product, then the current collateral levels seem appropriate. The GMRG does, however, think this should be revisited by AEMO if longer dated products are introduced, because a </w:t>
      </w:r>
      <w:r w:rsidR="00333218" w:rsidRPr="00D87A0F">
        <w:rPr>
          <w:rFonts w:eastAsiaTheme="minorEastAsia"/>
        </w:rPr>
        <w:t xml:space="preserve">25% up-front </w:t>
      </w:r>
      <w:r w:rsidR="00D87A0F" w:rsidRPr="00D87A0F">
        <w:rPr>
          <w:rFonts w:eastAsiaTheme="minorEastAsia"/>
        </w:rPr>
        <w:t xml:space="preserve">collateral requirement </w:t>
      </w:r>
      <w:r w:rsidR="00333218" w:rsidRPr="00D87A0F">
        <w:rPr>
          <w:rFonts w:eastAsiaTheme="minorEastAsia"/>
        </w:rPr>
        <w:t xml:space="preserve">could </w:t>
      </w:r>
      <w:r w:rsidR="00D87A0F" w:rsidRPr="00D87A0F">
        <w:rPr>
          <w:rFonts w:eastAsiaTheme="minorEastAsia"/>
        </w:rPr>
        <w:t>act as a barrier to trade</w:t>
      </w:r>
      <w:r w:rsidR="00333218" w:rsidRPr="00D87A0F">
        <w:t>.</w:t>
      </w:r>
    </w:p>
    <w:p w14:paraId="1B8CB61A" w14:textId="77777777" w:rsidR="00A90CF7" w:rsidRDefault="00A90CF7" w:rsidP="00A90CF7">
      <w:pPr>
        <w:pStyle w:val="BodyText"/>
      </w:pPr>
      <w:r>
        <w:br w:type="page"/>
      </w:r>
    </w:p>
    <w:p w14:paraId="0032B79A" w14:textId="77777777" w:rsidR="003529C7" w:rsidRPr="00C13A14" w:rsidRDefault="00C8573E" w:rsidP="00F65A13">
      <w:pPr>
        <w:pStyle w:val="Heading1"/>
      </w:pPr>
      <w:bookmarkStart w:id="178" w:name="_Toc499542672"/>
      <w:r w:rsidRPr="00C13A14">
        <w:lastRenderedPageBreak/>
        <w:t xml:space="preserve">Financial and Delivery </w:t>
      </w:r>
      <w:r w:rsidR="00772840" w:rsidRPr="00C13A14">
        <w:t xml:space="preserve">Default </w:t>
      </w:r>
      <w:r w:rsidR="00330865" w:rsidRPr="00C13A14">
        <w:t>Arrangements</w:t>
      </w:r>
      <w:bookmarkEnd w:id="178"/>
    </w:p>
    <w:p w14:paraId="34BA2C3E" w14:textId="77777777" w:rsidR="005D51F3" w:rsidRDefault="005D51F3" w:rsidP="005D51F3">
      <w:pPr>
        <w:pStyle w:val="BodyText"/>
      </w:pPr>
      <w:r>
        <w:t>A seller of capacity products on the exchange, which could be either a primary or secondary shipper, could default on its delivery obligations for one of the following reasons:</w:t>
      </w:r>
    </w:p>
    <w:p w14:paraId="65402130" w14:textId="77777777" w:rsidR="005D51F3" w:rsidRDefault="005D51F3" w:rsidP="00CF4594">
      <w:pPr>
        <w:pStyle w:val="ListNumber"/>
        <w:numPr>
          <w:ilvl w:val="0"/>
          <w:numId w:val="70"/>
        </w:numPr>
      </w:pPr>
      <w:r>
        <w:t>the seller defaults on its primary GTA or operational GTA with the service provider and the service provider decides to suspend or terminate the contract;</w:t>
      </w:r>
    </w:p>
    <w:p w14:paraId="68460E6B" w14:textId="77777777" w:rsidR="00505A67" w:rsidRDefault="005D51F3" w:rsidP="00505A67">
      <w:pPr>
        <w:pStyle w:val="ListNumber"/>
      </w:pPr>
      <w:r>
        <w:t>the seller defaults on its delivery obligation – in the case of capacity, most likely due to the seller selling more capacity than it has a right to use under a primary GTA or other se</w:t>
      </w:r>
      <w:r w:rsidR="00505A67">
        <w:t>condary trade (short</w:t>
      </w:r>
      <w:r w:rsidR="0005669E">
        <w:t>-</w:t>
      </w:r>
      <w:r w:rsidR="00505A67">
        <w:t>selling); and/or</w:t>
      </w:r>
    </w:p>
    <w:p w14:paraId="62A412DC" w14:textId="77777777" w:rsidR="005D51F3" w:rsidRDefault="00505A67" w:rsidP="0081129E">
      <w:pPr>
        <w:pStyle w:val="ListNumber"/>
      </w:pPr>
      <w:proofErr w:type="gramStart"/>
      <w:r>
        <w:t>the</w:t>
      </w:r>
      <w:proofErr w:type="gramEnd"/>
      <w:r>
        <w:t xml:space="preserve"> seller defaults on its financial obligations in the GSH and AEMO decides to close out the seller’s trades. </w:t>
      </w:r>
    </w:p>
    <w:p w14:paraId="4B7462A7" w14:textId="77777777" w:rsidR="00505A67" w:rsidRDefault="005D51F3" w:rsidP="003936F9">
      <w:pPr>
        <w:pStyle w:val="BodyText"/>
      </w:pPr>
      <w:r>
        <w:t xml:space="preserve">While </w:t>
      </w:r>
      <w:r w:rsidR="00A72D26">
        <w:t xml:space="preserve">measures </w:t>
      </w:r>
      <w:r w:rsidR="00BF689B">
        <w:t xml:space="preserve">are </w:t>
      </w:r>
      <w:r w:rsidR="00A72D26">
        <w:t xml:space="preserve">in place </w:t>
      </w:r>
      <w:r w:rsidR="00BF689B">
        <w:t>under</w:t>
      </w:r>
      <w:r w:rsidR="00A72D26">
        <w:t xml:space="preserve"> the NGR and Exchange Agreement to deter trading participants in the GSH fr</w:t>
      </w:r>
      <w:r w:rsidR="00BF689B">
        <w:t>o</w:t>
      </w:r>
      <w:r w:rsidR="00A72D26">
        <w:t xml:space="preserve">m defaulting on their financial </w:t>
      </w:r>
      <w:r w:rsidR="00FF5932">
        <w:t xml:space="preserve">and </w:t>
      </w:r>
      <w:r w:rsidR="00A72D26">
        <w:t xml:space="preserve">delivery obligations (see Appendix E), the Capacity Trading Platform project team </w:t>
      </w:r>
      <w:r w:rsidR="00BF689B">
        <w:t>was of the view</w:t>
      </w:r>
      <w:r w:rsidR="00A72D26">
        <w:t xml:space="preserve"> </w:t>
      </w:r>
      <w:r w:rsidR="00505A67">
        <w:t xml:space="preserve">that </w:t>
      </w:r>
      <w:r w:rsidR="00A72D26">
        <w:t xml:space="preserve">additional </w:t>
      </w:r>
      <w:r w:rsidR="00AA4404">
        <w:t>measures</w:t>
      </w:r>
      <w:r w:rsidR="003C0C05">
        <w:t xml:space="preserve"> </w:t>
      </w:r>
      <w:r w:rsidR="00AA4404">
        <w:t xml:space="preserve">may be required to deal with the </w:t>
      </w:r>
      <w:r w:rsidR="00505A67">
        <w:t xml:space="preserve">risks </w:t>
      </w:r>
      <w:r w:rsidR="00A72D26">
        <w:t xml:space="preserve">outlined above. </w:t>
      </w:r>
    </w:p>
    <w:p w14:paraId="4AF98D9D" w14:textId="77777777" w:rsidR="00505A67" w:rsidRDefault="00505A67" w:rsidP="003936F9">
      <w:pPr>
        <w:pStyle w:val="BodyText"/>
        <w:rPr>
          <w:rFonts w:cs="Arial"/>
        </w:rPr>
      </w:pPr>
      <w:r>
        <w:rPr>
          <w:rFonts w:cs="Arial"/>
        </w:rPr>
        <w:t xml:space="preserve">The GMRG agrees with this view and notes that the inclusion of </w:t>
      </w:r>
      <w:r>
        <w:rPr>
          <w:rFonts w:eastAsiaTheme="minorEastAsia"/>
        </w:rPr>
        <w:t>credible and robust arrangements for resolving these forms of financial and delivery default</w:t>
      </w:r>
      <w:r w:rsidR="00815AEE">
        <w:rPr>
          <w:rFonts w:eastAsiaTheme="minorEastAsia"/>
        </w:rPr>
        <w:t>s</w:t>
      </w:r>
      <w:r>
        <w:rPr>
          <w:rFonts w:eastAsiaTheme="minorEastAsia"/>
        </w:rPr>
        <w:t xml:space="preserve"> will provide market participants with </w:t>
      </w:r>
      <w:r w:rsidR="00BF689B">
        <w:rPr>
          <w:rFonts w:eastAsiaTheme="minorEastAsia"/>
        </w:rPr>
        <w:t>additional</w:t>
      </w:r>
      <w:r>
        <w:rPr>
          <w:rFonts w:eastAsiaTheme="minorEastAsia"/>
        </w:rPr>
        <w:t xml:space="preserve"> confidence in the capacity trading platform, which should, in turn, encourage more trade through the exchange. The </w:t>
      </w:r>
      <w:r>
        <w:rPr>
          <w:rFonts w:cs="Arial"/>
        </w:rPr>
        <w:t xml:space="preserve">remainder of this chapter sets out the GMRG’s final recommendations on the arrangements that should be put in place to deal with the financial and delivery default risks outlined above. </w:t>
      </w:r>
    </w:p>
    <w:p w14:paraId="62BA9DEB" w14:textId="77777777" w:rsidR="007B2172" w:rsidRDefault="00505A67" w:rsidP="007B2172">
      <w:pPr>
        <w:pStyle w:val="Heading2"/>
      </w:pPr>
      <w:bookmarkStart w:id="179" w:name="_Toc499542673"/>
      <w:r>
        <w:t>Seller defaults on its GTA with the service provider</w:t>
      </w:r>
      <w:bookmarkEnd w:id="179"/>
    </w:p>
    <w:p w14:paraId="2C493111" w14:textId="77777777" w:rsidR="00505A67" w:rsidRDefault="00505A67" w:rsidP="00505A67">
      <w:pPr>
        <w:pStyle w:val="BodyText"/>
      </w:pPr>
      <w:r>
        <w:t>There are two potential ways in which a seller of secondary capacity could default on its GTA with a service provider:</w:t>
      </w:r>
    </w:p>
    <w:p w14:paraId="0EEC13D9" w14:textId="77777777" w:rsidR="00505A67" w:rsidRDefault="00505A67" w:rsidP="00505A67">
      <w:pPr>
        <w:pStyle w:val="ListBullet"/>
      </w:pPr>
      <w:r>
        <w:t xml:space="preserve">the seller defaults on its primary GTA; </w:t>
      </w:r>
      <w:r w:rsidR="00FF5932">
        <w:t>or</w:t>
      </w:r>
    </w:p>
    <w:p w14:paraId="11C227ED" w14:textId="77777777" w:rsidR="00505A67" w:rsidRDefault="00505A67" w:rsidP="00505A67">
      <w:pPr>
        <w:pStyle w:val="ListBullet"/>
      </w:pPr>
      <w:proofErr w:type="gramStart"/>
      <w:r>
        <w:t>the</w:t>
      </w:r>
      <w:proofErr w:type="gramEnd"/>
      <w:r>
        <w:t xml:space="preserve"> seller defaults on its operational GTA.</w:t>
      </w:r>
    </w:p>
    <w:p w14:paraId="60827C7F" w14:textId="77777777" w:rsidR="007B2172" w:rsidRDefault="004603CC" w:rsidP="0013370B">
      <w:pPr>
        <w:pStyle w:val="Heading3"/>
      </w:pPr>
      <w:bookmarkStart w:id="180" w:name="_Ref498490880"/>
      <w:r>
        <w:t xml:space="preserve">Seller defaults on its </w:t>
      </w:r>
      <w:r w:rsidR="00505A67">
        <w:t xml:space="preserve">primary </w:t>
      </w:r>
      <w:r>
        <w:t xml:space="preserve">GTA </w:t>
      </w:r>
      <w:bookmarkEnd w:id="180"/>
    </w:p>
    <w:p w14:paraId="08EF0655" w14:textId="77777777" w:rsidR="00505A67" w:rsidRPr="004E791B" w:rsidRDefault="00505A67" w:rsidP="00505A67">
      <w:pPr>
        <w:pStyle w:val="Heading6"/>
        <w:spacing w:line="252" w:lineRule="auto"/>
        <w:rPr>
          <w:color w:val="0099CC"/>
        </w:rPr>
      </w:pPr>
      <w:r w:rsidRPr="004E791B">
        <w:rPr>
          <w:color w:val="0099CC"/>
        </w:rPr>
        <w:t>Background</w:t>
      </w:r>
      <w:r>
        <w:rPr>
          <w:color w:val="0099CC"/>
        </w:rPr>
        <w:t xml:space="preserve"> and GMRG’s preliminary view</w:t>
      </w:r>
    </w:p>
    <w:p w14:paraId="54D29776" w14:textId="77777777" w:rsidR="00505A67" w:rsidRDefault="00505A67" w:rsidP="00724044">
      <w:pPr>
        <w:pStyle w:val="BodyText"/>
        <w:rPr>
          <w:rFonts w:eastAsiaTheme="minorEastAsia"/>
        </w:rPr>
      </w:pPr>
      <w:r>
        <w:rPr>
          <w:rFonts w:eastAsiaTheme="minorEastAsia"/>
        </w:rPr>
        <w:t xml:space="preserve">If the seller of capacity is a primary capacity holder that </w:t>
      </w:r>
      <w:r w:rsidR="00724044" w:rsidRPr="00A95B4F">
        <w:rPr>
          <w:rFonts w:eastAsiaTheme="minorEastAsia"/>
        </w:rPr>
        <w:t xml:space="preserve">defaults on its </w:t>
      </w:r>
      <w:r>
        <w:rPr>
          <w:rFonts w:eastAsiaTheme="minorEastAsia"/>
        </w:rPr>
        <w:t xml:space="preserve">obligations under the </w:t>
      </w:r>
      <w:r w:rsidR="00724044" w:rsidRPr="00A95B4F">
        <w:rPr>
          <w:rFonts w:eastAsiaTheme="minorEastAsia"/>
        </w:rPr>
        <w:t>primary GTA</w:t>
      </w:r>
      <w:r>
        <w:rPr>
          <w:rFonts w:eastAsiaTheme="minorEastAsia"/>
        </w:rPr>
        <w:t xml:space="preserve">, then the service </w:t>
      </w:r>
      <w:r w:rsidR="00724044" w:rsidRPr="00A95B4F">
        <w:rPr>
          <w:rFonts w:eastAsiaTheme="minorEastAsia"/>
        </w:rPr>
        <w:t>provider</w:t>
      </w:r>
      <w:r>
        <w:rPr>
          <w:rFonts w:eastAsiaTheme="minorEastAsia"/>
        </w:rPr>
        <w:t xml:space="preserve"> may </w:t>
      </w:r>
      <w:r w:rsidR="00724044" w:rsidRPr="00A95B4F">
        <w:rPr>
          <w:rFonts w:eastAsiaTheme="minorEastAsia"/>
        </w:rPr>
        <w:t>suspend or terminate the primary GTA</w:t>
      </w:r>
      <w:r>
        <w:rPr>
          <w:rFonts w:eastAsiaTheme="minorEastAsia"/>
        </w:rPr>
        <w:t>, which means the capacity may no longer be available to the primary capacity holder to transfer to the buyer(s)</w:t>
      </w:r>
      <w:r w:rsidR="00724044" w:rsidRPr="00A95B4F">
        <w:rPr>
          <w:rFonts w:eastAsiaTheme="minorEastAsia"/>
        </w:rPr>
        <w:t>.</w:t>
      </w:r>
      <w:r>
        <w:rPr>
          <w:rFonts w:eastAsiaTheme="minorEastAsia"/>
        </w:rPr>
        <w:t xml:space="preserve"> </w:t>
      </w:r>
      <w:r w:rsidR="00724044" w:rsidRPr="00A95B4F">
        <w:rPr>
          <w:rFonts w:eastAsiaTheme="minorEastAsia"/>
        </w:rPr>
        <w:t xml:space="preserve">This risk </w:t>
      </w:r>
      <w:r>
        <w:rPr>
          <w:rFonts w:eastAsiaTheme="minorEastAsia"/>
        </w:rPr>
        <w:t xml:space="preserve">is </w:t>
      </w:r>
      <w:r w:rsidR="00724044" w:rsidRPr="00A95B4F">
        <w:rPr>
          <w:rFonts w:eastAsiaTheme="minorEastAsia"/>
        </w:rPr>
        <w:t xml:space="preserve">not </w:t>
      </w:r>
      <w:r>
        <w:rPr>
          <w:rFonts w:eastAsiaTheme="minorEastAsia"/>
        </w:rPr>
        <w:t xml:space="preserve">currently </w:t>
      </w:r>
      <w:r w:rsidR="00BF689B">
        <w:rPr>
          <w:rFonts w:eastAsiaTheme="minorEastAsia"/>
        </w:rPr>
        <w:t>addressed</w:t>
      </w:r>
      <w:r w:rsidR="00724044" w:rsidRPr="00A95B4F">
        <w:rPr>
          <w:rFonts w:eastAsiaTheme="minorEastAsia"/>
        </w:rPr>
        <w:t xml:space="preserve"> in the GSH arrangements</w:t>
      </w:r>
      <w:r>
        <w:rPr>
          <w:rFonts w:eastAsiaTheme="minorEastAsia"/>
        </w:rPr>
        <w:t xml:space="preserve">. </w:t>
      </w:r>
      <w:r w:rsidR="00724044" w:rsidRPr="00A95B4F">
        <w:rPr>
          <w:rFonts w:eastAsiaTheme="minorEastAsia"/>
        </w:rPr>
        <w:t xml:space="preserve"> </w:t>
      </w:r>
    </w:p>
    <w:p w14:paraId="2E0966A1" w14:textId="77777777" w:rsidR="00724044" w:rsidRPr="00A95B4F" w:rsidRDefault="00BF689B" w:rsidP="00724044">
      <w:pPr>
        <w:pStyle w:val="BodyText"/>
        <w:rPr>
          <w:rFonts w:eastAsiaTheme="minorEastAsia"/>
        </w:rPr>
      </w:pPr>
      <w:r>
        <w:rPr>
          <w:rFonts w:eastAsiaTheme="minorEastAsia"/>
        </w:rPr>
        <w:t>T</w:t>
      </w:r>
      <w:r w:rsidR="00505A67">
        <w:rPr>
          <w:rFonts w:eastAsiaTheme="minorEastAsia"/>
        </w:rPr>
        <w:t xml:space="preserve">he following options were identified </w:t>
      </w:r>
      <w:r>
        <w:rPr>
          <w:rFonts w:eastAsiaTheme="minorEastAsia"/>
        </w:rPr>
        <w:t xml:space="preserve">in the consultation paper </w:t>
      </w:r>
      <w:r w:rsidR="00505A67">
        <w:rPr>
          <w:rFonts w:eastAsiaTheme="minorEastAsia"/>
        </w:rPr>
        <w:t>to deal with this risk</w:t>
      </w:r>
      <w:r w:rsidR="00724044" w:rsidRPr="00A95B4F">
        <w:rPr>
          <w:rFonts w:eastAsiaTheme="minorEastAsia"/>
        </w:rPr>
        <w:t>:</w:t>
      </w:r>
    </w:p>
    <w:p w14:paraId="39B30362" w14:textId="77777777" w:rsidR="00724044" w:rsidRPr="00724044" w:rsidRDefault="00724044" w:rsidP="00CF4594">
      <w:pPr>
        <w:pStyle w:val="ListNumber"/>
        <w:numPr>
          <w:ilvl w:val="0"/>
          <w:numId w:val="69"/>
        </w:numPr>
        <w:rPr>
          <w:rFonts w:eastAsiaTheme="minorEastAsia"/>
        </w:rPr>
      </w:pPr>
      <w:r w:rsidRPr="00724044">
        <w:rPr>
          <w:rFonts w:eastAsiaTheme="minorEastAsia"/>
        </w:rPr>
        <w:t xml:space="preserve">The trade </w:t>
      </w:r>
      <w:r w:rsidR="00505A67">
        <w:rPr>
          <w:rFonts w:eastAsiaTheme="minorEastAsia"/>
        </w:rPr>
        <w:t>is</w:t>
      </w:r>
      <w:r w:rsidRPr="00724044">
        <w:rPr>
          <w:rFonts w:eastAsiaTheme="minorEastAsia"/>
        </w:rPr>
        <w:t xml:space="preserve"> cancelled and the buyer compensated (currently 25% of the face value of the trade)</w:t>
      </w:r>
      <w:r w:rsidR="00505A67">
        <w:rPr>
          <w:rFonts w:eastAsiaTheme="minorEastAsia"/>
        </w:rPr>
        <w:t>, which</w:t>
      </w:r>
      <w:r w:rsidRPr="00724044">
        <w:rPr>
          <w:rFonts w:eastAsiaTheme="minorEastAsia"/>
        </w:rPr>
        <w:t xml:space="preserve"> is the approach that is currently used in the GSH. If more than one secondary shipper holds the defaulted capacity, the cancelled capacity would be shared between the secondary shippers on a pro-rata basis.</w:t>
      </w:r>
    </w:p>
    <w:p w14:paraId="239598BA" w14:textId="77777777" w:rsidR="00724044" w:rsidRPr="00A95B4F" w:rsidRDefault="00724044" w:rsidP="00724044">
      <w:pPr>
        <w:pStyle w:val="ListNumber"/>
        <w:rPr>
          <w:rFonts w:eastAsiaTheme="minorEastAsia"/>
        </w:rPr>
      </w:pPr>
      <w:r w:rsidRPr="00A95B4F">
        <w:rPr>
          <w:rFonts w:eastAsiaTheme="minorEastAsia"/>
        </w:rPr>
        <w:lastRenderedPageBreak/>
        <w:t xml:space="preserve">The service provider honours the trade, either in its entirety or for a defined period of time (e.g. one month), and receives the price that was established through the exchange in return for doing so. </w:t>
      </w:r>
    </w:p>
    <w:p w14:paraId="3D10CE0B" w14:textId="77777777" w:rsidR="00724044" w:rsidRPr="00A95B4F" w:rsidRDefault="00724044" w:rsidP="00724044">
      <w:pPr>
        <w:pStyle w:val="ListNumber"/>
        <w:rPr>
          <w:rFonts w:eastAsiaTheme="minorEastAsia"/>
        </w:rPr>
      </w:pPr>
      <w:r w:rsidRPr="00A95B4F">
        <w:rPr>
          <w:rFonts w:eastAsiaTheme="minorEastAsia"/>
        </w:rPr>
        <w:t>The trade is cancelled and the buyer is compensated, but either:</w:t>
      </w:r>
    </w:p>
    <w:p w14:paraId="48BD57DC" w14:textId="77777777" w:rsidR="00724044" w:rsidRPr="00A95B4F" w:rsidRDefault="00724044" w:rsidP="00CF4594">
      <w:pPr>
        <w:pStyle w:val="ListNumber2"/>
        <w:numPr>
          <w:ilvl w:val="1"/>
          <w:numId w:val="31"/>
        </w:numPr>
        <w:rPr>
          <w:rFonts w:eastAsiaTheme="minorEastAsia"/>
        </w:rPr>
      </w:pPr>
      <w:r w:rsidRPr="00A95B4F">
        <w:rPr>
          <w:rFonts w:eastAsiaTheme="minorEastAsia"/>
        </w:rPr>
        <w:t xml:space="preserve">the buyer has a first right of refusal to acquire the capacity released by the primary shipper from the service provider for the remaining term of the trade at a price specified in the operational GTA; or </w:t>
      </w:r>
    </w:p>
    <w:p w14:paraId="22E060ED" w14:textId="77777777" w:rsidR="00724044" w:rsidRPr="00A95B4F" w:rsidRDefault="00724044" w:rsidP="00CF4594">
      <w:pPr>
        <w:pStyle w:val="ListNumber2"/>
        <w:numPr>
          <w:ilvl w:val="1"/>
          <w:numId w:val="31"/>
        </w:numPr>
        <w:rPr>
          <w:rFonts w:eastAsiaTheme="minorEastAsia"/>
        </w:rPr>
      </w:pPr>
      <w:proofErr w:type="gramStart"/>
      <w:r w:rsidRPr="00A95B4F">
        <w:rPr>
          <w:rFonts w:eastAsiaTheme="minorEastAsia"/>
        </w:rPr>
        <w:t>the</w:t>
      </w:r>
      <w:proofErr w:type="gramEnd"/>
      <w:r w:rsidRPr="00A95B4F">
        <w:rPr>
          <w:rFonts w:eastAsiaTheme="minorEastAsia"/>
        </w:rPr>
        <w:t xml:space="preserve"> operational GTA allows the buyer to initiate good faith negotiations with the service provider about access to the capacity for the remaining term of the trade. </w:t>
      </w:r>
    </w:p>
    <w:p w14:paraId="14F31AF3" w14:textId="77777777" w:rsidR="00724044" w:rsidRPr="00A95B4F" w:rsidRDefault="00FF5932" w:rsidP="00505A67">
      <w:pPr>
        <w:pStyle w:val="BodyText"/>
        <w:rPr>
          <w:rFonts w:eastAsiaTheme="minorEastAsia"/>
          <w:b/>
        </w:rPr>
      </w:pPr>
      <w:r>
        <w:rPr>
          <w:rFonts w:eastAsiaTheme="minorEastAsia"/>
        </w:rPr>
        <w:t>It was also noted that u</w:t>
      </w:r>
      <w:r w:rsidR="00724044" w:rsidRPr="00A95B4F">
        <w:rPr>
          <w:rFonts w:eastAsiaTheme="minorEastAsia"/>
        </w:rPr>
        <w:t>nder each of these options, the service provider may still have a claim to payment for the capacity under the primary GTA.</w:t>
      </w:r>
    </w:p>
    <w:p w14:paraId="4D5D8E41" w14:textId="77777777" w:rsidR="00724044" w:rsidRDefault="00724044" w:rsidP="00505A67">
      <w:pPr>
        <w:pStyle w:val="BodyText"/>
      </w:pPr>
      <w:r w:rsidRPr="006C656B">
        <w:t>The Capacity Trading Platform project team</w:t>
      </w:r>
      <w:r w:rsidR="00BF689B">
        <w:t xml:space="preserve"> suggested</w:t>
      </w:r>
      <w:r w:rsidRPr="006C656B">
        <w:t xml:space="preserve"> that to promote an orderly transition and minimise the impact of default on the operation of the gas market, the second and third options were worth exploring further and that a combination of the two could also be used. For example, the service provider could be required to honour the trade for up to one month and if the trade extends beyond this, the buyer could </w:t>
      </w:r>
      <w:r>
        <w:t>initiate negotiations</w:t>
      </w:r>
      <w:r w:rsidRPr="006C656B">
        <w:t xml:space="preserve"> directly with the service provider to access the capacity for the duration of the contract.</w:t>
      </w:r>
      <w:r>
        <w:t xml:space="preserve"> </w:t>
      </w:r>
    </w:p>
    <w:p w14:paraId="19273360" w14:textId="77777777" w:rsidR="00724044" w:rsidRPr="00DD4133" w:rsidRDefault="00505A67" w:rsidP="00505A67">
      <w:pPr>
        <w:pStyle w:val="BodyText"/>
      </w:pPr>
      <w:r>
        <w:t>T</w:t>
      </w:r>
      <w:r w:rsidR="00724044" w:rsidRPr="00DD4133">
        <w:t xml:space="preserve">he </w:t>
      </w:r>
      <w:r>
        <w:t xml:space="preserve">GMRG did not express a view on the options outlined above in the consultation paper. </w:t>
      </w:r>
      <w:r w:rsidR="00BF689B">
        <w:t xml:space="preserve">Rather, stakeholder </w:t>
      </w:r>
      <w:r w:rsidR="00724044" w:rsidRPr="00DD4133">
        <w:t xml:space="preserve">feedback </w:t>
      </w:r>
      <w:r w:rsidR="00BA0532">
        <w:t xml:space="preserve">was sought </w:t>
      </w:r>
      <w:r>
        <w:t xml:space="preserve">on how this risk should be managed and, in particular, whether the </w:t>
      </w:r>
      <w:r w:rsidR="00724044" w:rsidRPr="00DD4133">
        <w:t xml:space="preserve">trade </w:t>
      </w:r>
      <w:r>
        <w:t xml:space="preserve">should be kept </w:t>
      </w:r>
      <w:r w:rsidR="00724044" w:rsidRPr="00DD4133">
        <w:t>alive</w:t>
      </w:r>
      <w:r>
        <w:t>,</w:t>
      </w:r>
      <w:r w:rsidR="00724044" w:rsidRPr="00DD4133">
        <w:t xml:space="preserve"> or </w:t>
      </w:r>
      <w:r w:rsidR="00724044">
        <w:t xml:space="preserve">if the </w:t>
      </w:r>
      <w:r>
        <w:t xml:space="preserve">current </w:t>
      </w:r>
      <w:r w:rsidR="00724044" w:rsidRPr="00DD4133">
        <w:t xml:space="preserve">compensation </w:t>
      </w:r>
      <w:r>
        <w:t xml:space="preserve">arrangements </w:t>
      </w:r>
      <w:r w:rsidR="00BA0532">
        <w:t xml:space="preserve">available through </w:t>
      </w:r>
      <w:r>
        <w:t xml:space="preserve">the GSH were </w:t>
      </w:r>
      <w:r w:rsidR="00724044" w:rsidRPr="00DD4133">
        <w:t>sufficient</w:t>
      </w:r>
      <w:r w:rsidR="00724044">
        <w:t>.</w:t>
      </w:r>
    </w:p>
    <w:p w14:paraId="0FEAA299" w14:textId="77777777" w:rsidR="00724044" w:rsidRPr="00505A67" w:rsidRDefault="00724044" w:rsidP="00505A67">
      <w:pPr>
        <w:pStyle w:val="Heading6"/>
        <w:spacing w:line="252" w:lineRule="auto"/>
        <w:rPr>
          <w:color w:val="0099CC"/>
        </w:rPr>
      </w:pPr>
      <w:r w:rsidRPr="00941D91">
        <w:rPr>
          <w:color w:val="0099CC"/>
        </w:rPr>
        <w:t>Feedback provided through the consultation process</w:t>
      </w:r>
      <w:r w:rsidRPr="00505A67">
        <w:rPr>
          <w:color w:val="0099CC"/>
        </w:rPr>
        <w:t xml:space="preserve"> </w:t>
      </w:r>
    </w:p>
    <w:p w14:paraId="376C8E51" w14:textId="77777777" w:rsidR="00B04AAC" w:rsidRDefault="00505A67" w:rsidP="00B04AAC">
      <w:pPr>
        <w:pStyle w:val="BodyText"/>
      </w:pPr>
      <w:r>
        <w:rPr>
          <w:rFonts w:eastAsiaTheme="minorEastAsia"/>
        </w:rPr>
        <w:t>Mixed views were expressed by stakeholders on this issue</w:t>
      </w:r>
      <w:r w:rsidR="00B04AAC">
        <w:rPr>
          <w:rFonts w:eastAsiaTheme="minorEastAsia"/>
        </w:rPr>
        <w:t xml:space="preserve">. </w:t>
      </w:r>
      <w:r w:rsidR="00B04AAC">
        <w:t>S</w:t>
      </w:r>
      <w:r w:rsidR="00724044">
        <w:t>ervice providers</w:t>
      </w:r>
      <w:r w:rsidR="00B04AAC">
        <w:t>, for example,</w:t>
      </w:r>
      <w:r w:rsidR="00724044">
        <w:t xml:space="preserve"> argued strongly against </w:t>
      </w:r>
      <w:r w:rsidR="00B04AAC">
        <w:t xml:space="preserve">Option 2 (i.e. </w:t>
      </w:r>
      <w:r w:rsidR="00724044">
        <w:t xml:space="preserve">keeping the trade </w:t>
      </w:r>
      <w:r w:rsidR="00B04AAC">
        <w:t>on foot):</w:t>
      </w:r>
    </w:p>
    <w:p w14:paraId="5A9C7EE2" w14:textId="77777777" w:rsidR="00724044" w:rsidRDefault="00724044" w:rsidP="00B04AAC">
      <w:pPr>
        <w:pStyle w:val="ListBullet"/>
      </w:pPr>
      <w:r>
        <w:t xml:space="preserve">Jemena </w:t>
      </w:r>
      <w:r w:rsidR="00B04AAC">
        <w:t xml:space="preserve">believed </w:t>
      </w:r>
      <w:r>
        <w:t>that c</w:t>
      </w:r>
      <w:r w:rsidRPr="00561CA2">
        <w:t>apacity should be treated in the sa</w:t>
      </w:r>
      <w:r>
        <w:t xml:space="preserve">me way as gas traded on the </w:t>
      </w:r>
      <w:r w:rsidR="00BA0532">
        <w:t>GSH</w:t>
      </w:r>
      <w:r w:rsidR="00B04AAC">
        <w:t xml:space="preserve"> and noted that </w:t>
      </w:r>
      <w:r w:rsidRPr="00561CA2">
        <w:t>service provider</w:t>
      </w:r>
      <w:r w:rsidR="00B04AAC">
        <w:t>s</w:t>
      </w:r>
      <w:r w:rsidRPr="00561CA2">
        <w:t xml:space="preserve"> should be free to sell the capacity to any party (including the secondary shipper) that is willing to buy</w:t>
      </w:r>
      <w:r w:rsidR="00B04AAC">
        <w:t xml:space="preserve"> it. </w:t>
      </w:r>
    </w:p>
    <w:p w14:paraId="40BC8C8D" w14:textId="77777777" w:rsidR="00B04AAC" w:rsidRDefault="00724044" w:rsidP="00B04AAC">
      <w:pPr>
        <w:pStyle w:val="ListBullet"/>
      </w:pPr>
      <w:r w:rsidRPr="00561CA2">
        <w:t>APA</w:t>
      </w:r>
      <w:r>
        <w:t xml:space="preserve"> </w:t>
      </w:r>
      <w:r w:rsidR="00BA0532">
        <w:t>suggested</w:t>
      </w:r>
      <w:r w:rsidR="00B04AAC">
        <w:t xml:space="preserve"> </w:t>
      </w:r>
      <w:r>
        <w:t>it would be i</w:t>
      </w:r>
      <w:r w:rsidRPr="00561CA2">
        <w:t xml:space="preserve">nappropriate for </w:t>
      </w:r>
      <w:r w:rsidR="00BA0532">
        <w:t xml:space="preserve">a </w:t>
      </w:r>
      <w:r w:rsidRPr="00561CA2">
        <w:t xml:space="preserve">service provider to assume liability for a trade </w:t>
      </w:r>
      <w:r w:rsidR="00B04AAC">
        <w:t xml:space="preserve">entered into by the </w:t>
      </w:r>
      <w:r w:rsidRPr="00561CA2">
        <w:t xml:space="preserve">primary shipper. </w:t>
      </w:r>
    </w:p>
    <w:p w14:paraId="1C68DF02" w14:textId="77777777" w:rsidR="00B04AAC" w:rsidRDefault="00724044" w:rsidP="00B04AAC">
      <w:pPr>
        <w:pStyle w:val="ListBullet"/>
      </w:pPr>
      <w:r>
        <w:t xml:space="preserve">Epic </w:t>
      </w:r>
      <w:r w:rsidR="00BA0532">
        <w:t xml:space="preserve">was of the view </w:t>
      </w:r>
      <w:r>
        <w:t>that s</w:t>
      </w:r>
      <w:r w:rsidRPr="00561CA2">
        <w:t>ervice providers should not be obliged to continue to supply the capacity where the risk of supply potentially outweighs t</w:t>
      </w:r>
      <w:r w:rsidR="00BA0532">
        <w:t>he</w:t>
      </w:r>
      <w:r w:rsidRPr="00561CA2">
        <w:t xml:space="preserve"> capacity price obtained. </w:t>
      </w:r>
      <w:r>
        <w:t>Instead</w:t>
      </w:r>
      <w:r w:rsidR="00BA0532">
        <w:t>,</w:t>
      </w:r>
      <w:r>
        <w:t xml:space="preserve"> Epic </w:t>
      </w:r>
      <w:r w:rsidR="00BA0532">
        <w:t>suggested</w:t>
      </w:r>
      <w:r>
        <w:t xml:space="preserve"> that </w:t>
      </w:r>
      <w:r w:rsidRPr="00561CA2">
        <w:t xml:space="preserve">Option 1 or Option 3(b) </w:t>
      </w:r>
      <w:r w:rsidR="00B04AAC">
        <w:t xml:space="preserve">was more </w:t>
      </w:r>
      <w:r w:rsidRPr="00561CA2">
        <w:t>appropriate</w:t>
      </w:r>
      <w:r w:rsidR="00B04AAC">
        <w:t xml:space="preserve">, because </w:t>
      </w:r>
      <w:r w:rsidRPr="00561CA2">
        <w:t>it removes any risk that the capacity was transacted as a bundle at a potential</w:t>
      </w:r>
      <w:r w:rsidR="00BA0532">
        <w:t>ly</w:t>
      </w:r>
      <w:r w:rsidRPr="00561CA2">
        <w:t xml:space="preserve"> low price</w:t>
      </w:r>
      <w:r>
        <w:t xml:space="preserve">. </w:t>
      </w:r>
    </w:p>
    <w:p w14:paraId="7E4004C6" w14:textId="77777777" w:rsidR="00724044" w:rsidRDefault="00724044" w:rsidP="00B04AAC">
      <w:pPr>
        <w:pStyle w:val="ListBullet"/>
      </w:pPr>
      <w:r w:rsidRPr="005A493D">
        <w:t xml:space="preserve">APGA stated that </w:t>
      </w:r>
      <w:r>
        <w:t>w</w:t>
      </w:r>
      <w:r w:rsidRPr="005A493D">
        <w:t xml:space="preserve">here </w:t>
      </w:r>
      <w:r w:rsidR="00B04AAC">
        <w:t>default</w:t>
      </w:r>
      <w:r w:rsidRPr="005A493D">
        <w:t xml:space="preserve"> </w:t>
      </w:r>
      <w:r w:rsidR="00B04AAC">
        <w:t xml:space="preserve">does </w:t>
      </w:r>
      <w:r w:rsidRPr="005A493D">
        <w:t>occur and the service provider has the ability to complete delivery, the capacity provided should be treated as any other uncontracted capacity for sale</w:t>
      </w:r>
      <w:r w:rsidR="00B04AAC">
        <w:t>.</w:t>
      </w:r>
    </w:p>
    <w:p w14:paraId="790410D8" w14:textId="77777777" w:rsidR="00B04AAC" w:rsidRDefault="00724044" w:rsidP="00B04AAC">
      <w:pPr>
        <w:pStyle w:val="BodyText"/>
      </w:pPr>
      <w:r>
        <w:t xml:space="preserve">AGL and Stanwell </w:t>
      </w:r>
      <w:r w:rsidR="00BA0532">
        <w:t xml:space="preserve">indicated </w:t>
      </w:r>
      <w:r w:rsidR="00B04AAC">
        <w:t>that O</w:t>
      </w:r>
      <w:r>
        <w:t xml:space="preserve">ption 1 </w:t>
      </w:r>
      <w:r w:rsidR="00B04AAC">
        <w:t xml:space="preserve">(i.e. trade cancelled and parties compensated) </w:t>
      </w:r>
      <w:r>
        <w:t>was reasonable</w:t>
      </w:r>
      <w:r w:rsidR="00B04AAC">
        <w:t xml:space="preserve">, although AGL noted this was subject to the caveat that the </w:t>
      </w:r>
      <w:r w:rsidRPr="00561CA2">
        <w:t>secondary shipper has the option to purchase the capacity from the service provider</w:t>
      </w:r>
      <w:r w:rsidR="00B04AAC">
        <w:t xml:space="preserve">. Stanwell, on the </w:t>
      </w:r>
      <w:r w:rsidR="00B04AAC">
        <w:lastRenderedPageBreak/>
        <w:t xml:space="preserve">other hand, did not </w:t>
      </w:r>
      <w:r w:rsidR="00B04AAC" w:rsidRPr="00561CA2">
        <w:t xml:space="preserve">support </w:t>
      </w:r>
      <w:r w:rsidR="00B04AAC">
        <w:t xml:space="preserve">any </w:t>
      </w:r>
      <w:r w:rsidR="00B04AAC" w:rsidRPr="00561CA2">
        <w:t xml:space="preserve">extra obligations </w:t>
      </w:r>
      <w:r w:rsidR="00B04AAC">
        <w:t xml:space="preserve">being </w:t>
      </w:r>
      <w:r w:rsidR="00B04AAC" w:rsidRPr="00561CA2">
        <w:t>placed on service provi</w:t>
      </w:r>
      <w:r w:rsidR="00B04AAC">
        <w:t xml:space="preserve">ders and noted the potential for </w:t>
      </w:r>
      <w:r w:rsidR="00B04AAC" w:rsidRPr="00561CA2">
        <w:t xml:space="preserve">a seller at risk of default </w:t>
      </w:r>
      <w:r w:rsidR="00B04AAC">
        <w:t xml:space="preserve">under </w:t>
      </w:r>
      <w:r w:rsidR="00B04AAC" w:rsidRPr="00561CA2">
        <w:t xml:space="preserve">their primary GTA </w:t>
      </w:r>
      <w:r w:rsidR="00B04AAC">
        <w:t xml:space="preserve">to </w:t>
      </w:r>
      <w:r w:rsidR="00BA0532">
        <w:t>believe</w:t>
      </w:r>
      <w:r w:rsidR="00B04AAC" w:rsidRPr="00561CA2">
        <w:t xml:space="preserve"> selling their capacity on the platform (at reduced rates) will help to avoid default.</w:t>
      </w:r>
      <w:r w:rsidR="00B04AAC">
        <w:t xml:space="preserve">  </w:t>
      </w:r>
    </w:p>
    <w:p w14:paraId="2C07247B" w14:textId="77777777" w:rsidR="00724044" w:rsidRDefault="00B04AAC" w:rsidP="00724044">
      <w:pPr>
        <w:pStyle w:val="BodyText"/>
      </w:pPr>
      <w:r>
        <w:t xml:space="preserve">In contrast to AGL and Stanwell, </w:t>
      </w:r>
      <w:r w:rsidR="00724044">
        <w:t xml:space="preserve">Shell and APLNG supported </w:t>
      </w:r>
      <w:r>
        <w:t>O</w:t>
      </w:r>
      <w:r w:rsidR="00724044">
        <w:t>ption 2</w:t>
      </w:r>
      <w:r>
        <w:t xml:space="preserve"> (i.e. keeping the trade on foot) and noted that this was required because </w:t>
      </w:r>
      <w:r w:rsidR="00724044" w:rsidRPr="00561CA2">
        <w:t xml:space="preserve">secondary shippers will have </w:t>
      </w:r>
      <w:r>
        <w:t xml:space="preserve">likely </w:t>
      </w:r>
      <w:r w:rsidR="00724044" w:rsidRPr="00561CA2">
        <w:t>also entered into gas sales.</w:t>
      </w:r>
      <w:r w:rsidR="00724044">
        <w:t xml:space="preserve"> Shell recommended a </w:t>
      </w:r>
      <w:r w:rsidR="00724044" w:rsidRPr="00561CA2">
        <w:t xml:space="preserve">modified </w:t>
      </w:r>
      <w:r w:rsidR="00724044">
        <w:t xml:space="preserve">version of </w:t>
      </w:r>
      <w:r>
        <w:t>O</w:t>
      </w:r>
      <w:r w:rsidR="00724044" w:rsidRPr="00561CA2">
        <w:t xml:space="preserve">ption 2 with 6 weeks continued use and the right </w:t>
      </w:r>
      <w:r w:rsidR="00BA0532">
        <w:t>for the buyer to have fi</w:t>
      </w:r>
      <w:r w:rsidR="00724044" w:rsidRPr="00561CA2">
        <w:t>rst refusal for the capacity.</w:t>
      </w:r>
    </w:p>
    <w:p w14:paraId="290F5FD2" w14:textId="77777777" w:rsidR="00724044" w:rsidRPr="00F14D0A" w:rsidRDefault="005B64BB" w:rsidP="007D70D4">
      <w:pPr>
        <w:pStyle w:val="BodyText"/>
      </w:pPr>
      <w:r>
        <w:t xml:space="preserve">Stakeholders were also divided on whether the </w:t>
      </w:r>
      <w:r w:rsidR="00724044" w:rsidRPr="005A493D">
        <w:t>buyer should have a first right of refusal</w:t>
      </w:r>
      <w:r w:rsidR="00724044">
        <w:t xml:space="preserve"> to acquire the capacity released by the defaulting primary shipper</w:t>
      </w:r>
      <w:r>
        <w:t>. AGL and Shell, for example, thought this was reasonable. S</w:t>
      </w:r>
      <w:r w:rsidR="00724044">
        <w:t>ervice providers</w:t>
      </w:r>
      <w:r>
        <w:t xml:space="preserve">, however, did not think this was appropriate. </w:t>
      </w:r>
      <w:r w:rsidR="00724044" w:rsidRPr="005A493D">
        <w:t>APA</w:t>
      </w:r>
      <w:r>
        <w:t>, for example,</w:t>
      </w:r>
      <w:r w:rsidR="00724044" w:rsidRPr="005A493D">
        <w:t xml:space="preserve"> </w:t>
      </w:r>
      <w:r w:rsidR="00724044">
        <w:t>stated that i</w:t>
      </w:r>
      <w:r w:rsidR="00724044" w:rsidRPr="005A493D">
        <w:t>ntroducing such a measure would require significant procedural complexity for something that would not be expecte</w:t>
      </w:r>
      <w:r w:rsidR="00724044">
        <w:t>d to occur on a regular basis and noted that a</w:t>
      </w:r>
      <w:r w:rsidR="00724044" w:rsidRPr="005A493D">
        <w:t xml:space="preserve"> secondary shipper would be able to approach the service provider to buy primary capacity at any time </w:t>
      </w:r>
      <w:r>
        <w:t xml:space="preserve">and that </w:t>
      </w:r>
      <w:r w:rsidR="00724044" w:rsidRPr="005A493D">
        <w:t xml:space="preserve">no special rights or arrangements </w:t>
      </w:r>
      <w:r>
        <w:t xml:space="preserve">were </w:t>
      </w:r>
      <w:r w:rsidR="00724044" w:rsidRPr="005A493D">
        <w:t xml:space="preserve">necessary for this to occur. </w:t>
      </w:r>
      <w:r w:rsidR="00724044">
        <w:t xml:space="preserve">Jemena also </w:t>
      </w:r>
      <w:r>
        <w:t xml:space="preserve">noted </w:t>
      </w:r>
      <w:r w:rsidR="00724044">
        <w:t xml:space="preserve">that this option </w:t>
      </w:r>
      <w:r>
        <w:t xml:space="preserve">could </w:t>
      </w:r>
      <w:r w:rsidR="00724044" w:rsidRPr="00F14D0A">
        <w:t xml:space="preserve">overcomplicate the issue. </w:t>
      </w:r>
      <w:r w:rsidR="00724044" w:rsidRPr="007D70D4">
        <w:t xml:space="preserve">Epic </w:t>
      </w:r>
      <w:r w:rsidR="00FF5932">
        <w:t xml:space="preserve">thought </w:t>
      </w:r>
      <w:r>
        <w:t xml:space="preserve">that it was </w:t>
      </w:r>
      <w:r w:rsidR="00724044" w:rsidRPr="007D70D4">
        <w:t xml:space="preserve">important </w:t>
      </w:r>
      <w:r w:rsidR="00724044" w:rsidRPr="00F14D0A">
        <w:t xml:space="preserve">to consider the </w:t>
      </w:r>
      <w:r>
        <w:t xml:space="preserve">effect on the </w:t>
      </w:r>
      <w:r w:rsidR="00724044" w:rsidRPr="00F14D0A">
        <w:t xml:space="preserve">queuing </w:t>
      </w:r>
      <w:r>
        <w:t xml:space="preserve">arrangements the </w:t>
      </w:r>
      <w:r w:rsidR="00724044" w:rsidRPr="00F14D0A">
        <w:t>service provider</w:t>
      </w:r>
      <w:r>
        <w:t xml:space="preserve"> may have</w:t>
      </w:r>
      <w:r w:rsidR="00724044" w:rsidRPr="00F14D0A">
        <w:t xml:space="preserve">. Stanwell </w:t>
      </w:r>
      <w:r>
        <w:t xml:space="preserve">was of a similar view to service providers, but noted that if buyers are to have the option then they </w:t>
      </w:r>
      <w:r w:rsidR="00724044" w:rsidRPr="00F14D0A">
        <w:t xml:space="preserve">should only have a general right to initiate good faith negotiations. </w:t>
      </w:r>
    </w:p>
    <w:p w14:paraId="4DDBCCA9" w14:textId="77777777" w:rsidR="00724044" w:rsidRPr="00505A67" w:rsidRDefault="00724044" w:rsidP="00505A67">
      <w:pPr>
        <w:pStyle w:val="Heading6"/>
        <w:spacing w:line="252" w:lineRule="auto"/>
        <w:rPr>
          <w:color w:val="0099CC"/>
        </w:rPr>
      </w:pPr>
      <w:r w:rsidRPr="00777833">
        <w:rPr>
          <w:color w:val="0099CC"/>
        </w:rPr>
        <w:t>GMRG’s final recommendations</w:t>
      </w:r>
      <w:r w:rsidRPr="00505A67">
        <w:rPr>
          <w:color w:val="0099CC"/>
        </w:rPr>
        <w:t xml:space="preserve"> </w:t>
      </w:r>
    </w:p>
    <w:p w14:paraId="04475347" w14:textId="77777777" w:rsidR="00724044" w:rsidRPr="00A233F3" w:rsidRDefault="005B64BB" w:rsidP="00724044">
      <w:pPr>
        <w:pStyle w:val="BodyText"/>
      </w:pPr>
      <w:r>
        <w:t xml:space="preserve">Before setting out the GMRG’s final recommendation on this issue, it is worth noting that </w:t>
      </w:r>
      <w:r w:rsidR="00724044" w:rsidRPr="00A233F3">
        <w:t>the market conduct rules in Part 22 of the NGR (rule 543) have been put in place to deter participants from defaulting on their financial or delivery obligations and to deal wit</w:t>
      </w:r>
      <w:r>
        <w:t xml:space="preserve">h any default that does occur. The risk of </w:t>
      </w:r>
      <w:r w:rsidR="00724044" w:rsidRPr="00A233F3">
        <w:t xml:space="preserve">default </w:t>
      </w:r>
      <w:r>
        <w:t xml:space="preserve">under a </w:t>
      </w:r>
      <w:r w:rsidR="00724044" w:rsidRPr="00A233F3">
        <w:t xml:space="preserve">primary GTA is </w:t>
      </w:r>
      <w:r>
        <w:t xml:space="preserve">therefore expected to be a </w:t>
      </w:r>
      <w:r w:rsidR="00724044" w:rsidRPr="00A233F3">
        <w:t>low probability event</w:t>
      </w:r>
      <w:r>
        <w:t xml:space="preserve">, </w:t>
      </w:r>
      <w:r w:rsidR="00362A19">
        <w:t xml:space="preserve">which means that any obligation imposed on </w:t>
      </w:r>
      <w:r w:rsidR="00724044" w:rsidRPr="00A233F3">
        <w:t xml:space="preserve">service providers </w:t>
      </w:r>
      <w:r w:rsidR="00362A19">
        <w:t xml:space="preserve">is likely to have </w:t>
      </w:r>
      <w:r w:rsidR="00724044" w:rsidRPr="00A233F3">
        <w:t>minimal</w:t>
      </w:r>
      <w:r w:rsidR="00362A19">
        <w:t xml:space="preserve"> effect in practice</w:t>
      </w:r>
      <w:r w:rsidR="00724044" w:rsidRPr="00A233F3">
        <w:t>.</w:t>
      </w:r>
    </w:p>
    <w:p w14:paraId="3F528324" w14:textId="77777777" w:rsidR="00BA4CE1" w:rsidRDefault="00724044" w:rsidP="00724044">
      <w:pPr>
        <w:pStyle w:val="BodyText"/>
        <w:rPr>
          <w:rFonts w:eastAsiaTheme="minorEastAsia"/>
        </w:rPr>
      </w:pPr>
      <w:r w:rsidRPr="00F14D0A">
        <w:t xml:space="preserve">While the probability of </w:t>
      </w:r>
      <w:r w:rsidR="00362A19">
        <w:t xml:space="preserve">this form of default is </w:t>
      </w:r>
      <w:r w:rsidRPr="00F14D0A">
        <w:t xml:space="preserve">low, </w:t>
      </w:r>
      <w:r w:rsidR="00362A19">
        <w:t xml:space="preserve">the </w:t>
      </w:r>
      <w:r w:rsidRPr="00F14D0A">
        <w:t xml:space="preserve">GMRG </w:t>
      </w:r>
      <w:r w:rsidR="00362A19">
        <w:t xml:space="preserve">believes that </w:t>
      </w:r>
      <w:r w:rsidRPr="00F14D0A">
        <w:t xml:space="preserve">there </w:t>
      </w:r>
      <w:r w:rsidR="00362A19">
        <w:t xml:space="preserve">should be a </w:t>
      </w:r>
      <w:r>
        <w:t xml:space="preserve">clear and credible mechanism for effectively managing this risk and protecting the integrity of the </w:t>
      </w:r>
      <w:r w:rsidR="00FF5932">
        <w:t>exchange</w:t>
      </w:r>
      <w:r w:rsidR="00362A19">
        <w:t xml:space="preserve">, particularly </w:t>
      </w:r>
      <w:r w:rsidR="00362A19">
        <w:rPr>
          <w:rFonts w:eastAsiaTheme="minorEastAsia"/>
        </w:rPr>
        <w:t xml:space="preserve">given that buyers will be unable to conduct their own risk assessment of the sellers. Buyers will therefore rely on the </w:t>
      </w:r>
      <w:r w:rsidR="00FF5932">
        <w:rPr>
          <w:rFonts w:eastAsiaTheme="minorEastAsia"/>
        </w:rPr>
        <w:t xml:space="preserve">exchange </w:t>
      </w:r>
      <w:r w:rsidR="00362A19">
        <w:rPr>
          <w:rFonts w:eastAsiaTheme="minorEastAsia"/>
        </w:rPr>
        <w:t xml:space="preserve">to have appropriate default arrangements in place. </w:t>
      </w:r>
      <w:r w:rsidR="00BA4CE1">
        <w:rPr>
          <w:rFonts w:eastAsiaTheme="minorEastAsia"/>
        </w:rPr>
        <w:t xml:space="preserve">In this </w:t>
      </w:r>
      <w:r w:rsidR="00FF5932">
        <w:rPr>
          <w:rFonts w:eastAsiaTheme="minorEastAsia"/>
        </w:rPr>
        <w:t xml:space="preserve">context, </w:t>
      </w:r>
      <w:r w:rsidR="00BA4CE1">
        <w:rPr>
          <w:rFonts w:eastAsiaTheme="minorEastAsia"/>
        </w:rPr>
        <w:t xml:space="preserve">it is </w:t>
      </w:r>
      <w:r w:rsidR="00BA4CE1" w:rsidRPr="00A233F3">
        <w:t>appropriate for the buyer to have some protection</w:t>
      </w:r>
      <w:r w:rsidR="00BA4CE1">
        <w:t xml:space="preserve"> against </w:t>
      </w:r>
      <w:r w:rsidR="00FF5932">
        <w:t xml:space="preserve">the </w:t>
      </w:r>
      <w:r w:rsidR="00BA4CE1">
        <w:t>risk</w:t>
      </w:r>
      <w:r w:rsidR="00FF5932">
        <w:t xml:space="preserve"> of default</w:t>
      </w:r>
      <w:r w:rsidR="00BA4CE1">
        <w:t>, o</w:t>
      </w:r>
      <w:r w:rsidR="00BA4CE1" w:rsidRPr="00A233F3">
        <w:t>therwise</w:t>
      </w:r>
      <w:r w:rsidR="00BA4CE1">
        <w:t xml:space="preserve"> </w:t>
      </w:r>
      <w:r w:rsidR="00BA4CE1" w:rsidRPr="00A233F3">
        <w:t xml:space="preserve">confidence </w:t>
      </w:r>
      <w:r w:rsidR="00BA4CE1">
        <w:t xml:space="preserve">in the market will be </w:t>
      </w:r>
      <w:r w:rsidR="00BA4CE1" w:rsidRPr="00A233F3">
        <w:t>undermined.</w:t>
      </w:r>
    </w:p>
    <w:p w14:paraId="5B7DC655" w14:textId="77777777" w:rsidR="00362A19" w:rsidRDefault="00362A19" w:rsidP="00724044">
      <w:pPr>
        <w:pStyle w:val="BodyText"/>
      </w:pPr>
      <w:r>
        <w:rPr>
          <w:rFonts w:eastAsiaTheme="minorEastAsia"/>
        </w:rPr>
        <w:t xml:space="preserve">To this end, the </w:t>
      </w:r>
      <w:r w:rsidR="00724044">
        <w:t>GMRG recommends</w:t>
      </w:r>
      <w:r w:rsidR="00724044" w:rsidRPr="00A233F3">
        <w:t xml:space="preserve"> that service provider</w:t>
      </w:r>
      <w:r>
        <w:t>s</w:t>
      </w:r>
      <w:r w:rsidR="00724044" w:rsidRPr="00A233F3">
        <w:t xml:space="preserve"> </w:t>
      </w:r>
      <w:r>
        <w:t xml:space="preserve">be required to </w:t>
      </w:r>
      <w:r w:rsidR="00724044" w:rsidRPr="00A233F3">
        <w:t xml:space="preserve">honour </w:t>
      </w:r>
      <w:r>
        <w:t>any</w:t>
      </w:r>
      <w:r w:rsidR="00724044" w:rsidRPr="00A233F3">
        <w:t xml:space="preserve"> </w:t>
      </w:r>
      <w:r>
        <w:t xml:space="preserve">trades that have been entered into by a primary shipper </w:t>
      </w:r>
      <w:r w:rsidR="00724044" w:rsidRPr="00A233F3">
        <w:t xml:space="preserve">for </w:t>
      </w:r>
      <w:r w:rsidRPr="00362A19">
        <w:t>up</w:t>
      </w:r>
      <w:r>
        <w:t xml:space="preserve"> to </w:t>
      </w:r>
      <w:r w:rsidR="00724044" w:rsidRPr="00A233F3">
        <w:t>two weeks</w:t>
      </w:r>
      <w:r>
        <w:t xml:space="preserve"> following the suspension or termination of the primary GTA</w:t>
      </w:r>
      <w:r w:rsidR="0081129E">
        <w:t xml:space="preserve"> and to receive the payment the primary capacity holder would otherwise have received from the secondary shipper</w:t>
      </w:r>
      <w:r w:rsidR="00724044" w:rsidRPr="00A233F3">
        <w:t>.</w:t>
      </w:r>
      <w:r w:rsidR="0081129E">
        <w:rPr>
          <w:rStyle w:val="FootnoteReference"/>
        </w:rPr>
        <w:footnoteReference w:id="87"/>
      </w:r>
      <w:r w:rsidR="00724044" w:rsidRPr="00A233F3">
        <w:t xml:space="preserve"> </w:t>
      </w:r>
      <w:r w:rsidR="00EE502F">
        <w:t xml:space="preserve">Service providers will not, however, be required to provide the buyer with a first right of refusal to acquire the capacity. </w:t>
      </w:r>
      <w:r>
        <w:t xml:space="preserve">In practice this </w:t>
      </w:r>
      <w:r w:rsidR="00FF5932">
        <w:t xml:space="preserve">obligation </w:t>
      </w:r>
      <w:r>
        <w:t>means that:</w:t>
      </w:r>
    </w:p>
    <w:p w14:paraId="032E84F2" w14:textId="77777777" w:rsidR="00362A19" w:rsidRDefault="0081129E" w:rsidP="00CF4594">
      <w:pPr>
        <w:pStyle w:val="ListNumber"/>
        <w:numPr>
          <w:ilvl w:val="0"/>
          <w:numId w:val="71"/>
        </w:numPr>
      </w:pPr>
      <w:r>
        <w:t>i</w:t>
      </w:r>
      <w:r w:rsidR="00362A19">
        <w:t>f the trade is due to be completed with</w:t>
      </w:r>
      <w:r w:rsidR="00AD3C95">
        <w:t>in</w:t>
      </w:r>
      <w:r w:rsidR="00362A19">
        <w:t xml:space="preserve"> that two week window, it will be honoured in its entirety;</w:t>
      </w:r>
    </w:p>
    <w:p w14:paraId="2AAEF821" w14:textId="77777777" w:rsidR="00362A19" w:rsidRDefault="0081129E" w:rsidP="00BA4CE1">
      <w:pPr>
        <w:pStyle w:val="ListNumber"/>
      </w:pPr>
      <w:r>
        <w:lastRenderedPageBreak/>
        <w:t>i</w:t>
      </w:r>
      <w:r w:rsidR="00362A19">
        <w:t>f the trade extends beyond the two week window, then it will only be honoured for the two week period and the buyer will then have to put in place other arrangements</w:t>
      </w:r>
      <w:r w:rsidR="00BA4CE1">
        <w:t xml:space="preserve"> for the remaining term</w:t>
      </w:r>
      <w:r w:rsidR="00362A19">
        <w:t>; and</w:t>
      </w:r>
    </w:p>
    <w:p w14:paraId="1571D705" w14:textId="77777777" w:rsidR="00362A19" w:rsidRDefault="0081129E" w:rsidP="00BA4CE1">
      <w:pPr>
        <w:pStyle w:val="ListNumber"/>
      </w:pPr>
      <w:proofErr w:type="gramStart"/>
      <w:r>
        <w:t>i</w:t>
      </w:r>
      <w:r w:rsidR="00362A19">
        <w:t>f</w:t>
      </w:r>
      <w:proofErr w:type="gramEnd"/>
      <w:r w:rsidR="00362A19">
        <w:t xml:space="preserve"> the trade is not due to commence until after the two week window, it will </w:t>
      </w:r>
      <w:r>
        <w:t>be cancelled.</w:t>
      </w:r>
    </w:p>
    <w:p w14:paraId="4B529ACE" w14:textId="77777777" w:rsidR="00BA4CE1" w:rsidRDefault="00BA4CE1" w:rsidP="00BA4CE1">
      <w:pPr>
        <w:pStyle w:val="ListNumber"/>
        <w:numPr>
          <w:ilvl w:val="0"/>
          <w:numId w:val="0"/>
        </w:numPr>
      </w:pPr>
      <w:r>
        <w:t xml:space="preserve">In </w:t>
      </w:r>
      <w:r w:rsidR="00FF5932">
        <w:t xml:space="preserve">the latter two of these cases, </w:t>
      </w:r>
      <w:r>
        <w:t>the buyer would receive compensation</w:t>
      </w:r>
      <w:r w:rsidR="0024743C">
        <w:t xml:space="preserve"> through the GSH</w:t>
      </w:r>
      <w:r>
        <w:t xml:space="preserve"> for any part of the trade that is cancelled.</w:t>
      </w:r>
    </w:p>
    <w:p w14:paraId="3B09AF52" w14:textId="77777777" w:rsidR="0081129E" w:rsidRDefault="0081129E" w:rsidP="0081129E">
      <w:pPr>
        <w:pStyle w:val="BodyText"/>
        <w:rPr>
          <w:b/>
        </w:rPr>
      </w:pPr>
      <w:r>
        <w:t xml:space="preserve">In the GMRG’s view, this approach will provide for an orderly termination process that minimises the impact on the operation of the gas market and appropriately balances the interests of both buyers and service providers. As one project team member noted, service providers are better placed to manage this risk of termination (i.e. because the decision to terminate is within their control) than secondary shippers and could also benefit from such an arrangement, because in any subsequent action against the primary shipper, they would be able to </w:t>
      </w:r>
      <w:r w:rsidR="00AD3C95">
        <w:t xml:space="preserve">demonstrate </w:t>
      </w:r>
      <w:r>
        <w:t xml:space="preserve">that they had taken steps to mitigate their loss. </w:t>
      </w:r>
    </w:p>
    <w:p w14:paraId="7D97B87F" w14:textId="7C1FC997" w:rsidR="00724044" w:rsidRDefault="00BA4CE1" w:rsidP="007D70D4">
      <w:pPr>
        <w:pStyle w:val="BodyText"/>
      </w:pPr>
      <w:r>
        <w:t xml:space="preserve">Keeping the trade on foot will also minimise the risk of </w:t>
      </w:r>
      <w:r w:rsidR="00724044" w:rsidRPr="00663D05">
        <w:t xml:space="preserve">systemic default </w:t>
      </w:r>
      <w:r>
        <w:t xml:space="preserve">across the gas and capacity markets (i.e. </w:t>
      </w:r>
      <w:r w:rsidR="00537991">
        <w:t>since</w:t>
      </w:r>
      <w:r>
        <w:t xml:space="preserve"> the cancellation of a capacity trade may also affect gas trades given the complementary nature of these products)</w:t>
      </w:r>
      <w:r w:rsidR="00FF5932">
        <w:t>,</w:t>
      </w:r>
      <w:r>
        <w:t xml:space="preserve"> because it will provide </w:t>
      </w:r>
      <w:r w:rsidR="00724044" w:rsidRPr="00663D05">
        <w:t xml:space="preserve">the buyer </w:t>
      </w:r>
      <w:r>
        <w:t xml:space="preserve">more </w:t>
      </w:r>
      <w:r w:rsidR="00724044" w:rsidRPr="00663D05">
        <w:t xml:space="preserve">time to manage its exposure and </w:t>
      </w:r>
      <w:r>
        <w:t xml:space="preserve">to </w:t>
      </w:r>
      <w:r w:rsidR="00724044" w:rsidRPr="00663D05">
        <w:t xml:space="preserve">seek alternative </w:t>
      </w:r>
      <w:r>
        <w:t>solutions.</w:t>
      </w:r>
    </w:p>
    <w:p w14:paraId="408DECED" w14:textId="77777777" w:rsidR="00724044" w:rsidRDefault="00FF5932" w:rsidP="007D70D4">
      <w:pPr>
        <w:pStyle w:val="BodyText"/>
      </w:pPr>
      <w:r>
        <w:t xml:space="preserve">Finally, it is worth noting that the </w:t>
      </w:r>
      <w:r w:rsidR="00724044">
        <w:t xml:space="preserve">GMRG </w:t>
      </w:r>
      <w:r>
        <w:t xml:space="preserve">did give some thought to whether the risk could be dealt with by </w:t>
      </w:r>
      <w:r w:rsidR="00724044" w:rsidRPr="00663D05">
        <w:t>increasing the collateral requirements on sellers</w:t>
      </w:r>
      <w:r w:rsidR="00BA4CE1">
        <w:t xml:space="preserve"> and the compensation paid to buyers</w:t>
      </w:r>
      <w:r w:rsidR="00724044">
        <w:t xml:space="preserve">, </w:t>
      </w:r>
      <w:r w:rsidR="00BA4CE1">
        <w:t xml:space="preserve">but </w:t>
      </w:r>
      <w:r>
        <w:t>concluded that this option</w:t>
      </w:r>
      <w:r w:rsidR="00BA4CE1">
        <w:t xml:space="preserve"> would </w:t>
      </w:r>
      <w:r w:rsidR="00724044">
        <w:t xml:space="preserve">not be </w:t>
      </w:r>
      <w:r w:rsidR="00BA4CE1">
        <w:t xml:space="preserve">as </w:t>
      </w:r>
      <w:r w:rsidR="00724044">
        <w:t xml:space="preserve">effective </w:t>
      </w:r>
      <w:r w:rsidR="00BA4CE1">
        <w:t>and could give rise to additional barriers to trade</w:t>
      </w:r>
      <w:r w:rsidR="00724044">
        <w:t xml:space="preserve">. </w:t>
      </w:r>
      <w:r w:rsidR="00EE502F">
        <w:t xml:space="preserve">In this regard, it is worth noting </w:t>
      </w:r>
      <w:r w:rsidR="00724044">
        <w:t>that</w:t>
      </w:r>
      <w:r w:rsidR="00724044" w:rsidRPr="00663D05">
        <w:t xml:space="preserve"> because the GSH is a voluntary market, the trade-offs around the costs and benefits of managing risk need to be considered keeping in mind that participants can bypass the market. The checks and balances need to be rigorous enough to provide confidence in the platform, but not </w:t>
      </w:r>
      <w:r w:rsidR="0024743C">
        <w:t xml:space="preserve">so </w:t>
      </w:r>
      <w:r w:rsidR="00724044" w:rsidRPr="00663D05">
        <w:t xml:space="preserve">costly </w:t>
      </w:r>
      <w:r w:rsidR="0024743C">
        <w:t xml:space="preserve">as to deter </w:t>
      </w:r>
      <w:r w:rsidR="00724044" w:rsidRPr="00663D05">
        <w:t>participation.</w:t>
      </w:r>
    </w:p>
    <w:p w14:paraId="1FC725A1" w14:textId="77777777" w:rsidR="00724044" w:rsidRPr="006748C0" w:rsidRDefault="00724044" w:rsidP="00724044">
      <w:pPr>
        <w:pStyle w:val="Heading3"/>
      </w:pPr>
      <w:r w:rsidRPr="006748C0">
        <w:t>Default under operational GTA</w:t>
      </w:r>
    </w:p>
    <w:p w14:paraId="35FB49AF" w14:textId="77777777" w:rsidR="00724044" w:rsidRPr="00505A67" w:rsidRDefault="00724044" w:rsidP="00505A67">
      <w:pPr>
        <w:pStyle w:val="Heading6"/>
        <w:spacing w:line="252" w:lineRule="auto"/>
        <w:rPr>
          <w:color w:val="0099CC"/>
        </w:rPr>
      </w:pPr>
      <w:r w:rsidRPr="00505A67">
        <w:rPr>
          <w:color w:val="0099CC"/>
        </w:rPr>
        <w:t>Background</w:t>
      </w:r>
      <w:r w:rsidR="00505A67">
        <w:rPr>
          <w:color w:val="0099CC"/>
        </w:rPr>
        <w:t xml:space="preserve"> and GM</w:t>
      </w:r>
      <w:r w:rsidR="00941D91">
        <w:rPr>
          <w:color w:val="0099CC"/>
        </w:rPr>
        <w:t>R</w:t>
      </w:r>
      <w:r w:rsidR="00505A67">
        <w:rPr>
          <w:color w:val="0099CC"/>
        </w:rPr>
        <w:t>G’s preliminary view</w:t>
      </w:r>
    </w:p>
    <w:p w14:paraId="0446A142" w14:textId="77777777" w:rsidR="00505A67" w:rsidRDefault="00505A67" w:rsidP="00505A67">
      <w:pPr>
        <w:pStyle w:val="BodyText"/>
        <w:rPr>
          <w:rFonts w:eastAsiaTheme="minorEastAsia"/>
        </w:rPr>
      </w:pPr>
      <w:r>
        <w:rPr>
          <w:rFonts w:eastAsiaTheme="minorEastAsia"/>
        </w:rPr>
        <w:t xml:space="preserve">If the seller of capacity is a secondary capacity holder that </w:t>
      </w:r>
      <w:r w:rsidRPr="00A95B4F">
        <w:rPr>
          <w:rFonts w:eastAsiaTheme="minorEastAsia"/>
        </w:rPr>
        <w:t xml:space="preserve">defaults on its </w:t>
      </w:r>
      <w:r>
        <w:rPr>
          <w:rFonts w:eastAsiaTheme="minorEastAsia"/>
        </w:rPr>
        <w:t xml:space="preserve">obligations under the operational </w:t>
      </w:r>
      <w:r w:rsidRPr="00A95B4F">
        <w:rPr>
          <w:rFonts w:eastAsiaTheme="minorEastAsia"/>
        </w:rPr>
        <w:t>GTA</w:t>
      </w:r>
      <w:r>
        <w:rPr>
          <w:rFonts w:eastAsiaTheme="minorEastAsia"/>
        </w:rPr>
        <w:t xml:space="preserve">, then the service </w:t>
      </w:r>
      <w:r w:rsidRPr="00A95B4F">
        <w:rPr>
          <w:rFonts w:eastAsiaTheme="minorEastAsia"/>
        </w:rPr>
        <w:t>provider</w:t>
      </w:r>
      <w:r>
        <w:rPr>
          <w:rFonts w:eastAsiaTheme="minorEastAsia"/>
        </w:rPr>
        <w:t xml:space="preserve"> may </w:t>
      </w:r>
      <w:r w:rsidRPr="00A95B4F">
        <w:rPr>
          <w:rFonts w:eastAsiaTheme="minorEastAsia"/>
        </w:rPr>
        <w:t xml:space="preserve">suspend or terminate the </w:t>
      </w:r>
      <w:r>
        <w:rPr>
          <w:rFonts w:eastAsiaTheme="minorEastAsia"/>
        </w:rPr>
        <w:t xml:space="preserve">operational </w:t>
      </w:r>
      <w:r w:rsidRPr="00A95B4F">
        <w:rPr>
          <w:rFonts w:eastAsiaTheme="minorEastAsia"/>
        </w:rPr>
        <w:t>GTA.</w:t>
      </w:r>
      <w:r>
        <w:rPr>
          <w:rFonts w:eastAsiaTheme="minorEastAsia"/>
        </w:rPr>
        <w:t xml:space="preserve"> </w:t>
      </w:r>
    </w:p>
    <w:p w14:paraId="24A51CEC" w14:textId="77777777" w:rsidR="00505A67" w:rsidRDefault="00505A67" w:rsidP="00505A67">
      <w:pPr>
        <w:pStyle w:val="BodyText"/>
        <w:rPr>
          <w:rFonts w:eastAsiaTheme="minorEastAsia"/>
        </w:rPr>
      </w:pPr>
      <w:r>
        <w:rPr>
          <w:rFonts w:eastAsiaTheme="minorEastAsia"/>
        </w:rPr>
        <w:t>This risk was discussed with the Capacity Trading Platform project team, who noted that if default under the operational GTA occurred:</w:t>
      </w:r>
    </w:p>
    <w:p w14:paraId="6D534932" w14:textId="77777777" w:rsidR="00505A67" w:rsidRPr="00095B22" w:rsidRDefault="00505A67" w:rsidP="00505A67">
      <w:pPr>
        <w:pStyle w:val="ListBullet"/>
      </w:pPr>
      <w:r w:rsidRPr="00095B22">
        <w:t xml:space="preserve">after the transfer is </w:t>
      </w:r>
      <w:r>
        <w:t>e</w:t>
      </w:r>
      <w:r w:rsidRPr="00095B22">
        <w:t xml:space="preserve">ffected, </w:t>
      </w:r>
      <w:r>
        <w:t xml:space="preserve">the trade could stay on foot because the </w:t>
      </w:r>
      <w:r w:rsidRPr="00095B22">
        <w:t xml:space="preserve">transfer would give </w:t>
      </w:r>
      <w:r>
        <w:t xml:space="preserve">the buyer </w:t>
      </w:r>
      <w:r w:rsidRPr="00095B22">
        <w:t xml:space="preserve">“good title” </w:t>
      </w:r>
      <w:r>
        <w:t>(</w:t>
      </w:r>
      <w:r w:rsidRPr="00095B22">
        <w:t xml:space="preserve">subject only to </w:t>
      </w:r>
      <w:r>
        <w:t>a default under the primary shipper’s p</w:t>
      </w:r>
      <w:r w:rsidRPr="00095B22">
        <w:t>rimary GTA</w:t>
      </w:r>
      <w:r>
        <w:t>); or</w:t>
      </w:r>
    </w:p>
    <w:p w14:paraId="2F2BFD99" w14:textId="77777777" w:rsidR="00505A67" w:rsidRPr="00095B22" w:rsidRDefault="00505A67" w:rsidP="00505A67">
      <w:pPr>
        <w:pStyle w:val="ListBullet"/>
      </w:pPr>
      <w:proofErr w:type="gramStart"/>
      <w:r w:rsidRPr="00095B22">
        <w:t>before</w:t>
      </w:r>
      <w:proofErr w:type="gramEnd"/>
      <w:r w:rsidRPr="00095B22">
        <w:t xml:space="preserve"> the transfer is effected, the transfer could be </w:t>
      </w:r>
      <w:r>
        <w:t>cancelled and the buyer would receive 25% of the face value of the trade as compensation</w:t>
      </w:r>
      <w:r w:rsidRPr="00095B22">
        <w:t xml:space="preserve">. </w:t>
      </w:r>
    </w:p>
    <w:p w14:paraId="45ACA8EE" w14:textId="77777777" w:rsidR="00724044" w:rsidRDefault="00505A67" w:rsidP="00505A67">
      <w:pPr>
        <w:pStyle w:val="BodyText"/>
      </w:pPr>
      <w:r>
        <w:lastRenderedPageBreak/>
        <w:t>The GMRG did not express a view on either of these options in t</w:t>
      </w:r>
      <w:r w:rsidR="00724044">
        <w:t>he consultation paper</w:t>
      </w:r>
      <w:r>
        <w:t xml:space="preserve">. It instead </w:t>
      </w:r>
      <w:r w:rsidRPr="00DD4133">
        <w:t xml:space="preserve">sought </w:t>
      </w:r>
      <w:r>
        <w:t xml:space="preserve">further </w:t>
      </w:r>
      <w:r w:rsidRPr="00DD4133">
        <w:t xml:space="preserve">feedback </w:t>
      </w:r>
      <w:r>
        <w:t xml:space="preserve">from stakeholders on the approach proposed by the Capacity Trading Platform project team. </w:t>
      </w:r>
    </w:p>
    <w:p w14:paraId="0BD97DD8" w14:textId="77777777" w:rsidR="00724044" w:rsidRPr="00941D91" w:rsidRDefault="00724044" w:rsidP="00941D91">
      <w:pPr>
        <w:pStyle w:val="Heading6"/>
        <w:spacing w:line="252" w:lineRule="auto"/>
        <w:rPr>
          <w:color w:val="0099CC"/>
        </w:rPr>
      </w:pPr>
      <w:r w:rsidRPr="00941D91">
        <w:rPr>
          <w:color w:val="0099CC"/>
        </w:rPr>
        <w:t xml:space="preserve">Feedback provided through the consultation process </w:t>
      </w:r>
    </w:p>
    <w:p w14:paraId="31BD709B" w14:textId="77777777" w:rsidR="00724044" w:rsidRPr="001075B9" w:rsidRDefault="00505A67" w:rsidP="00724044">
      <w:pPr>
        <w:pStyle w:val="BodyText"/>
      </w:pPr>
      <w:r>
        <w:t xml:space="preserve">With the </w:t>
      </w:r>
      <w:r w:rsidR="00724044" w:rsidRPr="00461C5E">
        <w:t>exception of Jemena</w:t>
      </w:r>
      <w:r>
        <w:t xml:space="preserve">, stakeholders agreed with the approach proposed by the Capacity Trading Platform project team to deal with default under an operational GTA both before and after the transfer is affected. </w:t>
      </w:r>
      <w:r w:rsidR="00724044">
        <w:t>Shell</w:t>
      </w:r>
      <w:r>
        <w:t xml:space="preserve">, for example, noted </w:t>
      </w:r>
      <w:r w:rsidR="00724044" w:rsidRPr="00461C5E">
        <w:t xml:space="preserve">that keeping transactions on foot to the extent possible </w:t>
      </w:r>
      <w:r>
        <w:t xml:space="preserve">would provide </w:t>
      </w:r>
      <w:r w:rsidR="00724044" w:rsidRPr="00461C5E">
        <w:t xml:space="preserve">participants </w:t>
      </w:r>
      <w:r>
        <w:t>with more confidence in the market</w:t>
      </w:r>
      <w:r w:rsidR="00724044" w:rsidRPr="00461C5E">
        <w:t>.</w:t>
      </w:r>
      <w:r w:rsidR="00724044">
        <w:t xml:space="preserve"> </w:t>
      </w:r>
      <w:r w:rsidR="00724044" w:rsidRPr="001075B9">
        <w:t>Jemena</w:t>
      </w:r>
      <w:r>
        <w:t xml:space="preserve">, on the other hand, stated that </w:t>
      </w:r>
      <w:r w:rsidR="00724044" w:rsidRPr="001075B9">
        <w:t xml:space="preserve">keeping the transaction on foot </w:t>
      </w:r>
      <w:r>
        <w:t xml:space="preserve">could </w:t>
      </w:r>
      <w:r w:rsidR="00724044" w:rsidRPr="001075B9">
        <w:t xml:space="preserve">have a </w:t>
      </w:r>
      <w:r>
        <w:t>“</w:t>
      </w:r>
      <w:r w:rsidR="00724044" w:rsidRPr="001075B9">
        <w:t>catastrophic</w:t>
      </w:r>
      <w:r>
        <w:t>”</w:t>
      </w:r>
      <w:r w:rsidR="00724044" w:rsidRPr="001075B9">
        <w:t xml:space="preserve"> effect on pipeline operations that may impact the entire market. </w:t>
      </w:r>
      <w:r>
        <w:t xml:space="preserve">Elaborating on this further, Jemena noted that the </w:t>
      </w:r>
      <w:r w:rsidR="00724044" w:rsidRPr="001075B9">
        <w:t xml:space="preserve">breach of </w:t>
      </w:r>
      <w:r>
        <w:t xml:space="preserve">an </w:t>
      </w:r>
      <w:r w:rsidR="00724044" w:rsidRPr="001075B9">
        <w:t xml:space="preserve">operational GTA </w:t>
      </w:r>
      <w:r>
        <w:t xml:space="preserve">could </w:t>
      </w:r>
      <w:r w:rsidR="00724044" w:rsidRPr="001075B9">
        <w:t>be a result of imbalance issues or off spec</w:t>
      </w:r>
      <w:r>
        <w:t>ification</w:t>
      </w:r>
      <w:r w:rsidR="00724044" w:rsidRPr="001075B9">
        <w:t xml:space="preserve"> gas</w:t>
      </w:r>
      <w:r>
        <w:t xml:space="preserve">, which would affect </w:t>
      </w:r>
      <w:r w:rsidR="00724044" w:rsidRPr="001075B9">
        <w:t>all shippers.</w:t>
      </w:r>
      <w:r w:rsidR="00724044">
        <w:t xml:space="preserve"> Jemena </w:t>
      </w:r>
      <w:r>
        <w:t>added</w:t>
      </w:r>
      <w:r w:rsidR="00724044">
        <w:t xml:space="preserve"> that </w:t>
      </w:r>
      <w:r>
        <w:t xml:space="preserve">it thought </w:t>
      </w:r>
      <w:r w:rsidR="00724044">
        <w:t>the proposal</w:t>
      </w:r>
      <w:r w:rsidR="00724044" w:rsidRPr="001075B9">
        <w:t xml:space="preserve"> only covered a shipper </w:t>
      </w:r>
      <w:r>
        <w:t xml:space="preserve">that </w:t>
      </w:r>
      <w:r w:rsidR="00724044" w:rsidRPr="001075B9">
        <w:t>has on sold the capacity in its entirety leaving it with a net zero MDQ.</w:t>
      </w:r>
    </w:p>
    <w:p w14:paraId="4B95B96F" w14:textId="77777777" w:rsidR="00724044" w:rsidRPr="00941D91" w:rsidRDefault="00724044" w:rsidP="00941D91">
      <w:pPr>
        <w:pStyle w:val="Heading6"/>
        <w:spacing w:line="252" w:lineRule="auto"/>
        <w:rPr>
          <w:color w:val="0099CC"/>
        </w:rPr>
      </w:pPr>
      <w:r w:rsidRPr="00941D91">
        <w:rPr>
          <w:color w:val="0099CC"/>
        </w:rPr>
        <w:t xml:space="preserve">GMRG’s final recommendations </w:t>
      </w:r>
    </w:p>
    <w:p w14:paraId="49F7A9F8" w14:textId="77777777" w:rsidR="00724044" w:rsidRDefault="00CE75B2" w:rsidP="00724044">
      <w:pPr>
        <w:pStyle w:val="BodyText"/>
      </w:pPr>
      <w:r>
        <w:t xml:space="preserve">The </w:t>
      </w:r>
      <w:r w:rsidR="00724044">
        <w:t xml:space="preserve">GMRG </w:t>
      </w:r>
      <w:r w:rsidR="00505A67">
        <w:t xml:space="preserve">has considered the feedback provided by stakeholders and for similar reasons to those set out in section </w:t>
      </w:r>
      <w:r w:rsidR="00505A67">
        <w:fldChar w:fldCharType="begin"/>
      </w:r>
      <w:r w:rsidR="00505A67">
        <w:instrText xml:space="preserve"> REF _Ref498490880 \r \h </w:instrText>
      </w:r>
      <w:r w:rsidR="00505A67">
        <w:fldChar w:fldCharType="separate"/>
      </w:r>
      <w:r w:rsidR="00761861">
        <w:t>9.1.1</w:t>
      </w:r>
      <w:r w:rsidR="00505A67">
        <w:fldChar w:fldCharType="end"/>
      </w:r>
      <w:r w:rsidR="00505A67">
        <w:t>, is of the view that the approach proposed by the Capacity Trading Platform project team is a sensible way of dealing with the risk of default under an operational GTA. The GMRG therefore recommends that if the default occurs</w:t>
      </w:r>
      <w:r w:rsidR="00724044">
        <w:t>:</w:t>
      </w:r>
    </w:p>
    <w:p w14:paraId="3D407658" w14:textId="77777777" w:rsidR="00724044" w:rsidRPr="001348D7" w:rsidRDefault="00724044" w:rsidP="00724044">
      <w:pPr>
        <w:pStyle w:val="ListBullet"/>
      </w:pPr>
      <w:r w:rsidRPr="001348D7">
        <w:t>after the transfer is effected</w:t>
      </w:r>
      <w:r w:rsidR="0005669E">
        <w:t>,</w:t>
      </w:r>
      <w:r w:rsidRPr="001348D7">
        <w:t xml:space="preserve"> the trade </w:t>
      </w:r>
      <w:r w:rsidR="00505A67">
        <w:t xml:space="preserve">would </w:t>
      </w:r>
      <w:r w:rsidRPr="001348D7">
        <w:t xml:space="preserve">stay on foot because the transfer would give the buyer “good title” </w:t>
      </w:r>
      <w:r w:rsidR="00505A67">
        <w:t>(</w:t>
      </w:r>
      <w:r w:rsidRPr="001348D7">
        <w:t>subject only to a default under the primary shipper’s primary GTA</w:t>
      </w:r>
      <w:r w:rsidR="00505A67">
        <w:t>)</w:t>
      </w:r>
      <w:r w:rsidRPr="001348D7">
        <w:t>; and</w:t>
      </w:r>
    </w:p>
    <w:p w14:paraId="6D08F358" w14:textId="77777777" w:rsidR="00724044" w:rsidRPr="001348D7" w:rsidRDefault="00724044" w:rsidP="00724044">
      <w:pPr>
        <w:pStyle w:val="ListBullet"/>
      </w:pPr>
      <w:proofErr w:type="gramStart"/>
      <w:r w:rsidRPr="001348D7">
        <w:t>before</w:t>
      </w:r>
      <w:proofErr w:type="gramEnd"/>
      <w:r w:rsidRPr="001348D7">
        <w:t xml:space="preserve"> the transfer is effected, the transfer </w:t>
      </w:r>
      <w:r w:rsidR="00505A67">
        <w:t>would</w:t>
      </w:r>
      <w:r w:rsidRPr="001348D7">
        <w:t xml:space="preserve"> be cancelled and the buyer would receive 25% of the face value of the trade as compensation.</w:t>
      </w:r>
    </w:p>
    <w:p w14:paraId="0B6C6DF5" w14:textId="77777777" w:rsidR="00505A67" w:rsidRDefault="00505A67" w:rsidP="00724044">
      <w:pPr>
        <w:tabs>
          <w:tab w:val="left" w:pos="2268"/>
          <w:tab w:val="left" w:pos="4536"/>
          <w:tab w:val="left" w:pos="6804"/>
          <w:tab w:val="right" w:pos="9638"/>
        </w:tabs>
        <w:spacing w:before="240" w:after="120"/>
      </w:pPr>
      <w:r>
        <w:t xml:space="preserve">In relation to the concerns that Jemena has raised, the </w:t>
      </w:r>
      <w:r w:rsidR="00724044">
        <w:t>GM</w:t>
      </w:r>
      <w:r w:rsidR="00965B4D">
        <w:t>R</w:t>
      </w:r>
      <w:r w:rsidR="00724044">
        <w:t xml:space="preserve">G </w:t>
      </w:r>
      <w:r>
        <w:t xml:space="preserve">notes that the proposed solution will not prevent service providers from suspending or terminating the secondary shipper’s </w:t>
      </w:r>
      <w:r w:rsidR="00724044">
        <w:t xml:space="preserve">operational GTA. </w:t>
      </w:r>
      <w:r>
        <w:t xml:space="preserve">If this occurs, however, the capacity will not revert to the service provider. It will revert to the primary capacity holder. This is an important distinction between this situation and the situation described in section </w:t>
      </w:r>
      <w:r>
        <w:fldChar w:fldCharType="begin"/>
      </w:r>
      <w:r>
        <w:instrText xml:space="preserve"> REF _Ref498490880 \r \h </w:instrText>
      </w:r>
      <w:r>
        <w:fldChar w:fldCharType="separate"/>
      </w:r>
      <w:r w:rsidR="00761861">
        <w:t>9.1.1</w:t>
      </w:r>
      <w:r>
        <w:fldChar w:fldCharType="end"/>
      </w:r>
      <w:r>
        <w:t xml:space="preserve"> and in the GMRG’s view means that if the trade has been effected it should stay on foot. </w:t>
      </w:r>
    </w:p>
    <w:p w14:paraId="59C31490" w14:textId="77777777" w:rsidR="00724044" w:rsidRDefault="00724044" w:rsidP="0013370B">
      <w:pPr>
        <w:pStyle w:val="Heading2"/>
      </w:pPr>
      <w:bookmarkStart w:id="181" w:name="_Toc499542674"/>
      <w:r>
        <w:t>Seller short-sells capacity</w:t>
      </w:r>
      <w:bookmarkEnd w:id="181"/>
    </w:p>
    <w:p w14:paraId="2BF8B9DF" w14:textId="77777777" w:rsidR="00724044" w:rsidRPr="00941D91" w:rsidRDefault="00724044" w:rsidP="00941D91">
      <w:pPr>
        <w:pStyle w:val="Heading6"/>
        <w:spacing w:line="252" w:lineRule="auto"/>
        <w:rPr>
          <w:color w:val="0099CC"/>
        </w:rPr>
      </w:pPr>
      <w:r w:rsidRPr="00941D91">
        <w:rPr>
          <w:color w:val="0099CC"/>
        </w:rPr>
        <w:t>Background</w:t>
      </w:r>
      <w:r w:rsidR="00941D91">
        <w:rPr>
          <w:color w:val="0099CC"/>
        </w:rPr>
        <w:t xml:space="preserve"> and GMRG’s preliminary view</w:t>
      </w:r>
    </w:p>
    <w:p w14:paraId="7FFF6684" w14:textId="77777777" w:rsidR="00724044" w:rsidRDefault="00724044" w:rsidP="00CE75B2">
      <w:pPr>
        <w:pStyle w:val="BodyText"/>
        <w:rPr>
          <w:rFonts w:eastAsiaTheme="minorEastAsia"/>
        </w:rPr>
      </w:pPr>
      <w:r>
        <w:rPr>
          <w:rFonts w:eastAsiaTheme="minorEastAsia"/>
        </w:rPr>
        <w:t xml:space="preserve">Consistent with the GSH arrangements for gas products, the </w:t>
      </w:r>
      <w:r w:rsidRPr="0089070D">
        <w:rPr>
          <w:rFonts w:eastAsiaTheme="minorEastAsia"/>
        </w:rPr>
        <w:t xml:space="preserve">proposed design of the platform does not require </w:t>
      </w:r>
      <w:r w:rsidR="00A72D26">
        <w:rPr>
          <w:rFonts w:eastAsiaTheme="minorEastAsia"/>
        </w:rPr>
        <w:t>trading participant</w:t>
      </w:r>
      <w:r w:rsidRPr="0089070D">
        <w:rPr>
          <w:rFonts w:eastAsiaTheme="minorEastAsia"/>
        </w:rPr>
        <w:t xml:space="preserve">s to provide evidence that they have capacity that can be sold through the exchange. Trading </w:t>
      </w:r>
      <w:r w:rsidR="002D0314">
        <w:rPr>
          <w:rFonts w:eastAsiaTheme="minorEastAsia"/>
        </w:rPr>
        <w:t>p</w:t>
      </w:r>
      <w:r w:rsidRPr="0089070D">
        <w:rPr>
          <w:rFonts w:eastAsiaTheme="minorEastAsia"/>
        </w:rPr>
        <w:t>articipants will instead be required to warrant as a term of each product that they have all necessary rights under agreements with gas trans</w:t>
      </w:r>
      <w:r>
        <w:rPr>
          <w:rFonts w:eastAsiaTheme="minorEastAsia"/>
        </w:rPr>
        <w:t xml:space="preserve">porters to deliver the capacity. </w:t>
      </w:r>
      <w:r w:rsidR="00866564">
        <w:rPr>
          <w:rFonts w:eastAsiaTheme="minorEastAsia"/>
        </w:rPr>
        <w:t xml:space="preserve">There is therefore a </w:t>
      </w:r>
      <w:r>
        <w:rPr>
          <w:rFonts w:eastAsiaTheme="minorEastAsia"/>
        </w:rPr>
        <w:t xml:space="preserve">risk </w:t>
      </w:r>
      <w:r w:rsidR="00866564">
        <w:rPr>
          <w:rFonts w:eastAsiaTheme="minorEastAsia"/>
        </w:rPr>
        <w:t xml:space="preserve">that a seller could sell </w:t>
      </w:r>
      <w:r>
        <w:rPr>
          <w:rFonts w:eastAsiaTheme="minorEastAsia"/>
        </w:rPr>
        <w:t xml:space="preserve">more capacity than </w:t>
      </w:r>
      <w:r w:rsidR="00866564">
        <w:rPr>
          <w:rFonts w:eastAsiaTheme="minorEastAsia"/>
        </w:rPr>
        <w:t xml:space="preserve">it has </w:t>
      </w:r>
      <w:r>
        <w:rPr>
          <w:rFonts w:eastAsiaTheme="minorEastAsia"/>
        </w:rPr>
        <w:t>the right to use</w:t>
      </w:r>
      <w:r w:rsidR="00866564">
        <w:rPr>
          <w:rFonts w:eastAsiaTheme="minorEastAsia"/>
        </w:rPr>
        <w:t>, either deliberately or inadvertently</w:t>
      </w:r>
      <w:r>
        <w:rPr>
          <w:rFonts w:eastAsiaTheme="minorEastAsia"/>
        </w:rPr>
        <w:t>.</w:t>
      </w:r>
    </w:p>
    <w:p w14:paraId="040CD33D" w14:textId="77777777" w:rsidR="00866564" w:rsidRDefault="00866564" w:rsidP="00866564">
      <w:pPr>
        <w:pStyle w:val="BodyText"/>
      </w:pPr>
      <w:r>
        <w:lastRenderedPageBreak/>
        <w:t>This risk was discussed with the project team and while some consideration was given to developing a registry of capacity contracts that could be used by AEMO as part of a pre-trade verification process,</w:t>
      </w:r>
      <w:r>
        <w:rPr>
          <w:rStyle w:val="FootnoteReference"/>
        </w:rPr>
        <w:footnoteReference w:id="88"/>
      </w:r>
      <w:r>
        <w:t xml:space="preserve"> the project team noted that: </w:t>
      </w:r>
    </w:p>
    <w:p w14:paraId="7B10733E" w14:textId="77777777" w:rsidR="00866564" w:rsidRDefault="00866564" w:rsidP="00866564">
      <w:pPr>
        <w:pStyle w:val="ListBullet"/>
      </w:pPr>
      <w:r>
        <w:t>the development and maintenance of such a registry would be a major task because AEMO would need to be provided access to all GTAs (including bilateral trades) and monitor changes in capacity rights across contracts over time; and</w:t>
      </w:r>
    </w:p>
    <w:p w14:paraId="4122188B" w14:textId="77777777" w:rsidR="00866564" w:rsidRDefault="00866564" w:rsidP="00866564">
      <w:pPr>
        <w:pStyle w:val="ListBullet"/>
      </w:pPr>
      <w:proofErr w:type="gramStart"/>
      <w:r>
        <w:t>the</w:t>
      </w:r>
      <w:proofErr w:type="gramEnd"/>
      <w:r>
        <w:t xml:space="preserve"> costs of developing such a registry were likely to outweigh the benefits of preventing short</w:t>
      </w:r>
      <w:r w:rsidR="0005669E">
        <w:t>-</w:t>
      </w:r>
      <w:r>
        <w:t>selling.</w:t>
      </w:r>
    </w:p>
    <w:p w14:paraId="5414729F" w14:textId="77777777" w:rsidR="00724044" w:rsidRPr="001A02C3" w:rsidRDefault="00866564" w:rsidP="00724044">
      <w:pPr>
        <w:pStyle w:val="BodyText"/>
        <w:rPr>
          <w:rFonts w:eastAsiaTheme="minorEastAsia"/>
        </w:rPr>
      </w:pPr>
      <w:r>
        <w:rPr>
          <w:rFonts w:eastAsiaTheme="minorEastAsia"/>
        </w:rPr>
        <w:t>The project team therefore considered other options for dealing with the risk of short-selling. The two options that were identified included</w:t>
      </w:r>
      <w:r w:rsidR="00724044" w:rsidRPr="001A02C3">
        <w:rPr>
          <w:rFonts w:eastAsiaTheme="minorEastAsia"/>
        </w:rPr>
        <w:t>:</w:t>
      </w:r>
    </w:p>
    <w:p w14:paraId="2F7E2DB5" w14:textId="77777777" w:rsidR="00724044" w:rsidRPr="001A02C3" w:rsidRDefault="00724044" w:rsidP="00CF4594">
      <w:pPr>
        <w:pStyle w:val="ListNumber"/>
        <w:numPr>
          <w:ilvl w:val="0"/>
          <w:numId w:val="68"/>
        </w:numPr>
        <w:rPr>
          <w:rFonts w:eastAsiaTheme="minorEastAsia"/>
        </w:rPr>
      </w:pPr>
      <w:r w:rsidRPr="001A02C3">
        <w:rPr>
          <w:rFonts w:eastAsiaTheme="minorEastAsia"/>
        </w:rPr>
        <w:t>Cancelling the trade as soon as the service provider becomes aware that the seller does not have sufficient capacity to sell to give effect to the trade. Under this option, the trade would be cancelled by the transfer cut-off time and the buyer would be compensated for the cancellation.</w:t>
      </w:r>
    </w:p>
    <w:p w14:paraId="16AC3A78" w14:textId="77777777" w:rsidR="00724044" w:rsidRPr="001A02C3" w:rsidRDefault="00724044" w:rsidP="00CF4594">
      <w:pPr>
        <w:pStyle w:val="ListNumber"/>
        <w:numPr>
          <w:ilvl w:val="0"/>
          <w:numId w:val="68"/>
        </w:numPr>
        <w:rPr>
          <w:rFonts w:eastAsiaTheme="minorEastAsia"/>
        </w:rPr>
      </w:pPr>
      <w:r w:rsidRPr="001A02C3">
        <w:rPr>
          <w:rFonts w:eastAsiaTheme="minorEastAsia"/>
        </w:rPr>
        <w:t>Providing the seller a period of time within which to rectify the short position if there is any spare capacity on the pipeline. Under this option, the short seller would have an opportunity to rectify the short position by, for example, purchasing additional capacity through the capacity trading platform or from the service provider, and if it fails to do so the trade would be cancelled and the buyer would be compensated.</w:t>
      </w:r>
    </w:p>
    <w:p w14:paraId="684BCC88" w14:textId="77777777" w:rsidR="00724044" w:rsidRDefault="00F67E07" w:rsidP="00724044">
      <w:pPr>
        <w:pStyle w:val="BodyText"/>
        <w:rPr>
          <w:rFonts w:eastAsiaTheme="minorEastAsia"/>
        </w:rPr>
      </w:pPr>
      <w:r>
        <w:rPr>
          <w:rFonts w:eastAsiaTheme="minorEastAsia"/>
        </w:rPr>
        <w:t>S</w:t>
      </w:r>
      <w:r w:rsidR="00724044" w:rsidRPr="001A02C3">
        <w:rPr>
          <w:rFonts w:eastAsiaTheme="minorEastAsia"/>
        </w:rPr>
        <w:t xml:space="preserve">ome project team members noted </w:t>
      </w:r>
      <w:r>
        <w:rPr>
          <w:rFonts w:eastAsiaTheme="minorEastAsia"/>
        </w:rPr>
        <w:t>that a</w:t>
      </w:r>
      <w:r w:rsidRPr="001A02C3">
        <w:rPr>
          <w:rFonts w:eastAsiaTheme="minorEastAsia"/>
        </w:rPr>
        <w:t xml:space="preserve">nother option </w:t>
      </w:r>
      <w:r>
        <w:rPr>
          <w:rFonts w:eastAsiaTheme="minorEastAsia"/>
        </w:rPr>
        <w:t xml:space="preserve">that </w:t>
      </w:r>
      <w:r w:rsidR="00724044" w:rsidRPr="001A02C3">
        <w:rPr>
          <w:rFonts w:eastAsiaTheme="minorEastAsia"/>
        </w:rPr>
        <w:t xml:space="preserve">could be used if financial players are to be encouraged to participate in the market is for participants to enter into an arrangement with a service provider ahead of time to obtain firm capacity up to a specified level if they end up with a short position (in effect, a call option). </w:t>
      </w:r>
    </w:p>
    <w:p w14:paraId="3EF26D6D" w14:textId="77777777" w:rsidR="00866564" w:rsidRDefault="00866564" w:rsidP="00866564">
      <w:pPr>
        <w:pStyle w:val="BodyText"/>
        <w:rPr>
          <w:rFonts w:eastAsiaTheme="minorEastAsia"/>
        </w:rPr>
      </w:pPr>
      <w:r>
        <w:rPr>
          <w:rFonts w:eastAsiaTheme="minorEastAsia"/>
        </w:rPr>
        <w:t xml:space="preserve">The GMRG did not come to a view on these options in the consultation paper. </w:t>
      </w:r>
      <w:r w:rsidR="00FF5932">
        <w:rPr>
          <w:rFonts w:eastAsiaTheme="minorEastAsia"/>
        </w:rPr>
        <w:t xml:space="preserve">It instead sought </w:t>
      </w:r>
      <w:r w:rsidR="00F67E07">
        <w:rPr>
          <w:rFonts w:eastAsiaTheme="minorEastAsia"/>
        </w:rPr>
        <w:t xml:space="preserve">feedback </w:t>
      </w:r>
      <w:r w:rsidR="00FF5932">
        <w:rPr>
          <w:rFonts w:eastAsiaTheme="minorEastAsia"/>
        </w:rPr>
        <w:t xml:space="preserve">from stakeholders </w:t>
      </w:r>
      <w:r w:rsidR="00724044">
        <w:rPr>
          <w:rFonts w:eastAsiaTheme="minorEastAsia"/>
        </w:rPr>
        <w:t xml:space="preserve">on whether </w:t>
      </w:r>
      <w:r>
        <w:rPr>
          <w:rFonts w:eastAsiaTheme="minorEastAsia"/>
        </w:rPr>
        <w:t xml:space="preserve">there was value in developing </w:t>
      </w:r>
      <w:r w:rsidR="00724044">
        <w:rPr>
          <w:rFonts w:eastAsiaTheme="minorEastAsia"/>
        </w:rPr>
        <w:t xml:space="preserve">a register </w:t>
      </w:r>
      <w:r>
        <w:rPr>
          <w:rFonts w:eastAsiaTheme="minorEastAsia"/>
        </w:rPr>
        <w:t xml:space="preserve">of capacity contracts </w:t>
      </w:r>
      <w:r w:rsidR="00724044">
        <w:rPr>
          <w:rFonts w:eastAsiaTheme="minorEastAsia"/>
        </w:rPr>
        <w:t>and</w:t>
      </w:r>
      <w:r>
        <w:rPr>
          <w:rFonts w:eastAsiaTheme="minorEastAsia"/>
        </w:rPr>
        <w:t>,</w:t>
      </w:r>
      <w:r w:rsidR="00724044">
        <w:rPr>
          <w:rFonts w:eastAsiaTheme="minorEastAsia"/>
        </w:rPr>
        <w:t xml:space="preserve"> if not</w:t>
      </w:r>
      <w:r>
        <w:rPr>
          <w:rFonts w:eastAsiaTheme="minorEastAsia"/>
        </w:rPr>
        <w:t xml:space="preserve">, </w:t>
      </w:r>
      <w:r w:rsidR="00724044">
        <w:rPr>
          <w:rFonts w:eastAsiaTheme="minorEastAsia"/>
        </w:rPr>
        <w:t xml:space="preserve">the options </w:t>
      </w:r>
      <w:r>
        <w:rPr>
          <w:rFonts w:eastAsiaTheme="minorEastAsia"/>
        </w:rPr>
        <w:t xml:space="preserve">that should be used to </w:t>
      </w:r>
      <w:r w:rsidR="00724044">
        <w:rPr>
          <w:rFonts w:eastAsiaTheme="minorEastAsia"/>
        </w:rPr>
        <w:t xml:space="preserve">address the </w:t>
      </w:r>
      <w:r>
        <w:rPr>
          <w:rFonts w:eastAsiaTheme="minorEastAsia"/>
        </w:rPr>
        <w:t xml:space="preserve">risk </w:t>
      </w:r>
      <w:r w:rsidR="00724044">
        <w:rPr>
          <w:rFonts w:eastAsiaTheme="minorEastAsia"/>
        </w:rPr>
        <w:t>of short-selling</w:t>
      </w:r>
      <w:r>
        <w:rPr>
          <w:rFonts w:eastAsiaTheme="minorEastAsia"/>
        </w:rPr>
        <w:t xml:space="preserve"> and what should occur if the short-sale cannot be rectified. </w:t>
      </w:r>
    </w:p>
    <w:p w14:paraId="755CB746" w14:textId="77777777" w:rsidR="00724044" w:rsidRPr="00941D91" w:rsidRDefault="00724044" w:rsidP="00941D91">
      <w:pPr>
        <w:pStyle w:val="Heading6"/>
        <w:spacing w:line="252" w:lineRule="auto"/>
        <w:rPr>
          <w:color w:val="0099CC"/>
        </w:rPr>
      </w:pPr>
      <w:r w:rsidRPr="00941D91">
        <w:rPr>
          <w:color w:val="0099CC"/>
        </w:rPr>
        <w:t xml:space="preserve">Feedback provided through the consultation process </w:t>
      </w:r>
    </w:p>
    <w:p w14:paraId="00EFFFFB" w14:textId="23128CDA" w:rsidR="00724044" w:rsidRPr="00CE4D49" w:rsidRDefault="002F7E81" w:rsidP="000E51DF">
      <w:pPr>
        <w:pStyle w:val="BodyText"/>
        <w:rPr>
          <w:rFonts w:eastAsiaTheme="minorEastAsia"/>
        </w:rPr>
      </w:pPr>
      <w:r>
        <w:rPr>
          <w:rFonts w:eastAsiaTheme="minorEastAsia"/>
        </w:rPr>
        <w:t xml:space="preserve">There was broad agreement among stakeholders that the </w:t>
      </w:r>
      <w:r w:rsidR="00724044" w:rsidRPr="00CE4D49">
        <w:rPr>
          <w:rFonts w:eastAsiaTheme="minorEastAsia"/>
        </w:rPr>
        <w:t>costs of establishing and maintaining a capacity registry to prevent short-selling would outweigh the benefits</w:t>
      </w:r>
      <w:r w:rsidR="000E51DF">
        <w:rPr>
          <w:rFonts w:eastAsiaTheme="minorEastAsia"/>
        </w:rPr>
        <w:t xml:space="preserve"> and that the risk of short-selling should be managed in the same way as trades through the GSH</w:t>
      </w:r>
      <w:r w:rsidR="00724044" w:rsidRPr="00CE4D49">
        <w:rPr>
          <w:rFonts w:eastAsiaTheme="minorEastAsia"/>
        </w:rPr>
        <w:t>.</w:t>
      </w:r>
      <w:r w:rsidR="00724044">
        <w:rPr>
          <w:rFonts w:eastAsiaTheme="minorEastAsia"/>
        </w:rPr>
        <w:t xml:space="preserve"> </w:t>
      </w:r>
      <w:r w:rsidR="000E51DF">
        <w:rPr>
          <w:rFonts w:eastAsiaTheme="minorEastAsia"/>
        </w:rPr>
        <w:t xml:space="preserve">A number of </w:t>
      </w:r>
      <w:r>
        <w:rPr>
          <w:rFonts w:eastAsiaTheme="minorEastAsia"/>
        </w:rPr>
        <w:t xml:space="preserve">stakeholders noted </w:t>
      </w:r>
      <w:r w:rsidR="00724044">
        <w:rPr>
          <w:rFonts w:eastAsiaTheme="minorEastAsia"/>
        </w:rPr>
        <w:t>that t</w:t>
      </w:r>
      <w:r w:rsidR="00724044" w:rsidRPr="001B2914">
        <w:rPr>
          <w:rFonts w:eastAsiaTheme="minorEastAsia"/>
        </w:rPr>
        <w:t xml:space="preserve">he </w:t>
      </w:r>
      <w:r w:rsidR="006F5E29">
        <w:rPr>
          <w:rFonts w:eastAsiaTheme="minorEastAsia"/>
        </w:rPr>
        <w:t xml:space="preserve">registration process in the GSH, the </w:t>
      </w:r>
      <w:r w:rsidR="000E51DF">
        <w:rPr>
          <w:rFonts w:eastAsiaTheme="minorEastAsia"/>
        </w:rPr>
        <w:t xml:space="preserve">market conduct rules </w:t>
      </w:r>
      <w:r w:rsidR="00724044" w:rsidRPr="001B2914">
        <w:rPr>
          <w:rFonts w:eastAsiaTheme="minorEastAsia"/>
        </w:rPr>
        <w:t xml:space="preserve">and other prudential controls </w:t>
      </w:r>
      <w:r w:rsidR="000E51DF">
        <w:rPr>
          <w:rFonts w:eastAsiaTheme="minorEastAsia"/>
        </w:rPr>
        <w:t xml:space="preserve">in the GSH </w:t>
      </w:r>
      <w:r w:rsidR="00724044" w:rsidRPr="001B2914">
        <w:rPr>
          <w:rFonts w:eastAsiaTheme="minorEastAsia"/>
        </w:rPr>
        <w:t>should prevent or discourage an</w:t>
      </w:r>
      <w:r w:rsidR="000E51DF">
        <w:rPr>
          <w:rFonts w:eastAsiaTheme="minorEastAsia"/>
        </w:rPr>
        <w:t>y uncovered speculative trading</w:t>
      </w:r>
      <w:r w:rsidR="00724044" w:rsidRPr="001B2914">
        <w:rPr>
          <w:rFonts w:eastAsiaTheme="minorEastAsia"/>
        </w:rPr>
        <w:t xml:space="preserve"> from occurrin</w:t>
      </w:r>
      <w:r w:rsidR="00724044">
        <w:rPr>
          <w:rFonts w:eastAsiaTheme="minorEastAsia"/>
        </w:rPr>
        <w:t>g</w:t>
      </w:r>
      <w:r w:rsidR="000E51DF">
        <w:rPr>
          <w:rFonts w:eastAsiaTheme="minorEastAsia"/>
        </w:rPr>
        <w:t xml:space="preserve"> and that the risk of </w:t>
      </w:r>
      <w:r w:rsidR="00724044" w:rsidRPr="00B51E10">
        <w:rPr>
          <w:rFonts w:eastAsiaTheme="minorEastAsia"/>
        </w:rPr>
        <w:t xml:space="preserve">short-selling </w:t>
      </w:r>
      <w:r w:rsidR="000E51DF">
        <w:rPr>
          <w:rFonts w:eastAsiaTheme="minorEastAsia"/>
        </w:rPr>
        <w:t>occurring was therefore relatively low</w:t>
      </w:r>
      <w:r w:rsidR="00724044" w:rsidRPr="00B51E10">
        <w:rPr>
          <w:rFonts w:eastAsiaTheme="minorEastAsia"/>
        </w:rPr>
        <w:t>.</w:t>
      </w:r>
      <w:r w:rsidR="000E51DF">
        <w:rPr>
          <w:rFonts w:eastAsiaTheme="minorEastAsia"/>
        </w:rPr>
        <w:t xml:space="preserve"> APGA and a</w:t>
      </w:r>
      <w:r w:rsidR="00724044">
        <w:rPr>
          <w:rFonts w:eastAsiaTheme="minorEastAsia"/>
        </w:rPr>
        <w:t xml:space="preserve"> number of service providers</w:t>
      </w:r>
      <w:r w:rsidR="000E51DF">
        <w:rPr>
          <w:rFonts w:eastAsiaTheme="minorEastAsia"/>
        </w:rPr>
        <w:t xml:space="preserve"> did, however, note that if short-selling did occur </w:t>
      </w:r>
      <w:r w:rsidR="00FF5932">
        <w:rPr>
          <w:rFonts w:eastAsiaTheme="minorEastAsia"/>
        </w:rPr>
        <w:t>service providers</w:t>
      </w:r>
      <w:r w:rsidR="000E51DF">
        <w:rPr>
          <w:rFonts w:eastAsiaTheme="minorEastAsia"/>
        </w:rPr>
        <w:t xml:space="preserve"> should have the ability to </w:t>
      </w:r>
      <w:r w:rsidR="00724044" w:rsidRPr="001B2914">
        <w:rPr>
          <w:rFonts w:eastAsiaTheme="minorEastAsia"/>
        </w:rPr>
        <w:t xml:space="preserve">refuse to honour </w:t>
      </w:r>
      <w:r w:rsidR="000E51DF">
        <w:rPr>
          <w:rFonts w:eastAsiaTheme="minorEastAsia"/>
        </w:rPr>
        <w:t xml:space="preserve">those </w:t>
      </w:r>
      <w:r w:rsidR="00724044" w:rsidRPr="001B2914">
        <w:rPr>
          <w:rFonts w:eastAsiaTheme="minorEastAsia"/>
        </w:rPr>
        <w:t>trades.</w:t>
      </w:r>
      <w:r w:rsidR="00724044" w:rsidRPr="00BB2E2B">
        <w:rPr>
          <w:rFonts w:eastAsiaTheme="minorEastAsia"/>
        </w:rPr>
        <w:t xml:space="preserve"> </w:t>
      </w:r>
    </w:p>
    <w:p w14:paraId="123BE3ED" w14:textId="77777777" w:rsidR="00724044" w:rsidRPr="00B749A3" w:rsidRDefault="000E51DF" w:rsidP="000E51DF">
      <w:pPr>
        <w:pStyle w:val="BodyText"/>
        <w:rPr>
          <w:rFonts w:eastAsiaTheme="minorEastAsia"/>
        </w:rPr>
      </w:pPr>
      <w:r>
        <w:rPr>
          <w:rFonts w:eastAsiaTheme="minorEastAsia"/>
        </w:rPr>
        <w:t xml:space="preserve">As to </w:t>
      </w:r>
      <w:r w:rsidR="00724044">
        <w:rPr>
          <w:rFonts w:eastAsiaTheme="minorEastAsia"/>
        </w:rPr>
        <w:t xml:space="preserve">the options </w:t>
      </w:r>
      <w:r>
        <w:rPr>
          <w:rFonts w:eastAsiaTheme="minorEastAsia"/>
        </w:rPr>
        <w:t xml:space="preserve">that could be used to </w:t>
      </w:r>
      <w:r w:rsidR="00724044">
        <w:rPr>
          <w:rFonts w:eastAsiaTheme="minorEastAsia"/>
        </w:rPr>
        <w:t>manage short</w:t>
      </w:r>
      <w:r w:rsidR="0005669E">
        <w:rPr>
          <w:rFonts w:eastAsiaTheme="minorEastAsia"/>
        </w:rPr>
        <w:t>-</w:t>
      </w:r>
      <w:r w:rsidR="00724044">
        <w:rPr>
          <w:rFonts w:eastAsiaTheme="minorEastAsia"/>
        </w:rPr>
        <w:t>selling, a</w:t>
      </w:r>
      <w:r w:rsidR="00724044" w:rsidRPr="00B749A3">
        <w:rPr>
          <w:rFonts w:eastAsiaTheme="minorEastAsia"/>
        </w:rPr>
        <w:t xml:space="preserve"> number of participants </w:t>
      </w:r>
      <w:r w:rsidR="00F67E07">
        <w:rPr>
          <w:rFonts w:eastAsiaTheme="minorEastAsia"/>
        </w:rPr>
        <w:t>were of the view</w:t>
      </w:r>
      <w:r w:rsidR="00F67E07" w:rsidRPr="00B749A3">
        <w:rPr>
          <w:rFonts w:eastAsiaTheme="minorEastAsia"/>
        </w:rPr>
        <w:t xml:space="preserve"> </w:t>
      </w:r>
      <w:r w:rsidR="00724044" w:rsidRPr="00B749A3">
        <w:rPr>
          <w:rFonts w:eastAsiaTheme="minorEastAsia"/>
        </w:rPr>
        <w:t>that the trade should be immediately cancelled</w:t>
      </w:r>
      <w:r>
        <w:rPr>
          <w:rFonts w:eastAsiaTheme="minorEastAsia"/>
        </w:rPr>
        <w:t xml:space="preserve"> (</w:t>
      </w:r>
      <w:r w:rsidR="00724044" w:rsidRPr="00B749A3">
        <w:rPr>
          <w:rFonts w:eastAsiaTheme="minorEastAsia"/>
        </w:rPr>
        <w:t xml:space="preserve">AGL, </w:t>
      </w:r>
      <w:r>
        <w:rPr>
          <w:rFonts w:eastAsiaTheme="minorEastAsia"/>
        </w:rPr>
        <w:t xml:space="preserve">Epic, </w:t>
      </w:r>
      <w:r w:rsidR="00724044" w:rsidRPr="00B749A3">
        <w:rPr>
          <w:rFonts w:eastAsiaTheme="minorEastAsia"/>
        </w:rPr>
        <w:t>APA</w:t>
      </w:r>
      <w:r>
        <w:rPr>
          <w:rFonts w:eastAsiaTheme="minorEastAsia"/>
        </w:rPr>
        <w:t xml:space="preserve"> and Stanwell)</w:t>
      </w:r>
      <w:r w:rsidR="00724044" w:rsidRPr="00B749A3">
        <w:rPr>
          <w:rFonts w:eastAsiaTheme="minorEastAsia"/>
        </w:rPr>
        <w:t>.</w:t>
      </w:r>
      <w:r>
        <w:rPr>
          <w:rFonts w:eastAsiaTheme="minorEastAsia"/>
        </w:rPr>
        <w:t xml:space="preserve"> Shell, on the other hand, </w:t>
      </w:r>
      <w:r w:rsidR="00724044" w:rsidRPr="00B749A3">
        <w:rPr>
          <w:rFonts w:eastAsiaTheme="minorEastAsia"/>
        </w:rPr>
        <w:t xml:space="preserve">did not </w:t>
      </w:r>
      <w:r w:rsidR="00F67E07">
        <w:rPr>
          <w:rFonts w:eastAsiaTheme="minorEastAsia"/>
        </w:rPr>
        <w:t xml:space="preserve">consider </w:t>
      </w:r>
      <w:r>
        <w:rPr>
          <w:rFonts w:eastAsiaTheme="minorEastAsia"/>
        </w:rPr>
        <w:t xml:space="preserve">this the most </w:t>
      </w:r>
      <w:r w:rsidR="00724044" w:rsidRPr="00B749A3">
        <w:rPr>
          <w:rFonts w:eastAsiaTheme="minorEastAsia"/>
        </w:rPr>
        <w:t xml:space="preserve">effective option to </w:t>
      </w:r>
      <w:r>
        <w:rPr>
          <w:rFonts w:eastAsiaTheme="minorEastAsia"/>
        </w:rPr>
        <w:t xml:space="preserve">deal with </w:t>
      </w:r>
      <w:r w:rsidR="00724044" w:rsidRPr="00B749A3">
        <w:rPr>
          <w:rFonts w:eastAsiaTheme="minorEastAsia"/>
        </w:rPr>
        <w:t xml:space="preserve">short-selling </w:t>
      </w:r>
      <w:r>
        <w:rPr>
          <w:rFonts w:eastAsiaTheme="minorEastAsia"/>
        </w:rPr>
        <w:t xml:space="preserve">that occurs due to </w:t>
      </w:r>
      <w:r w:rsidR="00724044" w:rsidRPr="00B749A3">
        <w:rPr>
          <w:rFonts w:eastAsiaTheme="minorEastAsia"/>
        </w:rPr>
        <w:t xml:space="preserve">genuine errors. </w:t>
      </w:r>
      <w:r w:rsidR="004554BE">
        <w:rPr>
          <w:rFonts w:eastAsiaTheme="minorEastAsia"/>
        </w:rPr>
        <w:t xml:space="preserve">Shell’s </w:t>
      </w:r>
      <w:r w:rsidR="00724044" w:rsidRPr="00B749A3">
        <w:rPr>
          <w:rFonts w:eastAsiaTheme="minorEastAsia"/>
        </w:rPr>
        <w:t xml:space="preserve">preference </w:t>
      </w:r>
      <w:r w:rsidR="004554BE">
        <w:rPr>
          <w:rFonts w:eastAsiaTheme="minorEastAsia"/>
        </w:rPr>
        <w:t xml:space="preserve">was </w:t>
      </w:r>
      <w:r w:rsidR="00724044" w:rsidRPr="00B749A3">
        <w:rPr>
          <w:rFonts w:eastAsiaTheme="minorEastAsia"/>
        </w:rPr>
        <w:t xml:space="preserve">that the trade </w:t>
      </w:r>
      <w:r w:rsidR="00724044" w:rsidRPr="00B749A3">
        <w:rPr>
          <w:rFonts w:eastAsiaTheme="minorEastAsia"/>
        </w:rPr>
        <w:lastRenderedPageBreak/>
        <w:t xml:space="preserve">remain on foot and the seller provided the opportunity to source the required capacity either through the </w:t>
      </w:r>
      <w:r w:rsidR="004554BE">
        <w:rPr>
          <w:rFonts w:eastAsiaTheme="minorEastAsia"/>
        </w:rPr>
        <w:t xml:space="preserve">capacity trading platform </w:t>
      </w:r>
      <w:r w:rsidR="00724044" w:rsidRPr="00B749A3">
        <w:rPr>
          <w:rFonts w:eastAsiaTheme="minorEastAsia"/>
        </w:rPr>
        <w:t xml:space="preserve">or other means. </w:t>
      </w:r>
      <w:r w:rsidR="004554BE">
        <w:rPr>
          <w:rFonts w:eastAsiaTheme="minorEastAsia"/>
        </w:rPr>
        <w:t xml:space="preserve">Shell went on to add that the time </w:t>
      </w:r>
      <w:r w:rsidR="00F67E07">
        <w:rPr>
          <w:rFonts w:eastAsiaTheme="minorEastAsia"/>
        </w:rPr>
        <w:t>available</w:t>
      </w:r>
      <w:r w:rsidR="004554BE">
        <w:rPr>
          <w:rFonts w:eastAsiaTheme="minorEastAsia"/>
        </w:rPr>
        <w:t xml:space="preserve"> to rectify the issue </w:t>
      </w:r>
      <w:r w:rsidR="00724044" w:rsidRPr="00B749A3">
        <w:rPr>
          <w:rFonts w:eastAsiaTheme="minorEastAsia"/>
        </w:rPr>
        <w:t>should relate to how close the deal is to closing</w:t>
      </w:r>
      <w:r w:rsidR="004554BE">
        <w:rPr>
          <w:rFonts w:eastAsiaTheme="minorEastAsia"/>
        </w:rPr>
        <w:t xml:space="preserve"> and suggested that for day-ahead products, sellers should only have </w:t>
      </w:r>
      <w:r w:rsidR="00724044" w:rsidRPr="00B749A3">
        <w:rPr>
          <w:rFonts w:eastAsiaTheme="minorEastAsia"/>
        </w:rPr>
        <w:t xml:space="preserve">30 </w:t>
      </w:r>
      <w:r w:rsidR="004554BE">
        <w:rPr>
          <w:rFonts w:eastAsiaTheme="minorEastAsia"/>
        </w:rPr>
        <w:t xml:space="preserve">- </w:t>
      </w:r>
      <w:r w:rsidR="00724044" w:rsidRPr="00B749A3">
        <w:rPr>
          <w:rFonts w:eastAsiaTheme="minorEastAsia"/>
        </w:rPr>
        <w:t>60 minutes</w:t>
      </w:r>
      <w:r w:rsidR="004554BE">
        <w:rPr>
          <w:rFonts w:eastAsiaTheme="minorEastAsia"/>
        </w:rPr>
        <w:t xml:space="preserve">, but if the trade is not due to commence for </w:t>
      </w:r>
      <w:r w:rsidR="00724044" w:rsidRPr="00B749A3">
        <w:rPr>
          <w:rFonts w:eastAsiaTheme="minorEastAsia"/>
        </w:rPr>
        <w:t xml:space="preserve">a number of days the </w:t>
      </w:r>
      <w:r w:rsidR="004554BE">
        <w:rPr>
          <w:rFonts w:eastAsiaTheme="minorEastAsia"/>
        </w:rPr>
        <w:t xml:space="preserve">seller should have </w:t>
      </w:r>
      <w:r w:rsidR="00724044" w:rsidRPr="00B749A3">
        <w:rPr>
          <w:rFonts w:eastAsiaTheme="minorEastAsia"/>
        </w:rPr>
        <w:t>24 hours</w:t>
      </w:r>
      <w:r w:rsidR="004554BE">
        <w:rPr>
          <w:rFonts w:eastAsiaTheme="minorEastAsia"/>
        </w:rPr>
        <w:t xml:space="preserve"> to rectify the position</w:t>
      </w:r>
      <w:r w:rsidR="00724044" w:rsidRPr="00B749A3">
        <w:rPr>
          <w:rFonts w:eastAsiaTheme="minorEastAsia"/>
        </w:rPr>
        <w:t xml:space="preserve">. APLNG also </w:t>
      </w:r>
      <w:r w:rsidR="00F67E07">
        <w:rPr>
          <w:rFonts w:eastAsiaTheme="minorEastAsia"/>
        </w:rPr>
        <w:t>suggested that</w:t>
      </w:r>
      <w:r w:rsidR="00F67E07" w:rsidRPr="00B749A3">
        <w:rPr>
          <w:rFonts w:eastAsiaTheme="minorEastAsia"/>
        </w:rPr>
        <w:t xml:space="preserve"> </w:t>
      </w:r>
      <w:r w:rsidR="00724044" w:rsidRPr="00B749A3">
        <w:rPr>
          <w:rFonts w:eastAsiaTheme="minorEastAsia"/>
        </w:rPr>
        <w:t xml:space="preserve">the seller should </w:t>
      </w:r>
      <w:r w:rsidR="004554BE">
        <w:rPr>
          <w:rFonts w:eastAsiaTheme="minorEastAsia"/>
        </w:rPr>
        <w:t xml:space="preserve">have a </w:t>
      </w:r>
      <w:r w:rsidR="00724044" w:rsidRPr="00B749A3">
        <w:rPr>
          <w:rFonts w:eastAsiaTheme="minorEastAsia"/>
        </w:rPr>
        <w:t xml:space="preserve">period of time to rectify </w:t>
      </w:r>
      <w:r w:rsidR="004554BE">
        <w:rPr>
          <w:rFonts w:eastAsiaTheme="minorEastAsia"/>
        </w:rPr>
        <w:t>the short-sale and suggested a three business day window</w:t>
      </w:r>
      <w:r w:rsidR="00724044" w:rsidRPr="00B749A3">
        <w:rPr>
          <w:rFonts w:eastAsiaTheme="minorEastAsia"/>
        </w:rPr>
        <w:t>.</w:t>
      </w:r>
    </w:p>
    <w:p w14:paraId="1EA3C73A" w14:textId="77777777" w:rsidR="005105D7" w:rsidRPr="00B749A3" w:rsidRDefault="005105D7" w:rsidP="005105D7">
      <w:pPr>
        <w:pStyle w:val="BodyText"/>
        <w:rPr>
          <w:rFonts w:eastAsiaTheme="minorEastAsia"/>
        </w:rPr>
      </w:pPr>
      <w:r w:rsidRPr="00B749A3">
        <w:rPr>
          <w:rFonts w:eastAsiaTheme="minorEastAsia"/>
        </w:rPr>
        <w:t>Jemena</w:t>
      </w:r>
      <w:r>
        <w:rPr>
          <w:rFonts w:eastAsiaTheme="minorEastAsia"/>
        </w:rPr>
        <w:t xml:space="preserve">, on the other hand, stated that in the case of day-ahead </w:t>
      </w:r>
      <w:r w:rsidRPr="00B749A3">
        <w:rPr>
          <w:rFonts w:eastAsiaTheme="minorEastAsia"/>
        </w:rPr>
        <w:t xml:space="preserve">trades there </w:t>
      </w:r>
      <w:r>
        <w:rPr>
          <w:rFonts w:eastAsiaTheme="minorEastAsia"/>
        </w:rPr>
        <w:t xml:space="preserve">would </w:t>
      </w:r>
      <w:r w:rsidRPr="00B749A3">
        <w:rPr>
          <w:rFonts w:eastAsiaTheme="minorEastAsia"/>
        </w:rPr>
        <w:t>be no time for a shipper to rectify the shortfall</w:t>
      </w:r>
      <w:r>
        <w:rPr>
          <w:rFonts w:eastAsiaTheme="minorEastAsia"/>
        </w:rPr>
        <w:t xml:space="preserve"> and added that a </w:t>
      </w:r>
      <w:r w:rsidRPr="00B749A3">
        <w:rPr>
          <w:rFonts w:eastAsiaTheme="minorEastAsia"/>
        </w:rPr>
        <w:t xml:space="preserve">service provider cannot delay scheduling to permit a seller to find additional capacity. </w:t>
      </w:r>
      <w:r>
        <w:rPr>
          <w:rFonts w:eastAsiaTheme="minorEastAsia"/>
        </w:rPr>
        <w:t>Jemena went on to note that t</w:t>
      </w:r>
      <w:r w:rsidRPr="00B749A3">
        <w:rPr>
          <w:rFonts w:eastAsiaTheme="minorEastAsia"/>
        </w:rPr>
        <w:t xml:space="preserve">here needs to be a consistent approach to dealing with trades to ensure </w:t>
      </w:r>
      <w:r>
        <w:rPr>
          <w:rFonts w:eastAsiaTheme="minorEastAsia"/>
        </w:rPr>
        <w:t xml:space="preserve">there is no </w:t>
      </w:r>
      <w:r w:rsidRPr="00B749A3">
        <w:rPr>
          <w:rFonts w:eastAsiaTheme="minorEastAsia"/>
        </w:rPr>
        <w:t>confusion</w:t>
      </w:r>
      <w:r>
        <w:rPr>
          <w:rFonts w:eastAsiaTheme="minorEastAsia"/>
        </w:rPr>
        <w:t xml:space="preserve"> and was of the view that trades should be cancelled immediately. </w:t>
      </w:r>
    </w:p>
    <w:p w14:paraId="0C1ED008" w14:textId="77777777" w:rsidR="00724044" w:rsidRPr="00B749A3" w:rsidRDefault="00724044" w:rsidP="00CE75B2">
      <w:pPr>
        <w:pStyle w:val="BodyText"/>
        <w:rPr>
          <w:rFonts w:eastAsiaTheme="minorEastAsia"/>
        </w:rPr>
      </w:pPr>
      <w:r w:rsidRPr="00B749A3">
        <w:rPr>
          <w:rFonts w:eastAsiaTheme="minorEastAsia"/>
        </w:rPr>
        <w:t xml:space="preserve">Stanwell and Shell </w:t>
      </w:r>
      <w:r w:rsidR="004554BE">
        <w:rPr>
          <w:rFonts w:eastAsiaTheme="minorEastAsia"/>
        </w:rPr>
        <w:t xml:space="preserve">also noted the potential for </w:t>
      </w:r>
      <w:r w:rsidRPr="00B749A3">
        <w:rPr>
          <w:rFonts w:eastAsiaTheme="minorEastAsia"/>
        </w:rPr>
        <w:t xml:space="preserve">sellers </w:t>
      </w:r>
      <w:r w:rsidR="004554BE">
        <w:rPr>
          <w:rFonts w:eastAsiaTheme="minorEastAsia"/>
        </w:rPr>
        <w:t xml:space="preserve">that are interested in having a </w:t>
      </w:r>
      <w:r w:rsidRPr="00B749A3">
        <w:rPr>
          <w:rFonts w:eastAsiaTheme="minorEastAsia"/>
        </w:rPr>
        <w:t xml:space="preserve">“short position” </w:t>
      </w:r>
      <w:r w:rsidR="004554BE">
        <w:rPr>
          <w:rFonts w:eastAsiaTheme="minorEastAsia"/>
        </w:rPr>
        <w:t xml:space="preserve">to enter into a separate </w:t>
      </w:r>
      <w:r w:rsidRPr="00B749A3">
        <w:rPr>
          <w:rFonts w:eastAsiaTheme="minorEastAsia"/>
        </w:rPr>
        <w:t>contract with a pipeline to cover them in such circumstances</w:t>
      </w:r>
      <w:r w:rsidR="004554BE">
        <w:rPr>
          <w:rFonts w:eastAsiaTheme="minorEastAsia"/>
        </w:rPr>
        <w:t xml:space="preserve"> (e.g. the seller could </w:t>
      </w:r>
      <w:r w:rsidR="00F67E07">
        <w:rPr>
          <w:rFonts w:eastAsiaTheme="minorEastAsia"/>
        </w:rPr>
        <w:t xml:space="preserve">enter </w:t>
      </w:r>
      <w:r w:rsidRPr="00B749A3">
        <w:rPr>
          <w:rFonts w:eastAsiaTheme="minorEastAsia"/>
        </w:rPr>
        <w:t>into an agreement with the service provider to provide capacity at a set price when required</w:t>
      </w:r>
      <w:r w:rsidR="004554BE">
        <w:rPr>
          <w:rFonts w:eastAsiaTheme="minorEastAsia"/>
        </w:rPr>
        <w:t xml:space="preserve">). </w:t>
      </w:r>
      <w:r w:rsidRPr="00B749A3">
        <w:rPr>
          <w:rFonts w:eastAsiaTheme="minorEastAsia"/>
        </w:rPr>
        <w:t xml:space="preserve">Shell </w:t>
      </w:r>
      <w:r w:rsidR="004554BE">
        <w:rPr>
          <w:rFonts w:eastAsiaTheme="minorEastAsia"/>
        </w:rPr>
        <w:t xml:space="preserve">suggested that this option be subject to a more detailed review to </w:t>
      </w:r>
      <w:r w:rsidRPr="00B749A3">
        <w:rPr>
          <w:rFonts w:eastAsiaTheme="minorEastAsia"/>
        </w:rPr>
        <w:t xml:space="preserve">ensure </w:t>
      </w:r>
      <w:r w:rsidR="004554BE">
        <w:rPr>
          <w:rFonts w:eastAsiaTheme="minorEastAsia"/>
        </w:rPr>
        <w:t xml:space="preserve">it </w:t>
      </w:r>
      <w:r w:rsidRPr="00B749A3">
        <w:rPr>
          <w:rFonts w:eastAsiaTheme="minorEastAsia"/>
        </w:rPr>
        <w:t xml:space="preserve">does not have any unintended consequences (e.g. it could reduce the volume </w:t>
      </w:r>
      <w:r w:rsidR="004A1600">
        <w:rPr>
          <w:rFonts w:eastAsiaTheme="minorEastAsia"/>
        </w:rPr>
        <w:t xml:space="preserve">of </w:t>
      </w:r>
      <w:r w:rsidRPr="00B749A3">
        <w:rPr>
          <w:rFonts w:eastAsiaTheme="minorEastAsia"/>
        </w:rPr>
        <w:t xml:space="preserve">primary capacity made available to other shippers).  </w:t>
      </w:r>
    </w:p>
    <w:p w14:paraId="151F7779" w14:textId="77777777" w:rsidR="00724044" w:rsidRPr="00B749A3" w:rsidRDefault="005105D7" w:rsidP="00CE75B2">
      <w:pPr>
        <w:pStyle w:val="BodyText"/>
        <w:rPr>
          <w:rFonts w:eastAsiaTheme="minorEastAsia"/>
        </w:rPr>
      </w:pPr>
      <w:r>
        <w:rPr>
          <w:rFonts w:eastAsiaTheme="minorEastAsia"/>
        </w:rPr>
        <w:t xml:space="preserve">A number of stakeholders also commented on the way in which a cancellation of a short-sale would be dealt with and, in particular, whether there should be a </w:t>
      </w:r>
      <w:r w:rsidR="00724044" w:rsidRPr="00B749A3">
        <w:rPr>
          <w:rFonts w:eastAsiaTheme="minorEastAsia"/>
        </w:rPr>
        <w:t xml:space="preserve">pro-rata adjustment </w:t>
      </w:r>
      <w:r>
        <w:rPr>
          <w:rFonts w:eastAsiaTheme="minorEastAsia"/>
        </w:rPr>
        <w:t>across all secondary shippers that were to use capacity on the day or some other mechanism</w:t>
      </w:r>
      <w:r w:rsidR="00724044" w:rsidRPr="00B749A3">
        <w:rPr>
          <w:rFonts w:eastAsiaTheme="minorEastAsia"/>
        </w:rPr>
        <w:t xml:space="preserve">. Jemena </w:t>
      </w:r>
      <w:r>
        <w:rPr>
          <w:rFonts w:eastAsiaTheme="minorEastAsia"/>
        </w:rPr>
        <w:t xml:space="preserve">was of the view that a pro-rata approach </w:t>
      </w:r>
      <w:r w:rsidR="00724044" w:rsidRPr="00B749A3">
        <w:rPr>
          <w:rFonts w:eastAsiaTheme="minorEastAsia"/>
        </w:rPr>
        <w:t>would severely under</w:t>
      </w:r>
      <w:r>
        <w:rPr>
          <w:rFonts w:eastAsiaTheme="minorEastAsia"/>
        </w:rPr>
        <w:t xml:space="preserve">mine confidence in the market. </w:t>
      </w:r>
      <w:r w:rsidR="00724044" w:rsidRPr="00B749A3">
        <w:rPr>
          <w:rFonts w:eastAsiaTheme="minorEastAsia"/>
        </w:rPr>
        <w:t>AGL and APA also argued that this would create significant uncertainty for all trading participants</w:t>
      </w:r>
      <w:r>
        <w:rPr>
          <w:rFonts w:eastAsiaTheme="minorEastAsia"/>
        </w:rPr>
        <w:t xml:space="preserve">, with </w:t>
      </w:r>
      <w:r w:rsidR="00724044" w:rsidRPr="00B749A3">
        <w:rPr>
          <w:rFonts w:eastAsiaTheme="minorEastAsia"/>
        </w:rPr>
        <w:t xml:space="preserve">APA </w:t>
      </w:r>
      <w:r>
        <w:rPr>
          <w:rFonts w:eastAsiaTheme="minorEastAsia"/>
        </w:rPr>
        <w:t xml:space="preserve">stating </w:t>
      </w:r>
      <w:r w:rsidR="00724044" w:rsidRPr="00B749A3">
        <w:rPr>
          <w:rFonts w:eastAsiaTheme="minorEastAsia"/>
        </w:rPr>
        <w:t>that the offending party should be liable to their matc</w:t>
      </w:r>
      <w:r>
        <w:rPr>
          <w:rFonts w:eastAsiaTheme="minorEastAsia"/>
        </w:rPr>
        <w:t xml:space="preserve">hed trading participant only. </w:t>
      </w:r>
      <w:r w:rsidR="00724044" w:rsidRPr="00B749A3">
        <w:rPr>
          <w:rFonts w:eastAsiaTheme="minorEastAsia"/>
        </w:rPr>
        <w:t>Shell and APLNG</w:t>
      </w:r>
      <w:r>
        <w:rPr>
          <w:rFonts w:eastAsiaTheme="minorEastAsia"/>
        </w:rPr>
        <w:t>, on the other hand,</w:t>
      </w:r>
      <w:r w:rsidR="00724044" w:rsidRPr="00B749A3">
        <w:rPr>
          <w:rFonts w:eastAsiaTheme="minorEastAsia"/>
        </w:rPr>
        <w:t xml:space="preserve"> </w:t>
      </w:r>
      <w:r w:rsidR="00F67E07">
        <w:rPr>
          <w:rFonts w:eastAsiaTheme="minorEastAsia"/>
        </w:rPr>
        <w:t>were of the view</w:t>
      </w:r>
      <w:r w:rsidR="00F67E07" w:rsidRPr="00B749A3">
        <w:rPr>
          <w:rFonts w:eastAsiaTheme="minorEastAsia"/>
        </w:rPr>
        <w:t xml:space="preserve"> </w:t>
      </w:r>
      <w:r w:rsidR="00724044" w:rsidRPr="00B749A3">
        <w:rPr>
          <w:rFonts w:eastAsiaTheme="minorEastAsia"/>
        </w:rPr>
        <w:t>that affected parties should be curtailed on a pro-rata basis. APLNG also stated that parties should be able to seek compensation from the seller (on a pro</w:t>
      </w:r>
      <w:r w:rsidR="004A1600">
        <w:rPr>
          <w:rFonts w:eastAsiaTheme="minorEastAsia"/>
        </w:rPr>
        <w:t>-</w:t>
      </w:r>
      <w:r w:rsidR="00724044" w:rsidRPr="00B749A3">
        <w:rPr>
          <w:rFonts w:eastAsiaTheme="minorEastAsia"/>
        </w:rPr>
        <w:t xml:space="preserve">rata basis) for any losses incurred as a result of such curtailment.  </w:t>
      </w:r>
    </w:p>
    <w:p w14:paraId="73370D65" w14:textId="77777777" w:rsidR="00724044" w:rsidRPr="00941D91" w:rsidRDefault="00724044" w:rsidP="00941D91">
      <w:pPr>
        <w:pStyle w:val="Heading6"/>
        <w:spacing w:line="252" w:lineRule="auto"/>
        <w:rPr>
          <w:color w:val="0099CC"/>
        </w:rPr>
      </w:pPr>
      <w:r w:rsidRPr="00941D91">
        <w:rPr>
          <w:color w:val="0099CC"/>
        </w:rPr>
        <w:t xml:space="preserve">GMRG’s final recommendations </w:t>
      </w:r>
    </w:p>
    <w:p w14:paraId="2209D93C" w14:textId="77777777" w:rsidR="00724044" w:rsidRDefault="006F5E29" w:rsidP="00CE75B2">
      <w:pPr>
        <w:pStyle w:val="BodyText"/>
        <w:rPr>
          <w:rFonts w:eastAsiaTheme="minorEastAsia"/>
        </w:rPr>
      </w:pPr>
      <w:r>
        <w:rPr>
          <w:rFonts w:eastAsiaTheme="minorEastAsia"/>
        </w:rPr>
        <w:t xml:space="preserve">The GMRG agrees with stakeholders that the risk of short-selling should be relatively </w:t>
      </w:r>
      <w:r w:rsidR="00724044" w:rsidRPr="00B51E10">
        <w:rPr>
          <w:rFonts w:eastAsiaTheme="minorEastAsia"/>
        </w:rPr>
        <w:t>low</w:t>
      </w:r>
      <w:r>
        <w:rPr>
          <w:rFonts w:eastAsiaTheme="minorEastAsia"/>
        </w:rPr>
        <w:t xml:space="preserve"> given the arrangements that are currently in place in the GSH</w:t>
      </w:r>
      <w:r w:rsidR="00724044" w:rsidRPr="00B51E10">
        <w:rPr>
          <w:rFonts w:eastAsiaTheme="minorEastAsia"/>
        </w:rPr>
        <w:t xml:space="preserve">. </w:t>
      </w:r>
      <w:r>
        <w:rPr>
          <w:rFonts w:eastAsiaTheme="minorEastAsia"/>
        </w:rPr>
        <w:t xml:space="preserve">There is, however, </w:t>
      </w:r>
      <w:r w:rsidR="00724044">
        <w:rPr>
          <w:rFonts w:eastAsiaTheme="minorEastAsia"/>
        </w:rPr>
        <w:t xml:space="preserve">still </w:t>
      </w:r>
      <w:r>
        <w:rPr>
          <w:rFonts w:eastAsiaTheme="minorEastAsia"/>
        </w:rPr>
        <w:t xml:space="preserve">a need to have </w:t>
      </w:r>
      <w:r w:rsidR="00724044">
        <w:rPr>
          <w:rFonts w:eastAsiaTheme="minorEastAsia"/>
        </w:rPr>
        <w:t>comprehensive and credible arrangement</w:t>
      </w:r>
      <w:r>
        <w:rPr>
          <w:rFonts w:eastAsiaTheme="minorEastAsia"/>
        </w:rPr>
        <w:t xml:space="preserve">s in place to deal </w:t>
      </w:r>
      <w:r w:rsidR="00724044">
        <w:rPr>
          <w:rFonts w:eastAsiaTheme="minorEastAsia"/>
        </w:rPr>
        <w:t>with short</w:t>
      </w:r>
      <w:r w:rsidR="0005669E">
        <w:rPr>
          <w:rFonts w:eastAsiaTheme="minorEastAsia"/>
        </w:rPr>
        <w:t>-</w:t>
      </w:r>
      <w:r w:rsidR="00724044">
        <w:rPr>
          <w:rFonts w:eastAsiaTheme="minorEastAsia"/>
        </w:rPr>
        <w:t>selling if i</w:t>
      </w:r>
      <w:r>
        <w:rPr>
          <w:rFonts w:eastAsiaTheme="minorEastAsia"/>
        </w:rPr>
        <w:t>t occurs, either through an error or a deliberate action</w:t>
      </w:r>
      <w:r w:rsidR="00724044">
        <w:rPr>
          <w:rFonts w:eastAsiaTheme="minorEastAsia"/>
        </w:rPr>
        <w:t xml:space="preserve">.  </w:t>
      </w:r>
    </w:p>
    <w:p w14:paraId="6EDFA67D" w14:textId="77777777" w:rsidR="00724044" w:rsidRDefault="006F5E29" w:rsidP="00CE75B2">
      <w:pPr>
        <w:pStyle w:val="BodyText"/>
        <w:rPr>
          <w:rFonts w:eastAsiaTheme="minorEastAsia"/>
        </w:rPr>
      </w:pPr>
      <w:r>
        <w:rPr>
          <w:rFonts w:eastAsiaTheme="minorEastAsia"/>
        </w:rPr>
        <w:t xml:space="preserve">While the </w:t>
      </w:r>
      <w:r w:rsidR="00724044">
        <w:rPr>
          <w:rFonts w:eastAsiaTheme="minorEastAsia"/>
        </w:rPr>
        <w:t xml:space="preserve">GMRG </w:t>
      </w:r>
      <w:r>
        <w:rPr>
          <w:rFonts w:eastAsiaTheme="minorEastAsia"/>
        </w:rPr>
        <w:t xml:space="preserve">has given some thought to the registry option, it </w:t>
      </w:r>
      <w:r w:rsidR="00724044">
        <w:rPr>
          <w:rFonts w:eastAsiaTheme="minorEastAsia"/>
        </w:rPr>
        <w:t xml:space="preserve">agrees </w:t>
      </w:r>
      <w:r>
        <w:rPr>
          <w:rFonts w:eastAsiaTheme="minorEastAsia"/>
        </w:rPr>
        <w:t>with stakeholder</w:t>
      </w:r>
      <w:r w:rsidR="00F67E07">
        <w:rPr>
          <w:rFonts w:eastAsiaTheme="minorEastAsia"/>
        </w:rPr>
        <w:t>s</w:t>
      </w:r>
      <w:r>
        <w:rPr>
          <w:rFonts w:eastAsiaTheme="minorEastAsia"/>
        </w:rPr>
        <w:t xml:space="preserve"> </w:t>
      </w:r>
      <w:r w:rsidR="00724044">
        <w:rPr>
          <w:rFonts w:eastAsiaTheme="minorEastAsia"/>
        </w:rPr>
        <w:t xml:space="preserve">that the costs and complexity of establishing </w:t>
      </w:r>
      <w:r>
        <w:rPr>
          <w:rFonts w:eastAsiaTheme="minorEastAsia"/>
        </w:rPr>
        <w:t xml:space="preserve">such a register would </w:t>
      </w:r>
      <w:r w:rsidR="00724044" w:rsidRPr="00125E06">
        <w:rPr>
          <w:rFonts w:eastAsiaTheme="minorEastAsia"/>
        </w:rPr>
        <w:t>outweigh the benefits</w:t>
      </w:r>
      <w:r w:rsidR="00724044">
        <w:rPr>
          <w:rFonts w:eastAsiaTheme="minorEastAsia"/>
        </w:rPr>
        <w:t xml:space="preserve">. </w:t>
      </w:r>
      <w:r>
        <w:rPr>
          <w:rFonts w:eastAsiaTheme="minorEastAsia"/>
        </w:rPr>
        <w:t xml:space="preserve">The GMRG is not therefore advocating this option. </w:t>
      </w:r>
      <w:r w:rsidR="00C31448">
        <w:rPr>
          <w:rFonts w:eastAsiaTheme="minorEastAsia"/>
        </w:rPr>
        <w:t>The GMRG</w:t>
      </w:r>
      <w:r w:rsidR="00FF5932">
        <w:rPr>
          <w:rFonts w:eastAsiaTheme="minorEastAsia"/>
        </w:rPr>
        <w:t xml:space="preserve"> is instead</w:t>
      </w:r>
      <w:r>
        <w:rPr>
          <w:rFonts w:eastAsiaTheme="minorEastAsia"/>
        </w:rPr>
        <w:t xml:space="preserve"> </w:t>
      </w:r>
      <w:r w:rsidR="00C31448">
        <w:rPr>
          <w:rFonts w:eastAsiaTheme="minorEastAsia"/>
        </w:rPr>
        <w:t>recomm</w:t>
      </w:r>
      <w:r w:rsidR="00FF5932">
        <w:rPr>
          <w:rFonts w:eastAsiaTheme="minorEastAsia"/>
        </w:rPr>
        <w:t>ending</w:t>
      </w:r>
      <w:r w:rsidR="00C31448">
        <w:rPr>
          <w:rFonts w:eastAsiaTheme="minorEastAsia"/>
        </w:rPr>
        <w:t xml:space="preserve"> </w:t>
      </w:r>
      <w:r>
        <w:rPr>
          <w:rFonts w:eastAsiaTheme="minorEastAsia"/>
        </w:rPr>
        <w:t>that d</w:t>
      </w:r>
      <w:r w:rsidR="00724044" w:rsidRPr="00125E06">
        <w:rPr>
          <w:rFonts w:eastAsiaTheme="minorEastAsia"/>
        </w:rPr>
        <w:t xml:space="preserve">elivery default be managed in line with the approach </w:t>
      </w:r>
      <w:r>
        <w:rPr>
          <w:rFonts w:eastAsiaTheme="minorEastAsia"/>
        </w:rPr>
        <w:t xml:space="preserve">that is currently used for </w:t>
      </w:r>
      <w:r w:rsidR="00724044" w:rsidRPr="00125E06">
        <w:rPr>
          <w:rFonts w:eastAsiaTheme="minorEastAsia"/>
        </w:rPr>
        <w:t>gas</w:t>
      </w:r>
      <w:r w:rsidR="00724044">
        <w:rPr>
          <w:rFonts w:eastAsiaTheme="minorEastAsia"/>
        </w:rPr>
        <w:t xml:space="preserve"> products</w:t>
      </w:r>
      <w:r w:rsidR="00724044" w:rsidRPr="00125E06">
        <w:rPr>
          <w:rFonts w:eastAsiaTheme="minorEastAsia"/>
        </w:rPr>
        <w:t xml:space="preserve"> </w:t>
      </w:r>
      <w:r>
        <w:rPr>
          <w:rFonts w:eastAsiaTheme="minorEastAsia"/>
        </w:rPr>
        <w:t xml:space="preserve">on </w:t>
      </w:r>
      <w:r w:rsidR="00724044" w:rsidRPr="00125E06">
        <w:rPr>
          <w:rFonts w:eastAsiaTheme="minorEastAsia"/>
        </w:rPr>
        <w:t xml:space="preserve">the </w:t>
      </w:r>
      <w:r>
        <w:rPr>
          <w:rFonts w:eastAsiaTheme="minorEastAsia"/>
        </w:rPr>
        <w:t>GSH</w:t>
      </w:r>
      <w:r w:rsidR="008F4044">
        <w:rPr>
          <w:rFonts w:eastAsiaTheme="minorEastAsia"/>
        </w:rPr>
        <w:t xml:space="preserve">, </w:t>
      </w:r>
      <w:r w:rsidR="00724044" w:rsidRPr="00125E06">
        <w:rPr>
          <w:rFonts w:eastAsiaTheme="minorEastAsia"/>
        </w:rPr>
        <w:t>where</w:t>
      </w:r>
      <w:r w:rsidR="008F4044">
        <w:rPr>
          <w:rFonts w:eastAsiaTheme="minorEastAsia"/>
        </w:rPr>
        <w:t xml:space="preserve">by </w:t>
      </w:r>
      <w:r w:rsidR="00724044" w:rsidRPr="00125E06">
        <w:rPr>
          <w:rFonts w:eastAsiaTheme="minorEastAsia"/>
        </w:rPr>
        <w:t xml:space="preserve">shippers warrant they have the capacity they are selling. </w:t>
      </w:r>
      <w:r w:rsidR="008F4044">
        <w:rPr>
          <w:rFonts w:eastAsiaTheme="minorEastAsia"/>
        </w:rPr>
        <w:t xml:space="preserve">The GMRG also recommends that </w:t>
      </w:r>
      <w:r w:rsidR="00C31448">
        <w:rPr>
          <w:rFonts w:eastAsiaTheme="minorEastAsia"/>
        </w:rPr>
        <w:t>in the event of a</w:t>
      </w:r>
      <w:r w:rsidR="008F4044">
        <w:rPr>
          <w:rFonts w:eastAsiaTheme="minorEastAsia"/>
        </w:rPr>
        <w:t xml:space="preserve"> short-sale the </w:t>
      </w:r>
      <w:r w:rsidR="00724044">
        <w:rPr>
          <w:rFonts w:eastAsiaTheme="minorEastAsia"/>
        </w:rPr>
        <w:t>following process</w:t>
      </w:r>
      <w:r w:rsidR="008F4044">
        <w:rPr>
          <w:rFonts w:eastAsiaTheme="minorEastAsia"/>
        </w:rPr>
        <w:t xml:space="preserve"> should followed</w:t>
      </w:r>
      <w:r w:rsidR="00724044">
        <w:rPr>
          <w:rFonts w:eastAsiaTheme="minorEastAsia"/>
        </w:rPr>
        <w:t>:</w:t>
      </w:r>
    </w:p>
    <w:p w14:paraId="1503057F" w14:textId="77777777" w:rsidR="00724044" w:rsidRPr="008F4044" w:rsidRDefault="00724044" w:rsidP="00473F20">
      <w:pPr>
        <w:pStyle w:val="ListBullet"/>
        <w:rPr>
          <w:rFonts w:eastAsiaTheme="minorEastAsia"/>
        </w:rPr>
      </w:pPr>
      <w:r w:rsidRPr="008F4044">
        <w:rPr>
          <w:rFonts w:eastAsiaTheme="minorEastAsia"/>
        </w:rPr>
        <w:t xml:space="preserve">Service providers </w:t>
      </w:r>
      <w:r w:rsidR="008F4044" w:rsidRPr="008F4044">
        <w:rPr>
          <w:rFonts w:eastAsiaTheme="minorEastAsia"/>
        </w:rPr>
        <w:t xml:space="preserve">will be </w:t>
      </w:r>
      <w:r w:rsidRPr="008F4044">
        <w:rPr>
          <w:rFonts w:eastAsiaTheme="minorEastAsia"/>
        </w:rPr>
        <w:t xml:space="preserve">notified </w:t>
      </w:r>
      <w:r w:rsidR="008F4044" w:rsidRPr="008F4044">
        <w:rPr>
          <w:rFonts w:eastAsiaTheme="minorEastAsia"/>
        </w:rPr>
        <w:t xml:space="preserve">by AEMO </w:t>
      </w:r>
      <w:r w:rsidRPr="008F4044">
        <w:rPr>
          <w:rFonts w:eastAsiaTheme="minorEastAsia"/>
        </w:rPr>
        <w:t xml:space="preserve">of the net trading positions </w:t>
      </w:r>
      <w:r w:rsidR="008F4044" w:rsidRPr="008F4044">
        <w:rPr>
          <w:rFonts w:eastAsiaTheme="minorEastAsia"/>
        </w:rPr>
        <w:t xml:space="preserve">during gas day D-1 and will </w:t>
      </w:r>
      <w:r w:rsidRPr="008F4044">
        <w:rPr>
          <w:rFonts w:eastAsiaTheme="minorEastAsia"/>
        </w:rPr>
        <w:t xml:space="preserve">be able to identify any short </w:t>
      </w:r>
      <w:r w:rsidR="008F4044">
        <w:rPr>
          <w:rFonts w:eastAsiaTheme="minorEastAsia"/>
        </w:rPr>
        <w:t xml:space="preserve">sales </w:t>
      </w:r>
      <w:r w:rsidRPr="008F4044">
        <w:rPr>
          <w:rFonts w:eastAsiaTheme="minorEastAsia"/>
        </w:rPr>
        <w:t>by comparing the net sell positions to participant contractual rights.</w:t>
      </w:r>
    </w:p>
    <w:p w14:paraId="2FF684D2" w14:textId="77777777" w:rsidR="00724044" w:rsidRDefault="00724044" w:rsidP="00CE75B2">
      <w:pPr>
        <w:pStyle w:val="ListBullet"/>
        <w:rPr>
          <w:rFonts w:eastAsiaTheme="minorEastAsia"/>
        </w:rPr>
      </w:pPr>
      <w:r>
        <w:rPr>
          <w:rFonts w:eastAsiaTheme="minorEastAsia"/>
        </w:rPr>
        <w:lastRenderedPageBreak/>
        <w:t xml:space="preserve">If </w:t>
      </w:r>
      <w:r w:rsidR="008F4044">
        <w:rPr>
          <w:rFonts w:eastAsiaTheme="minorEastAsia"/>
        </w:rPr>
        <w:t xml:space="preserve">the </w:t>
      </w:r>
      <w:r>
        <w:rPr>
          <w:rFonts w:eastAsiaTheme="minorEastAsia"/>
        </w:rPr>
        <w:t xml:space="preserve">service provider identifies a short </w:t>
      </w:r>
      <w:r w:rsidR="008F4044">
        <w:rPr>
          <w:rFonts w:eastAsiaTheme="minorEastAsia"/>
        </w:rPr>
        <w:t>sale</w:t>
      </w:r>
      <w:r>
        <w:rPr>
          <w:rFonts w:eastAsiaTheme="minorEastAsia"/>
        </w:rPr>
        <w:t xml:space="preserve">, then </w:t>
      </w:r>
      <w:r w:rsidR="008F4044">
        <w:rPr>
          <w:rFonts w:eastAsiaTheme="minorEastAsia"/>
        </w:rPr>
        <w:t xml:space="preserve">it </w:t>
      </w:r>
      <w:r>
        <w:rPr>
          <w:rFonts w:eastAsiaTheme="minorEastAsia"/>
        </w:rPr>
        <w:t xml:space="preserve">is not obliged to execute the associated transfer of capacity. </w:t>
      </w:r>
      <w:r w:rsidR="008F4044">
        <w:rPr>
          <w:rFonts w:eastAsiaTheme="minorEastAsia"/>
        </w:rPr>
        <w:t xml:space="preserve">It must, however, notify the shipper in question and provide it with one hour </w:t>
      </w:r>
      <w:r>
        <w:rPr>
          <w:rFonts w:eastAsiaTheme="minorEastAsia"/>
        </w:rPr>
        <w:t xml:space="preserve">to rectify the situation. The service provider </w:t>
      </w:r>
      <w:r w:rsidR="008F4044">
        <w:rPr>
          <w:rFonts w:eastAsiaTheme="minorEastAsia"/>
        </w:rPr>
        <w:t xml:space="preserve">must also </w:t>
      </w:r>
      <w:r>
        <w:rPr>
          <w:rFonts w:eastAsiaTheme="minorEastAsia"/>
        </w:rPr>
        <w:t>notify AEMO.</w:t>
      </w:r>
    </w:p>
    <w:p w14:paraId="1F524229" w14:textId="77777777" w:rsidR="00724044" w:rsidRDefault="008F4044" w:rsidP="00724044">
      <w:pPr>
        <w:pStyle w:val="ListParagraph"/>
        <w:ind w:left="340"/>
        <w:rPr>
          <w:rFonts w:ascii="Arial" w:eastAsiaTheme="minorEastAsia" w:hAnsi="Arial"/>
        </w:rPr>
      </w:pPr>
      <w:r>
        <w:rPr>
          <w:rFonts w:ascii="Arial" w:eastAsiaTheme="minorEastAsia" w:hAnsi="Arial"/>
        </w:rPr>
        <w:t xml:space="preserve">In the GMRG’s view, one hour is a sufficient period of time to try and rectify the issue (which could involve procuring spare primary capacity from the service provider or purchasing it bilaterally from another shipper). While the GMRG can see some merit in Shell’s proposal to have alternative time frames for rectification, it is concerned that this would add further complexity to the process and </w:t>
      </w:r>
      <w:r w:rsidR="00724044">
        <w:rPr>
          <w:rFonts w:ascii="Arial" w:eastAsiaTheme="minorEastAsia" w:hAnsi="Arial"/>
        </w:rPr>
        <w:t>create a false perception that the trade is valid</w:t>
      </w:r>
      <w:r>
        <w:rPr>
          <w:rFonts w:ascii="Arial" w:eastAsiaTheme="minorEastAsia" w:hAnsi="Arial"/>
        </w:rPr>
        <w:t xml:space="preserve"> and the behaviour is appropriate</w:t>
      </w:r>
      <w:r w:rsidR="00724044">
        <w:rPr>
          <w:rFonts w:ascii="Arial" w:eastAsiaTheme="minorEastAsia" w:hAnsi="Arial"/>
        </w:rPr>
        <w:t xml:space="preserve">.  </w:t>
      </w:r>
    </w:p>
    <w:p w14:paraId="31C0D884" w14:textId="77777777" w:rsidR="00724044" w:rsidRDefault="00724044" w:rsidP="00CE75B2">
      <w:pPr>
        <w:pStyle w:val="ListBullet"/>
        <w:rPr>
          <w:rFonts w:eastAsiaTheme="minorEastAsia"/>
        </w:rPr>
      </w:pPr>
      <w:r>
        <w:rPr>
          <w:rFonts w:eastAsiaTheme="minorEastAsia"/>
        </w:rPr>
        <w:t>If the short</w:t>
      </w:r>
      <w:r w:rsidR="0005669E">
        <w:rPr>
          <w:rFonts w:eastAsiaTheme="minorEastAsia"/>
        </w:rPr>
        <w:t>-</w:t>
      </w:r>
      <w:r>
        <w:rPr>
          <w:rFonts w:eastAsiaTheme="minorEastAsia"/>
        </w:rPr>
        <w:t xml:space="preserve">selling is not rectified in the permitted time, then the trade </w:t>
      </w:r>
      <w:r w:rsidR="008F4044">
        <w:rPr>
          <w:rFonts w:eastAsiaTheme="minorEastAsia"/>
        </w:rPr>
        <w:t xml:space="preserve">will be </w:t>
      </w:r>
      <w:r>
        <w:rPr>
          <w:rFonts w:eastAsiaTheme="minorEastAsia"/>
        </w:rPr>
        <w:t>cancelled</w:t>
      </w:r>
      <w:r w:rsidR="008F4044">
        <w:rPr>
          <w:rFonts w:eastAsiaTheme="minorEastAsia"/>
        </w:rPr>
        <w:t xml:space="preserve"> and the affected buyers will be compensated using the collateral posted by the seller</w:t>
      </w:r>
      <w:r>
        <w:rPr>
          <w:rFonts w:eastAsiaTheme="minorEastAsia"/>
        </w:rPr>
        <w:t xml:space="preserve">. AEMO </w:t>
      </w:r>
      <w:r w:rsidR="008F4044">
        <w:rPr>
          <w:rFonts w:eastAsiaTheme="minorEastAsia"/>
        </w:rPr>
        <w:t xml:space="preserve">will be </w:t>
      </w:r>
      <w:r>
        <w:rPr>
          <w:rFonts w:eastAsiaTheme="minorEastAsia"/>
        </w:rPr>
        <w:t>responsible for notifying the affected buyer(s)</w:t>
      </w:r>
      <w:r w:rsidR="008F4044">
        <w:rPr>
          <w:rFonts w:eastAsiaTheme="minorEastAsia"/>
        </w:rPr>
        <w:t xml:space="preserve"> that the trade has been cancelled</w:t>
      </w:r>
      <w:r>
        <w:rPr>
          <w:rFonts w:eastAsiaTheme="minorEastAsia"/>
        </w:rPr>
        <w:t>.</w:t>
      </w:r>
    </w:p>
    <w:p w14:paraId="4E3F0D94" w14:textId="77777777" w:rsidR="00724044" w:rsidRDefault="00724044" w:rsidP="00CE75B2">
      <w:pPr>
        <w:pStyle w:val="ListBullet"/>
        <w:rPr>
          <w:rFonts w:eastAsiaTheme="minorEastAsia"/>
        </w:rPr>
      </w:pPr>
      <w:r>
        <w:rPr>
          <w:rFonts w:eastAsiaTheme="minorEastAsia"/>
        </w:rPr>
        <w:t xml:space="preserve">In the scenario of multiple transactions of that capacity product on the day, it will not be possible to identify the buyer </w:t>
      </w:r>
      <w:r w:rsidR="008F4044">
        <w:rPr>
          <w:rFonts w:eastAsiaTheme="minorEastAsia"/>
        </w:rPr>
        <w:t>that</w:t>
      </w:r>
      <w:r>
        <w:rPr>
          <w:rFonts w:eastAsiaTheme="minorEastAsia"/>
        </w:rPr>
        <w:t xml:space="preserve"> has been sold the un-contractual capacity. </w:t>
      </w:r>
      <w:r w:rsidR="008F4044">
        <w:rPr>
          <w:rFonts w:eastAsiaTheme="minorEastAsia"/>
        </w:rPr>
        <w:t xml:space="preserve">It </w:t>
      </w:r>
      <w:r>
        <w:rPr>
          <w:rFonts w:eastAsiaTheme="minorEastAsia"/>
        </w:rPr>
        <w:t xml:space="preserve">is appropriate </w:t>
      </w:r>
      <w:r w:rsidR="008F4044">
        <w:rPr>
          <w:rFonts w:eastAsiaTheme="minorEastAsia"/>
        </w:rPr>
        <w:t xml:space="preserve">therefore </w:t>
      </w:r>
      <w:r>
        <w:rPr>
          <w:rFonts w:eastAsiaTheme="minorEastAsia"/>
        </w:rPr>
        <w:t>for the</w:t>
      </w:r>
      <w:r w:rsidRPr="007B0621">
        <w:rPr>
          <w:rFonts w:eastAsiaTheme="minorEastAsia"/>
        </w:rPr>
        <w:t xml:space="preserve"> capacity of all affected secondary shippers be curtailed on a pro-rata basis.</w:t>
      </w:r>
    </w:p>
    <w:p w14:paraId="63F8C77F" w14:textId="77777777" w:rsidR="00724044" w:rsidRDefault="008F4044" w:rsidP="00CE75B2">
      <w:pPr>
        <w:pStyle w:val="ListBullet"/>
        <w:rPr>
          <w:rFonts w:eastAsiaTheme="minorEastAsia"/>
        </w:rPr>
      </w:pPr>
      <w:r>
        <w:rPr>
          <w:rFonts w:eastAsiaTheme="minorEastAsia"/>
        </w:rPr>
        <w:t xml:space="preserve">If a shipper short-sells capacity it </w:t>
      </w:r>
      <w:r w:rsidR="00724044">
        <w:rPr>
          <w:rFonts w:eastAsiaTheme="minorEastAsia"/>
        </w:rPr>
        <w:t>will be issued with a financial penalty</w:t>
      </w:r>
      <w:r>
        <w:rPr>
          <w:rFonts w:eastAsiaTheme="minorEastAsia"/>
        </w:rPr>
        <w:t>, irrespective of whether it is able to rectify the short-sale</w:t>
      </w:r>
      <w:r w:rsidR="00724044">
        <w:rPr>
          <w:rFonts w:eastAsiaTheme="minorEastAsia"/>
        </w:rPr>
        <w:t>. This penalty is in recognition that given the complementary nature of gas and capacity products, the buyer could suffer multiple liabilities if a capacity trade is cancelled. It will also act to strength</w:t>
      </w:r>
      <w:r w:rsidR="006E52D3">
        <w:rPr>
          <w:rFonts w:eastAsiaTheme="minorEastAsia"/>
        </w:rPr>
        <w:t>en</w:t>
      </w:r>
      <w:r w:rsidR="00724044">
        <w:rPr>
          <w:rFonts w:eastAsiaTheme="minorEastAsia"/>
        </w:rPr>
        <w:t xml:space="preserve"> the incentive on participants to manage the risk of short</w:t>
      </w:r>
      <w:r w:rsidR="0005669E">
        <w:rPr>
          <w:rFonts w:eastAsiaTheme="minorEastAsia"/>
        </w:rPr>
        <w:t>-</w:t>
      </w:r>
      <w:r w:rsidR="00724044">
        <w:rPr>
          <w:rFonts w:eastAsiaTheme="minorEastAsia"/>
        </w:rPr>
        <w:t>selling through an error.</w:t>
      </w:r>
    </w:p>
    <w:p w14:paraId="5A0A4015" w14:textId="77777777" w:rsidR="00724044" w:rsidRPr="00A62AC2" w:rsidRDefault="00724044" w:rsidP="00CE75B2">
      <w:pPr>
        <w:pStyle w:val="ListBullet"/>
        <w:rPr>
          <w:rFonts w:eastAsiaTheme="minorEastAsia"/>
        </w:rPr>
      </w:pPr>
      <w:r>
        <w:rPr>
          <w:rFonts w:eastAsiaTheme="minorEastAsia"/>
        </w:rPr>
        <w:t xml:space="preserve">Further penalties may also be possible if </w:t>
      </w:r>
      <w:r w:rsidRPr="00A62AC2">
        <w:rPr>
          <w:rFonts w:eastAsiaTheme="minorEastAsia"/>
        </w:rPr>
        <w:t xml:space="preserve">the AER </w:t>
      </w:r>
      <w:r>
        <w:rPr>
          <w:rFonts w:eastAsiaTheme="minorEastAsia"/>
        </w:rPr>
        <w:t>decides to</w:t>
      </w:r>
      <w:r w:rsidRPr="00A62AC2">
        <w:rPr>
          <w:rFonts w:eastAsiaTheme="minorEastAsia"/>
        </w:rPr>
        <w:t xml:space="preserve"> institute civil proceedings in the Federal Court and seek an injunction</w:t>
      </w:r>
      <w:r w:rsidR="008F4044">
        <w:rPr>
          <w:rFonts w:eastAsiaTheme="minorEastAsia"/>
        </w:rPr>
        <w:t>,</w:t>
      </w:r>
      <w:r w:rsidRPr="00A62AC2">
        <w:rPr>
          <w:rFonts w:eastAsiaTheme="minorEastAsia"/>
        </w:rPr>
        <w:t xml:space="preserve"> or an order that the </w:t>
      </w:r>
      <w:r>
        <w:rPr>
          <w:rFonts w:eastAsiaTheme="minorEastAsia"/>
        </w:rPr>
        <w:t>p</w:t>
      </w:r>
      <w:r w:rsidRPr="00A62AC2">
        <w:rPr>
          <w:rFonts w:eastAsiaTheme="minorEastAsia"/>
        </w:rPr>
        <w:t>articipant cease or remedy the conduct, and/or an order that a penalty be paid under the NGR market conduct rules.</w:t>
      </w:r>
    </w:p>
    <w:p w14:paraId="56494383" w14:textId="77777777" w:rsidR="007F471D" w:rsidRDefault="007F471D" w:rsidP="007F471D">
      <w:pPr>
        <w:pStyle w:val="BodyText"/>
        <w:rPr>
          <w:rFonts w:eastAsiaTheme="minorEastAsia"/>
        </w:rPr>
      </w:pPr>
      <w:r>
        <w:rPr>
          <w:rFonts w:eastAsiaTheme="minorEastAsia"/>
        </w:rPr>
        <w:t xml:space="preserve">These recommendations will result in </w:t>
      </w:r>
      <w:r w:rsidR="00C31448">
        <w:rPr>
          <w:rFonts w:eastAsiaTheme="minorEastAsia"/>
        </w:rPr>
        <w:t xml:space="preserve">the </w:t>
      </w:r>
      <w:r>
        <w:rPr>
          <w:rFonts w:eastAsiaTheme="minorEastAsia"/>
        </w:rPr>
        <w:t>following two additional features to the current GSH arrangements:</w:t>
      </w:r>
    </w:p>
    <w:p w14:paraId="53AFE948" w14:textId="77777777" w:rsidR="007F471D" w:rsidRDefault="00FF5932" w:rsidP="007F471D">
      <w:pPr>
        <w:pStyle w:val="ListBullet"/>
        <w:rPr>
          <w:rFonts w:eastAsiaTheme="minorEastAsia"/>
        </w:rPr>
      </w:pPr>
      <w:r>
        <w:rPr>
          <w:rFonts w:eastAsiaTheme="minorEastAsia"/>
        </w:rPr>
        <w:t>s</w:t>
      </w:r>
      <w:r w:rsidR="007F471D">
        <w:rPr>
          <w:rFonts w:eastAsiaTheme="minorEastAsia"/>
        </w:rPr>
        <w:t>hort-sellers will have a one-hour window to rectify the situation, and</w:t>
      </w:r>
    </w:p>
    <w:p w14:paraId="1E955031" w14:textId="77777777" w:rsidR="007F471D" w:rsidRDefault="007F471D" w:rsidP="007F471D">
      <w:pPr>
        <w:pStyle w:val="ListBullet"/>
        <w:rPr>
          <w:rFonts w:eastAsiaTheme="minorEastAsia"/>
        </w:rPr>
      </w:pPr>
      <w:proofErr w:type="gramStart"/>
      <w:r>
        <w:rPr>
          <w:rFonts w:eastAsiaTheme="minorEastAsia"/>
        </w:rPr>
        <w:t>short</w:t>
      </w:r>
      <w:r w:rsidR="0005669E">
        <w:rPr>
          <w:rFonts w:eastAsiaTheme="minorEastAsia"/>
        </w:rPr>
        <w:t>-</w:t>
      </w:r>
      <w:r>
        <w:rPr>
          <w:rFonts w:eastAsiaTheme="minorEastAsia"/>
        </w:rPr>
        <w:t>seller</w:t>
      </w:r>
      <w:r w:rsidR="00FF5932">
        <w:rPr>
          <w:rFonts w:eastAsiaTheme="minorEastAsia"/>
        </w:rPr>
        <w:t>s</w:t>
      </w:r>
      <w:proofErr w:type="gramEnd"/>
      <w:r>
        <w:rPr>
          <w:rFonts w:eastAsiaTheme="minorEastAsia"/>
        </w:rPr>
        <w:t xml:space="preserve"> will face an additional financial penalty above </w:t>
      </w:r>
      <w:r w:rsidR="00FF5932">
        <w:rPr>
          <w:rFonts w:eastAsiaTheme="minorEastAsia"/>
        </w:rPr>
        <w:t xml:space="preserve">their </w:t>
      </w:r>
      <w:r>
        <w:rPr>
          <w:rFonts w:eastAsiaTheme="minorEastAsia"/>
        </w:rPr>
        <w:t xml:space="preserve">collateral requirements, in recognition that there is likely to be </w:t>
      </w:r>
      <w:r w:rsidR="00FF5932">
        <w:rPr>
          <w:rFonts w:eastAsiaTheme="minorEastAsia"/>
        </w:rPr>
        <w:t>a lower level</w:t>
      </w:r>
      <w:r>
        <w:rPr>
          <w:rFonts w:eastAsiaTheme="minorEastAsia"/>
        </w:rPr>
        <w:t xml:space="preserve"> of liquidity for </w:t>
      </w:r>
      <w:r w:rsidR="00FF5932">
        <w:rPr>
          <w:rFonts w:eastAsiaTheme="minorEastAsia"/>
        </w:rPr>
        <w:t xml:space="preserve">capacity </w:t>
      </w:r>
      <w:r>
        <w:rPr>
          <w:rFonts w:eastAsiaTheme="minorEastAsia"/>
        </w:rPr>
        <w:t>products.</w:t>
      </w:r>
    </w:p>
    <w:p w14:paraId="613223E4" w14:textId="77777777" w:rsidR="007F471D" w:rsidRDefault="008F4044" w:rsidP="007F471D">
      <w:pPr>
        <w:pStyle w:val="BodyText"/>
        <w:rPr>
          <w:rFonts w:eastAsiaTheme="minorEastAsia"/>
        </w:rPr>
      </w:pPr>
      <w:r>
        <w:rPr>
          <w:rFonts w:eastAsiaTheme="minorEastAsia"/>
        </w:rPr>
        <w:t xml:space="preserve">The </w:t>
      </w:r>
      <w:r w:rsidR="00724044">
        <w:rPr>
          <w:rFonts w:eastAsiaTheme="minorEastAsia"/>
        </w:rPr>
        <w:t xml:space="preserve">GMRG recognises </w:t>
      </w:r>
      <w:r w:rsidR="00DD0AA3">
        <w:rPr>
          <w:rFonts w:eastAsiaTheme="minorEastAsia"/>
        </w:rPr>
        <w:t xml:space="preserve">the </w:t>
      </w:r>
      <w:r w:rsidR="00724044">
        <w:rPr>
          <w:rFonts w:eastAsiaTheme="minorEastAsia"/>
        </w:rPr>
        <w:t xml:space="preserve">differing </w:t>
      </w:r>
      <w:r w:rsidR="00DD0AA3">
        <w:rPr>
          <w:rFonts w:eastAsiaTheme="minorEastAsia"/>
        </w:rPr>
        <w:t xml:space="preserve">stakeholder </w:t>
      </w:r>
      <w:r w:rsidR="00724044">
        <w:rPr>
          <w:rFonts w:eastAsiaTheme="minorEastAsia"/>
        </w:rPr>
        <w:t xml:space="preserve">views on the appropriate processes to manage this risk. </w:t>
      </w:r>
      <w:r w:rsidR="007F471D">
        <w:rPr>
          <w:rFonts w:eastAsiaTheme="minorEastAsia"/>
        </w:rPr>
        <w:t xml:space="preserve">However, it is </w:t>
      </w:r>
      <w:r w:rsidR="00724044">
        <w:rPr>
          <w:rFonts w:eastAsiaTheme="minorEastAsia"/>
        </w:rPr>
        <w:t>concern</w:t>
      </w:r>
      <w:r w:rsidR="007F471D">
        <w:rPr>
          <w:rFonts w:eastAsiaTheme="minorEastAsia"/>
        </w:rPr>
        <w:t>ed</w:t>
      </w:r>
      <w:r w:rsidR="00724044">
        <w:rPr>
          <w:rFonts w:eastAsiaTheme="minorEastAsia"/>
        </w:rPr>
        <w:t xml:space="preserve"> that</w:t>
      </w:r>
      <w:r w:rsidR="00724044" w:rsidRPr="00286DE6">
        <w:t xml:space="preserve"> </w:t>
      </w:r>
      <w:r w:rsidR="00724044">
        <w:t xml:space="preserve">if </w:t>
      </w:r>
      <w:r w:rsidR="00724044">
        <w:rPr>
          <w:rFonts w:eastAsiaTheme="minorEastAsia"/>
        </w:rPr>
        <w:t>short</w:t>
      </w:r>
      <w:r w:rsidR="0005669E">
        <w:rPr>
          <w:rFonts w:eastAsiaTheme="minorEastAsia"/>
        </w:rPr>
        <w:t>-</w:t>
      </w:r>
      <w:r w:rsidR="00724044">
        <w:rPr>
          <w:rFonts w:eastAsiaTheme="minorEastAsia"/>
        </w:rPr>
        <w:t xml:space="preserve">selling </w:t>
      </w:r>
      <w:r w:rsidR="00724044" w:rsidRPr="00286DE6">
        <w:rPr>
          <w:rFonts w:eastAsiaTheme="minorEastAsia"/>
        </w:rPr>
        <w:t>occur</w:t>
      </w:r>
      <w:r w:rsidR="007F471D">
        <w:rPr>
          <w:rFonts w:eastAsiaTheme="minorEastAsia"/>
        </w:rPr>
        <w:t>red</w:t>
      </w:r>
      <w:r w:rsidR="00724044" w:rsidRPr="00286DE6">
        <w:rPr>
          <w:rFonts w:eastAsiaTheme="minorEastAsia"/>
        </w:rPr>
        <w:t xml:space="preserve"> </w:t>
      </w:r>
      <w:r w:rsidR="00724044">
        <w:rPr>
          <w:rFonts w:eastAsiaTheme="minorEastAsia"/>
        </w:rPr>
        <w:t>at a time</w:t>
      </w:r>
      <w:r w:rsidR="00724044" w:rsidRPr="00286DE6">
        <w:rPr>
          <w:rFonts w:eastAsiaTheme="minorEastAsia"/>
        </w:rPr>
        <w:t xml:space="preserve"> of market stress or low liquidity</w:t>
      </w:r>
      <w:r w:rsidR="007F471D">
        <w:rPr>
          <w:rFonts w:eastAsiaTheme="minorEastAsia"/>
        </w:rPr>
        <w:t>,</w:t>
      </w:r>
      <w:r w:rsidR="00724044" w:rsidRPr="00286DE6">
        <w:rPr>
          <w:rFonts w:eastAsiaTheme="minorEastAsia"/>
        </w:rPr>
        <w:t xml:space="preserve"> a </w:t>
      </w:r>
      <w:r w:rsidR="007F471D">
        <w:rPr>
          <w:rFonts w:eastAsiaTheme="minorEastAsia"/>
        </w:rPr>
        <w:t xml:space="preserve">market </w:t>
      </w:r>
      <w:r w:rsidR="00724044" w:rsidRPr="00286DE6">
        <w:rPr>
          <w:rFonts w:eastAsiaTheme="minorEastAsia"/>
        </w:rPr>
        <w:t xml:space="preserve">participant </w:t>
      </w:r>
      <w:r w:rsidR="007F471D">
        <w:rPr>
          <w:rFonts w:eastAsiaTheme="minorEastAsia"/>
        </w:rPr>
        <w:t xml:space="preserve">that </w:t>
      </w:r>
      <w:r w:rsidR="00724044" w:rsidRPr="00286DE6">
        <w:rPr>
          <w:rFonts w:eastAsiaTheme="minorEastAsia"/>
        </w:rPr>
        <w:t xml:space="preserve">has </w:t>
      </w:r>
      <w:r w:rsidR="007F471D">
        <w:rPr>
          <w:rFonts w:eastAsiaTheme="minorEastAsia"/>
        </w:rPr>
        <w:t>purchased the affected capacity may not be able to rectify the situation and it may have flow on effects in the gas market. I</w:t>
      </w:r>
      <w:r w:rsidR="00724044">
        <w:rPr>
          <w:rFonts w:eastAsiaTheme="minorEastAsia"/>
        </w:rPr>
        <w:t xml:space="preserve">t is important </w:t>
      </w:r>
      <w:r w:rsidR="007F471D">
        <w:rPr>
          <w:rFonts w:eastAsiaTheme="minorEastAsia"/>
        </w:rPr>
        <w:t xml:space="preserve">therefore </w:t>
      </w:r>
      <w:r w:rsidR="00724044">
        <w:rPr>
          <w:rFonts w:eastAsiaTheme="minorEastAsia"/>
        </w:rPr>
        <w:t>for a credible process to be implement</w:t>
      </w:r>
      <w:r w:rsidR="007F471D">
        <w:rPr>
          <w:rFonts w:eastAsiaTheme="minorEastAsia"/>
        </w:rPr>
        <w:t>ed</w:t>
      </w:r>
      <w:r w:rsidR="00724044">
        <w:rPr>
          <w:rFonts w:eastAsiaTheme="minorEastAsia"/>
        </w:rPr>
        <w:t xml:space="preserve"> </w:t>
      </w:r>
      <w:r w:rsidR="00724044" w:rsidRPr="00286DE6">
        <w:rPr>
          <w:rFonts w:eastAsiaTheme="minorEastAsia"/>
        </w:rPr>
        <w:t xml:space="preserve">to maintain the integrity of the </w:t>
      </w:r>
      <w:r w:rsidR="007F471D">
        <w:rPr>
          <w:rFonts w:eastAsiaTheme="minorEastAsia"/>
        </w:rPr>
        <w:t xml:space="preserve">capacity trading </w:t>
      </w:r>
      <w:r w:rsidR="00724044" w:rsidRPr="00286DE6">
        <w:rPr>
          <w:rFonts w:eastAsiaTheme="minorEastAsia"/>
        </w:rPr>
        <w:t>platform</w:t>
      </w:r>
      <w:r w:rsidR="00724044">
        <w:rPr>
          <w:rFonts w:eastAsiaTheme="minorEastAsia"/>
        </w:rPr>
        <w:t xml:space="preserve"> and </w:t>
      </w:r>
      <w:r w:rsidR="007F471D">
        <w:rPr>
          <w:rFonts w:eastAsiaTheme="minorEastAsia"/>
        </w:rPr>
        <w:t xml:space="preserve">instil </w:t>
      </w:r>
      <w:r w:rsidR="00724044">
        <w:rPr>
          <w:rFonts w:eastAsiaTheme="minorEastAsia"/>
        </w:rPr>
        <w:t>confidence</w:t>
      </w:r>
      <w:r w:rsidR="007F471D">
        <w:rPr>
          <w:rFonts w:eastAsiaTheme="minorEastAsia"/>
        </w:rPr>
        <w:t xml:space="preserve"> in the market</w:t>
      </w:r>
      <w:r w:rsidR="00724044">
        <w:rPr>
          <w:rFonts w:eastAsiaTheme="minorEastAsia"/>
        </w:rPr>
        <w:t xml:space="preserve">.  </w:t>
      </w:r>
    </w:p>
    <w:p w14:paraId="5B97D597" w14:textId="77777777" w:rsidR="000865FA" w:rsidRPr="000865FA" w:rsidRDefault="000865FA" w:rsidP="000865FA">
      <w:pPr>
        <w:pStyle w:val="Heading2"/>
        <w:rPr>
          <w:rFonts w:eastAsiaTheme="minorEastAsia"/>
        </w:rPr>
      </w:pPr>
      <w:bookmarkStart w:id="182" w:name="_Toc498577954"/>
      <w:bookmarkStart w:id="183" w:name="_Toc499542675"/>
      <w:r>
        <w:lastRenderedPageBreak/>
        <w:t>Seller defaults on financial obligations in the GSH</w:t>
      </w:r>
      <w:bookmarkEnd w:id="182"/>
      <w:bookmarkEnd w:id="183"/>
      <w:r>
        <w:t xml:space="preserve"> </w:t>
      </w:r>
    </w:p>
    <w:p w14:paraId="6AE9F40B" w14:textId="77777777" w:rsidR="00EB307E" w:rsidRPr="004E791B" w:rsidRDefault="00EB307E" w:rsidP="00EB307E">
      <w:pPr>
        <w:pStyle w:val="Heading6"/>
        <w:spacing w:line="252" w:lineRule="auto"/>
        <w:rPr>
          <w:color w:val="0099CC"/>
        </w:rPr>
      </w:pPr>
      <w:r w:rsidRPr="004E791B">
        <w:rPr>
          <w:color w:val="0099CC"/>
        </w:rPr>
        <w:t>Background</w:t>
      </w:r>
      <w:r>
        <w:rPr>
          <w:color w:val="0099CC"/>
        </w:rPr>
        <w:t xml:space="preserve"> and GMRG’s preliminary view</w:t>
      </w:r>
    </w:p>
    <w:p w14:paraId="2C44434E" w14:textId="77777777" w:rsidR="00EB307E" w:rsidRDefault="00911EF8" w:rsidP="00911EF8">
      <w:pPr>
        <w:pStyle w:val="BodyText"/>
      </w:pPr>
      <w:r>
        <w:t>As explained in the consultation paper, the</w:t>
      </w:r>
      <w:r w:rsidR="00EB307E">
        <w:t>re are already arrangements in place in the</w:t>
      </w:r>
      <w:r>
        <w:t xml:space="preserve"> GSH to deal with </w:t>
      </w:r>
      <w:r w:rsidR="00EB307E">
        <w:t xml:space="preserve">a seller’s default on its GSH financial obligations. In short, if this occurs: </w:t>
      </w:r>
    </w:p>
    <w:p w14:paraId="51D6E42C" w14:textId="77777777" w:rsidR="00EB307E" w:rsidRDefault="00911EF8" w:rsidP="00EB307E">
      <w:pPr>
        <w:pStyle w:val="ListBullet"/>
      </w:pPr>
      <w:r w:rsidRPr="00F7052B">
        <w:t xml:space="preserve">AEMO may suspend or terminate the participant’s membership and use the Close Out </w:t>
      </w:r>
      <w:r>
        <w:t xml:space="preserve">and Offset Procedures (see </w:t>
      </w:r>
      <w:r w:rsidR="00EB307E">
        <w:fldChar w:fldCharType="begin"/>
      </w:r>
      <w:r w:rsidR="00EB307E">
        <w:instrText xml:space="preserve"> REF _Ref492137828 \h </w:instrText>
      </w:r>
      <w:r w:rsidR="00EB307E">
        <w:fldChar w:fldCharType="separate"/>
      </w:r>
      <w:r w:rsidR="00761861">
        <w:t>Box E.</w:t>
      </w:r>
      <w:r w:rsidR="00761861">
        <w:rPr>
          <w:noProof/>
        </w:rPr>
        <w:t>1</w:t>
      </w:r>
      <w:r w:rsidR="00EB307E">
        <w:fldChar w:fldCharType="end"/>
      </w:r>
      <w:r w:rsidRPr="00F7052B">
        <w:t>) to cancel any transactions that are on foot</w:t>
      </w:r>
      <w:r w:rsidR="00EB307E">
        <w:t>; and</w:t>
      </w:r>
    </w:p>
    <w:p w14:paraId="3BFC47D9" w14:textId="77777777" w:rsidR="00911EF8" w:rsidRPr="007D70D4" w:rsidRDefault="00911EF8" w:rsidP="00EB307E">
      <w:pPr>
        <w:pStyle w:val="ListBullet"/>
        <w:rPr>
          <w:rFonts w:eastAsiaTheme="minorEastAsia"/>
        </w:rPr>
      </w:pPr>
      <w:proofErr w:type="gramStart"/>
      <w:r w:rsidRPr="00F7052B">
        <w:t>the</w:t>
      </w:r>
      <w:proofErr w:type="gramEnd"/>
      <w:r w:rsidRPr="00F7052B">
        <w:t xml:space="preserve"> counterparty to the trade will be compensated 25% of the face value of the </w:t>
      </w:r>
      <w:r w:rsidRPr="007D70D4">
        <w:t xml:space="preserve">transaction, which will be paid for using the collateral collected from the </w:t>
      </w:r>
      <w:r w:rsidR="00EB307E">
        <w:t>trading participant</w:t>
      </w:r>
      <w:r w:rsidRPr="007D70D4">
        <w:t>.</w:t>
      </w:r>
    </w:p>
    <w:p w14:paraId="585D1DD5" w14:textId="77777777" w:rsidR="00911EF8" w:rsidRDefault="00EB307E" w:rsidP="00911EF8">
      <w:pPr>
        <w:pStyle w:val="BodyText"/>
      </w:pPr>
      <w:r>
        <w:t xml:space="preserve">The consultation paper did, however, identify another potential option that could be used in this case, which was that </w:t>
      </w:r>
      <w:r w:rsidR="00911EF8" w:rsidRPr="00FD6521">
        <w:t xml:space="preserve">if the transfer of capacity from the seller to the buyer has already occurred, </w:t>
      </w:r>
      <w:r>
        <w:t xml:space="preserve">the </w:t>
      </w:r>
      <w:r w:rsidR="00911EF8" w:rsidRPr="00FD6521">
        <w:t xml:space="preserve">transaction </w:t>
      </w:r>
      <w:r>
        <w:t xml:space="preserve">could be treated as </w:t>
      </w:r>
      <w:r w:rsidR="00911EF8" w:rsidRPr="00FD6521">
        <w:t>being fully “delivered” and exclude</w:t>
      </w:r>
      <w:r>
        <w:t>d</w:t>
      </w:r>
      <w:r w:rsidR="00911EF8" w:rsidRPr="00FD6521">
        <w:t xml:space="preserve"> from any close out and offset calculation.</w:t>
      </w:r>
      <w:r w:rsidR="00911EF8">
        <w:t xml:space="preserve"> </w:t>
      </w:r>
      <w:r w:rsidR="00911EF8" w:rsidRPr="00FD6521">
        <w:t xml:space="preserve">For example, if there is a month </w:t>
      </w:r>
      <w:r w:rsidR="00DF0551">
        <w:t xml:space="preserve">long </w:t>
      </w:r>
      <w:r w:rsidR="00911EF8" w:rsidRPr="00FD6521">
        <w:t>transaction that is notified for the full term on the day after being transacted and the seller subsequently defaults on its financial obligations in the GSH, there may be no need to close this trade out due to a risk of non-delivery.</w:t>
      </w:r>
    </w:p>
    <w:p w14:paraId="074E5198" w14:textId="77777777" w:rsidR="00911EF8" w:rsidRPr="007E7238" w:rsidRDefault="00EB307E" w:rsidP="00911EF8">
      <w:pPr>
        <w:pStyle w:val="BodyText"/>
      </w:pPr>
      <w:r>
        <w:t xml:space="preserve">The GMRG did not form a view on this in the </w:t>
      </w:r>
      <w:r w:rsidR="00911EF8" w:rsidRPr="007E7238">
        <w:t>consultation paper</w:t>
      </w:r>
      <w:r w:rsidR="00BB6C53">
        <w:t xml:space="preserve"> but rather </w:t>
      </w:r>
      <w:r>
        <w:t>sought further feedback from stakeholders</w:t>
      </w:r>
      <w:r w:rsidR="00911EF8">
        <w:t>.</w:t>
      </w:r>
    </w:p>
    <w:p w14:paraId="629CE632" w14:textId="77777777" w:rsidR="00911EF8" w:rsidRPr="00362A19" w:rsidRDefault="00911EF8" w:rsidP="00362A19">
      <w:pPr>
        <w:pStyle w:val="Heading6"/>
        <w:spacing w:line="252" w:lineRule="auto"/>
        <w:rPr>
          <w:color w:val="0099CC"/>
        </w:rPr>
      </w:pPr>
      <w:r w:rsidRPr="00362A19">
        <w:rPr>
          <w:color w:val="0099CC"/>
        </w:rPr>
        <w:t xml:space="preserve">Feedback provided through the consultation process </w:t>
      </w:r>
    </w:p>
    <w:p w14:paraId="3837EBEC" w14:textId="77777777" w:rsidR="00911EF8" w:rsidRDefault="00911EF8" w:rsidP="00911EF8">
      <w:pPr>
        <w:pStyle w:val="BodyText"/>
        <w:rPr>
          <w:rFonts w:eastAsiaTheme="minorEastAsia"/>
        </w:rPr>
      </w:pPr>
      <w:r w:rsidRPr="00B10A5A">
        <w:rPr>
          <w:rFonts w:eastAsiaTheme="minorEastAsia"/>
        </w:rPr>
        <w:t xml:space="preserve">AGL and Stanwell </w:t>
      </w:r>
      <w:r w:rsidR="00EB307E">
        <w:rPr>
          <w:rFonts w:eastAsiaTheme="minorEastAsia"/>
        </w:rPr>
        <w:t>were the only stakeholders that provided feedback on this issue.</w:t>
      </w:r>
      <w:r w:rsidRPr="00B10A5A">
        <w:rPr>
          <w:rFonts w:eastAsiaTheme="minorEastAsia"/>
        </w:rPr>
        <w:t xml:space="preserve"> AGL </w:t>
      </w:r>
      <w:r w:rsidR="00EB307E">
        <w:rPr>
          <w:rFonts w:eastAsiaTheme="minorEastAsia"/>
        </w:rPr>
        <w:t xml:space="preserve">was of the view that </w:t>
      </w:r>
      <w:r>
        <w:rPr>
          <w:rFonts w:eastAsiaTheme="minorEastAsia"/>
        </w:rPr>
        <w:t xml:space="preserve">if the primary </w:t>
      </w:r>
      <w:r w:rsidRPr="00B10A5A">
        <w:rPr>
          <w:rFonts w:eastAsiaTheme="minorEastAsia"/>
        </w:rPr>
        <w:t>GTA remains on foo</w:t>
      </w:r>
      <w:r>
        <w:rPr>
          <w:rFonts w:eastAsiaTheme="minorEastAsia"/>
        </w:rPr>
        <w:t>t</w:t>
      </w:r>
      <w:r w:rsidR="00EB307E">
        <w:rPr>
          <w:rFonts w:eastAsiaTheme="minorEastAsia"/>
        </w:rPr>
        <w:t>,</w:t>
      </w:r>
      <w:r>
        <w:rPr>
          <w:rFonts w:eastAsiaTheme="minorEastAsia"/>
        </w:rPr>
        <w:t xml:space="preserve"> then </w:t>
      </w:r>
      <w:r w:rsidRPr="00B10A5A">
        <w:rPr>
          <w:rFonts w:eastAsiaTheme="minorEastAsia"/>
        </w:rPr>
        <w:t xml:space="preserve">trades conducted prior to </w:t>
      </w:r>
      <w:r w:rsidR="00EB307E">
        <w:rPr>
          <w:rFonts w:eastAsiaTheme="minorEastAsia"/>
        </w:rPr>
        <w:t xml:space="preserve">the </w:t>
      </w:r>
      <w:r w:rsidRPr="00B10A5A">
        <w:rPr>
          <w:rFonts w:eastAsiaTheme="minorEastAsia"/>
        </w:rPr>
        <w:t>default should be honoured</w:t>
      </w:r>
      <w:r>
        <w:rPr>
          <w:rFonts w:eastAsiaTheme="minorEastAsia"/>
        </w:rPr>
        <w:t xml:space="preserve">, even if the seller is </w:t>
      </w:r>
      <w:r w:rsidRPr="00B10A5A">
        <w:rPr>
          <w:rFonts w:eastAsiaTheme="minorEastAsia"/>
        </w:rPr>
        <w:t>banned from the GSH post trade</w:t>
      </w:r>
      <w:r w:rsidR="00EB307E">
        <w:rPr>
          <w:rFonts w:eastAsiaTheme="minorEastAsia"/>
        </w:rPr>
        <w:t xml:space="preserve">. </w:t>
      </w:r>
      <w:r w:rsidRPr="00B10A5A">
        <w:rPr>
          <w:rFonts w:eastAsiaTheme="minorEastAsia"/>
        </w:rPr>
        <w:t xml:space="preserve">Stanwell </w:t>
      </w:r>
      <w:r>
        <w:rPr>
          <w:rFonts w:eastAsiaTheme="minorEastAsia"/>
        </w:rPr>
        <w:t xml:space="preserve">also </w:t>
      </w:r>
      <w:r w:rsidR="00BB6C53">
        <w:rPr>
          <w:rFonts w:eastAsiaTheme="minorEastAsia"/>
        </w:rPr>
        <w:t xml:space="preserve">suggested </w:t>
      </w:r>
      <w:r w:rsidR="00EB307E">
        <w:rPr>
          <w:rFonts w:eastAsiaTheme="minorEastAsia"/>
        </w:rPr>
        <w:t xml:space="preserve">that keeping the trade on foot was a </w:t>
      </w:r>
      <w:r w:rsidRPr="00B10A5A">
        <w:rPr>
          <w:rFonts w:eastAsiaTheme="minorEastAsia"/>
        </w:rPr>
        <w:t>sensible option</w:t>
      </w:r>
      <w:r w:rsidR="00EB307E">
        <w:rPr>
          <w:rFonts w:eastAsiaTheme="minorEastAsia"/>
        </w:rPr>
        <w:t>,</w:t>
      </w:r>
      <w:r w:rsidRPr="00B10A5A">
        <w:rPr>
          <w:rFonts w:eastAsiaTheme="minorEastAsia"/>
        </w:rPr>
        <w:t xml:space="preserve"> </w:t>
      </w:r>
      <w:r>
        <w:rPr>
          <w:rFonts w:eastAsiaTheme="minorEastAsia"/>
        </w:rPr>
        <w:t xml:space="preserve">but noted that </w:t>
      </w:r>
      <w:r w:rsidRPr="00B10A5A">
        <w:rPr>
          <w:rFonts w:eastAsiaTheme="minorEastAsia"/>
        </w:rPr>
        <w:t xml:space="preserve">more detail </w:t>
      </w:r>
      <w:r w:rsidR="00EB307E">
        <w:rPr>
          <w:rFonts w:eastAsiaTheme="minorEastAsia"/>
        </w:rPr>
        <w:t xml:space="preserve">was </w:t>
      </w:r>
      <w:r w:rsidRPr="00B10A5A">
        <w:rPr>
          <w:rFonts w:eastAsiaTheme="minorEastAsia"/>
        </w:rPr>
        <w:t xml:space="preserve">required from AEMO on whether this </w:t>
      </w:r>
      <w:r w:rsidR="00EB307E">
        <w:rPr>
          <w:rFonts w:eastAsiaTheme="minorEastAsia"/>
        </w:rPr>
        <w:t>was</w:t>
      </w:r>
      <w:r w:rsidRPr="00B10A5A">
        <w:rPr>
          <w:rFonts w:eastAsiaTheme="minorEastAsia"/>
        </w:rPr>
        <w:t xml:space="preserve"> feasible.</w:t>
      </w:r>
    </w:p>
    <w:p w14:paraId="54629BD1" w14:textId="77777777" w:rsidR="00911EF8" w:rsidRPr="00362A19" w:rsidRDefault="00911EF8" w:rsidP="00362A19">
      <w:pPr>
        <w:pStyle w:val="Heading6"/>
        <w:spacing w:line="252" w:lineRule="auto"/>
        <w:rPr>
          <w:color w:val="0099CC"/>
        </w:rPr>
      </w:pPr>
      <w:r w:rsidRPr="00362A19">
        <w:rPr>
          <w:color w:val="0099CC"/>
        </w:rPr>
        <w:t xml:space="preserve">GMRG’s final recommendations </w:t>
      </w:r>
    </w:p>
    <w:p w14:paraId="66008E05" w14:textId="77777777" w:rsidR="00B04AAC" w:rsidRDefault="00EB307E" w:rsidP="00911EF8">
      <w:pPr>
        <w:pStyle w:val="BodyText"/>
        <w:rPr>
          <w:rFonts w:eastAsiaTheme="minorEastAsia"/>
        </w:rPr>
      </w:pPr>
      <w:r>
        <w:rPr>
          <w:rFonts w:eastAsiaTheme="minorEastAsia"/>
        </w:rPr>
        <w:t xml:space="preserve">Like AGL and Stanwell, the </w:t>
      </w:r>
      <w:r w:rsidR="00911EF8" w:rsidRPr="00303ECF">
        <w:rPr>
          <w:rFonts w:eastAsiaTheme="minorEastAsia"/>
        </w:rPr>
        <w:t xml:space="preserve">GMRG </w:t>
      </w:r>
      <w:r>
        <w:rPr>
          <w:rFonts w:eastAsiaTheme="minorEastAsia"/>
        </w:rPr>
        <w:t xml:space="preserve">is of the view that if the transfer of capacity from </w:t>
      </w:r>
      <w:r w:rsidR="00BB6C53">
        <w:rPr>
          <w:rFonts w:eastAsiaTheme="minorEastAsia"/>
        </w:rPr>
        <w:t xml:space="preserve">the </w:t>
      </w:r>
      <w:r>
        <w:rPr>
          <w:rFonts w:eastAsiaTheme="minorEastAsia"/>
        </w:rPr>
        <w:t xml:space="preserve">seller to the buyer has already occurred and the </w:t>
      </w:r>
      <w:r w:rsidR="00911EF8" w:rsidRPr="00303ECF">
        <w:rPr>
          <w:rFonts w:eastAsiaTheme="minorEastAsia"/>
        </w:rPr>
        <w:t>seller subsequently defaults on its GSH obligations</w:t>
      </w:r>
      <w:r>
        <w:rPr>
          <w:rFonts w:eastAsiaTheme="minorEastAsia"/>
        </w:rPr>
        <w:t xml:space="preserve">, the </w:t>
      </w:r>
      <w:r w:rsidR="00911EF8">
        <w:rPr>
          <w:rFonts w:eastAsiaTheme="minorEastAsia"/>
        </w:rPr>
        <w:t xml:space="preserve">trade should be kept </w:t>
      </w:r>
      <w:r>
        <w:rPr>
          <w:rFonts w:eastAsiaTheme="minorEastAsia"/>
        </w:rPr>
        <w:t>on foot an</w:t>
      </w:r>
      <w:r w:rsidR="00BB6C53">
        <w:rPr>
          <w:rFonts w:eastAsiaTheme="minorEastAsia"/>
        </w:rPr>
        <w:t>d</w:t>
      </w:r>
      <w:r>
        <w:rPr>
          <w:rFonts w:eastAsiaTheme="minorEastAsia"/>
        </w:rPr>
        <w:t xml:space="preserve"> </w:t>
      </w:r>
      <w:r w:rsidR="00911EF8">
        <w:rPr>
          <w:rFonts w:eastAsiaTheme="minorEastAsia"/>
        </w:rPr>
        <w:t xml:space="preserve">excluded from the close out and offset procedure. </w:t>
      </w:r>
    </w:p>
    <w:p w14:paraId="3E5541A3" w14:textId="77777777" w:rsidR="00911EF8" w:rsidRDefault="00B04AAC" w:rsidP="00911EF8">
      <w:pPr>
        <w:pStyle w:val="BodyText"/>
        <w:rPr>
          <w:rFonts w:eastAsiaTheme="minorEastAsia"/>
        </w:rPr>
      </w:pPr>
      <w:r>
        <w:rPr>
          <w:rFonts w:eastAsiaTheme="minorEastAsia"/>
        </w:rPr>
        <w:t>As noted in section 9.1.1, the platform will be fully anonymous, so buyers will be unable to conduct their own risk assessment of the sellers and therefore will rely on the platform design to have appropriate default arrangements. The other important point to note in this context is that c</w:t>
      </w:r>
      <w:r w:rsidR="00911EF8" w:rsidRPr="00303ECF">
        <w:rPr>
          <w:rFonts w:eastAsiaTheme="minorEastAsia"/>
        </w:rPr>
        <w:t>apacity is different from commodity</w:t>
      </w:r>
      <w:r>
        <w:rPr>
          <w:rFonts w:eastAsiaTheme="minorEastAsia"/>
        </w:rPr>
        <w:t>,</w:t>
      </w:r>
      <w:r w:rsidR="00911EF8" w:rsidRPr="00303ECF">
        <w:rPr>
          <w:rFonts w:eastAsiaTheme="minorEastAsia"/>
        </w:rPr>
        <w:t xml:space="preserve"> in the sense that the provision of the service effectively rests with the service</w:t>
      </w:r>
      <w:r>
        <w:rPr>
          <w:rFonts w:eastAsiaTheme="minorEastAsia"/>
        </w:rPr>
        <w:t xml:space="preserve"> provider not with the seller. So </w:t>
      </w:r>
      <w:r w:rsidR="00911EF8" w:rsidRPr="00303ECF">
        <w:rPr>
          <w:rFonts w:eastAsiaTheme="minorEastAsia"/>
        </w:rPr>
        <w:t xml:space="preserve">as long as the seller continues to honour its obligations under the primary GTA there would be no risk of non-delivery of the traded capacity. </w:t>
      </w:r>
      <w:r>
        <w:rPr>
          <w:rFonts w:eastAsiaTheme="minorEastAsia"/>
        </w:rPr>
        <w:t xml:space="preserve">In these circumstances, the GMRG believes that keeping trades on foot, where it is possible to do so, will promote the NGO because it will provide market participants more certainty and confidence to trade on the platform.  </w:t>
      </w:r>
    </w:p>
    <w:p w14:paraId="67C3F2AA" w14:textId="77777777" w:rsidR="003529C7" w:rsidRPr="009E64FB" w:rsidRDefault="003529C7" w:rsidP="00CE75B2">
      <w:pPr>
        <w:pStyle w:val="BodyText"/>
        <w:rPr>
          <w:sz w:val="2"/>
          <w:szCs w:val="2"/>
        </w:rPr>
      </w:pPr>
      <w:r w:rsidRPr="009E64FB">
        <w:rPr>
          <w:sz w:val="2"/>
          <w:szCs w:val="2"/>
        </w:rPr>
        <w:br w:type="page"/>
      </w:r>
    </w:p>
    <w:p w14:paraId="6341458A" w14:textId="77777777" w:rsidR="00573F9B" w:rsidRDefault="00573F9B" w:rsidP="00F65A13">
      <w:pPr>
        <w:pStyle w:val="Heading1"/>
      </w:pPr>
      <w:bookmarkStart w:id="184" w:name="_Toc499542676"/>
      <w:r>
        <w:lastRenderedPageBreak/>
        <w:t xml:space="preserve">Capacity </w:t>
      </w:r>
      <w:r w:rsidR="00852D52">
        <w:t>L</w:t>
      </w:r>
      <w:r>
        <w:t xml:space="preserve">isting </w:t>
      </w:r>
      <w:r w:rsidR="00852D52">
        <w:t>S</w:t>
      </w:r>
      <w:r>
        <w:t>ervice</w:t>
      </w:r>
      <w:r w:rsidR="009D2E80">
        <w:t xml:space="preserve"> and </w:t>
      </w:r>
      <w:r w:rsidR="00852D52">
        <w:t>B</w:t>
      </w:r>
      <w:r w:rsidR="009D2E80">
        <w:t xml:space="preserve">ilateral </w:t>
      </w:r>
      <w:r w:rsidR="00852D52">
        <w:t>T</w:t>
      </w:r>
      <w:r w:rsidR="009D2E80">
        <w:t>rading</w:t>
      </w:r>
      <w:bookmarkEnd w:id="184"/>
    </w:p>
    <w:p w14:paraId="5A159A8B" w14:textId="77777777" w:rsidR="00031DD5" w:rsidRDefault="00D87A0F" w:rsidP="00031DD5">
      <w:pPr>
        <w:pStyle w:val="BodyText"/>
      </w:pPr>
      <w:r>
        <w:t xml:space="preserve">In addition to the exchange, the </w:t>
      </w:r>
      <w:r w:rsidR="00031DD5">
        <w:t xml:space="preserve">capacity trading </w:t>
      </w:r>
      <w:r>
        <w:t>platform will include</w:t>
      </w:r>
      <w:r w:rsidR="00031DD5">
        <w:t xml:space="preserve"> a listing service</w:t>
      </w:r>
      <w:r w:rsidR="00031DD5" w:rsidRPr="001C4036">
        <w:t xml:space="preserve">.  </w:t>
      </w:r>
      <w:r w:rsidR="00031DD5">
        <w:t xml:space="preserve">In contrast to the exchange, the listing service will allow shippers to specify any service they wish to buy or sell </w:t>
      </w:r>
      <w:r w:rsidR="007E2BFF">
        <w:t xml:space="preserve">as well as </w:t>
      </w:r>
      <w:r w:rsidR="00031DD5">
        <w:t>the price at which they are willing to do so and to enter into trades through bilateral negotiations.</w:t>
      </w:r>
    </w:p>
    <w:p w14:paraId="09D6B76B" w14:textId="77777777" w:rsidR="00DA70CF" w:rsidRDefault="00DA70CF" w:rsidP="00031DD5">
      <w:pPr>
        <w:pStyle w:val="BodyText"/>
      </w:pPr>
      <w:r>
        <w:t xml:space="preserve">The remainder of this </w:t>
      </w:r>
      <w:r w:rsidRPr="001E46B3">
        <w:t xml:space="preserve">chapter sets out </w:t>
      </w:r>
      <w:r>
        <w:t xml:space="preserve">the </w:t>
      </w:r>
      <w:r w:rsidRPr="001E46B3">
        <w:t>GMRG</w:t>
      </w:r>
      <w:r>
        <w:t>’s</w:t>
      </w:r>
      <w:r w:rsidRPr="001E46B3">
        <w:t xml:space="preserve"> </w:t>
      </w:r>
      <w:r>
        <w:t xml:space="preserve">final </w:t>
      </w:r>
      <w:r w:rsidRPr="001E46B3">
        <w:t xml:space="preserve">recommendations on the </w:t>
      </w:r>
      <w:r>
        <w:t xml:space="preserve">design of the listing service and the obligations sellers will have when entering into bilateral trades. </w:t>
      </w:r>
    </w:p>
    <w:p w14:paraId="0D472D16" w14:textId="77777777" w:rsidR="0031545C" w:rsidRPr="004E791B" w:rsidRDefault="0031545C" w:rsidP="004E791B">
      <w:pPr>
        <w:pStyle w:val="Heading6"/>
        <w:spacing w:line="252" w:lineRule="auto"/>
        <w:rPr>
          <w:color w:val="0099CC"/>
        </w:rPr>
      </w:pPr>
      <w:r w:rsidRPr="004E791B">
        <w:rPr>
          <w:color w:val="0099CC"/>
        </w:rPr>
        <w:t>Background</w:t>
      </w:r>
    </w:p>
    <w:p w14:paraId="7E9954B8" w14:textId="77777777" w:rsidR="00031DD5" w:rsidRDefault="0031545C" w:rsidP="00031DD5">
      <w:pPr>
        <w:pStyle w:val="BodyText"/>
      </w:pPr>
      <w:r>
        <w:t xml:space="preserve">The GSH currently includes </w:t>
      </w:r>
      <w:r w:rsidR="00031DD5">
        <w:t xml:space="preserve">a capacity listing service that enables market participants to list transportation services, storage services, </w:t>
      </w:r>
      <w:proofErr w:type="gramStart"/>
      <w:r w:rsidR="00031DD5">
        <w:t>gas</w:t>
      </w:r>
      <w:proofErr w:type="gramEnd"/>
      <w:r w:rsidR="00031DD5">
        <w:t xml:space="preserve"> and swaps that they have an interest in buying or selling. </w:t>
      </w:r>
      <w:r w:rsidR="007E2BFF">
        <w:t>Feedback was sought from t</w:t>
      </w:r>
      <w:r w:rsidR="00031DD5">
        <w:t xml:space="preserve">he Capacity Trading Platform project team </w:t>
      </w:r>
      <w:r w:rsidR="007E2BFF">
        <w:t xml:space="preserve">on whether </w:t>
      </w:r>
      <w:r w:rsidR="00031DD5">
        <w:t>they thought any changes to the design of the listing service were required</w:t>
      </w:r>
      <w:r w:rsidR="007E2BFF">
        <w:t xml:space="preserve">. In short, the </w:t>
      </w:r>
      <w:r w:rsidR="00031DD5">
        <w:t xml:space="preserve">project team </w:t>
      </w:r>
      <w:r w:rsidR="007E2BFF">
        <w:t>though</w:t>
      </w:r>
      <w:r w:rsidR="0078262D">
        <w:t>t</w:t>
      </w:r>
      <w:r w:rsidR="007E2BFF">
        <w:t xml:space="preserve"> the current listing service </w:t>
      </w:r>
      <w:r w:rsidR="00031DD5">
        <w:t xml:space="preserve">was working as intended and that no changes were required. </w:t>
      </w:r>
    </w:p>
    <w:p w14:paraId="5B540BBB" w14:textId="77777777" w:rsidR="0031545C" w:rsidRDefault="00D87A0F" w:rsidP="00D87A0F">
      <w:pPr>
        <w:pStyle w:val="BodyText"/>
      </w:pPr>
      <w:r>
        <w:t xml:space="preserve">While changes to the design of the listing service may not be required, some changes to the governance arrangements may be required to give effect to the AEMC’s recommendation that </w:t>
      </w:r>
      <w:r w:rsidR="0031545C">
        <w:t>sellers entering into bilateral capacity trades be required to offer the buyer the option of using an operational transfer to give effect to the trade. This recommendation was classified by the AEMC as a required outcome because it had concerns that the use of a bare transfer may result in secondary shippers having to submit nominations to potential competitors.</w:t>
      </w:r>
      <w:r w:rsidR="0031545C">
        <w:rPr>
          <w:rStyle w:val="FootnoteReference"/>
        </w:rPr>
        <w:footnoteReference w:id="89"/>
      </w:r>
      <w:r w:rsidR="0031545C">
        <w:t xml:space="preserve"> Rather than banning bare transfers, the AEMC recommended that the seller </w:t>
      </w:r>
      <w:r w:rsidR="007E2BFF">
        <w:t xml:space="preserve">be required to </w:t>
      </w:r>
      <w:r w:rsidR="0031545C">
        <w:t>always offer prospective buyers the option to use an operational transfer.</w:t>
      </w:r>
    </w:p>
    <w:p w14:paraId="4252EC8F" w14:textId="77777777" w:rsidR="00031DD5" w:rsidRPr="004E791B" w:rsidRDefault="004E791B" w:rsidP="004E791B">
      <w:pPr>
        <w:pStyle w:val="Heading6"/>
        <w:spacing w:line="252" w:lineRule="auto"/>
        <w:rPr>
          <w:color w:val="0099CC"/>
        </w:rPr>
      </w:pPr>
      <w:r>
        <w:rPr>
          <w:color w:val="0099CC"/>
        </w:rPr>
        <w:t>GMRG’s p</w:t>
      </w:r>
      <w:r w:rsidR="0031545C" w:rsidRPr="004E791B">
        <w:rPr>
          <w:color w:val="0099CC"/>
        </w:rPr>
        <w:t>reliminary view</w:t>
      </w:r>
    </w:p>
    <w:p w14:paraId="024A0BCF" w14:textId="77777777" w:rsidR="00031DD5" w:rsidRPr="001C4036" w:rsidRDefault="00031DD5" w:rsidP="00031DD5">
      <w:pPr>
        <w:pStyle w:val="BodyText"/>
      </w:pPr>
      <w:r>
        <w:t xml:space="preserve">In the consultation paper, </w:t>
      </w:r>
      <w:r w:rsidR="00D87A0F">
        <w:t xml:space="preserve">the </w:t>
      </w:r>
      <w:r>
        <w:t xml:space="preserve">GMRG </w:t>
      </w:r>
      <w:r w:rsidR="00D87A0F">
        <w:t xml:space="preserve">agreed with the </w:t>
      </w:r>
      <w:r w:rsidR="0001631B">
        <w:t xml:space="preserve">project team’s view that no changes need to be made to the existing listing service. The GMRG also agreed with the </w:t>
      </w:r>
      <w:r w:rsidR="00D87A0F">
        <w:t>AEMC’s recommendation that sellers in bilateral trades should be required to offer buyers the option of utilising an operational transfer</w:t>
      </w:r>
      <w:r>
        <w:t>.</w:t>
      </w:r>
    </w:p>
    <w:p w14:paraId="6DB3C037" w14:textId="77777777" w:rsidR="00031DD5" w:rsidRPr="004E791B" w:rsidRDefault="00031DD5" w:rsidP="004E791B">
      <w:pPr>
        <w:pStyle w:val="Heading6"/>
        <w:spacing w:line="252" w:lineRule="auto"/>
        <w:rPr>
          <w:color w:val="0099CC"/>
        </w:rPr>
      </w:pPr>
      <w:r w:rsidRPr="004E791B">
        <w:rPr>
          <w:color w:val="0099CC"/>
        </w:rPr>
        <w:t xml:space="preserve">Feedback provided through the consultation process </w:t>
      </w:r>
    </w:p>
    <w:p w14:paraId="23E1EAC8" w14:textId="77777777" w:rsidR="00031DD5" w:rsidRPr="005B4275" w:rsidRDefault="0031545C" w:rsidP="00031DD5">
      <w:pPr>
        <w:pStyle w:val="BodyText"/>
      </w:pPr>
      <w:r>
        <w:t xml:space="preserve">Stakeholders </w:t>
      </w:r>
      <w:r w:rsidR="00732398">
        <w:t xml:space="preserve">were </w:t>
      </w:r>
      <w:r>
        <w:t>g</w:t>
      </w:r>
      <w:r w:rsidR="00031DD5" w:rsidRPr="005B4275">
        <w:t xml:space="preserve">enerally </w:t>
      </w:r>
      <w:r w:rsidR="00732398">
        <w:t>supportive of</w:t>
      </w:r>
      <w:r w:rsidR="00031DD5" w:rsidRPr="005B4275">
        <w:t xml:space="preserve"> </w:t>
      </w:r>
      <w:r>
        <w:t xml:space="preserve">the </w:t>
      </w:r>
      <w:r w:rsidR="00D87A0F">
        <w:t>GMRG’s preliminary view</w:t>
      </w:r>
      <w:r w:rsidR="00732398">
        <w:t>, although some stakeholders question</w:t>
      </w:r>
      <w:r w:rsidR="00D87A0F">
        <w:t>ed</w:t>
      </w:r>
      <w:r w:rsidR="00732398">
        <w:t xml:space="preserve"> whether </w:t>
      </w:r>
      <w:r w:rsidR="0001631B">
        <w:t xml:space="preserve">the requirement to offer an operational transfer </w:t>
      </w:r>
      <w:r w:rsidR="00732398">
        <w:t>should be mandatory</w:t>
      </w:r>
      <w:r w:rsidR="00031DD5" w:rsidRPr="005B4275">
        <w:t xml:space="preserve">.  </w:t>
      </w:r>
      <w:r w:rsidR="00732398">
        <w:t xml:space="preserve">Some of the </w:t>
      </w:r>
      <w:r w:rsidR="007E2BFF">
        <w:t xml:space="preserve">stakeholder views </w:t>
      </w:r>
      <w:r w:rsidR="00732398">
        <w:t>expressed on this issue are summarised below</w:t>
      </w:r>
      <w:r>
        <w:t>:</w:t>
      </w:r>
    </w:p>
    <w:p w14:paraId="2CF8BB52" w14:textId="77777777" w:rsidR="007009AE" w:rsidRPr="001C4036" w:rsidRDefault="007009AE" w:rsidP="007009AE">
      <w:pPr>
        <w:pStyle w:val="ListBullet"/>
      </w:pPr>
      <w:r>
        <w:t xml:space="preserve">APLNG agreed with the preliminary view and noted that requiring </w:t>
      </w:r>
      <w:r w:rsidR="0001631B">
        <w:t xml:space="preserve">shippers to offer </w:t>
      </w:r>
      <w:r w:rsidR="0078262D">
        <w:t>a</w:t>
      </w:r>
      <w:r w:rsidR="0001631B">
        <w:t xml:space="preserve">n operational transfer </w:t>
      </w:r>
      <w:r>
        <w:t xml:space="preserve">through the </w:t>
      </w:r>
      <w:r w:rsidRPr="001C4036">
        <w:t xml:space="preserve">NGR would provide </w:t>
      </w:r>
      <w:r>
        <w:t xml:space="preserve">sellers an </w:t>
      </w:r>
      <w:r w:rsidRPr="001C4036">
        <w:t xml:space="preserve">incentive to abide by this </w:t>
      </w:r>
      <w:r>
        <w:t>requirement</w:t>
      </w:r>
      <w:r w:rsidRPr="001C4036">
        <w:t>.</w:t>
      </w:r>
      <w:r w:rsidRPr="00B63677">
        <w:t xml:space="preserve"> </w:t>
      </w:r>
    </w:p>
    <w:p w14:paraId="5D370943" w14:textId="77777777" w:rsidR="0031545C" w:rsidRDefault="00031DD5" w:rsidP="008D7F25">
      <w:pPr>
        <w:pStyle w:val="ListBullet"/>
      </w:pPr>
      <w:r w:rsidRPr="001C4036">
        <w:lastRenderedPageBreak/>
        <w:t>AGL</w:t>
      </w:r>
      <w:r w:rsidR="0031545C">
        <w:t xml:space="preserve"> </w:t>
      </w:r>
      <w:r>
        <w:t xml:space="preserve">noted </w:t>
      </w:r>
      <w:r w:rsidR="00A368B5">
        <w:t xml:space="preserve">its </w:t>
      </w:r>
      <w:r w:rsidRPr="001C4036">
        <w:t>support</w:t>
      </w:r>
      <w:r w:rsidR="00A368B5">
        <w:t xml:space="preserve"> for</w:t>
      </w:r>
      <w:r>
        <w:t xml:space="preserve"> </w:t>
      </w:r>
      <w:r w:rsidRPr="001C4036">
        <w:t xml:space="preserve">operational transfers </w:t>
      </w:r>
      <w:r w:rsidR="00A368B5">
        <w:t xml:space="preserve">and </w:t>
      </w:r>
      <w:r w:rsidR="00732398">
        <w:t xml:space="preserve">stated </w:t>
      </w:r>
      <w:r w:rsidR="00A368B5">
        <w:t xml:space="preserve">that </w:t>
      </w:r>
      <w:r w:rsidR="00732398">
        <w:t xml:space="preserve">in its view </w:t>
      </w:r>
      <w:r w:rsidR="00A368B5">
        <w:t>bare transfer</w:t>
      </w:r>
      <w:r w:rsidR="00732398">
        <w:t xml:space="preserve">s should </w:t>
      </w:r>
      <w:r w:rsidR="00A368B5">
        <w:t xml:space="preserve">only be </w:t>
      </w:r>
      <w:r w:rsidR="00732398">
        <w:t xml:space="preserve">used </w:t>
      </w:r>
      <w:r w:rsidR="00A368B5">
        <w:t xml:space="preserve">by mutual agreement and not </w:t>
      </w:r>
      <w:r w:rsidR="00732398">
        <w:t xml:space="preserve">from a unilateral decision </w:t>
      </w:r>
      <w:r w:rsidR="00A368B5">
        <w:t>by either the buyer or seller</w:t>
      </w:r>
      <w:r>
        <w:t xml:space="preserve">.  </w:t>
      </w:r>
    </w:p>
    <w:p w14:paraId="236B2C54" w14:textId="77777777" w:rsidR="0031545C" w:rsidRDefault="00031DD5" w:rsidP="008D7F25">
      <w:pPr>
        <w:pStyle w:val="ListBullet"/>
      </w:pPr>
      <w:r>
        <w:t>APA thought that g</w:t>
      </w:r>
      <w:r w:rsidRPr="001C4036">
        <w:t xml:space="preserve">iven that operational transfers </w:t>
      </w:r>
      <w:r w:rsidR="0031545C">
        <w:t xml:space="preserve">would </w:t>
      </w:r>
      <w:r w:rsidRPr="001C4036">
        <w:t xml:space="preserve">be in place for </w:t>
      </w:r>
      <w:r w:rsidR="0031545C">
        <w:t>exchange</w:t>
      </w:r>
      <w:r w:rsidRPr="001C4036">
        <w:t xml:space="preserve">-traded capacity it would be appropriate for this </w:t>
      </w:r>
      <w:r w:rsidR="00732398">
        <w:t>option to be</w:t>
      </w:r>
      <w:r w:rsidRPr="001C4036">
        <w:t xml:space="preserve"> offer</w:t>
      </w:r>
      <w:r w:rsidR="00732398">
        <w:t>ed</w:t>
      </w:r>
      <w:r w:rsidRPr="001C4036">
        <w:t xml:space="preserve">, </w:t>
      </w:r>
      <w:r>
        <w:t>but noted that o</w:t>
      </w:r>
      <w:r w:rsidRPr="001C4036">
        <w:t xml:space="preserve">ther options such as bare transfer or assignment may also suit some buyers. </w:t>
      </w:r>
    </w:p>
    <w:p w14:paraId="619055F3" w14:textId="77777777" w:rsidR="00031DD5" w:rsidRDefault="0031545C" w:rsidP="008D7F25">
      <w:pPr>
        <w:pStyle w:val="ListBullet"/>
      </w:pPr>
      <w:r w:rsidRPr="001C4036">
        <w:t xml:space="preserve">Shell </w:t>
      </w:r>
      <w:r>
        <w:t xml:space="preserve">expressed a similar view, noting that while it did not </w:t>
      </w:r>
      <w:r w:rsidRPr="001C4036">
        <w:t xml:space="preserve">have any </w:t>
      </w:r>
      <w:r>
        <w:t xml:space="preserve">specific </w:t>
      </w:r>
      <w:r w:rsidRPr="001C4036">
        <w:t xml:space="preserve">concerns with </w:t>
      </w:r>
      <w:r>
        <w:t>the requirement for operational transfers to be offered</w:t>
      </w:r>
      <w:r w:rsidRPr="001C4036">
        <w:t xml:space="preserve">, </w:t>
      </w:r>
      <w:r>
        <w:t xml:space="preserve">it was keen </w:t>
      </w:r>
      <w:r w:rsidRPr="001C4036">
        <w:t>to ensure the option of bare transfers are maintain</w:t>
      </w:r>
      <w:r>
        <w:t>ed</w:t>
      </w:r>
      <w:r w:rsidRPr="001C4036">
        <w:t xml:space="preserve"> if agreed </w:t>
      </w:r>
      <w:r>
        <w:t xml:space="preserve">to </w:t>
      </w:r>
      <w:r w:rsidRPr="001C4036">
        <w:t>by the transacting parties</w:t>
      </w:r>
      <w:r>
        <w:t>.</w:t>
      </w:r>
    </w:p>
    <w:p w14:paraId="793E3765" w14:textId="77777777" w:rsidR="00031DD5" w:rsidRPr="001C4036" w:rsidRDefault="00031DD5" w:rsidP="008D7F25">
      <w:pPr>
        <w:pStyle w:val="ListBullet"/>
      </w:pPr>
      <w:r>
        <w:t>S</w:t>
      </w:r>
      <w:r w:rsidRPr="001C4036">
        <w:t>tanwell</w:t>
      </w:r>
      <w:r>
        <w:t xml:space="preserve"> </w:t>
      </w:r>
      <w:r w:rsidR="007E2BFF">
        <w:t>suggested</w:t>
      </w:r>
      <w:r w:rsidR="0031545C">
        <w:t xml:space="preserve"> the </w:t>
      </w:r>
      <w:r w:rsidRPr="001C4036">
        <w:t xml:space="preserve">requirement to offer </w:t>
      </w:r>
      <w:r w:rsidR="007009AE">
        <w:t xml:space="preserve">an </w:t>
      </w:r>
      <w:r w:rsidRPr="001C4036">
        <w:t>operational tra</w:t>
      </w:r>
      <w:r w:rsidR="007009AE">
        <w:t>nsfer</w:t>
      </w:r>
      <w:r w:rsidRPr="001C4036">
        <w:t xml:space="preserve"> </w:t>
      </w:r>
      <w:r w:rsidR="0031545C">
        <w:t xml:space="preserve">would </w:t>
      </w:r>
      <w:r>
        <w:t xml:space="preserve">add to the cost of trading </w:t>
      </w:r>
      <w:r w:rsidR="007009AE">
        <w:t xml:space="preserve">if </w:t>
      </w:r>
      <w:r>
        <w:t>s</w:t>
      </w:r>
      <w:r w:rsidRPr="001C4036">
        <w:t xml:space="preserve">hippers </w:t>
      </w:r>
      <w:r w:rsidR="007009AE">
        <w:t xml:space="preserve">had </w:t>
      </w:r>
      <w:r w:rsidRPr="001C4036">
        <w:t>to produce two sets of legal documentation and determine two sets of prices</w:t>
      </w:r>
      <w:r w:rsidR="007009AE">
        <w:t xml:space="preserve"> for bare and operational transfers</w:t>
      </w:r>
      <w:r w:rsidRPr="001C4036">
        <w:t xml:space="preserve">. </w:t>
      </w:r>
      <w:r>
        <w:t xml:space="preserve">Stanwell also noted that </w:t>
      </w:r>
      <w:r w:rsidRPr="001C4036">
        <w:t xml:space="preserve">buyers </w:t>
      </w:r>
      <w:r w:rsidR="008D7F25">
        <w:t xml:space="preserve">did </w:t>
      </w:r>
      <w:r w:rsidRPr="001C4036">
        <w:t>not have to accept bare transfers</w:t>
      </w:r>
      <w:r>
        <w:t xml:space="preserve"> </w:t>
      </w:r>
      <w:r w:rsidR="008D7F25">
        <w:t xml:space="preserve">because they </w:t>
      </w:r>
      <w:r w:rsidR="00732398">
        <w:t>would</w:t>
      </w:r>
      <w:r w:rsidRPr="001C4036">
        <w:t xml:space="preserve"> have the option to source capacity from the exchange, through the auction or from the service provider.</w:t>
      </w:r>
      <w:r>
        <w:t xml:space="preserve"> </w:t>
      </w:r>
    </w:p>
    <w:p w14:paraId="62E02203" w14:textId="77777777" w:rsidR="00031DD5" w:rsidRPr="004E791B" w:rsidRDefault="00031DD5" w:rsidP="004E791B">
      <w:pPr>
        <w:pStyle w:val="Heading6"/>
        <w:spacing w:line="252" w:lineRule="auto"/>
        <w:rPr>
          <w:color w:val="0099CC"/>
        </w:rPr>
      </w:pPr>
      <w:r w:rsidRPr="004E791B">
        <w:rPr>
          <w:color w:val="0099CC"/>
        </w:rPr>
        <w:t xml:space="preserve">GMRG’s final recommendations </w:t>
      </w:r>
    </w:p>
    <w:p w14:paraId="4B85C4E6" w14:textId="77777777" w:rsidR="007469B9" w:rsidRDefault="008D7F25" w:rsidP="00031DD5">
      <w:pPr>
        <w:pStyle w:val="BodyText"/>
      </w:pPr>
      <w:r>
        <w:t xml:space="preserve">The </w:t>
      </w:r>
      <w:r w:rsidR="00031DD5" w:rsidRPr="00B63677">
        <w:t xml:space="preserve">GMRG </w:t>
      </w:r>
      <w:r>
        <w:t xml:space="preserve">has considered the issues raised by stakeholders and it would appear </w:t>
      </w:r>
      <w:r w:rsidR="00732398">
        <w:t xml:space="preserve">from some submissions that there may be </w:t>
      </w:r>
      <w:r>
        <w:t xml:space="preserve">some confusion about how the operational transfer option would work. </w:t>
      </w:r>
    </w:p>
    <w:p w14:paraId="65DF9667" w14:textId="77777777" w:rsidR="007009AE" w:rsidRDefault="007469B9" w:rsidP="00031DD5">
      <w:pPr>
        <w:pStyle w:val="BodyText"/>
      </w:pPr>
      <w:r>
        <w:t xml:space="preserve">As outlined in Chapter 2, </w:t>
      </w:r>
      <w:r w:rsidR="008D7F25">
        <w:t xml:space="preserve">if a secondary shipper wanted to give effect to a trade through an operational transfer rather than a bare transfer then it would need to have the necessary arrangements in place with the service provider. Importantly, this would not require any additional work on the part of the seller. The only contractual difference from the seller’s perspective is that the </w:t>
      </w:r>
      <w:r w:rsidR="0024743C">
        <w:t>C</w:t>
      </w:r>
      <w:r w:rsidR="008D7F25">
        <w:t xml:space="preserve">apacity </w:t>
      </w:r>
      <w:r w:rsidR="0024743C">
        <w:t>T</w:t>
      </w:r>
      <w:r w:rsidR="008D7F25">
        <w:t xml:space="preserve">rading </w:t>
      </w:r>
      <w:r w:rsidR="0024743C">
        <w:t>A</w:t>
      </w:r>
      <w:r w:rsidR="008D7F25">
        <w:t xml:space="preserve">greement with the secondary shipper will only contain the financial terms of the transaction and not all of the other operational terms that would be required if a bare transfer was entered into. If anything, this should reduce the </w:t>
      </w:r>
      <w:r>
        <w:t xml:space="preserve">seller’s </w:t>
      </w:r>
      <w:r w:rsidR="008D7F25">
        <w:t xml:space="preserve">transaction costs, because it </w:t>
      </w:r>
      <w:r w:rsidR="007E2BFF">
        <w:t xml:space="preserve">would not </w:t>
      </w:r>
      <w:r w:rsidR="008D7F25">
        <w:t xml:space="preserve">have to negotiate all the </w:t>
      </w:r>
      <w:r>
        <w:t xml:space="preserve">other </w:t>
      </w:r>
      <w:r w:rsidR="008D7F25">
        <w:t xml:space="preserve">terms. </w:t>
      </w:r>
    </w:p>
    <w:p w14:paraId="4D99C801" w14:textId="77777777" w:rsidR="008D7F25" w:rsidRDefault="008D7F25" w:rsidP="00031DD5">
      <w:pPr>
        <w:pStyle w:val="BodyText"/>
      </w:pPr>
      <w:r>
        <w:t xml:space="preserve">The other benefit that an operational transfer offers sellers is that they will </w:t>
      </w:r>
      <w:r w:rsidR="007469B9">
        <w:t>not have to make nominations on behalf of the secondary shipper, manage the secondary shipper’s allocations or monitor the secondary shipper’s imbalances, overruns and compliance with other aspects of the contract. The use of an operational transfer should therefore lower the seller’s administrative and monitoring costs (see Box 2.1 for further detail). From the secondary shipper’s perspective, they can also enhance commercial confidentiality, because nominations are made directly to the service provider.</w:t>
      </w:r>
    </w:p>
    <w:p w14:paraId="1F9ABF5C" w14:textId="77777777" w:rsidR="007009AE" w:rsidRPr="00B63677" w:rsidRDefault="007469B9" w:rsidP="007009AE">
      <w:pPr>
        <w:pStyle w:val="BodyText"/>
      </w:pPr>
      <w:r>
        <w:t>As this brief summary highlights, the operational transfer mechanism</w:t>
      </w:r>
      <w:r w:rsidR="007009AE">
        <w:t xml:space="preserve"> offers a range of benefits to both buyers and sellers</w:t>
      </w:r>
      <w:r>
        <w:t xml:space="preserve">, which is why the AEMC recommended that sellers offer this option to buyers in bilateral trades. </w:t>
      </w:r>
      <w:r w:rsidR="000425BA">
        <w:t xml:space="preserve">The GMRG agrees with the position the AEMC reached on this issue and is therefore recommending that </w:t>
      </w:r>
      <w:r w:rsidR="00031DD5" w:rsidRPr="00B63677">
        <w:t xml:space="preserve">if a seller enters into a bilateral capacity trade, </w:t>
      </w:r>
      <w:r w:rsidR="000425BA">
        <w:t xml:space="preserve">that it </w:t>
      </w:r>
      <w:r w:rsidR="00031DD5" w:rsidRPr="00B63677">
        <w:t>offer the buyer the option of using an operational transfer to give effect to the trade.</w:t>
      </w:r>
      <w:r w:rsidR="00031DD5">
        <w:t xml:space="preserve">  </w:t>
      </w:r>
      <w:r w:rsidR="007009AE">
        <w:t xml:space="preserve">In the GMRG’s view, this recommendation will make it easier for buyers and sellers to conduct bilateral trades and can be expected to facilitate more secondary trading. </w:t>
      </w:r>
    </w:p>
    <w:p w14:paraId="0EABDC9B" w14:textId="77777777" w:rsidR="007009AE" w:rsidRDefault="00732398" w:rsidP="00732398">
      <w:pPr>
        <w:pStyle w:val="BodyText"/>
      </w:pPr>
      <w:r>
        <w:lastRenderedPageBreak/>
        <w:t xml:space="preserve">In a similar manner to the AEMC, the GMRG </w:t>
      </w:r>
      <w:r w:rsidR="007E2BFF">
        <w:t xml:space="preserve">is of the view that </w:t>
      </w:r>
      <w:r>
        <w:t xml:space="preserve">this approach is </w:t>
      </w:r>
      <w:r w:rsidR="00031DD5" w:rsidRPr="00DC0B7D">
        <w:t>preferabl</w:t>
      </w:r>
      <w:r w:rsidR="007009AE">
        <w:t>e</w:t>
      </w:r>
      <w:r w:rsidR="00031DD5" w:rsidRPr="00DC0B7D">
        <w:t xml:space="preserve"> </w:t>
      </w:r>
      <w:r>
        <w:t xml:space="preserve">to </w:t>
      </w:r>
      <w:r w:rsidR="00031DD5" w:rsidRPr="00DC0B7D">
        <w:t>banning bare transfer</w:t>
      </w:r>
      <w:r>
        <w:t xml:space="preserve">s </w:t>
      </w:r>
      <w:r w:rsidR="007009AE">
        <w:t xml:space="preserve">and </w:t>
      </w:r>
      <w:r>
        <w:t xml:space="preserve">other capacity transfer mechanisms (e.g. assignments), which some stakeholders clearly value.  The GMRG understands, however, the concerns that AGL has raised and notes that </w:t>
      </w:r>
      <w:r w:rsidR="007009AE">
        <w:t xml:space="preserve">the requirement for a seller to offer an operational transfer does not extend to having to offer a </w:t>
      </w:r>
      <w:r w:rsidR="001C626A">
        <w:t xml:space="preserve">bare transfer. </w:t>
      </w:r>
      <w:r w:rsidR="007E2BFF">
        <w:t xml:space="preserve">If </w:t>
      </w:r>
      <w:r>
        <w:t xml:space="preserve">a seller does not want to use a bare transfer mechanism, it </w:t>
      </w:r>
      <w:r w:rsidR="001C626A">
        <w:t>can</w:t>
      </w:r>
      <w:r w:rsidR="007E2BFF">
        <w:t xml:space="preserve"> therefore</w:t>
      </w:r>
      <w:r w:rsidR="001C626A">
        <w:t xml:space="preserve"> just offer the operational transfer option.</w:t>
      </w:r>
    </w:p>
    <w:p w14:paraId="723AD1EA" w14:textId="77777777" w:rsidR="001C626A" w:rsidRDefault="001C626A" w:rsidP="00031DD5">
      <w:pPr>
        <w:pStyle w:val="BodyText"/>
      </w:pPr>
      <w:r>
        <w:t>To implement t</w:t>
      </w:r>
      <w:r w:rsidR="00031DD5" w:rsidRPr="00B63677">
        <w:t>his recommendation</w:t>
      </w:r>
      <w:r>
        <w:t xml:space="preserve">, amendments will need </w:t>
      </w:r>
      <w:r w:rsidR="00031DD5" w:rsidRPr="00B63677">
        <w:t>to be made to the NGL and the NGR</w:t>
      </w:r>
      <w:r>
        <w:t xml:space="preserve"> to require shippers </w:t>
      </w:r>
      <w:r w:rsidRPr="0057020B">
        <w:t xml:space="preserve">that </w:t>
      </w:r>
      <w:r>
        <w:t xml:space="preserve">sell secondary capacity on a bilateral basis to </w:t>
      </w:r>
      <w:r w:rsidRPr="0057020B">
        <w:t xml:space="preserve">offer </w:t>
      </w:r>
      <w:r>
        <w:t xml:space="preserve">buyers the option of using an operational transfer to give effect to the trade. </w:t>
      </w:r>
      <w:r w:rsidR="007009AE">
        <w:t xml:space="preserve">The GMRG recommends </w:t>
      </w:r>
      <w:r>
        <w:t xml:space="preserve">that this obligation be </w:t>
      </w:r>
      <w:r w:rsidRPr="0057020B">
        <w:t xml:space="preserve">classified as </w:t>
      </w:r>
      <w:r>
        <w:t xml:space="preserve">a </w:t>
      </w:r>
      <w:r w:rsidRPr="0057020B">
        <w:t xml:space="preserve">civil penalty </w:t>
      </w:r>
      <w:r>
        <w:t>and conduct provision</w:t>
      </w:r>
      <w:r w:rsidRPr="0057020B">
        <w:t xml:space="preserve"> in the regulations made under the NGL</w:t>
      </w:r>
      <w:r>
        <w:t xml:space="preserve"> and </w:t>
      </w:r>
      <w:r w:rsidRPr="0057020B">
        <w:t xml:space="preserve">the AER </w:t>
      </w:r>
      <w:r w:rsidR="007E2BFF">
        <w:t xml:space="preserve">be </w:t>
      </w:r>
      <w:r w:rsidR="00DA70CF">
        <w:t xml:space="preserve">accorded responsibility </w:t>
      </w:r>
      <w:r w:rsidRPr="0057020B">
        <w:t xml:space="preserve">for monitoring compliance with </w:t>
      </w:r>
      <w:r>
        <w:t xml:space="preserve">this </w:t>
      </w:r>
      <w:r w:rsidRPr="0057020B">
        <w:t>obligation</w:t>
      </w:r>
      <w:r>
        <w:t>. Compliance monitoring is expected to occur on a reactive basis in response to complaints from secondary shippers that have not been offered the option of an operational transfer.</w:t>
      </w:r>
    </w:p>
    <w:p w14:paraId="5593F345" w14:textId="77777777" w:rsidR="0031545C" w:rsidRPr="00B63677" w:rsidRDefault="0031545C" w:rsidP="00031DD5">
      <w:pPr>
        <w:pStyle w:val="BodyText"/>
      </w:pPr>
    </w:p>
    <w:p w14:paraId="27E8823F" w14:textId="77777777" w:rsidR="00573F9B" w:rsidRDefault="00573F9B" w:rsidP="00152358">
      <w:pPr>
        <w:pStyle w:val="BodyText"/>
      </w:pPr>
      <w:r>
        <w:br w:type="page"/>
      </w:r>
    </w:p>
    <w:p w14:paraId="1DD97F1C" w14:textId="77777777" w:rsidR="00C34E9D" w:rsidRPr="008B1B73" w:rsidRDefault="00F65A13" w:rsidP="00F65A13">
      <w:pPr>
        <w:pStyle w:val="Heading1"/>
      </w:pPr>
      <w:bookmarkStart w:id="185" w:name="_Toc499542677"/>
      <w:r>
        <w:lastRenderedPageBreak/>
        <w:t xml:space="preserve">Governance </w:t>
      </w:r>
      <w:r w:rsidR="00852D52">
        <w:t>A</w:t>
      </w:r>
      <w:r>
        <w:t xml:space="preserve">rrangements </w:t>
      </w:r>
      <w:bookmarkEnd w:id="174"/>
      <w:r w:rsidR="002C27BE">
        <w:t>for the Capacity Trading Platform</w:t>
      </w:r>
      <w:bookmarkEnd w:id="185"/>
    </w:p>
    <w:p w14:paraId="3BEE0EF1" w14:textId="77777777" w:rsidR="00E24465" w:rsidRDefault="00750FE3" w:rsidP="00CA09BA">
      <w:pPr>
        <w:pStyle w:val="BodyText"/>
        <w:rPr>
          <w:rFonts w:cs="Arial"/>
        </w:rPr>
      </w:pPr>
      <w:bookmarkStart w:id="186" w:name="_Hlk492108020"/>
      <w:r>
        <w:rPr>
          <w:rFonts w:cs="Arial"/>
        </w:rPr>
        <w:t xml:space="preserve">The governance framework that currently applies to the GSH is set out in the NGL, Part 22 of the NGR, the Exchange Agreement and a range of procedures that AEMO has developed (see </w:t>
      </w:r>
      <w:r>
        <w:rPr>
          <w:rFonts w:cs="Arial"/>
        </w:rPr>
        <w:fldChar w:fldCharType="begin"/>
      </w:r>
      <w:r>
        <w:rPr>
          <w:rFonts w:cs="Arial"/>
        </w:rPr>
        <w:instrText xml:space="preserve"> REF _Ref492108712 \h </w:instrText>
      </w:r>
      <w:r>
        <w:rPr>
          <w:rFonts w:cs="Arial"/>
        </w:rPr>
      </w:r>
      <w:r>
        <w:rPr>
          <w:rFonts w:cs="Arial"/>
        </w:rPr>
        <w:fldChar w:fldCharType="separate"/>
      </w:r>
      <w:r w:rsidR="00761861">
        <w:t>Table E.</w:t>
      </w:r>
      <w:r w:rsidR="00761861">
        <w:rPr>
          <w:noProof/>
        </w:rPr>
        <w:t>2</w:t>
      </w:r>
      <w:r>
        <w:rPr>
          <w:rFonts w:cs="Arial"/>
        </w:rPr>
        <w:fldChar w:fldCharType="end"/>
      </w:r>
      <w:r>
        <w:rPr>
          <w:rFonts w:cs="Arial"/>
        </w:rPr>
        <w:t xml:space="preserve">). While the same governance framework is expected to apply to the capacity trading component of the GSH, some changes to the NGR, the Exchange Agreement and procedures will be required to implement the capacity trading platform and the design options discussed in Chapters </w:t>
      </w:r>
      <w:r w:rsidR="00CA2F44">
        <w:rPr>
          <w:rFonts w:cs="Arial"/>
        </w:rPr>
        <w:t>6</w:t>
      </w:r>
      <w:r>
        <w:rPr>
          <w:rFonts w:cs="Arial"/>
        </w:rPr>
        <w:t>-1</w:t>
      </w:r>
      <w:r w:rsidR="00CA2F44">
        <w:rPr>
          <w:rFonts w:cs="Arial"/>
        </w:rPr>
        <w:t>0</w:t>
      </w:r>
      <w:r>
        <w:rPr>
          <w:rFonts w:cs="Arial"/>
        </w:rPr>
        <w:t xml:space="preserve">. </w:t>
      </w:r>
    </w:p>
    <w:p w14:paraId="36C00F1D" w14:textId="77777777" w:rsidR="00233E18" w:rsidRPr="00233E18" w:rsidRDefault="00E24465" w:rsidP="00233E18">
      <w:pPr>
        <w:pStyle w:val="BodyText"/>
      </w:pPr>
      <w:r w:rsidRPr="00233E18">
        <w:fldChar w:fldCharType="begin"/>
      </w:r>
      <w:r w:rsidRPr="00233E18">
        <w:instrText xml:space="preserve"> REF _Ref491918646 \h </w:instrText>
      </w:r>
      <w:r w:rsidR="00233E18">
        <w:instrText xml:space="preserve"> \* MERGEFORMAT </w:instrText>
      </w:r>
      <w:r w:rsidRPr="00233E18">
        <w:fldChar w:fldCharType="separate"/>
      </w:r>
      <w:r w:rsidR="00761861">
        <w:t xml:space="preserve">Table </w:t>
      </w:r>
      <w:r w:rsidR="00761861">
        <w:rPr>
          <w:noProof/>
        </w:rPr>
        <w:t>11.1</w:t>
      </w:r>
      <w:r w:rsidRPr="00233E18">
        <w:fldChar w:fldCharType="end"/>
      </w:r>
      <w:r w:rsidRPr="00233E18">
        <w:t xml:space="preserve"> summarises the changes to the governance arrangements that the GMRG expects will be required to implement the capacity trading platform. </w:t>
      </w:r>
    </w:p>
    <w:p w14:paraId="0110A408" w14:textId="77777777" w:rsidR="007C15B0" w:rsidRPr="00FF367C" w:rsidRDefault="007C15B0" w:rsidP="007C15B0">
      <w:pPr>
        <w:pStyle w:val="Caption"/>
        <w:spacing w:after="0"/>
        <w:rPr>
          <w:rStyle w:val="Bold"/>
          <w:b/>
        </w:rPr>
      </w:pPr>
      <w:bookmarkStart w:id="187" w:name="_Ref491918646"/>
      <w:r>
        <w:t xml:space="preserve">Table </w:t>
      </w:r>
      <w:r w:rsidR="00983431">
        <w:fldChar w:fldCharType="begin"/>
      </w:r>
      <w:r w:rsidR="00983431">
        <w:instrText xml:space="preserve"> STYLEREF 1 \s </w:instrText>
      </w:r>
      <w:r w:rsidR="00983431">
        <w:fldChar w:fldCharType="separate"/>
      </w:r>
      <w:r w:rsidR="00761861">
        <w:rPr>
          <w:noProof/>
        </w:rPr>
        <w:t>11</w:t>
      </w:r>
      <w:r w:rsidR="00983431">
        <w:rPr>
          <w:noProof/>
        </w:rPr>
        <w:fldChar w:fldCharType="end"/>
      </w:r>
      <w:r w:rsidR="00901056">
        <w:t>.</w:t>
      </w:r>
      <w:r w:rsidR="00983431">
        <w:fldChar w:fldCharType="begin"/>
      </w:r>
      <w:r w:rsidR="00983431">
        <w:instrText xml:space="preserve"> SEQ Table \* ARABIC \s 1 </w:instrText>
      </w:r>
      <w:r w:rsidR="00983431">
        <w:fldChar w:fldCharType="separate"/>
      </w:r>
      <w:r w:rsidR="00761861">
        <w:rPr>
          <w:noProof/>
        </w:rPr>
        <w:t>1</w:t>
      </w:r>
      <w:r w:rsidR="00983431">
        <w:rPr>
          <w:noProof/>
        </w:rPr>
        <w:fldChar w:fldCharType="end"/>
      </w:r>
      <w:bookmarkEnd w:id="187"/>
      <w:r>
        <w:t xml:space="preserve">: </w:t>
      </w:r>
      <w:r w:rsidRPr="00FF367C">
        <w:rPr>
          <w:rStyle w:val="Bold"/>
          <w:b/>
        </w:rPr>
        <w:t xml:space="preserve">Governance </w:t>
      </w:r>
      <w:r>
        <w:rPr>
          <w:rStyle w:val="Bold"/>
          <w:b/>
        </w:rPr>
        <w:t>arrangements</w:t>
      </w:r>
    </w:p>
    <w:tbl>
      <w:tblPr>
        <w:tblStyle w:val="TableGrid"/>
        <w:tblW w:w="5000" w:type="pct"/>
        <w:tblLook w:val="0420" w:firstRow="1" w:lastRow="0" w:firstColumn="0" w:lastColumn="0" w:noHBand="0" w:noVBand="1"/>
        <w:tblCaption w:val="Table 11.1"/>
        <w:tblDescription w:val="Governance arrangements"/>
      </w:tblPr>
      <w:tblGrid>
        <w:gridCol w:w="1343"/>
        <w:gridCol w:w="7445"/>
      </w:tblGrid>
      <w:tr w:rsidR="00DF0551" w:rsidRPr="00933A5A" w14:paraId="6F75DE70" w14:textId="77777777" w:rsidTr="00DF0551">
        <w:trPr>
          <w:cnfStyle w:val="100000000000" w:firstRow="1" w:lastRow="0" w:firstColumn="0" w:lastColumn="0" w:oddVBand="0" w:evenVBand="0" w:oddHBand="0" w:evenHBand="0" w:firstRowFirstColumn="0" w:firstRowLastColumn="0" w:lastRowFirstColumn="0" w:lastRowLastColumn="0"/>
          <w:tblHeader/>
        </w:trPr>
        <w:tc>
          <w:tcPr>
            <w:tcW w:w="764" w:type="pct"/>
            <w:shd w:val="clear" w:color="auto" w:fill="0099CC"/>
          </w:tcPr>
          <w:p w14:paraId="767167DF" w14:textId="77777777" w:rsidR="00DF0551" w:rsidRPr="00933A5A" w:rsidRDefault="00DF0551" w:rsidP="00233E18">
            <w:pPr>
              <w:pStyle w:val="TableHeading"/>
              <w:spacing w:before="40" w:after="40"/>
              <w:rPr>
                <w:szCs w:val="18"/>
              </w:rPr>
            </w:pPr>
            <w:r>
              <w:rPr>
                <w:szCs w:val="18"/>
              </w:rPr>
              <w:t>I</w:t>
            </w:r>
            <w:r w:rsidRPr="00933A5A">
              <w:rPr>
                <w:szCs w:val="18"/>
              </w:rPr>
              <w:t>nstrument</w:t>
            </w:r>
          </w:p>
        </w:tc>
        <w:tc>
          <w:tcPr>
            <w:tcW w:w="4236" w:type="pct"/>
            <w:shd w:val="clear" w:color="auto" w:fill="0099CC"/>
          </w:tcPr>
          <w:p w14:paraId="77AAD337" w14:textId="77777777" w:rsidR="00DF0551" w:rsidRPr="00933A5A" w:rsidRDefault="00DF0551" w:rsidP="00233E18">
            <w:pPr>
              <w:pStyle w:val="TableHeading"/>
              <w:spacing w:before="40" w:after="40"/>
              <w:rPr>
                <w:szCs w:val="18"/>
              </w:rPr>
            </w:pPr>
            <w:r w:rsidRPr="00933A5A">
              <w:rPr>
                <w:szCs w:val="18"/>
              </w:rPr>
              <w:t>Summary</w:t>
            </w:r>
          </w:p>
        </w:tc>
      </w:tr>
      <w:tr w:rsidR="00DF0551" w:rsidRPr="00933A5A" w14:paraId="513155F4" w14:textId="77777777" w:rsidTr="00DF0551">
        <w:tc>
          <w:tcPr>
            <w:tcW w:w="764" w:type="pct"/>
          </w:tcPr>
          <w:p w14:paraId="17E35977" w14:textId="77777777" w:rsidR="00DF0551" w:rsidRPr="00933A5A" w:rsidRDefault="00DF0551" w:rsidP="00233E18">
            <w:pPr>
              <w:pStyle w:val="TableBodyText"/>
              <w:spacing w:before="40" w:after="40"/>
              <w:rPr>
                <w:szCs w:val="18"/>
              </w:rPr>
            </w:pPr>
            <w:r w:rsidRPr="00933A5A">
              <w:rPr>
                <w:szCs w:val="18"/>
              </w:rPr>
              <w:t>NGL</w:t>
            </w:r>
          </w:p>
        </w:tc>
        <w:tc>
          <w:tcPr>
            <w:tcW w:w="4236" w:type="pct"/>
          </w:tcPr>
          <w:p w14:paraId="07EBD791" w14:textId="77777777" w:rsidR="00DF0551" w:rsidRPr="00933A5A" w:rsidRDefault="00DF0551" w:rsidP="00233E18">
            <w:pPr>
              <w:pStyle w:val="TableBodyText"/>
              <w:spacing w:before="40" w:after="40"/>
              <w:rPr>
                <w:szCs w:val="18"/>
              </w:rPr>
            </w:pPr>
            <w:r w:rsidRPr="00933A5A">
              <w:rPr>
                <w:szCs w:val="18"/>
              </w:rPr>
              <w:t xml:space="preserve">Section 91BRK of the NGL </w:t>
            </w:r>
            <w:r w:rsidRPr="00933A5A">
              <w:rPr>
                <w:szCs w:val="18"/>
                <w:lang w:eastAsia="fr-CA"/>
              </w:rPr>
              <w:t xml:space="preserve">provides for AEMO to establish, operate and administer ‘gas trading exchanges’, which is defined as a facility through which persons may elect to buy and sell natural gas or related goods or services, </w:t>
            </w:r>
            <w:r w:rsidRPr="00933A5A">
              <w:rPr>
                <w:szCs w:val="18"/>
                <w:u w:val="single"/>
                <w:lang w:eastAsia="fr-CA"/>
              </w:rPr>
              <w:t>including</w:t>
            </w:r>
            <w:r w:rsidRPr="00933A5A">
              <w:rPr>
                <w:szCs w:val="18"/>
                <w:lang w:eastAsia="fr-CA"/>
              </w:rPr>
              <w:t xml:space="preserve"> pipeline capacity. Given this section of the NGL already provides for the GSH to extend to pipeline capacity products, the GMRG does not expect any changes will be required to the NGL to implement the capacity trading platform</w:t>
            </w:r>
            <w:r w:rsidRPr="00933A5A">
              <w:rPr>
                <w:szCs w:val="18"/>
              </w:rPr>
              <w:t>.</w:t>
            </w:r>
          </w:p>
          <w:p w14:paraId="7DB98507" w14:textId="77777777" w:rsidR="00DF0551" w:rsidRPr="00933A5A" w:rsidRDefault="00DF0551" w:rsidP="00233E18">
            <w:pPr>
              <w:pStyle w:val="TableBodyText"/>
              <w:spacing w:before="40" w:after="40"/>
              <w:rPr>
                <w:szCs w:val="18"/>
              </w:rPr>
            </w:pPr>
            <w:r w:rsidRPr="00933A5A">
              <w:rPr>
                <w:szCs w:val="18"/>
              </w:rPr>
              <w:t xml:space="preserve">Changes to the NGL will, however, be required for </w:t>
            </w:r>
            <w:r>
              <w:rPr>
                <w:szCs w:val="18"/>
              </w:rPr>
              <w:t xml:space="preserve">the </w:t>
            </w:r>
            <w:r w:rsidRPr="00933A5A">
              <w:rPr>
                <w:szCs w:val="18"/>
              </w:rPr>
              <w:t xml:space="preserve">standardisation of operational GTAs and </w:t>
            </w:r>
            <w:r>
              <w:rPr>
                <w:szCs w:val="18"/>
              </w:rPr>
              <w:t xml:space="preserve">the reporting framework. </w:t>
            </w:r>
            <w:r w:rsidRPr="00933A5A">
              <w:rPr>
                <w:szCs w:val="18"/>
              </w:rPr>
              <w:t xml:space="preserve">These </w:t>
            </w:r>
            <w:r>
              <w:rPr>
                <w:szCs w:val="18"/>
              </w:rPr>
              <w:t xml:space="preserve">changes are outlined </w:t>
            </w:r>
            <w:r w:rsidRPr="00933A5A">
              <w:rPr>
                <w:szCs w:val="18"/>
              </w:rPr>
              <w:t>in Part</w:t>
            </w:r>
            <w:r>
              <w:rPr>
                <w:szCs w:val="18"/>
              </w:rPr>
              <w:t>s</w:t>
            </w:r>
            <w:r w:rsidRPr="00933A5A">
              <w:rPr>
                <w:szCs w:val="18"/>
              </w:rPr>
              <w:t xml:space="preserve"> A </w:t>
            </w:r>
            <w:r>
              <w:rPr>
                <w:szCs w:val="18"/>
              </w:rPr>
              <w:t xml:space="preserve">and C </w:t>
            </w:r>
            <w:r w:rsidRPr="00933A5A">
              <w:rPr>
                <w:szCs w:val="18"/>
              </w:rPr>
              <w:t>of this paper.</w:t>
            </w:r>
          </w:p>
        </w:tc>
      </w:tr>
      <w:tr w:rsidR="00DF0551" w:rsidRPr="00933A5A" w14:paraId="53B5B962" w14:textId="77777777" w:rsidTr="00DF0551">
        <w:trPr>
          <w:cnfStyle w:val="000000010000" w:firstRow="0" w:lastRow="0" w:firstColumn="0" w:lastColumn="0" w:oddVBand="0" w:evenVBand="0" w:oddHBand="0" w:evenHBand="1" w:firstRowFirstColumn="0" w:firstRowLastColumn="0" w:lastRowFirstColumn="0" w:lastRowLastColumn="0"/>
        </w:trPr>
        <w:tc>
          <w:tcPr>
            <w:tcW w:w="764" w:type="pct"/>
          </w:tcPr>
          <w:p w14:paraId="6CBB4795" w14:textId="77777777" w:rsidR="00DF0551" w:rsidRPr="00933A5A" w:rsidRDefault="00DF0551" w:rsidP="00233E18">
            <w:pPr>
              <w:pStyle w:val="TableBodyText"/>
              <w:spacing w:before="40" w:after="40"/>
              <w:rPr>
                <w:szCs w:val="18"/>
              </w:rPr>
            </w:pPr>
            <w:r w:rsidRPr="00933A5A">
              <w:rPr>
                <w:szCs w:val="18"/>
              </w:rPr>
              <w:t>NGR</w:t>
            </w:r>
          </w:p>
        </w:tc>
        <w:tc>
          <w:tcPr>
            <w:tcW w:w="4236" w:type="pct"/>
          </w:tcPr>
          <w:p w14:paraId="67B60614" w14:textId="77777777" w:rsidR="00DF0551" w:rsidRPr="00933A5A" w:rsidRDefault="00DF0551" w:rsidP="00233E18">
            <w:pPr>
              <w:pStyle w:val="BodyText"/>
              <w:spacing w:before="40" w:after="40"/>
              <w:rPr>
                <w:rFonts w:cs="Arial"/>
                <w:szCs w:val="18"/>
              </w:rPr>
            </w:pPr>
            <w:r w:rsidRPr="00933A5A">
              <w:rPr>
                <w:rFonts w:cs="Arial"/>
                <w:b/>
                <w:szCs w:val="18"/>
              </w:rPr>
              <w:t>GSH rules (Part 22):</w:t>
            </w:r>
            <w:r w:rsidRPr="00933A5A">
              <w:rPr>
                <w:rFonts w:cs="Arial"/>
                <w:szCs w:val="18"/>
              </w:rPr>
              <w:t xml:space="preserve"> As currently drafted, the rules in Part 22 appear to be sufficiently broad to accommodate capacity trading. The GMRG does not therefore envisage material changes to </w:t>
            </w:r>
            <w:r w:rsidRPr="00933A5A">
              <w:rPr>
                <w:szCs w:val="18"/>
              </w:rPr>
              <w:t xml:space="preserve">the scope of this part of the NGR. Changes may, however, be </w:t>
            </w:r>
            <w:r>
              <w:rPr>
                <w:szCs w:val="18"/>
              </w:rPr>
              <w:t>required</w:t>
            </w:r>
            <w:r w:rsidRPr="00933A5A">
              <w:rPr>
                <w:szCs w:val="18"/>
              </w:rPr>
              <w:t xml:space="preserve"> to </w:t>
            </w:r>
            <w:r>
              <w:rPr>
                <w:szCs w:val="18"/>
              </w:rPr>
              <w:t xml:space="preserve">allow </w:t>
            </w:r>
            <w:r w:rsidRPr="00933A5A">
              <w:rPr>
                <w:szCs w:val="18"/>
              </w:rPr>
              <w:t>for differences between the treatment of gas and capacity products in the Exchange Agreement (including in relation to short-selling or the treatment of default by the primary shipper).</w:t>
            </w:r>
            <w:r w:rsidRPr="00933A5A">
              <w:rPr>
                <w:rFonts w:cs="Arial"/>
                <w:szCs w:val="18"/>
              </w:rPr>
              <w:t xml:space="preserve"> </w:t>
            </w:r>
          </w:p>
          <w:p w14:paraId="4D141D48" w14:textId="77777777" w:rsidR="00DF0551" w:rsidRPr="00933A5A" w:rsidRDefault="00DF0551" w:rsidP="00233E18">
            <w:pPr>
              <w:pStyle w:val="BodyText"/>
              <w:spacing w:before="40" w:after="40"/>
              <w:rPr>
                <w:szCs w:val="18"/>
              </w:rPr>
            </w:pPr>
            <w:r w:rsidRPr="00933A5A">
              <w:rPr>
                <w:b/>
                <w:szCs w:val="18"/>
              </w:rPr>
              <w:t xml:space="preserve">STTM rules (Part 20): </w:t>
            </w:r>
            <w:r>
              <w:rPr>
                <w:szCs w:val="18"/>
              </w:rPr>
              <w:t>T</w:t>
            </w:r>
            <w:r w:rsidRPr="00933A5A">
              <w:rPr>
                <w:szCs w:val="18"/>
              </w:rPr>
              <w:t xml:space="preserve">he STTM rules currently only provide for trading rights to be transferred using a bare transfer. The GMRG therefore anticipates some changes to the rules in Part 20 may be required to enable STTM trading rights to be transferred using an operational transfer. </w:t>
            </w:r>
          </w:p>
          <w:p w14:paraId="17B44234" w14:textId="77777777" w:rsidR="00DF0551" w:rsidRPr="00933A5A" w:rsidRDefault="00DF0551" w:rsidP="00233E18">
            <w:pPr>
              <w:pStyle w:val="BodyText"/>
              <w:spacing w:before="40" w:after="40"/>
              <w:rPr>
                <w:szCs w:val="18"/>
              </w:rPr>
            </w:pPr>
            <w:r w:rsidRPr="00933A5A">
              <w:rPr>
                <w:b/>
                <w:szCs w:val="18"/>
              </w:rPr>
              <w:t xml:space="preserve">DWGM rules (Part 19): </w:t>
            </w:r>
            <w:r w:rsidRPr="00933A5A">
              <w:rPr>
                <w:szCs w:val="18"/>
              </w:rPr>
              <w:t>The GMRG does not anticipate any changes will be required to the DWGM rules.</w:t>
            </w:r>
          </w:p>
          <w:p w14:paraId="795C7FB5" w14:textId="77777777" w:rsidR="00DF0551" w:rsidRDefault="00DF0551" w:rsidP="00233E18">
            <w:pPr>
              <w:pStyle w:val="BodyText"/>
              <w:spacing w:before="40" w:after="40"/>
              <w:rPr>
                <w:szCs w:val="18"/>
              </w:rPr>
            </w:pPr>
            <w:r w:rsidRPr="00933A5A">
              <w:rPr>
                <w:b/>
                <w:szCs w:val="18"/>
              </w:rPr>
              <w:t>New rules:</w:t>
            </w:r>
            <w:r w:rsidRPr="00933A5A">
              <w:rPr>
                <w:szCs w:val="18"/>
              </w:rPr>
              <w:t xml:space="preserve"> </w:t>
            </w:r>
            <w:r>
              <w:rPr>
                <w:szCs w:val="18"/>
              </w:rPr>
              <w:t>N</w:t>
            </w:r>
            <w:r w:rsidRPr="00933A5A">
              <w:rPr>
                <w:szCs w:val="18"/>
              </w:rPr>
              <w:t xml:space="preserve">ew rules </w:t>
            </w:r>
            <w:r>
              <w:rPr>
                <w:szCs w:val="18"/>
              </w:rPr>
              <w:t xml:space="preserve">will also </w:t>
            </w:r>
            <w:r w:rsidRPr="00933A5A">
              <w:rPr>
                <w:szCs w:val="18"/>
              </w:rPr>
              <w:t>be required to</w:t>
            </w:r>
            <w:r>
              <w:rPr>
                <w:szCs w:val="18"/>
              </w:rPr>
              <w:t>:</w:t>
            </w:r>
            <w:r w:rsidRPr="00933A5A">
              <w:rPr>
                <w:szCs w:val="18"/>
              </w:rPr>
              <w:t xml:space="preserve"> </w:t>
            </w:r>
          </w:p>
          <w:p w14:paraId="6C9C3325" w14:textId="77777777" w:rsidR="00DF0551" w:rsidRDefault="00DF0551" w:rsidP="00233E18">
            <w:pPr>
              <w:pStyle w:val="TableBullet1"/>
            </w:pPr>
            <w:r w:rsidRPr="00933A5A">
              <w:t>impose an obligation on shippers that sell secondary c</w:t>
            </w:r>
            <w:r>
              <w:t xml:space="preserve">apacity on a bilateral basis to </w:t>
            </w:r>
            <w:r w:rsidRPr="00933A5A">
              <w:t>offer prospective buyers the option of using an operational transfer to give effect to the trade</w:t>
            </w:r>
            <w:r>
              <w:t>; and</w:t>
            </w:r>
          </w:p>
          <w:p w14:paraId="3F62FDF7" w14:textId="77777777" w:rsidR="00DF0551" w:rsidRPr="00233E18" w:rsidRDefault="00DF0551" w:rsidP="00233E18">
            <w:pPr>
              <w:pStyle w:val="TableBullet1"/>
            </w:pPr>
            <w:proofErr w:type="gramStart"/>
            <w:r>
              <w:t>impose</w:t>
            </w:r>
            <w:proofErr w:type="gramEnd"/>
            <w:r>
              <w:t xml:space="preserve"> an obligation on service providers to keep secondary trades on foot for a period of two weeks if the primary shipper defaults under a primary GTA.</w:t>
            </w:r>
          </w:p>
        </w:tc>
      </w:tr>
      <w:tr w:rsidR="00DF0551" w:rsidRPr="00933A5A" w14:paraId="0BAF4C66" w14:textId="77777777" w:rsidTr="00DF0551">
        <w:tc>
          <w:tcPr>
            <w:tcW w:w="764" w:type="pct"/>
          </w:tcPr>
          <w:p w14:paraId="7D95B778" w14:textId="77777777" w:rsidR="00DF0551" w:rsidRPr="00933A5A" w:rsidRDefault="00DF0551" w:rsidP="00233E18">
            <w:pPr>
              <w:pStyle w:val="TableBodyText"/>
              <w:keepNext/>
              <w:spacing w:before="40" w:after="40"/>
              <w:rPr>
                <w:szCs w:val="18"/>
              </w:rPr>
            </w:pPr>
            <w:r w:rsidRPr="00933A5A">
              <w:rPr>
                <w:szCs w:val="18"/>
              </w:rPr>
              <w:lastRenderedPageBreak/>
              <w:t>Exchange Agreement</w:t>
            </w:r>
          </w:p>
        </w:tc>
        <w:tc>
          <w:tcPr>
            <w:tcW w:w="4236" w:type="pct"/>
          </w:tcPr>
          <w:p w14:paraId="73AC72BF" w14:textId="77777777" w:rsidR="00DF0551" w:rsidRPr="00933A5A" w:rsidRDefault="00DF0551" w:rsidP="00233E18">
            <w:pPr>
              <w:pStyle w:val="TableBodyText"/>
              <w:keepNext/>
              <w:spacing w:before="40" w:after="40"/>
              <w:rPr>
                <w:szCs w:val="18"/>
                <w:lang w:eastAsia="fr-CA"/>
              </w:rPr>
            </w:pPr>
            <w:r w:rsidRPr="00933A5A">
              <w:rPr>
                <w:b/>
                <w:szCs w:val="18"/>
                <w:lang w:eastAsia="fr-CA"/>
              </w:rPr>
              <w:t>Exchange Agreement:</w:t>
            </w:r>
            <w:r w:rsidRPr="00933A5A">
              <w:rPr>
                <w:szCs w:val="18"/>
                <w:lang w:eastAsia="fr-CA"/>
              </w:rPr>
              <w:t xml:space="preserve"> A number of amendments to the body of the Exchange Agreement and the product specification schedules will be required before capacity products can be added to the exchange. The Exchange Agreement will, for example, need to specify the standardised products that will be available for sale on the exchange and changes will also need to be made to the delivery, credit risk management and default arrangements. </w:t>
            </w:r>
            <w:r>
              <w:rPr>
                <w:szCs w:val="18"/>
                <w:lang w:eastAsia="fr-CA"/>
              </w:rPr>
              <w:t xml:space="preserve"> The Exchange Agreement will also need to be amended to set out how short-selling and default by a primary capacity holder will be dealt with (if necessary, AEMO could also provide further detail on how this will occur in the Secondary Capacity and Auction Procedures as suggested by AGL).</w:t>
            </w:r>
          </w:p>
          <w:p w14:paraId="39BB08D7" w14:textId="77777777" w:rsidR="00DF0551" w:rsidRPr="00933A5A" w:rsidRDefault="00DF0551" w:rsidP="00233E18">
            <w:pPr>
              <w:pStyle w:val="TableBodyText"/>
              <w:keepNext/>
              <w:spacing w:before="40" w:after="40"/>
              <w:rPr>
                <w:szCs w:val="18"/>
                <w:lang w:eastAsia="fr-CA"/>
              </w:rPr>
            </w:pPr>
            <w:r w:rsidRPr="00933A5A">
              <w:rPr>
                <w:b/>
                <w:szCs w:val="18"/>
              </w:rPr>
              <w:t>GSH subsidiary documents:</w:t>
            </w:r>
            <w:r w:rsidRPr="00933A5A">
              <w:rPr>
                <w:szCs w:val="18"/>
              </w:rPr>
              <w:t xml:space="preserve"> Some changes to the existing GSH settlement and prudential methodology, reallocation and fees procedures are likely to be required.</w:t>
            </w:r>
            <w:r w:rsidR="00CF7D4D">
              <w:rPr>
                <w:szCs w:val="18"/>
              </w:rPr>
              <w:t xml:space="preserve"> </w:t>
            </w:r>
          </w:p>
          <w:p w14:paraId="574EF8E5" w14:textId="77777777" w:rsidR="00DF0551" w:rsidRPr="00933A5A" w:rsidRDefault="00DF0551" w:rsidP="00233E18">
            <w:pPr>
              <w:pStyle w:val="TableBodyText"/>
              <w:keepNext/>
              <w:spacing w:before="40" w:after="40"/>
              <w:rPr>
                <w:szCs w:val="18"/>
              </w:rPr>
            </w:pPr>
            <w:r w:rsidRPr="00933A5A">
              <w:rPr>
                <w:szCs w:val="18"/>
                <w:lang w:eastAsia="fr-CA"/>
              </w:rPr>
              <w:t xml:space="preserve">Changes to the Exchange Agreement and subsidiary documents are expected to be made by AEMO using the process set out in rule 540 of the NGR. </w:t>
            </w:r>
          </w:p>
        </w:tc>
      </w:tr>
      <w:tr w:rsidR="00DF0551" w:rsidRPr="00933A5A" w14:paraId="55358EB7" w14:textId="77777777" w:rsidTr="00DF0551">
        <w:trPr>
          <w:cnfStyle w:val="000000010000" w:firstRow="0" w:lastRow="0" w:firstColumn="0" w:lastColumn="0" w:oddVBand="0" w:evenVBand="0" w:oddHBand="0" w:evenHBand="1" w:firstRowFirstColumn="0" w:firstRowLastColumn="0" w:lastRowFirstColumn="0" w:lastRowLastColumn="0"/>
        </w:trPr>
        <w:tc>
          <w:tcPr>
            <w:tcW w:w="764" w:type="pct"/>
          </w:tcPr>
          <w:p w14:paraId="5F12AB69" w14:textId="77777777" w:rsidR="00DF0551" w:rsidRPr="00933A5A" w:rsidRDefault="00DF0551" w:rsidP="00233E18">
            <w:pPr>
              <w:pStyle w:val="TableBodyText"/>
              <w:spacing w:before="40" w:after="40"/>
              <w:rPr>
                <w:szCs w:val="18"/>
              </w:rPr>
            </w:pPr>
            <w:r w:rsidRPr="00933A5A">
              <w:rPr>
                <w:szCs w:val="18"/>
              </w:rPr>
              <w:t>AEMO Procedures</w:t>
            </w:r>
          </w:p>
        </w:tc>
        <w:tc>
          <w:tcPr>
            <w:tcW w:w="4236" w:type="pct"/>
          </w:tcPr>
          <w:p w14:paraId="6A46CA7C" w14:textId="77777777" w:rsidR="00DF0551" w:rsidRPr="00933A5A" w:rsidRDefault="00DF0551" w:rsidP="00233E18">
            <w:pPr>
              <w:pStyle w:val="TableBodyText"/>
              <w:spacing w:before="40" w:after="40"/>
              <w:rPr>
                <w:szCs w:val="18"/>
              </w:rPr>
            </w:pPr>
            <w:r w:rsidRPr="00933A5A">
              <w:rPr>
                <w:b/>
                <w:szCs w:val="18"/>
              </w:rPr>
              <w:t>Secondary Capacity and Auction Procedures:</w:t>
            </w:r>
            <w:r w:rsidRPr="00933A5A">
              <w:rPr>
                <w:szCs w:val="18"/>
              </w:rPr>
              <w:t xml:space="preserve"> New procedures will be required to implement capacity products and the transfer of capacity.</w:t>
            </w:r>
          </w:p>
          <w:p w14:paraId="38D2F41A" w14:textId="77777777" w:rsidR="00DF0551" w:rsidRPr="00933A5A" w:rsidRDefault="00DF0551" w:rsidP="00233E18">
            <w:pPr>
              <w:pStyle w:val="BodyText"/>
              <w:spacing w:before="40" w:after="40"/>
              <w:rPr>
                <w:szCs w:val="18"/>
              </w:rPr>
            </w:pPr>
            <w:r w:rsidRPr="00933A5A">
              <w:rPr>
                <w:b/>
                <w:szCs w:val="18"/>
              </w:rPr>
              <w:t>STTM procedures:</w:t>
            </w:r>
            <w:r w:rsidRPr="00933A5A">
              <w:rPr>
                <w:szCs w:val="18"/>
              </w:rPr>
              <w:t xml:space="preserve"> Changes to STTM Procedures around the transfer of trading rights are also likely to be required.</w:t>
            </w:r>
          </w:p>
          <w:p w14:paraId="0FEB695B" w14:textId="77777777" w:rsidR="00DF0551" w:rsidRPr="00933A5A" w:rsidRDefault="00DF0551" w:rsidP="00233E18">
            <w:pPr>
              <w:pStyle w:val="BodyText"/>
              <w:spacing w:before="40" w:after="40"/>
              <w:rPr>
                <w:szCs w:val="18"/>
              </w:rPr>
            </w:pPr>
            <w:r w:rsidRPr="00933A5A">
              <w:rPr>
                <w:b/>
                <w:szCs w:val="18"/>
              </w:rPr>
              <w:t xml:space="preserve">DWGM procedures: </w:t>
            </w:r>
            <w:r w:rsidRPr="00933A5A">
              <w:rPr>
                <w:szCs w:val="18"/>
              </w:rPr>
              <w:t>Some changes to the Wholesale Market Accreditation Procedures and Wholesale Market AMDQ Procedures may be required.</w:t>
            </w:r>
          </w:p>
        </w:tc>
      </w:tr>
    </w:tbl>
    <w:p w14:paraId="02B0E757" w14:textId="77777777" w:rsidR="007C15B0" w:rsidRPr="005701E6" w:rsidRDefault="00233E18" w:rsidP="007C15B0">
      <w:pPr>
        <w:pStyle w:val="BodyText"/>
        <w:rPr>
          <w:sz w:val="2"/>
          <w:szCs w:val="2"/>
        </w:rPr>
      </w:pPr>
      <w:r w:rsidRPr="00233E18">
        <w:t xml:space="preserve">While not </w:t>
      </w:r>
      <w:r>
        <w:t>shown</w:t>
      </w:r>
      <w:r w:rsidRPr="00233E18">
        <w:t xml:space="preserve"> in this table, the AER is expected to have the same functions and powers in relation to the capacity trading platform that it currently has for the GSH. It will therefore be responsible for monitoring compliance and investigating and enforcing breaches under its ge</w:t>
      </w:r>
      <w:r w:rsidRPr="00233E18">
        <w:rPr>
          <w:rFonts w:eastAsiaTheme="majorEastAsia"/>
        </w:rPr>
        <w:t xml:space="preserve">neral powers.  It will also have a specific duty under Part 22 of the NGR to monitor compliance with the market conduct rules. </w:t>
      </w:r>
      <w:r>
        <w:rPr>
          <w:rFonts w:eastAsiaTheme="majorEastAsia"/>
        </w:rPr>
        <w:t xml:space="preserve">In this capacity, the AER will be able to analyse the prevalence of short-selling to determine if there are systematic issues that need to be addressed, as suggested by Shell. The AEMC could also </w:t>
      </w:r>
      <w:r w:rsidR="007E2BFF">
        <w:rPr>
          <w:rFonts w:eastAsiaTheme="majorEastAsia"/>
        </w:rPr>
        <w:t xml:space="preserve">examine this </w:t>
      </w:r>
      <w:r>
        <w:rPr>
          <w:rFonts w:eastAsiaTheme="majorEastAsia"/>
        </w:rPr>
        <w:t xml:space="preserve">issue when it carries out its biennial reviews </w:t>
      </w:r>
      <w:r w:rsidR="00DA70CF">
        <w:rPr>
          <w:rFonts w:eastAsiaTheme="majorEastAsia"/>
        </w:rPr>
        <w:t xml:space="preserve">on </w:t>
      </w:r>
      <w:r>
        <w:rPr>
          <w:rFonts w:eastAsiaTheme="majorEastAsia"/>
        </w:rPr>
        <w:t>the liquidity of wholesale gas and pipeline capacity trading markets.</w:t>
      </w:r>
    </w:p>
    <w:bookmarkEnd w:id="186"/>
    <w:p w14:paraId="57A79473" w14:textId="77777777" w:rsidR="00400837" w:rsidRDefault="00400837" w:rsidP="00C02BE5">
      <w:pPr>
        <w:pStyle w:val="ListNumber"/>
        <w:numPr>
          <w:ilvl w:val="0"/>
          <w:numId w:val="0"/>
        </w:numPr>
        <w:ind w:left="360" w:hanging="360"/>
      </w:pPr>
      <w:r>
        <w:br w:type="page"/>
      </w:r>
    </w:p>
    <w:p w14:paraId="52F6E130" w14:textId="77777777" w:rsidR="00400837" w:rsidRDefault="00400837" w:rsidP="00400837">
      <w:pPr>
        <w:pStyle w:val="ExecSummHeading1"/>
        <w:spacing w:after="0"/>
      </w:pPr>
      <w:bookmarkStart w:id="188" w:name="_Toc495351658"/>
      <w:bookmarkStart w:id="189" w:name="_Toc499542678"/>
      <w:bookmarkStart w:id="190" w:name="_Hlk494796161"/>
      <w:r w:rsidRPr="004F44B4">
        <w:lastRenderedPageBreak/>
        <w:t>Part C: Reporting Framework for Secondary Trades</w:t>
      </w:r>
      <w:bookmarkEnd w:id="188"/>
      <w:bookmarkEnd w:id="189"/>
    </w:p>
    <w:p w14:paraId="6429BE02" w14:textId="77777777" w:rsidR="00400837" w:rsidRDefault="00400837" w:rsidP="00400837">
      <w:pPr>
        <w:pStyle w:val="BodyText"/>
        <w:spacing w:before="120" w:after="200"/>
        <w:rPr>
          <w:rFonts w:asciiTheme="majorHAnsi" w:hAnsiTheme="majorHAnsi" w:cstheme="majorHAnsi"/>
          <w:color w:val="000000"/>
        </w:rPr>
      </w:pPr>
      <w:r w:rsidRPr="00E264D6">
        <w:rPr>
          <w:rFonts w:asciiTheme="majorHAnsi" w:hAnsiTheme="majorHAnsi" w:cstheme="majorHAnsi"/>
        </w:rPr>
        <w:t xml:space="preserve">In the </w:t>
      </w:r>
      <w:r w:rsidRPr="00E264D6">
        <w:rPr>
          <w:rFonts w:asciiTheme="majorHAnsi" w:hAnsiTheme="majorHAnsi" w:cstheme="majorHAnsi"/>
          <w:i/>
        </w:rPr>
        <w:t xml:space="preserve">East Coast Review, </w:t>
      </w:r>
      <w:r w:rsidRPr="00E264D6">
        <w:rPr>
          <w:rFonts w:asciiTheme="majorHAnsi" w:hAnsiTheme="majorHAnsi" w:cstheme="majorHAnsi"/>
        </w:rPr>
        <w:t xml:space="preserve">the AEMC noted that </w:t>
      </w:r>
      <w:r w:rsidRPr="00E264D6">
        <w:rPr>
          <w:rFonts w:asciiTheme="majorHAnsi" w:hAnsiTheme="majorHAnsi" w:cstheme="majorHAnsi"/>
          <w:color w:val="000000"/>
        </w:rPr>
        <w:t>shippers currently have no way to determine whether secondary capacity is being provided on a non-discriminatory basis, or if the prices they are offered are reasonable because the prices and other terms on which secondary capacity trades are struck are currently confidential.</w:t>
      </w:r>
      <w:r>
        <w:rPr>
          <w:rStyle w:val="FootnoteReference"/>
          <w:rFonts w:asciiTheme="majorHAnsi" w:hAnsiTheme="majorHAnsi" w:cstheme="majorHAnsi"/>
          <w:color w:val="000000"/>
        </w:rPr>
        <w:footnoteReference w:id="90"/>
      </w:r>
      <w:r w:rsidRPr="00E264D6">
        <w:rPr>
          <w:rFonts w:asciiTheme="majorHAnsi" w:hAnsiTheme="majorHAnsi" w:cstheme="majorHAnsi"/>
          <w:color w:val="000000"/>
        </w:rPr>
        <w:t xml:space="preserve"> To address this information gap, the AEMC recommended that information on the prices </w:t>
      </w:r>
      <w:r>
        <w:rPr>
          <w:rFonts w:asciiTheme="majorHAnsi" w:hAnsiTheme="majorHAnsi" w:cstheme="majorHAnsi"/>
          <w:color w:val="000000"/>
        </w:rPr>
        <w:t xml:space="preserve">struck in all secondary trades be published, along with information on the key </w:t>
      </w:r>
      <w:r w:rsidRPr="00E264D6">
        <w:rPr>
          <w:rFonts w:asciiTheme="majorHAnsi" w:hAnsiTheme="majorHAnsi" w:cstheme="majorHAnsi"/>
          <w:color w:val="000000"/>
        </w:rPr>
        <w:t xml:space="preserve">terms </w:t>
      </w:r>
      <w:r>
        <w:rPr>
          <w:rFonts w:asciiTheme="majorHAnsi" w:hAnsiTheme="majorHAnsi" w:cstheme="majorHAnsi"/>
          <w:color w:val="000000"/>
        </w:rPr>
        <w:t xml:space="preserve">and conditions </w:t>
      </w:r>
      <w:r w:rsidRPr="00E264D6">
        <w:rPr>
          <w:rFonts w:asciiTheme="majorHAnsi" w:hAnsiTheme="majorHAnsi" w:cstheme="majorHAnsi"/>
          <w:color w:val="000000"/>
        </w:rPr>
        <w:t xml:space="preserve">that may have affected </w:t>
      </w:r>
      <w:r>
        <w:rPr>
          <w:rFonts w:asciiTheme="majorHAnsi" w:hAnsiTheme="majorHAnsi" w:cstheme="majorHAnsi"/>
          <w:color w:val="000000"/>
        </w:rPr>
        <w:t xml:space="preserve">the </w:t>
      </w:r>
      <w:r w:rsidRPr="00E264D6">
        <w:rPr>
          <w:rFonts w:asciiTheme="majorHAnsi" w:hAnsiTheme="majorHAnsi" w:cstheme="majorHAnsi"/>
          <w:color w:val="000000"/>
        </w:rPr>
        <w:t>prices in those trades</w:t>
      </w:r>
      <w:r w:rsidR="00534F2E">
        <w:rPr>
          <w:rFonts w:asciiTheme="majorHAnsi" w:hAnsiTheme="majorHAnsi" w:cstheme="majorHAnsi"/>
          <w:color w:val="000000"/>
        </w:rPr>
        <w:t xml:space="preserve"> at the time the trade is entered into, or shortly thereafter</w:t>
      </w:r>
      <w:r w:rsidRPr="00E264D6">
        <w:rPr>
          <w:rFonts w:asciiTheme="majorHAnsi" w:hAnsiTheme="majorHAnsi" w:cstheme="majorHAnsi"/>
          <w:color w:val="000000"/>
        </w:rPr>
        <w:t>.</w:t>
      </w:r>
      <w:r>
        <w:rPr>
          <w:rStyle w:val="FootnoteReference"/>
          <w:rFonts w:asciiTheme="majorHAnsi" w:hAnsiTheme="majorHAnsi" w:cstheme="majorHAnsi"/>
          <w:color w:val="000000"/>
        </w:rPr>
        <w:footnoteReference w:id="91"/>
      </w:r>
      <w:r w:rsidRPr="00E264D6">
        <w:rPr>
          <w:rFonts w:asciiTheme="majorHAnsi" w:hAnsiTheme="majorHAnsi" w:cstheme="majorHAnsi"/>
          <w:color w:val="000000"/>
        </w:rPr>
        <w:t xml:space="preserve"> </w:t>
      </w:r>
      <w:r w:rsidR="00FA7FB0">
        <w:rPr>
          <w:rFonts w:asciiTheme="majorHAnsi" w:hAnsiTheme="majorHAnsi" w:cstheme="majorHAnsi"/>
          <w:color w:val="000000"/>
        </w:rPr>
        <w:t xml:space="preserve"> The AEMC also recommended </w:t>
      </w:r>
      <w:r w:rsidR="00FA7FB0">
        <w:t>that trades conducted outside the trading platform should be advertised ahead of time through the listing service</w:t>
      </w:r>
    </w:p>
    <w:p w14:paraId="306B4F2F" w14:textId="77777777" w:rsidR="00400837" w:rsidRDefault="00400837" w:rsidP="00400837">
      <w:pPr>
        <w:pStyle w:val="BodyText"/>
        <w:spacing w:before="120"/>
      </w:pPr>
      <w:r>
        <w:t xml:space="preserve">Table </w:t>
      </w:r>
      <w:r w:rsidR="006D41E9">
        <w:t>C</w:t>
      </w:r>
      <w:r>
        <w:t xml:space="preserve">.1 provides a summary of the AEMC’s recommendations, which were all classified as </w:t>
      </w:r>
      <w:r w:rsidRPr="007A4888">
        <w:rPr>
          <w:b/>
        </w:rPr>
        <w:t>required</w:t>
      </w:r>
      <w:r>
        <w:t xml:space="preserve"> outcomes. </w:t>
      </w:r>
    </w:p>
    <w:tbl>
      <w:tblPr>
        <w:tblStyle w:val="TableGrid"/>
        <w:tblW w:w="4920" w:type="pct"/>
        <w:tblLayout w:type="fixed"/>
        <w:tblLook w:val="0480" w:firstRow="0" w:lastRow="0" w:firstColumn="1" w:lastColumn="0" w:noHBand="0" w:noVBand="1"/>
        <w:tblCaption w:val="Table C.1"/>
        <w:tblDescription w:val="AEMC’s Recommendations: Reporting framework for secondary trades"/>
      </w:tblPr>
      <w:tblGrid>
        <w:gridCol w:w="8647"/>
      </w:tblGrid>
      <w:tr w:rsidR="00400837" w:rsidRPr="0094109D" w14:paraId="7E52201B" w14:textId="77777777" w:rsidTr="0094109D">
        <w:trPr>
          <w:cnfStyle w:val="000000010000" w:firstRow="0" w:lastRow="0" w:firstColumn="0" w:lastColumn="0" w:oddVBand="0" w:evenVBand="0" w:oddHBand="0" w:evenHBand="1" w:firstRowFirstColumn="0" w:firstRowLastColumn="0" w:lastRowFirstColumn="0" w:lastRowLastColumn="0"/>
          <w:tblHeader/>
        </w:trPr>
        <w:tc>
          <w:tcPr>
            <w:tcW w:w="8647" w:type="dxa"/>
            <w:tcBorders>
              <w:top w:val="nil"/>
              <w:bottom w:val="single" w:sz="4" w:space="0" w:color="auto"/>
            </w:tcBorders>
            <w:shd w:val="clear" w:color="auto" w:fill="auto"/>
          </w:tcPr>
          <w:p w14:paraId="1223B136" w14:textId="148BBC74" w:rsidR="00400837" w:rsidRPr="0094109D" w:rsidRDefault="0094109D" w:rsidP="0094109D">
            <w:pPr>
              <w:pStyle w:val="TableBodyText"/>
              <w:keepNext/>
              <w:spacing w:before="20" w:after="20" w:line="240" w:lineRule="auto"/>
              <w:rPr>
                <w:b/>
                <w:color w:val="FFFFFF" w:themeColor="background1"/>
                <w:sz w:val="22"/>
                <w:szCs w:val="20"/>
              </w:rPr>
            </w:pPr>
            <w:r w:rsidRPr="0094109D">
              <w:rPr>
                <w:b/>
                <w:sz w:val="20"/>
              </w:rPr>
              <w:t>Table C.1: AEMC’s Recommendations: Reporting framework for secondary trades</w:t>
            </w:r>
          </w:p>
        </w:tc>
      </w:tr>
      <w:tr w:rsidR="0094109D" w:rsidRPr="00722010" w14:paraId="32893198" w14:textId="77777777" w:rsidTr="0094109D">
        <w:tc>
          <w:tcPr>
            <w:tcW w:w="8647" w:type="dxa"/>
            <w:tcBorders>
              <w:bottom w:val="single" w:sz="4" w:space="0" w:color="auto"/>
            </w:tcBorders>
            <w:shd w:val="clear" w:color="auto" w:fill="0099CC"/>
          </w:tcPr>
          <w:p w14:paraId="7FC7E42B" w14:textId="77777777" w:rsidR="0094109D" w:rsidRPr="00722010" w:rsidRDefault="0094109D" w:rsidP="0094109D">
            <w:pPr>
              <w:pStyle w:val="TableBodyText"/>
              <w:keepNext/>
              <w:spacing w:before="20" w:after="20" w:line="240" w:lineRule="auto"/>
              <w:jc w:val="center"/>
              <w:rPr>
                <w:b/>
                <w:color w:val="FFFFFF" w:themeColor="background1"/>
                <w:sz w:val="20"/>
                <w:szCs w:val="20"/>
              </w:rPr>
            </w:pPr>
            <w:r w:rsidRPr="00722010">
              <w:rPr>
                <w:b/>
                <w:color w:val="FFFFFF" w:themeColor="background1"/>
                <w:sz w:val="20"/>
                <w:szCs w:val="20"/>
              </w:rPr>
              <w:t>Required Outcomes</w:t>
            </w:r>
          </w:p>
        </w:tc>
      </w:tr>
      <w:tr w:rsidR="0094109D" w:rsidRPr="00481BD7" w14:paraId="2903B3A1" w14:textId="77777777" w:rsidTr="0094109D">
        <w:trPr>
          <w:cnfStyle w:val="000000010000" w:firstRow="0" w:lastRow="0" w:firstColumn="0" w:lastColumn="0" w:oddVBand="0" w:evenVBand="0" w:oddHBand="0" w:evenHBand="1" w:firstRowFirstColumn="0" w:firstRowLastColumn="0" w:lastRowFirstColumn="0" w:lastRowLastColumn="0"/>
        </w:trPr>
        <w:tc>
          <w:tcPr>
            <w:tcW w:w="8647" w:type="dxa"/>
            <w:tcBorders>
              <w:bottom w:val="single" w:sz="4" w:space="0" w:color="auto"/>
            </w:tcBorders>
            <w:shd w:val="clear" w:color="auto" w:fill="auto"/>
          </w:tcPr>
          <w:p w14:paraId="3389D95F" w14:textId="77777777" w:rsidR="0094109D" w:rsidRPr="00481BD7" w:rsidRDefault="0094109D" w:rsidP="0094109D">
            <w:pPr>
              <w:pStyle w:val="TableBullet1"/>
              <w:spacing w:before="40" w:after="40" w:line="240" w:lineRule="auto"/>
              <w:rPr>
                <w:sz w:val="20"/>
                <w:szCs w:val="20"/>
              </w:rPr>
            </w:pPr>
            <w:r w:rsidRPr="00481BD7">
              <w:rPr>
                <w:sz w:val="20"/>
                <w:szCs w:val="20"/>
              </w:rPr>
              <w:t xml:space="preserve">Publication of information on all secondary trades of pipeline capacity and hub services. </w:t>
            </w:r>
          </w:p>
          <w:p w14:paraId="4A64E103" w14:textId="77777777" w:rsidR="0094109D" w:rsidRPr="00481BD7" w:rsidRDefault="0094109D" w:rsidP="0094109D">
            <w:pPr>
              <w:pStyle w:val="TableBullet1"/>
              <w:spacing w:before="40" w:after="40" w:line="240" w:lineRule="auto"/>
              <w:rPr>
                <w:sz w:val="20"/>
                <w:szCs w:val="20"/>
              </w:rPr>
            </w:pPr>
            <w:r w:rsidRPr="00481BD7">
              <w:rPr>
                <w:sz w:val="20"/>
                <w:szCs w:val="20"/>
              </w:rPr>
              <w:t xml:space="preserve">The information to be published is the price of the trade and any other information that might reasonably influence that price, taking into account measures to protect anonymity. </w:t>
            </w:r>
          </w:p>
          <w:p w14:paraId="1B18FF37" w14:textId="77777777" w:rsidR="0094109D" w:rsidRPr="00481BD7" w:rsidRDefault="0094109D" w:rsidP="0094109D">
            <w:pPr>
              <w:pStyle w:val="TableBullet1"/>
              <w:keepNext/>
              <w:spacing w:before="20" w:after="20" w:line="240" w:lineRule="auto"/>
              <w:rPr>
                <w:sz w:val="20"/>
                <w:szCs w:val="20"/>
              </w:rPr>
            </w:pPr>
            <w:r w:rsidRPr="00481BD7">
              <w:rPr>
                <w:sz w:val="20"/>
                <w:szCs w:val="20"/>
              </w:rPr>
              <w:t>Publication should occur at or shortly after the time the transaction is entered into</w:t>
            </w:r>
            <w:r>
              <w:rPr>
                <w:sz w:val="20"/>
                <w:szCs w:val="20"/>
              </w:rPr>
              <w:t>.</w:t>
            </w:r>
          </w:p>
        </w:tc>
      </w:tr>
      <w:tr w:rsidR="0094109D" w:rsidRPr="00CE12E4" w14:paraId="28E8D420" w14:textId="77777777" w:rsidTr="0094109D">
        <w:tblPrEx>
          <w:tblLook w:val="04A0" w:firstRow="1" w:lastRow="0" w:firstColumn="1" w:lastColumn="0" w:noHBand="0" w:noVBand="1"/>
        </w:tblPrEx>
        <w:tc>
          <w:tcPr>
            <w:tcW w:w="8647" w:type="dxa"/>
            <w:tcBorders>
              <w:bottom w:val="single" w:sz="4" w:space="0" w:color="auto"/>
            </w:tcBorders>
            <w:shd w:val="clear" w:color="auto" w:fill="0099CC"/>
          </w:tcPr>
          <w:p w14:paraId="0F075F89" w14:textId="77777777" w:rsidR="0094109D" w:rsidRPr="00CE12E4" w:rsidRDefault="0094109D" w:rsidP="0094109D">
            <w:pPr>
              <w:pStyle w:val="TableBodyText"/>
              <w:keepNext/>
              <w:spacing w:before="20" w:after="40"/>
              <w:jc w:val="center"/>
              <w:rPr>
                <w:b/>
                <w:color w:val="FFFFFF" w:themeColor="background1"/>
                <w:sz w:val="20"/>
                <w:szCs w:val="20"/>
              </w:rPr>
            </w:pPr>
            <w:r w:rsidRPr="00CE12E4">
              <w:rPr>
                <w:b/>
                <w:color w:val="FFFFFF" w:themeColor="background1"/>
                <w:sz w:val="20"/>
                <w:szCs w:val="20"/>
              </w:rPr>
              <w:t>Preferred outcomes</w:t>
            </w:r>
          </w:p>
        </w:tc>
      </w:tr>
      <w:tr w:rsidR="0094109D" w:rsidRPr="00CE12E4" w14:paraId="39650A67" w14:textId="77777777" w:rsidTr="0094109D">
        <w:tblPrEx>
          <w:tblLook w:val="04A0" w:firstRow="1" w:lastRow="0" w:firstColumn="1" w:lastColumn="0" w:noHBand="0" w:noVBand="1"/>
        </w:tblPrEx>
        <w:trPr>
          <w:cnfStyle w:val="000000010000" w:firstRow="0" w:lastRow="0" w:firstColumn="0" w:lastColumn="0" w:oddVBand="0" w:evenVBand="0" w:oddHBand="0" w:evenHBand="1" w:firstRowFirstColumn="0" w:firstRowLastColumn="0" w:lastRowFirstColumn="0" w:lastRowLastColumn="0"/>
        </w:trPr>
        <w:tc>
          <w:tcPr>
            <w:tcW w:w="8647" w:type="dxa"/>
            <w:shd w:val="clear" w:color="auto" w:fill="FFFFFF" w:themeFill="background1"/>
          </w:tcPr>
          <w:p w14:paraId="13798EB9" w14:textId="77777777" w:rsidR="0094109D" w:rsidRPr="00CE12E4" w:rsidRDefault="0094109D" w:rsidP="0094109D">
            <w:pPr>
              <w:pStyle w:val="TableBullet1"/>
              <w:keepNext/>
              <w:spacing w:before="20" w:after="40"/>
              <w:rPr>
                <w:sz w:val="20"/>
                <w:szCs w:val="20"/>
              </w:rPr>
            </w:pPr>
            <w:r w:rsidRPr="00CE12E4">
              <w:rPr>
                <w:sz w:val="20"/>
                <w:szCs w:val="20"/>
              </w:rPr>
              <w:t>Trades conducted outside the capacity trading platform to be advertised ahead of time on the capacity trading platform listing service.</w:t>
            </w:r>
          </w:p>
        </w:tc>
      </w:tr>
    </w:tbl>
    <w:p w14:paraId="55787C30" w14:textId="77777777" w:rsidR="00400837" w:rsidRDefault="00400837" w:rsidP="00400837">
      <w:pPr>
        <w:pStyle w:val="BodyText"/>
        <w:spacing w:after="200"/>
      </w:pPr>
      <w:r w:rsidRPr="00D9222C">
        <w:t xml:space="preserve">Elaborating </w:t>
      </w:r>
      <w:r>
        <w:t xml:space="preserve">further </w:t>
      </w:r>
      <w:r w:rsidRPr="00D9222C">
        <w:t>on these recommendations, the AEMC noted that t</w:t>
      </w:r>
      <w:r w:rsidRPr="00E264D6">
        <w:t xml:space="preserve">here is a </w:t>
      </w:r>
      <w:r w:rsidRPr="00D9222C">
        <w:t xml:space="preserve">clear </w:t>
      </w:r>
      <w:r w:rsidRPr="00E264D6">
        <w:t>trade-off between</w:t>
      </w:r>
      <w:r>
        <w:t xml:space="preserve"> </w:t>
      </w:r>
      <w:r w:rsidRPr="00D9222C">
        <w:rPr>
          <w:rFonts w:asciiTheme="majorHAnsi" w:hAnsiTheme="majorHAnsi" w:cstheme="majorHAnsi"/>
        </w:rPr>
        <w:t>the benefits of wide information provision and the direct and indirect cost of providing the information</w:t>
      </w:r>
      <w:r>
        <w:rPr>
          <w:rFonts w:asciiTheme="majorHAnsi" w:hAnsiTheme="majorHAnsi" w:cstheme="majorHAnsi"/>
        </w:rPr>
        <w:t xml:space="preserve"> (</w:t>
      </w:r>
      <w:r w:rsidRPr="00D9222C">
        <w:rPr>
          <w:rFonts w:asciiTheme="majorHAnsi" w:hAnsiTheme="majorHAnsi" w:cstheme="majorHAnsi"/>
        </w:rPr>
        <w:t>which includes any adverse effects that the revelation of counterparties’ commercial-in-confidence information may have on market participants</w:t>
      </w:r>
      <w:r>
        <w:rPr>
          <w:rFonts w:asciiTheme="majorHAnsi" w:hAnsiTheme="majorHAnsi" w:cstheme="majorHAnsi"/>
        </w:rPr>
        <w:t>)</w:t>
      </w:r>
      <w:r w:rsidRPr="00D9222C">
        <w:rPr>
          <w:rFonts w:asciiTheme="majorHAnsi" w:hAnsiTheme="majorHAnsi" w:cstheme="majorHAnsi"/>
        </w:rPr>
        <w:t xml:space="preserve">. </w:t>
      </w:r>
      <w:r>
        <w:rPr>
          <w:rFonts w:cs="Book Antiqua"/>
          <w:color w:val="000000"/>
        </w:rPr>
        <w:t xml:space="preserve">The AEMC therefore recommended that the </w:t>
      </w:r>
      <w:r w:rsidRPr="00E264D6">
        <w:t>G</w:t>
      </w:r>
      <w:r>
        <w:t>M</w:t>
      </w:r>
      <w:r w:rsidRPr="00E264D6">
        <w:t xml:space="preserve">RG have regard to these </w:t>
      </w:r>
      <w:r>
        <w:t xml:space="preserve">trade-offs when developing its final </w:t>
      </w:r>
      <w:r w:rsidRPr="00E264D6">
        <w:t>recommendations</w:t>
      </w:r>
      <w:r>
        <w:t xml:space="preserve"> on the reporting framework for secondary capacity</w:t>
      </w:r>
      <w:r w:rsidRPr="00E264D6">
        <w:t>.</w:t>
      </w:r>
    </w:p>
    <w:p w14:paraId="0A410E24" w14:textId="77777777" w:rsidR="00A95183" w:rsidRPr="008237A5" w:rsidRDefault="00A95183" w:rsidP="00A95183">
      <w:pPr>
        <w:pStyle w:val="BodyText"/>
        <w:spacing w:before="120"/>
        <w:rPr>
          <w:rFonts w:eastAsiaTheme="minorHAnsi"/>
        </w:rPr>
      </w:pPr>
      <w:r>
        <w:t xml:space="preserve">The GMRG has worked with the Standardisation project team on this element of the reform package and on 10 October 2017 </w:t>
      </w:r>
      <w:r w:rsidRPr="00330AB2">
        <w:t xml:space="preserve">published </w:t>
      </w:r>
      <w:r>
        <w:t>a consultation paper</w:t>
      </w:r>
      <w:r w:rsidRPr="00330AB2">
        <w:t xml:space="preserve"> </w:t>
      </w:r>
      <w:r>
        <w:t xml:space="preserve">that set out a </w:t>
      </w:r>
      <w:r>
        <w:rPr>
          <w:rFonts w:cs="Arial"/>
        </w:rPr>
        <w:t>number of options for the form the reporting framework could take</w:t>
      </w:r>
      <w:r w:rsidR="00F1710A">
        <w:rPr>
          <w:rFonts w:cs="Arial"/>
        </w:rPr>
        <w:t>, as well as</w:t>
      </w:r>
      <w:r>
        <w:rPr>
          <w:rFonts w:cs="Arial"/>
        </w:rPr>
        <w:t xml:space="preserve"> the GMRG’s preliminary view on these options. </w:t>
      </w:r>
      <w:r>
        <w:t xml:space="preserve">Stakeholders were </w:t>
      </w:r>
      <w:r w:rsidR="0024743C">
        <w:t>given</w:t>
      </w:r>
      <w:r>
        <w:t xml:space="preserve"> four weeks to provide written feedback on the options presented in this consultation paper and were also invited to attend a public forum in Melbourne on 31 October 2017</w:t>
      </w:r>
      <w:r w:rsidRPr="008964B9">
        <w:t xml:space="preserve">. </w:t>
      </w:r>
      <w:r>
        <w:t xml:space="preserve"> </w:t>
      </w:r>
      <w:r>
        <w:rPr>
          <w:rFonts w:eastAsiaTheme="minorHAnsi"/>
        </w:rPr>
        <w:t xml:space="preserve">The consultation period for this paper ended on 6 November 2017. </w:t>
      </w:r>
    </w:p>
    <w:p w14:paraId="7CC8203D" w14:textId="77777777" w:rsidR="00A95183" w:rsidRPr="000C6D24" w:rsidRDefault="00A95183" w:rsidP="00145D10">
      <w:pPr>
        <w:spacing w:before="240" w:after="120" w:line="252" w:lineRule="auto"/>
      </w:pPr>
      <w:r>
        <w:t xml:space="preserve">The stakeholders that </w:t>
      </w:r>
      <w:r w:rsidR="001B4FDE">
        <w:t xml:space="preserve">provided written submissions on this </w:t>
      </w:r>
      <w:r w:rsidR="000C6D24">
        <w:t xml:space="preserve">element of the reform package </w:t>
      </w:r>
      <w:r>
        <w:t xml:space="preserve">included </w:t>
      </w:r>
      <w:r w:rsidR="00D640A6">
        <w:t xml:space="preserve">the ACCC, </w:t>
      </w:r>
      <w:r>
        <w:t xml:space="preserve">AEMO, </w:t>
      </w:r>
      <w:r w:rsidR="001B4FDE">
        <w:t xml:space="preserve">AGL, </w:t>
      </w:r>
      <w:proofErr w:type="spellStart"/>
      <w:r w:rsidR="001B4FDE">
        <w:t>Alinta</w:t>
      </w:r>
      <w:proofErr w:type="spellEnd"/>
      <w:r w:rsidR="001B4FDE">
        <w:t xml:space="preserve">, APLNG, </w:t>
      </w:r>
      <w:proofErr w:type="spellStart"/>
      <w:r w:rsidR="001B4FDE">
        <w:t>Engie</w:t>
      </w:r>
      <w:proofErr w:type="spellEnd"/>
      <w:r w:rsidR="001B4FDE">
        <w:t xml:space="preserve">, ERM, </w:t>
      </w:r>
      <w:r w:rsidR="000C6D24">
        <w:t xml:space="preserve">Jemena, </w:t>
      </w:r>
      <w:r w:rsidR="006B4D6B">
        <w:t xml:space="preserve">Origin, </w:t>
      </w:r>
      <w:proofErr w:type="spellStart"/>
      <w:r w:rsidR="000C6D24">
        <w:t>Senex</w:t>
      </w:r>
      <w:proofErr w:type="spellEnd"/>
      <w:r w:rsidR="006B4D6B">
        <w:t>, Shell</w:t>
      </w:r>
      <w:r w:rsidR="000C6D24">
        <w:t xml:space="preserve"> and Stanwell. </w:t>
      </w:r>
      <w:r w:rsidR="00F1710A">
        <w:t xml:space="preserve">Stakeholder </w:t>
      </w:r>
      <w:r w:rsidR="000C6D24">
        <w:t xml:space="preserve">submissions can be </w:t>
      </w:r>
      <w:r w:rsidR="00F1710A">
        <w:t>accessed on the GMRG</w:t>
      </w:r>
      <w:r w:rsidR="000C6D24">
        <w:t xml:space="preserve"> website.</w:t>
      </w:r>
      <w:r w:rsidR="000C6D24">
        <w:rPr>
          <w:rStyle w:val="FootnoteReference"/>
        </w:rPr>
        <w:footnoteReference w:id="92"/>
      </w:r>
      <w:r w:rsidR="000C6D24">
        <w:t xml:space="preserve"> </w:t>
      </w:r>
      <w:r w:rsidR="00145D10">
        <w:t>These s</w:t>
      </w:r>
      <w:r>
        <w:t xml:space="preserve">takeholders were generally supportive of this element of the capacity trading reform </w:t>
      </w:r>
      <w:r w:rsidRPr="000C6D24">
        <w:t>package</w:t>
      </w:r>
      <w:r w:rsidR="006D52EB">
        <w:t xml:space="preserve">, although some concerns were </w:t>
      </w:r>
      <w:r w:rsidRPr="000C6D24">
        <w:t>raised</w:t>
      </w:r>
      <w:r w:rsidR="006D52EB">
        <w:t xml:space="preserve"> about</w:t>
      </w:r>
      <w:r w:rsidR="00005627">
        <w:t>:</w:t>
      </w:r>
      <w:r w:rsidRPr="000C6D24">
        <w:t xml:space="preserve"> </w:t>
      </w:r>
    </w:p>
    <w:p w14:paraId="2489C7F6" w14:textId="77777777" w:rsidR="000C6D24" w:rsidRPr="000C6D24" w:rsidRDefault="006D52EB" w:rsidP="00DD15FF">
      <w:pPr>
        <w:pStyle w:val="ListBullet"/>
        <w:spacing w:before="60" w:after="60" w:line="250" w:lineRule="auto"/>
      </w:pPr>
      <w:bookmarkStart w:id="191" w:name="_Hlk498166215"/>
      <w:r>
        <w:lastRenderedPageBreak/>
        <w:t xml:space="preserve">the AEMC’s recommendation that </w:t>
      </w:r>
      <w:r w:rsidR="000C6D24" w:rsidRPr="000C6D24">
        <w:t xml:space="preserve">bilateral </w:t>
      </w:r>
      <w:r w:rsidR="00A95183" w:rsidRPr="000C6D24">
        <w:t xml:space="preserve">trades </w:t>
      </w:r>
      <w:r w:rsidR="000C6D24" w:rsidRPr="000C6D24">
        <w:t xml:space="preserve">be </w:t>
      </w:r>
      <w:r>
        <w:t xml:space="preserve">subject to the reporting framework </w:t>
      </w:r>
      <w:r w:rsidR="000C6D24" w:rsidRPr="000C6D24">
        <w:t xml:space="preserve">and </w:t>
      </w:r>
      <w:r w:rsidR="00A95183" w:rsidRPr="000C6D24">
        <w:t>advertised ahead of time</w:t>
      </w:r>
      <w:r w:rsidR="000C6D24" w:rsidRPr="000C6D24">
        <w:t xml:space="preserve"> on the listing service</w:t>
      </w:r>
      <w:r w:rsidR="00A95183" w:rsidRPr="000C6D24">
        <w:t xml:space="preserve">; </w:t>
      </w:r>
    </w:p>
    <w:p w14:paraId="54C8EF53" w14:textId="77777777" w:rsidR="00A95183" w:rsidRPr="000C6D24" w:rsidRDefault="000C6D24" w:rsidP="00DD15FF">
      <w:pPr>
        <w:pStyle w:val="ListBullet"/>
        <w:spacing w:before="60" w:after="60" w:line="250" w:lineRule="auto"/>
      </w:pPr>
      <w:r w:rsidRPr="000C6D24">
        <w:t xml:space="preserve">the level of information to be reported and how confidentiality will be </w:t>
      </w:r>
      <w:r w:rsidR="00534F2E">
        <w:t>protected</w:t>
      </w:r>
      <w:r w:rsidRPr="000C6D24">
        <w:t xml:space="preserve">; </w:t>
      </w:r>
      <w:r w:rsidR="00A95183" w:rsidRPr="000C6D24">
        <w:t>and</w:t>
      </w:r>
    </w:p>
    <w:p w14:paraId="3B921D84" w14:textId="77777777" w:rsidR="00A95183" w:rsidRPr="000C6D24" w:rsidRDefault="00A95183" w:rsidP="00DD15FF">
      <w:pPr>
        <w:pStyle w:val="ListBullet"/>
        <w:spacing w:before="60" w:after="60" w:line="250" w:lineRule="auto"/>
      </w:pPr>
      <w:proofErr w:type="gramStart"/>
      <w:r w:rsidRPr="000C6D24">
        <w:t>the</w:t>
      </w:r>
      <w:proofErr w:type="gramEnd"/>
      <w:r w:rsidRPr="000C6D24">
        <w:t xml:space="preserve"> amount of time sellers will have to report on any trades they have entered into.</w:t>
      </w:r>
    </w:p>
    <w:bookmarkEnd w:id="191"/>
    <w:p w14:paraId="6F832D0A" w14:textId="77777777" w:rsidR="00A95183" w:rsidRDefault="00A95183" w:rsidP="00DD15FF">
      <w:pPr>
        <w:pStyle w:val="BodyText"/>
        <w:spacing w:line="250" w:lineRule="auto"/>
      </w:pPr>
      <w:r w:rsidRPr="000C6D24">
        <w:t xml:space="preserve">The GMRG has therefore further </w:t>
      </w:r>
      <w:r w:rsidR="00F1710A">
        <w:t xml:space="preserve">considered </w:t>
      </w:r>
      <w:r w:rsidRPr="000C6D24">
        <w:t xml:space="preserve">these issues </w:t>
      </w:r>
      <w:r w:rsidR="00F1710A">
        <w:t xml:space="preserve">in </w:t>
      </w:r>
      <w:r w:rsidRPr="000C6D24">
        <w:t>developing its final recommendations.</w:t>
      </w:r>
      <w:r>
        <w:t xml:space="preserve"> </w:t>
      </w:r>
    </w:p>
    <w:p w14:paraId="1663BB8B" w14:textId="77777777" w:rsidR="00664196" w:rsidRDefault="00A95183" w:rsidP="00DD15FF">
      <w:pPr>
        <w:pStyle w:val="BodyText"/>
        <w:spacing w:line="250" w:lineRule="auto"/>
      </w:pPr>
      <w:r>
        <w:t xml:space="preserve">Table C.2 provides a high-level summary of the GMRG’s final recommendations on this element of the reform package, which have been developed </w:t>
      </w:r>
      <w:r w:rsidR="006B4D6B">
        <w:t xml:space="preserve">having regard to the feedback provided by stakeholders and </w:t>
      </w:r>
      <w:r>
        <w:t xml:space="preserve">the assessment framework set out in Chapter 3.  </w:t>
      </w:r>
      <w:r w:rsidR="006B4D6B">
        <w:t xml:space="preserve">In </w:t>
      </w:r>
      <w:r w:rsidR="00664196">
        <w:t xml:space="preserve">the GMRG’s view, the </w:t>
      </w:r>
      <w:r w:rsidR="006B4D6B">
        <w:t xml:space="preserve">reporting framework </w:t>
      </w:r>
      <w:r w:rsidR="00B7362D">
        <w:t xml:space="preserve">set out </w:t>
      </w:r>
      <w:r w:rsidR="00664196">
        <w:t xml:space="preserve">in </w:t>
      </w:r>
      <w:r w:rsidR="00B7362D">
        <w:t xml:space="preserve">this table </w:t>
      </w:r>
      <w:r w:rsidR="00664196">
        <w:t xml:space="preserve">is fit for purpose, targeted and proportionate to the issues it is intended to address and strikes the right balance between: </w:t>
      </w:r>
    </w:p>
    <w:p w14:paraId="0B1E6DFC" w14:textId="77777777" w:rsidR="00664196" w:rsidRDefault="00664196" w:rsidP="00DD15FF">
      <w:pPr>
        <w:pStyle w:val="ListBullet"/>
        <w:numPr>
          <w:ilvl w:val="0"/>
          <w:numId w:val="59"/>
        </w:numPr>
        <w:spacing w:before="60" w:after="60" w:line="250" w:lineRule="auto"/>
        <w:ind w:left="357" w:hanging="357"/>
      </w:pPr>
      <w:r>
        <w:t>providing the market with sufficient information to understand the value of capacity and to make informed decisions about the allocation and use of capacity;</w:t>
      </w:r>
      <w:r w:rsidRPr="008A496D">
        <w:t xml:space="preserve"> and </w:t>
      </w:r>
    </w:p>
    <w:p w14:paraId="296E0FA6" w14:textId="77777777" w:rsidR="00664196" w:rsidRDefault="00664196" w:rsidP="00DD15FF">
      <w:pPr>
        <w:pStyle w:val="ListBullet"/>
        <w:numPr>
          <w:ilvl w:val="0"/>
          <w:numId w:val="59"/>
        </w:numPr>
        <w:spacing w:before="60" w:after="60" w:line="250" w:lineRule="auto"/>
        <w:ind w:left="357" w:hanging="357"/>
      </w:pPr>
      <w:proofErr w:type="gramStart"/>
      <w:r w:rsidRPr="008A496D">
        <w:t>the</w:t>
      </w:r>
      <w:proofErr w:type="gramEnd"/>
      <w:r w:rsidRPr="008A496D">
        <w:t xml:space="preserve"> direct and indirect costs associated with information provision</w:t>
      </w:r>
      <w:r>
        <w:t>.</w:t>
      </w:r>
    </w:p>
    <w:p w14:paraId="7E5B287F" w14:textId="77777777" w:rsidR="006B4D6B" w:rsidRDefault="00E56D44" w:rsidP="00DD15FF">
      <w:pPr>
        <w:pStyle w:val="BodyText"/>
        <w:spacing w:line="250" w:lineRule="auto"/>
      </w:pPr>
      <w:r>
        <w:t xml:space="preserve">Consistent </w:t>
      </w:r>
      <w:r w:rsidR="00664196">
        <w:t xml:space="preserve">with the </w:t>
      </w:r>
      <w:r w:rsidR="00895A4E">
        <w:t>objectives outlined by the AEMC</w:t>
      </w:r>
      <w:r w:rsidR="00664196">
        <w:t xml:space="preserve">, </w:t>
      </w:r>
      <w:r w:rsidR="00DD15FF">
        <w:t xml:space="preserve">the reporting framework </w:t>
      </w:r>
      <w:r>
        <w:t>can also be expected to</w:t>
      </w:r>
      <w:r w:rsidR="00676E6A">
        <w:t xml:space="preserve">: </w:t>
      </w:r>
    </w:p>
    <w:p w14:paraId="0A2D7E23" w14:textId="77777777" w:rsidR="00676E6A" w:rsidRDefault="006B4D6B" w:rsidP="00DD15FF">
      <w:pPr>
        <w:pStyle w:val="ListBullet"/>
        <w:spacing w:before="60" w:after="60" w:line="250" w:lineRule="auto"/>
      </w:pPr>
      <w:r w:rsidRPr="002308B5">
        <w:t>aid the price discovery process for secondary capacity trades</w:t>
      </w:r>
      <w:r>
        <w:t xml:space="preserve"> </w:t>
      </w:r>
      <w:r w:rsidR="00676E6A">
        <w:t xml:space="preserve">(i.e. </w:t>
      </w:r>
      <w:r>
        <w:t>by providing for the publication of information on all forms of secondary capacity trades shortly after they are entered into</w:t>
      </w:r>
      <w:r w:rsidR="00676E6A">
        <w:t xml:space="preserve">), which </w:t>
      </w:r>
      <w:r w:rsidR="00895A4E">
        <w:t>will, in turn</w:t>
      </w:r>
      <w:r w:rsidR="00676E6A">
        <w:t xml:space="preserve">: </w:t>
      </w:r>
    </w:p>
    <w:p w14:paraId="0E4CAAB5" w14:textId="77777777" w:rsidR="00676E6A" w:rsidRDefault="006B4D6B" w:rsidP="00DD15FF">
      <w:pPr>
        <w:pStyle w:val="ListBullet2"/>
        <w:spacing w:before="60" w:after="60" w:line="250" w:lineRule="auto"/>
      </w:pPr>
      <w:r w:rsidRPr="00E264D6">
        <w:t>reduce search costs</w:t>
      </w:r>
      <w:r w:rsidR="00676E6A">
        <w:t xml:space="preserve">; </w:t>
      </w:r>
    </w:p>
    <w:p w14:paraId="2E3D98C1" w14:textId="77777777" w:rsidR="00676E6A" w:rsidRDefault="00676E6A" w:rsidP="00DD15FF">
      <w:pPr>
        <w:pStyle w:val="ListBullet2"/>
        <w:spacing w:before="60" w:after="60" w:line="250" w:lineRule="auto"/>
      </w:pPr>
      <w:r>
        <w:t>enable shippers to engage in more effective negotiations</w:t>
      </w:r>
      <w:r w:rsidR="006D52EB">
        <w:t xml:space="preserve"> </w:t>
      </w:r>
      <w:r w:rsidR="00895A4E">
        <w:t xml:space="preserve">(i.e. </w:t>
      </w:r>
      <w:r w:rsidR="006D52EB">
        <w:t xml:space="preserve">by improving the </w:t>
      </w:r>
      <w:r w:rsidR="006D52EB" w:rsidRPr="006D52EB">
        <w:t>relative bargaining positions of parties</w:t>
      </w:r>
      <w:r w:rsidR="00895A4E">
        <w:t>)</w:t>
      </w:r>
      <w:r>
        <w:t xml:space="preserve">; and </w:t>
      </w:r>
    </w:p>
    <w:p w14:paraId="0C19E408" w14:textId="77777777" w:rsidR="006B4D6B" w:rsidRPr="002308B5" w:rsidRDefault="00895A4E" w:rsidP="00DD15FF">
      <w:pPr>
        <w:pStyle w:val="ListBullet2"/>
        <w:spacing w:before="60" w:after="60" w:line="250" w:lineRule="auto"/>
      </w:pPr>
      <w:r>
        <w:t xml:space="preserve">improve the efficiency with which </w:t>
      </w:r>
      <w:r w:rsidR="006B4D6B" w:rsidRPr="002308B5">
        <w:t xml:space="preserve">capacity </w:t>
      </w:r>
      <w:r>
        <w:t xml:space="preserve">is allocated and used (i.e. </w:t>
      </w:r>
      <w:r w:rsidR="006B4D6B" w:rsidRPr="002308B5">
        <w:t>because shippers will be able to readily assess the value of capacity</w:t>
      </w:r>
      <w:r>
        <w:t>)</w:t>
      </w:r>
      <w:r w:rsidR="006B4D6B" w:rsidRPr="002308B5">
        <w:t xml:space="preserve">; </w:t>
      </w:r>
      <w:r w:rsidR="006B4D6B">
        <w:t>and</w:t>
      </w:r>
    </w:p>
    <w:p w14:paraId="584DB80F" w14:textId="77777777" w:rsidR="006B4D6B" w:rsidRPr="002308B5" w:rsidRDefault="006B4D6B" w:rsidP="00DD15FF">
      <w:pPr>
        <w:pStyle w:val="ListBullet"/>
        <w:spacing w:line="250" w:lineRule="auto"/>
      </w:pPr>
      <w:proofErr w:type="gramStart"/>
      <w:r w:rsidRPr="002308B5">
        <w:t>instil</w:t>
      </w:r>
      <w:proofErr w:type="gramEnd"/>
      <w:r w:rsidRPr="002308B5">
        <w:t xml:space="preserve"> a greater level of confidence in </w:t>
      </w:r>
      <w:r w:rsidR="00676E6A">
        <w:t xml:space="preserve">the robustness and non-discriminatory nature of this </w:t>
      </w:r>
      <w:r w:rsidRPr="002308B5">
        <w:t>market</w:t>
      </w:r>
      <w:r w:rsidR="00DD15FF">
        <w:t>, thereby</w:t>
      </w:r>
      <w:r w:rsidR="00676E6A">
        <w:t xml:space="preserve"> promot</w:t>
      </w:r>
      <w:r w:rsidR="00DD15FF">
        <w:t>ing</w:t>
      </w:r>
      <w:r w:rsidR="00676E6A">
        <w:t xml:space="preserve"> </w:t>
      </w:r>
      <w:r w:rsidRPr="002308B5">
        <w:t>the development of a liquid secondary capacity market.</w:t>
      </w:r>
    </w:p>
    <w:p w14:paraId="389AF749" w14:textId="77777777" w:rsidR="00664196" w:rsidRDefault="00676E6A" w:rsidP="00DD15FF">
      <w:pPr>
        <w:pStyle w:val="BodyText"/>
        <w:spacing w:line="250" w:lineRule="auto"/>
      </w:pPr>
      <w:r>
        <w:t>These attributes are consistent with the broader objectives of the capacity trading reform package</w:t>
      </w:r>
      <w:r w:rsidR="009A2469">
        <w:t xml:space="preserve"> and </w:t>
      </w:r>
      <w:r>
        <w:t xml:space="preserve">the Energy Council’s </w:t>
      </w:r>
      <w:r w:rsidR="006D52EB" w:rsidRPr="00104AC3">
        <w:rPr>
          <w:i/>
        </w:rPr>
        <w:t>Vision</w:t>
      </w:r>
      <w:r w:rsidR="006D52EB" w:rsidRPr="00104AC3">
        <w:t xml:space="preserve"> </w:t>
      </w:r>
      <w:r w:rsidR="006D52EB">
        <w:t xml:space="preserve">of the direction gas market development should take </w:t>
      </w:r>
      <w:r w:rsidR="009A2469">
        <w:t xml:space="preserve">and, </w:t>
      </w:r>
      <w:r w:rsidR="006D52EB">
        <w:t xml:space="preserve">in particular, outcome 2(a) </w:t>
      </w:r>
      <w:r w:rsidR="009A2469">
        <w:t>(</w:t>
      </w:r>
      <w:r w:rsidR="006D52EB">
        <w:rPr>
          <w:rFonts w:eastAsiaTheme="minorEastAsia"/>
        </w:rPr>
        <w:t>see</w:t>
      </w:r>
      <w:r w:rsidR="006D52EB" w:rsidRPr="003957AA">
        <w:rPr>
          <w:rFonts w:eastAsiaTheme="minorEastAsia"/>
        </w:rPr>
        <w:t xml:space="preserve"> </w:t>
      </w:r>
      <w:r w:rsidR="006D52EB" w:rsidRPr="003957AA">
        <w:rPr>
          <w:rFonts w:eastAsiaTheme="minorEastAsia"/>
        </w:rPr>
        <w:fldChar w:fldCharType="begin"/>
      </w:r>
      <w:r w:rsidR="006D52EB" w:rsidRPr="003957AA">
        <w:rPr>
          <w:rFonts w:eastAsiaTheme="minorEastAsia"/>
        </w:rPr>
        <w:instrText xml:space="preserve"> REF _Ref482330736 \h  \* MERGEFORMAT </w:instrText>
      </w:r>
      <w:r w:rsidR="006D52EB" w:rsidRPr="003957AA">
        <w:rPr>
          <w:rFonts w:eastAsiaTheme="minorEastAsia"/>
        </w:rPr>
      </w:r>
      <w:r w:rsidR="006D52EB" w:rsidRPr="003957AA">
        <w:rPr>
          <w:rFonts w:eastAsiaTheme="minorEastAsia"/>
        </w:rPr>
        <w:fldChar w:fldCharType="separate"/>
      </w:r>
      <w:r w:rsidR="00761861" w:rsidRPr="00761861">
        <w:t xml:space="preserve">Box </w:t>
      </w:r>
      <w:r w:rsidR="00761861" w:rsidRPr="00761861">
        <w:rPr>
          <w:noProof/>
        </w:rPr>
        <w:t>1.1</w:t>
      </w:r>
      <w:r w:rsidR="006D52EB" w:rsidRPr="003957AA">
        <w:rPr>
          <w:rFonts w:eastAsiaTheme="minorEastAsia"/>
        </w:rPr>
        <w:fldChar w:fldCharType="end"/>
      </w:r>
      <w:r w:rsidR="006D52EB">
        <w:rPr>
          <w:rFonts w:eastAsiaTheme="minorEastAsia"/>
        </w:rPr>
        <w:t xml:space="preserve">).  </w:t>
      </w:r>
      <w:r w:rsidR="00E56D44">
        <w:rPr>
          <w:rFonts w:eastAsiaTheme="minorEastAsia"/>
        </w:rPr>
        <w:t xml:space="preserve">The GMRG is therefore satisfied that the reporting framework will </w:t>
      </w:r>
      <w:r w:rsidR="00B7362D">
        <w:rPr>
          <w:rFonts w:eastAsiaTheme="minorEastAsia"/>
        </w:rPr>
        <w:t>contribute to the achievement of the NGO.</w:t>
      </w:r>
      <w:r w:rsidR="00DD15FF">
        <w:rPr>
          <w:rFonts w:eastAsiaTheme="minorEastAsia"/>
        </w:rPr>
        <w:t xml:space="preserve"> </w:t>
      </w:r>
    </w:p>
    <w:p w14:paraId="2C0D6B36" w14:textId="77777777" w:rsidR="00137998" w:rsidRDefault="00137998" w:rsidP="00DD15FF">
      <w:pPr>
        <w:pStyle w:val="BodyText"/>
        <w:spacing w:line="250" w:lineRule="auto"/>
      </w:pPr>
      <w:r>
        <w:t xml:space="preserve">This view was supported by the ACCC, who noted in its submission that it </w:t>
      </w:r>
      <w:r w:rsidR="00D12C6B">
        <w:t>“</w:t>
      </w:r>
      <w:r>
        <w:t xml:space="preserve">supports the scope of the proposed reporting </w:t>
      </w:r>
      <w:r w:rsidR="00D12C6B">
        <w:t>framework for secondary trades because it will improve transparency and the relative bargaining position of parties”.</w:t>
      </w:r>
      <w:r w:rsidR="00D12C6B">
        <w:rPr>
          <w:rStyle w:val="FootnoteReference"/>
        </w:rPr>
        <w:footnoteReference w:id="93"/>
      </w:r>
    </w:p>
    <w:p w14:paraId="19D6B93B" w14:textId="77777777" w:rsidR="00A95183" w:rsidRDefault="00A95183" w:rsidP="00DD15FF">
      <w:pPr>
        <w:pStyle w:val="BodyText"/>
        <w:spacing w:line="250" w:lineRule="auto"/>
      </w:pPr>
      <w:r>
        <w:t xml:space="preserve">The remainder of this </w:t>
      </w:r>
      <w:r w:rsidR="00C951A9">
        <w:t>P</w:t>
      </w:r>
      <w:r>
        <w:t xml:space="preserve">art focuses on the reporting requirements that will apply to secondary capacity trades and the governance arrangements required to give effect to the reporting framework. In keeping with the AEMC’s recommendations, </w:t>
      </w:r>
      <w:r w:rsidR="00F1710A">
        <w:t xml:space="preserve">this Part </w:t>
      </w:r>
      <w:r>
        <w:t xml:space="preserve">focuses on the reporting of secondary capacity trades conducted through the exchange and bilateral trades. The reporting framework that </w:t>
      </w:r>
      <w:r w:rsidR="00145D10">
        <w:t xml:space="preserve">will </w:t>
      </w:r>
      <w:r>
        <w:t xml:space="preserve">apply to the day-ahead auction will be set out in the GMRG’s final recommendations to be provided to the Energy Council </w:t>
      </w:r>
      <w:r w:rsidR="00F1710A">
        <w:t xml:space="preserve">out-of-session </w:t>
      </w:r>
      <w:r>
        <w:t xml:space="preserve">in December. </w:t>
      </w:r>
    </w:p>
    <w:p w14:paraId="5D8CD244" w14:textId="77777777" w:rsidR="00A95183" w:rsidRDefault="00A95183" w:rsidP="00A95183">
      <w:pPr>
        <w:pStyle w:val="BodyText"/>
        <w:sectPr w:rsidR="00A95183" w:rsidSect="00CF1252">
          <w:headerReference w:type="even" r:id="rId71"/>
          <w:headerReference w:type="default" r:id="rId72"/>
          <w:footerReference w:type="default" r:id="rId73"/>
          <w:headerReference w:type="first" r:id="rId74"/>
          <w:pgSz w:w="11907" w:h="16839" w:code="9"/>
          <w:pgMar w:top="1361" w:right="1418" w:bottom="992" w:left="1701" w:header="567" w:footer="397" w:gutter="0"/>
          <w:cols w:space="708"/>
          <w:docGrid w:linePitch="360"/>
        </w:sectPr>
      </w:pPr>
    </w:p>
    <w:p w14:paraId="7E6B5FA1" w14:textId="77777777" w:rsidR="00A95183" w:rsidRDefault="00A95183" w:rsidP="00A95183">
      <w:pPr>
        <w:pStyle w:val="Caption"/>
        <w:spacing w:before="0" w:after="0"/>
      </w:pPr>
      <w:r>
        <w:lastRenderedPageBreak/>
        <w:t>Table C.2: Summary of the GMRG’s final recommendations on the reporting framework for secondary capacity trades</w:t>
      </w:r>
    </w:p>
    <w:tbl>
      <w:tblPr>
        <w:tblStyle w:val="TableGrid"/>
        <w:tblW w:w="14601" w:type="dxa"/>
        <w:tblInd w:w="-284" w:type="dxa"/>
        <w:tblLook w:val="04A0" w:firstRow="1" w:lastRow="0" w:firstColumn="1" w:lastColumn="0" w:noHBand="0" w:noVBand="1"/>
        <w:tblCaption w:val="Table C.2"/>
        <w:tblDescription w:val="Summary of the GMRG’s final recommendations on the reporting framework for secondary capacity trades"/>
      </w:tblPr>
      <w:tblGrid>
        <w:gridCol w:w="1565"/>
        <w:gridCol w:w="13036"/>
      </w:tblGrid>
      <w:tr w:rsidR="000E3722" w:rsidRPr="00FA400C" w14:paraId="43079824" w14:textId="77777777" w:rsidTr="000E3722">
        <w:trPr>
          <w:cnfStyle w:val="100000000000" w:firstRow="1" w:lastRow="0" w:firstColumn="0" w:lastColumn="0" w:oddVBand="0" w:evenVBand="0" w:oddHBand="0" w:evenHBand="0" w:firstRowFirstColumn="0" w:firstRowLastColumn="0" w:lastRowFirstColumn="0" w:lastRowLastColumn="0"/>
          <w:tblHeader/>
        </w:trPr>
        <w:tc>
          <w:tcPr>
            <w:tcW w:w="1565" w:type="dxa"/>
            <w:tcBorders>
              <w:bottom w:val="single" w:sz="4" w:space="0" w:color="auto"/>
            </w:tcBorders>
            <w:shd w:val="clear" w:color="auto" w:fill="0099CC"/>
          </w:tcPr>
          <w:p w14:paraId="78409706" w14:textId="77777777" w:rsidR="000E3722" w:rsidRPr="00FA400C" w:rsidRDefault="000E3722" w:rsidP="000E3722">
            <w:pPr>
              <w:pStyle w:val="BodyText"/>
              <w:spacing w:before="20" w:after="20"/>
              <w:rPr>
                <w:rFonts w:asciiTheme="majorHAnsi" w:hAnsiTheme="majorHAnsi" w:cstheme="majorHAnsi"/>
                <w:b w:val="0"/>
                <w:color w:val="FFFFFF" w:themeColor="background1"/>
                <w:szCs w:val="18"/>
              </w:rPr>
            </w:pPr>
            <w:r>
              <w:rPr>
                <w:rFonts w:asciiTheme="majorHAnsi" w:hAnsiTheme="majorHAnsi" w:cstheme="majorHAnsi"/>
                <w:color w:val="FFFFFF" w:themeColor="background1"/>
                <w:szCs w:val="18"/>
              </w:rPr>
              <w:t>Design Element</w:t>
            </w:r>
          </w:p>
        </w:tc>
        <w:tc>
          <w:tcPr>
            <w:tcW w:w="13036" w:type="dxa"/>
            <w:tcBorders>
              <w:bottom w:val="single" w:sz="4" w:space="0" w:color="auto"/>
            </w:tcBorders>
            <w:shd w:val="clear" w:color="auto" w:fill="0099CC"/>
          </w:tcPr>
          <w:p w14:paraId="60EEC4FA" w14:textId="77777777" w:rsidR="000E3722" w:rsidRPr="00FA400C" w:rsidRDefault="000E3722" w:rsidP="000E3722">
            <w:pPr>
              <w:pStyle w:val="BodyText"/>
              <w:spacing w:before="20" w:after="20"/>
              <w:rPr>
                <w:rFonts w:asciiTheme="majorHAnsi" w:hAnsiTheme="majorHAnsi" w:cstheme="majorHAnsi"/>
                <w:b w:val="0"/>
                <w:color w:val="FFFFFF" w:themeColor="background1"/>
                <w:szCs w:val="18"/>
              </w:rPr>
            </w:pPr>
            <w:r w:rsidRPr="00FA400C">
              <w:rPr>
                <w:rFonts w:asciiTheme="majorHAnsi" w:hAnsiTheme="majorHAnsi" w:cstheme="majorHAnsi"/>
                <w:color w:val="FFFFFF" w:themeColor="background1"/>
                <w:szCs w:val="18"/>
              </w:rPr>
              <w:t>Recommendation</w:t>
            </w:r>
          </w:p>
        </w:tc>
      </w:tr>
      <w:tr w:rsidR="000E3722" w:rsidRPr="00FA400C" w14:paraId="6C3874E8" w14:textId="77777777" w:rsidTr="000E3722">
        <w:trPr>
          <w:trHeight w:val="785"/>
        </w:trPr>
        <w:tc>
          <w:tcPr>
            <w:tcW w:w="1565" w:type="dxa"/>
            <w:hideMark/>
          </w:tcPr>
          <w:p w14:paraId="15647772" w14:textId="77777777" w:rsidR="000E3722" w:rsidRPr="00FA400C" w:rsidRDefault="000E3722" w:rsidP="000E3722">
            <w:pPr>
              <w:pStyle w:val="BodyText"/>
              <w:keepNext/>
              <w:spacing w:before="20" w:after="20"/>
              <w:rPr>
                <w:rFonts w:asciiTheme="majorHAnsi" w:hAnsiTheme="majorHAnsi" w:cstheme="majorHAnsi"/>
                <w:b/>
                <w:szCs w:val="18"/>
              </w:rPr>
            </w:pPr>
            <w:r>
              <w:rPr>
                <w:rFonts w:asciiTheme="majorHAnsi" w:hAnsiTheme="majorHAnsi" w:cstheme="majorHAnsi"/>
                <w:b/>
                <w:szCs w:val="18"/>
              </w:rPr>
              <w:t>T</w:t>
            </w:r>
            <w:r w:rsidRPr="00FA400C">
              <w:rPr>
                <w:rFonts w:asciiTheme="majorHAnsi" w:hAnsiTheme="majorHAnsi" w:cstheme="majorHAnsi"/>
                <w:b/>
                <w:szCs w:val="18"/>
              </w:rPr>
              <w:t xml:space="preserve">rades subject to reporting </w:t>
            </w:r>
          </w:p>
        </w:tc>
        <w:tc>
          <w:tcPr>
            <w:tcW w:w="13036" w:type="dxa"/>
            <w:hideMark/>
          </w:tcPr>
          <w:p w14:paraId="4A470623" w14:textId="77777777" w:rsidR="000E3722" w:rsidRDefault="000E3722" w:rsidP="000E3722">
            <w:pPr>
              <w:pStyle w:val="TableBullet1"/>
              <w:keepNext/>
              <w:numPr>
                <w:ilvl w:val="0"/>
                <w:numId w:val="0"/>
              </w:numPr>
              <w:spacing w:before="20" w:after="20"/>
              <w:ind w:left="312" w:hanging="227"/>
              <w:rPr>
                <w:rFonts w:asciiTheme="majorHAnsi" w:hAnsiTheme="majorHAnsi" w:cstheme="majorHAnsi"/>
                <w:szCs w:val="18"/>
              </w:rPr>
            </w:pPr>
            <w:r>
              <w:rPr>
                <w:rFonts w:asciiTheme="majorHAnsi" w:hAnsiTheme="majorHAnsi" w:cstheme="majorHAnsi"/>
                <w:szCs w:val="18"/>
              </w:rPr>
              <w:t>The GMRG recommends that t</w:t>
            </w:r>
            <w:r w:rsidRPr="00FA400C">
              <w:rPr>
                <w:rFonts w:asciiTheme="majorHAnsi" w:hAnsiTheme="majorHAnsi" w:cstheme="majorHAnsi"/>
                <w:szCs w:val="18"/>
              </w:rPr>
              <w:t>he rep</w:t>
            </w:r>
            <w:r>
              <w:rPr>
                <w:rFonts w:asciiTheme="majorHAnsi" w:hAnsiTheme="majorHAnsi" w:cstheme="majorHAnsi"/>
                <w:szCs w:val="18"/>
              </w:rPr>
              <w:t xml:space="preserve">orting framework apply to: </w:t>
            </w:r>
          </w:p>
          <w:p w14:paraId="21C34F9F" w14:textId="77777777" w:rsidR="000E3722" w:rsidRDefault="000E3722" w:rsidP="00CF4594">
            <w:pPr>
              <w:pStyle w:val="TableBullet1"/>
              <w:keepNext/>
              <w:numPr>
                <w:ilvl w:val="0"/>
                <w:numId w:val="57"/>
              </w:numPr>
              <w:spacing w:before="20" w:after="20"/>
              <w:rPr>
                <w:rFonts w:asciiTheme="majorHAnsi" w:hAnsiTheme="majorHAnsi" w:cstheme="majorHAnsi"/>
                <w:szCs w:val="18"/>
              </w:rPr>
            </w:pPr>
            <w:r w:rsidRPr="00FA400C">
              <w:rPr>
                <w:rFonts w:asciiTheme="majorHAnsi" w:hAnsiTheme="majorHAnsi" w:cstheme="majorHAnsi"/>
                <w:szCs w:val="18"/>
              </w:rPr>
              <w:t>all screen and pre-matched trades carried out through the capacity trading platform</w:t>
            </w:r>
            <w:r>
              <w:rPr>
                <w:rFonts w:asciiTheme="majorHAnsi" w:hAnsiTheme="majorHAnsi" w:cstheme="majorHAnsi"/>
                <w:szCs w:val="18"/>
              </w:rPr>
              <w:t xml:space="preserve">; and </w:t>
            </w:r>
          </w:p>
          <w:p w14:paraId="5CD2579C" w14:textId="77777777" w:rsidR="000E3722" w:rsidRDefault="000E3722" w:rsidP="00CF4594">
            <w:pPr>
              <w:pStyle w:val="TableBullet1"/>
              <w:keepNext/>
              <w:numPr>
                <w:ilvl w:val="0"/>
                <w:numId w:val="57"/>
              </w:numPr>
              <w:spacing w:before="20" w:after="20"/>
              <w:rPr>
                <w:rFonts w:asciiTheme="majorHAnsi" w:hAnsiTheme="majorHAnsi" w:cstheme="majorHAnsi"/>
                <w:szCs w:val="18"/>
              </w:rPr>
            </w:pPr>
            <w:proofErr w:type="gramStart"/>
            <w:r w:rsidRPr="00FA400C">
              <w:rPr>
                <w:rFonts w:asciiTheme="majorHAnsi" w:hAnsiTheme="majorHAnsi" w:cstheme="majorHAnsi"/>
                <w:szCs w:val="18"/>
              </w:rPr>
              <w:t>bilateral</w:t>
            </w:r>
            <w:proofErr w:type="gramEnd"/>
            <w:r w:rsidRPr="00FA400C">
              <w:rPr>
                <w:rFonts w:asciiTheme="majorHAnsi" w:hAnsiTheme="majorHAnsi" w:cstheme="majorHAnsi"/>
                <w:szCs w:val="18"/>
              </w:rPr>
              <w:t xml:space="preserve"> trades of capacity involving forward haul, backhaul, park, park and loan and/or compression services</w:t>
            </w:r>
            <w:r>
              <w:rPr>
                <w:rFonts w:asciiTheme="majorHAnsi" w:hAnsiTheme="majorHAnsi" w:cstheme="majorHAnsi"/>
                <w:szCs w:val="18"/>
              </w:rPr>
              <w:t>.</w:t>
            </w:r>
          </w:p>
          <w:p w14:paraId="0C77D524" w14:textId="77777777" w:rsidR="000E3722" w:rsidRPr="00FA400C" w:rsidRDefault="0024743C" w:rsidP="000E3722">
            <w:pPr>
              <w:pStyle w:val="TableBullet1"/>
              <w:keepNext/>
              <w:numPr>
                <w:ilvl w:val="0"/>
                <w:numId w:val="0"/>
              </w:numPr>
              <w:spacing w:before="20" w:after="20"/>
              <w:ind w:left="85"/>
              <w:rPr>
                <w:rFonts w:asciiTheme="majorHAnsi" w:hAnsiTheme="majorHAnsi" w:cstheme="majorHAnsi"/>
                <w:szCs w:val="18"/>
              </w:rPr>
            </w:pPr>
            <w:r>
              <w:rPr>
                <w:rFonts w:asciiTheme="majorHAnsi" w:hAnsiTheme="majorHAnsi" w:cstheme="majorHAnsi"/>
                <w:szCs w:val="18"/>
              </w:rPr>
              <w:t>C</w:t>
            </w:r>
            <w:r w:rsidR="000E3722">
              <w:rPr>
                <w:rFonts w:asciiTheme="majorHAnsi" w:hAnsiTheme="majorHAnsi" w:cstheme="majorHAnsi"/>
                <w:szCs w:val="18"/>
              </w:rPr>
              <w:t xml:space="preserve">apacity purchased through the auction will also need to be reported but the reporting framework will be slightly different. The GMRG’s recommendations on the day-ahead auction reporting framework will be made to the Energy Council </w:t>
            </w:r>
            <w:r w:rsidR="00F1710A">
              <w:rPr>
                <w:rFonts w:asciiTheme="majorHAnsi" w:hAnsiTheme="majorHAnsi" w:cstheme="majorHAnsi"/>
                <w:szCs w:val="18"/>
              </w:rPr>
              <w:t xml:space="preserve">out-of-session </w:t>
            </w:r>
            <w:r w:rsidR="000E3722">
              <w:rPr>
                <w:rFonts w:asciiTheme="majorHAnsi" w:hAnsiTheme="majorHAnsi" w:cstheme="majorHAnsi"/>
                <w:szCs w:val="18"/>
              </w:rPr>
              <w:t xml:space="preserve">in December. </w:t>
            </w:r>
          </w:p>
        </w:tc>
      </w:tr>
      <w:tr w:rsidR="000E3722" w:rsidRPr="00FA400C" w14:paraId="603C799C" w14:textId="77777777" w:rsidTr="000E3722">
        <w:trPr>
          <w:cnfStyle w:val="000000010000" w:firstRow="0" w:lastRow="0" w:firstColumn="0" w:lastColumn="0" w:oddVBand="0" w:evenVBand="0" w:oddHBand="0" w:evenHBand="1" w:firstRowFirstColumn="0" w:firstRowLastColumn="0" w:lastRowFirstColumn="0" w:lastRowLastColumn="0"/>
          <w:trHeight w:val="1738"/>
        </w:trPr>
        <w:tc>
          <w:tcPr>
            <w:tcW w:w="1565" w:type="dxa"/>
            <w:hideMark/>
          </w:tcPr>
          <w:p w14:paraId="4CE9D647" w14:textId="77777777" w:rsidR="000E3722" w:rsidRPr="00FA400C" w:rsidRDefault="000E3722" w:rsidP="000E3722">
            <w:pPr>
              <w:pStyle w:val="BodyText"/>
              <w:keepNext/>
              <w:spacing w:before="20" w:after="20"/>
              <w:rPr>
                <w:rFonts w:asciiTheme="majorHAnsi" w:hAnsiTheme="majorHAnsi" w:cstheme="majorHAnsi"/>
                <w:b/>
                <w:szCs w:val="18"/>
              </w:rPr>
            </w:pPr>
            <w:r w:rsidRPr="00FA400C">
              <w:rPr>
                <w:rFonts w:asciiTheme="majorHAnsi" w:hAnsiTheme="majorHAnsi" w:cstheme="majorHAnsi"/>
                <w:b/>
                <w:szCs w:val="18"/>
              </w:rPr>
              <w:t>Information to be reported</w:t>
            </w:r>
          </w:p>
        </w:tc>
        <w:tc>
          <w:tcPr>
            <w:tcW w:w="13036" w:type="dxa"/>
            <w:hideMark/>
          </w:tcPr>
          <w:p w14:paraId="41CE2E25" w14:textId="77777777" w:rsidR="000E3722" w:rsidRPr="00FA400C" w:rsidRDefault="000E3722" w:rsidP="000E3722">
            <w:pPr>
              <w:pStyle w:val="TableBullet1"/>
              <w:keepNext/>
              <w:numPr>
                <w:ilvl w:val="0"/>
                <w:numId w:val="0"/>
              </w:numPr>
              <w:tabs>
                <w:tab w:val="left" w:pos="720"/>
              </w:tabs>
              <w:spacing w:before="20" w:after="20"/>
              <w:ind w:left="312" w:hanging="227"/>
              <w:rPr>
                <w:rFonts w:asciiTheme="majorHAnsi" w:hAnsiTheme="majorHAnsi" w:cstheme="majorHAnsi"/>
                <w:szCs w:val="18"/>
              </w:rPr>
            </w:pPr>
            <w:r w:rsidRPr="00FA400C">
              <w:rPr>
                <w:rFonts w:asciiTheme="majorHAnsi" w:hAnsiTheme="majorHAnsi" w:cstheme="majorHAnsi"/>
                <w:szCs w:val="18"/>
              </w:rPr>
              <w:t xml:space="preserve">The </w:t>
            </w:r>
            <w:r>
              <w:rPr>
                <w:rFonts w:asciiTheme="majorHAnsi" w:hAnsiTheme="majorHAnsi" w:cstheme="majorHAnsi"/>
                <w:szCs w:val="18"/>
              </w:rPr>
              <w:t xml:space="preserve">GMRG recommends that the </w:t>
            </w:r>
            <w:r w:rsidRPr="00FA400C">
              <w:rPr>
                <w:rFonts w:asciiTheme="majorHAnsi" w:hAnsiTheme="majorHAnsi" w:cstheme="majorHAnsi"/>
                <w:szCs w:val="18"/>
              </w:rPr>
              <w:t>reporting framework require the following information to be reported:</w:t>
            </w:r>
          </w:p>
          <w:p w14:paraId="1DCD1ECE" w14:textId="77777777" w:rsidR="000E3722" w:rsidRPr="00FA400C" w:rsidRDefault="000E3722" w:rsidP="00CF4594">
            <w:pPr>
              <w:pStyle w:val="TableBullet1"/>
              <w:keepNext/>
              <w:numPr>
                <w:ilvl w:val="0"/>
                <w:numId w:val="57"/>
              </w:numPr>
              <w:spacing w:before="20" w:after="20"/>
              <w:rPr>
                <w:rFonts w:asciiTheme="majorHAnsi" w:hAnsiTheme="majorHAnsi" w:cstheme="majorHAnsi"/>
                <w:szCs w:val="18"/>
              </w:rPr>
            </w:pPr>
            <w:r w:rsidRPr="00FA400C">
              <w:rPr>
                <w:rFonts w:asciiTheme="majorHAnsi" w:hAnsiTheme="majorHAnsi" w:cstheme="majorHAnsi"/>
                <w:szCs w:val="18"/>
              </w:rPr>
              <w:t>the date of the trade and the start and end dates for the trade;</w:t>
            </w:r>
          </w:p>
          <w:p w14:paraId="612384C0" w14:textId="77777777" w:rsidR="000E3722" w:rsidRPr="00FA400C" w:rsidRDefault="000E3722" w:rsidP="00CF4594">
            <w:pPr>
              <w:pStyle w:val="TableBullet1"/>
              <w:keepNext/>
              <w:numPr>
                <w:ilvl w:val="0"/>
                <w:numId w:val="57"/>
              </w:numPr>
              <w:spacing w:before="20" w:after="20"/>
              <w:rPr>
                <w:rFonts w:asciiTheme="majorHAnsi" w:hAnsiTheme="majorHAnsi" w:cstheme="majorHAnsi"/>
                <w:szCs w:val="18"/>
              </w:rPr>
            </w:pPr>
            <w:r w:rsidRPr="00FA400C">
              <w:rPr>
                <w:rFonts w:asciiTheme="majorHAnsi" w:hAnsiTheme="majorHAnsi" w:cstheme="majorHAnsi"/>
                <w:szCs w:val="18"/>
              </w:rPr>
              <w:t>the typ</w:t>
            </w:r>
            <w:r>
              <w:rPr>
                <w:rFonts w:asciiTheme="majorHAnsi" w:hAnsiTheme="majorHAnsi" w:cstheme="majorHAnsi"/>
                <w:szCs w:val="18"/>
              </w:rPr>
              <w:t>e of trade (e.g. exchange traded</w:t>
            </w:r>
            <w:r w:rsidRPr="00FA400C">
              <w:rPr>
                <w:rFonts w:asciiTheme="majorHAnsi" w:hAnsiTheme="majorHAnsi" w:cstheme="majorHAnsi"/>
                <w:szCs w:val="18"/>
              </w:rPr>
              <w:t xml:space="preserve"> or bilateral) and how it is given effect (e.g. operational GTA, primary GTA or bare transfer);</w:t>
            </w:r>
          </w:p>
          <w:p w14:paraId="2AA89145" w14:textId="77777777" w:rsidR="000E3722" w:rsidRPr="00FA400C" w:rsidRDefault="000E3722" w:rsidP="00CF4594">
            <w:pPr>
              <w:pStyle w:val="TableBullet1"/>
              <w:keepNext/>
              <w:numPr>
                <w:ilvl w:val="0"/>
                <w:numId w:val="57"/>
              </w:numPr>
              <w:spacing w:before="20" w:after="20"/>
              <w:rPr>
                <w:rFonts w:asciiTheme="majorHAnsi" w:hAnsiTheme="majorHAnsi" w:cstheme="majorHAnsi"/>
                <w:szCs w:val="18"/>
              </w:rPr>
            </w:pPr>
            <w:r w:rsidRPr="00FA400C">
              <w:rPr>
                <w:rFonts w:asciiTheme="majorHAnsi" w:hAnsiTheme="majorHAnsi" w:cstheme="majorHAnsi"/>
                <w:szCs w:val="18"/>
              </w:rPr>
              <w:t xml:space="preserve">the type of service procured (i.e. forward haul, backhaul, park, park and loan, compression), the firmness of the service and service priority; </w:t>
            </w:r>
          </w:p>
          <w:p w14:paraId="1FD9BD8A" w14:textId="77777777" w:rsidR="000E3722" w:rsidRPr="00FA400C" w:rsidRDefault="000E3722" w:rsidP="00CF4594">
            <w:pPr>
              <w:pStyle w:val="TableBullet1"/>
              <w:keepNext/>
              <w:numPr>
                <w:ilvl w:val="0"/>
                <w:numId w:val="57"/>
              </w:numPr>
              <w:spacing w:before="20" w:after="20"/>
              <w:rPr>
                <w:rFonts w:asciiTheme="majorHAnsi" w:hAnsiTheme="majorHAnsi" w:cstheme="majorHAnsi"/>
                <w:szCs w:val="18"/>
              </w:rPr>
            </w:pPr>
            <w:r w:rsidRPr="00FA400C">
              <w:rPr>
                <w:rFonts w:asciiTheme="majorHAnsi" w:hAnsiTheme="majorHAnsi" w:cstheme="majorHAnsi"/>
                <w:szCs w:val="18"/>
              </w:rPr>
              <w:t>the pipeline or compression facility the trade relates to and, in the case of pipeline services, the direction of the service and zones between which gas is transported (zones will be used to, the extent practicable, protect the anonymity of counterparties);</w:t>
            </w:r>
          </w:p>
          <w:p w14:paraId="7F4916D1" w14:textId="77777777" w:rsidR="000E3722" w:rsidRPr="00FA400C" w:rsidRDefault="000E3722" w:rsidP="00CF4594">
            <w:pPr>
              <w:pStyle w:val="TableBullet1"/>
              <w:keepNext/>
              <w:numPr>
                <w:ilvl w:val="0"/>
                <w:numId w:val="57"/>
              </w:numPr>
              <w:spacing w:before="20" w:after="20"/>
              <w:rPr>
                <w:rFonts w:asciiTheme="majorHAnsi" w:hAnsiTheme="majorHAnsi" w:cstheme="majorHAnsi"/>
                <w:szCs w:val="18"/>
              </w:rPr>
            </w:pPr>
            <w:r w:rsidRPr="00FA400C">
              <w:rPr>
                <w:rFonts w:asciiTheme="majorHAnsi" w:hAnsiTheme="majorHAnsi" w:cstheme="majorHAnsi"/>
                <w:szCs w:val="18"/>
              </w:rPr>
              <w:t>the amount of capacity procured (expressed on a maximum daily quantity (MDQ) and maximum hourly quantity (MHQ) basis); and</w:t>
            </w:r>
          </w:p>
          <w:p w14:paraId="31FD5F44" w14:textId="77777777" w:rsidR="000E3722" w:rsidRPr="00FA400C" w:rsidRDefault="000E3722" w:rsidP="00CF4594">
            <w:pPr>
              <w:pStyle w:val="TableBullet1"/>
              <w:keepNext/>
              <w:numPr>
                <w:ilvl w:val="0"/>
                <w:numId w:val="57"/>
              </w:numPr>
              <w:spacing w:before="20" w:after="20"/>
              <w:rPr>
                <w:rFonts w:asciiTheme="majorHAnsi" w:hAnsiTheme="majorHAnsi" w:cstheme="majorHAnsi"/>
                <w:szCs w:val="18"/>
              </w:rPr>
            </w:pPr>
            <w:proofErr w:type="gramStart"/>
            <w:r w:rsidRPr="00FA400C">
              <w:rPr>
                <w:rFonts w:asciiTheme="majorHAnsi" w:hAnsiTheme="majorHAnsi" w:cstheme="majorHAnsi"/>
                <w:szCs w:val="18"/>
              </w:rPr>
              <w:t>the</w:t>
            </w:r>
            <w:proofErr w:type="gramEnd"/>
            <w:r w:rsidRPr="00FA400C">
              <w:rPr>
                <w:rFonts w:asciiTheme="majorHAnsi" w:hAnsiTheme="majorHAnsi" w:cstheme="majorHAnsi"/>
                <w:szCs w:val="18"/>
              </w:rPr>
              <w:t xml:space="preserve"> price paid for the capacity (including, where relevant, details of the price structure and price escalation mechanism for bilateral trades). </w:t>
            </w:r>
          </w:p>
        </w:tc>
      </w:tr>
      <w:tr w:rsidR="000E3722" w:rsidRPr="00FA400C" w14:paraId="32958D93" w14:textId="77777777" w:rsidTr="000E3722">
        <w:trPr>
          <w:trHeight w:val="688"/>
        </w:trPr>
        <w:tc>
          <w:tcPr>
            <w:tcW w:w="1565" w:type="dxa"/>
            <w:hideMark/>
          </w:tcPr>
          <w:p w14:paraId="0B124192" w14:textId="77777777" w:rsidR="000E3722" w:rsidRPr="00FA400C" w:rsidRDefault="000E3722" w:rsidP="000E3722">
            <w:pPr>
              <w:pStyle w:val="TableBodyText"/>
              <w:spacing w:before="20" w:after="20"/>
              <w:rPr>
                <w:rFonts w:asciiTheme="majorHAnsi" w:hAnsiTheme="majorHAnsi" w:cstheme="majorHAnsi"/>
                <w:b/>
              </w:rPr>
            </w:pPr>
            <w:r>
              <w:rPr>
                <w:rFonts w:asciiTheme="majorHAnsi" w:hAnsiTheme="majorHAnsi" w:cstheme="majorHAnsi"/>
                <w:b/>
              </w:rPr>
              <w:t>Responsibility</w:t>
            </w:r>
            <w:r w:rsidRPr="00FA400C">
              <w:rPr>
                <w:rFonts w:asciiTheme="majorHAnsi" w:hAnsiTheme="majorHAnsi" w:cstheme="majorHAnsi"/>
                <w:b/>
              </w:rPr>
              <w:t xml:space="preserve"> for reporting </w:t>
            </w:r>
          </w:p>
        </w:tc>
        <w:tc>
          <w:tcPr>
            <w:tcW w:w="13036" w:type="dxa"/>
            <w:hideMark/>
          </w:tcPr>
          <w:p w14:paraId="566A4718" w14:textId="77777777" w:rsidR="000E3722" w:rsidRDefault="000E3722" w:rsidP="000E3722">
            <w:pPr>
              <w:pStyle w:val="TableBullet1"/>
              <w:keepNext/>
              <w:numPr>
                <w:ilvl w:val="0"/>
                <w:numId w:val="0"/>
              </w:numPr>
              <w:spacing w:before="20" w:after="20"/>
              <w:ind w:left="312" w:hanging="227"/>
              <w:rPr>
                <w:rFonts w:asciiTheme="majorHAnsi" w:hAnsiTheme="majorHAnsi" w:cstheme="majorHAnsi"/>
                <w:szCs w:val="18"/>
              </w:rPr>
            </w:pPr>
            <w:r>
              <w:rPr>
                <w:rFonts w:asciiTheme="majorHAnsi" w:hAnsiTheme="majorHAnsi" w:cstheme="majorHAnsi"/>
                <w:szCs w:val="18"/>
              </w:rPr>
              <w:t xml:space="preserve">The GMRG recommends that: </w:t>
            </w:r>
          </w:p>
          <w:p w14:paraId="46364161" w14:textId="77777777" w:rsidR="000E3722" w:rsidRDefault="000E3722" w:rsidP="00CF4594">
            <w:pPr>
              <w:pStyle w:val="TableBullet1"/>
              <w:keepNext/>
              <w:numPr>
                <w:ilvl w:val="0"/>
                <w:numId w:val="57"/>
              </w:numPr>
              <w:spacing w:before="20" w:after="20"/>
              <w:rPr>
                <w:rFonts w:asciiTheme="majorHAnsi" w:hAnsiTheme="majorHAnsi" w:cstheme="majorHAnsi"/>
                <w:szCs w:val="18"/>
              </w:rPr>
            </w:pPr>
            <w:r w:rsidRPr="00FA400C">
              <w:rPr>
                <w:rFonts w:asciiTheme="majorHAnsi" w:hAnsiTheme="majorHAnsi" w:cstheme="majorHAnsi"/>
                <w:szCs w:val="18"/>
              </w:rPr>
              <w:t xml:space="preserve">AEMO </w:t>
            </w:r>
            <w:r>
              <w:rPr>
                <w:rFonts w:asciiTheme="majorHAnsi" w:hAnsiTheme="majorHAnsi" w:cstheme="majorHAnsi"/>
                <w:szCs w:val="18"/>
              </w:rPr>
              <w:t xml:space="preserve">be accorded responsibility </w:t>
            </w:r>
            <w:r w:rsidRPr="00FA400C">
              <w:rPr>
                <w:rFonts w:asciiTheme="majorHAnsi" w:hAnsiTheme="majorHAnsi" w:cstheme="majorHAnsi"/>
                <w:szCs w:val="18"/>
              </w:rPr>
              <w:t>for reporting trades carried out through the capacity trading platform; and</w:t>
            </w:r>
            <w:r>
              <w:rPr>
                <w:rFonts w:asciiTheme="majorHAnsi" w:hAnsiTheme="majorHAnsi" w:cstheme="majorHAnsi"/>
                <w:szCs w:val="18"/>
              </w:rPr>
              <w:t xml:space="preserve"> </w:t>
            </w:r>
          </w:p>
          <w:p w14:paraId="2A770207" w14:textId="77777777" w:rsidR="000E3722" w:rsidRPr="00FA400C" w:rsidRDefault="000E3722" w:rsidP="00CF4594">
            <w:pPr>
              <w:pStyle w:val="TableBullet1"/>
              <w:keepNext/>
              <w:numPr>
                <w:ilvl w:val="0"/>
                <w:numId w:val="57"/>
              </w:numPr>
              <w:spacing w:before="20" w:after="20"/>
              <w:rPr>
                <w:rFonts w:asciiTheme="majorHAnsi" w:hAnsiTheme="majorHAnsi" w:cstheme="majorHAnsi"/>
                <w:szCs w:val="18"/>
              </w:rPr>
            </w:pPr>
            <w:proofErr w:type="gramStart"/>
            <w:r w:rsidRPr="00FA400C">
              <w:rPr>
                <w:rFonts w:asciiTheme="majorHAnsi" w:hAnsiTheme="majorHAnsi" w:cstheme="majorHAnsi"/>
                <w:szCs w:val="18"/>
              </w:rPr>
              <w:t>sellers</w:t>
            </w:r>
            <w:proofErr w:type="gramEnd"/>
            <w:r w:rsidRPr="00FA400C">
              <w:rPr>
                <w:rFonts w:asciiTheme="majorHAnsi" w:hAnsiTheme="majorHAnsi" w:cstheme="majorHAnsi"/>
                <w:szCs w:val="18"/>
              </w:rPr>
              <w:t xml:space="preserve"> be </w:t>
            </w:r>
            <w:r>
              <w:rPr>
                <w:rFonts w:asciiTheme="majorHAnsi" w:hAnsiTheme="majorHAnsi" w:cstheme="majorHAnsi"/>
                <w:szCs w:val="18"/>
              </w:rPr>
              <w:t xml:space="preserve">accorded responsibility </w:t>
            </w:r>
            <w:r w:rsidRPr="00FA400C">
              <w:rPr>
                <w:rFonts w:asciiTheme="majorHAnsi" w:hAnsiTheme="majorHAnsi" w:cstheme="majorHAnsi"/>
                <w:szCs w:val="18"/>
              </w:rPr>
              <w:t xml:space="preserve">for reporting bilateral trades. </w:t>
            </w:r>
          </w:p>
        </w:tc>
      </w:tr>
      <w:tr w:rsidR="00096A82" w:rsidRPr="00FA400C" w14:paraId="7C04AE15" w14:textId="77777777" w:rsidTr="000E3722">
        <w:trPr>
          <w:cnfStyle w:val="000000010000" w:firstRow="0" w:lastRow="0" w:firstColumn="0" w:lastColumn="0" w:oddVBand="0" w:evenVBand="0" w:oddHBand="0" w:evenHBand="1" w:firstRowFirstColumn="0" w:firstRowLastColumn="0" w:lastRowFirstColumn="0" w:lastRowLastColumn="0"/>
        </w:trPr>
        <w:tc>
          <w:tcPr>
            <w:tcW w:w="1565" w:type="dxa"/>
            <w:hideMark/>
          </w:tcPr>
          <w:p w14:paraId="2E6521BC" w14:textId="77777777" w:rsidR="00096A82" w:rsidRPr="00FA400C" w:rsidRDefault="00096A82" w:rsidP="00096A82">
            <w:pPr>
              <w:pStyle w:val="TableBodyText"/>
              <w:spacing w:before="20" w:after="20"/>
              <w:rPr>
                <w:rFonts w:asciiTheme="majorHAnsi" w:hAnsiTheme="majorHAnsi" w:cstheme="majorHAnsi"/>
                <w:b/>
              </w:rPr>
            </w:pPr>
            <w:r w:rsidRPr="00FA400C">
              <w:rPr>
                <w:rFonts w:asciiTheme="majorHAnsi" w:hAnsiTheme="majorHAnsi" w:cstheme="majorHAnsi"/>
                <w:b/>
              </w:rPr>
              <w:t>Where and when information is to be reported and published</w:t>
            </w:r>
          </w:p>
        </w:tc>
        <w:tc>
          <w:tcPr>
            <w:tcW w:w="13036" w:type="dxa"/>
            <w:hideMark/>
          </w:tcPr>
          <w:p w14:paraId="78CC0142" w14:textId="77777777" w:rsidR="00096A82" w:rsidRPr="00FA400C" w:rsidRDefault="00096A82" w:rsidP="00096A82">
            <w:pPr>
              <w:pStyle w:val="TableBodyText"/>
              <w:spacing w:line="252" w:lineRule="auto"/>
              <w:rPr>
                <w:rFonts w:asciiTheme="majorHAnsi" w:hAnsiTheme="majorHAnsi" w:cstheme="majorHAnsi"/>
                <w:szCs w:val="18"/>
              </w:rPr>
            </w:pPr>
            <w:r>
              <w:rPr>
                <w:rFonts w:asciiTheme="majorHAnsi" w:hAnsiTheme="majorHAnsi" w:cstheme="majorHAnsi"/>
                <w:szCs w:val="18"/>
              </w:rPr>
              <w:t xml:space="preserve">The GMRG recommends that </w:t>
            </w:r>
            <w:r w:rsidRPr="00FA400C">
              <w:rPr>
                <w:rFonts w:asciiTheme="majorHAnsi" w:hAnsiTheme="majorHAnsi" w:cstheme="majorHAnsi"/>
                <w:szCs w:val="18"/>
              </w:rPr>
              <w:t xml:space="preserve">trades carried out: </w:t>
            </w:r>
          </w:p>
          <w:p w14:paraId="45594A9F" w14:textId="77777777" w:rsidR="00096A82" w:rsidRPr="00FA400C" w:rsidRDefault="00096A82" w:rsidP="00CF4594">
            <w:pPr>
              <w:pStyle w:val="TableBullet1"/>
              <w:numPr>
                <w:ilvl w:val="0"/>
                <w:numId w:val="57"/>
              </w:numPr>
              <w:spacing w:line="252" w:lineRule="auto"/>
              <w:rPr>
                <w:rFonts w:asciiTheme="majorHAnsi" w:hAnsiTheme="majorHAnsi" w:cstheme="majorHAnsi"/>
                <w:szCs w:val="18"/>
              </w:rPr>
            </w:pPr>
            <w:r w:rsidRPr="00FA400C">
              <w:rPr>
                <w:rFonts w:asciiTheme="majorHAnsi" w:hAnsiTheme="majorHAnsi" w:cstheme="majorHAnsi"/>
                <w:szCs w:val="18"/>
              </w:rPr>
              <w:t xml:space="preserve">through the capacity trading platform be </w:t>
            </w:r>
            <w:r>
              <w:rPr>
                <w:rFonts w:asciiTheme="majorHAnsi" w:hAnsiTheme="majorHAnsi" w:cstheme="majorHAnsi"/>
                <w:szCs w:val="18"/>
              </w:rPr>
              <w:t xml:space="preserve">reported on the GSH </w:t>
            </w:r>
            <w:r w:rsidRPr="00FA400C">
              <w:rPr>
                <w:rFonts w:asciiTheme="majorHAnsi" w:hAnsiTheme="majorHAnsi" w:cstheme="majorHAnsi"/>
                <w:szCs w:val="18"/>
              </w:rPr>
              <w:t>by AEMO as soon as practicable after the trade</w:t>
            </w:r>
            <w:r>
              <w:rPr>
                <w:rFonts w:asciiTheme="majorHAnsi" w:hAnsiTheme="majorHAnsi" w:cstheme="majorHAnsi"/>
                <w:szCs w:val="18"/>
              </w:rPr>
              <w:t xml:space="preserve"> occurs (consistent with what currently applies for commodity) and published on the </w:t>
            </w:r>
            <w:r w:rsidR="001753D7">
              <w:rPr>
                <w:rFonts w:asciiTheme="majorHAnsi" w:hAnsiTheme="majorHAnsi" w:cstheme="majorHAnsi"/>
                <w:szCs w:val="18"/>
              </w:rPr>
              <w:t>BB</w:t>
            </w:r>
            <w:r>
              <w:rPr>
                <w:rFonts w:asciiTheme="majorHAnsi" w:hAnsiTheme="majorHAnsi" w:cstheme="majorHAnsi"/>
                <w:szCs w:val="18"/>
              </w:rPr>
              <w:t xml:space="preserve"> website </w:t>
            </w:r>
            <w:r w:rsidRPr="00096A82">
              <w:rPr>
                <w:rFonts w:asciiTheme="majorHAnsi" w:hAnsiTheme="majorHAnsi" w:cstheme="majorHAnsi"/>
                <w:szCs w:val="18"/>
              </w:rPr>
              <w:t>by the end of the gas day</w:t>
            </w:r>
            <w:r w:rsidRPr="00FA400C">
              <w:rPr>
                <w:rFonts w:asciiTheme="majorHAnsi" w:hAnsiTheme="majorHAnsi" w:cstheme="majorHAnsi"/>
                <w:szCs w:val="18"/>
              </w:rPr>
              <w:t>; and</w:t>
            </w:r>
          </w:p>
          <w:p w14:paraId="0D90832B" w14:textId="77777777" w:rsidR="00096A82" w:rsidRPr="00FA400C" w:rsidRDefault="00096A82" w:rsidP="001753D7">
            <w:pPr>
              <w:pStyle w:val="TableBullet1"/>
              <w:numPr>
                <w:ilvl w:val="0"/>
                <w:numId w:val="57"/>
              </w:numPr>
              <w:spacing w:line="252" w:lineRule="auto"/>
              <w:rPr>
                <w:rFonts w:asciiTheme="majorHAnsi" w:hAnsiTheme="majorHAnsi" w:cstheme="majorHAnsi"/>
                <w:szCs w:val="18"/>
              </w:rPr>
            </w:pPr>
            <w:proofErr w:type="gramStart"/>
            <w:r w:rsidRPr="00FA400C">
              <w:rPr>
                <w:rFonts w:asciiTheme="majorHAnsi" w:hAnsiTheme="majorHAnsi" w:cstheme="majorHAnsi"/>
                <w:szCs w:val="18"/>
              </w:rPr>
              <w:t>bilaterally</w:t>
            </w:r>
            <w:proofErr w:type="gramEnd"/>
            <w:r w:rsidRPr="00FA400C">
              <w:rPr>
                <w:rFonts w:asciiTheme="majorHAnsi" w:hAnsiTheme="majorHAnsi" w:cstheme="majorHAnsi"/>
                <w:szCs w:val="18"/>
              </w:rPr>
              <w:t xml:space="preserve"> be reported to AEMO by the earlier of one day after the trade is executed, and the day prior to the trade commencing D-1 and published </w:t>
            </w:r>
            <w:r>
              <w:rPr>
                <w:rFonts w:asciiTheme="majorHAnsi" w:hAnsiTheme="majorHAnsi" w:cstheme="majorHAnsi"/>
                <w:szCs w:val="18"/>
              </w:rPr>
              <w:t xml:space="preserve">on the </w:t>
            </w:r>
            <w:r w:rsidR="001753D7">
              <w:rPr>
                <w:rFonts w:asciiTheme="majorHAnsi" w:hAnsiTheme="majorHAnsi" w:cstheme="majorHAnsi"/>
                <w:szCs w:val="18"/>
              </w:rPr>
              <w:t>BB</w:t>
            </w:r>
            <w:r>
              <w:rPr>
                <w:rFonts w:asciiTheme="majorHAnsi" w:hAnsiTheme="majorHAnsi" w:cstheme="majorHAnsi"/>
                <w:szCs w:val="18"/>
              </w:rPr>
              <w:t xml:space="preserve"> website by AEMO by the end of the gas day</w:t>
            </w:r>
            <w:r w:rsidRPr="00FA400C">
              <w:rPr>
                <w:rFonts w:asciiTheme="majorHAnsi" w:hAnsiTheme="majorHAnsi" w:cstheme="majorHAnsi"/>
                <w:szCs w:val="18"/>
              </w:rPr>
              <w:t>.</w:t>
            </w:r>
          </w:p>
        </w:tc>
      </w:tr>
      <w:tr w:rsidR="00096A82" w:rsidRPr="00FA400C" w14:paraId="4117BA0B" w14:textId="77777777" w:rsidTr="000E3722">
        <w:tc>
          <w:tcPr>
            <w:tcW w:w="1565" w:type="dxa"/>
          </w:tcPr>
          <w:p w14:paraId="5A9754F0" w14:textId="77777777" w:rsidR="00096A82" w:rsidRPr="00FA400C" w:rsidRDefault="00096A82" w:rsidP="00096A82">
            <w:pPr>
              <w:pStyle w:val="TableBodyText"/>
              <w:spacing w:before="20" w:after="20"/>
              <w:rPr>
                <w:rFonts w:asciiTheme="majorHAnsi" w:hAnsiTheme="majorHAnsi" w:cstheme="majorHAnsi"/>
                <w:b/>
              </w:rPr>
            </w:pPr>
            <w:r>
              <w:rPr>
                <w:rFonts w:asciiTheme="majorHAnsi" w:hAnsiTheme="majorHAnsi" w:cstheme="majorHAnsi"/>
                <w:b/>
              </w:rPr>
              <w:t>Requirement to advertise bilateral trades</w:t>
            </w:r>
          </w:p>
        </w:tc>
        <w:tc>
          <w:tcPr>
            <w:tcW w:w="13036" w:type="dxa"/>
          </w:tcPr>
          <w:p w14:paraId="7AA25805" w14:textId="77777777" w:rsidR="00096A82" w:rsidRDefault="00096A82" w:rsidP="00096A82">
            <w:pPr>
              <w:pStyle w:val="TableBodyText"/>
              <w:spacing w:before="20" w:after="20"/>
              <w:rPr>
                <w:rFonts w:asciiTheme="majorHAnsi" w:hAnsiTheme="majorHAnsi" w:cstheme="majorHAnsi"/>
                <w:szCs w:val="18"/>
              </w:rPr>
            </w:pPr>
            <w:r>
              <w:rPr>
                <w:rFonts w:asciiTheme="majorHAnsi" w:hAnsiTheme="majorHAnsi" w:cstheme="majorHAnsi"/>
                <w:szCs w:val="18"/>
              </w:rPr>
              <w:t xml:space="preserve">The GMRG has some concerns about the workability of the proposal to require bilateral trades be advertised on the listing service ahead of time. As an alternative, the GMRG is recommending that </w:t>
            </w:r>
            <w:r>
              <w:t>these trades be subject to the reporting framework, with the prices and other key terms struck in these trades published on an ex post basis. The publication of this information is intended to discourage parties from engaging in any form of discriminatory behaviour, but if the reported information reveals this type of behaviour is occurring, the AEMC could recommend further changes as part of its biennial review of liquidity in the wholesale gas and pipeline capacity trading markets.</w:t>
            </w:r>
          </w:p>
        </w:tc>
      </w:tr>
      <w:tr w:rsidR="00096A82" w:rsidRPr="00FA400C" w14:paraId="563BC674" w14:textId="77777777" w:rsidTr="000E3722">
        <w:trPr>
          <w:cnfStyle w:val="000000010000" w:firstRow="0" w:lastRow="0" w:firstColumn="0" w:lastColumn="0" w:oddVBand="0" w:evenVBand="0" w:oddHBand="0" w:evenHBand="1" w:firstRowFirstColumn="0" w:firstRowLastColumn="0" w:lastRowFirstColumn="0" w:lastRowLastColumn="0"/>
        </w:trPr>
        <w:tc>
          <w:tcPr>
            <w:tcW w:w="1565" w:type="dxa"/>
            <w:hideMark/>
          </w:tcPr>
          <w:p w14:paraId="46490625" w14:textId="77777777" w:rsidR="00096A82" w:rsidRPr="00FA400C" w:rsidRDefault="00096A82" w:rsidP="00096A82">
            <w:pPr>
              <w:pStyle w:val="TableBodyText"/>
              <w:spacing w:before="20" w:after="20"/>
              <w:rPr>
                <w:rFonts w:asciiTheme="majorHAnsi" w:hAnsiTheme="majorHAnsi" w:cstheme="majorHAnsi"/>
                <w:b/>
              </w:rPr>
            </w:pPr>
            <w:r w:rsidRPr="00FA400C">
              <w:rPr>
                <w:rFonts w:asciiTheme="majorHAnsi" w:hAnsiTheme="majorHAnsi" w:cstheme="majorHAnsi"/>
                <w:b/>
              </w:rPr>
              <w:t xml:space="preserve">Governance arrangements </w:t>
            </w:r>
          </w:p>
        </w:tc>
        <w:tc>
          <w:tcPr>
            <w:tcW w:w="13036" w:type="dxa"/>
            <w:hideMark/>
          </w:tcPr>
          <w:p w14:paraId="7A7DA496" w14:textId="77777777" w:rsidR="00096A82" w:rsidRDefault="00096A82" w:rsidP="00096A82">
            <w:pPr>
              <w:pStyle w:val="TableBodyText"/>
              <w:spacing w:before="20" w:after="20"/>
              <w:rPr>
                <w:rFonts w:asciiTheme="majorHAnsi" w:hAnsiTheme="majorHAnsi" w:cstheme="majorHAnsi"/>
                <w:szCs w:val="18"/>
              </w:rPr>
            </w:pPr>
            <w:r>
              <w:rPr>
                <w:rFonts w:asciiTheme="majorHAnsi" w:hAnsiTheme="majorHAnsi" w:cstheme="majorHAnsi"/>
                <w:szCs w:val="18"/>
              </w:rPr>
              <w:t>A number of changes will need to be made to t</w:t>
            </w:r>
            <w:r w:rsidRPr="00FA400C">
              <w:rPr>
                <w:rFonts w:asciiTheme="majorHAnsi" w:hAnsiTheme="majorHAnsi" w:cstheme="majorHAnsi"/>
                <w:szCs w:val="18"/>
              </w:rPr>
              <w:t xml:space="preserve">he NGL </w:t>
            </w:r>
            <w:r>
              <w:rPr>
                <w:rFonts w:asciiTheme="majorHAnsi" w:hAnsiTheme="majorHAnsi" w:cstheme="majorHAnsi"/>
                <w:szCs w:val="18"/>
              </w:rPr>
              <w:t>and NGR to give effect to this reporting framework.</w:t>
            </w:r>
          </w:p>
          <w:p w14:paraId="412004F4" w14:textId="77777777" w:rsidR="00096A82" w:rsidRDefault="00096A82" w:rsidP="00096A82">
            <w:pPr>
              <w:pStyle w:val="TableBodyText"/>
              <w:spacing w:before="20" w:after="20"/>
              <w:rPr>
                <w:rFonts w:asciiTheme="majorHAnsi" w:hAnsiTheme="majorHAnsi" w:cstheme="majorHAnsi"/>
                <w:szCs w:val="18"/>
              </w:rPr>
            </w:pPr>
            <w:r>
              <w:rPr>
                <w:rFonts w:asciiTheme="majorHAnsi" w:hAnsiTheme="majorHAnsi" w:cstheme="majorHAnsi"/>
                <w:szCs w:val="18"/>
              </w:rPr>
              <w:t xml:space="preserve">Changes to the NGL will be </w:t>
            </w:r>
            <w:r w:rsidRPr="00FA400C">
              <w:rPr>
                <w:rFonts w:asciiTheme="majorHAnsi" w:hAnsiTheme="majorHAnsi" w:cstheme="majorHAnsi"/>
                <w:szCs w:val="18"/>
              </w:rPr>
              <w:t>require</w:t>
            </w:r>
            <w:r>
              <w:rPr>
                <w:rFonts w:asciiTheme="majorHAnsi" w:hAnsiTheme="majorHAnsi" w:cstheme="majorHAnsi"/>
                <w:szCs w:val="18"/>
              </w:rPr>
              <w:t>d</w:t>
            </w:r>
            <w:r w:rsidRPr="00FA400C">
              <w:rPr>
                <w:rFonts w:asciiTheme="majorHAnsi" w:hAnsiTheme="majorHAnsi" w:cstheme="majorHAnsi"/>
                <w:szCs w:val="18"/>
              </w:rPr>
              <w:t xml:space="preserve"> </w:t>
            </w:r>
            <w:r>
              <w:rPr>
                <w:rFonts w:asciiTheme="majorHAnsi" w:hAnsiTheme="majorHAnsi" w:cstheme="majorHAnsi"/>
                <w:szCs w:val="18"/>
              </w:rPr>
              <w:t xml:space="preserve">to impose an obligation on sellers </w:t>
            </w:r>
            <w:r w:rsidRPr="00FA400C">
              <w:rPr>
                <w:rFonts w:asciiTheme="majorHAnsi" w:hAnsiTheme="majorHAnsi" w:cstheme="majorHAnsi"/>
                <w:szCs w:val="18"/>
              </w:rPr>
              <w:t>to provide AEMO with information about bilateral trades and permit AEMO to publish information on these trades and trades carried out through the capacity trading platform</w:t>
            </w:r>
            <w:r>
              <w:rPr>
                <w:rFonts w:asciiTheme="majorHAnsi" w:hAnsiTheme="majorHAnsi" w:cstheme="majorHAnsi"/>
                <w:szCs w:val="18"/>
              </w:rPr>
              <w:t>,</w:t>
            </w:r>
            <w:r w:rsidRPr="00FA400C">
              <w:rPr>
                <w:rFonts w:asciiTheme="majorHAnsi" w:hAnsiTheme="majorHAnsi" w:cstheme="majorHAnsi"/>
                <w:szCs w:val="18"/>
              </w:rPr>
              <w:t xml:space="preserve"> in accordance with the NGR and applicable procedures. </w:t>
            </w:r>
          </w:p>
          <w:p w14:paraId="046AE53A" w14:textId="77777777" w:rsidR="00096A82" w:rsidRPr="00FA400C" w:rsidRDefault="00096A82" w:rsidP="00096A82">
            <w:pPr>
              <w:pStyle w:val="TableBodyText"/>
              <w:spacing w:before="20" w:after="20"/>
              <w:rPr>
                <w:rFonts w:asciiTheme="majorHAnsi" w:hAnsiTheme="majorHAnsi" w:cstheme="majorHAnsi"/>
                <w:szCs w:val="18"/>
              </w:rPr>
            </w:pPr>
            <w:r>
              <w:rPr>
                <w:rFonts w:asciiTheme="majorHAnsi" w:hAnsiTheme="majorHAnsi" w:cstheme="majorHAnsi"/>
                <w:szCs w:val="18"/>
              </w:rPr>
              <w:t>Changes will also need to be made to t</w:t>
            </w:r>
            <w:r w:rsidRPr="00FA400C">
              <w:rPr>
                <w:rFonts w:asciiTheme="majorHAnsi" w:hAnsiTheme="majorHAnsi" w:cstheme="majorHAnsi"/>
                <w:szCs w:val="18"/>
              </w:rPr>
              <w:t xml:space="preserve">he NGR </w:t>
            </w:r>
            <w:r>
              <w:rPr>
                <w:rFonts w:asciiTheme="majorHAnsi" w:hAnsiTheme="majorHAnsi" w:cstheme="majorHAnsi"/>
                <w:szCs w:val="18"/>
              </w:rPr>
              <w:t xml:space="preserve">to </w:t>
            </w:r>
            <w:r w:rsidRPr="00FA400C">
              <w:rPr>
                <w:rFonts w:asciiTheme="majorHAnsi" w:hAnsiTheme="majorHAnsi" w:cstheme="majorHAnsi"/>
                <w:szCs w:val="18"/>
              </w:rPr>
              <w:t xml:space="preserve">set out the specific obligations that: </w:t>
            </w:r>
          </w:p>
          <w:p w14:paraId="13E89AB8" w14:textId="77777777" w:rsidR="00096A82" w:rsidRPr="00FA400C" w:rsidRDefault="00096A82" w:rsidP="00CF4594">
            <w:pPr>
              <w:pStyle w:val="TableBullet1"/>
              <w:numPr>
                <w:ilvl w:val="0"/>
                <w:numId w:val="57"/>
              </w:numPr>
              <w:spacing w:before="20" w:after="20"/>
              <w:rPr>
                <w:rFonts w:asciiTheme="majorHAnsi" w:hAnsiTheme="majorHAnsi" w:cstheme="majorHAnsi"/>
                <w:szCs w:val="18"/>
              </w:rPr>
            </w:pPr>
            <w:r>
              <w:rPr>
                <w:rFonts w:asciiTheme="majorHAnsi" w:hAnsiTheme="majorHAnsi" w:cstheme="majorHAnsi"/>
                <w:szCs w:val="18"/>
              </w:rPr>
              <w:t>sellers</w:t>
            </w:r>
            <w:r w:rsidRPr="00FA400C">
              <w:rPr>
                <w:rFonts w:asciiTheme="majorHAnsi" w:hAnsiTheme="majorHAnsi" w:cstheme="majorHAnsi"/>
                <w:szCs w:val="18"/>
              </w:rPr>
              <w:t xml:space="preserve"> have to report information to AEMO, including the types of trades to be reported, the information that must be reported and the timing for reporting; and</w:t>
            </w:r>
          </w:p>
          <w:p w14:paraId="5D84449B" w14:textId="77777777" w:rsidR="00096A82" w:rsidRPr="00FA400C" w:rsidRDefault="00096A82" w:rsidP="00CF4594">
            <w:pPr>
              <w:pStyle w:val="TableBullet1"/>
              <w:numPr>
                <w:ilvl w:val="0"/>
                <w:numId w:val="57"/>
              </w:numPr>
              <w:spacing w:before="20" w:after="20"/>
              <w:rPr>
                <w:rFonts w:asciiTheme="majorHAnsi" w:hAnsiTheme="majorHAnsi" w:cstheme="majorHAnsi"/>
                <w:szCs w:val="18"/>
              </w:rPr>
            </w:pPr>
            <w:r w:rsidRPr="00FA400C">
              <w:rPr>
                <w:rFonts w:asciiTheme="majorHAnsi" w:hAnsiTheme="majorHAnsi" w:cstheme="majorHAnsi"/>
                <w:szCs w:val="18"/>
              </w:rPr>
              <w:t xml:space="preserve">AEMO has to report </w:t>
            </w:r>
            <w:r>
              <w:rPr>
                <w:rFonts w:asciiTheme="majorHAnsi" w:hAnsiTheme="majorHAnsi" w:cstheme="majorHAnsi"/>
                <w:szCs w:val="18"/>
              </w:rPr>
              <w:t xml:space="preserve">the trade </w:t>
            </w:r>
            <w:r w:rsidRPr="00FA400C">
              <w:rPr>
                <w:rFonts w:asciiTheme="majorHAnsi" w:hAnsiTheme="majorHAnsi" w:cstheme="majorHAnsi"/>
                <w:szCs w:val="18"/>
              </w:rPr>
              <w:t xml:space="preserve">information on the </w:t>
            </w:r>
            <w:r>
              <w:rPr>
                <w:rFonts w:asciiTheme="majorHAnsi" w:hAnsiTheme="majorHAnsi" w:cstheme="majorHAnsi"/>
                <w:szCs w:val="18"/>
              </w:rPr>
              <w:t xml:space="preserve">GSH </w:t>
            </w:r>
            <w:r w:rsidRPr="00FA400C">
              <w:rPr>
                <w:rFonts w:asciiTheme="majorHAnsi" w:hAnsiTheme="majorHAnsi" w:cstheme="majorHAnsi"/>
                <w:szCs w:val="18"/>
              </w:rPr>
              <w:t xml:space="preserve">and </w:t>
            </w:r>
            <w:r w:rsidR="001753D7">
              <w:rPr>
                <w:rFonts w:asciiTheme="majorHAnsi" w:hAnsiTheme="majorHAnsi" w:cstheme="majorHAnsi"/>
                <w:szCs w:val="18"/>
              </w:rPr>
              <w:t>BB</w:t>
            </w:r>
            <w:r w:rsidRPr="00FA400C">
              <w:rPr>
                <w:rFonts w:asciiTheme="majorHAnsi" w:hAnsiTheme="majorHAnsi" w:cstheme="majorHAnsi"/>
                <w:szCs w:val="18"/>
              </w:rPr>
              <w:t xml:space="preserve"> website. </w:t>
            </w:r>
          </w:p>
          <w:p w14:paraId="3648DE41" w14:textId="77777777" w:rsidR="00096A82" w:rsidRDefault="00096A82" w:rsidP="00096A82">
            <w:pPr>
              <w:pStyle w:val="TableBullet1"/>
              <w:numPr>
                <w:ilvl w:val="0"/>
                <w:numId w:val="0"/>
              </w:numPr>
              <w:tabs>
                <w:tab w:val="left" w:pos="720"/>
              </w:tabs>
              <w:spacing w:before="20" w:after="20"/>
              <w:ind w:left="85"/>
              <w:rPr>
                <w:rFonts w:asciiTheme="majorHAnsi" w:hAnsiTheme="majorHAnsi" w:cstheme="majorHAnsi"/>
                <w:szCs w:val="18"/>
              </w:rPr>
            </w:pPr>
            <w:r>
              <w:rPr>
                <w:rFonts w:asciiTheme="majorHAnsi" w:hAnsiTheme="majorHAnsi" w:cstheme="majorHAnsi"/>
                <w:szCs w:val="18"/>
              </w:rPr>
              <w:t>Secondary trading reporting procedures will also need to be developed by AEMO.</w:t>
            </w:r>
          </w:p>
          <w:p w14:paraId="24832554" w14:textId="77777777" w:rsidR="00096A82" w:rsidRPr="00FA400C" w:rsidRDefault="00096A82" w:rsidP="00096A82">
            <w:pPr>
              <w:pStyle w:val="TableBullet1"/>
              <w:numPr>
                <w:ilvl w:val="0"/>
                <w:numId w:val="0"/>
              </w:numPr>
              <w:tabs>
                <w:tab w:val="left" w:pos="720"/>
              </w:tabs>
              <w:spacing w:before="20" w:after="20"/>
              <w:ind w:left="85"/>
              <w:rPr>
                <w:rFonts w:asciiTheme="majorHAnsi" w:hAnsiTheme="majorHAnsi" w:cstheme="majorHAnsi"/>
                <w:szCs w:val="18"/>
              </w:rPr>
            </w:pPr>
            <w:r w:rsidRPr="00FA400C">
              <w:rPr>
                <w:rFonts w:asciiTheme="majorHAnsi" w:hAnsiTheme="majorHAnsi" w:cstheme="majorHAnsi"/>
                <w:szCs w:val="18"/>
              </w:rPr>
              <w:t xml:space="preserve">The AER will be responsible for monitoring and enforcing compliance </w:t>
            </w:r>
            <w:r>
              <w:rPr>
                <w:rFonts w:asciiTheme="majorHAnsi" w:hAnsiTheme="majorHAnsi" w:cstheme="majorHAnsi"/>
                <w:szCs w:val="18"/>
              </w:rPr>
              <w:t xml:space="preserve">with these obligations </w:t>
            </w:r>
            <w:r w:rsidRPr="00FA400C">
              <w:rPr>
                <w:rFonts w:asciiTheme="majorHAnsi" w:hAnsiTheme="majorHAnsi" w:cstheme="majorHAnsi"/>
                <w:szCs w:val="18"/>
              </w:rPr>
              <w:t>using its existing powers in the NGL.</w:t>
            </w:r>
          </w:p>
        </w:tc>
      </w:tr>
    </w:tbl>
    <w:p w14:paraId="4E394028" w14:textId="77777777" w:rsidR="000E3722" w:rsidRPr="000E3722" w:rsidRDefault="000E3722" w:rsidP="000E3722">
      <w:pPr>
        <w:pStyle w:val="BodyText"/>
        <w:spacing w:before="0" w:after="0"/>
        <w:rPr>
          <w:sz w:val="2"/>
          <w:szCs w:val="2"/>
          <w:lang w:eastAsia="fr-CA"/>
        </w:rPr>
      </w:pPr>
    </w:p>
    <w:p w14:paraId="055F2D94" w14:textId="77777777" w:rsidR="00A95183" w:rsidRPr="000E3722" w:rsidRDefault="00A95183" w:rsidP="000E3722">
      <w:pPr>
        <w:pStyle w:val="BodyText"/>
        <w:spacing w:before="0" w:after="0"/>
        <w:rPr>
          <w:sz w:val="2"/>
          <w:szCs w:val="2"/>
        </w:rPr>
        <w:sectPr w:rsidR="00A95183" w:rsidRPr="000E3722" w:rsidSect="00C951A9">
          <w:pgSz w:w="16839" w:h="11907" w:orient="landscape" w:code="9"/>
          <w:pgMar w:top="-1843" w:right="1418" w:bottom="426" w:left="1701" w:header="567" w:footer="355" w:gutter="0"/>
          <w:cols w:space="708"/>
          <w:docGrid w:linePitch="360"/>
        </w:sectPr>
      </w:pPr>
    </w:p>
    <w:p w14:paraId="2F644196" w14:textId="77777777" w:rsidR="00400837" w:rsidRDefault="00400837" w:rsidP="00C951A9">
      <w:pPr>
        <w:pStyle w:val="Heading1"/>
        <w:spacing w:before="0"/>
      </w:pPr>
      <w:bookmarkStart w:id="192" w:name="_Toc495351659"/>
      <w:bookmarkStart w:id="193" w:name="_Toc499542679"/>
      <w:r>
        <w:lastRenderedPageBreak/>
        <w:t>Reporting Requirements for Secondary Trades</w:t>
      </w:r>
      <w:bookmarkEnd w:id="192"/>
      <w:bookmarkEnd w:id="193"/>
    </w:p>
    <w:p w14:paraId="3434E186" w14:textId="77777777" w:rsidR="00400837" w:rsidRDefault="00400837" w:rsidP="00400837">
      <w:pPr>
        <w:pStyle w:val="BodyText"/>
      </w:pPr>
      <w:r>
        <w:t xml:space="preserve">To increase the transparency surrounding secondary capacity trades and </w:t>
      </w:r>
      <w:r w:rsidR="00F1710A">
        <w:t xml:space="preserve">enhance </w:t>
      </w:r>
      <w:r>
        <w:t xml:space="preserve">the market’s confidence in the secondary market, the AEMC recommended that information on the prices and other key terms struck in </w:t>
      </w:r>
      <w:r w:rsidRPr="00EA187C">
        <w:rPr>
          <w:b/>
        </w:rPr>
        <w:t>all</w:t>
      </w:r>
      <w:r>
        <w:t xml:space="preserve"> secondary trades of pipeline and compression capacity be published at the time the trade is entered into, or shortly thereafter. </w:t>
      </w:r>
    </w:p>
    <w:p w14:paraId="6BBC96D6" w14:textId="77777777" w:rsidR="00C303EE" w:rsidRDefault="00C303EE" w:rsidP="00C303EE">
      <w:pPr>
        <w:pStyle w:val="BodyText"/>
      </w:pPr>
      <w:r>
        <w:t xml:space="preserve">The GMRG has worked with the Standardisation project team, its legal advisor, JWS, and other stakeholders on these recommendations. In doing so, the GMRG has considered: </w:t>
      </w:r>
    </w:p>
    <w:p w14:paraId="3CF382AF" w14:textId="77777777" w:rsidR="00400837" w:rsidRDefault="00400837" w:rsidP="00400837">
      <w:pPr>
        <w:pStyle w:val="ListBullet"/>
        <w:rPr>
          <w:rFonts w:eastAsiaTheme="majorEastAsia"/>
        </w:rPr>
      </w:pPr>
      <w:r>
        <w:rPr>
          <w:rFonts w:eastAsiaTheme="majorEastAsia"/>
        </w:rPr>
        <w:t>the types of trades to be reported;</w:t>
      </w:r>
    </w:p>
    <w:p w14:paraId="64E93FA0" w14:textId="77777777" w:rsidR="00400837" w:rsidRDefault="00400837" w:rsidP="00400837">
      <w:pPr>
        <w:pStyle w:val="ListBullet"/>
        <w:rPr>
          <w:rFonts w:eastAsiaTheme="majorEastAsia"/>
        </w:rPr>
      </w:pPr>
      <w:r>
        <w:rPr>
          <w:rFonts w:eastAsiaTheme="majorEastAsia"/>
        </w:rPr>
        <w:t xml:space="preserve">the information to be reported; </w:t>
      </w:r>
    </w:p>
    <w:p w14:paraId="633AC4F9" w14:textId="77777777" w:rsidR="00400837" w:rsidRDefault="00400837" w:rsidP="00400837">
      <w:pPr>
        <w:pStyle w:val="ListBullet"/>
        <w:rPr>
          <w:rFonts w:eastAsiaTheme="majorEastAsia"/>
        </w:rPr>
      </w:pPr>
      <w:r>
        <w:rPr>
          <w:rFonts w:eastAsiaTheme="majorEastAsia"/>
        </w:rPr>
        <w:t xml:space="preserve">who should have the obligation to report trades and when this information should be reported; </w:t>
      </w:r>
    </w:p>
    <w:p w14:paraId="60A37B37" w14:textId="77777777" w:rsidR="00400837" w:rsidRDefault="00400837" w:rsidP="00400837">
      <w:pPr>
        <w:pStyle w:val="ListBullet"/>
        <w:rPr>
          <w:rFonts w:eastAsiaTheme="majorEastAsia"/>
        </w:rPr>
      </w:pPr>
      <w:r>
        <w:rPr>
          <w:rFonts w:eastAsiaTheme="majorEastAsia"/>
        </w:rPr>
        <w:t>where the information is</w:t>
      </w:r>
      <w:r w:rsidR="000E3722">
        <w:rPr>
          <w:rFonts w:eastAsiaTheme="majorEastAsia"/>
        </w:rPr>
        <w:t xml:space="preserve"> to be</w:t>
      </w:r>
      <w:r>
        <w:rPr>
          <w:rFonts w:eastAsiaTheme="majorEastAsia"/>
        </w:rPr>
        <w:t xml:space="preserve"> published</w:t>
      </w:r>
      <w:r w:rsidR="00557E12">
        <w:rPr>
          <w:rFonts w:eastAsiaTheme="majorEastAsia"/>
        </w:rPr>
        <w:t>;</w:t>
      </w:r>
      <w:r w:rsidR="000E3722">
        <w:rPr>
          <w:rFonts w:eastAsiaTheme="majorEastAsia"/>
        </w:rPr>
        <w:t xml:space="preserve"> and</w:t>
      </w:r>
    </w:p>
    <w:p w14:paraId="7ABAE95C" w14:textId="77777777" w:rsidR="00557E12" w:rsidRDefault="00557E12" w:rsidP="00557E12">
      <w:pPr>
        <w:pStyle w:val="ListBullet"/>
        <w:rPr>
          <w:rFonts w:eastAsiaTheme="majorEastAsia"/>
        </w:rPr>
      </w:pPr>
      <w:proofErr w:type="gramStart"/>
      <w:r w:rsidRPr="00557E12">
        <w:rPr>
          <w:rFonts w:eastAsiaTheme="majorEastAsia"/>
        </w:rPr>
        <w:t>whether</w:t>
      </w:r>
      <w:proofErr w:type="gramEnd"/>
      <w:r w:rsidRPr="00557E12">
        <w:rPr>
          <w:rFonts w:eastAsiaTheme="majorEastAsia"/>
        </w:rPr>
        <w:t xml:space="preserve"> trades conducted outside the exchange should be advertised prior to the transaction. </w:t>
      </w:r>
    </w:p>
    <w:p w14:paraId="6F975C57" w14:textId="77777777" w:rsidR="00895A4E" w:rsidRPr="00557E12" w:rsidRDefault="00895A4E" w:rsidP="00895A4E">
      <w:pPr>
        <w:pStyle w:val="ListBullet"/>
        <w:numPr>
          <w:ilvl w:val="0"/>
          <w:numId w:val="0"/>
        </w:numPr>
        <w:rPr>
          <w:rFonts w:eastAsiaTheme="majorEastAsia"/>
        </w:rPr>
      </w:pPr>
      <w:r>
        <w:rPr>
          <w:rFonts w:eastAsiaTheme="majorEastAsia"/>
        </w:rPr>
        <w:t>These issues are discussed, in turn, below.</w:t>
      </w:r>
    </w:p>
    <w:p w14:paraId="1CBE616E" w14:textId="77777777" w:rsidR="00400837" w:rsidRPr="00F74083" w:rsidRDefault="00400837" w:rsidP="00400837">
      <w:pPr>
        <w:pStyle w:val="Heading2"/>
      </w:pPr>
      <w:bookmarkStart w:id="194" w:name="_Toc495351660"/>
      <w:bookmarkStart w:id="195" w:name="_Toc499542680"/>
      <w:r w:rsidRPr="00F74083">
        <w:t>Types of trades to be reported</w:t>
      </w:r>
      <w:bookmarkEnd w:id="194"/>
      <w:bookmarkEnd w:id="195"/>
    </w:p>
    <w:p w14:paraId="4EAC7B1F" w14:textId="77777777" w:rsidR="006825BA" w:rsidRPr="006825BA" w:rsidRDefault="006825BA" w:rsidP="006825BA">
      <w:pPr>
        <w:pStyle w:val="BodyText"/>
        <w:keepNext/>
        <w:rPr>
          <w:b/>
          <w:color w:val="0099CC"/>
        </w:rPr>
      </w:pPr>
      <w:r w:rsidRPr="006825BA">
        <w:rPr>
          <w:b/>
          <w:color w:val="0099CC"/>
        </w:rPr>
        <w:t>Background</w:t>
      </w:r>
    </w:p>
    <w:p w14:paraId="49FC3D03" w14:textId="77777777" w:rsidR="00400837" w:rsidRDefault="00400837" w:rsidP="00400837">
      <w:pPr>
        <w:pStyle w:val="BodyText"/>
      </w:pPr>
      <w:r>
        <w:t xml:space="preserve">In the </w:t>
      </w:r>
      <w:r w:rsidRPr="00EA187C">
        <w:rPr>
          <w:i/>
        </w:rPr>
        <w:t>East Coast Review</w:t>
      </w:r>
      <w:r>
        <w:t>, the AEMC recommended that information on all secondary trades of capacity be published, irrespective of how the trade is executed (i.e. bilaterally or through the capacity trading platform) and whether it involves a standardised or bespoke product. While some stakeholders questioned the value of reporting bilateral and bespoke trades, the AEMC was of the view that excluding these trades from the reporting framework could distort trading decisions and undermine the development of the capacity trading platform (i.e. because it would encourage parties to enter into trades outside the trading platform). This recommendation was therefore classified as a required outcome.</w:t>
      </w:r>
      <w:r>
        <w:rPr>
          <w:rStyle w:val="FootnoteReference"/>
        </w:rPr>
        <w:footnoteReference w:id="94"/>
      </w:r>
      <w:r>
        <w:t xml:space="preserve"> </w:t>
      </w:r>
    </w:p>
    <w:p w14:paraId="6CBD7361" w14:textId="77777777" w:rsidR="00400837" w:rsidRDefault="00400837" w:rsidP="00400837">
      <w:pPr>
        <w:pStyle w:val="BodyText"/>
      </w:pPr>
      <w:r>
        <w:t xml:space="preserve">This recommendation was discussed in some detail by the Standardisation project team, which noted that there are a number of ways that a primary capacity holder’s capacity can be used (directly or indirectly) by other market participants that do not necessarily involve a secondary capacity trade, including: </w:t>
      </w:r>
    </w:p>
    <w:p w14:paraId="3B004188" w14:textId="77777777" w:rsidR="00400837" w:rsidRDefault="00400837" w:rsidP="00CF4594">
      <w:pPr>
        <w:pStyle w:val="BodyText"/>
        <w:numPr>
          <w:ilvl w:val="0"/>
          <w:numId w:val="56"/>
        </w:numPr>
        <w:spacing w:before="120"/>
        <w:ind w:left="357" w:hanging="357"/>
      </w:pPr>
      <w:r>
        <w:t>delivered gas supply agreements (including retail contracts);</w:t>
      </w:r>
    </w:p>
    <w:p w14:paraId="13DECA76" w14:textId="77777777" w:rsidR="00400837" w:rsidRDefault="00400837" w:rsidP="00CF4594">
      <w:pPr>
        <w:pStyle w:val="BodyText"/>
        <w:numPr>
          <w:ilvl w:val="0"/>
          <w:numId w:val="56"/>
        </w:numPr>
        <w:spacing w:before="120"/>
        <w:ind w:left="357" w:hanging="357"/>
      </w:pPr>
      <w:r>
        <w:t>gas purchases from an STTM;</w:t>
      </w:r>
    </w:p>
    <w:p w14:paraId="6509D25A" w14:textId="77777777" w:rsidR="00400837" w:rsidRDefault="00400837" w:rsidP="00CF4594">
      <w:pPr>
        <w:pStyle w:val="BodyText"/>
        <w:numPr>
          <w:ilvl w:val="0"/>
          <w:numId w:val="56"/>
        </w:numPr>
        <w:spacing w:before="120"/>
        <w:ind w:left="357" w:hanging="357"/>
      </w:pPr>
      <w:r>
        <w:t>locational swaps;</w:t>
      </w:r>
      <w:r w:rsidR="00EF2FA3">
        <w:t xml:space="preserve"> and</w:t>
      </w:r>
    </w:p>
    <w:p w14:paraId="44D7BD75" w14:textId="77777777" w:rsidR="00400837" w:rsidRDefault="00400837" w:rsidP="00CF4594">
      <w:pPr>
        <w:pStyle w:val="BodyText"/>
        <w:numPr>
          <w:ilvl w:val="0"/>
          <w:numId w:val="56"/>
        </w:numPr>
        <w:spacing w:before="120"/>
        <w:ind w:left="357" w:hanging="357"/>
      </w:pPr>
      <w:proofErr w:type="spellStart"/>
      <w:proofErr w:type="gramStart"/>
      <w:r>
        <w:t>novations</w:t>
      </w:r>
      <w:proofErr w:type="spellEnd"/>
      <w:proofErr w:type="gramEnd"/>
      <w:r>
        <w:t xml:space="preserve"> of primary capacity. </w:t>
      </w:r>
    </w:p>
    <w:p w14:paraId="238C0786" w14:textId="77777777" w:rsidR="00400837" w:rsidRDefault="00400837" w:rsidP="00400837">
      <w:pPr>
        <w:pStyle w:val="BodyText"/>
      </w:pPr>
      <w:r>
        <w:lastRenderedPageBreak/>
        <w:t>While the project team agreed that reporting these types of trade went beyond the scope of what the AEMC intended, they noted that if market bodies or policy makers wanted to determine the extent to which secondary capacity is being released, focusing purely on secondary capacity trades would underestimate the true level of trade.</w:t>
      </w:r>
    </w:p>
    <w:p w14:paraId="4E09673C" w14:textId="77777777" w:rsidR="00400837" w:rsidRDefault="00400837" w:rsidP="00400837">
      <w:pPr>
        <w:pStyle w:val="BodyText"/>
      </w:pPr>
      <w:r>
        <w:t xml:space="preserve">Having agreed that the reporting framework should only apply to secondary trades of capacity, the project team noted that from a compliance perspective it would be important to clearly define the types of trades to be subject to the reporting framework. The trades that the project team thought should be reported included all </w:t>
      </w:r>
      <w:r w:rsidR="00F1710A">
        <w:t>exchange-based</w:t>
      </w:r>
      <w:r>
        <w:t xml:space="preserve"> capacity traded products (screen and pre-matched products) available for sale on the capacity trading platform and the following bilaterally traded products (conducted using either a bare transfer or an operational transfer (see section </w:t>
      </w:r>
      <w:r>
        <w:fldChar w:fldCharType="begin"/>
      </w:r>
      <w:r>
        <w:instrText xml:space="preserve"> REF _Ref494815269 \r \h </w:instrText>
      </w:r>
      <w:r>
        <w:fldChar w:fldCharType="separate"/>
      </w:r>
      <w:r w:rsidR="00761861">
        <w:t>2.2</w:t>
      </w:r>
      <w:r>
        <w:fldChar w:fldCharType="end"/>
      </w:r>
      <w:r>
        <w:t>):</w:t>
      </w:r>
    </w:p>
    <w:p w14:paraId="59CA548B" w14:textId="77777777" w:rsidR="00400837" w:rsidRDefault="00400837" w:rsidP="00400837">
      <w:pPr>
        <w:pStyle w:val="ListBullet"/>
      </w:pPr>
      <w:r>
        <w:t>forward haul services;</w:t>
      </w:r>
    </w:p>
    <w:p w14:paraId="421A39FA" w14:textId="77777777" w:rsidR="00400837" w:rsidRDefault="00400837" w:rsidP="00400837">
      <w:pPr>
        <w:pStyle w:val="ListBullet"/>
      </w:pPr>
      <w:r>
        <w:t>backhaul services;</w:t>
      </w:r>
    </w:p>
    <w:p w14:paraId="032F11BA" w14:textId="77777777" w:rsidR="00D640A6" w:rsidRDefault="00400837" w:rsidP="00400837">
      <w:pPr>
        <w:pStyle w:val="ListBullet"/>
      </w:pPr>
      <w:r>
        <w:t>park services</w:t>
      </w:r>
      <w:r w:rsidR="00D640A6">
        <w:t>;</w:t>
      </w:r>
    </w:p>
    <w:p w14:paraId="3FC7C13F" w14:textId="77777777" w:rsidR="00400837" w:rsidRDefault="00400837" w:rsidP="00400837">
      <w:pPr>
        <w:pStyle w:val="ListBullet"/>
      </w:pPr>
      <w:r>
        <w:t>loan services; and</w:t>
      </w:r>
    </w:p>
    <w:p w14:paraId="6D4D5BF6" w14:textId="77777777" w:rsidR="00400837" w:rsidRDefault="00400837" w:rsidP="00400837">
      <w:pPr>
        <w:pStyle w:val="ListBullet"/>
      </w:pPr>
      <w:proofErr w:type="gramStart"/>
      <w:r>
        <w:t>compression</w:t>
      </w:r>
      <w:proofErr w:type="gramEnd"/>
      <w:r>
        <w:t xml:space="preserve"> services.</w:t>
      </w:r>
    </w:p>
    <w:p w14:paraId="4BCDE78D" w14:textId="77777777" w:rsidR="00557E12" w:rsidRPr="006825BA" w:rsidRDefault="00DD15FF" w:rsidP="00557E12">
      <w:pPr>
        <w:pStyle w:val="BodyText"/>
        <w:keepNext/>
        <w:rPr>
          <w:b/>
          <w:color w:val="0099CC"/>
        </w:rPr>
      </w:pPr>
      <w:r>
        <w:rPr>
          <w:b/>
          <w:color w:val="0099CC"/>
        </w:rPr>
        <w:t>GMRG’s p</w:t>
      </w:r>
      <w:r w:rsidR="00557E12">
        <w:rPr>
          <w:b/>
          <w:color w:val="0099CC"/>
        </w:rPr>
        <w:t xml:space="preserve">reliminary view </w:t>
      </w:r>
    </w:p>
    <w:p w14:paraId="3538D760" w14:textId="77777777" w:rsidR="00216B52" w:rsidRDefault="00557E12" w:rsidP="00557E12">
      <w:pPr>
        <w:pStyle w:val="BodyText"/>
      </w:pPr>
      <w:r>
        <w:t xml:space="preserve">In the consultation paper, </w:t>
      </w:r>
      <w:r w:rsidR="00895A4E">
        <w:t xml:space="preserve">the </w:t>
      </w:r>
      <w:r>
        <w:t xml:space="preserve">GMRG </w:t>
      </w:r>
      <w:r w:rsidR="00EF2FA3">
        <w:t xml:space="preserve">agreed with the project team that the reporting framework should apply to secondary capacity trades </w:t>
      </w:r>
      <w:r w:rsidR="00895A4E">
        <w:t xml:space="preserve">but </w:t>
      </w:r>
      <w:r w:rsidR="00EF2FA3">
        <w:t xml:space="preserve">not to the </w:t>
      </w:r>
      <w:r w:rsidR="00216B52">
        <w:t xml:space="preserve">following </w:t>
      </w:r>
      <w:r w:rsidR="00EF2FA3">
        <w:t>types of trades</w:t>
      </w:r>
      <w:r w:rsidR="00216B52">
        <w:t>:</w:t>
      </w:r>
    </w:p>
    <w:p w14:paraId="60AB5ED5" w14:textId="77777777" w:rsidR="00216B52" w:rsidRDefault="00216B52" w:rsidP="00CF4594">
      <w:pPr>
        <w:pStyle w:val="BodyText"/>
        <w:numPr>
          <w:ilvl w:val="0"/>
          <w:numId w:val="64"/>
        </w:numPr>
        <w:spacing w:before="120"/>
        <w:ind w:left="357" w:hanging="357"/>
      </w:pPr>
      <w:r>
        <w:t>delivered gas supply agreements (including retail contracts);</w:t>
      </w:r>
    </w:p>
    <w:p w14:paraId="2961ECDE" w14:textId="77777777" w:rsidR="00216B52" w:rsidRDefault="00216B52" w:rsidP="00CF4594">
      <w:pPr>
        <w:pStyle w:val="BodyText"/>
        <w:numPr>
          <w:ilvl w:val="0"/>
          <w:numId w:val="64"/>
        </w:numPr>
        <w:spacing w:before="120"/>
        <w:ind w:left="357" w:hanging="357"/>
      </w:pPr>
      <w:r>
        <w:t>gas purchases from an STTM;</w:t>
      </w:r>
    </w:p>
    <w:p w14:paraId="2CC8D22C" w14:textId="77777777" w:rsidR="00216B52" w:rsidRDefault="00216B52" w:rsidP="00CF4594">
      <w:pPr>
        <w:pStyle w:val="BodyText"/>
        <w:numPr>
          <w:ilvl w:val="0"/>
          <w:numId w:val="64"/>
        </w:numPr>
        <w:spacing w:before="120"/>
        <w:ind w:left="357" w:hanging="357"/>
      </w:pPr>
      <w:r>
        <w:t>locational swaps; and</w:t>
      </w:r>
    </w:p>
    <w:p w14:paraId="2F33AD70" w14:textId="77777777" w:rsidR="00216B52" w:rsidRDefault="00216B52" w:rsidP="00CF4594">
      <w:pPr>
        <w:pStyle w:val="BodyText"/>
        <w:numPr>
          <w:ilvl w:val="0"/>
          <w:numId w:val="64"/>
        </w:numPr>
        <w:spacing w:before="120"/>
        <w:ind w:left="357" w:hanging="357"/>
      </w:pPr>
      <w:proofErr w:type="spellStart"/>
      <w:proofErr w:type="gramStart"/>
      <w:r>
        <w:t>novations</w:t>
      </w:r>
      <w:proofErr w:type="spellEnd"/>
      <w:proofErr w:type="gramEnd"/>
      <w:r>
        <w:t xml:space="preserve"> of primary capacity. </w:t>
      </w:r>
    </w:p>
    <w:p w14:paraId="6C917827" w14:textId="77777777" w:rsidR="00EF2FA3" w:rsidRDefault="00EF2FA3" w:rsidP="00557E12">
      <w:pPr>
        <w:pStyle w:val="BodyText"/>
      </w:pPr>
      <w:r>
        <w:t xml:space="preserve">The GMRG also agreed with the project team that </w:t>
      </w:r>
      <w:r w:rsidRPr="00245DAA">
        <w:t>there would be merit in defining the types of trades that are to be reported to avoid any unnecessary confusion about the nature of the reporting obligation</w:t>
      </w:r>
      <w:r>
        <w:t>. The types of trades that the GMRG indicated should be reported, included:</w:t>
      </w:r>
    </w:p>
    <w:p w14:paraId="23BB6189" w14:textId="77777777" w:rsidR="00EF2FA3" w:rsidRDefault="00557E12" w:rsidP="00EF2FA3">
      <w:pPr>
        <w:pStyle w:val="ListBullet"/>
      </w:pPr>
      <w:r w:rsidRPr="00C21F5D">
        <w:t xml:space="preserve">all </w:t>
      </w:r>
      <w:r w:rsidR="00F1710A">
        <w:t>exchange-based</w:t>
      </w:r>
      <w:r w:rsidR="00895A4E">
        <w:t xml:space="preserve"> trades (</w:t>
      </w:r>
      <w:r w:rsidRPr="00C21F5D">
        <w:t>screen and pre-matched</w:t>
      </w:r>
      <w:r w:rsidR="00895A4E">
        <w:t>)</w:t>
      </w:r>
      <w:r w:rsidRPr="00C21F5D">
        <w:t xml:space="preserve"> carried out through the capacity trading platform</w:t>
      </w:r>
      <w:r w:rsidR="00EF2FA3">
        <w:t>;</w:t>
      </w:r>
      <w:r w:rsidRPr="00C21F5D">
        <w:t xml:space="preserve"> and </w:t>
      </w:r>
    </w:p>
    <w:p w14:paraId="669997DD" w14:textId="77777777" w:rsidR="00557E12" w:rsidRDefault="00557E12" w:rsidP="00EF2FA3">
      <w:pPr>
        <w:pStyle w:val="ListBullet"/>
      </w:pPr>
      <w:proofErr w:type="gramStart"/>
      <w:r w:rsidRPr="00C21F5D">
        <w:t>bilateral</w:t>
      </w:r>
      <w:proofErr w:type="gramEnd"/>
      <w:r w:rsidRPr="00C21F5D">
        <w:t xml:space="preserve"> trades of capacity involving forward haul, backhaul, park, l</w:t>
      </w:r>
      <w:r>
        <w:t>oan and/or compression services</w:t>
      </w:r>
      <w:r w:rsidR="00EF2FA3">
        <w:t>.</w:t>
      </w:r>
    </w:p>
    <w:p w14:paraId="2D63E3FC" w14:textId="77777777" w:rsidR="006825BA" w:rsidRPr="006825BA" w:rsidRDefault="006825BA" w:rsidP="006825BA">
      <w:pPr>
        <w:pStyle w:val="BodyText"/>
        <w:keepNext/>
        <w:rPr>
          <w:b/>
          <w:color w:val="0099CC"/>
        </w:rPr>
      </w:pPr>
      <w:r>
        <w:rPr>
          <w:b/>
          <w:color w:val="0099CC"/>
        </w:rPr>
        <w:t>Feedback provided through the consultation process</w:t>
      </w:r>
    </w:p>
    <w:p w14:paraId="6C2E0732" w14:textId="77777777" w:rsidR="00D640A6" w:rsidRDefault="00557E12" w:rsidP="00D640A6">
      <w:pPr>
        <w:pStyle w:val="BodyText"/>
      </w:pPr>
      <w:r>
        <w:t xml:space="preserve">The majority of stakeholders </w:t>
      </w:r>
      <w:r w:rsidR="00D640A6">
        <w:t xml:space="preserve">that </w:t>
      </w:r>
      <w:r w:rsidR="00895A4E">
        <w:t xml:space="preserve">commented on this issue, </w:t>
      </w:r>
      <w:r w:rsidR="00D640A6">
        <w:t>agreed that the trades</w:t>
      </w:r>
      <w:r w:rsidR="009E726A">
        <w:t xml:space="preserve"> that</w:t>
      </w:r>
      <w:r w:rsidR="00D640A6">
        <w:t xml:space="preserve"> </w:t>
      </w:r>
      <w:r w:rsidR="00F1710A">
        <w:t xml:space="preserve">should be </w:t>
      </w:r>
      <w:r w:rsidR="00D640A6">
        <w:t xml:space="preserve">subject to </w:t>
      </w:r>
      <w:r w:rsidR="00F07674">
        <w:t xml:space="preserve">the reporting framework should </w:t>
      </w:r>
      <w:r w:rsidR="00D640A6">
        <w:t xml:space="preserve">include </w:t>
      </w:r>
      <w:r w:rsidR="00F1710A">
        <w:t>exchange-based</w:t>
      </w:r>
      <w:r w:rsidR="00F07674">
        <w:t xml:space="preserve"> trades</w:t>
      </w:r>
      <w:r w:rsidR="00D640A6">
        <w:t xml:space="preserve"> and bilateral trades of </w:t>
      </w:r>
      <w:r>
        <w:t>forward haul</w:t>
      </w:r>
      <w:r w:rsidR="00D640A6">
        <w:t>,</w:t>
      </w:r>
      <w:r>
        <w:t xml:space="preserve"> backhaul</w:t>
      </w:r>
      <w:r w:rsidR="00D640A6">
        <w:t xml:space="preserve">, </w:t>
      </w:r>
      <w:r>
        <w:t>park</w:t>
      </w:r>
      <w:r w:rsidR="00D640A6">
        <w:t>,</w:t>
      </w:r>
      <w:r>
        <w:t xml:space="preserve"> loan and compression services</w:t>
      </w:r>
      <w:r w:rsidR="00D640A6">
        <w:t xml:space="preserve"> and</w:t>
      </w:r>
      <w:r w:rsidR="00F07674">
        <w:t xml:space="preserve"> </w:t>
      </w:r>
      <w:r w:rsidR="00D640A6">
        <w:t>exclude the types of trades listed in (a)-(d)</w:t>
      </w:r>
      <w:r w:rsidR="00216B52">
        <w:t xml:space="preserve"> above</w:t>
      </w:r>
      <w:r>
        <w:t>.</w:t>
      </w:r>
      <w:r w:rsidR="00F07674">
        <w:t xml:space="preserve"> </w:t>
      </w:r>
      <w:r w:rsidR="00D640A6">
        <w:t>There were, however, some exceptions to this general view</w:t>
      </w:r>
      <w:r w:rsidR="00F07674">
        <w:t>, with:</w:t>
      </w:r>
    </w:p>
    <w:p w14:paraId="3CD70266" w14:textId="77777777" w:rsidR="00557E12" w:rsidRDefault="00F07674" w:rsidP="00F9673D">
      <w:pPr>
        <w:pStyle w:val="ListBullet"/>
      </w:pPr>
      <w:r>
        <w:lastRenderedPageBreak/>
        <w:t xml:space="preserve">Origin, </w:t>
      </w:r>
      <w:proofErr w:type="spellStart"/>
      <w:r>
        <w:t>Engie</w:t>
      </w:r>
      <w:proofErr w:type="spellEnd"/>
      <w:r>
        <w:t xml:space="preserve"> and AGL expressing some concerns about the </w:t>
      </w:r>
      <w:r w:rsidR="00D640A6">
        <w:t>proposal to report bilateral trades</w:t>
      </w:r>
      <w:r>
        <w:t xml:space="preserve">. Origin, for example, was of the view that if these trades </w:t>
      </w:r>
      <w:r w:rsidR="00F1710A">
        <w:t xml:space="preserve">were </w:t>
      </w:r>
      <w:r>
        <w:t xml:space="preserve">to be published then additional measures may be required to ensure commercial-in-confidence information is protected. </w:t>
      </w:r>
      <w:proofErr w:type="spellStart"/>
      <w:r>
        <w:t>Engie</w:t>
      </w:r>
      <w:proofErr w:type="spellEnd"/>
      <w:r>
        <w:t xml:space="preserve"> and AGL, on the other hand, thought that these trades should not be subject to the reporting framework. Elaborating on this further, </w:t>
      </w:r>
      <w:proofErr w:type="spellStart"/>
      <w:r w:rsidR="00AF4CA7">
        <w:t>Engie</w:t>
      </w:r>
      <w:proofErr w:type="spellEnd"/>
      <w:r w:rsidR="00D640A6">
        <w:t xml:space="preserve"> </w:t>
      </w:r>
      <w:r>
        <w:t xml:space="preserve">claimed the publication of information on these trades </w:t>
      </w:r>
      <w:r w:rsidR="00D640A6">
        <w:t>would be “</w:t>
      </w:r>
      <w:r w:rsidR="00557E12" w:rsidRPr="0084780C">
        <w:t>useless</w:t>
      </w:r>
      <w:r w:rsidR="00D640A6">
        <w:t>”</w:t>
      </w:r>
      <w:r w:rsidR="00557E12" w:rsidRPr="0084780C">
        <w:t xml:space="preserve"> and </w:t>
      </w:r>
      <w:r w:rsidR="00D640A6">
        <w:t xml:space="preserve">could </w:t>
      </w:r>
      <w:r w:rsidR="00557E12" w:rsidRPr="0084780C">
        <w:t>expose transacting parties to other unintended commercial risks</w:t>
      </w:r>
      <w:r>
        <w:t>.</w:t>
      </w:r>
      <w:r w:rsidR="00557E12" w:rsidRPr="0084780C">
        <w:t xml:space="preserve"> </w:t>
      </w:r>
      <w:proofErr w:type="spellStart"/>
      <w:r w:rsidR="00557E12" w:rsidRPr="0084780C">
        <w:t>Engie</w:t>
      </w:r>
      <w:proofErr w:type="spellEnd"/>
      <w:r w:rsidR="00557E12" w:rsidRPr="0084780C">
        <w:t xml:space="preserve"> </w:t>
      </w:r>
      <w:r>
        <w:t xml:space="preserve">also </w:t>
      </w:r>
      <w:r w:rsidR="00F1710A">
        <w:t xml:space="preserve">noted </w:t>
      </w:r>
      <w:r w:rsidR="00557E12" w:rsidRPr="0084780C">
        <w:t xml:space="preserve">the </w:t>
      </w:r>
      <w:r w:rsidR="00D640A6">
        <w:t xml:space="preserve">consultation paper did </w:t>
      </w:r>
      <w:r w:rsidR="00557E12" w:rsidRPr="0084780C">
        <w:t xml:space="preserve">not </w:t>
      </w:r>
      <w:r w:rsidR="00D640A6">
        <w:t xml:space="preserve">identify </w:t>
      </w:r>
      <w:r w:rsidR="00557E12" w:rsidRPr="0084780C">
        <w:t xml:space="preserve">sufficient benefits </w:t>
      </w:r>
      <w:r w:rsidR="00D640A6">
        <w:t xml:space="preserve">to </w:t>
      </w:r>
      <w:r w:rsidR="00557E12" w:rsidRPr="0084780C">
        <w:t xml:space="preserve">overcome the cost or potential detriment to the parties involved in such trades to warrant these measures. </w:t>
      </w:r>
    </w:p>
    <w:p w14:paraId="1F83D900" w14:textId="77777777" w:rsidR="00D640A6" w:rsidRDefault="00D640A6" w:rsidP="001E29BC">
      <w:pPr>
        <w:pStyle w:val="ListBullet"/>
      </w:pPr>
      <w:r>
        <w:t xml:space="preserve">Stanwell </w:t>
      </w:r>
      <w:r w:rsidR="00F07674">
        <w:t xml:space="preserve">expressed some concern about the </w:t>
      </w:r>
      <w:r>
        <w:t>proposal to report trades involving backhaul, park or loan services and claimed it went beyond what the AEMC intended when requiring all secondary capacity trades be reported</w:t>
      </w:r>
      <w:r w:rsidR="001E29BC">
        <w:t xml:space="preserve">. Stanwell added that </w:t>
      </w:r>
      <w:r>
        <w:t>these products</w:t>
      </w:r>
      <w:r w:rsidRPr="0084780C">
        <w:t xml:space="preserve"> </w:t>
      </w:r>
      <w:r>
        <w:t>are minor compared to forward haul and compression products</w:t>
      </w:r>
      <w:r w:rsidR="001E29BC">
        <w:t xml:space="preserve"> and that requiring </w:t>
      </w:r>
      <w:proofErr w:type="gramStart"/>
      <w:r w:rsidR="001E29BC">
        <w:t>them</w:t>
      </w:r>
      <w:proofErr w:type="gramEnd"/>
      <w:r w:rsidR="001E29BC">
        <w:t xml:space="preserve"> to be reported would add</w:t>
      </w:r>
      <w:r>
        <w:t xml:space="preserve"> costs and re</w:t>
      </w:r>
      <w:r w:rsidR="001E29BC">
        <w:t xml:space="preserve">gulatory burden for little gain. </w:t>
      </w:r>
    </w:p>
    <w:p w14:paraId="20289597" w14:textId="77777777" w:rsidR="006825BA" w:rsidRPr="006825BA" w:rsidRDefault="006825BA" w:rsidP="006825BA">
      <w:pPr>
        <w:pStyle w:val="BodyText"/>
        <w:keepNext/>
        <w:rPr>
          <w:b/>
          <w:color w:val="0099CC"/>
        </w:rPr>
      </w:pPr>
      <w:r>
        <w:rPr>
          <w:b/>
          <w:color w:val="0099CC"/>
        </w:rPr>
        <w:t xml:space="preserve">GMRG’s final recommendations </w:t>
      </w:r>
    </w:p>
    <w:p w14:paraId="4FFF8B5C" w14:textId="77777777" w:rsidR="00557E12" w:rsidRDefault="001E29BC" w:rsidP="000454A0">
      <w:pPr>
        <w:pStyle w:val="BodyText"/>
      </w:pPr>
      <w:r>
        <w:t xml:space="preserve">Having regard to the AEMC’s recommendations, the assessment framework set out in Chapter 3 and the feedback provided by stakeholders, the </w:t>
      </w:r>
      <w:r w:rsidR="00557E12">
        <w:t>GMRG</w:t>
      </w:r>
      <w:r w:rsidR="00D45217">
        <w:t xml:space="preserve"> recommends that</w:t>
      </w:r>
      <w:r w:rsidR="000454A0">
        <w:t xml:space="preserve"> the </w:t>
      </w:r>
      <w:r w:rsidR="000D53CD">
        <w:t>following types of trades</w:t>
      </w:r>
      <w:r w:rsidR="00F9673D">
        <w:t xml:space="preserve"> </w:t>
      </w:r>
      <w:r w:rsidR="000D53CD">
        <w:t xml:space="preserve">be subject to the </w:t>
      </w:r>
      <w:r>
        <w:t>reporting framewor</w:t>
      </w:r>
      <w:r w:rsidR="000D53CD">
        <w:t>k</w:t>
      </w:r>
      <w:r w:rsidR="00557E12">
        <w:t xml:space="preserve">: </w:t>
      </w:r>
    </w:p>
    <w:p w14:paraId="19922988" w14:textId="77777777" w:rsidR="00557E12" w:rsidRDefault="00557E12" w:rsidP="00CF4594">
      <w:pPr>
        <w:pStyle w:val="ListNumber"/>
        <w:numPr>
          <w:ilvl w:val="0"/>
          <w:numId w:val="60"/>
        </w:numPr>
      </w:pPr>
      <w:r>
        <w:t xml:space="preserve">all </w:t>
      </w:r>
      <w:r w:rsidR="00F1710A">
        <w:t>exchange-based</w:t>
      </w:r>
      <w:r w:rsidR="00F9673D">
        <w:t xml:space="preserve"> trades (</w:t>
      </w:r>
      <w:r>
        <w:t>screen and pre-matched</w:t>
      </w:r>
      <w:r w:rsidR="00F9673D">
        <w:t>)</w:t>
      </w:r>
      <w:r>
        <w:t xml:space="preserve"> of transportation services carried out through the capacity trading platform;</w:t>
      </w:r>
      <w:r w:rsidR="000D53CD">
        <w:t xml:space="preserve"> and</w:t>
      </w:r>
    </w:p>
    <w:p w14:paraId="17500978" w14:textId="77777777" w:rsidR="00557E12" w:rsidRDefault="00557E12" w:rsidP="000454A0">
      <w:pPr>
        <w:pStyle w:val="ListNumber"/>
      </w:pPr>
      <w:proofErr w:type="gramStart"/>
      <w:r>
        <w:t>any</w:t>
      </w:r>
      <w:proofErr w:type="gramEnd"/>
      <w:r>
        <w:t xml:space="preserve"> bilateral trades of capacity </w:t>
      </w:r>
      <w:r w:rsidR="001E29BC" w:rsidRPr="0092530F">
        <w:t>conducted using eit</w:t>
      </w:r>
      <w:r w:rsidR="001E29BC">
        <w:t>her a bare transfer or an operat</w:t>
      </w:r>
      <w:r w:rsidR="001E29BC" w:rsidRPr="0092530F">
        <w:t>ional transfer</w:t>
      </w:r>
      <w:r w:rsidR="001E29BC">
        <w:t xml:space="preserve"> and </w:t>
      </w:r>
      <w:r>
        <w:t>involving forward haul</w:t>
      </w:r>
      <w:r w:rsidR="001E29BC">
        <w:t xml:space="preserve"> (in both directions on bi-directional pipelines)</w:t>
      </w:r>
      <w:r>
        <w:t xml:space="preserve">, </w:t>
      </w:r>
      <w:r w:rsidR="001E29BC">
        <w:t xml:space="preserve">backhaul, </w:t>
      </w:r>
      <w:r>
        <w:t>park, loan and/or compression services</w:t>
      </w:r>
      <w:r w:rsidR="000D53CD">
        <w:t>.</w:t>
      </w:r>
    </w:p>
    <w:p w14:paraId="748809DF" w14:textId="77777777" w:rsidR="00D45217" w:rsidRDefault="001E29BC" w:rsidP="00557E12">
      <w:pPr>
        <w:pStyle w:val="BodyText"/>
      </w:pPr>
      <w:r>
        <w:t xml:space="preserve">In the GMRG’s view, </w:t>
      </w:r>
      <w:r w:rsidR="00D45217">
        <w:t>applying the reporting framework to the trades listed in (</w:t>
      </w:r>
      <w:r w:rsidR="000454A0">
        <w:t>1</w:t>
      </w:r>
      <w:r w:rsidR="00D45217">
        <w:t>)-(</w:t>
      </w:r>
      <w:r w:rsidR="000454A0">
        <w:t>2</w:t>
      </w:r>
      <w:r w:rsidR="00D45217">
        <w:t>)</w:t>
      </w:r>
      <w:r w:rsidR="000454A0">
        <w:t xml:space="preserve"> </w:t>
      </w:r>
      <w:r w:rsidR="00D45217">
        <w:t xml:space="preserve">will </w:t>
      </w:r>
      <w:r w:rsidR="00E83A64">
        <w:t xml:space="preserve">promote the NGO because it will </w:t>
      </w:r>
      <w:r w:rsidR="00D45217">
        <w:t xml:space="preserve">aid the price discovery process </w:t>
      </w:r>
      <w:r w:rsidR="00F9673D">
        <w:t>and instil a greater level of confidence in the robustness of the market</w:t>
      </w:r>
      <w:r w:rsidR="00D45217">
        <w:t xml:space="preserve">. Greater transparency in this area will also enable liquidity in this market to be assessed and policy makers to understand whether further reform may be required. Although as </w:t>
      </w:r>
      <w:r w:rsidR="00F9673D">
        <w:t xml:space="preserve">some stakeholders </w:t>
      </w:r>
      <w:r w:rsidR="00D45217">
        <w:t xml:space="preserve">noted, some care </w:t>
      </w:r>
      <w:r w:rsidR="00F1710A">
        <w:t>will need</w:t>
      </w:r>
      <w:r w:rsidR="00D45217">
        <w:t xml:space="preserve"> to be taken in </w:t>
      </w:r>
      <w:r w:rsidR="00F1710A">
        <w:t>assessing the reported information</w:t>
      </w:r>
      <w:r w:rsidR="00F9673D">
        <w:t>,</w:t>
      </w:r>
      <w:r w:rsidR="00D45217">
        <w:t xml:space="preserve"> because capacity can be released by shippers to other parties through other means</w:t>
      </w:r>
      <w:r w:rsidR="00F9673D">
        <w:t xml:space="preserve"> (e.g. swaps and delivered gas supply agreements)</w:t>
      </w:r>
      <w:r w:rsidR="00F1710A">
        <w:t xml:space="preserve"> and the reporting framework will not therefore represent a complete picture</w:t>
      </w:r>
      <w:r w:rsidR="00D45217">
        <w:t>.</w:t>
      </w:r>
    </w:p>
    <w:p w14:paraId="21EFA294" w14:textId="77777777" w:rsidR="00557E12" w:rsidRDefault="00F9673D" w:rsidP="00557E12">
      <w:pPr>
        <w:pStyle w:val="BodyText"/>
      </w:pPr>
      <w:r>
        <w:t xml:space="preserve">In relation to the concerns that </w:t>
      </w:r>
      <w:proofErr w:type="spellStart"/>
      <w:r>
        <w:t>Engie</w:t>
      </w:r>
      <w:proofErr w:type="spellEnd"/>
      <w:r>
        <w:t xml:space="preserve">, AGL and Origin raised about the publication of bilateral trades, </w:t>
      </w:r>
      <w:r w:rsidR="00D45217">
        <w:t xml:space="preserve">it is worth </w:t>
      </w:r>
      <w:r>
        <w:t xml:space="preserve">noting </w:t>
      </w:r>
      <w:r w:rsidR="00D45217">
        <w:t xml:space="preserve">that this </w:t>
      </w:r>
      <w:r>
        <w:t xml:space="preserve">is </w:t>
      </w:r>
      <w:r w:rsidR="00D45217">
        <w:t xml:space="preserve">a required outcome </w:t>
      </w:r>
      <w:r>
        <w:t xml:space="preserve">of </w:t>
      </w:r>
      <w:r w:rsidR="00D45217">
        <w:t xml:space="preserve">the AEMC’s </w:t>
      </w:r>
      <w:r>
        <w:t xml:space="preserve">recommendations. As noted previously, the </w:t>
      </w:r>
      <w:r w:rsidR="00557E12" w:rsidRPr="00976C38">
        <w:t xml:space="preserve">AEMC </w:t>
      </w:r>
      <w:r>
        <w:t xml:space="preserve">included this recommendation because it </w:t>
      </w:r>
      <w:r w:rsidR="00557E12">
        <w:t xml:space="preserve">was </w:t>
      </w:r>
      <w:r w:rsidR="00D45217">
        <w:t xml:space="preserve">concerned </w:t>
      </w:r>
      <w:r w:rsidR="00557E12" w:rsidRPr="00976C38">
        <w:t xml:space="preserve">that exempting </w:t>
      </w:r>
      <w:r>
        <w:t xml:space="preserve">bilateral </w:t>
      </w:r>
      <w:r w:rsidR="00557E12" w:rsidRPr="00976C38">
        <w:t>trades could distort trading decisions and undermine the development of the capacity trading platform</w:t>
      </w:r>
      <w:r w:rsidR="00D45217">
        <w:t xml:space="preserve">. </w:t>
      </w:r>
      <w:r w:rsidR="00DC6F21">
        <w:t xml:space="preserve">The position the AEMC reached on this issue was supported by both the ACCC and AEMO. </w:t>
      </w:r>
      <w:r w:rsidR="00D45217">
        <w:t xml:space="preserve">The GMRG </w:t>
      </w:r>
      <w:r w:rsidR="00DC6F21">
        <w:t xml:space="preserve">also </w:t>
      </w:r>
      <w:r w:rsidR="00D45217">
        <w:t xml:space="preserve">agrees with </w:t>
      </w:r>
      <w:r w:rsidR="00DC6F21">
        <w:t xml:space="preserve">this </w:t>
      </w:r>
      <w:r>
        <w:t xml:space="preserve">position </w:t>
      </w:r>
      <w:r w:rsidR="00D45217">
        <w:t xml:space="preserve">and believes that the publication of this </w:t>
      </w:r>
      <w:r w:rsidR="00557E12">
        <w:t xml:space="preserve">information will complement the platform data and provide a more comprehensive picture </w:t>
      </w:r>
      <w:r>
        <w:t xml:space="preserve">of the market value </w:t>
      </w:r>
      <w:r w:rsidR="00557E12">
        <w:t>of capacity</w:t>
      </w:r>
      <w:r w:rsidR="00D45217">
        <w:t xml:space="preserve">, which will </w:t>
      </w:r>
      <w:r w:rsidR="00557E12">
        <w:t>aid the price discovery</w:t>
      </w:r>
      <w:r w:rsidR="00D45217">
        <w:t xml:space="preserve"> process</w:t>
      </w:r>
      <w:r>
        <w:t xml:space="preserve"> and provide for more efficient capacity allocation and utilisation decisions</w:t>
      </w:r>
      <w:r w:rsidR="00557E12">
        <w:t xml:space="preserve">.  </w:t>
      </w:r>
      <w:r w:rsidR="00DC6F21">
        <w:t xml:space="preserve">The GMRG understands that some of the reluctance to report this information stems from the concern stakeholders have about the identity of trading parties being revealed. This issue is discussed further in section 12.2. </w:t>
      </w:r>
    </w:p>
    <w:p w14:paraId="013CD745" w14:textId="77777777" w:rsidR="000D53CD" w:rsidRDefault="00D45217" w:rsidP="00557E12">
      <w:pPr>
        <w:pStyle w:val="BodyText"/>
      </w:pPr>
      <w:r>
        <w:lastRenderedPageBreak/>
        <w:t xml:space="preserve">As to Stanwell’s suggestion that the reporting framework not </w:t>
      </w:r>
      <w:r w:rsidR="000D53CD">
        <w:t xml:space="preserve">extend </w:t>
      </w:r>
      <w:r>
        <w:t xml:space="preserve">to </w:t>
      </w:r>
      <w:r w:rsidR="000D53CD">
        <w:t xml:space="preserve">ancillary services (e.g. </w:t>
      </w:r>
      <w:r>
        <w:t>park</w:t>
      </w:r>
      <w:r w:rsidR="000D53CD">
        <w:t xml:space="preserve"> or </w:t>
      </w:r>
      <w:r>
        <w:t>loan services</w:t>
      </w:r>
      <w:r w:rsidR="000D53CD">
        <w:t>)</w:t>
      </w:r>
      <w:r>
        <w:t xml:space="preserve">, </w:t>
      </w:r>
      <w:r w:rsidR="000D53CD">
        <w:t xml:space="preserve">the GMRG believes there is value, from a price discovery </w:t>
      </w:r>
      <w:r w:rsidR="00DC6F21">
        <w:t>perspective</w:t>
      </w:r>
      <w:r w:rsidR="000D53CD">
        <w:t>,</w:t>
      </w:r>
      <w:r>
        <w:t xml:space="preserve"> in reporting these types of trades</w:t>
      </w:r>
      <w:r w:rsidR="000D53CD">
        <w:t xml:space="preserve">, particularly given </w:t>
      </w:r>
      <w:r w:rsidR="00DC6F21">
        <w:t xml:space="preserve">some of these </w:t>
      </w:r>
      <w:r w:rsidR="000D53CD">
        <w:t xml:space="preserve">products will be available on the capacity trading platform. </w:t>
      </w:r>
    </w:p>
    <w:p w14:paraId="161B1AD5" w14:textId="77777777" w:rsidR="006F2B35" w:rsidRDefault="00F1710A" w:rsidP="006F2B35">
      <w:pPr>
        <w:pStyle w:val="BodyText"/>
      </w:pPr>
      <w:r>
        <w:t>T</w:t>
      </w:r>
      <w:r w:rsidR="006F2B35">
        <w:t>here are a number of other ways that a primary capacity holder’s capacity can be released that do not involve a secondary capacity trade, such as delivered gas supply agreements and locational swaps. In the GMRG’s view requiring these types of trades to be reported would go beyond the scope of what the AEMC intended. The GMRG is not therefore recommending that these types of trades be subject to the reporting framework. It is</w:t>
      </w:r>
      <w:r w:rsidR="00DC6F21">
        <w:t xml:space="preserve"> </w:t>
      </w:r>
      <w:r w:rsidR="006F2B35">
        <w:t>worth noting</w:t>
      </w:r>
      <w:r w:rsidR="00DC6F21">
        <w:t>, however,</w:t>
      </w:r>
      <w:r w:rsidR="006F2B35">
        <w:t xml:space="preserve"> that, in keeping with the Prime Minister’s direction on 20</w:t>
      </w:r>
      <w:r w:rsidR="00F372D4">
        <w:t> </w:t>
      </w:r>
      <w:r w:rsidR="006F2B35">
        <w:t>March 2017,</w:t>
      </w:r>
      <w:r w:rsidR="006F2B35">
        <w:rPr>
          <w:rStyle w:val="FootnoteReference"/>
        </w:rPr>
        <w:footnoteReference w:id="95"/>
      </w:r>
      <w:r w:rsidR="006F2B35">
        <w:t xml:space="preserve"> the GMRG intends to work with the ACCC in early 2018 to consider whether there is value in publishing other types of information to reduce the opaqueness in the gas market. It is possible therefore that these types of trades could be subject to reporting </w:t>
      </w:r>
      <w:r>
        <w:t xml:space="preserve">requirements </w:t>
      </w:r>
      <w:r w:rsidR="006F2B35">
        <w:t xml:space="preserve">in the future. </w:t>
      </w:r>
    </w:p>
    <w:p w14:paraId="28E109AA" w14:textId="77777777" w:rsidR="00557E12" w:rsidRDefault="00557E12" w:rsidP="00557E12">
      <w:pPr>
        <w:pStyle w:val="Heading2"/>
      </w:pPr>
      <w:bookmarkStart w:id="196" w:name="_Toc495351661"/>
      <w:bookmarkStart w:id="197" w:name="_Toc497653712"/>
      <w:bookmarkStart w:id="198" w:name="_Toc499542681"/>
      <w:bookmarkEnd w:id="190"/>
      <w:r w:rsidRPr="00F74083">
        <w:t>Information to be reported</w:t>
      </w:r>
      <w:bookmarkEnd w:id="196"/>
      <w:bookmarkEnd w:id="197"/>
      <w:bookmarkEnd w:id="198"/>
    </w:p>
    <w:p w14:paraId="5C3C8B25" w14:textId="77777777" w:rsidR="00557E12" w:rsidRDefault="00557E12" w:rsidP="00557E12">
      <w:pPr>
        <w:pStyle w:val="BodyText"/>
        <w:keepNext/>
        <w:rPr>
          <w:b/>
          <w:color w:val="0099CC"/>
        </w:rPr>
      </w:pPr>
      <w:r w:rsidRPr="006825BA">
        <w:rPr>
          <w:b/>
          <w:color w:val="0099CC"/>
        </w:rPr>
        <w:t>Background</w:t>
      </w:r>
    </w:p>
    <w:p w14:paraId="19B2FE78" w14:textId="77777777" w:rsidR="00557E12" w:rsidRPr="003F0ED1" w:rsidRDefault="00F1710A" w:rsidP="00557E12">
      <w:pPr>
        <w:pStyle w:val="BodyText"/>
        <w:spacing w:before="60" w:after="60"/>
        <w:rPr>
          <w:rFonts w:asciiTheme="majorHAnsi" w:hAnsiTheme="majorHAnsi" w:cstheme="majorHAnsi"/>
          <w:color w:val="000000"/>
        </w:rPr>
      </w:pPr>
      <w:r>
        <w:rPr>
          <w:rFonts w:asciiTheme="majorHAnsi" w:hAnsiTheme="majorHAnsi" w:cstheme="majorHAnsi"/>
        </w:rPr>
        <w:t>Th</w:t>
      </w:r>
      <w:r w:rsidR="00557E12" w:rsidRPr="003F0ED1">
        <w:rPr>
          <w:rFonts w:asciiTheme="majorHAnsi" w:hAnsiTheme="majorHAnsi" w:cstheme="majorHAnsi"/>
        </w:rPr>
        <w:t>e AEMC recommended that the reporting framework</w:t>
      </w:r>
      <w:r w:rsidR="00557E12">
        <w:rPr>
          <w:rFonts w:asciiTheme="majorHAnsi" w:hAnsiTheme="majorHAnsi" w:cstheme="majorHAnsi"/>
        </w:rPr>
        <w:t xml:space="preserve"> for secondary capacity trades </w:t>
      </w:r>
      <w:r w:rsidR="00557E12" w:rsidRPr="003F0ED1">
        <w:rPr>
          <w:rFonts w:asciiTheme="majorHAnsi" w:hAnsiTheme="majorHAnsi" w:cstheme="majorHAnsi"/>
        </w:rPr>
        <w:t xml:space="preserve">require information on the prices </w:t>
      </w:r>
      <w:r w:rsidR="00557E12">
        <w:rPr>
          <w:rFonts w:asciiTheme="majorHAnsi" w:hAnsiTheme="majorHAnsi" w:cstheme="majorHAnsi"/>
          <w:color w:val="000000"/>
        </w:rPr>
        <w:t>struck</w:t>
      </w:r>
      <w:r w:rsidR="00557E12" w:rsidRPr="003F0ED1">
        <w:rPr>
          <w:rFonts w:asciiTheme="majorHAnsi" w:hAnsiTheme="majorHAnsi" w:cstheme="majorHAnsi"/>
          <w:color w:val="000000"/>
        </w:rPr>
        <w:t xml:space="preserve"> in secondary trades to be reported along with the following contract terms:</w:t>
      </w:r>
      <w:r w:rsidR="00557E12">
        <w:rPr>
          <w:rStyle w:val="FootnoteReference"/>
          <w:rFonts w:asciiTheme="majorHAnsi" w:hAnsiTheme="majorHAnsi" w:cstheme="majorHAnsi"/>
          <w:color w:val="000000"/>
        </w:rPr>
        <w:footnoteReference w:id="96"/>
      </w:r>
      <w:r w:rsidR="00557E12" w:rsidRPr="003F0ED1">
        <w:rPr>
          <w:rFonts w:asciiTheme="majorHAnsi" w:hAnsiTheme="majorHAnsi" w:cstheme="majorHAnsi"/>
          <w:color w:val="000000"/>
        </w:rPr>
        <w:t xml:space="preserve"> </w:t>
      </w:r>
    </w:p>
    <w:p w14:paraId="02D912AC" w14:textId="77777777" w:rsidR="00557E12" w:rsidRPr="003F0ED1" w:rsidRDefault="00557E12" w:rsidP="00CF4594">
      <w:pPr>
        <w:pStyle w:val="BodyText"/>
        <w:numPr>
          <w:ilvl w:val="2"/>
          <w:numId w:val="55"/>
        </w:numPr>
        <w:tabs>
          <w:tab w:val="clear" w:pos="2268"/>
          <w:tab w:val="clear" w:pos="4536"/>
          <w:tab w:val="clear" w:pos="6804"/>
          <w:tab w:val="clear" w:pos="9638"/>
        </w:tabs>
        <w:spacing w:before="60" w:after="60"/>
        <w:ind w:left="357" w:hanging="357"/>
      </w:pPr>
      <w:r w:rsidRPr="003F0ED1">
        <w:t xml:space="preserve">when the contract was entered into and the duration of the contract; </w:t>
      </w:r>
    </w:p>
    <w:p w14:paraId="5CADF220" w14:textId="77777777" w:rsidR="00557E12" w:rsidRPr="003F0ED1" w:rsidRDefault="00557E12" w:rsidP="00CF4594">
      <w:pPr>
        <w:pStyle w:val="BodyText"/>
        <w:numPr>
          <w:ilvl w:val="2"/>
          <w:numId w:val="55"/>
        </w:numPr>
        <w:tabs>
          <w:tab w:val="clear" w:pos="2268"/>
          <w:tab w:val="clear" w:pos="4536"/>
          <w:tab w:val="clear" w:pos="6804"/>
          <w:tab w:val="clear" w:pos="9638"/>
        </w:tabs>
        <w:spacing w:before="60" w:after="60"/>
        <w:ind w:left="357" w:hanging="357"/>
      </w:pPr>
      <w:r w:rsidRPr="003F0ED1">
        <w:t xml:space="preserve">the pipeline or compressor facility that will be used to provide the service; </w:t>
      </w:r>
    </w:p>
    <w:p w14:paraId="182EA4D3" w14:textId="77777777" w:rsidR="00557E12" w:rsidRPr="003F0ED1" w:rsidRDefault="00557E12" w:rsidP="00CF4594">
      <w:pPr>
        <w:pStyle w:val="BodyText"/>
        <w:numPr>
          <w:ilvl w:val="2"/>
          <w:numId w:val="55"/>
        </w:numPr>
        <w:tabs>
          <w:tab w:val="clear" w:pos="2268"/>
          <w:tab w:val="clear" w:pos="4536"/>
          <w:tab w:val="clear" w:pos="6804"/>
          <w:tab w:val="clear" w:pos="9638"/>
        </w:tabs>
        <w:spacing w:before="60" w:after="60"/>
        <w:ind w:left="357" w:hanging="357"/>
      </w:pPr>
      <w:r w:rsidRPr="003F0ED1">
        <w:t xml:space="preserve">the type of service and the firmness and priority of that service; </w:t>
      </w:r>
    </w:p>
    <w:p w14:paraId="5075EC0C" w14:textId="77777777" w:rsidR="00557E12" w:rsidRPr="003F0ED1" w:rsidRDefault="00557E12" w:rsidP="00CF4594">
      <w:pPr>
        <w:pStyle w:val="BodyText"/>
        <w:numPr>
          <w:ilvl w:val="2"/>
          <w:numId w:val="55"/>
        </w:numPr>
        <w:tabs>
          <w:tab w:val="clear" w:pos="2268"/>
          <w:tab w:val="clear" w:pos="4536"/>
          <w:tab w:val="clear" w:pos="6804"/>
          <w:tab w:val="clear" w:pos="9638"/>
        </w:tabs>
        <w:spacing w:before="60" w:after="60"/>
        <w:ind w:left="357" w:hanging="357"/>
      </w:pPr>
      <w:r w:rsidRPr="003F0ED1">
        <w:t xml:space="preserve">the </w:t>
      </w:r>
      <w:r>
        <w:t xml:space="preserve">MDQ and MHQ </w:t>
      </w:r>
      <w:r w:rsidRPr="003F0ED1">
        <w:t xml:space="preserve">the shipper can nominate; </w:t>
      </w:r>
    </w:p>
    <w:p w14:paraId="56ED6771" w14:textId="77777777" w:rsidR="00557E12" w:rsidRPr="009E57F5" w:rsidRDefault="00557E12" w:rsidP="00CF4594">
      <w:pPr>
        <w:pStyle w:val="BodyText"/>
        <w:numPr>
          <w:ilvl w:val="2"/>
          <w:numId w:val="55"/>
        </w:numPr>
        <w:tabs>
          <w:tab w:val="clear" w:pos="2268"/>
          <w:tab w:val="clear" w:pos="4536"/>
          <w:tab w:val="clear" w:pos="6804"/>
          <w:tab w:val="clear" w:pos="9638"/>
        </w:tabs>
        <w:spacing w:before="60" w:after="60"/>
        <w:ind w:left="357" w:hanging="357"/>
      </w:pPr>
      <w:r w:rsidRPr="003F0ED1">
        <w:t xml:space="preserve">the direction of the service and the receipt and delivery points between which gas will be transported, aggregated to a level sufficient to protect the anonymity of </w:t>
      </w:r>
      <w:r>
        <w:t>parties</w:t>
      </w:r>
      <w:r w:rsidRPr="009E57F5">
        <w:t xml:space="preserve">; </w:t>
      </w:r>
    </w:p>
    <w:p w14:paraId="6CA64725" w14:textId="77777777" w:rsidR="00557E12" w:rsidRDefault="00557E12" w:rsidP="00CF4594">
      <w:pPr>
        <w:pStyle w:val="BodyText"/>
        <w:numPr>
          <w:ilvl w:val="2"/>
          <w:numId w:val="55"/>
        </w:numPr>
        <w:tabs>
          <w:tab w:val="clear" w:pos="2268"/>
          <w:tab w:val="clear" w:pos="4536"/>
          <w:tab w:val="clear" w:pos="6804"/>
          <w:tab w:val="clear" w:pos="9638"/>
        </w:tabs>
        <w:spacing w:before="60" w:after="60"/>
        <w:ind w:left="357" w:hanging="357"/>
      </w:pPr>
      <w:r w:rsidRPr="009E57F5">
        <w:t>any additional flexibility the shipper may have, or restrictions it may be subject to</w:t>
      </w:r>
      <w:r>
        <w:t>; and</w:t>
      </w:r>
    </w:p>
    <w:p w14:paraId="42044243" w14:textId="77777777" w:rsidR="00557E12" w:rsidRPr="009E57F5" w:rsidRDefault="00557E12" w:rsidP="00CF4594">
      <w:pPr>
        <w:pStyle w:val="BodyText"/>
        <w:numPr>
          <w:ilvl w:val="2"/>
          <w:numId w:val="55"/>
        </w:numPr>
        <w:tabs>
          <w:tab w:val="clear" w:pos="2268"/>
          <w:tab w:val="clear" w:pos="4536"/>
          <w:tab w:val="clear" w:pos="6804"/>
          <w:tab w:val="clear" w:pos="9638"/>
        </w:tabs>
        <w:spacing w:before="120"/>
        <w:ind w:left="357" w:hanging="357"/>
      </w:pPr>
      <w:proofErr w:type="gramStart"/>
      <w:r w:rsidRPr="009E57F5">
        <w:t>where</w:t>
      </w:r>
      <w:proofErr w:type="gramEnd"/>
      <w:r w:rsidRPr="009E57F5">
        <w:t xml:space="preserve"> relevant, any variations from standardised operational, prudential and other contractual terms that could affect the price.</w:t>
      </w:r>
    </w:p>
    <w:p w14:paraId="386EECDE" w14:textId="77777777" w:rsidR="00B1436A" w:rsidRDefault="00B1436A" w:rsidP="00B1436A">
      <w:pPr>
        <w:pStyle w:val="BodyText"/>
      </w:pPr>
      <w:r w:rsidRPr="009E57F5">
        <w:t>The AEMC also recommended that the GMRG consider whether any further measures are required to protect the anonymity of counterparties and, in doing so, to consider the relative benefits of information provision and anonymity.</w:t>
      </w:r>
      <w:r w:rsidRPr="009E57F5">
        <w:rPr>
          <w:rStyle w:val="FootnoteReference"/>
        </w:rPr>
        <w:footnoteReference w:id="97"/>
      </w:r>
    </w:p>
    <w:p w14:paraId="1281C30A" w14:textId="77777777" w:rsidR="00557E12" w:rsidRDefault="00B1436A" w:rsidP="00557E12">
      <w:pPr>
        <w:pStyle w:val="BodyText"/>
      </w:pPr>
      <w:r>
        <w:t>When this issue was discussed with t</w:t>
      </w:r>
      <w:r w:rsidR="00557E12">
        <w:t xml:space="preserve">he Standardisation project team, </w:t>
      </w:r>
      <w:r>
        <w:t xml:space="preserve">questions were raised about </w:t>
      </w:r>
      <w:r w:rsidR="00557E12">
        <w:t xml:space="preserve">the value of reporting the final two categories of information ((f) and (g)).  The team </w:t>
      </w:r>
      <w:r w:rsidR="004B2DA1">
        <w:t xml:space="preserve">were of the view that reporting this information </w:t>
      </w:r>
      <w:r>
        <w:t>would</w:t>
      </w:r>
      <w:r w:rsidR="00557E12">
        <w:t xml:space="preserve"> </w:t>
      </w:r>
      <w:r>
        <w:t xml:space="preserve">give rise to </w:t>
      </w:r>
      <w:r w:rsidR="00557E12">
        <w:t xml:space="preserve">additional costs </w:t>
      </w:r>
      <w:r>
        <w:t xml:space="preserve">for little </w:t>
      </w:r>
      <w:r w:rsidR="00557E12">
        <w:t xml:space="preserve">value </w:t>
      </w:r>
      <w:r>
        <w:t xml:space="preserve">and noted </w:t>
      </w:r>
      <w:r w:rsidR="00557E12">
        <w:t>that it would be difficult to comply with this requirement in a consistent manner.</w:t>
      </w:r>
      <w:r>
        <w:t xml:space="preserve"> The </w:t>
      </w:r>
      <w:r w:rsidR="004B2DA1">
        <w:t xml:space="preserve">project </w:t>
      </w:r>
      <w:r w:rsidR="00557E12">
        <w:t>team</w:t>
      </w:r>
      <w:r>
        <w:t xml:space="preserve"> did, however, note</w:t>
      </w:r>
      <w:r w:rsidR="00557E12">
        <w:t xml:space="preserve"> that information on the type of trade and how it has been given effect could provide market participants with some indication of whether or not there may be other bespoke contract terms that may have </w:t>
      </w:r>
      <w:r w:rsidR="00557E12">
        <w:lastRenderedPageBreak/>
        <w:t xml:space="preserve">affected the price struck in that trade. For example, if a bilateral trade is identified as involving a bare transfer and the price is higher than equivalent exchange trades, this could </w:t>
      </w:r>
      <w:r w:rsidR="004B2DA1">
        <w:t xml:space="preserve">indicate that </w:t>
      </w:r>
      <w:r w:rsidR="00557E12">
        <w:t xml:space="preserve">the buyer has greater flexibility and/or the operational, prudential and other terms </w:t>
      </w:r>
      <w:r w:rsidR="004B2DA1">
        <w:t xml:space="preserve">associated with the trade </w:t>
      </w:r>
      <w:r w:rsidR="00557E12">
        <w:t>are more favourable than those in the standardised operational GTA.</w:t>
      </w:r>
    </w:p>
    <w:p w14:paraId="17240790" w14:textId="77777777" w:rsidR="00B1436A" w:rsidRDefault="00B1436A" w:rsidP="00B1436A">
      <w:pPr>
        <w:pStyle w:val="BodyText"/>
        <w:spacing w:after="240"/>
      </w:pPr>
      <w:r>
        <w:t xml:space="preserve">As to whether any additional measures are required to protect anonymity, the project team noted that while reporting trades on a zonal basis rather than a point-to-point basis would provide some protection, it would be difficult to completely protect the anonymity of parties (particularly if there are only two shippers using a pipeline or zone). The project team did, however, acknowledge that the AEMC did not recommend that anonymity should be protected at all costs. Rather, the AEMC recognised that there is a trade-off between the benefits of information provision and the potential concerns surrounding the revelation of commercial-in-confidence information that must be balanced. It was against this backdrop that the </w:t>
      </w:r>
      <w:r w:rsidRPr="008A496D">
        <w:t xml:space="preserve">project team concluded no additional confidentiality measures were required. </w:t>
      </w:r>
    </w:p>
    <w:p w14:paraId="5C42EA3D" w14:textId="77777777" w:rsidR="00B1436A" w:rsidRPr="006825BA" w:rsidRDefault="00DD15FF" w:rsidP="00B1436A">
      <w:pPr>
        <w:pStyle w:val="BodyText"/>
        <w:spacing w:after="240"/>
        <w:rPr>
          <w:b/>
          <w:color w:val="0099CC"/>
        </w:rPr>
      </w:pPr>
      <w:r>
        <w:rPr>
          <w:b/>
          <w:color w:val="0099CC"/>
        </w:rPr>
        <w:t>GMRG’s preliminary view</w:t>
      </w:r>
    </w:p>
    <w:p w14:paraId="0E211894" w14:textId="77777777" w:rsidR="004B2DA1" w:rsidRDefault="00B1436A" w:rsidP="00557E12">
      <w:pPr>
        <w:pStyle w:val="BodyText"/>
      </w:pPr>
      <w:r>
        <w:t>In the consultation paper, the GMRG agreed with the view</w:t>
      </w:r>
      <w:r w:rsidR="004B2DA1">
        <w:t>s</w:t>
      </w:r>
      <w:r>
        <w:t xml:space="preserve"> expressed by the project team</w:t>
      </w:r>
      <w:r w:rsidR="004B2DA1">
        <w:t>, including that:</w:t>
      </w:r>
    </w:p>
    <w:p w14:paraId="26B8A741" w14:textId="77777777" w:rsidR="004B2DA1" w:rsidRDefault="00B1436A" w:rsidP="004B2DA1">
      <w:pPr>
        <w:pStyle w:val="ListBullet"/>
      </w:pPr>
      <w:r>
        <w:t>the information to be reported should be limited to the i</w:t>
      </w:r>
      <w:r w:rsidR="00B06BCF">
        <w:t>tems listed in (a)-(e) above</w:t>
      </w:r>
      <w:r w:rsidR="004B2DA1">
        <w:t>; and</w:t>
      </w:r>
    </w:p>
    <w:p w14:paraId="14F53904" w14:textId="77777777" w:rsidR="00B1436A" w:rsidRDefault="00B06BCF" w:rsidP="004B2DA1">
      <w:pPr>
        <w:pStyle w:val="ListBullet"/>
      </w:pPr>
      <w:proofErr w:type="gramStart"/>
      <w:r>
        <w:t>apart</w:t>
      </w:r>
      <w:proofErr w:type="gramEnd"/>
      <w:r>
        <w:t xml:space="preserve"> from reporting trades on a zonal basis, no further measures were required to protect the anonymity of trading parties. </w:t>
      </w:r>
    </w:p>
    <w:p w14:paraId="1E98FE1C" w14:textId="77777777" w:rsidR="00557E12" w:rsidRPr="006825BA" w:rsidRDefault="00557E12" w:rsidP="00557E12">
      <w:pPr>
        <w:pStyle w:val="BodyText"/>
        <w:keepNext/>
        <w:rPr>
          <w:b/>
          <w:color w:val="0099CC"/>
        </w:rPr>
      </w:pPr>
      <w:r>
        <w:rPr>
          <w:b/>
          <w:color w:val="0099CC"/>
        </w:rPr>
        <w:t>Feedback provided through the consultation process</w:t>
      </w:r>
    </w:p>
    <w:p w14:paraId="6E593FBA" w14:textId="77777777" w:rsidR="00557E12" w:rsidRDefault="00557E12" w:rsidP="00557E12">
      <w:pPr>
        <w:pStyle w:val="BodyText"/>
      </w:pPr>
      <w:r>
        <w:t xml:space="preserve">The majority of </w:t>
      </w:r>
      <w:r w:rsidR="00B1436A">
        <w:t xml:space="preserve">stakeholders </w:t>
      </w:r>
      <w:r>
        <w:t xml:space="preserve">supported </w:t>
      </w:r>
      <w:r w:rsidR="004B2DA1">
        <w:t>requiring</w:t>
      </w:r>
      <w:r w:rsidR="00B1436A">
        <w:t xml:space="preserve"> the information listed in (a)-(e) to be reported</w:t>
      </w:r>
      <w:r w:rsidR="00B06BCF">
        <w:t>, with some stakeholders noting it would be difficult to report the information in (f) and (g) on a consistent and meaningful basis and that the value of its disclosure was unclear</w:t>
      </w:r>
      <w:r w:rsidR="004014D1">
        <w:t xml:space="preserve">. </w:t>
      </w:r>
      <w:r w:rsidR="00B1436A">
        <w:t>AEMO</w:t>
      </w:r>
      <w:r w:rsidR="00B06BCF">
        <w:t xml:space="preserve"> and APLNG, on the other hand, thought this information should be reported. </w:t>
      </w:r>
      <w:r>
        <w:t xml:space="preserve">As an alternative, AEMO </w:t>
      </w:r>
      <w:r w:rsidR="00B06BCF">
        <w:t>suggested</w:t>
      </w:r>
      <w:r w:rsidRPr="000D3215">
        <w:t xml:space="preserve"> that </w:t>
      </w:r>
      <w:r w:rsidR="00B06BCF">
        <w:t xml:space="preserve">a </w:t>
      </w:r>
      <w:r w:rsidRPr="000D3215">
        <w:t xml:space="preserve">standard list of terms be developed and that where a trade deviates from these terms by a material amount it is flagged in the trade reporting. </w:t>
      </w:r>
      <w:r w:rsidR="00077520">
        <w:t xml:space="preserve">AEMO noted that this </w:t>
      </w:r>
      <w:r w:rsidRPr="000D3215">
        <w:t>would at least enable users of the data to understand whether a bilateral trade is standard or non-standard without necessarily revealing the minutiae of every term.</w:t>
      </w:r>
    </w:p>
    <w:p w14:paraId="70EEAE51" w14:textId="77777777" w:rsidR="00557E12" w:rsidRDefault="00557E12" w:rsidP="00557E12">
      <w:pPr>
        <w:pStyle w:val="BodyText"/>
      </w:pPr>
      <w:r>
        <w:t xml:space="preserve">ERM </w:t>
      </w:r>
      <w:r w:rsidR="00077520">
        <w:t xml:space="preserve">raised some concerns in its submission about the potential for the identities of </w:t>
      </w:r>
      <w:r w:rsidRPr="00A15C05">
        <w:t>shipper</w:t>
      </w:r>
      <w:r w:rsidR="00077520">
        <w:t>s to be deduced from volume and zonal information</w:t>
      </w:r>
      <w:r w:rsidRPr="00A15C05">
        <w:t xml:space="preserve">, given the small number of players in the market.  </w:t>
      </w:r>
      <w:r w:rsidR="00AF4CA7">
        <w:t xml:space="preserve">AGL </w:t>
      </w:r>
      <w:r w:rsidR="004B2DA1">
        <w:t xml:space="preserve">indicated that </w:t>
      </w:r>
      <w:r w:rsidR="00AF4CA7">
        <w:t>the use of zones would provide shippers with some anonymity</w:t>
      </w:r>
      <w:r w:rsidR="00B06BCF">
        <w:t>,</w:t>
      </w:r>
      <w:r w:rsidR="00AF4CA7">
        <w:t xml:space="preserve"> but noted that the reporting framework should not “inadvertently give away the future position of gas powered generators”. </w:t>
      </w:r>
      <w:proofErr w:type="spellStart"/>
      <w:r w:rsidR="00AF4CA7">
        <w:t>Alinta</w:t>
      </w:r>
      <w:proofErr w:type="spellEnd"/>
      <w:r w:rsidR="00AF4CA7">
        <w:t xml:space="preserve"> also thought the use of zones would provide shippers with some anonymity</w:t>
      </w:r>
      <w:r w:rsidR="00B06BCF">
        <w:t>,</w:t>
      </w:r>
      <w:r w:rsidR="00AF4CA7">
        <w:t xml:space="preserve"> but noted the potential for the identity of parties to be revealed on single shipper pipelines. It therefore suggested that single </w:t>
      </w:r>
      <w:r w:rsidR="004B2DA1">
        <w:t>shipper</w:t>
      </w:r>
      <w:r w:rsidR="00AF4CA7">
        <w:t xml:space="preserve"> pipelines be aggregated with other pipelines and reported on a zonal basis.</w:t>
      </w:r>
      <w:r w:rsidR="00B06BCF">
        <w:t xml:space="preserve"> Origin </w:t>
      </w:r>
      <w:r w:rsidR="004B2DA1">
        <w:t>indicated</w:t>
      </w:r>
      <w:r w:rsidR="00B06BCF">
        <w:t xml:space="preserve"> that additional measures may be required to protect the anonymity of parties in bilateral trades and noted the potential for some information to undermine a shipper’s position in a related market, such as electricity.</w:t>
      </w:r>
    </w:p>
    <w:p w14:paraId="0FA23B10" w14:textId="77777777" w:rsidR="00557E12" w:rsidRDefault="00557E12" w:rsidP="00557E12">
      <w:pPr>
        <w:pStyle w:val="BodyText"/>
        <w:keepNext/>
        <w:rPr>
          <w:b/>
          <w:color w:val="0099CC"/>
        </w:rPr>
      </w:pPr>
      <w:r>
        <w:rPr>
          <w:b/>
          <w:color w:val="0099CC"/>
        </w:rPr>
        <w:lastRenderedPageBreak/>
        <w:t xml:space="preserve">GMRG’s final recommendations </w:t>
      </w:r>
    </w:p>
    <w:p w14:paraId="5DC07C00" w14:textId="77777777" w:rsidR="00596401" w:rsidRDefault="00077520" w:rsidP="00596401">
      <w:pPr>
        <w:pStyle w:val="BodyText"/>
      </w:pPr>
      <w:r>
        <w:fldChar w:fldCharType="begin"/>
      </w:r>
      <w:r>
        <w:instrText xml:space="preserve"> REF _Ref498005125 \h </w:instrText>
      </w:r>
      <w:r>
        <w:fldChar w:fldCharType="separate"/>
      </w:r>
      <w:r w:rsidR="00761861">
        <w:t xml:space="preserve">Table </w:t>
      </w:r>
      <w:r w:rsidR="00761861">
        <w:rPr>
          <w:noProof/>
        </w:rPr>
        <w:t>12</w:t>
      </w:r>
      <w:r w:rsidR="00761861">
        <w:t>.</w:t>
      </w:r>
      <w:r w:rsidR="00761861">
        <w:rPr>
          <w:noProof/>
        </w:rPr>
        <w:t>1</w:t>
      </w:r>
      <w:r>
        <w:fldChar w:fldCharType="end"/>
      </w:r>
      <w:r>
        <w:t xml:space="preserve"> sets out</w:t>
      </w:r>
      <w:r w:rsidR="00557E12">
        <w:t xml:space="preserve"> </w:t>
      </w:r>
      <w:r>
        <w:t>the GM</w:t>
      </w:r>
      <w:r w:rsidR="00005627">
        <w:t>R</w:t>
      </w:r>
      <w:r>
        <w:t xml:space="preserve">G’s final </w:t>
      </w:r>
      <w:r w:rsidR="00557E12">
        <w:t xml:space="preserve">recommendations </w:t>
      </w:r>
      <w:r>
        <w:t xml:space="preserve">on </w:t>
      </w:r>
      <w:r w:rsidR="00557E12">
        <w:t>the information to be reported for exchanged related products and bilateral trades</w:t>
      </w:r>
      <w:r w:rsidR="00596401">
        <w:t xml:space="preserve">, which in the GMRG’s view </w:t>
      </w:r>
      <w:r w:rsidR="00596401" w:rsidRPr="008A496D">
        <w:t>strike</w:t>
      </w:r>
      <w:r w:rsidR="00596401">
        <w:t>s</w:t>
      </w:r>
      <w:r w:rsidR="00596401" w:rsidRPr="008A496D">
        <w:t xml:space="preserve"> the right balance between</w:t>
      </w:r>
      <w:r w:rsidR="00596401">
        <w:t>:</w:t>
      </w:r>
      <w:r w:rsidR="00596401" w:rsidRPr="008A496D">
        <w:t xml:space="preserve"> </w:t>
      </w:r>
    </w:p>
    <w:p w14:paraId="3C61E5C4" w14:textId="77777777" w:rsidR="00596401" w:rsidRDefault="00596401" w:rsidP="00CF4594">
      <w:pPr>
        <w:pStyle w:val="ListBullet"/>
        <w:numPr>
          <w:ilvl w:val="0"/>
          <w:numId w:val="59"/>
        </w:numPr>
      </w:pPr>
      <w:r>
        <w:t>providing the market with sufficient information to understand the value of capacity and to make informed decisions about the allocation and use of capacity;</w:t>
      </w:r>
      <w:r w:rsidRPr="008A496D">
        <w:t xml:space="preserve"> and </w:t>
      </w:r>
    </w:p>
    <w:p w14:paraId="12B85AE9" w14:textId="77777777" w:rsidR="00557E12" w:rsidRDefault="00596401" w:rsidP="00CF4594">
      <w:pPr>
        <w:pStyle w:val="ListBullet"/>
        <w:numPr>
          <w:ilvl w:val="0"/>
          <w:numId w:val="59"/>
        </w:numPr>
      </w:pPr>
      <w:proofErr w:type="gramStart"/>
      <w:r w:rsidRPr="008A496D">
        <w:t>the</w:t>
      </w:r>
      <w:proofErr w:type="gramEnd"/>
      <w:r w:rsidRPr="008A496D">
        <w:t xml:space="preserve"> direct and indirect costs associated with information provision</w:t>
      </w:r>
      <w:r>
        <w:t>.</w:t>
      </w:r>
    </w:p>
    <w:p w14:paraId="458453CB" w14:textId="77777777" w:rsidR="00557E12" w:rsidRDefault="00557E12" w:rsidP="00557E12">
      <w:pPr>
        <w:pStyle w:val="Caption"/>
        <w:spacing w:before="120" w:after="0"/>
      </w:pPr>
      <w:bookmarkStart w:id="199" w:name="_Ref498005125"/>
      <w:r>
        <w:t xml:space="preserve">Table </w:t>
      </w:r>
      <w:r w:rsidR="00983431">
        <w:fldChar w:fldCharType="begin"/>
      </w:r>
      <w:r w:rsidR="00983431">
        <w:instrText xml:space="preserve"> STYLEREF 1 \s </w:instrText>
      </w:r>
      <w:r w:rsidR="00983431">
        <w:fldChar w:fldCharType="separate"/>
      </w:r>
      <w:r w:rsidR="00761861">
        <w:rPr>
          <w:noProof/>
        </w:rPr>
        <w:t>12</w:t>
      </w:r>
      <w:r w:rsidR="00983431">
        <w:rPr>
          <w:noProof/>
        </w:rPr>
        <w:fldChar w:fldCharType="end"/>
      </w:r>
      <w:r w:rsidR="00901056">
        <w:t>.</w:t>
      </w:r>
      <w:r w:rsidR="00983431">
        <w:fldChar w:fldCharType="begin"/>
      </w:r>
      <w:r w:rsidR="00983431">
        <w:instrText xml:space="preserve"> SEQ Table \* ARABIC \s 1 </w:instrText>
      </w:r>
      <w:r w:rsidR="00983431">
        <w:fldChar w:fldCharType="separate"/>
      </w:r>
      <w:r w:rsidR="00761861">
        <w:rPr>
          <w:noProof/>
        </w:rPr>
        <w:t>1</w:t>
      </w:r>
      <w:r w:rsidR="00983431">
        <w:rPr>
          <w:noProof/>
        </w:rPr>
        <w:fldChar w:fldCharType="end"/>
      </w:r>
      <w:bookmarkEnd w:id="199"/>
      <w:r>
        <w:t xml:space="preserve">: </w:t>
      </w:r>
      <w:r w:rsidR="00077520">
        <w:t xml:space="preserve">Final recommendations on </w:t>
      </w:r>
      <w:r>
        <w:t>information to be reported</w:t>
      </w:r>
    </w:p>
    <w:tbl>
      <w:tblPr>
        <w:tblStyle w:val="TableGrid"/>
        <w:tblW w:w="8931" w:type="dxa"/>
        <w:tblLook w:val="04A0" w:firstRow="1" w:lastRow="0" w:firstColumn="1" w:lastColumn="0" w:noHBand="0" w:noVBand="1"/>
        <w:tblCaption w:val="Table 12.1"/>
        <w:tblDescription w:val="Final recommendations on information to be reported"/>
      </w:tblPr>
      <w:tblGrid>
        <w:gridCol w:w="3686"/>
        <w:gridCol w:w="3118"/>
        <w:gridCol w:w="2127"/>
      </w:tblGrid>
      <w:tr w:rsidR="00557E12" w:rsidRPr="006C7061" w14:paraId="5DBF7596" w14:textId="77777777" w:rsidTr="009A1E7D">
        <w:trPr>
          <w:cnfStyle w:val="100000000000" w:firstRow="1" w:lastRow="0" w:firstColumn="0" w:lastColumn="0" w:oddVBand="0" w:evenVBand="0" w:oddHBand="0" w:evenHBand="0" w:firstRowFirstColumn="0" w:firstRowLastColumn="0" w:lastRowFirstColumn="0" w:lastRowLastColumn="0"/>
          <w:tblHeader/>
        </w:trPr>
        <w:tc>
          <w:tcPr>
            <w:tcW w:w="3686" w:type="dxa"/>
            <w:shd w:val="clear" w:color="auto" w:fill="0099CC"/>
            <w:vAlign w:val="bottom"/>
          </w:tcPr>
          <w:p w14:paraId="008F609A" w14:textId="77777777" w:rsidR="00557E12" w:rsidRPr="006C7061" w:rsidRDefault="00557E12" w:rsidP="00557E12">
            <w:pPr>
              <w:pStyle w:val="BodyText"/>
              <w:keepNext/>
              <w:spacing w:before="40" w:after="0" w:line="240" w:lineRule="auto"/>
              <w:rPr>
                <w:sz w:val="17"/>
                <w:szCs w:val="17"/>
              </w:rPr>
            </w:pPr>
            <w:r w:rsidRPr="006C7061">
              <w:rPr>
                <w:sz w:val="17"/>
                <w:szCs w:val="17"/>
              </w:rPr>
              <w:t>Information</w:t>
            </w:r>
          </w:p>
        </w:tc>
        <w:tc>
          <w:tcPr>
            <w:tcW w:w="3118" w:type="dxa"/>
            <w:shd w:val="clear" w:color="auto" w:fill="0099CC"/>
            <w:vAlign w:val="bottom"/>
          </w:tcPr>
          <w:p w14:paraId="17799CDC" w14:textId="77777777" w:rsidR="00557E12" w:rsidRPr="006C7061" w:rsidRDefault="00557E12" w:rsidP="00557E12">
            <w:pPr>
              <w:pStyle w:val="BodyText"/>
              <w:keepNext/>
              <w:spacing w:before="40" w:after="0" w:line="240" w:lineRule="auto"/>
              <w:jc w:val="center"/>
              <w:rPr>
                <w:sz w:val="17"/>
                <w:szCs w:val="17"/>
              </w:rPr>
            </w:pPr>
            <w:r w:rsidRPr="006C7061">
              <w:rPr>
                <w:sz w:val="17"/>
                <w:szCs w:val="17"/>
              </w:rPr>
              <w:t>Exchange traded products</w:t>
            </w:r>
          </w:p>
        </w:tc>
        <w:tc>
          <w:tcPr>
            <w:tcW w:w="2127" w:type="dxa"/>
            <w:shd w:val="clear" w:color="auto" w:fill="0099CC"/>
            <w:vAlign w:val="bottom"/>
          </w:tcPr>
          <w:p w14:paraId="2F835E25" w14:textId="77777777" w:rsidR="00557E12" w:rsidRPr="006C7061" w:rsidRDefault="00557E12" w:rsidP="00557E12">
            <w:pPr>
              <w:pStyle w:val="BodyText"/>
              <w:keepNext/>
              <w:spacing w:before="40" w:after="0" w:line="240" w:lineRule="auto"/>
              <w:jc w:val="center"/>
              <w:rPr>
                <w:sz w:val="17"/>
                <w:szCs w:val="17"/>
              </w:rPr>
            </w:pPr>
            <w:r w:rsidRPr="006C7061">
              <w:rPr>
                <w:sz w:val="17"/>
                <w:szCs w:val="17"/>
              </w:rPr>
              <w:t>Bilateral trades</w:t>
            </w:r>
          </w:p>
        </w:tc>
      </w:tr>
      <w:tr w:rsidR="00557E12" w:rsidRPr="006C7061" w14:paraId="3FFEA42D" w14:textId="77777777" w:rsidTr="00557E12">
        <w:tc>
          <w:tcPr>
            <w:tcW w:w="3686" w:type="dxa"/>
            <w:vAlign w:val="center"/>
          </w:tcPr>
          <w:p w14:paraId="150EF045" w14:textId="77777777" w:rsidR="00557E12" w:rsidRPr="006C7061" w:rsidRDefault="00557E12" w:rsidP="00557E12">
            <w:pPr>
              <w:pStyle w:val="BodyText"/>
              <w:keepNext/>
              <w:spacing w:before="40" w:after="40" w:line="240" w:lineRule="auto"/>
              <w:rPr>
                <w:sz w:val="17"/>
                <w:szCs w:val="17"/>
              </w:rPr>
            </w:pPr>
            <w:r w:rsidRPr="006C7061">
              <w:rPr>
                <w:sz w:val="17"/>
                <w:szCs w:val="17"/>
              </w:rPr>
              <w:t>Date of trade and duration of contract</w:t>
            </w:r>
          </w:p>
        </w:tc>
        <w:tc>
          <w:tcPr>
            <w:tcW w:w="3118" w:type="dxa"/>
            <w:vAlign w:val="center"/>
          </w:tcPr>
          <w:p w14:paraId="79245118" w14:textId="77777777" w:rsidR="00557E12" w:rsidRPr="006C7061" w:rsidRDefault="00557E12" w:rsidP="00557E12">
            <w:pPr>
              <w:pStyle w:val="BodyText"/>
              <w:keepNext/>
              <w:spacing w:before="40" w:after="40" w:line="240" w:lineRule="auto"/>
              <w:jc w:val="center"/>
              <w:rPr>
                <w:sz w:val="17"/>
                <w:szCs w:val="17"/>
              </w:rPr>
            </w:pPr>
            <w:r w:rsidRPr="006C7061">
              <w:rPr>
                <w:sz w:val="17"/>
                <w:szCs w:val="17"/>
              </w:rPr>
              <w:sym w:font="Wingdings" w:char="F0FC"/>
            </w:r>
          </w:p>
        </w:tc>
        <w:tc>
          <w:tcPr>
            <w:tcW w:w="2127" w:type="dxa"/>
            <w:vAlign w:val="center"/>
          </w:tcPr>
          <w:p w14:paraId="0147F13F" w14:textId="77777777" w:rsidR="00557E12" w:rsidRPr="006C7061" w:rsidRDefault="00557E12" w:rsidP="00557E12">
            <w:pPr>
              <w:pStyle w:val="BodyText"/>
              <w:keepNext/>
              <w:spacing w:before="40" w:after="40" w:line="240" w:lineRule="auto"/>
              <w:jc w:val="center"/>
              <w:rPr>
                <w:sz w:val="17"/>
                <w:szCs w:val="17"/>
              </w:rPr>
            </w:pPr>
            <w:r w:rsidRPr="006C7061">
              <w:rPr>
                <w:sz w:val="17"/>
                <w:szCs w:val="17"/>
              </w:rPr>
              <w:sym w:font="Wingdings" w:char="F0FC"/>
            </w:r>
          </w:p>
        </w:tc>
      </w:tr>
      <w:tr w:rsidR="00557E12" w:rsidRPr="006C7061" w14:paraId="4440BF07" w14:textId="77777777" w:rsidTr="00557E12">
        <w:trPr>
          <w:cnfStyle w:val="000000010000" w:firstRow="0" w:lastRow="0" w:firstColumn="0" w:lastColumn="0" w:oddVBand="0" w:evenVBand="0" w:oddHBand="0" w:evenHBand="1" w:firstRowFirstColumn="0" w:firstRowLastColumn="0" w:lastRowFirstColumn="0" w:lastRowLastColumn="0"/>
        </w:trPr>
        <w:tc>
          <w:tcPr>
            <w:tcW w:w="3686" w:type="dxa"/>
            <w:vAlign w:val="center"/>
          </w:tcPr>
          <w:p w14:paraId="26ED2539" w14:textId="77777777" w:rsidR="00557E12" w:rsidRPr="006C7061" w:rsidRDefault="00557E12" w:rsidP="00557E12">
            <w:pPr>
              <w:pStyle w:val="BodyText"/>
              <w:keepNext/>
              <w:spacing w:before="40" w:after="40" w:line="240" w:lineRule="auto"/>
              <w:rPr>
                <w:sz w:val="17"/>
                <w:szCs w:val="17"/>
              </w:rPr>
            </w:pPr>
            <w:r w:rsidRPr="006C7061">
              <w:rPr>
                <w:sz w:val="17"/>
                <w:szCs w:val="17"/>
              </w:rPr>
              <w:t xml:space="preserve">Pipeline or compression facility </w:t>
            </w:r>
          </w:p>
        </w:tc>
        <w:tc>
          <w:tcPr>
            <w:tcW w:w="3118" w:type="dxa"/>
            <w:vAlign w:val="center"/>
          </w:tcPr>
          <w:p w14:paraId="72B9B699" w14:textId="77777777" w:rsidR="00557E12" w:rsidRPr="006C7061" w:rsidRDefault="00557E12" w:rsidP="00557E12">
            <w:pPr>
              <w:pStyle w:val="BodyText"/>
              <w:keepNext/>
              <w:spacing w:before="40" w:after="40" w:line="240" w:lineRule="auto"/>
              <w:jc w:val="center"/>
              <w:rPr>
                <w:sz w:val="17"/>
                <w:szCs w:val="17"/>
              </w:rPr>
            </w:pPr>
            <w:r w:rsidRPr="006C7061">
              <w:rPr>
                <w:sz w:val="17"/>
                <w:szCs w:val="17"/>
              </w:rPr>
              <w:sym w:font="Wingdings" w:char="F0FC"/>
            </w:r>
          </w:p>
        </w:tc>
        <w:tc>
          <w:tcPr>
            <w:tcW w:w="2127" w:type="dxa"/>
            <w:vAlign w:val="center"/>
          </w:tcPr>
          <w:p w14:paraId="599F02F1" w14:textId="77777777" w:rsidR="00557E12" w:rsidRPr="006C7061" w:rsidRDefault="00557E12" w:rsidP="00557E12">
            <w:pPr>
              <w:pStyle w:val="BodyText"/>
              <w:keepNext/>
              <w:spacing w:before="40" w:after="40" w:line="240" w:lineRule="auto"/>
              <w:jc w:val="center"/>
              <w:rPr>
                <w:sz w:val="17"/>
                <w:szCs w:val="17"/>
              </w:rPr>
            </w:pPr>
            <w:r w:rsidRPr="006C7061">
              <w:rPr>
                <w:sz w:val="17"/>
                <w:szCs w:val="17"/>
              </w:rPr>
              <w:sym w:font="Wingdings" w:char="F0FC"/>
            </w:r>
          </w:p>
        </w:tc>
      </w:tr>
      <w:tr w:rsidR="00557E12" w:rsidRPr="006C7061" w14:paraId="555D917F" w14:textId="77777777" w:rsidTr="00557E12">
        <w:tc>
          <w:tcPr>
            <w:tcW w:w="3686" w:type="dxa"/>
            <w:vAlign w:val="center"/>
          </w:tcPr>
          <w:p w14:paraId="02ED4377" w14:textId="77777777" w:rsidR="00557E12" w:rsidRPr="006C7061" w:rsidRDefault="00557E12" w:rsidP="00557E12">
            <w:pPr>
              <w:pStyle w:val="BodyText"/>
              <w:keepNext/>
              <w:spacing w:before="40" w:after="40" w:line="240" w:lineRule="auto"/>
              <w:rPr>
                <w:sz w:val="17"/>
                <w:szCs w:val="17"/>
              </w:rPr>
            </w:pPr>
            <w:r w:rsidRPr="006C7061">
              <w:rPr>
                <w:sz w:val="17"/>
                <w:szCs w:val="17"/>
              </w:rPr>
              <w:t xml:space="preserve">Service type (i.e. forward haul, backhaul, park and loan, compression), firmness, service priority </w:t>
            </w:r>
          </w:p>
        </w:tc>
        <w:tc>
          <w:tcPr>
            <w:tcW w:w="3118" w:type="dxa"/>
            <w:vAlign w:val="center"/>
          </w:tcPr>
          <w:p w14:paraId="6341F07D" w14:textId="77777777" w:rsidR="00557E12" w:rsidRPr="006C7061" w:rsidRDefault="00557E12" w:rsidP="00557E12">
            <w:pPr>
              <w:pStyle w:val="BodyText"/>
              <w:keepNext/>
              <w:spacing w:before="40" w:after="40" w:line="240" w:lineRule="auto"/>
              <w:jc w:val="center"/>
              <w:rPr>
                <w:sz w:val="17"/>
                <w:szCs w:val="17"/>
              </w:rPr>
            </w:pPr>
            <w:r w:rsidRPr="006C7061">
              <w:rPr>
                <w:sz w:val="17"/>
                <w:szCs w:val="17"/>
              </w:rPr>
              <w:sym w:font="Wingdings" w:char="F0FC"/>
            </w:r>
          </w:p>
        </w:tc>
        <w:tc>
          <w:tcPr>
            <w:tcW w:w="2127" w:type="dxa"/>
            <w:vAlign w:val="center"/>
          </w:tcPr>
          <w:p w14:paraId="73B3D775" w14:textId="77777777" w:rsidR="00557E12" w:rsidRPr="006C7061" w:rsidRDefault="00557E12" w:rsidP="00557E12">
            <w:pPr>
              <w:pStyle w:val="BodyText"/>
              <w:keepNext/>
              <w:spacing w:before="40" w:after="40" w:line="240" w:lineRule="auto"/>
              <w:jc w:val="center"/>
              <w:rPr>
                <w:sz w:val="17"/>
                <w:szCs w:val="17"/>
              </w:rPr>
            </w:pPr>
            <w:r w:rsidRPr="006C7061">
              <w:rPr>
                <w:sz w:val="17"/>
                <w:szCs w:val="17"/>
              </w:rPr>
              <w:sym w:font="Wingdings" w:char="F0FC"/>
            </w:r>
          </w:p>
        </w:tc>
      </w:tr>
      <w:tr w:rsidR="00557E12" w:rsidRPr="006C7061" w14:paraId="7D186569" w14:textId="77777777" w:rsidTr="00557E12">
        <w:trPr>
          <w:cnfStyle w:val="000000010000" w:firstRow="0" w:lastRow="0" w:firstColumn="0" w:lastColumn="0" w:oddVBand="0" w:evenVBand="0" w:oddHBand="0" w:evenHBand="1" w:firstRowFirstColumn="0" w:firstRowLastColumn="0" w:lastRowFirstColumn="0" w:lastRowLastColumn="0"/>
        </w:trPr>
        <w:tc>
          <w:tcPr>
            <w:tcW w:w="3686" w:type="dxa"/>
            <w:vAlign w:val="center"/>
          </w:tcPr>
          <w:p w14:paraId="01A3A7DB" w14:textId="77777777" w:rsidR="00557E12" w:rsidRPr="006C7061" w:rsidRDefault="00557E12" w:rsidP="00557E12">
            <w:pPr>
              <w:pStyle w:val="BodyText"/>
              <w:keepNext/>
              <w:spacing w:before="40" w:after="40" w:line="240" w:lineRule="auto"/>
              <w:rPr>
                <w:sz w:val="17"/>
                <w:szCs w:val="17"/>
              </w:rPr>
            </w:pPr>
            <w:r w:rsidRPr="006C7061">
              <w:rPr>
                <w:sz w:val="17"/>
                <w:szCs w:val="17"/>
              </w:rPr>
              <w:t>Direction of service and zones between which gas is transported</w:t>
            </w:r>
          </w:p>
        </w:tc>
        <w:tc>
          <w:tcPr>
            <w:tcW w:w="3118" w:type="dxa"/>
            <w:vAlign w:val="center"/>
          </w:tcPr>
          <w:p w14:paraId="7E6B338D" w14:textId="77777777" w:rsidR="00557E12" w:rsidRPr="006C7061" w:rsidRDefault="00557E12" w:rsidP="00557E12">
            <w:pPr>
              <w:pStyle w:val="BodyText"/>
              <w:keepNext/>
              <w:spacing w:before="40" w:after="40" w:line="240" w:lineRule="auto"/>
              <w:jc w:val="center"/>
              <w:rPr>
                <w:sz w:val="17"/>
                <w:szCs w:val="17"/>
              </w:rPr>
            </w:pPr>
            <w:r w:rsidRPr="006C7061">
              <w:rPr>
                <w:sz w:val="17"/>
                <w:szCs w:val="17"/>
              </w:rPr>
              <w:sym w:font="Wingdings" w:char="F0FC"/>
            </w:r>
            <w:r w:rsidRPr="006C7061">
              <w:rPr>
                <w:sz w:val="17"/>
                <w:szCs w:val="17"/>
              </w:rPr>
              <w:br/>
              <w:t xml:space="preserve">Pipeline zones to be used for reporting </w:t>
            </w:r>
          </w:p>
        </w:tc>
        <w:tc>
          <w:tcPr>
            <w:tcW w:w="2127" w:type="dxa"/>
            <w:vAlign w:val="center"/>
          </w:tcPr>
          <w:p w14:paraId="71A5B4DD" w14:textId="77777777" w:rsidR="00557E12" w:rsidRPr="006C7061" w:rsidRDefault="00557E12" w:rsidP="00557E12">
            <w:pPr>
              <w:pStyle w:val="BodyText"/>
              <w:keepNext/>
              <w:spacing w:before="40" w:after="40" w:line="240" w:lineRule="auto"/>
              <w:jc w:val="center"/>
              <w:rPr>
                <w:sz w:val="17"/>
                <w:szCs w:val="17"/>
              </w:rPr>
            </w:pPr>
            <w:r w:rsidRPr="006C7061">
              <w:rPr>
                <w:sz w:val="17"/>
                <w:szCs w:val="17"/>
              </w:rPr>
              <w:sym w:font="Wingdings" w:char="F0FC"/>
            </w:r>
            <w:r w:rsidRPr="006C7061">
              <w:rPr>
                <w:sz w:val="17"/>
                <w:szCs w:val="17"/>
              </w:rPr>
              <w:br/>
              <w:t>Pipeline zones to be used for reporting</w:t>
            </w:r>
          </w:p>
        </w:tc>
      </w:tr>
      <w:tr w:rsidR="00557E12" w:rsidRPr="006C7061" w14:paraId="49C370AC" w14:textId="77777777" w:rsidTr="00557E12">
        <w:tc>
          <w:tcPr>
            <w:tcW w:w="3686" w:type="dxa"/>
            <w:vAlign w:val="center"/>
          </w:tcPr>
          <w:p w14:paraId="2BF77956" w14:textId="77777777" w:rsidR="00557E12" w:rsidRPr="006C7061" w:rsidRDefault="00557E12" w:rsidP="00557E12">
            <w:pPr>
              <w:pStyle w:val="BodyText"/>
              <w:keepNext/>
              <w:spacing w:before="40" w:after="40" w:line="240" w:lineRule="auto"/>
              <w:rPr>
                <w:sz w:val="17"/>
                <w:szCs w:val="17"/>
              </w:rPr>
            </w:pPr>
            <w:r w:rsidRPr="006C7061">
              <w:rPr>
                <w:sz w:val="17"/>
                <w:szCs w:val="17"/>
              </w:rPr>
              <w:t xml:space="preserve">Price (ex GST) </w:t>
            </w:r>
          </w:p>
        </w:tc>
        <w:tc>
          <w:tcPr>
            <w:tcW w:w="3118" w:type="dxa"/>
            <w:vAlign w:val="center"/>
          </w:tcPr>
          <w:p w14:paraId="4FF6AC63" w14:textId="77777777" w:rsidR="00557E12" w:rsidRPr="006C7061" w:rsidRDefault="00557E12" w:rsidP="00557E12">
            <w:pPr>
              <w:pStyle w:val="BodyText"/>
              <w:keepNext/>
              <w:spacing w:before="40" w:after="40" w:line="240" w:lineRule="auto"/>
              <w:jc w:val="center"/>
              <w:rPr>
                <w:sz w:val="17"/>
                <w:szCs w:val="17"/>
              </w:rPr>
            </w:pPr>
            <w:r w:rsidRPr="006C7061">
              <w:rPr>
                <w:sz w:val="17"/>
                <w:szCs w:val="17"/>
              </w:rPr>
              <w:sym w:font="Wingdings" w:char="F0FC"/>
            </w:r>
          </w:p>
        </w:tc>
        <w:tc>
          <w:tcPr>
            <w:tcW w:w="2127" w:type="dxa"/>
            <w:vAlign w:val="center"/>
          </w:tcPr>
          <w:p w14:paraId="45402B21" w14:textId="77777777" w:rsidR="00557E12" w:rsidRPr="006C7061" w:rsidRDefault="00557E12" w:rsidP="00557E12">
            <w:pPr>
              <w:pStyle w:val="BodyText"/>
              <w:keepNext/>
              <w:spacing w:before="40" w:after="40" w:line="240" w:lineRule="auto"/>
              <w:jc w:val="center"/>
              <w:rPr>
                <w:sz w:val="17"/>
                <w:szCs w:val="17"/>
              </w:rPr>
            </w:pPr>
            <w:r w:rsidRPr="006C7061">
              <w:rPr>
                <w:sz w:val="17"/>
                <w:szCs w:val="17"/>
              </w:rPr>
              <w:sym w:font="Wingdings" w:char="F0FC"/>
            </w:r>
            <w:r w:rsidRPr="006C7061">
              <w:rPr>
                <w:sz w:val="17"/>
                <w:szCs w:val="17"/>
              </w:rPr>
              <w:br/>
              <w:t xml:space="preserve">Including details of price structure and price escalation mechanism** </w:t>
            </w:r>
          </w:p>
        </w:tc>
      </w:tr>
      <w:tr w:rsidR="00557E12" w:rsidRPr="006C7061" w14:paraId="225B70B6" w14:textId="77777777" w:rsidTr="00557E12">
        <w:trPr>
          <w:cnfStyle w:val="000000010000" w:firstRow="0" w:lastRow="0" w:firstColumn="0" w:lastColumn="0" w:oddVBand="0" w:evenVBand="0" w:oddHBand="0" w:evenHBand="1" w:firstRowFirstColumn="0" w:firstRowLastColumn="0" w:lastRowFirstColumn="0" w:lastRowLastColumn="0"/>
        </w:trPr>
        <w:tc>
          <w:tcPr>
            <w:tcW w:w="3686" w:type="dxa"/>
            <w:vAlign w:val="center"/>
          </w:tcPr>
          <w:p w14:paraId="69C64E99" w14:textId="77777777" w:rsidR="00557E12" w:rsidRPr="006C7061" w:rsidRDefault="00557E12" w:rsidP="00557E12">
            <w:pPr>
              <w:pStyle w:val="BodyText"/>
              <w:spacing w:before="40" w:after="40" w:line="240" w:lineRule="auto"/>
              <w:rPr>
                <w:sz w:val="17"/>
                <w:szCs w:val="17"/>
              </w:rPr>
            </w:pPr>
            <w:r w:rsidRPr="006C7061">
              <w:rPr>
                <w:sz w:val="17"/>
                <w:szCs w:val="17"/>
              </w:rPr>
              <w:t>MDQ and MHQ</w:t>
            </w:r>
          </w:p>
        </w:tc>
        <w:tc>
          <w:tcPr>
            <w:tcW w:w="3118" w:type="dxa"/>
            <w:vAlign w:val="center"/>
          </w:tcPr>
          <w:p w14:paraId="77C234CC" w14:textId="77777777" w:rsidR="00557E12" w:rsidRPr="006C7061" w:rsidRDefault="00557E12" w:rsidP="00557E12">
            <w:pPr>
              <w:pStyle w:val="BodyText"/>
              <w:spacing w:before="40" w:after="40" w:line="240" w:lineRule="auto"/>
              <w:jc w:val="center"/>
              <w:rPr>
                <w:sz w:val="17"/>
                <w:szCs w:val="17"/>
              </w:rPr>
            </w:pPr>
            <w:r w:rsidRPr="006C7061">
              <w:rPr>
                <w:sz w:val="17"/>
                <w:szCs w:val="17"/>
              </w:rPr>
              <w:sym w:font="Wingdings" w:char="F0FC"/>
            </w:r>
          </w:p>
        </w:tc>
        <w:tc>
          <w:tcPr>
            <w:tcW w:w="2127" w:type="dxa"/>
            <w:vAlign w:val="center"/>
          </w:tcPr>
          <w:p w14:paraId="7070618E" w14:textId="77777777" w:rsidR="00557E12" w:rsidRPr="006C7061" w:rsidRDefault="00557E12" w:rsidP="00557E12">
            <w:pPr>
              <w:pStyle w:val="BodyText"/>
              <w:spacing w:before="40" w:after="40" w:line="240" w:lineRule="auto"/>
              <w:jc w:val="center"/>
              <w:rPr>
                <w:sz w:val="17"/>
                <w:szCs w:val="17"/>
              </w:rPr>
            </w:pPr>
            <w:r w:rsidRPr="006C7061">
              <w:rPr>
                <w:sz w:val="17"/>
                <w:szCs w:val="17"/>
              </w:rPr>
              <w:sym w:font="Wingdings" w:char="F0FC"/>
            </w:r>
          </w:p>
        </w:tc>
      </w:tr>
      <w:tr w:rsidR="00557E12" w:rsidRPr="006C7061" w14:paraId="00A3D701" w14:textId="77777777" w:rsidTr="00557E12">
        <w:tc>
          <w:tcPr>
            <w:tcW w:w="3686" w:type="dxa"/>
            <w:vAlign w:val="center"/>
          </w:tcPr>
          <w:p w14:paraId="28FFADCA" w14:textId="77777777" w:rsidR="00557E12" w:rsidRPr="006C7061" w:rsidRDefault="00557E12" w:rsidP="00557E12">
            <w:pPr>
              <w:pStyle w:val="BodyText"/>
              <w:spacing w:before="40" w:after="40" w:line="240" w:lineRule="auto"/>
              <w:rPr>
                <w:sz w:val="17"/>
                <w:szCs w:val="17"/>
              </w:rPr>
            </w:pPr>
            <w:r w:rsidRPr="006C7061">
              <w:rPr>
                <w:sz w:val="17"/>
                <w:szCs w:val="17"/>
              </w:rPr>
              <w:t>Type of trade and how it is given effect</w:t>
            </w:r>
          </w:p>
        </w:tc>
        <w:tc>
          <w:tcPr>
            <w:tcW w:w="3118" w:type="dxa"/>
            <w:vAlign w:val="center"/>
          </w:tcPr>
          <w:p w14:paraId="73BAF6A5" w14:textId="77777777" w:rsidR="00557E12" w:rsidRPr="006C7061" w:rsidRDefault="00557E12" w:rsidP="00557E12">
            <w:pPr>
              <w:pStyle w:val="BodyText"/>
              <w:spacing w:before="40" w:after="40" w:line="240" w:lineRule="auto"/>
              <w:rPr>
                <w:sz w:val="17"/>
                <w:szCs w:val="17"/>
              </w:rPr>
            </w:pPr>
            <w:r w:rsidRPr="006C7061">
              <w:rPr>
                <w:sz w:val="17"/>
                <w:szCs w:val="17"/>
              </w:rPr>
              <w:t xml:space="preserve">Distinguish between screen and pre-matched trades and potentially between trades where the buyer </w:t>
            </w:r>
            <w:r>
              <w:rPr>
                <w:sz w:val="17"/>
                <w:szCs w:val="17"/>
              </w:rPr>
              <w:t xml:space="preserve">uses </w:t>
            </w:r>
            <w:r w:rsidRPr="006C7061">
              <w:rPr>
                <w:sz w:val="17"/>
                <w:szCs w:val="17"/>
              </w:rPr>
              <w:t>an operational or primary GTA</w:t>
            </w:r>
            <w:r w:rsidRPr="006C7061">
              <w:rPr>
                <w:rStyle w:val="FootnoteReference"/>
                <w:sz w:val="17"/>
                <w:szCs w:val="17"/>
              </w:rPr>
              <w:footnoteReference w:id="98"/>
            </w:r>
            <w:r w:rsidRPr="006C7061">
              <w:rPr>
                <w:sz w:val="17"/>
                <w:szCs w:val="17"/>
              </w:rPr>
              <w:t xml:space="preserve"> </w:t>
            </w:r>
          </w:p>
        </w:tc>
        <w:tc>
          <w:tcPr>
            <w:tcW w:w="2127" w:type="dxa"/>
            <w:vAlign w:val="center"/>
          </w:tcPr>
          <w:p w14:paraId="66951718" w14:textId="77777777" w:rsidR="00557E12" w:rsidRPr="006C7061" w:rsidRDefault="00557E12" w:rsidP="00557E12">
            <w:pPr>
              <w:pStyle w:val="BodyText"/>
              <w:spacing w:before="40" w:after="40" w:line="240" w:lineRule="auto"/>
              <w:rPr>
                <w:sz w:val="17"/>
                <w:szCs w:val="17"/>
              </w:rPr>
            </w:pPr>
            <w:r w:rsidRPr="006C7061">
              <w:rPr>
                <w:sz w:val="17"/>
                <w:szCs w:val="17"/>
              </w:rPr>
              <w:t>Distinguish between trades where the buyer will utilise an operational GTA or a bare transfer</w:t>
            </w:r>
            <w:r w:rsidR="004B2DA1">
              <w:rPr>
                <w:sz w:val="17"/>
                <w:szCs w:val="17"/>
              </w:rPr>
              <w:t>*</w:t>
            </w:r>
          </w:p>
        </w:tc>
      </w:tr>
      <w:tr w:rsidR="00557E12" w:rsidRPr="006C7061" w14:paraId="3406E616" w14:textId="77777777" w:rsidTr="00557E12">
        <w:trPr>
          <w:cnfStyle w:val="000000010000" w:firstRow="0" w:lastRow="0" w:firstColumn="0" w:lastColumn="0" w:oddVBand="0" w:evenVBand="0" w:oddHBand="0" w:evenHBand="1" w:firstRowFirstColumn="0" w:firstRowLastColumn="0" w:lastRowFirstColumn="0" w:lastRowLastColumn="0"/>
          <w:trHeight w:val="469"/>
        </w:trPr>
        <w:tc>
          <w:tcPr>
            <w:tcW w:w="3686" w:type="dxa"/>
            <w:tcBorders>
              <w:bottom w:val="single" w:sz="4" w:space="0" w:color="auto"/>
            </w:tcBorders>
            <w:vAlign w:val="center"/>
          </w:tcPr>
          <w:p w14:paraId="287BE854" w14:textId="77777777" w:rsidR="00557E12" w:rsidRPr="006C7061" w:rsidRDefault="00557E12" w:rsidP="00557E12">
            <w:pPr>
              <w:pStyle w:val="BodyText"/>
              <w:spacing w:before="40" w:after="40" w:line="240" w:lineRule="auto"/>
              <w:rPr>
                <w:sz w:val="17"/>
                <w:szCs w:val="17"/>
              </w:rPr>
            </w:pPr>
            <w:r w:rsidRPr="006C7061">
              <w:rPr>
                <w:sz w:val="17"/>
                <w:szCs w:val="17"/>
              </w:rPr>
              <w:t>Any additional flexibility provided to the shipper, or restrictions it is subject to</w:t>
            </w:r>
          </w:p>
        </w:tc>
        <w:tc>
          <w:tcPr>
            <w:tcW w:w="3118" w:type="dxa"/>
            <w:tcBorders>
              <w:bottom w:val="single" w:sz="4" w:space="0" w:color="auto"/>
            </w:tcBorders>
            <w:vAlign w:val="center"/>
          </w:tcPr>
          <w:p w14:paraId="348CA360" w14:textId="77777777" w:rsidR="00557E12" w:rsidRPr="006C7061" w:rsidRDefault="00557E12" w:rsidP="00557E12">
            <w:pPr>
              <w:pStyle w:val="BodyText"/>
              <w:spacing w:before="40" w:after="40" w:line="240" w:lineRule="auto"/>
              <w:jc w:val="center"/>
              <w:rPr>
                <w:sz w:val="17"/>
                <w:szCs w:val="17"/>
              </w:rPr>
            </w:pPr>
            <w:r w:rsidRPr="006C7061">
              <w:rPr>
                <w:sz w:val="17"/>
                <w:szCs w:val="17"/>
              </w:rPr>
              <w:sym w:font="Wingdings" w:char="F0FB"/>
            </w:r>
          </w:p>
        </w:tc>
        <w:tc>
          <w:tcPr>
            <w:tcW w:w="2127" w:type="dxa"/>
            <w:tcBorders>
              <w:bottom w:val="single" w:sz="4" w:space="0" w:color="auto"/>
            </w:tcBorders>
            <w:vAlign w:val="center"/>
          </w:tcPr>
          <w:p w14:paraId="12647C72" w14:textId="77777777" w:rsidR="00557E12" w:rsidRPr="006C7061" w:rsidRDefault="00557E12" w:rsidP="00557E12">
            <w:pPr>
              <w:pStyle w:val="BodyText"/>
              <w:spacing w:before="40" w:after="40" w:line="240" w:lineRule="auto"/>
              <w:jc w:val="center"/>
              <w:rPr>
                <w:sz w:val="17"/>
                <w:szCs w:val="17"/>
              </w:rPr>
            </w:pPr>
            <w:r w:rsidRPr="006C7061">
              <w:rPr>
                <w:sz w:val="17"/>
                <w:szCs w:val="17"/>
              </w:rPr>
              <w:sym w:font="Wingdings" w:char="F0FB"/>
            </w:r>
          </w:p>
        </w:tc>
      </w:tr>
      <w:tr w:rsidR="00557E12" w14:paraId="3940EBFC" w14:textId="77777777" w:rsidTr="00557E12">
        <w:trPr>
          <w:trHeight w:val="468"/>
        </w:trPr>
        <w:tc>
          <w:tcPr>
            <w:tcW w:w="3686" w:type="dxa"/>
            <w:shd w:val="clear" w:color="auto" w:fill="FFFFFF" w:themeFill="background1"/>
            <w:vAlign w:val="center"/>
          </w:tcPr>
          <w:p w14:paraId="07B5B2D3" w14:textId="77777777" w:rsidR="00557E12" w:rsidRPr="00817D85" w:rsidRDefault="00557E12" w:rsidP="00557E12">
            <w:pPr>
              <w:pStyle w:val="BodyText"/>
              <w:spacing w:before="40" w:after="40"/>
              <w:rPr>
                <w:sz w:val="17"/>
                <w:szCs w:val="17"/>
              </w:rPr>
            </w:pPr>
            <w:r w:rsidRPr="00817D85">
              <w:rPr>
                <w:sz w:val="17"/>
                <w:szCs w:val="17"/>
              </w:rPr>
              <w:t>Variations from standardised operational, prudential and other terms that affect price</w:t>
            </w:r>
          </w:p>
        </w:tc>
        <w:tc>
          <w:tcPr>
            <w:tcW w:w="3118" w:type="dxa"/>
            <w:shd w:val="clear" w:color="auto" w:fill="FFFFFF" w:themeFill="background1"/>
            <w:vAlign w:val="center"/>
          </w:tcPr>
          <w:p w14:paraId="6099F5CC" w14:textId="77777777" w:rsidR="00557E12" w:rsidRDefault="00557E12" w:rsidP="00557E12">
            <w:pPr>
              <w:pStyle w:val="BodyText"/>
              <w:spacing w:before="40" w:after="40"/>
              <w:jc w:val="center"/>
            </w:pPr>
            <w:r>
              <w:sym w:font="Wingdings" w:char="F0FB"/>
            </w:r>
          </w:p>
        </w:tc>
        <w:tc>
          <w:tcPr>
            <w:tcW w:w="2127" w:type="dxa"/>
            <w:shd w:val="clear" w:color="auto" w:fill="FFFFFF" w:themeFill="background1"/>
            <w:vAlign w:val="center"/>
          </w:tcPr>
          <w:p w14:paraId="0D776A97" w14:textId="77777777" w:rsidR="00557E12" w:rsidRDefault="00557E12" w:rsidP="00557E12">
            <w:pPr>
              <w:pStyle w:val="BodyText"/>
              <w:spacing w:before="40" w:after="40"/>
              <w:jc w:val="center"/>
            </w:pPr>
            <w:r>
              <w:sym w:font="Wingdings" w:char="F0FB"/>
            </w:r>
          </w:p>
        </w:tc>
      </w:tr>
    </w:tbl>
    <w:p w14:paraId="0AAA072E" w14:textId="77777777" w:rsidR="00557E12" w:rsidRPr="00F45408" w:rsidRDefault="00557E12" w:rsidP="00557E12">
      <w:pPr>
        <w:pStyle w:val="BodyText"/>
        <w:spacing w:before="0" w:after="40" w:line="240" w:lineRule="auto"/>
        <w:rPr>
          <w:sz w:val="16"/>
          <w:szCs w:val="16"/>
        </w:rPr>
      </w:pPr>
      <w:r w:rsidRPr="00F45408">
        <w:rPr>
          <w:sz w:val="16"/>
          <w:szCs w:val="16"/>
        </w:rPr>
        <w:t xml:space="preserve">* It was noted that information </w:t>
      </w:r>
      <w:r>
        <w:rPr>
          <w:sz w:val="16"/>
          <w:szCs w:val="16"/>
        </w:rPr>
        <w:t xml:space="preserve">on whether the buyer is utilising an operational or a primary GTA </w:t>
      </w:r>
      <w:r w:rsidRPr="00F45408">
        <w:rPr>
          <w:sz w:val="16"/>
          <w:szCs w:val="16"/>
        </w:rPr>
        <w:t xml:space="preserve">may be difficult to collect unless it is a standing entry for trading participants on the </w:t>
      </w:r>
      <w:r>
        <w:rPr>
          <w:sz w:val="16"/>
          <w:szCs w:val="16"/>
        </w:rPr>
        <w:t>capacity trading platform</w:t>
      </w:r>
      <w:r w:rsidRPr="00F45408">
        <w:rPr>
          <w:sz w:val="16"/>
          <w:szCs w:val="16"/>
        </w:rPr>
        <w:t xml:space="preserve">, which is an option that is being considered in the design of the capacity trading platform. </w:t>
      </w:r>
      <w:r>
        <w:rPr>
          <w:sz w:val="16"/>
          <w:szCs w:val="16"/>
        </w:rPr>
        <w:br/>
        <w:t>** Note that the provision of this type of information could be more complex than the other information types and may need to be split into multiple reporting lines.</w:t>
      </w:r>
    </w:p>
    <w:p w14:paraId="37E22104" w14:textId="77777777" w:rsidR="00557E12" w:rsidRDefault="00077520" w:rsidP="00557E12">
      <w:pPr>
        <w:pStyle w:val="BodyText"/>
      </w:pPr>
      <w:r>
        <w:t xml:space="preserve">As this table highlights, the </w:t>
      </w:r>
      <w:r w:rsidR="00557E12">
        <w:t>GMRG agrees with the</w:t>
      </w:r>
      <w:r w:rsidR="004B2DA1">
        <w:t xml:space="preserve"> advice of the</w:t>
      </w:r>
      <w:r w:rsidR="00557E12">
        <w:t xml:space="preserve"> project team and </w:t>
      </w:r>
      <w:r w:rsidR="004B2DA1">
        <w:t xml:space="preserve">the </w:t>
      </w:r>
      <w:r w:rsidR="00557E12">
        <w:t>majority of stakeholder</w:t>
      </w:r>
      <w:r w:rsidR="004B2DA1">
        <w:t>s</w:t>
      </w:r>
      <w:r w:rsidR="00557E12">
        <w:t xml:space="preserve"> </w:t>
      </w:r>
      <w:r>
        <w:t xml:space="preserve">that </w:t>
      </w:r>
      <w:r w:rsidR="004B2DA1">
        <w:t xml:space="preserve">it would be difficult to report </w:t>
      </w:r>
      <w:r>
        <w:t xml:space="preserve">information on the </w:t>
      </w:r>
      <w:r w:rsidR="00557E12">
        <w:t xml:space="preserve">final two categories </w:t>
      </w:r>
      <w:r w:rsidR="004B2DA1">
        <w:t xml:space="preserve">on </w:t>
      </w:r>
      <w:r w:rsidR="00557E12">
        <w:t>a consistent and meaningful basis.</w:t>
      </w:r>
      <w:r w:rsidR="00557E12" w:rsidRPr="005C4827">
        <w:t xml:space="preserve"> </w:t>
      </w:r>
      <w:r w:rsidR="00557E12">
        <w:t xml:space="preserve"> Further</w:t>
      </w:r>
      <w:r w:rsidR="004B2DA1">
        <w:t>,</w:t>
      </w:r>
      <w:r w:rsidR="00557E12">
        <w:t xml:space="preserve"> </w:t>
      </w:r>
      <w:r w:rsidR="00557E12" w:rsidRPr="005C4827">
        <w:t xml:space="preserve">if shippers were required to report more granular information on the flexibility or restrictions in trades and variations between standard and bespoke terms, this would </w:t>
      </w:r>
      <w:r w:rsidR="00557E12">
        <w:t xml:space="preserve">substantially add to the costs of </w:t>
      </w:r>
      <w:r w:rsidR="00557E12" w:rsidRPr="005C4827">
        <w:t>the reporting arrangements</w:t>
      </w:r>
      <w:r w:rsidR="00B06BCF">
        <w:t xml:space="preserve"> for what appears to be limited benefit</w:t>
      </w:r>
      <w:r w:rsidR="00557E12">
        <w:t xml:space="preserve">.  </w:t>
      </w:r>
    </w:p>
    <w:p w14:paraId="79195DDB" w14:textId="77777777" w:rsidR="00596401" w:rsidRPr="00E24978" w:rsidRDefault="00557E12" w:rsidP="00596401">
      <w:pPr>
        <w:pStyle w:val="BodyText"/>
      </w:pPr>
      <w:r>
        <w:t xml:space="preserve">In </w:t>
      </w:r>
      <w:r w:rsidR="003B40F9">
        <w:t>relation</w:t>
      </w:r>
      <w:r>
        <w:t xml:space="preserve"> to AEMO</w:t>
      </w:r>
      <w:r w:rsidR="00077520">
        <w:t>’s</w:t>
      </w:r>
      <w:r>
        <w:t xml:space="preserve"> suggestion, </w:t>
      </w:r>
      <w:r w:rsidR="00077520">
        <w:t xml:space="preserve">the </w:t>
      </w:r>
      <w:r>
        <w:t>GMRG notes that the operational GTA will set out the standard terms and conditions for secondary trades</w:t>
      </w:r>
      <w:r w:rsidR="003B40F9">
        <w:t xml:space="preserve">. </w:t>
      </w:r>
      <w:r>
        <w:t xml:space="preserve">As discussed in Part </w:t>
      </w:r>
      <w:proofErr w:type="gramStart"/>
      <w:r>
        <w:t>A</w:t>
      </w:r>
      <w:proofErr w:type="gramEnd"/>
      <w:r>
        <w:t xml:space="preserve">, parties will have the option of using </w:t>
      </w:r>
      <w:r w:rsidR="00005627">
        <w:t xml:space="preserve">their </w:t>
      </w:r>
      <w:r>
        <w:t xml:space="preserve">primary GTA as an alternative and it is GMRG’s intention that the published information will also report on which GTA was being used.  This will help to inform whether there are non-standard terms related to a trade </w:t>
      </w:r>
      <w:r w:rsidR="00596401">
        <w:t>that could affect the price</w:t>
      </w:r>
      <w:r w:rsidR="003B40F9">
        <w:t>, without requiring the specific differences to be reported</w:t>
      </w:r>
      <w:r>
        <w:t>.</w:t>
      </w:r>
      <w:r w:rsidR="00596401">
        <w:t xml:space="preserve"> In the GMRG’s </w:t>
      </w:r>
      <w:r w:rsidR="00596401">
        <w:lastRenderedPageBreak/>
        <w:t xml:space="preserve">view this level of information </w:t>
      </w:r>
      <w:r w:rsidR="004B2DA1">
        <w:t xml:space="preserve">is sufficient </w:t>
      </w:r>
      <w:r w:rsidR="00596401">
        <w:t xml:space="preserve">at this stage, although it </w:t>
      </w:r>
      <w:r w:rsidR="004B2DA1">
        <w:t>is noted</w:t>
      </w:r>
      <w:r w:rsidR="00596401">
        <w:t xml:space="preserve"> that if, over time, </w:t>
      </w:r>
      <w:r w:rsidR="00596401" w:rsidRPr="00E24978">
        <w:t>it becomes clear that the market would benefit from having more granular terms being reported</w:t>
      </w:r>
      <w:r w:rsidR="00596401">
        <w:t>, then a rule change could be submitted to the AEMC</w:t>
      </w:r>
      <w:r w:rsidR="00596401" w:rsidRPr="00E24978">
        <w:t>.</w:t>
      </w:r>
    </w:p>
    <w:p w14:paraId="5D329EBB" w14:textId="77777777" w:rsidR="003B40F9" w:rsidRDefault="00077520" w:rsidP="003B40F9">
      <w:pPr>
        <w:pStyle w:val="BodyText"/>
      </w:pPr>
      <w:r>
        <w:t xml:space="preserve">As to the </w:t>
      </w:r>
      <w:r w:rsidR="003B40F9">
        <w:t xml:space="preserve">concerns that have been raised about the potential for the identity of trading parties to be deduced from the reported information, it is worth reiterating that the AEMC did not say that anonymity should be protected at all costs. Rather, </w:t>
      </w:r>
      <w:r w:rsidR="004B2DA1">
        <w:t xml:space="preserve">protection of anonymity </w:t>
      </w:r>
      <w:r w:rsidR="003B40F9">
        <w:t xml:space="preserve">must be weighed up against the benefits of greater transparency. </w:t>
      </w:r>
      <w:r w:rsidR="004B2DA1">
        <w:t xml:space="preserve">On the basis of the stakeholder feedback, </w:t>
      </w:r>
      <w:r w:rsidR="003B40F9">
        <w:t xml:space="preserve">it is not clear how the publication of information on trade details will affect their commercial position if, notwithstanding the fact that the names of the trading parties will not be published and trades will be reported at a zonal basis, this information is deduced. </w:t>
      </w:r>
      <w:r w:rsidR="004B2DA1">
        <w:t>W</w:t>
      </w:r>
      <w:r w:rsidR="003B40F9">
        <w:t xml:space="preserve">hile information on the amount of capacity purchased will be published, the reporting framework will not require information on the actual use of the capacity to be published. Nor will it require the publication of information on the primary capacity held by the shipper. It would be difficult therefore for market participants to infer anything from the release of </w:t>
      </w:r>
      <w:r w:rsidR="004B2DA1">
        <w:t xml:space="preserve">the proposed </w:t>
      </w:r>
      <w:r w:rsidR="003B40F9">
        <w:t>information, other than the fact that some additional capacity has been acquired.</w:t>
      </w:r>
      <w:r w:rsidR="0085767B">
        <w:rPr>
          <w:rStyle w:val="FootnoteReference"/>
        </w:rPr>
        <w:footnoteReference w:id="99"/>
      </w:r>
      <w:r w:rsidR="003B40F9">
        <w:t xml:space="preserve"> The GMRG is not therefore convinced that </w:t>
      </w:r>
      <w:r w:rsidR="0085767B">
        <w:t>any additional measures are required to protect the anonymity of parties.</w:t>
      </w:r>
    </w:p>
    <w:p w14:paraId="7A0055A7" w14:textId="77777777" w:rsidR="00557E12" w:rsidRPr="00C75DF9" w:rsidRDefault="00557E12" w:rsidP="00557E12">
      <w:pPr>
        <w:pStyle w:val="Heading2"/>
      </w:pPr>
      <w:bookmarkStart w:id="200" w:name="_Toc495351662"/>
      <w:bookmarkStart w:id="201" w:name="_Toc497653713"/>
      <w:bookmarkStart w:id="202" w:name="_Toc499542682"/>
      <w:r w:rsidRPr="00C75DF9">
        <w:t>Reporting obligations</w:t>
      </w:r>
      <w:bookmarkEnd w:id="200"/>
      <w:bookmarkEnd w:id="201"/>
      <w:bookmarkEnd w:id="202"/>
      <w:r w:rsidRPr="00C75DF9">
        <w:t xml:space="preserve"> </w:t>
      </w:r>
    </w:p>
    <w:p w14:paraId="79E2F32E" w14:textId="77777777" w:rsidR="00557E12" w:rsidRPr="006825BA" w:rsidRDefault="00557E12" w:rsidP="00557E12">
      <w:pPr>
        <w:pStyle w:val="BodyText"/>
        <w:keepNext/>
        <w:rPr>
          <w:b/>
          <w:color w:val="0099CC"/>
        </w:rPr>
      </w:pPr>
      <w:r>
        <w:rPr>
          <w:b/>
          <w:color w:val="0099CC"/>
        </w:rPr>
        <w:t xml:space="preserve">Background </w:t>
      </w:r>
    </w:p>
    <w:p w14:paraId="1298344F" w14:textId="77777777" w:rsidR="00557E12" w:rsidRDefault="00F1710A" w:rsidP="00557E12">
      <w:pPr>
        <w:pStyle w:val="BodyText"/>
      </w:pPr>
      <w:r>
        <w:t>Exchange-based</w:t>
      </w:r>
      <w:r w:rsidR="00557E12">
        <w:t xml:space="preserve"> capacity trades carried out through the capacity trading platform will be subject to a reporting framework under the Exchange Agreement. Similar to the arrangements that currently apply to commodity products traded through the GSH, reporting will be the responsibility of AEMO. AEMO will collect the information at the time the trade occurs and </w:t>
      </w:r>
      <w:r w:rsidR="00596401">
        <w:t>publish it</w:t>
      </w:r>
      <w:r w:rsidR="00557E12">
        <w:t xml:space="preserve"> </w:t>
      </w:r>
      <w:r w:rsidR="00596401">
        <w:t xml:space="preserve">on the GSH </w:t>
      </w:r>
      <w:r w:rsidR="00557E12">
        <w:t>shortly thereafter.</w:t>
      </w:r>
      <w:r w:rsidR="00557E12">
        <w:rPr>
          <w:rStyle w:val="FootnoteReference"/>
        </w:rPr>
        <w:footnoteReference w:id="100"/>
      </w:r>
    </w:p>
    <w:p w14:paraId="741B7344" w14:textId="77777777" w:rsidR="00AD7E84" w:rsidRDefault="00AD7E84" w:rsidP="00AD7E84">
      <w:pPr>
        <w:pStyle w:val="BodyText"/>
      </w:pPr>
      <w:r>
        <w:t xml:space="preserve">The requirement for bilateral trades to be reported, on the other hand, will require new obligations to be imposed on one or more of the trading parties. This issue was not discussed in any detail in the AEMC’s </w:t>
      </w:r>
      <w:r>
        <w:rPr>
          <w:i/>
        </w:rPr>
        <w:t xml:space="preserve">East Coast Review. </w:t>
      </w:r>
      <w:r>
        <w:t xml:space="preserve">It was, however, considered by </w:t>
      </w:r>
      <w:r w:rsidRPr="00E544FF">
        <w:t>t</w:t>
      </w:r>
      <w:r>
        <w:t>he Standardisation project team, which identified the following potential candidates for the reporting obligation:</w:t>
      </w:r>
    </w:p>
    <w:p w14:paraId="5C21FD39" w14:textId="77777777" w:rsidR="00AD7E84" w:rsidRDefault="00AD7E84" w:rsidP="00AD7E84">
      <w:pPr>
        <w:pStyle w:val="ListBullet"/>
      </w:pPr>
      <w:r>
        <w:t>the seller;</w:t>
      </w:r>
    </w:p>
    <w:p w14:paraId="1EFC67EC" w14:textId="77777777" w:rsidR="00AD7E84" w:rsidRDefault="00AD7E84" w:rsidP="00AD7E84">
      <w:pPr>
        <w:pStyle w:val="ListBullet"/>
      </w:pPr>
      <w:r>
        <w:t>the buyer; and</w:t>
      </w:r>
    </w:p>
    <w:p w14:paraId="542B9802" w14:textId="77777777" w:rsidR="00AD7E84" w:rsidRDefault="00AD7E84" w:rsidP="00AD7E84">
      <w:pPr>
        <w:pStyle w:val="ListBullet"/>
      </w:pPr>
      <w:proofErr w:type="gramStart"/>
      <w:r>
        <w:t>the</w:t>
      </w:r>
      <w:proofErr w:type="gramEnd"/>
      <w:r>
        <w:t xml:space="preserve"> seller and buyer.</w:t>
      </w:r>
    </w:p>
    <w:p w14:paraId="27736550" w14:textId="77777777" w:rsidR="00AD7E84" w:rsidRDefault="00AD7E84" w:rsidP="00AD7E84">
      <w:pPr>
        <w:pStyle w:val="BodyText"/>
      </w:pPr>
      <w:r>
        <w:t xml:space="preserve">While there was some discussion about the latter of these options, it became clear that requiring both the buyer and seller to report the trade would require </w:t>
      </w:r>
      <w:r w:rsidR="004B2DA1">
        <w:t xml:space="preserve">additional </w:t>
      </w:r>
      <w:r>
        <w:t xml:space="preserve">work </w:t>
      </w:r>
      <w:r w:rsidR="004B2DA1">
        <w:t xml:space="preserve">by trading parties </w:t>
      </w:r>
      <w:r>
        <w:t xml:space="preserve">and AEMO and could give rise to a range of other issues. Of the remaining </w:t>
      </w:r>
      <w:r>
        <w:lastRenderedPageBreak/>
        <w:t xml:space="preserve">two options, the project team thought sellers were the more natural candidate for the reporting obligation. </w:t>
      </w:r>
    </w:p>
    <w:p w14:paraId="110266B6" w14:textId="77777777" w:rsidR="00AD7E84" w:rsidRDefault="00AD7E84" w:rsidP="00AD7E84">
      <w:pPr>
        <w:pStyle w:val="BodyText"/>
      </w:pPr>
      <w:r>
        <w:t>The project team also considered how much time the selling party should have to report the bilateral trade once it is executed. In short, project team members were of the view that the seller should be required to report the trade by the earlier of:</w:t>
      </w:r>
    </w:p>
    <w:p w14:paraId="242B13E2" w14:textId="77777777" w:rsidR="00AD7E84" w:rsidRDefault="00AD7E84" w:rsidP="00AD7E84">
      <w:pPr>
        <w:pStyle w:val="ListBullet"/>
      </w:pPr>
      <w:r>
        <w:t>three business days after the trade is executed; and</w:t>
      </w:r>
    </w:p>
    <w:p w14:paraId="23A68EAF" w14:textId="77777777" w:rsidR="00AD7E84" w:rsidRDefault="00AD7E84" w:rsidP="00AD7E84">
      <w:pPr>
        <w:pStyle w:val="ListBullet"/>
      </w:pPr>
      <w:proofErr w:type="gramStart"/>
      <w:r>
        <w:t>the</w:t>
      </w:r>
      <w:proofErr w:type="gramEnd"/>
      <w:r>
        <w:t xml:space="preserve"> day prior to the </w:t>
      </w:r>
      <w:r w:rsidR="0024743C">
        <w:t xml:space="preserve">use of the capacity </w:t>
      </w:r>
      <w:r>
        <w:t>commencing (D-1).</w:t>
      </w:r>
    </w:p>
    <w:p w14:paraId="47BC9149" w14:textId="77777777" w:rsidR="00557E12" w:rsidRPr="006825BA" w:rsidRDefault="00DD15FF" w:rsidP="00557E12">
      <w:pPr>
        <w:pStyle w:val="BodyText"/>
        <w:keepNext/>
        <w:rPr>
          <w:b/>
          <w:color w:val="0099CC"/>
        </w:rPr>
      </w:pPr>
      <w:r>
        <w:rPr>
          <w:b/>
          <w:color w:val="0099CC"/>
        </w:rPr>
        <w:t>GMRG’s preliminary view</w:t>
      </w:r>
      <w:r w:rsidR="00557E12">
        <w:rPr>
          <w:b/>
          <w:color w:val="0099CC"/>
        </w:rPr>
        <w:t xml:space="preserve"> </w:t>
      </w:r>
    </w:p>
    <w:p w14:paraId="281E82D3" w14:textId="77777777" w:rsidR="000D4D2E" w:rsidRDefault="00557E12" w:rsidP="00557E12">
      <w:pPr>
        <w:pStyle w:val="BodyText"/>
      </w:pPr>
      <w:r>
        <w:t xml:space="preserve">In the consultation paper, </w:t>
      </w:r>
      <w:r w:rsidR="000D4D2E">
        <w:t xml:space="preserve">the </w:t>
      </w:r>
      <w:r>
        <w:t xml:space="preserve">GMRG </w:t>
      </w:r>
      <w:r w:rsidR="00596401">
        <w:t>recommended</w:t>
      </w:r>
      <w:r w:rsidR="000D4D2E">
        <w:t xml:space="preserve"> that: </w:t>
      </w:r>
    </w:p>
    <w:p w14:paraId="358DA24F" w14:textId="77777777" w:rsidR="000D4D2E" w:rsidRDefault="000D4D2E" w:rsidP="000D4D2E">
      <w:pPr>
        <w:pStyle w:val="ListBullet"/>
      </w:pPr>
      <w:r>
        <w:t xml:space="preserve">AEMO be </w:t>
      </w:r>
      <w:r w:rsidR="00596401">
        <w:t xml:space="preserve">responsible </w:t>
      </w:r>
      <w:r>
        <w:t xml:space="preserve">for reporting trades carried out through the </w:t>
      </w:r>
      <w:r w:rsidR="00596401">
        <w:t xml:space="preserve">capacity </w:t>
      </w:r>
      <w:r>
        <w:t xml:space="preserve">trading </w:t>
      </w:r>
      <w:r w:rsidR="00596401">
        <w:t>exchange</w:t>
      </w:r>
      <w:r>
        <w:t xml:space="preserve">; and </w:t>
      </w:r>
    </w:p>
    <w:p w14:paraId="15987962" w14:textId="77777777" w:rsidR="00557E12" w:rsidRDefault="000D4D2E" w:rsidP="0009381B">
      <w:pPr>
        <w:pStyle w:val="ListBullet"/>
      </w:pPr>
      <w:r>
        <w:t>sellers be responsible for reporting information on bilateral trades</w:t>
      </w:r>
      <w:r w:rsidR="0009381B">
        <w:t xml:space="preserve"> and required to report this information by the </w:t>
      </w:r>
      <w:r w:rsidR="00557E12">
        <w:t>earlier of:</w:t>
      </w:r>
    </w:p>
    <w:p w14:paraId="15755F6C" w14:textId="77777777" w:rsidR="00557E12" w:rsidRDefault="00557E12" w:rsidP="0009381B">
      <w:pPr>
        <w:pStyle w:val="ListBullet2"/>
      </w:pPr>
      <w:r>
        <w:t>one business day after the trade is executed; and</w:t>
      </w:r>
    </w:p>
    <w:p w14:paraId="52DA7C43" w14:textId="77777777" w:rsidR="00557E12" w:rsidRDefault="00557E12" w:rsidP="0009381B">
      <w:pPr>
        <w:pStyle w:val="ListBullet2"/>
      </w:pPr>
      <w:proofErr w:type="gramStart"/>
      <w:r>
        <w:t>the</w:t>
      </w:r>
      <w:proofErr w:type="gramEnd"/>
      <w:r>
        <w:t xml:space="preserve"> </w:t>
      </w:r>
      <w:r w:rsidR="0024743C">
        <w:t>day prior to the use of the capacity</w:t>
      </w:r>
      <w:r>
        <w:t xml:space="preserve"> commencing (D-1).</w:t>
      </w:r>
      <w:r>
        <w:rPr>
          <w:rStyle w:val="FootnoteReference"/>
        </w:rPr>
        <w:footnoteReference w:id="101"/>
      </w:r>
    </w:p>
    <w:p w14:paraId="22DE01DD" w14:textId="77777777" w:rsidR="00557E12" w:rsidRPr="006825BA" w:rsidRDefault="00557E12" w:rsidP="00557E12">
      <w:pPr>
        <w:pStyle w:val="BodyText"/>
        <w:keepNext/>
        <w:rPr>
          <w:b/>
          <w:color w:val="0099CC"/>
        </w:rPr>
      </w:pPr>
      <w:r>
        <w:rPr>
          <w:b/>
          <w:color w:val="0099CC"/>
        </w:rPr>
        <w:t>Feedback provided through the consultation process</w:t>
      </w:r>
    </w:p>
    <w:p w14:paraId="39FA47DD" w14:textId="77777777" w:rsidR="004B2DA1" w:rsidRDefault="004B2DA1" w:rsidP="004B2DA1">
      <w:pPr>
        <w:pStyle w:val="BodyText"/>
      </w:pPr>
      <w:r>
        <w:t>Generally, stakeholders supported one party to the transaction being required to report bilateral trades and that the obligation should fall on the seller, with the only exception to this being AGL who thought the obligation should fall on both parties. A number of stakeholders also suggested that provision should be made to enable the buyer or another party to report the trade if agreed to by both parties.</w:t>
      </w:r>
      <w:r w:rsidRPr="007B199B">
        <w:t xml:space="preserve"> </w:t>
      </w:r>
    </w:p>
    <w:p w14:paraId="51A3B530" w14:textId="77777777" w:rsidR="004B2DA1" w:rsidRDefault="004B2DA1" w:rsidP="004B2DA1">
      <w:pPr>
        <w:pStyle w:val="BodyText"/>
      </w:pPr>
      <w:r>
        <w:t>In terms of the reporting timeframes, most stakeholders agreed with the proposed timeframes and recognised that delaying reporting would reduce the relevance of the information to the market. The three exceptions to this were Stanwell, Shell and ERM. Stanwell, for example, indicated that a o</w:t>
      </w:r>
      <w:r w:rsidRPr="00F8292C">
        <w:t xml:space="preserve">ne day </w:t>
      </w:r>
      <w:r>
        <w:t xml:space="preserve">period would be </w:t>
      </w:r>
      <w:r w:rsidRPr="00F8292C">
        <w:t>too short and likely increase the risk of inadvertent breaches of the</w:t>
      </w:r>
      <w:r>
        <w:t xml:space="preserve"> obligation</w:t>
      </w:r>
      <w:r w:rsidRPr="00F8292C">
        <w:t xml:space="preserve">. </w:t>
      </w:r>
      <w:r>
        <w:t>It therefore suggested a three-business day window</w:t>
      </w:r>
      <w:r w:rsidRPr="00A15C05">
        <w:t xml:space="preserve">. Stanwell </w:t>
      </w:r>
      <w:r>
        <w:t>was also of the view that</w:t>
      </w:r>
      <w:r w:rsidRPr="00A15C05">
        <w:t xml:space="preserve"> a delay might be necessary to protect </w:t>
      </w:r>
      <w:r>
        <w:t xml:space="preserve">the </w:t>
      </w:r>
      <w:r w:rsidRPr="00A15C05">
        <w:t>anonymity of counterparties</w:t>
      </w:r>
      <w:r>
        <w:t xml:space="preserve"> and </w:t>
      </w:r>
      <w:r w:rsidRPr="00A15C05">
        <w:t>afford the shipper time to make complementary arrangements in other markets before their identi</w:t>
      </w:r>
      <w:r>
        <w:t>t</w:t>
      </w:r>
      <w:r w:rsidRPr="00A15C05">
        <w:t>y is revealed through the reporting mechanism</w:t>
      </w:r>
      <w:r>
        <w:t>. Shell expressed a similar view and suggested a longer period be allowed when the trade does not have an immediate start.</w:t>
      </w:r>
    </w:p>
    <w:p w14:paraId="106ACC5B" w14:textId="77777777" w:rsidR="00557E12" w:rsidRDefault="00557E12" w:rsidP="00557E12">
      <w:pPr>
        <w:pStyle w:val="BodyText"/>
      </w:pPr>
      <w:r>
        <w:t>ERM</w:t>
      </w:r>
      <w:r w:rsidR="005D01B3">
        <w:t xml:space="preserve"> also raised some concerns about the timing and suggested that information should not be disclosed if </w:t>
      </w:r>
      <w:r>
        <w:t>trades are still live or cover a forward period</w:t>
      </w:r>
      <w:r w:rsidR="005D01B3">
        <w:t xml:space="preserve">, because it believes this information </w:t>
      </w:r>
      <w:r>
        <w:t>is commercially sensitive and</w:t>
      </w:r>
      <w:r w:rsidRPr="00A15C05">
        <w:t xml:space="preserve"> </w:t>
      </w:r>
      <w:r w:rsidR="005D01B3">
        <w:t xml:space="preserve">could be </w:t>
      </w:r>
      <w:r w:rsidRPr="007B199B">
        <w:t xml:space="preserve">particularly damaging </w:t>
      </w:r>
      <w:r w:rsidR="005D01B3">
        <w:t xml:space="preserve">to </w:t>
      </w:r>
      <w:r w:rsidRPr="007B199B">
        <w:t>gas fired generators in the NEM.</w:t>
      </w:r>
      <w:r>
        <w:t xml:space="preserve"> ERM </w:t>
      </w:r>
      <w:r w:rsidR="005D01B3">
        <w:t xml:space="preserve">therefore suggested </w:t>
      </w:r>
      <w:r>
        <w:t>that trades only be reported if the delivery period under a trade has concluded.</w:t>
      </w:r>
      <w:r w:rsidRPr="00A15C05">
        <w:t xml:space="preserve"> </w:t>
      </w:r>
      <w:r w:rsidRPr="007B199B">
        <w:t xml:space="preserve">ERM </w:t>
      </w:r>
      <w:r w:rsidR="005D01B3">
        <w:t xml:space="preserve">also noted that it </w:t>
      </w:r>
      <w:r w:rsidRPr="007B199B">
        <w:t xml:space="preserve">did not support the </w:t>
      </w:r>
      <w:r w:rsidRPr="007B199B">
        <w:lastRenderedPageBreak/>
        <w:t xml:space="preserve">proposal to require reporting of trade information on a trade by trade basis </w:t>
      </w:r>
      <w:r w:rsidR="005D01B3">
        <w:t xml:space="preserve">because </w:t>
      </w:r>
      <w:r w:rsidRPr="007B199B">
        <w:t xml:space="preserve">it </w:t>
      </w:r>
      <w:r w:rsidR="005D01B3">
        <w:t xml:space="preserve">believed it would </w:t>
      </w:r>
      <w:r w:rsidRPr="007B199B">
        <w:t xml:space="preserve">be administratively cumbersome.  </w:t>
      </w:r>
      <w:r w:rsidR="0012426E">
        <w:t xml:space="preserve">It instead suggested that reporting should occur </w:t>
      </w:r>
      <w:r w:rsidRPr="007B199B">
        <w:t xml:space="preserve">on a monthly basis.  </w:t>
      </w:r>
    </w:p>
    <w:p w14:paraId="6C2E7155" w14:textId="77777777" w:rsidR="00557E12" w:rsidRPr="006825BA" w:rsidRDefault="00557E12" w:rsidP="00557E12">
      <w:pPr>
        <w:pStyle w:val="BodyText"/>
        <w:rPr>
          <w:b/>
          <w:color w:val="0099CC"/>
        </w:rPr>
      </w:pPr>
      <w:r w:rsidRPr="004F44B4">
        <w:rPr>
          <w:b/>
          <w:color w:val="0099CC"/>
        </w:rPr>
        <w:t>GMRG’s final recommendations</w:t>
      </w:r>
      <w:r>
        <w:rPr>
          <w:b/>
          <w:color w:val="0099CC"/>
        </w:rPr>
        <w:t xml:space="preserve"> </w:t>
      </w:r>
    </w:p>
    <w:p w14:paraId="4CBEC583" w14:textId="77777777" w:rsidR="0009381B" w:rsidRDefault="00622F5B" w:rsidP="00557E12">
      <w:pPr>
        <w:pStyle w:val="BodyText"/>
      </w:pPr>
      <w:r>
        <w:t xml:space="preserve">Having </w:t>
      </w:r>
      <w:r w:rsidR="004F44B4">
        <w:t xml:space="preserve">considered the views expressed by stakeholders on </w:t>
      </w:r>
      <w:r w:rsidR="0009381B">
        <w:t xml:space="preserve">this issue </w:t>
      </w:r>
      <w:r w:rsidR="004F44B4">
        <w:t xml:space="preserve">and </w:t>
      </w:r>
      <w:r>
        <w:t>the overarching objectives of the reporting framework, the GMRG</w:t>
      </w:r>
      <w:r w:rsidR="00596401">
        <w:t>’s final recommendation is</w:t>
      </w:r>
      <w:r>
        <w:t xml:space="preserve"> </w:t>
      </w:r>
      <w:r w:rsidR="0009381B">
        <w:t>that:</w:t>
      </w:r>
    </w:p>
    <w:p w14:paraId="4DAC0157" w14:textId="77777777" w:rsidR="0009381B" w:rsidRDefault="0009381B" w:rsidP="0009381B">
      <w:pPr>
        <w:pStyle w:val="ListBullet"/>
      </w:pPr>
      <w:r>
        <w:t xml:space="preserve">AEMO be </w:t>
      </w:r>
      <w:r w:rsidR="00622F5B">
        <w:t>accorded responsibility</w:t>
      </w:r>
      <w:r>
        <w:t xml:space="preserve"> for reporting trades carried out through the trading platform</w:t>
      </w:r>
      <w:r w:rsidR="00596401">
        <w:t>; and</w:t>
      </w:r>
      <w:r>
        <w:t xml:space="preserve"> </w:t>
      </w:r>
    </w:p>
    <w:p w14:paraId="5ABC3CC6" w14:textId="77777777" w:rsidR="0009381B" w:rsidRDefault="00596401" w:rsidP="0009381B">
      <w:pPr>
        <w:pStyle w:val="ListBullet"/>
      </w:pPr>
      <w:r>
        <w:t>s</w:t>
      </w:r>
      <w:r w:rsidR="0009381B">
        <w:t xml:space="preserve">ellers be </w:t>
      </w:r>
      <w:r w:rsidR="00622F5B">
        <w:t xml:space="preserve">accorded responsibility </w:t>
      </w:r>
      <w:r w:rsidR="0009381B">
        <w:t>for reporting bilateral trades and required to report this information by the earlier of:</w:t>
      </w:r>
    </w:p>
    <w:p w14:paraId="02744D6D" w14:textId="77777777" w:rsidR="0009381B" w:rsidRDefault="0009381B" w:rsidP="0009381B">
      <w:pPr>
        <w:pStyle w:val="ListBullet2"/>
      </w:pPr>
      <w:r>
        <w:t>one business day after the trade is executed; and</w:t>
      </w:r>
    </w:p>
    <w:p w14:paraId="42CB0BBD" w14:textId="77777777" w:rsidR="0009381B" w:rsidRDefault="0009381B" w:rsidP="0009381B">
      <w:pPr>
        <w:pStyle w:val="ListBullet2"/>
      </w:pPr>
      <w:proofErr w:type="gramStart"/>
      <w:r>
        <w:t>the</w:t>
      </w:r>
      <w:proofErr w:type="gramEnd"/>
      <w:r>
        <w:t xml:space="preserve"> day </w:t>
      </w:r>
      <w:r w:rsidR="0024743C">
        <w:t xml:space="preserve">prior to the use of the capacity </w:t>
      </w:r>
      <w:r>
        <w:t>commencing (D-1).</w:t>
      </w:r>
      <w:r>
        <w:rPr>
          <w:rStyle w:val="FootnoteReference"/>
        </w:rPr>
        <w:footnoteReference w:id="102"/>
      </w:r>
    </w:p>
    <w:p w14:paraId="028E33E6" w14:textId="77777777" w:rsidR="0009381B" w:rsidRDefault="0009381B" w:rsidP="00557E12">
      <w:pPr>
        <w:pStyle w:val="BodyText"/>
      </w:pPr>
      <w:r>
        <w:t xml:space="preserve">In relation to </w:t>
      </w:r>
      <w:r w:rsidR="00622F5B">
        <w:t xml:space="preserve">the latter of these recommendations, </w:t>
      </w:r>
      <w:r>
        <w:t xml:space="preserve">the GMRG </w:t>
      </w:r>
      <w:r w:rsidR="00622F5B">
        <w:t xml:space="preserve">agrees with </w:t>
      </w:r>
      <w:r w:rsidR="00596401">
        <w:t xml:space="preserve">stakeholders </w:t>
      </w:r>
      <w:r w:rsidR="00622F5B">
        <w:t xml:space="preserve">that there may be value in providing </w:t>
      </w:r>
      <w:r>
        <w:t xml:space="preserve">parties </w:t>
      </w:r>
      <w:r w:rsidR="00622F5B">
        <w:t xml:space="preserve">the </w:t>
      </w:r>
      <w:r>
        <w:t xml:space="preserve">option </w:t>
      </w:r>
      <w:r w:rsidR="00622F5B">
        <w:t xml:space="preserve">to appoint </w:t>
      </w:r>
      <w:r>
        <w:t>the buyer as the reporting entity</w:t>
      </w:r>
      <w:r w:rsidR="00AB4D0F">
        <w:t xml:space="preserve"> in some cases</w:t>
      </w:r>
      <w:r w:rsidR="00622F5B">
        <w:t xml:space="preserve">, although as APLNG noted from </w:t>
      </w:r>
      <w:r>
        <w:t>a compliance perspective</w:t>
      </w:r>
      <w:r w:rsidR="00622F5B">
        <w:t xml:space="preserve"> </w:t>
      </w:r>
      <w:r>
        <w:t xml:space="preserve">the obligation </w:t>
      </w:r>
      <w:r w:rsidR="00E2697A">
        <w:t>will</w:t>
      </w:r>
      <w:r>
        <w:t xml:space="preserve"> </w:t>
      </w:r>
      <w:r w:rsidR="00622F5B">
        <w:t xml:space="preserve">need to </w:t>
      </w:r>
      <w:r>
        <w:t xml:space="preserve">remain with the </w:t>
      </w:r>
      <w:r w:rsidR="00E2697A">
        <w:t>seller.</w:t>
      </w:r>
      <w:r w:rsidR="00AB4D0F">
        <w:t xml:space="preserve"> This </w:t>
      </w:r>
      <w:r w:rsidR="004B2DA1">
        <w:t xml:space="preserve">option </w:t>
      </w:r>
      <w:r w:rsidR="00AB4D0F">
        <w:t xml:space="preserve">will be considered further </w:t>
      </w:r>
      <w:r w:rsidR="004B2DA1">
        <w:t xml:space="preserve">during the development of the changes to the </w:t>
      </w:r>
      <w:r w:rsidR="00AB4D0F">
        <w:t>NGR.</w:t>
      </w:r>
    </w:p>
    <w:p w14:paraId="2469A7B1" w14:textId="77777777" w:rsidR="00557E12" w:rsidRDefault="00FF214E" w:rsidP="005C0F62">
      <w:pPr>
        <w:pStyle w:val="BodyText"/>
      </w:pPr>
      <w:r>
        <w:t xml:space="preserve">As to the </w:t>
      </w:r>
      <w:r w:rsidR="00AB4D0F">
        <w:t xml:space="preserve">reporting timeframes for </w:t>
      </w:r>
      <w:r>
        <w:t xml:space="preserve">bilateral trades, the </w:t>
      </w:r>
      <w:r w:rsidR="00557E12">
        <w:t xml:space="preserve">GMRG understands that it may be difficult to report </w:t>
      </w:r>
      <w:r w:rsidR="00AB4D0F">
        <w:t xml:space="preserve">these </w:t>
      </w:r>
      <w:r w:rsidR="00557E12">
        <w:t>trades as soon as they are executed</w:t>
      </w:r>
      <w:r>
        <w:t xml:space="preserve">. However, it has a number of concerns with the </w:t>
      </w:r>
      <w:r w:rsidR="004B2DA1">
        <w:t xml:space="preserve">proposals made by </w:t>
      </w:r>
      <w:r>
        <w:t xml:space="preserve">Stanwell (three business days) and ERM (monthly reporting), the most significant of which is that the </w:t>
      </w:r>
      <w:r w:rsidR="00557E12">
        <w:t xml:space="preserve">information </w:t>
      </w:r>
      <w:r>
        <w:t xml:space="preserve">could be published </w:t>
      </w:r>
      <w:r w:rsidR="00557E12">
        <w:t xml:space="preserve">too late to be of any benefit to the price discovery </w:t>
      </w:r>
      <w:r w:rsidR="00AB4D0F">
        <w:t>perspective</w:t>
      </w:r>
      <w:r w:rsidR="00A478A9">
        <w:t xml:space="preserve">, </w:t>
      </w:r>
      <w:r w:rsidR="004B2DA1">
        <w:t xml:space="preserve">undermining </w:t>
      </w:r>
      <w:r w:rsidR="00A478A9">
        <w:t xml:space="preserve">the </w:t>
      </w:r>
      <w:r w:rsidR="00AB4D0F">
        <w:t xml:space="preserve">main </w:t>
      </w:r>
      <w:r w:rsidR="00A478A9">
        <w:t>objective of this reform.</w:t>
      </w:r>
      <w:r>
        <w:rPr>
          <w:rStyle w:val="FootnoteReference"/>
        </w:rPr>
        <w:footnoteReference w:id="103"/>
      </w:r>
      <w:r>
        <w:t xml:space="preserve"> There is also a risk with longer reporting windows that parties will fail to report the information</w:t>
      </w:r>
      <w:r w:rsidR="00557E12">
        <w:t xml:space="preserve">. </w:t>
      </w:r>
      <w:r>
        <w:t xml:space="preserve">It </w:t>
      </w:r>
      <w:r w:rsidR="005C0F62">
        <w:t xml:space="preserve">is </w:t>
      </w:r>
      <w:r>
        <w:t>for this reason that the GMRG has recommended the timings outlined above</w:t>
      </w:r>
      <w:r w:rsidR="00A478A9">
        <w:t xml:space="preserve">, which </w:t>
      </w:r>
      <w:r w:rsidR="005C0F62">
        <w:t xml:space="preserve">is </w:t>
      </w:r>
      <w:r w:rsidR="00622F5B">
        <w:t>consistent with</w:t>
      </w:r>
      <w:r w:rsidR="005C0F62">
        <w:t xml:space="preserve"> the AEMC’s recommendation that trades be reported at the time they are executed, or shortly thereafter. It is also consistent with t</w:t>
      </w:r>
      <w:r w:rsidR="00A478A9">
        <w:t xml:space="preserve">he </w:t>
      </w:r>
      <w:r w:rsidR="00557E12">
        <w:t>reporting time frames in Part 18 (Natural Gas Services BB) of the NGR for information that is of a similar level of importance to the market.</w:t>
      </w:r>
      <w:r w:rsidR="005C0F62">
        <w:t xml:space="preserve"> </w:t>
      </w:r>
    </w:p>
    <w:p w14:paraId="0453006E" w14:textId="77777777" w:rsidR="00557E12" w:rsidRPr="00F11F5D" w:rsidRDefault="00557E12" w:rsidP="00557E12">
      <w:pPr>
        <w:pStyle w:val="Heading2"/>
      </w:pPr>
      <w:bookmarkStart w:id="203" w:name="_Toc495351663"/>
      <w:bookmarkStart w:id="204" w:name="_Toc497653714"/>
      <w:bookmarkStart w:id="205" w:name="_Toc499542683"/>
      <w:r w:rsidRPr="00F11F5D">
        <w:t>Where the information should be published</w:t>
      </w:r>
      <w:bookmarkEnd w:id="203"/>
      <w:bookmarkEnd w:id="204"/>
      <w:bookmarkEnd w:id="205"/>
      <w:r w:rsidRPr="00F11F5D">
        <w:t xml:space="preserve"> </w:t>
      </w:r>
    </w:p>
    <w:p w14:paraId="7F443F3E" w14:textId="77777777" w:rsidR="00557E12" w:rsidRPr="006825BA" w:rsidRDefault="00557E12" w:rsidP="00557E12">
      <w:pPr>
        <w:pStyle w:val="BodyText"/>
        <w:keepNext/>
        <w:rPr>
          <w:b/>
          <w:color w:val="0099CC"/>
        </w:rPr>
      </w:pPr>
      <w:r>
        <w:rPr>
          <w:b/>
          <w:color w:val="0099CC"/>
        </w:rPr>
        <w:t>Background</w:t>
      </w:r>
    </w:p>
    <w:p w14:paraId="783B3212" w14:textId="77777777" w:rsidR="00557E12" w:rsidRDefault="00557E12" w:rsidP="00557E12">
      <w:pPr>
        <w:pStyle w:val="BodyText"/>
      </w:pPr>
      <w:r w:rsidRPr="00F11F5D">
        <w:t xml:space="preserve">The AEMC’s recommendations </w:t>
      </w:r>
      <w:r w:rsidR="004B2DA1">
        <w:t xml:space="preserve">regarding the reporting framework </w:t>
      </w:r>
      <w:r w:rsidRPr="00F11F5D">
        <w:t xml:space="preserve">did not specify where the information on secondary trades should be published. </w:t>
      </w:r>
      <w:r>
        <w:t xml:space="preserve">Apart from indicating </w:t>
      </w:r>
      <w:r w:rsidR="004B2DA1">
        <w:t xml:space="preserve">that </w:t>
      </w:r>
      <w:r>
        <w:t xml:space="preserve">it would be preferable to obtain all the secondary trade information from one location, the Standardisation project team did not </w:t>
      </w:r>
      <w:r w:rsidR="004B2DA1">
        <w:t>provide</w:t>
      </w:r>
      <w:r>
        <w:t xml:space="preserve"> a view on this issue.</w:t>
      </w:r>
    </w:p>
    <w:p w14:paraId="11FCC2D2" w14:textId="77777777" w:rsidR="00557E12" w:rsidRPr="006825BA" w:rsidRDefault="00DD15FF" w:rsidP="00557E12">
      <w:pPr>
        <w:pStyle w:val="BodyText"/>
        <w:keepNext/>
        <w:rPr>
          <w:b/>
          <w:color w:val="0099CC"/>
        </w:rPr>
      </w:pPr>
      <w:r>
        <w:rPr>
          <w:b/>
          <w:color w:val="0099CC"/>
        </w:rPr>
        <w:lastRenderedPageBreak/>
        <w:t>GMRG’s preliminary view</w:t>
      </w:r>
    </w:p>
    <w:p w14:paraId="28CAA385" w14:textId="77777777" w:rsidR="007E02FB" w:rsidRDefault="00557E12" w:rsidP="004F44B4">
      <w:pPr>
        <w:pStyle w:val="BodyText"/>
      </w:pPr>
      <w:r>
        <w:t>In the consultation paper</w:t>
      </w:r>
      <w:r w:rsidR="007E02FB">
        <w:t xml:space="preserve">, the </w:t>
      </w:r>
      <w:r w:rsidR="00005627">
        <w:t>G</w:t>
      </w:r>
      <w:r>
        <w:t>M</w:t>
      </w:r>
      <w:r w:rsidR="00005627">
        <w:t>R</w:t>
      </w:r>
      <w:r>
        <w:t xml:space="preserve">G </w:t>
      </w:r>
      <w:r w:rsidR="007E02FB">
        <w:t>suggested that</w:t>
      </w:r>
      <w:r w:rsidR="00105B4C">
        <w:t xml:space="preserve"> i</w:t>
      </w:r>
      <w:r>
        <w:t xml:space="preserve">nformation on </w:t>
      </w:r>
      <w:r w:rsidR="00F1710A">
        <w:t>exchange-based</w:t>
      </w:r>
      <w:r>
        <w:t xml:space="preserve"> capacity trades be published on the GSH</w:t>
      </w:r>
      <w:r w:rsidR="00105B4C">
        <w:t xml:space="preserve"> and that </w:t>
      </w:r>
      <w:r>
        <w:t xml:space="preserve">AEMO should be required to publish information about </w:t>
      </w:r>
      <w:r w:rsidR="00F1710A">
        <w:t>exchange-based</w:t>
      </w:r>
      <w:r>
        <w:t xml:space="preserve"> capacity trades and bilateral trades on the BB website</w:t>
      </w:r>
      <w:r w:rsidR="007E02FB">
        <w:t>.</w:t>
      </w:r>
      <w:r w:rsidR="004F44B4">
        <w:t xml:space="preserve"> </w:t>
      </w:r>
      <w:r w:rsidR="007E02FB">
        <w:t xml:space="preserve">The GMRG also noted that </w:t>
      </w:r>
      <w:r w:rsidR="00105B4C">
        <w:t xml:space="preserve">there would be value in the AER publishing a key data series for secondary capacity markets.  </w:t>
      </w:r>
    </w:p>
    <w:p w14:paraId="00EFE5C2" w14:textId="77777777" w:rsidR="00557E12" w:rsidRDefault="00557E12" w:rsidP="00557E12">
      <w:pPr>
        <w:pStyle w:val="BodyText"/>
        <w:keepNext/>
        <w:rPr>
          <w:b/>
          <w:color w:val="0099CC"/>
        </w:rPr>
      </w:pPr>
      <w:r>
        <w:rPr>
          <w:b/>
          <w:color w:val="0099CC"/>
        </w:rPr>
        <w:t>Feedback provided through the consultation process</w:t>
      </w:r>
    </w:p>
    <w:p w14:paraId="0E4DFF0C" w14:textId="77777777" w:rsidR="00557E12" w:rsidRPr="00105B4C" w:rsidRDefault="00105B4C" w:rsidP="00105B4C">
      <w:pPr>
        <w:pStyle w:val="BodyText"/>
      </w:pPr>
      <w:r>
        <w:t xml:space="preserve">Stakeholders </w:t>
      </w:r>
      <w:r w:rsidR="00557E12">
        <w:t xml:space="preserve">did not raise any </w:t>
      </w:r>
      <w:r>
        <w:t xml:space="preserve">specific </w:t>
      </w:r>
      <w:r w:rsidR="00557E12">
        <w:t xml:space="preserve">concerns with </w:t>
      </w:r>
      <w:r>
        <w:t xml:space="preserve">the </w:t>
      </w:r>
      <w:r w:rsidR="004B2DA1">
        <w:t>GMRG’s preliminary view</w:t>
      </w:r>
      <w:r w:rsidR="00557E12">
        <w:t xml:space="preserve">. </w:t>
      </w:r>
      <w:r w:rsidR="00557E12" w:rsidRPr="001B09B6">
        <w:t xml:space="preserve">AEMO </w:t>
      </w:r>
      <w:r>
        <w:t xml:space="preserve">did, however, note </w:t>
      </w:r>
      <w:r w:rsidR="00557E12" w:rsidRPr="001B09B6">
        <w:t xml:space="preserve">that </w:t>
      </w:r>
      <w:r>
        <w:t xml:space="preserve">there was unlikely to be a need </w:t>
      </w:r>
      <w:r w:rsidR="00557E12" w:rsidRPr="001B09B6">
        <w:t>for a near</w:t>
      </w:r>
      <w:r w:rsidR="00005627">
        <w:t xml:space="preserve"> real-</w:t>
      </w:r>
      <w:r w:rsidR="00557E12" w:rsidRPr="001B09B6">
        <w:t xml:space="preserve">time reporting system (or a ticker) outside of the </w:t>
      </w:r>
      <w:r>
        <w:t xml:space="preserve">GSH in the early stages and therefore suggested that </w:t>
      </w:r>
      <w:r w:rsidR="00F1710A">
        <w:t>exchange-based</w:t>
      </w:r>
      <w:r w:rsidRPr="001B09B6">
        <w:t xml:space="preserve"> trades be published </w:t>
      </w:r>
      <w:r>
        <w:t xml:space="preserve">on the BB at the </w:t>
      </w:r>
      <w:r w:rsidRPr="001B09B6">
        <w:t xml:space="preserve">end of the gas day. </w:t>
      </w:r>
      <w:r>
        <w:t>AEMO added that t</w:t>
      </w:r>
      <w:r w:rsidR="00557E12" w:rsidRPr="001B09B6">
        <w:t xml:space="preserve">his could be </w:t>
      </w:r>
      <w:r>
        <w:t>re</w:t>
      </w:r>
      <w:r w:rsidR="00557E12" w:rsidRPr="001B09B6">
        <w:t xml:space="preserve">considered once the </w:t>
      </w:r>
      <w:r>
        <w:t xml:space="preserve">platform has </w:t>
      </w:r>
      <w:r w:rsidR="00557E12" w:rsidRPr="001B09B6">
        <w:t xml:space="preserve">launched </w:t>
      </w:r>
      <w:r>
        <w:t xml:space="preserve">and there is a better indication of </w:t>
      </w:r>
      <w:r w:rsidR="00557E12" w:rsidRPr="001B09B6">
        <w:t xml:space="preserve">market activity and participant interest. </w:t>
      </w:r>
    </w:p>
    <w:p w14:paraId="613E3258" w14:textId="77777777" w:rsidR="00557E12" w:rsidRPr="006825BA" w:rsidRDefault="00557E12" w:rsidP="00557E12">
      <w:pPr>
        <w:pStyle w:val="BodyText"/>
        <w:keepNext/>
        <w:rPr>
          <w:b/>
          <w:color w:val="0099CC"/>
        </w:rPr>
      </w:pPr>
      <w:r>
        <w:rPr>
          <w:b/>
          <w:color w:val="0099CC"/>
        </w:rPr>
        <w:t xml:space="preserve">GMRG’s final recommendations </w:t>
      </w:r>
    </w:p>
    <w:p w14:paraId="2A1E4E26" w14:textId="77777777" w:rsidR="00557E12" w:rsidRDefault="004F44B4" w:rsidP="00557E12">
      <w:pPr>
        <w:pStyle w:val="BodyText"/>
      </w:pPr>
      <w:r>
        <w:t xml:space="preserve">In keeping with the position that was reached in the consultation paper, the GMRG </w:t>
      </w:r>
      <w:r w:rsidR="00557E12">
        <w:t>recommends that:</w:t>
      </w:r>
    </w:p>
    <w:p w14:paraId="67A8C073" w14:textId="77777777" w:rsidR="00557E12" w:rsidRDefault="00557E12" w:rsidP="00557E12">
      <w:pPr>
        <w:pStyle w:val="ListBullet"/>
      </w:pPr>
      <w:r>
        <w:t>I</w:t>
      </w:r>
      <w:r w:rsidRPr="00F11F5D">
        <w:t xml:space="preserve">nformation on </w:t>
      </w:r>
      <w:r w:rsidR="00F1710A">
        <w:t>exchange-based</w:t>
      </w:r>
      <w:r w:rsidRPr="00F11F5D">
        <w:t xml:space="preserve"> capacity trades </w:t>
      </w:r>
      <w:r>
        <w:t xml:space="preserve">should </w:t>
      </w:r>
      <w:r w:rsidRPr="00F11F5D">
        <w:t>be published on</w:t>
      </w:r>
      <w:r>
        <w:t xml:space="preserve"> </w:t>
      </w:r>
      <w:r w:rsidRPr="00F11F5D">
        <w:t>the GSH</w:t>
      </w:r>
      <w:r>
        <w:t xml:space="preserve"> (as it currently is for commodity trades) so that </w:t>
      </w:r>
      <w:r w:rsidRPr="00F11F5D">
        <w:t>trading participants can readily access this information</w:t>
      </w:r>
      <w:r>
        <w:t xml:space="preserve"> when they are trading.</w:t>
      </w:r>
    </w:p>
    <w:p w14:paraId="4FEBE1E7" w14:textId="77777777" w:rsidR="00557E12" w:rsidRDefault="00557E12" w:rsidP="00557E12">
      <w:pPr>
        <w:pStyle w:val="ListBullet"/>
      </w:pPr>
      <w:r>
        <w:t xml:space="preserve">AEMO be required to publish information about </w:t>
      </w:r>
      <w:r w:rsidR="00F1710A">
        <w:t>exchange-based</w:t>
      </w:r>
      <w:r>
        <w:t xml:space="preserve"> capacity trades and bilateral trades on the BB website</w:t>
      </w:r>
      <w:r w:rsidR="004F44B4">
        <w:t xml:space="preserve"> at the end of the gas day</w:t>
      </w:r>
      <w:r>
        <w:t>, so that a person wishing to access the information does not need to become a GSH participant.</w:t>
      </w:r>
      <w:r>
        <w:rPr>
          <w:rStyle w:val="FootnoteReference"/>
        </w:rPr>
        <w:footnoteReference w:id="104"/>
      </w:r>
      <w:r>
        <w:t xml:space="preserve"> AEMO could also be given the discretion in the Exchange Agreement to publish information about bilateral trades on the GSH, so that users of the trading platform can readily access this information.</w:t>
      </w:r>
    </w:p>
    <w:p w14:paraId="27464ADD" w14:textId="77777777" w:rsidR="004F44B4" w:rsidRDefault="004F44B4" w:rsidP="00557E12">
      <w:pPr>
        <w:pStyle w:val="ListBullet"/>
      </w:pPr>
      <w:r>
        <w:t>The AER publish key data series for secondary capacity markets, the form and frequency of which will be a matter for the AER to determine.</w:t>
      </w:r>
    </w:p>
    <w:p w14:paraId="4EB2C1FF" w14:textId="77777777" w:rsidR="00557E12" w:rsidRDefault="004F44B4" w:rsidP="004F44B4">
      <w:pPr>
        <w:pStyle w:val="ListBullet"/>
        <w:numPr>
          <w:ilvl w:val="0"/>
          <w:numId w:val="0"/>
        </w:numPr>
      </w:pPr>
      <w:r>
        <w:t xml:space="preserve">In relation to the issue AEMO raised, the </w:t>
      </w:r>
      <w:r w:rsidR="00557E12">
        <w:t xml:space="preserve">GMRG </w:t>
      </w:r>
      <w:r>
        <w:t xml:space="preserve">agrees that there is unlikely to be demand for a real-time reporting system on the BB in the initial stages of the capacity trading platform’s life, particularly given this information will be available on the GSH. The final recommendation therefore assumes that this information will be published on the BB at the end of the gas day. </w:t>
      </w:r>
    </w:p>
    <w:p w14:paraId="3AC938F1" w14:textId="77777777" w:rsidR="00557E12" w:rsidRDefault="00557E12" w:rsidP="00B826A7">
      <w:pPr>
        <w:pStyle w:val="Heading2"/>
      </w:pPr>
      <w:bookmarkStart w:id="206" w:name="_Toc499542684"/>
      <w:r>
        <w:t>Advertising trades in advance</w:t>
      </w:r>
      <w:bookmarkEnd w:id="206"/>
      <w:r>
        <w:t xml:space="preserve"> </w:t>
      </w:r>
    </w:p>
    <w:p w14:paraId="549A3F34" w14:textId="77777777" w:rsidR="00557E12" w:rsidRPr="00252B97" w:rsidRDefault="00557E12" w:rsidP="00557E12">
      <w:pPr>
        <w:pStyle w:val="BodyText"/>
        <w:keepNext/>
        <w:rPr>
          <w:b/>
          <w:color w:val="0099CC"/>
        </w:rPr>
      </w:pPr>
      <w:r w:rsidRPr="00252B97">
        <w:rPr>
          <w:b/>
          <w:color w:val="0099CC"/>
        </w:rPr>
        <w:t>Background</w:t>
      </w:r>
    </w:p>
    <w:p w14:paraId="3C779CEF" w14:textId="77777777" w:rsidR="005C0F62" w:rsidRDefault="005C0F62" w:rsidP="005C0F62">
      <w:pPr>
        <w:pStyle w:val="BodyText"/>
      </w:pPr>
      <w:r>
        <w:t xml:space="preserve">In the </w:t>
      </w:r>
      <w:r>
        <w:rPr>
          <w:i/>
        </w:rPr>
        <w:t xml:space="preserve">East Coast Review, </w:t>
      </w:r>
      <w:r w:rsidRPr="005C0F62">
        <w:t xml:space="preserve">the AEMC </w:t>
      </w:r>
      <w:r>
        <w:t xml:space="preserve">recommended that trades conducted </w:t>
      </w:r>
      <w:r w:rsidRPr="008D4D90">
        <w:t xml:space="preserve">outside the </w:t>
      </w:r>
      <w:r>
        <w:t xml:space="preserve">exchange </w:t>
      </w:r>
      <w:r w:rsidRPr="008D4D90">
        <w:t>be advertised ahead of time</w:t>
      </w:r>
      <w:r>
        <w:t xml:space="preserve"> on the capacity trading platform listing service (preferred outcome)</w:t>
      </w:r>
      <w:r w:rsidR="00AB4D0F">
        <w:t>. This recommendation was made</w:t>
      </w:r>
      <w:r>
        <w:t xml:space="preserve"> </w:t>
      </w:r>
      <w:r w:rsidR="004B2DA1">
        <w:t xml:space="preserve">in response to concerns that </w:t>
      </w:r>
      <w:r>
        <w:lastRenderedPageBreak/>
        <w:t>allowing trades to occur outside the exchange would not guarantee non-discriminatory access to capacity. Specifically, the AEMC was concerned that c</w:t>
      </w:r>
      <w:r w:rsidRPr="00FB5975">
        <w:t xml:space="preserve">ounterparties could discriminate against one another, by choosing not to enter into a bilateral trade, or pricing </w:t>
      </w:r>
      <w:r>
        <w:t xml:space="preserve">the </w:t>
      </w:r>
      <w:r w:rsidRPr="00FB5975">
        <w:t>trade differently than would otherwise be the case.</w:t>
      </w:r>
      <w:r>
        <w:rPr>
          <w:rStyle w:val="FootnoteReference"/>
        </w:rPr>
        <w:footnoteReference w:id="105"/>
      </w:r>
      <w:r>
        <w:t xml:space="preserve"> </w:t>
      </w:r>
    </w:p>
    <w:p w14:paraId="53CC5E01" w14:textId="77777777" w:rsidR="005C0F62" w:rsidRPr="00B836C8" w:rsidRDefault="005C0F62" w:rsidP="005C0F62">
      <w:pPr>
        <w:pStyle w:val="BodyText"/>
        <w:rPr>
          <w:rFonts w:asciiTheme="majorHAnsi" w:hAnsiTheme="majorHAnsi" w:cstheme="majorHAnsi"/>
        </w:rPr>
      </w:pPr>
      <w:r>
        <w:t>This recommendation was discussed with the project team</w:t>
      </w:r>
      <w:r w:rsidR="00AB4D0F">
        <w:t xml:space="preserve">. In short, the project team </w:t>
      </w:r>
      <w:r w:rsidR="004B2DA1">
        <w:t xml:space="preserve">were of the view </w:t>
      </w:r>
      <w:r>
        <w:t>that the recommendation would be difficult to implement and monitor because trading pa</w:t>
      </w:r>
      <w:r w:rsidRPr="00B836C8">
        <w:t xml:space="preserve">rties are unlikely to have an incentive to inform </w:t>
      </w:r>
      <w:r>
        <w:t>the AER</w:t>
      </w:r>
      <w:r w:rsidRPr="00B836C8">
        <w:t xml:space="preserve">. </w:t>
      </w:r>
      <w:r>
        <w:t xml:space="preserve">The project team </w:t>
      </w:r>
      <w:r w:rsidRPr="00B836C8">
        <w:t xml:space="preserve">also </w:t>
      </w:r>
      <w:r>
        <w:t xml:space="preserve">noted </w:t>
      </w:r>
      <w:r w:rsidRPr="00B836C8">
        <w:t>that discriminatory access</w:t>
      </w:r>
      <w:r>
        <w:t xml:space="preserve"> was not as significant an issue as it was in the U</w:t>
      </w:r>
      <w:r w:rsidR="00CB1B46">
        <w:t xml:space="preserve">nited </w:t>
      </w:r>
      <w:r>
        <w:t>S</w:t>
      </w:r>
      <w:r w:rsidR="00CB1B46">
        <w:t>tates</w:t>
      </w:r>
      <w:r>
        <w:t xml:space="preserve"> where this approach has been employed and added </w:t>
      </w:r>
      <w:r w:rsidRPr="00B836C8">
        <w:t>that this type of obligation could</w:t>
      </w:r>
      <w:r w:rsidR="002A6FD0">
        <w:t xml:space="preserve"> adversely affect trade. </w:t>
      </w:r>
      <w:r>
        <w:t xml:space="preserve">The views expressed </w:t>
      </w:r>
      <w:r w:rsidR="002A6FD0">
        <w:t xml:space="preserve">by the project team </w:t>
      </w:r>
      <w:r>
        <w:t xml:space="preserve">in this context are similar to the feedback that the AEMC received from stakeholders in the </w:t>
      </w:r>
      <w:r w:rsidRPr="00B836C8">
        <w:rPr>
          <w:i/>
        </w:rPr>
        <w:t>East Coast Review.</w:t>
      </w:r>
      <w:r>
        <w:rPr>
          <w:rStyle w:val="FootnoteReference"/>
          <w:i/>
        </w:rPr>
        <w:footnoteReference w:id="106"/>
      </w:r>
    </w:p>
    <w:p w14:paraId="623F3CC1" w14:textId="77777777" w:rsidR="00557E12" w:rsidRDefault="00DD15FF" w:rsidP="00557E12">
      <w:pPr>
        <w:pStyle w:val="BodyText"/>
        <w:keepNext/>
        <w:rPr>
          <w:b/>
          <w:color w:val="0099CC"/>
        </w:rPr>
      </w:pPr>
      <w:r>
        <w:rPr>
          <w:b/>
          <w:color w:val="0099CC"/>
        </w:rPr>
        <w:t>GMRG’s preliminary view</w:t>
      </w:r>
    </w:p>
    <w:p w14:paraId="2F0AA3A3" w14:textId="77777777" w:rsidR="005C0F62" w:rsidRPr="00B836C8" w:rsidRDefault="005C0F62" w:rsidP="005C0F62">
      <w:pPr>
        <w:pStyle w:val="BodyText"/>
        <w:rPr>
          <w:highlight w:val="yellow"/>
        </w:rPr>
      </w:pPr>
      <w:r>
        <w:t xml:space="preserve">In the consultation paper, the GMRG noted that </w:t>
      </w:r>
      <w:r w:rsidR="00C87F46">
        <w:t xml:space="preserve">while </w:t>
      </w:r>
      <w:r>
        <w:t xml:space="preserve">it appreciated the concerns that project team members and stakeholders in the </w:t>
      </w:r>
      <w:r w:rsidRPr="005C0F62">
        <w:rPr>
          <w:i/>
        </w:rPr>
        <w:t>East Coast Review</w:t>
      </w:r>
      <w:r>
        <w:t xml:space="preserve"> had raised about this recommendation</w:t>
      </w:r>
      <w:r w:rsidR="00C87F46">
        <w:t xml:space="preserve"> </w:t>
      </w:r>
      <w:r w:rsidR="004B2DA1">
        <w:t>it</w:t>
      </w:r>
      <w:r w:rsidR="00C87F46">
        <w:t xml:space="preserve"> was </w:t>
      </w:r>
      <w:r>
        <w:t xml:space="preserve">yet to form a final view on this issue. The GMRG therefore </w:t>
      </w:r>
      <w:r w:rsidR="00C87F46">
        <w:t xml:space="preserve">sought </w:t>
      </w:r>
      <w:r>
        <w:t xml:space="preserve">further feedback from </w:t>
      </w:r>
      <w:r w:rsidRPr="00B836C8">
        <w:t>stakeholder</w:t>
      </w:r>
      <w:r>
        <w:t>s</w:t>
      </w:r>
      <w:r w:rsidRPr="00B836C8">
        <w:t xml:space="preserve"> </w:t>
      </w:r>
      <w:r>
        <w:t xml:space="preserve">on the workability of this proposal and whether the AEMC’s concerns about discriminatory access </w:t>
      </w:r>
      <w:r w:rsidR="004B2DA1">
        <w:t>sh</w:t>
      </w:r>
      <w:r>
        <w:t xml:space="preserve">ould be addressed by the </w:t>
      </w:r>
      <w:r w:rsidRPr="00B836C8">
        <w:t xml:space="preserve">reporting </w:t>
      </w:r>
      <w:r>
        <w:t>framework</w:t>
      </w:r>
      <w:r w:rsidRPr="00B836C8">
        <w:t>.</w:t>
      </w:r>
    </w:p>
    <w:p w14:paraId="463470CB" w14:textId="77777777" w:rsidR="00557E12" w:rsidRPr="00252B97" w:rsidRDefault="00557E12" w:rsidP="00557E12">
      <w:pPr>
        <w:pStyle w:val="BodyText"/>
        <w:keepNext/>
        <w:rPr>
          <w:b/>
          <w:color w:val="0099CC"/>
        </w:rPr>
      </w:pPr>
      <w:r w:rsidRPr="00252B97">
        <w:rPr>
          <w:b/>
          <w:color w:val="0099CC"/>
        </w:rPr>
        <w:t>Feedback provided through the consultation process</w:t>
      </w:r>
    </w:p>
    <w:p w14:paraId="64D7E7A6" w14:textId="77777777" w:rsidR="00F004AC" w:rsidRDefault="00C87F46" w:rsidP="00557E12">
      <w:pPr>
        <w:pStyle w:val="BodyText"/>
      </w:pPr>
      <w:r>
        <w:t xml:space="preserve">The </w:t>
      </w:r>
      <w:r w:rsidR="00F004AC">
        <w:t xml:space="preserve">majority of </w:t>
      </w:r>
      <w:r>
        <w:t xml:space="preserve">stakeholders that responded to this issue </w:t>
      </w:r>
      <w:r w:rsidR="00F004AC">
        <w:t xml:space="preserve">agreed with the project team that requiring bilateral trades to be advertised ahead of time on the listing service </w:t>
      </w:r>
      <w:r>
        <w:t xml:space="preserve">was </w:t>
      </w:r>
      <w:r w:rsidR="00557E12">
        <w:t>unnecessary</w:t>
      </w:r>
      <w:r w:rsidR="00F004AC">
        <w:t>,</w:t>
      </w:r>
      <w:r w:rsidR="00557E12">
        <w:t xml:space="preserve"> </w:t>
      </w:r>
      <w:r w:rsidR="00F004AC">
        <w:t xml:space="preserve">would </w:t>
      </w:r>
      <w:r>
        <w:t xml:space="preserve">be </w:t>
      </w:r>
      <w:r w:rsidR="00557E12">
        <w:t>difficult to implement</w:t>
      </w:r>
      <w:r w:rsidR="00F004AC">
        <w:t>, and could discourage trading</w:t>
      </w:r>
      <w:r w:rsidR="00557E12">
        <w:t xml:space="preserve">.  </w:t>
      </w:r>
      <w:r>
        <w:t xml:space="preserve">A number of stakeholders also noted </w:t>
      </w:r>
      <w:r w:rsidR="00557E12">
        <w:t>that</w:t>
      </w:r>
      <w:r w:rsidR="00F004AC">
        <w:t xml:space="preserve"> shippers should have </w:t>
      </w:r>
      <w:r w:rsidR="00557E12">
        <w:t xml:space="preserve">a strong incentive to </w:t>
      </w:r>
      <w:r w:rsidR="00F004AC">
        <w:t xml:space="preserve">use the capacity trading platform </w:t>
      </w:r>
      <w:r w:rsidR="00557E12" w:rsidRPr="00264127">
        <w:t>to maximise the likelihood of finding the participant who places the highest value on the</w:t>
      </w:r>
      <w:r w:rsidR="00F004AC">
        <w:t>ir</w:t>
      </w:r>
      <w:r w:rsidR="00557E12" w:rsidRPr="00264127">
        <w:t xml:space="preserve"> </w:t>
      </w:r>
      <w:r>
        <w:t>capacity</w:t>
      </w:r>
      <w:r w:rsidR="004B2DA1">
        <w:t xml:space="preserve"> (</w:t>
      </w:r>
      <w:r w:rsidR="00557E12" w:rsidRPr="00264127">
        <w:t xml:space="preserve">unless the deal </w:t>
      </w:r>
      <w:r w:rsidR="00F004AC">
        <w:t xml:space="preserve">includes some </w:t>
      </w:r>
      <w:r w:rsidR="00557E12" w:rsidRPr="00264127">
        <w:t>unusual features</w:t>
      </w:r>
      <w:r w:rsidR="004B2DA1">
        <w:t>)</w:t>
      </w:r>
      <w:r w:rsidR="00F004AC">
        <w:t xml:space="preserve">. </w:t>
      </w:r>
    </w:p>
    <w:p w14:paraId="49DEA538" w14:textId="77777777" w:rsidR="00557E12" w:rsidRDefault="00F004AC" w:rsidP="00557E12">
      <w:pPr>
        <w:pStyle w:val="BodyText"/>
      </w:pPr>
      <w:r>
        <w:t xml:space="preserve">The one exception to this </w:t>
      </w:r>
      <w:r w:rsidR="004B2DA1">
        <w:t xml:space="preserve">general view </w:t>
      </w:r>
      <w:r>
        <w:t xml:space="preserve">was </w:t>
      </w:r>
      <w:r w:rsidR="00557E12">
        <w:t>APLNG</w:t>
      </w:r>
      <w:r>
        <w:t xml:space="preserve"> who </w:t>
      </w:r>
      <w:r w:rsidR="004B2DA1">
        <w:t xml:space="preserve">indicated </w:t>
      </w:r>
      <w:r>
        <w:t xml:space="preserve">that if these trades were not advertised it may result in information not being made available to the market and could result in discriminatory access. APLNG </w:t>
      </w:r>
      <w:r w:rsidR="00296A3C">
        <w:t xml:space="preserve">did, however, note that this issue could be revisited in the future. </w:t>
      </w:r>
    </w:p>
    <w:p w14:paraId="7D752DFB" w14:textId="77777777" w:rsidR="00557E12" w:rsidRDefault="00557E12" w:rsidP="00557E12">
      <w:pPr>
        <w:pStyle w:val="BodyText"/>
        <w:keepNext/>
        <w:rPr>
          <w:b/>
          <w:color w:val="0099CC"/>
        </w:rPr>
      </w:pPr>
      <w:r w:rsidRPr="00252B97">
        <w:rPr>
          <w:b/>
          <w:color w:val="0099CC"/>
        </w:rPr>
        <w:t>GMRG’s final recommendations</w:t>
      </w:r>
    </w:p>
    <w:p w14:paraId="1371F1D1" w14:textId="77777777" w:rsidR="002A6FD0" w:rsidRDefault="00F004AC" w:rsidP="00F004AC">
      <w:pPr>
        <w:pStyle w:val="BodyText"/>
      </w:pPr>
      <w:r>
        <w:t xml:space="preserve">The GMRG has considered the feedback provided by stakeholders on this issue and agrees that </w:t>
      </w:r>
      <w:r w:rsidR="002A6FD0">
        <w:t xml:space="preserve">requiring shippers to advertise bilateral trades on the listing service could: </w:t>
      </w:r>
    </w:p>
    <w:p w14:paraId="1556ADAE" w14:textId="77777777" w:rsidR="002A6FD0" w:rsidRDefault="002A6FD0" w:rsidP="002A6FD0">
      <w:pPr>
        <w:pStyle w:val="ListBullet"/>
      </w:pPr>
      <w:r>
        <w:t>be difficult to implement and enforce because trading pa</w:t>
      </w:r>
      <w:r w:rsidRPr="00B836C8">
        <w:t xml:space="preserve">rties are unlikely to have an incentive to inform </w:t>
      </w:r>
      <w:r>
        <w:t>the AER;</w:t>
      </w:r>
    </w:p>
    <w:p w14:paraId="39519C04" w14:textId="77777777" w:rsidR="002A6FD0" w:rsidRDefault="002A6FD0" w:rsidP="002A6FD0">
      <w:pPr>
        <w:pStyle w:val="ListBullet"/>
      </w:pPr>
      <w:r>
        <w:t xml:space="preserve">impede the ability of participants to conduct trades in a timely manner; and </w:t>
      </w:r>
    </w:p>
    <w:p w14:paraId="0ADB1AF3" w14:textId="77777777" w:rsidR="00F004AC" w:rsidRDefault="002A6FD0" w:rsidP="002A6FD0">
      <w:pPr>
        <w:pStyle w:val="ListBullet"/>
      </w:pPr>
      <w:proofErr w:type="gramStart"/>
      <w:r>
        <w:t>discourage</w:t>
      </w:r>
      <w:proofErr w:type="gramEnd"/>
      <w:r>
        <w:t xml:space="preserve"> trades where capacity is a small component of the overall trade. </w:t>
      </w:r>
    </w:p>
    <w:p w14:paraId="298BF274" w14:textId="77777777" w:rsidR="00537991" w:rsidRDefault="002A6FD0" w:rsidP="002A6FD0">
      <w:pPr>
        <w:pStyle w:val="BodyText"/>
      </w:pPr>
      <w:r>
        <w:lastRenderedPageBreak/>
        <w:t xml:space="preserve">Given the risks associated with this requirement, the GMRG is of the view that </w:t>
      </w:r>
      <w:r w:rsidR="00F004AC">
        <w:t>rather than requiring bilateral trades to be listed ahead of time, these trades should be subject to the reporting framework, with the prices and other key terms struck in these trades published on an ex post basis</w:t>
      </w:r>
      <w:r w:rsidR="00537991">
        <w:t xml:space="preserve"> by the earlier of:</w:t>
      </w:r>
    </w:p>
    <w:p w14:paraId="1B1AC5F7" w14:textId="77777777" w:rsidR="00537991" w:rsidRDefault="00537991" w:rsidP="00537991">
      <w:pPr>
        <w:pStyle w:val="ListBullet"/>
      </w:pPr>
      <w:r>
        <w:t>one business day after the trade is executed; and</w:t>
      </w:r>
    </w:p>
    <w:p w14:paraId="6D295E28" w14:textId="77777777" w:rsidR="00537991" w:rsidRDefault="00537991" w:rsidP="00537991">
      <w:pPr>
        <w:pStyle w:val="ListBullet"/>
      </w:pPr>
      <w:proofErr w:type="gramStart"/>
      <w:r>
        <w:t>the</w:t>
      </w:r>
      <w:proofErr w:type="gramEnd"/>
      <w:r>
        <w:t xml:space="preserve"> day prior to the trade commencing (D-1).</w:t>
      </w:r>
    </w:p>
    <w:p w14:paraId="12A5996C" w14:textId="5470F502" w:rsidR="00F004AC" w:rsidRDefault="002A6FD0" w:rsidP="002A6FD0">
      <w:pPr>
        <w:pStyle w:val="BodyText"/>
      </w:pPr>
      <w:r>
        <w:t>In the GMRG’s view, t</w:t>
      </w:r>
      <w:r w:rsidR="00F004AC">
        <w:t>he publication of this information on an ex post basis should discourage parties from engaging in any form of discriminatory behaviour. However, if this does not occur and the reported information reveals that some form of discrimination is occurring then the AEMC could recommend further changes as part of its biennial review of liquidity in the wholesale gas and pipeline capacity trading markets.</w:t>
      </w:r>
    </w:p>
    <w:p w14:paraId="75FB8019" w14:textId="77777777" w:rsidR="00557E12" w:rsidRPr="008F3C8D" w:rsidRDefault="00557E12" w:rsidP="00557E12">
      <w:pPr>
        <w:pStyle w:val="BodyText"/>
        <w:spacing w:before="0" w:after="0" w:line="240" w:lineRule="auto"/>
        <w:rPr>
          <w:sz w:val="2"/>
          <w:szCs w:val="2"/>
        </w:rPr>
      </w:pPr>
      <w:r w:rsidRPr="008F3C8D">
        <w:rPr>
          <w:sz w:val="2"/>
          <w:szCs w:val="2"/>
        </w:rPr>
        <w:br w:type="page"/>
      </w:r>
    </w:p>
    <w:p w14:paraId="4C6E444E" w14:textId="77777777" w:rsidR="00557E12" w:rsidRDefault="00557E12" w:rsidP="00557E12">
      <w:pPr>
        <w:pStyle w:val="Heading1"/>
      </w:pPr>
      <w:bookmarkStart w:id="207" w:name="_Toc495351665"/>
      <w:bookmarkStart w:id="208" w:name="_Toc497653715"/>
      <w:bookmarkStart w:id="209" w:name="_Toc499542685"/>
      <w:r>
        <w:lastRenderedPageBreak/>
        <w:t>Governance Arrangements for the Reporting Framework for Secondary Trades</w:t>
      </w:r>
      <w:bookmarkEnd w:id="207"/>
      <w:bookmarkEnd w:id="208"/>
      <w:bookmarkEnd w:id="209"/>
    </w:p>
    <w:p w14:paraId="3D3F3CAD" w14:textId="77777777" w:rsidR="00557E12" w:rsidRDefault="00557E12" w:rsidP="00557E12">
      <w:pPr>
        <w:pStyle w:val="BodyText"/>
      </w:pPr>
      <w:r>
        <w:t xml:space="preserve">To give effect to the reporting framework for secondary capacity trades outlined in the preceding chapter, a number of changes will need to be made to the NGL, NGR and Exchange Agreement. </w:t>
      </w:r>
      <w:r>
        <w:fldChar w:fldCharType="begin"/>
      </w:r>
      <w:r>
        <w:instrText xml:space="preserve"> REF _Ref497053297 \h </w:instrText>
      </w:r>
      <w:r>
        <w:fldChar w:fldCharType="separate"/>
      </w:r>
      <w:r w:rsidR="00761861" w:rsidRPr="004F7523">
        <w:t xml:space="preserve">Table </w:t>
      </w:r>
      <w:r w:rsidR="00761861">
        <w:rPr>
          <w:noProof/>
        </w:rPr>
        <w:t>13</w:t>
      </w:r>
      <w:r w:rsidR="00761861">
        <w:t>.</w:t>
      </w:r>
      <w:r w:rsidR="00761861">
        <w:rPr>
          <w:noProof/>
        </w:rPr>
        <w:t>1</w:t>
      </w:r>
      <w:r>
        <w:fldChar w:fldCharType="end"/>
      </w:r>
      <w:r>
        <w:t xml:space="preserve"> provides a summary of the changes </w:t>
      </w:r>
      <w:r w:rsidR="004B2DA1">
        <w:t xml:space="preserve">that </w:t>
      </w:r>
      <w:r>
        <w:t xml:space="preserve">will be required to give effect to the reporting framework. </w:t>
      </w:r>
    </w:p>
    <w:p w14:paraId="3E07989B" w14:textId="77777777" w:rsidR="00557E12" w:rsidRDefault="00557E12" w:rsidP="00557E12">
      <w:pPr>
        <w:pStyle w:val="Caption"/>
        <w:spacing w:after="0"/>
        <w:rPr>
          <w:rStyle w:val="Bold"/>
          <w:b/>
        </w:rPr>
      </w:pPr>
      <w:bookmarkStart w:id="210" w:name="_Ref497053297"/>
      <w:r w:rsidRPr="004F7523">
        <w:t xml:space="preserve">Table </w:t>
      </w:r>
      <w:r w:rsidR="00983431">
        <w:fldChar w:fldCharType="begin"/>
      </w:r>
      <w:r w:rsidR="00983431">
        <w:instrText xml:space="preserve"> STYLEREF 1 \s </w:instrText>
      </w:r>
      <w:r w:rsidR="00983431">
        <w:fldChar w:fldCharType="separate"/>
      </w:r>
      <w:r w:rsidR="00761861">
        <w:rPr>
          <w:noProof/>
        </w:rPr>
        <w:t>13</w:t>
      </w:r>
      <w:r w:rsidR="00983431">
        <w:rPr>
          <w:noProof/>
        </w:rPr>
        <w:fldChar w:fldCharType="end"/>
      </w:r>
      <w:r w:rsidR="00901056">
        <w:t>.</w:t>
      </w:r>
      <w:r w:rsidR="00983431">
        <w:fldChar w:fldCharType="begin"/>
      </w:r>
      <w:r w:rsidR="00983431">
        <w:instrText xml:space="preserve"> SEQ Table \* ARABIC \s 1 </w:instrText>
      </w:r>
      <w:r w:rsidR="00983431">
        <w:fldChar w:fldCharType="separate"/>
      </w:r>
      <w:r w:rsidR="00761861">
        <w:rPr>
          <w:noProof/>
        </w:rPr>
        <w:t>1</w:t>
      </w:r>
      <w:r w:rsidR="00983431">
        <w:rPr>
          <w:noProof/>
        </w:rPr>
        <w:fldChar w:fldCharType="end"/>
      </w:r>
      <w:bookmarkEnd w:id="210"/>
      <w:r w:rsidRPr="004F7523">
        <w:t xml:space="preserve">: </w:t>
      </w:r>
      <w:r w:rsidRPr="004F7523">
        <w:rPr>
          <w:rStyle w:val="Bold"/>
          <w:b/>
        </w:rPr>
        <w:t>Governance arrangements for reporting framework</w:t>
      </w:r>
    </w:p>
    <w:tbl>
      <w:tblPr>
        <w:tblStyle w:val="TableGrid"/>
        <w:tblW w:w="4920" w:type="pct"/>
        <w:tblLook w:val="0420" w:firstRow="1" w:lastRow="0" w:firstColumn="0" w:lastColumn="0" w:noHBand="0" w:noVBand="1"/>
        <w:tblCaption w:val="Table 13.1"/>
        <w:tblDescription w:val="Governance arrangements for reporting framework"/>
      </w:tblPr>
      <w:tblGrid>
        <w:gridCol w:w="1209"/>
        <w:gridCol w:w="7438"/>
      </w:tblGrid>
      <w:tr w:rsidR="00557E12" w:rsidRPr="004F7523" w14:paraId="2289590F" w14:textId="77777777" w:rsidTr="00557E12">
        <w:trPr>
          <w:cnfStyle w:val="100000000000" w:firstRow="1" w:lastRow="0" w:firstColumn="0" w:lastColumn="0" w:oddVBand="0" w:evenVBand="0" w:oddHBand="0" w:evenHBand="0" w:firstRowFirstColumn="0" w:firstRowLastColumn="0" w:lastRowFirstColumn="0" w:lastRowLastColumn="0"/>
          <w:tblHeader/>
        </w:trPr>
        <w:tc>
          <w:tcPr>
            <w:tcW w:w="699" w:type="pct"/>
            <w:shd w:val="clear" w:color="auto" w:fill="0099CC"/>
          </w:tcPr>
          <w:p w14:paraId="44765165" w14:textId="77777777" w:rsidR="00557E12" w:rsidRPr="004F7523" w:rsidRDefault="00557E12" w:rsidP="00557E12">
            <w:pPr>
              <w:pStyle w:val="TableHeading"/>
              <w:spacing w:before="80" w:after="80"/>
              <w:rPr>
                <w:szCs w:val="18"/>
              </w:rPr>
            </w:pPr>
            <w:r w:rsidRPr="004F7523">
              <w:rPr>
                <w:szCs w:val="18"/>
              </w:rPr>
              <w:t>Instrument</w:t>
            </w:r>
          </w:p>
        </w:tc>
        <w:tc>
          <w:tcPr>
            <w:tcW w:w="4301" w:type="pct"/>
            <w:shd w:val="clear" w:color="auto" w:fill="0099CC"/>
          </w:tcPr>
          <w:p w14:paraId="0A1D566D" w14:textId="77777777" w:rsidR="00557E12" w:rsidRPr="004F7523" w:rsidRDefault="00557E12" w:rsidP="00557E12">
            <w:pPr>
              <w:pStyle w:val="TableHeading"/>
              <w:spacing w:before="80" w:after="80"/>
              <w:rPr>
                <w:szCs w:val="18"/>
              </w:rPr>
            </w:pPr>
            <w:r w:rsidRPr="004F7523">
              <w:rPr>
                <w:szCs w:val="18"/>
              </w:rPr>
              <w:t>Summary</w:t>
            </w:r>
          </w:p>
        </w:tc>
      </w:tr>
      <w:tr w:rsidR="00557E12" w:rsidRPr="004F7523" w14:paraId="286D6F24" w14:textId="77777777" w:rsidTr="00557E12">
        <w:tc>
          <w:tcPr>
            <w:tcW w:w="699" w:type="pct"/>
          </w:tcPr>
          <w:p w14:paraId="0A2A568A" w14:textId="77777777" w:rsidR="00557E12" w:rsidRPr="004F7523" w:rsidRDefault="00557E12" w:rsidP="00557E12">
            <w:pPr>
              <w:pStyle w:val="TableBodyText"/>
              <w:spacing w:before="80" w:after="80"/>
              <w:rPr>
                <w:szCs w:val="18"/>
              </w:rPr>
            </w:pPr>
            <w:r w:rsidRPr="004F7523">
              <w:rPr>
                <w:szCs w:val="18"/>
              </w:rPr>
              <w:t>NGL</w:t>
            </w:r>
          </w:p>
        </w:tc>
        <w:tc>
          <w:tcPr>
            <w:tcW w:w="4301" w:type="pct"/>
          </w:tcPr>
          <w:p w14:paraId="1546A78E" w14:textId="77777777" w:rsidR="00557E12" w:rsidRPr="004F7523" w:rsidRDefault="00557E12" w:rsidP="00557E12">
            <w:pPr>
              <w:pStyle w:val="TableBodyText"/>
              <w:spacing w:before="80" w:after="80"/>
              <w:rPr>
                <w:szCs w:val="18"/>
              </w:rPr>
            </w:pPr>
            <w:r w:rsidRPr="004F7523">
              <w:rPr>
                <w:szCs w:val="18"/>
              </w:rPr>
              <w:t xml:space="preserve">To the extent not already covered by the NGL, the NGL will require shippers to give secondary trade information to AEMO and will permit AEMO to publish it, in each case in accordance with the NGR and applicable procedures. </w:t>
            </w:r>
          </w:p>
          <w:p w14:paraId="5296A7A2" w14:textId="77777777" w:rsidR="00557E12" w:rsidRPr="004F7523" w:rsidRDefault="00557E12" w:rsidP="00557E12">
            <w:pPr>
              <w:pStyle w:val="TableBullet1"/>
              <w:numPr>
                <w:ilvl w:val="0"/>
                <w:numId w:val="0"/>
              </w:numPr>
              <w:spacing w:before="80" w:after="80"/>
              <w:ind w:left="85"/>
              <w:rPr>
                <w:szCs w:val="18"/>
              </w:rPr>
            </w:pPr>
            <w:r w:rsidRPr="004F7523">
              <w:rPr>
                <w:szCs w:val="18"/>
              </w:rPr>
              <w:t>The NG</w:t>
            </w:r>
            <w:r w:rsidR="00EA2835">
              <w:rPr>
                <w:szCs w:val="18"/>
              </w:rPr>
              <w:t>L</w:t>
            </w:r>
            <w:r w:rsidRPr="004F7523">
              <w:rPr>
                <w:szCs w:val="18"/>
              </w:rPr>
              <w:t xml:space="preserve"> will provide that a shipper does not incur any civil monetary liability for complying with its reporting obligations.</w:t>
            </w:r>
            <w:r w:rsidR="006C0C17">
              <w:rPr>
                <w:rStyle w:val="FootnoteReference"/>
                <w:szCs w:val="18"/>
              </w:rPr>
              <w:footnoteReference w:id="107"/>
            </w:r>
            <w:r w:rsidRPr="004F7523">
              <w:rPr>
                <w:szCs w:val="18"/>
              </w:rPr>
              <w:t xml:space="preserve"> </w:t>
            </w:r>
          </w:p>
          <w:p w14:paraId="78A9E2C4" w14:textId="77777777" w:rsidR="00557E12" w:rsidRPr="004F7523" w:rsidRDefault="00557E12" w:rsidP="00557E12">
            <w:pPr>
              <w:pStyle w:val="TableBullet1"/>
              <w:numPr>
                <w:ilvl w:val="0"/>
                <w:numId w:val="0"/>
              </w:numPr>
              <w:spacing w:before="80" w:after="80"/>
              <w:ind w:left="85"/>
              <w:rPr>
                <w:szCs w:val="18"/>
              </w:rPr>
            </w:pPr>
            <w:r w:rsidRPr="004F7523">
              <w:rPr>
                <w:szCs w:val="18"/>
              </w:rPr>
              <w:t>The AER will be responsible for monitoring and enforcing compliance using its existing powers in the NGL.</w:t>
            </w:r>
          </w:p>
        </w:tc>
      </w:tr>
      <w:tr w:rsidR="00557E12" w:rsidRPr="004F7523" w14:paraId="6B187AB6" w14:textId="77777777" w:rsidTr="00557E12">
        <w:trPr>
          <w:cnfStyle w:val="000000010000" w:firstRow="0" w:lastRow="0" w:firstColumn="0" w:lastColumn="0" w:oddVBand="0" w:evenVBand="0" w:oddHBand="0" w:evenHBand="1" w:firstRowFirstColumn="0" w:firstRowLastColumn="0" w:lastRowFirstColumn="0" w:lastRowLastColumn="0"/>
        </w:trPr>
        <w:tc>
          <w:tcPr>
            <w:tcW w:w="699" w:type="pct"/>
          </w:tcPr>
          <w:p w14:paraId="094D8E53" w14:textId="77777777" w:rsidR="00557E12" w:rsidRPr="004F7523" w:rsidRDefault="00557E12" w:rsidP="00557E12">
            <w:pPr>
              <w:pStyle w:val="TableBodyText"/>
              <w:spacing w:before="80" w:after="80"/>
              <w:rPr>
                <w:szCs w:val="18"/>
              </w:rPr>
            </w:pPr>
            <w:r w:rsidRPr="004F7523">
              <w:rPr>
                <w:szCs w:val="18"/>
              </w:rPr>
              <w:t>NGR</w:t>
            </w:r>
          </w:p>
        </w:tc>
        <w:tc>
          <w:tcPr>
            <w:tcW w:w="4301" w:type="pct"/>
          </w:tcPr>
          <w:p w14:paraId="7F59BC3F" w14:textId="77777777" w:rsidR="00557E12" w:rsidRPr="004F7523" w:rsidRDefault="00557E12" w:rsidP="00557E12">
            <w:pPr>
              <w:pStyle w:val="TableBullet1"/>
              <w:numPr>
                <w:ilvl w:val="0"/>
                <w:numId w:val="0"/>
              </w:numPr>
              <w:spacing w:before="80" w:after="80"/>
              <w:ind w:left="85"/>
              <w:rPr>
                <w:szCs w:val="18"/>
              </w:rPr>
            </w:pPr>
            <w:r w:rsidRPr="004F7523">
              <w:rPr>
                <w:szCs w:val="18"/>
              </w:rPr>
              <w:t xml:space="preserve">The NGR will provide a framework for shippers to </w:t>
            </w:r>
            <w:r>
              <w:rPr>
                <w:szCs w:val="18"/>
              </w:rPr>
              <w:t>gain access to the reporting system, for example through a registration process</w:t>
            </w:r>
            <w:r w:rsidRPr="004F7523">
              <w:rPr>
                <w:szCs w:val="18"/>
              </w:rPr>
              <w:t>.</w:t>
            </w:r>
            <w:r>
              <w:rPr>
                <w:szCs w:val="18"/>
              </w:rPr>
              <w:t xml:space="preserve"> </w:t>
            </w:r>
          </w:p>
          <w:p w14:paraId="3097C2A3" w14:textId="77777777" w:rsidR="00557E12" w:rsidRPr="004F7523" w:rsidRDefault="00557E12" w:rsidP="00557E12">
            <w:pPr>
              <w:pStyle w:val="TableBullet1"/>
              <w:numPr>
                <w:ilvl w:val="0"/>
                <w:numId w:val="0"/>
              </w:numPr>
              <w:spacing w:before="80" w:after="80"/>
              <w:ind w:left="85"/>
              <w:rPr>
                <w:szCs w:val="18"/>
              </w:rPr>
            </w:pPr>
            <w:r w:rsidRPr="004F7523">
              <w:rPr>
                <w:szCs w:val="18"/>
              </w:rPr>
              <w:t xml:space="preserve">The NGR will set out the obligation of shippers to report information about </w:t>
            </w:r>
            <w:r>
              <w:rPr>
                <w:szCs w:val="18"/>
              </w:rPr>
              <w:t xml:space="preserve">bilateral </w:t>
            </w:r>
            <w:r w:rsidRPr="004F7523">
              <w:rPr>
                <w:szCs w:val="18"/>
              </w:rPr>
              <w:t>secondary capacity trades to AEMO, including the categories of information that must be reported and timing. This will be a civil penalty provision.</w:t>
            </w:r>
          </w:p>
          <w:p w14:paraId="4912A388" w14:textId="77777777" w:rsidR="00557E12" w:rsidRPr="004F7523" w:rsidRDefault="00557E12" w:rsidP="00557E12">
            <w:pPr>
              <w:pStyle w:val="TableBullet1"/>
              <w:numPr>
                <w:ilvl w:val="0"/>
                <w:numId w:val="0"/>
              </w:numPr>
              <w:spacing w:before="80" w:after="80"/>
              <w:ind w:left="85"/>
              <w:rPr>
                <w:szCs w:val="18"/>
              </w:rPr>
            </w:pPr>
            <w:r w:rsidRPr="004F7523">
              <w:rPr>
                <w:szCs w:val="18"/>
              </w:rPr>
              <w:t xml:space="preserve">The NGR will require AEMO to report information about secondary trades covering </w:t>
            </w:r>
            <w:r w:rsidR="00F1710A">
              <w:rPr>
                <w:szCs w:val="18"/>
              </w:rPr>
              <w:t>exchange-based</w:t>
            </w:r>
            <w:r w:rsidRPr="004F7523">
              <w:rPr>
                <w:szCs w:val="18"/>
              </w:rPr>
              <w:t xml:space="preserve"> trading and reported bilateral trades on the BB website and will also be permitted to publish it on the GSH. </w:t>
            </w:r>
          </w:p>
        </w:tc>
      </w:tr>
      <w:tr w:rsidR="00557E12" w:rsidRPr="00C62BFF" w14:paraId="1987F59E" w14:textId="77777777" w:rsidTr="00557E12">
        <w:tblPrEx>
          <w:tblLook w:val="04A0" w:firstRow="1" w:lastRow="0" w:firstColumn="1" w:lastColumn="0" w:noHBand="0" w:noVBand="1"/>
        </w:tblPrEx>
        <w:tc>
          <w:tcPr>
            <w:tcW w:w="699" w:type="pct"/>
          </w:tcPr>
          <w:p w14:paraId="25287DF2" w14:textId="77777777" w:rsidR="00557E12" w:rsidRPr="004F7523" w:rsidRDefault="00557E12" w:rsidP="00557E12">
            <w:pPr>
              <w:pStyle w:val="TableBodyText"/>
              <w:spacing w:before="80" w:after="80"/>
              <w:rPr>
                <w:szCs w:val="18"/>
              </w:rPr>
            </w:pPr>
            <w:r w:rsidRPr="004F7523">
              <w:rPr>
                <w:szCs w:val="18"/>
              </w:rPr>
              <w:t>Exchange Agreement</w:t>
            </w:r>
          </w:p>
        </w:tc>
        <w:tc>
          <w:tcPr>
            <w:tcW w:w="4301" w:type="pct"/>
          </w:tcPr>
          <w:p w14:paraId="1D748110" w14:textId="77777777" w:rsidR="00557E12" w:rsidRPr="00C62BFF" w:rsidRDefault="00557E12" w:rsidP="00557E12">
            <w:pPr>
              <w:pStyle w:val="TableBullet1"/>
              <w:numPr>
                <w:ilvl w:val="0"/>
                <w:numId w:val="0"/>
              </w:numPr>
              <w:spacing w:before="80" w:after="80"/>
              <w:ind w:left="85"/>
              <w:rPr>
                <w:szCs w:val="18"/>
              </w:rPr>
            </w:pPr>
            <w:r w:rsidRPr="004F7523">
              <w:rPr>
                <w:szCs w:val="18"/>
              </w:rPr>
              <w:t>The Exchange Agreement will specify the information to be reported by AEMO about secondary trades both on the platform and the BB website, which should be consistent with the categories set out in the NGR.</w:t>
            </w:r>
            <w:r w:rsidRPr="00C62BFF">
              <w:rPr>
                <w:szCs w:val="18"/>
              </w:rPr>
              <w:t xml:space="preserve"> </w:t>
            </w:r>
          </w:p>
        </w:tc>
      </w:tr>
      <w:tr w:rsidR="00557E12" w:rsidRPr="00C62BFF" w14:paraId="678E0938" w14:textId="77777777" w:rsidTr="00557E12">
        <w:tblPrEx>
          <w:tblLook w:val="04A0" w:firstRow="1" w:lastRow="0" w:firstColumn="1" w:lastColumn="0" w:noHBand="0" w:noVBand="1"/>
        </w:tblPrEx>
        <w:trPr>
          <w:cnfStyle w:val="000000010000" w:firstRow="0" w:lastRow="0" w:firstColumn="0" w:lastColumn="0" w:oddVBand="0" w:evenVBand="0" w:oddHBand="0" w:evenHBand="1" w:firstRowFirstColumn="0" w:firstRowLastColumn="0" w:lastRowFirstColumn="0" w:lastRowLastColumn="0"/>
        </w:trPr>
        <w:tc>
          <w:tcPr>
            <w:tcW w:w="699" w:type="pct"/>
          </w:tcPr>
          <w:p w14:paraId="0FE667B9" w14:textId="77777777" w:rsidR="00557E12" w:rsidRPr="00C62BFF" w:rsidRDefault="00557E12" w:rsidP="00557E12">
            <w:pPr>
              <w:pStyle w:val="TableBodyText"/>
              <w:spacing w:before="80" w:after="80"/>
              <w:rPr>
                <w:szCs w:val="18"/>
              </w:rPr>
            </w:pPr>
            <w:r w:rsidRPr="00C62BFF">
              <w:rPr>
                <w:szCs w:val="18"/>
              </w:rPr>
              <w:t>Procedures</w:t>
            </w:r>
          </w:p>
        </w:tc>
        <w:tc>
          <w:tcPr>
            <w:tcW w:w="4301" w:type="pct"/>
          </w:tcPr>
          <w:p w14:paraId="1525D5F6" w14:textId="77777777" w:rsidR="00557E12" w:rsidRPr="00C62BFF" w:rsidRDefault="00557E12" w:rsidP="00557E12">
            <w:pPr>
              <w:pStyle w:val="BodyText"/>
              <w:spacing w:before="80" w:after="80"/>
              <w:rPr>
                <w:szCs w:val="18"/>
              </w:rPr>
            </w:pPr>
            <w:r>
              <w:rPr>
                <w:szCs w:val="18"/>
              </w:rPr>
              <w:t>T</w:t>
            </w:r>
            <w:r w:rsidRPr="00C62BFF">
              <w:rPr>
                <w:szCs w:val="18"/>
              </w:rPr>
              <w:t xml:space="preserve">he GMRG proposes that AEMO be given </w:t>
            </w:r>
            <w:r>
              <w:rPr>
                <w:szCs w:val="18"/>
              </w:rPr>
              <w:t xml:space="preserve">the </w:t>
            </w:r>
            <w:r w:rsidRPr="00C62BFF">
              <w:rPr>
                <w:szCs w:val="18"/>
              </w:rPr>
              <w:t xml:space="preserve">power to publish </w:t>
            </w:r>
            <w:r w:rsidR="002B4428">
              <w:rPr>
                <w:szCs w:val="18"/>
              </w:rPr>
              <w:t>p</w:t>
            </w:r>
            <w:r w:rsidRPr="00C62BFF">
              <w:rPr>
                <w:szCs w:val="18"/>
              </w:rPr>
              <w:t>rocedures</w:t>
            </w:r>
            <w:r w:rsidR="008E2B4B">
              <w:rPr>
                <w:szCs w:val="18"/>
              </w:rPr>
              <w:t xml:space="preserve"> </w:t>
            </w:r>
            <w:r w:rsidRPr="00C62BFF">
              <w:rPr>
                <w:szCs w:val="18"/>
              </w:rPr>
              <w:t>relevant to secondary trade reporting</w:t>
            </w:r>
            <w:r>
              <w:rPr>
                <w:szCs w:val="18"/>
              </w:rPr>
              <w:t>,</w:t>
            </w:r>
            <w:r w:rsidRPr="00C62BFF">
              <w:rPr>
                <w:szCs w:val="18"/>
              </w:rPr>
              <w:t xml:space="preserve"> including details about the form in which information is to be reported to AEMO.</w:t>
            </w:r>
          </w:p>
        </w:tc>
      </w:tr>
    </w:tbl>
    <w:p w14:paraId="4F0494CA" w14:textId="77777777" w:rsidR="002405F1" w:rsidRDefault="002405F1" w:rsidP="002405F1">
      <w:pPr>
        <w:pStyle w:val="BodyText"/>
        <w:tabs>
          <w:tab w:val="clear" w:pos="2268"/>
          <w:tab w:val="left" w:pos="1843"/>
        </w:tabs>
        <w:spacing w:before="60"/>
      </w:pPr>
    </w:p>
    <w:p w14:paraId="7DCCF55A" w14:textId="77777777" w:rsidR="00400837" w:rsidRDefault="00400837" w:rsidP="002405F1">
      <w:pPr>
        <w:pStyle w:val="BodyText"/>
        <w:tabs>
          <w:tab w:val="clear" w:pos="2268"/>
          <w:tab w:val="left" w:pos="1843"/>
        </w:tabs>
        <w:spacing w:before="60"/>
        <w:sectPr w:rsidR="00400837" w:rsidSect="00CF1252">
          <w:headerReference w:type="even" r:id="rId75"/>
          <w:headerReference w:type="default" r:id="rId76"/>
          <w:footerReference w:type="default" r:id="rId77"/>
          <w:headerReference w:type="first" r:id="rId78"/>
          <w:pgSz w:w="11907" w:h="16839" w:code="9"/>
          <w:pgMar w:top="1361" w:right="1418" w:bottom="992" w:left="1701" w:header="567" w:footer="397" w:gutter="0"/>
          <w:cols w:space="708"/>
          <w:docGrid w:linePitch="360"/>
        </w:sectPr>
      </w:pPr>
    </w:p>
    <w:p w14:paraId="3AED7415" w14:textId="77777777" w:rsidR="002F7DBC" w:rsidRPr="00332ADB" w:rsidRDefault="0014559D" w:rsidP="007D7FFC">
      <w:pPr>
        <w:pStyle w:val="Heading9"/>
      </w:pPr>
      <w:bookmarkStart w:id="211" w:name="_Ref489697920"/>
      <w:bookmarkStart w:id="212" w:name="_Hlk481810546"/>
      <w:r>
        <w:lastRenderedPageBreak/>
        <w:t xml:space="preserve">Summary of </w:t>
      </w:r>
      <w:r w:rsidR="006B5193">
        <w:t>AEMC Recommendations</w:t>
      </w:r>
      <w:bookmarkEnd w:id="211"/>
      <w:r w:rsidR="006B5193">
        <w:t xml:space="preserve"> </w:t>
      </w:r>
    </w:p>
    <w:p w14:paraId="428B232B" w14:textId="77777777" w:rsidR="002405F1" w:rsidRPr="006D15EC" w:rsidRDefault="002405F1" w:rsidP="002405F1">
      <w:pPr>
        <w:pStyle w:val="BodyText"/>
        <w:spacing w:line="252" w:lineRule="auto"/>
        <w:rPr>
          <w:rFonts w:cs="Arial"/>
        </w:rPr>
      </w:pPr>
      <w:r w:rsidRPr="006D15EC">
        <w:rPr>
          <w:rFonts w:cs="Arial"/>
        </w:rPr>
        <w:t xml:space="preserve">The table </w:t>
      </w:r>
      <w:r>
        <w:rPr>
          <w:rFonts w:cs="Arial"/>
        </w:rPr>
        <w:t xml:space="preserve">below </w:t>
      </w:r>
      <w:r w:rsidRPr="006D15EC">
        <w:rPr>
          <w:rFonts w:cs="Arial"/>
        </w:rPr>
        <w:t>contains a summary of the recommendations contained in the AEMC’s Stage 2 Final Report which have been categorised by the AEMC as follows:</w:t>
      </w:r>
    </w:p>
    <w:p w14:paraId="6ED104C8" w14:textId="77777777" w:rsidR="002405F1" w:rsidRPr="006D15EC" w:rsidRDefault="002405F1" w:rsidP="00CF4594">
      <w:pPr>
        <w:pStyle w:val="ListBullet"/>
        <w:numPr>
          <w:ilvl w:val="0"/>
          <w:numId w:val="33"/>
        </w:numPr>
        <w:spacing w:line="252" w:lineRule="auto"/>
        <w:rPr>
          <w:rFonts w:cs="Arial"/>
        </w:rPr>
      </w:pPr>
      <w:r w:rsidRPr="006D15EC">
        <w:rPr>
          <w:rFonts w:cs="Arial"/>
          <w:b/>
          <w:bCs/>
        </w:rPr>
        <w:t xml:space="preserve">required outcomes </w:t>
      </w:r>
      <w:r w:rsidRPr="006D15EC">
        <w:rPr>
          <w:rFonts w:cs="Arial"/>
        </w:rPr>
        <w:t>– these recommendations were described by the AEMC as outcomes that must be progressed by the GMRG and are necessary to the implementation of the reforms;</w:t>
      </w:r>
    </w:p>
    <w:p w14:paraId="63B15687" w14:textId="77777777" w:rsidR="002405F1" w:rsidRPr="006D15EC" w:rsidRDefault="002405F1" w:rsidP="00CF4594">
      <w:pPr>
        <w:pStyle w:val="ListBullet"/>
        <w:numPr>
          <w:ilvl w:val="0"/>
          <w:numId w:val="33"/>
        </w:numPr>
        <w:spacing w:line="252" w:lineRule="auto"/>
        <w:rPr>
          <w:rFonts w:cs="Arial"/>
        </w:rPr>
      </w:pPr>
      <w:r w:rsidRPr="006D15EC">
        <w:rPr>
          <w:rFonts w:cs="Arial"/>
          <w:b/>
          <w:bCs/>
        </w:rPr>
        <w:t xml:space="preserve">preferred outcomes </w:t>
      </w:r>
      <w:r w:rsidRPr="006D15EC">
        <w:rPr>
          <w:rFonts w:cs="Arial"/>
        </w:rPr>
        <w:t>– these recommendations were described by the AEMC as outcomes that should be pursued by the GMRG unless it is clear there are greater benefits in alternative approaches; and</w:t>
      </w:r>
    </w:p>
    <w:p w14:paraId="25516C36" w14:textId="77777777" w:rsidR="002405F1" w:rsidRDefault="002405F1" w:rsidP="00CF4594">
      <w:pPr>
        <w:pStyle w:val="ListBullet"/>
        <w:numPr>
          <w:ilvl w:val="0"/>
          <w:numId w:val="33"/>
        </w:numPr>
        <w:spacing w:line="252" w:lineRule="auto"/>
        <w:rPr>
          <w:rFonts w:cs="Arial"/>
        </w:rPr>
      </w:pPr>
      <w:proofErr w:type="gramStart"/>
      <w:r w:rsidRPr="006D15EC">
        <w:rPr>
          <w:rFonts w:cs="Arial"/>
          <w:b/>
          <w:bCs/>
        </w:rPr>
        <w:t>suggested</w:t>
      </w:r>
      <w:proofErr w:type="gramEnd"/>
      <w:r w:rsidRPr="006D15EC">
        <w:rPr>
          <w:rFonts w:cs="Arial"/>
          <w:b/>
          <w:bCs/>
        </w:rPr>
        <w:t xml:space="preserve"> outcomes</w:t>
      </w:r>
      <w:r w:rsidRPr="006D15EC">
        <w:rPr>
          <w:rFonts w:cs="Arial"/>
        </w:rPr>
        <w:t xml:space="preserve"> – these recommendations were described by the AEMC as outcomes that have in-principle benefits but need to be considered further by the GMRG.</w:t>
      </w:r>
      <w:r>
        <w:rPr>
          <w:rFonts w:cs="Arial"/>
        </w:rPr>
        <w:t xml:space="preserve"> </w:t>
      </w:r>
    </w:p>
    <w:p w14:paraId="3FB10E10" w14:textId="77777777" w:rsidR="00A057CA" w:rsidRDefault="00A057CA" w:rsidP="00A057CA">
      <w:pPr>
        <w:pStyle w:val="ListBullet"/>
        <w:numPr>
          <w:ilvl w:val="0"/>
          <w:numId w:val="0"/>
        </w:numPr>
        <w:spacing w:line="252" w:lineRule="auto"/>
        <w:ind w:left="357"/>
        <w:rPr>
          <w:rFonts w:cs="Arial"/>
        </w:rPr>
      </w:pPr>
    </w:p>
    <w:p w14:paraId="0675495E" w14:textId="77777777" w:rsidR="002405F1" w:rsidRPr="00974249" w:rsidRDefault="002405F1" w:rsidP="002405F1">
      <w:pPr>
        <w:pStyle w:val="ListBullet"/>
        <w:numPr>
          <w:ilvl w:val="0"/>
          <w:numId w:val="0"/>
        </w:numPr>
        <w:spacing w:before="0" w:after="0"/>
        <w:ind w:left="357" w:hanging="357"/>
        <w:rPr>
          <w:rFonts w:cs="Arial"/>
          <w:b/>
          <w:bCs/>
          <w:sz w:val="24"/>
          <w:szCs w:val="24"/>
        </w:rPr>
      </w:pPr>
      <w:r w:rsidRPr="00974249">
        <w:rPr>
          <w:rFonts w:cs="Arial"/>
          <w:b/>
          <w:bCs/>
          <w:sz w:val="24"/>
          <w:szCs w:val="24"/>
        </w:rPr>
        <w:t>AEMC Recommendations</w:t>
      </w:r>
    </w:p>
    <w:tbl>
      <w:tblPr>
        <w:tblW w:w="13609"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4400"/>
        <w:gridCol w:w="4683"/>
        <w:gridCol w:w="2688"/>
      </w:tblGrid>
      <w:tr w:rsidR="002405F1" w:rsidRPr="00947034" w14:paraId="3FE20807" w14:textId="77777777" w:rsidTr="00863FDD">
        <w:trPr>
          <w:trHeight w:val="93"/>
          <w:tblHeader/>
        </w:trPr>
        <w:tc>
          <w:tcPr>
            <w:tcW w:w="1838" w:type="dxa"/>
            <w:tcBorders>
              <w:bottom w:val="single" w:sz="4" w:space="0" w:color="auto"/>
            </w:tcBorders>
            <w:shd w:val="clear" w:color="auto" w:fill="0099CC"/>
          </w:tcPr>
          <w:p w14:paraId="5C8C4E8C" w14:textId="77777777" w:rsidR="002405F1" w:rsidRPr="00947034" w:rsidRDefault="002405F1" w:rsidP="0055571A">
            <w:pPr>
              <w:pStyle w:val="Default"/>
              <w:spacing w:before="40" w:after="40"/>
              <w:rPr>
                <w:color w:val="FFFFFF" w:themeColor="background1"/>
                <w:sz w:val="17"/>
                <w:szCs w:val="17"/>
              </w:rPr>
            </w:pPr>
            <w:r w:rsidRPr="00947034">
              <w:rPr>
                <w:b/>
                <w:bCs/>
                <w:color w:val="FFFFFF" w:themeColor="background1"/>
                <w:sz w:val="17"/>
                <w:szCs w:val="17"/>
              </w:rPr>
              <w:t xml:space="preserve">Recommendation </w:t>
            </w:r>
          </w:p>
        </w:tc>
        <w:tc>
          <w:tcPr>
            <w:tcW w:w="4400" w:type="dxa"/>
            <w:tcBorders>
              <w:bottom w:val="single" w:sz="4" w:space="0" w:color="auto"/>
            </w:tcBorders>
            <w:shd w:val="clear" w:color="auto" w:fill="0099CC"/>
          </w:tcPr>
          <w:p w14:paraId="0DAE41EE" w14:textId="77777777" w:rsidR="002405F1" w:rsidRPr="00947034" w:rsidRDefault="002405F1" w:rsidP="0055571A">
            <w:pPr>
              <w:pStyle w:val="Default"/>
              <w:spacing w:before="40" w:after="40"/>
              <w:rPr>
                <w:color w:val="FFFFFF" w:themeColor="background1"/>
                <w:sz w:val="17"/>
                <w:szCs w:val="17"/>
              </w:rPr>
            </w:pPr>
            <w:r w:rsidRPr="00947034">
              <w:rPr>
                <w:b/>
                <w:bCs/>
                <w:color w:val="FFFFFF" w:themeColor="background1"/>
                <w:sz w:val="17"/>
                <w:szCs w:val="17"/>
              </w:rPr>
              <w:t xml:space="preserve">Required outcomes </w:t>
            </w:r>
          </w:p>
        </w:tc>
        <w:tc>
          <w:tcPr>
            <w:tcW w:w="4683" w:type="dxa"/>
            <w:tcBorders>
              <w:bottom w:val="single" w:sz="4" w:space="0" w:color="auto"/>
            </w:tcBorders>
            <w:shd w:val="clear" w:color="auto" w:fill="0099CC"/>
          </w:tcPr>
          <w:p w14:paraId="7123FE9B" w14:textId="77777777" w:rsidR="002405F1" w:rsidRPr="00947034" w:rsidRDefault="002405F1" w:rsidP="0055571A">
            <w:pPr>
              <w:pStyle w:val="Default"/>
              <w:spacing w:before="40" w:after="40"/>
              <w:rPr>
                <w:color w:val="FFFFFF" w:themeColor="background1"/>
                <w:sz w:val="17"/>
                <w:szCs w:val="17"/>
              </w:rPr>
            </w:pPr>
            <w:r w:rsidRPr="00947034">
              <w:rPr>
                <w:b/>
                <w:bCs/>
                <w:color w:val="FFFFFF" w:themeColor="background1"/>
                <w:sz w:val="17"/>
                <w:szCs w:val="17"/>
              </w:rPr>
              <w:t xml:space="preserve">Preferred outcomes </w:t>
            </w:r>
          </w:p>
        </w:tc>
        <w:tc>
          <w:tcPr>
            <w:tcW w:w="2688" w:type="dxa"/>
            <w:tcBorders>
              <w:bottom w:val="single" w:sz="4" w:space="0" w:color="auto"/>
            </w:tcBorders>
            <w:shd w:val="clear" w:color="auto" w:fill="0099CC"/>
          </w:tcPr>
          <w:p w14:paraId="0CEB7487" w14:textId="77777777" w:rsidR="002405F1" w:rsidRPr="00947034" w:rsidRDefault="002405F1" w:rsidP="0055571A">
            <w:pPr>
              <w:pStyle w:val="Default"/>
              <w:spacing w:before="40" w:after="40"/>
              <w:rPr>
                <w:color w:val="FFFFFF" w:themeColor="background1"/>
                <w:sz w:val="17"/>
                <w:szCs w:val="17"/>
              </w:rPr>
            </w:pPr>
            <w:r w:rsidRPr="00947034">
              <w:rPr>
                <w:b/>
                <w:bCs/>
                <w:color w:val="FFFFFF" w:themeColor="background1"/>
                <w:sz w:val="17"/>
                <w:szCs w:val="17"/>
              </w:rPr>
              <w:t xml:space="preserve">Suggested outcomes </w:t>
            </w:r>
          </w:p>
        </w:tc>
      </w:tr>
      <w:tr w:rsidR="00863FDD" w:rsidRPr="00947034" w14:paraId="07CC24A0" w14:textId="77777777" w:rsidTr="00863FDD">
        <w:trPr>
          <w:trHeight w:val="2292"/>
        </w:trPr>
        <w:tc>
          <w:tcPr>
            <w:tcW w:w="1838" w:type="dxa"/>
            <w:tcBorders>
              <w:bottom w:val="single" w:sz="4" w:space="0" w:color="auto"/>
            </w:tcBorders>
            <w:shd w:val="clear" w:color="auto" w:fill="E1E2E7" w:themeFill="background2"/>
          </w:tcPr>
          <w:p w14:paraId="5D5ADC18" w14:textId="77777777" w:rsidR="00863FDD" w:rsidRPr="00947034" w:rsidRDefault="00863FDD" w:rsidP="00E7309F">
            <w:pPr>
              <w:pStyle w:val="Default"/>
              <w:spacing w:before="40" w:after="40"/>
              <w:rPr>
                <w:b/>
                <w:bCs/>
                <w:sz w:val="17"/>
                <w:szCs w:val="17"/>
              </w:rPr>
            </w:pPr>
            <w:r w:rsidRPr="00947034">
              <w:rPr>
                <w:b/>
                <w:bCs/>
                <w:sz w:val="17"/>
                <w:szCs w:val="17"/>
              </w:rPr>
              <w:t xml:space="preserve">Standardisation of key primary and secondary capacity contractual terms </w:t>
            </w:r>
          </w:p>
        </w:tc>
        <w:tc>
          <w:tcPr>
            <w:tcW w:w="4400" w:type="dxa"/>
            <w:tcBorders>
              <w:bottom w:val="single" w:sz="4" w:space="0" w:color="auto"/>
            </w:tcBorders>
            <w:shd w:val="clear" w:color="auto" w:fill="E1E2E7" w:themeFill="background2"/>
          </w:tcPr>
          <w:p w14:paraId="01BA5F9C" w14:textId="77777777" w:rsidR="00863FDD" w:rsidRPr="00947034" w:rsidRDefault="00863FDD" w:rsidP="00E7309F">
            <w:pPr>
              <w:pStyle w:val="TableBullet1"/>
              <w:spacing w:before="40" w:after="40" w:line="240" w:lineRule="auto"/>
              <w:rPr>
                <w:sz w:val="17"/>
                <w:szCs w:val="17"/>
              </w:rPr>
            </w:pPr>
            <w:r w:rsidRPr="00947034">
              <w:rPr>
                <w:sz w:val="17"/>
                <w:szCs w:val="17"/>
              </w:rPr>
              <w:t xml:space="preserve">Standardisation of key primary and secondary capacity contractual terms for pipeline and for hub </w:t>
            </w:r>
            <w:r w:rsidR="00C76541" w:rsidRPr="00947034">
              <w:rPr>
                <w:sz w:val="17"/>
                <w:szCs w:val="17"/>
              </w:rPr>
              <w:t xml:space="preserve">(compression) </w:t>
            </w:r>
            <w:r w:rsidRPr="00947034">
              <w:rPr>
                <w:sz w:val="17"/>
                <w:szCs w:val="17"/>
              </w:rPr>
              <w:t xml:space="preserve">services. </w:t>
            </w:r>
          </w:p>
          <w:p w14:paraId="65F2A3CF" w14:textId="77777777" w:rsidR="00863FDD" w:rsidRPr="00947034" w:rsidRDefault="00863FDD" w:rsidP="00E7309F">
            <w:pPr>
              <w:pStyle w:val="TableBullet1"/>
              <w:spacing w:before="40" w:after="40" w:line="240" w:lineRule="auto"/>
              <w:rPr>
                <w:sz w:val="17"/>
                <w:szCs w:val="17"/>
              </w:rPr>
            </w:pPr>
            <w:r w:rsidRPr="00947034">
              <w:rPr>
                <w:sz w:val="17"/>
                <w:szCs w:val="17"/>
              </w:rPr>
              <w:t xml:space="preserve">Where possible and appropriate apply across the eastern Australian gas market. </w:t>
            </w:r>
          </w:p>
          <w:p w14:paraId="288328A0" w14:textId="77777777" w:rsidR="00863FDD" w:rsidRPr="00947034" w:rsidRDefault="00863FDD" w:rsidP="00E7309F">
            <w:pPr>
              <w:pStyle w:val="TableBullet1"/>
              <w:spacing w:before="40" w:after="40" w:line="240" w:lineRule="auto"/>
              <w:rPr>
                <w:sz w:val="17"/>
                <w:szCs w:val="17"/>
              </w:rPr>
            </w:pPr>
            <w:r w:rsidRPr="00947034">
              <w:rPr>
                <w:sz w:val="17"/>
                <w:szCs w:val="17"/>
              </w:rPr>
              <w:t xml:space="preserve">Standards to be developed are for key operational, prudential and other contractual provisions in GTAs, CTAs and </w:t>
            </w:r>
            <w:r w:rsidR="00632860">
              <w:rPr>
                <w:sz w:val="17"/>
                <w:szCs w:val="17"/>
              </w:rPr>
              <w:t>o</w:t>
            </w:r>
            <w:r w:rsidRPr="00947034">
              <w:rPr>
                <w:sz w:val="17"/>
                <w:szCs w:val="17"/>
              </w:rPr>
              <w:t xml:space="preserve">perational GTAs, and provisions in contracts used for </w:t>
            </w:r>
            <w:r w:rsidR="00F1710A">
              <w:rPr>
                <w:sz w:val="17"/>
                <w:szCs w:val="17"/>
              </w:rPr>
              <w:t>exchange-based</w:t>
            </w:r>
            <w:r w:rsidRPr="00947034">
              <w:rPr>
                <w:sz w:val="17"/>
                <w:szCs w:val="17"/>
              </w:rPr>
              <w:t xml:space="preserve"> trading on the capacity trading platform. </w:t>
            </w:r>
          </w:p>
          <w:p w14:paraId="4ABA463C" w14:textId="77777777" w:rsidR="00863FDD" w:rsidRPr="00947034" w:rsidRDefault="00863FDD" w:rsidP="00E7309F">
            <w:pPr>
              <w:pStyle w:val="TableBullet1"/>
              <w:spacing w:before="40" w:after="40" w:line="240" w:lineRule="auto"/>
              <w:rPr>
                <w:sz w:val="17"/>
                <w:szCs w:val="17"/>
              </w:rPr>
            </w:pPr>
            <w:r w:rsidRPr="00947034">
              <w:rPr>
                <w:sz w:val="17"/>
                <w:szCs w:val="17"/>
              </w:rPr>
              <w:t xml:space="preserve">Counterparties to existing contracts should not be materially disadvantaged through the standardisation process </w:t>
            </w:r>
          </w:p>
        </w:tc>
        <w:tc>
          <w:tcPr>
            <w:tcW w:w="4683" w:type="dxa"/>
            <w:tcBorders>
              <w:bottom w:val="single" w:sz="4" w:space="0" w:color="auto"/>
            </w:tcBorders>
            <w:shd w:val="clear" w:color="auto" w:fill="E1E2E7" w:themeFill="background2"/>
          </w:tcPr>
          <w:p w14:paraId="672549E8" w14:textId="77777777" w:rsidR="00863FDD" w:rsidRPr="00947034" w:rsidRDefault="00863FDD" w:rsidP="00E7309F">
            <w:pPr>
              <w:pStyle w:val="TableBullet1"/>
              <w:spacing w:before="40" w:after="40" w:line="240" w:lineRule="auto"/>
              <w:rPr>
                <w:sz w:val="17"/>
                <w:szCs w:val="17"/>
              </w:rPr>
            </w:pPr>
            <w:r w:rsidRPr="00947034">
              <w:rPr>
                <w:sz w:val="17"/>
                <w:szCs w:val="17"/>
              </w:rPr>
              <w:t xml:space="preserve">Shippers provided greater flexibility to change their receipt and delivery points </w:t>
            </w:r>
          </w:p>
        </w:tc>
        <w:tc>
          <w:tcPr>
            <w:tcW w:w="2688" w:type="dxa"/>
            <w:tcBorders>
              <w:bottom w:val="single" w:sz="4" w:space="0" w:color="auto"/>
            </w:tcBorders>
            <w:shd w:val="clear" w:color="auto" w:fill="E1E2E7" w:themeFill="background2"/>
          </w:tcPr>
          <w:p w14:paraId="1C912885" w14:textId="77777777" w:rsidR="00863FDD" w:rsidRPr="00947034" w:rsidRDefault="00863FDD" w:rsidP="00E7309F">
            <w:pPr>
              <w:pStyle w:val="Default"/>
              <w:spacing w:before="40" w:after="40"/>
              <w:rPr>
                <w:sz w:val="17"/>
                <w:szCs w:val="17"/>
              </w:rPr>
            </w:pPr>
            <w:proofErr w:type="spellStart"/>
            <w:r w:rsidRPr="00947034">
              <w:rPr>
                <w:sz w:val="17"/>
                <w:szCs w:val="17"/>
              </w:rPr>
              <w:t>n.a</w:t>
            </w:r>
            <w:proofErr w:type="spellEnd"/>
            <w:r w:rsidRPr="00947034">
              <w:rPr>
                <w:sz w:val="17"/>
                <w:szCs w:val="17"/>
              </w:rPr>
              <w:t>.</w:t>
            </w:r>
          </w:p>
        </w:tc>
      </w:tr>
      <w:tr w:rsidR="00863FDD" w:rsidRPr="00947034" w14:paraId="720EE031" w14:textId="77777777" w:rsidTr="00E52016">
        <w:trPr>
          <w:trHeight w:val="3209"/>
        </w:trPr>
        <w:tc>
          <w:tcPr>
            <w:tcW w:w="1838" w:type="dxa"/>
            <w:tcBorders>
              <w:bottom w:val="single" w:sz="4" w:space="0" w:color="auto"/>
            </w:tcBorders>
            <w:shd w:val="clear" w:color="auto" w:fill="auto"/>
          </w:tcPr>
          <w:p w14:paraId="3DA5CB58" w14:textId="77777777" w:rsidR="00863FDD" w:rsidRPr="00947034" w:rsidRDefault="00863FDD" w:rsidP="00E7309F">
            <w:pPr>
              <w:pStyle w:val="Default"/>
              <w:spacing w:before="40" w:after="40"/>
              <w:rPr>
                <w:sz w:val="17"/>
                <w:szCs w:val="17"/>
              </w:rPr>
            </w:pPr>
            <w:r w:rsidRPr="00947034">
              <w:rPr>
                <w:b/>
                <w:bCs/>
                <w:sz w:val="17"/>
                <w:szCs w:val="17"/>
              </w:rPr>
              <w:lastRenderedPageBreak/>
              <w:t xml:space="preserve">Auction for contracted but un-nominated capacity </w:t>
            </w:r>
          </w:p>
        </w:tc>
        <w:tc>
          <w:tcPr>
            <w:tcW w:w="4400" w:type="dxa"/>
            <w:tcBorders>
              <w:bottom w:val="single" w:sz="4" w:space="0" w:color="auto"/>
            </w:tcBorders>
            <w:shd w:val="clear" w:color="auto" w:fill="auto"/>
          </w:tcPr>
          <w:p w14:paraId="1C76B1CF" w14:textId="77777777" w:rsidR="00863FDD" w:rsidRPr="00947034" w:rsidRDefault="00863FDD" w:rsidP="00E7309F">
            <w:pPr>
              <w:pStyle w:val="TableBullet1"/>
              <w:spacing w:before="40" w:after="40" w:line="240" w:lineRule="auto"/>
              <w:rPr>
                <w:sz w:val="17"/>
                <w:szCs w:val="17"/>
              </w:rPr>
            </w:pPr>
            <w:r w:rsidRPr="00947034">
              <w:rPr>
                <w:sz w:val="17"/>
                <w:szCs w:val="17"/>
              </w:rPr>
              <w:t xml:space="preserve">A daily, day-ahead capacity auction for contracted but un-nominated pipeline capacity and hub </w:t>
            </w:r>
            <w:r w:rsidR="00C76541" w:rsidRPr="00947034">
              <w:rPr>
                <w:sz w:val="17"/>
                <w:szCs w:val="17"/>
              </w:rPr>
              <w:t xml:space="preserve">(compression) </w:t>
            </w:r>
            <w:r w:rsidRPr="00947034">
              <w:rPr>
                <w:sz w:val="17"/>
                <w:szCs w:val="17"/>
              </w:rPr>
              <w:t xml:space="preserve">services. </w:t>
            </w:r>
          </w:p>
          <w:p w14:paraId="10900694" w14:textId="77777777" w:rsidR="00863FDD" w:rsidRPr="00947034" w:rsidRDefault="00863FDD" w:rsidP="00E7309F">
            <w:pPr>
              <w:pStyle w:val="TableBullet1"/>
              <w:spacing w:before="40" w:after="40" w:line="240" w:lineRule="auto"/>
              <w:rPr>
                <w:sz w:val="17"/>
                <w:szCs w:val="17"/>
              </w:rPr>
            </w:pPr>
            <w:r w:rsidRPr="00947034">
              <w:rPr>
                <w:sz w:val="17"/>
                <w:szCs w:val="17"/>
              </w:rPr>
              <w:t xml:space="preserve">Auction happens shortly after nomination cut-off time. </w:t>
            </w:r>
          </w:p>
          <w:p w14:paraId="00590DF9" w14:textId="77777777" w:rsidR="00863FDD" w:rsidRPr="00947034" w:rsidRDefault="00863FDD" w:rsidP="00E7309F">
            <w:pPr>
              <w:pStyle w:val="TableBullet1"/>
              <w:spacing w:before="40" w:after="40" w:line="240" w:lineRule="auto"/>
              <w:rPr>
                <w:sz w:val="17"/>
                <w:szCs w:val="17"/>
              </w:rPr>
            </w:pPr>
            <w:r w:rsidRPr="00947034">
              <w:rPr>
                <w:sz w:val="17"/>
                <w:szCs w:val="17"/>
              </w:rPr>
              <w:t xml:space="preserve">Reserve price of zero dollars, with compressor fuel provided by shippers in-kind. </w:t>
            </w:r>
          </w:p>
          <w:p w14:paraId="7379B164" w14:textId="77777777" w:rsidR="00863FDD" w:rsidRPr="00947034" w:rsidRDefault="00863FDD" w:rsidP="00E7309F">
            <w:pPr>
              <w:pStyle w:val="TableBullet1"/>
              <w:spacing w:before="40" w:after="40" w:line="240" w:lineRule="auto"/>
              <w:rPr>
                <w:sz w:val="17"/>
                <w:szCs w:val="17"/>
              </w:rPr>
            </w:pPr>
            <w:r w:rsidRPr="00947034">
              <w:rPr>
                <w:sz w:val="17"/>
                <w:szCs w:val="17"/>
              </w:rPr>
              <w:t xml:space="preserve">At least all contracted but un-nominated capacity placed for sale through auction. </w:t>
            </w:r>
          </w:p>
          <w:p w14:paraId="1E97426B" w14:textId="77777777" w:rsidR="00863FDD" w:rsidRPr="00947034" w:rsidRDefault="00863FDD" w:rsidP="00E7309F">
            <w:pPr>
              <w:pStyle w:val="TableBullet1"/>
              <w:spacing w:before="40" w:after="40" w:line="240" w:lineRule="auto"/>
              <w:rPr>
                <w:sz w:val="17"/>
                <w:szCs w:val="17"/>
              </w:rPr>
            </w:pPr>
            <w:r w:rsidRPr="00947034">
              <w:rPr>
                <w:sz w:val="17"/>
                <w:szCs w:val="17"/>
              </w:rPr>
              <w:t xml:space="preserve">Accommodate nominations or renominations by incumbent shippers after the auction is conducted. </w:t>
            </w:r>
          </w:p>
        </w:tc>
        <w:tc>
          <w:tcPr>
            <w:tcW w:w="4683" w:type="dxa"/>
            <w:tcBorders>
              <w:bottom w:val="single" w:sz="4" w:space="0" w:color="auto"/>
            </w:tcBorders>
            <w:shd w:val="clear" w:color="auto" w:fill="auto"/>
          </w:tcPr>
          <w:p w14:paraId="2BDBB2C0" w14:textId="77777777" w:rsidR="00863FDD" w:rsidRPr="00947034" w:rsidRDefault="00863FDD" w:rsidP="00E7309F">
            <w:pPr>
              <w:pStyle w:val="TableBullet1"/>
              <w:spacing w:before="40" w:after="40" w:line="240" w:lineRule="auto"/>
              <w:rPr>
                <w:sz w:val="17"/>
                <w:szCs w:val="17"/>
              </w:rPr>
            </w:pPr>
            <w:r w:rsidRPr="00947034">
              <w:rPr>
                <w:sz w:val="17"/>
                <w:szCs w:val="17"/>
              </w:rPr>
              <w:t xml:space="preserve">Combinatorial auction where multiple buyers and sellers can simultaneously coordinate trades, managing the complementarities between different pipeline segments. </w:t>
            </w:r>
          </w:p>
          <w:p w14:paraId="26654C37" w14:textId="77777777" w:rsidR="00863FDD" w:rsidRPr="00947034" w:rsidRDefault="00863FDD" w:rsidP="00E7309F">
            <w:pPr>
              <w:pStyle w:val="TableBullet1"/>
              <w:spacing w:before="40" w:after="40" w:line="240" w:lineRule="auto"/>
              <w:rPr>
                <w:sz w:val="17"/>
                <w:szCs w:val="17"/>
              </w:rPr>
            </w:pPr>
            <w:r w:rsidRPr="00947034">
              <w:rPr>
                <w:sz w:val="17"/>
                <w:szCs w:val="17"/>
              </w:rPr>
              <w:t xml:space="preserve">Single round auction to reduce complexity and opportunities for anti-competitive behaviour between participants. </w:t>
            </w:r>
          </w:p>
          <w:p w14:paraId="17299301" w14:textId="77777777" w:rsidR="00863FDD" w:rsidRPr="00947034" w:rsidRDefault="00863FDD" w:rsidP="00E7309F">
            <w:pPr>
              <w:pStyle w:val="TableBullet1"/>
              <w:spacing w:before="40" w:after="40" w:line="240" w:lineRule="auto"/>
              <w:rPr>
                <w:sz w:val="17"/>
                <w:szCs w:val="17"/>
              </w:rPr>
            </w:pPr>
            <w:r w:rsidRPr="00947034">
              <w:rPr>
                <w:sz w:val="17"/>
                <w:szCs w:val="17"/>
              </w:rPr>
              <w:t xml:space="preserve">Bidders pay the value of their winning bids ("first-price" rule) to reduce complexity. </w:t>
            </w:r>
          </w:p>
          <w:p w14:paraId="30F9499B" w14:textId="77777777" w:rsidR="00863FDD" w:rsidRPr="00947034" w:rsidRDefault="00863FDD" w:rsidP="00E7309F">
            <w:pPr>
              <w:pStyle w:val="TableBullet1"/>
              <w:spacing w:before="40" w:after="40" w:line="240" w:lineRule="auto"/>
              <w:rPr>
                <w:sz w:val="17"/>
                <w:szCs w:val="17"/>
              </w:rPr>
            </w:pPr>
            <w:r w:rsidRPr="00947034">
              <w:rPr>
                <w:sz w:val="17"/>
                <w:szCs w:val="17"/>
              </w:rPr>
              <w:t xml:space="preserve">Algorithm determines the winning combination of bids by maximising profit (constrained by requirement that at least all contracted but un-nominated capacity is put on sale in auction). </w:t>
            </w:r>
          </w:p>
          <w:p w14:paraId="66899AA5" w14:textId="77777777" w:rsidR="00863FDD" w:rsidRPr="00947034" w:rsidRDefault="00863FDD" w:rsidP="00E7309F">
            <w:pPr>
              <w:pStyle w:val="TableBullet1"/>
              <w:spacing w:before="40" w:after="40" w:line="240" w:lineRule="auto"/>
              <w:rPr>
                <w:sz w:val="17"/>
                <w:szCs w:val="17"/>
              </w:rPr>
            </w:pPr>
            <w:r w:rsidRPr="00947034">
              <w:rPr>
                <w:sz w:val="17"/>
                <w:szCs w:val="17"/>
              </w:rPr>
              <w:t>Capacity purchased in the auction curtailed before (</w:t>
            </w:r>
            <w:r w:rsidR="00817F19" w:rsidRPr="00947034">
              <w:rPr>
                <w:sz w:val="17"/>
                <w:szCs w:val="17"/>
              </w:rPr>
              <w:t>i.e.</w:t>
            </w:r>
            <w:r w:rsidRPr="00947034">
              <w:rPr>
                <w:sz w:val="17"/>
                <w:szCs w:val="17"/>
              </w:rPr>
              <w:t xml:space="preserve">, earlier than) firm capacity. </w:t>
            </w:r>
          </w:p>
          <w:p w14:paraId="47FE95E4" w14:textId="77777777" w:rsidR="00863FDD" w:rsidRPr="00947034" w:rsidRDefault="00863FDD" w:rsidP="00E7309F">
            <w:pPr>
              <w:pStyle w:val="TableBullet1"/>
              <w:spacing w:before="40" w:after="40" w:line="240" w:lineRule="auto"/>
              <w:rPr>
                <w:sz w:val="17"/>
                <w:szCs w:val="17"/>
              </w:rPr>
            </w:pPr>
            <w:r w:rsidRPr="00947034">
              <w:rPr>
                <w:sz w:val="17"/>
                <w:szCs w:val="17"/>
              </w:rPr>
              <w:t xml:space="preserve">Single auction across the east coast market, in order to optimise allocation across as many products as possible. </w:t>
            </w:r>
          </w:p>
          <w:p w14:paraId="0CC91F87" w14:textId="77777777" w:rsidR="00863FDD" w:rsidRPr="00947034" w:rsidRDefault="00863FDD" w:rsidP="00E7309F">
            <w:pPr>
              <w:pStyle w:val="TableBullet1"/>
              <w:spacing w:before="40" w:after="40" w:line="240" w:lineRule="auto"/>
              <w:rPr>
                <w:sz w:val="17"/>
                <w:szCs w:val="17"/>
              </w:rPr>
            </w:pPr>
            <w:r w:rsidRPr="00947034">
              <w:rPr>
                <w:sz w:val="17"/>
                <w:szCs w:val="17"/>
              </w:rPr>
              <w:t xml:space="preserve">Exemption from the auction for pipelines serving a single user. </w:t>
            </w:r>
          </w:p>
        </w:tc>
        <w:tc>
          <w:tcPr>
            <w:tcW w:w="2688" w:type="dxa"/>
            <w:tcBorders>
              <w:bottom w:val="single" w:sz="4" w:space="0" w:color="auto"/>
            </w:tcBorders>
            <w:shd w:val="clear" w:color="auto" w:fill="auto"/>
          </w:tcPr>
          <w:p w14:paraId="1ACB2D66" w14:textId="77777777" w:rsidR="00863FDD" w:rsidRPr="00947034" w:rsidRDefault="00863FDD" w:rsidP="00E7309F">
            <w:pPr>
              <w:pStyle w:val="TableBullet1"/>
              <w:spacing w:before="40" w:after="40" w:line="240" w:lineRule="auto"/>
              <w:rPr>
                <w:sz w:val="17"/>
                <w:szCs w:val="17"/>
              </w:rPr>
            </w:pPr>
            <w:r w:rsidRPr="00947034">
              <w:rPr>
                <w:sz w:val="17"/>
                <w:szCs w:val="17"/>
              </w:rPr>
              <w:t xml:space="preserve">As available rights in current GTAs to be phased out to avoid them competing with rights allocated in the auction. </w:t>
            </w:r>
          </w:p>
          <w:p w14:paraId="7F997419" w14:textId="77777777" w:rsidR="00863FDD" w:rsidRPr="00947034" w:rsidRDefault="00863FDD" w:rsidP="00E7309F">
            <w:pPr>
              <w:pStyle w:val="TableBullet1"/>
              <w:spacing w:before="40" w:after="40" w:line="240" w:lineRule="auto"/>
              <w:rPr>
                <w:sz w:val="17"/>
                <w:szCs w:val="17"/>
              </w:rPr>
            </w:pPr>
            <w:r w:rsidRPr="00947034">
              <w:rPr>
                <w:sz w:val="17"/>
                <w:szCs w:val="17"/>
              </w:rPr>
              <w:t xml:space="preserve">Exempting on a case-by-case basis pipelines that are not fully contracted from needing to conduct the auction. </w:t>
            </w:r>
          </w:p>
          <w:p w14:paraId="3D07DF50" w14:textId="77777777" w:rsidR="00863FDD" w:rsidRPr="00947034" w:rsidRDefault="00863FDD" w:rsidP="00E7309F">
            <w:pPr>
              <w:pStyle w:val="TableBullet1"/>
              <w:spacing w:before="40" w:after="40" w:line="240" w:lineRule="auto"/>
              <w:rPr>
                <w:sz w:val="17"/>
                <w:szCs w:val="17"/>
              </w:rPr>
            </w:pPr>
            <w:r w:rsidRPr="00947034">
              <w:rPr>
                <w:sz w:val="17"/>
                <w:szCs w:val="17"/>
              </w:rPr>
              <w:t xml:space="preserve">The auction to be run by the same institution(s) which run the capacity trading platform. </w:t>
            </w:r>
          </w:p>
        </w:tc>
        <w:bookmarkStart w:id="213" w:name="_GoBack"/>
        <w:bookmarkEnd w:id="213"/>
      </w:tr>
      <w:tr w:rsidR="00E52016" w:rsidRPr="00947034" w14:paraId="442B5453" w14:textId="77777777" w:rsidTr="00E52016">
        <w:trPr>
          <w:trHeight w:val="576"/>
        </w:trPr>
        <w:tc>
          <w:tcPr>
            <w:tcW w:w="1838" w:type="dxa"/>
            <w:tcBorders>
              <w:bottom w:val="single" w:sz="4" w:space="0" w:color="auto"/>
            </w:tcBorders>
            <w:shd w:val="clear" w:color="auto" w:fill="E1E2E7" w:themeFill="background2"/>
          </w:tcPr>
          <w:p w14:paraId="3FBBB9BA" w14:textId="77777777" w:rsidR="00E52016" w:rsidRPr="00947034" w:rsidRDefault="00E52016" w:rsidP="00A057CA">
            <w:pPr>
              <w:pStyle w:val="Default"/>
              <w:spacing w:before="40" w:after="40"/>
              <w:rPr>
                <w:b/>
                <w:bCs/>
                <w:sz w:val="17"/>
                <w:szCs w:val="17"/>
              </w:rPr>
            </w:pPr>
            <w:r w:rsidRPr="00947034">
              <w:rPr>
                <w:b/>
                <w:bCs/>
                <w:sz w:val="17"/>
                <w:szCs w:val="17"/>
              </w:rPr>
              <w:t xml:space="preserve">Capacity trading platform(s) </w:t>
            </w:r>
          </w:p>
        </w:tc>
        <w:tc>
          <w:tcPr>
            <w:tcW w:w="4400" w:type="dxa"/>
            <w:tcBorders>
              <w:bottom w:val="single" w:sz="4" w:space="0" w:color="auto"/>
            </w:tcBorders>
            <w:shd w:val="clear" w:color="auto" w:fill="E1E2E7" w:themeFill="background2"/>
          </w:tcPr>
          <w:p w14:paraId="1FD0ED36" w14:textId="77777777" w:rsidR="00E52016" w:rsidRPr="00947034" w:rsidRDefault="00E52016" w:rsidP="00A057CA">
            <w:pPr>
              <w:pStyle w:val="TableBullet1"/>
              <w:spacing w:before="40" w:after="40" w:line="240" w:lineRule="auto"/>
              <w:rPr>
                <w:sz w:val="17"/>
                <w:szCs w:val="17"/>
              </w:rPr>
            </w:pPr>
            <w:r w:rsidRPr="00947034">
              <w:rPr>
                <w:sz w:val="17"/>
                <w:szCs w:val="17"/>
              </w:rPr>
              <w:t xml:space="preserve">Creation of capacity trading platform(s) which include electronic anonymous </w:t>
            </w:r>
            <w:r w:rsidR="00F1710A">
              <w:rPr>
                <w:sz w:val="17"/>
                <w:szCs w:val="17"/>
              </w:rPr>
              <w:t>exchange-based</w:t>
            </w:r>
            <w:r w:rsidRPr="00947034">
              <w:rPr>
                <w:sz w:val="17"/>
                <w:szCs w:val="17"/>
              </w:rPr>
              <w:t xml:space="preserve"> trading for commonly traded products in addition to a capacity listing service typical on current capacity trading platforms. </w:t>
            </w:r>
          </w:p>
          <w:p w14:paraId="2D2905E3" w14:textId="77777777" w:rsidR="00E52016" w:rsidRPr="00947034" w:rsidRDefault="00E52016" w:rsidP="00A057CA">
            <w:pPr>
              <w:pStyle w:val="TableBullet1"/>
              <w:spacing w:before="40" w:after="40" w:line="240" w:lineRule="auto"/>
              <w:rPr>
                <w:sz w:val="17"/>
                <w:szCs w:val="17"/>
              </w:rPr>
            </w:pPr>
            <w:r w:rsidRPr="00947034">
              <w:rPr>
                <w:sz w:val="17"/>
                <w:szCs w:val="17"/>
              </w:rPr>
              <w:t xml:space="preserve">Trades carried out through trading platform to be given effect through an operational transfer. </w:t>
            </w:r>
          </w:p>
          <w:p w14:paraId="19D3A411" w14:textId="77777777" w:rsidR="00E52016" w:rsidRPr="00947034" w:rsidRDefault="00E52016" w:rsidP="00A057CA">
            <w:pPr>
              <w:pStyle w:val="TableBullet1"/>
              <w:spacing w:before="40" w:after="40" w:line="240" w:lineRule="auto"/>
              <w:rPr>
                <w:sz w:val="17"/>
                <w:szCs w:val="17"/>
              </w:rPr>
            </w:pPr>
            <w:r w:rsidRPr="00947034">
              <w:rPr>
                <w:sz w:val="17"/>
                <w:szCs w:val="17"/>
              </w:rPr>
              <w:t xml:space="preserve">Bare transfers will be allowed but the seller will be required to offer the buyer the option to use an operational transfer. </w:t>
            </w:r>
          </w:p>
        </w:tc>
        <w:tc>
          <w:tcPr>
            <w:tcW w:w="4683" w:type="dxa"/>
            <w:tcBorders>
              <w:bottom w:val="single" w:sz="4" w:space="0" w:color="auto"/>
            </w:tcBorders>
            <w:shd w:val="clear" w:color="auto" w:fill="E1E2E7" w:themeFill="background2"/>
          </w:tcPr>
          <w:p w14:paraId="6749E868" w14:textId="77777777" w:rsidR="00E52016" w:rsidRPr="00947034" w:rsidRDefault="00E52016" w:rsidP="00A057CA">
            <w:pPr>
              <w:pStyle w:val="TableBullet1"/>
              <w:spacing w:before="40" w:after="40" w:line="240" w:lineRule="auto"/>
              <w:rPr>
                <w:sz w:val="17"/>
                <w:szCs w:val="17"/>
              </w:rPr>
            </w:pPr>
            <w:r w:rsidRPr="00947034">
              <w:rPr>
                <w:sz w:val="17"/>
                <w:szCs w:val="17"/>
              </w:rPr>
              <w:t xml:space="preserve">Single capacity trading platform operating across the east coast. </w:t>
            </w:r>
          </w:p>
          <w:p w14:paraId="1965BB85" w14:textId="77777777" w:rsidR="00E52016" w:rsidRPr="00947034" w:rsidRDefault="00E52016" w:rsidP="00A057CA">
            <w:pPr>
              <w:pStyle w:val="TableBullet1"/>
              <w:spacing w:before="40" w:after="40" w:line="240" w:lineRule="auto"/>
              <w:rPr>
                <w:sz w:val="17"/>
                <w:szCs w:val="17"/>
              </w:rPr>
            </w:pPr>
            <w:r w:rsidRPr="00947034">
              <w:rPr>
                <w:sz w:val="17"/>
                <w:szCs w:val="17"/>
              </w:rPr>
              <w:t>As many services as possible capable of being traded on the platform (</w:t>
            </w:r>
            <w:r w:rsidR="00817F19" w:rsidRPr="00947034">
              <w:rPr>
                <w:sz w:val="17"/>
                <w:szCs w:val="17"/>
              </w:rPr>
              <w:t>e.g.</w:t>
            </w:r>
            <w:r w:rsidRPr="00947034">
              <w:rPr>
                <w:sz w:val="17"/>
                <w:szCs w:val="17"/>
              </w:rPr>
              <w:t xml:space="preserve">, transportation services, hub </w:t>
            </w:r>
            <w:r w:rsidR="00C76541" w:rsidRPr="00947034">
              <w:rPr>
                <w:sz w:val="17"/>
                <w:szCs w:val="17"/>
              </w:rPr>
              <w:t xml:space="preserve">(compression) </w:t>
            </w:r>
            <w:r w:rsidRPr="00947034">
              <w:rPr>
                <w:sz w:val="17"/>
                <w:szCs w:val="17"/>
              </w:rPr>
              <w:t xml:space="preserve">services and pipeline storage services), recognising the need to avoid unnecessary complexities. </w:t>
            </w:r>
          </w:p>
          <w:p w14:paraId="6ED799B5" w14:textId="77777777" w:rsidR="00E52016" w:rsidRPr="00947034" w:rsidRDefault="00E52016" w:rsidP="00A057CA">
            <w:pPr>
              <w:pStyle w:val="TableBullet1"/>
              <w:spacing w:before="40" w:after="40" w:line="240" w:lineRule="auto"/>
              <w:rPr>
                <w:sz w:val="17"/>
                <w:szCs w:val="17"/>
              </w:rPr>
            </w:pPr>
            <w:r w:rsidRPr="00947034">
              <w:rPr>
                <w:sz w:val="17"/>
                <w:szCs w:val="17"/>
              </w:rPr>
              <w:t xml:space="preserve">Trades conducted outside the capacity trading platform to be advertised ahead of time on the capacity trading platform listing service. </w:t>
            </w:r>
          </w:p>
        </w:tc>
        <w:tc>
          <w:tcPr>
            <w:tcW w:w="2688" w:type="dxa"/>
            <w:tcBorders>
              <w:bottom w:val="single" w:sz="4" w:space="0" w:color="auto"/>
            </w:tcBorders>
            <w:shd w:val="clear" w:color="auto" w:fill="E1E2E7" w:themeFill="background2"/>
          </w:tcPr>
          <w:p w14:paraId="60309E07" w14:textId="77777777" w:rsidR="00E52016" w:rsidRPr="00947034" w:rsidRDefault="00E52016" w:rsidP="00A057CA">
            <w:pPr>
              <w:pStyle w:val="Default"/>
              <w:spacing w:before="40" w:after="40"/>
              <w:rPr>
                <w:sz w:val="17"/>
                <w:szCs w:val="17"/>
              </w:rPr>
            </w:pPr>
            <w:proofErr w:type="spellStart"/>
            <w:r w:rsidRPr="00947034">
              <w:rPr>
                <w:sz w:val="17"/>
                <w:szCs w:val="17"/>
              </w:rPr>
              <w:t>n.a</w:t>
            </w:r>
            <w:proofErr w:type="spellEnd"/>
            <w:r w:rsidRPr="00947034">
              <w:rPr>
                <w:sz w:val="17"/>
                <w:szCs w:val="17"/>
              </w:rPr>
              <w:t>.</w:t>
            </w:r>
          </w:p>
        </w:tc>
      </w:tr>
      <w:tr w:rsidR="002405F1" w:rsidRPr="00947034" w14:paraId="458D494B" w14:textId="77777777" w:rsidTr="00E52016">
        <w:trPr>
          <w:trHeight w:val="66"/>
        </w:trPr>
        <w:tc>
          <w:tcPr>
            <w:tcW w:w="1838" w:type="dxa"/>
            <w:shd w:val="clear" w:color="auto" w:fill="auto"/>
          </w:tcPr>
          <w:p w14:paraId="4D4ECF90" w14:textId="77777777" w:rsidR="002405F1" w:rsidRPr="00947034" w:rsidRDefault="002405F1" w:rsidP="00A9425D">
            <w:pPr>
              <w:pStyle w:val="Default"/>
              <w:spacing w:before="40" w:after="40"/>
              <w:rPr>
                <w:b/>
                <w:bCs/>
                <w:sz w:val="17"/>
                <w:szCs w:val="17"/>
              </w:rPr>
            </w:pPr>
            <w:r w:rsidRPr="00947034">
              <w:rPr>
                <w:b/>
                <w:bCs/>
                <w:sz w:val="17"/>
                <w:szCs w:val="17"/>
              </w:rPr>
              <w:t xml:space="preserve">Publication of information on secondary capacity trades </w:t>
            </w:r>
          </w:p>
        </w:tc>
        <w:tc>
          <w:tcPr>
            <w:tcW w:w="4400" w:type="dxa"/>
            <w:shd w:val="clear" w:color="auto" w:fill="auto"/>
          </w:tcPr>
          <w:p w14:paraId="637DB83A" w14:textId="77777777" w:rsidR="002405F1" w:rsidRPr="00947034" w:rsidRDefault="002405F1" w:rsidP="00A9425D">
            <w:pPr>
              <w:pStyle w:val="TableBullet1"/>
              <w:spacing w:before="40" w:after="40" w:line="240" w:lineRule="auto"/>
              <w:rPr>
                <w:sz w:val="17"/>
                <w:szCs w:val="17"/>
              </w:rPr>
            </w:pPr>
            <w:r w:rsidRPr="00947034">
              <w:rPr>
                <w:sz w:val="17"/>
                <w:szCs w:val="17"/>
              </w:rPr>
              <w:t xml:space="preserve">Publication of information on all secondary trades of pipeline capacity and hub </w:t>
            </w:r>
            <w:r w:rsidR="00C76541" w:rsidRPr="00947034">
              <w:rPr>
                <w:sz w:val="17"/>
                <w:szCs w:val="17"/>
              </w:rPr>
              <w:t xml:space="preserve">(compression) </w:t>
            </w:r>
            <w:r w:rsidRPr="00947034">
              <w:rPr>
                <w:sz w:val="17"/>
                <w:szCs w:val="17"/>
              </w:rPr>
              <w:t xml:space="preserve">services. </w:t>
            </w:r>
          </w:p>
          <w:p w14:paraId="69117F01" w14:textId="77777777" w:rsidR="002405F1" w:rsidRPr="00947034" w:rsidRDefault="002405F1" w:rsidP="00A9425D">
            <w:pPr>
              <w:pStyle w:val="TableBullet1"/>
              <w:spacing w:before="40" w:after="40" w:line="240" w:lineRule="auto"/>
              <w:rPr>
                <w:sz w:val="17"/>
                <w:szCs w:val="17"/>
              </w:rPr>
            </w:pPr>
            <w:r w:rsidRPr="00947034">
              <w:rPr>
                <w:sz w:val="17"/>
                <w:szCs w:val="17"/>
              </w:rPr>
              <w:t xml:space="preserve">The information to be published is the price of the trade and any other information that might reasonably influence that price, taking into account measures to protect anonymity. </w:t>
            </w:r>
          </w:p>
          <w:p w14:paraId="5F4245D1" w14:textId="77777777" w:rsidR="002405F1" w:rsidRPr="00947034" w:rsidRDefault="002405F1" w:rsidP="00A9425D">
            <w:pPr>
              <w:pStyle w:val="TableBullet1"/>
              <w:spacing w:before="40" w:after="40" w:line="240" w:lineRule="auto"/>
              <w:rPr>
                <w:sz w:val="17"/>
                <w:szCs w:val="17"/>
              </w:rPr>
            </w:pPr>
            <w:r w:rsidRPr="00947034">
              <w:rPr>
                <w:sz w:val="17"/>
                <w:szCs w:val="17"/>
              </w:rPr>
              <w:t xml:space="preserve">Publication should occur at or shortly after the time the transaction is entered into </w:t>
            </w:r>
          </w:p>
        </w:tc>
        <w:tc>
          <w:tcPr>
            <w:tcW w:w="4683" w:type="dxa"/>
            <w:shd w:val="clear" w:color="auto" w:fill="auto"/>
          </w:tcPr>
          <w:p w14:paraId="0C7D57D1" w14:textId="77777777" w:rsidR="002405F1" w:rsidRPr="00947034" w:rsidRDefault="002405F1" w:rsidP="00A9425D">
            <w:pPr>
              <w:pStyle w:val="TableBullet1"/>
              <w:numPr>
                <w:ilvl w:val="0"/>
                <w:numId w:val="0"/>
              </w:numPr>
              <w:spacing w:before="40" w:after="40" w:line="240" w:lineRule="auto"/>
              <w:ind w:left="85"/>
              <w:rPr>
                <w:sz w:val="17"/>
                <w:szCs w:val="17"/>
              </w:rPr>
            </w:pPr>
            <w:proofErr w:type="spellStart"/>
            <w:r w:rsidRPr="00947034">
              <w:rPr>
                <w:sz w:val="17"/>
                <w:szCs w:val="17"/>
              </w:rPr>
              <w:t>n.a</w:t>
            </w:r>
            <w:proofErr w:type="spellEnd"/>
            <w:r w:rsidRPr="00947034">
              <w:rPr>
                <w:sz w:val="17"/>
                <w:szCs w:val="17"/>
              </w:rPr>
              <w:t>.</w:t>
            </w:r>
          </w:p>
        </w:tc>
        <w:tc>
          <w:tcPr>
            <w:tcW w:w="2688" w:type="dxa"/>
            <w:shd w:val="clear" w:color="auto" w:fill="auto"/>
          </w:tcPr>
          <w:p w14:paraId="3F9EAE30" w14:textId="77777777" w:rsidR="002405F1" w:rsidRPr="00947034" w:rsidRDefault="002405F1" w:rsidP="00A9425D">
            <w:pPr>
              <w:pStyle w:val="Default"/>
              <w:spacing w:before="40" w:after="40"/>
              <w:rPr>
                <w:sz w:val="17"/>
                <w:szCs w:val="17"/>
              </w:rPr>
            </w:pPr>
            <w:proofErr w:type="spellStart"/>
            <w:r w:rsidRPr="00947034">
              <w:rPr>
                <w:sz w:val="17"/>
                <w:szCs w:val="17"/>
              </w:rPr>
              <w:t>n.a</w:t>
            </w:r>
            <w:proofErr w:type="spellEnd"/>
            <w:r w:rsidRPr="00947034">
              <w:rPr>
                <w:sz w:val="17"/>
                <w:szCs w:val="17"/>
              </w:rPr>
              <w:t>.</w:t>
            </w:r>
          </w:p>
        </w:tc>
      </w:tr>
      <w:bookmarkEnd w:id="212"/>
    </w:tbl>
    <w:p w14:paraId="5841A4A0" w14:textId="77777777" w:rsidR="00BB38CA" w:rsidRDefault="00BB38CA" w:rsidP="00A9425D">
      <w:pPr>
        <w:pStyle w:val="BodyText"/>
        <w:spacing w:before="0" w:after="0" w:line="240" w:lineRule="auto"/>
        <w:rPr>
          <w:rStyle w:val="BodyTextChar"/>
          <w:sz w:val="2"/>
          <w:szCs w:val="2"/>
        </w:rPr>
      </w:pPr>
    </w:p>
    <w:p w14:paraId="69557AEB" w14:textId="77777777" w:rsidR="001719B2" w:rsidRDefault="001719B2" w:rsidP="00A9425D">
      <w:pPr>
        <w:pStyle w:val="BodyText"/>
        <w:spacing w:before="0" w:after="0" w:line="240" w:lineRule="auto"/>
        <w:rPr>
          <w:rStyle w:val="BodyTextChar"/>
          <w:sz w:val="2"/>
          <w:szCs w:val="2"/>
        </w:rPr>
      </w:pPr>
    </w:p>
    <w:p w14:paraId="0F597FB0" w14:textId="77777777" w:rsidR="001719B2" w:rsidRDefault="001719B2" w:rsidP="00A9425D">
      <w:pPr>
        <w:pStyle w:val="BodyText"/>
        <w:spacing w:before="0" w:after="0" w:line="240" w:lineRule="auto"/>
        <w:rPr>
          <w:rStyle w:val="BodyTextChar"/>
          <w:sz w:val="2"/>
          <w:szCs w:val="2"/>
        </w:rPr>
      </w:pPr>
    </w:p>
    <w:p w14:paraId="77842F24" w14:textId="77777777" w:rsidR="00A95183" w:rsidRDefault="00A95183" w:rsidP="00A9425D">
      <w:pPr>
        <w:pStyle w:val="BodyText"/>
        <w:spacing w:before="0" w:after="0" w:line="240" w:lineRule="auto"/>
        <w:rPr>
          <w:rStyle w:val="BodyTextChar"/>
          <w:sz w:val="2"/>
          <w:szCs w:val="2"/>
        </w:rPr>
      </w:pPr>
    </w:p>
    <w:p w14:paraId="25117EBA" w14:textId="77777777" w:rsidR="00A95183" w:rsidRDefault="00A95183" w:rsidP="00A9425D">
      <w:pPr>
        <w:pStyle w:val="BodyText"/>
        <w:spacing w:before="0" w:after="0" w:line="240" w:lineRule="auto"/>
        <w:rPr>
          <w:rStyle w:val="BodyTextChar"/>
          <w:sz w:val="2"/>
          <w:szCs w:val="2"/>
        </w:rPr>
      </w:pPr>
    </w:p>
    <w:p w14:paraId="2B3768C8" w14:textId="77777777" w:rsidR="00A95183" w:rsidRDefault="00A95183" w:rsidP="00A95183">
      <w:pPr>
        <w:pStyle w:val="Heading9"/>
        <w:spacing w:before="0" w:after="60"/>
      </w:pPr>
      <w:r>
        <w:lastRenderedPageBreak/>
        <w:t>Comparison of the AEMC’s and GMRG’s recommendations</w:t>
      </w:r>
    </w:p>
    <w:p w14:paraId="07BB97E0" w14:textId="77777777" w:rsidR="00A95183" w:rsidRDefault="00A95183" w:rsidP="00A95183">
      <w:pPr>
        <w:spacing w:after="120"/>
      </w:pPr>
      <w:bookmarkStart w:id="214" w:name="_Hlk498357811"/>
      <w:r>
        <w:t>The table below compares the AEMC’s recommendations with the GMRG’s final recommendations.</w:t>
      </w:r>
    </w:p>
    <w:p w14:paraId="42BE3056" w14:textId="77777777" w:rsidR="00A95183" w:rsidRPr="00FF2136" w:rsidRDefault="00A95183" w:rsidP="00A95183">
      <w:pPr>
        <w:spacing w:line="240" w:lineRule="auto"/>
        <w:rPr>
          <w:rFonts w:ascii="Times New Roman" w:hAnsi="Times New Roman"/>
          <w:b/>
        </w:rPr>
      </w:pPr>
      <w:r w:rsidRPr="00FF2136">
        <w:rPr>
          <w:b/>
        </w:rPr>
        <w:t xml:space="preserve">Table </w:t>
      </w:r>
      <w:r w:rsidR="00216B52">
        <w:rPr>
          <w:b/>
        </w:rPr>
        <w:t>B</w:t>
      </w:r>
      <w:r w:rsidRPr="00FF2136">
        <w:rPr>
          <w:b/>
        </w:rPr>
        <w:t xml:space="preserve">.1: Comparison of recommendations </w:t>
      </w:r>
    </w:p>
    <w:tbl>
      <w:tblPr>
        <w:tblStyle w:val="TableGrid1"/>
        <w:tblW w:w="5100" w:type="pct"/>
        <w:tblInd w:w="0" w:type="dxa"/>
        <w:tblLayout w:type="fixed"/>
        <w:tblLook w:val="0480" w:firstRow="0" w:lastRow="0" w:firstColumn="1" w:lastColumn="0" w:noHBand="0" w:noVBand="1"/>
        <w:tblCaption w:val="Table B.1"/>
        <w:tblDescription w:val="Comparison of recommendations "/>
      </w:tblPr>
      <w:tblGrid>
        <w:gridCol w:w="8222"/>
        <w:gridCol w:w="5773"/>
      </w:tblGrid>
      <w:tr w:rsidR="00A95183" w:rsidRPr="00C951A9" w14:paraId="7B091777" w14:textId="77777777" w:rsidTr="00CF7D4D">
        <w:trPr>
          <w:cnfStyle w:val="000000010000" w:firstRow="0" w:lastRow="0" w:firstColumn="0" w:lastColumn="0" w:oddVBand="0" w:evenVBand="0" w:oddHBand="0" w:evenHBand="1" w:firstRowFirstColumn="0" w:firstRowLastColumn="0" w:lastRowFirstColumn="0" w:lastRowLastColumn="0"/>
          <w:tblHeader/>
        </w:trPr>
        <w:tc>
          <w:tcPr>
            <w:tcW w:w="8222" w:type="dxa"/>
            <w:tcBorders>
              <w:top w:val="single" w:sz="4" w:space="0" w:color="auto"/>
              <w:left w:val="nil"/>
              <w:bottom w:val="single" w:sz="4" w:space="0" w:color="auto"/>
              <w:right w:val="single" w:sz="4" w:space="0" w:color="auto"/>
            </w:tcBorders>
            <w:shd w:val="clear" w:color="auto" w:fill="0099CC"/>
            <w:hideMark/>
          </w:tcPr>
          <w:p w14:paraId="1551236B" w14:textId="77777777" w:rsidR="00A95183" w:rsidRPr="00C951A9" w:rsidRDefault="00A95183" w:rsidP="00635881">
            <w:pPr>
              <w:keepNext/>
              <w:spacing w:before="20" w:line="240" w:lineRule="auto"/>
              <w:jc w:val="center"/>
              <w:rPr>
                <w:rFonts w:asciiTheme="majorHAnsi" w:hAnsiTheme="majorHAnsi" w:cstheme="majorHAnsi"/>
                <w:b/>
                <w:color w:val="FFFFFF"/>
                <w:szCs w:val="18"/>
              </w:rPr>
            </w:pPr>
            <w:r w:rsidRPr="00C951A9">
              <w:rPr>
                <w:rFonts w:asciiTheme="majorHAnsi" w:hAnsiTheme="majorHAnsi" w:cstheme="majorHAnsi"/>
                <w:b/>
                <w:color w:val="FFFFFF"/>
                <w:szCs w:val="18"/>
              </w:rPr>
              <w:t>AEMC Recommendations</w:t>
            </w:r>
          </w:p>
        </w:tc>
        <w:tc>
          <w:tcPr>
            <w:tcW w:w="5773" w:type="dxa"/>
            <w:tcBorders>
              <w:top w:val="single" w:sz="4" w:space="0" w:color="auto"/>
              <w:left w:val="single" w:sz="4" w:space="0" w:color="auto"/>
              <w:bottom w:val="single" w:sz="4" w:space="0" w:color="auto"/>
              <w:right w:val="nil"/>
            </w:tcBorders>
            <w:shd w:val="clear" w:color="auto" w:fill="0099CC"/>
            <w:hideMark/>
          </w:tcPr>
          <w:p w14:paraId="64C880FB" w14:textId="77777777" w:rsidR="00A95183" w:rsidRPr="00C951A9" w:rsidRDefault="00A95183" w:rsidP="00635881">
            <w:pPr>
              <w:keepNext/>
              <w:spacing w:before="20" w:line="240" w:lineRule="auto"/>
              <w:jc w:val="center"/>
              <w:rPr>
                <w:rFonts w:asciiTheme="majorHAnsi" w:hAnsiTheme="majorHAnsi" w:cstheme="majorHAnsi"/>
                <w:b/>
                <w:color w:val="FFFFFF"/>
                <w:szCs w:val="18"/>
              </w:rPr>
            </w:pPr>
            <w:r w:rsidRPr="00C951A9">
              <w:rPr>
                <w:rFonts w:asciiTheme="majorHAnsi" w:hAnsiTheme="majorHAnsi" w:cstheme="majorHAnsi"/>
                <w:b/>
                <w:color w:val="FFFFFF"/>
                <w:szCs w:val="18"/>
              </w:rPr>
              <w:t xml:space="preserve">Consistency of GMRG’s Recommendations </w:t>
            </w:r>
          </w:p>
        </w:tc>
      </w:tr>
      <w:tr w:rsidR="00A95183" w:rsidRPr="00C951A9" w14:paraId="7ED10950" w14:textId="77777777" w:rsidTr="00CF7D4D">
        <w:tc>
          <w:tcPr>
            <w:tcW w:w="13995" w:type="dxa"/>
            <w:gridSpan w:val="2"/>
            <w:tcBorders>
              <w:top w:val="single" w:sz="4" w:space="0" w:color="auto"/>
              <w:left w:val="nil"/>
              <w:bottom w:val="single" w:sz="4" w:space="0" w:color="auto"/>
              <w:right w:val="nil"/>
            </w:tcBorders>
            <w:shd w:val="clear" w:color="auto" w:fill="65697F"/>
            <w:hideMark/>
          </w:tcPr>
          <w:p w14:paraId="26D61ADB" w14:textId="77777777" w:rsidR="00A95183" w:rsidRPr="00C951A9" w:rsidRDefault="00A95183" w:rsidP="00635881">
            <w:pPr>
              <w:keepNext/>
              <w:spacing w:before="20" w:line="240" w:lineRule="auto"/>
              <w:jc w:val="center"/>
              <w:rPr>
                <w:rFonts w:asciiTheme="majorHAnsi" w:hAnsiTheme="majorHAnsi" w:cstheme="majorHAnsi"/>
                <w:b/>
                <w:color w:val="FFFFFF"/>
                <w:szCs w:val="18"/>
              </w:rPr>
            </w:pPr>
            <w:r w:rsidRPr="00C951A9">
              <w:rPr>
                <w:rFonts w:asciiTheme="majorHAnsi" w:hAnsiTheme="majorHAnsi" w:cstheme="majorHAnsi"/>
                <w:b/>
                <w:color w:val="FFFFFF"/>
                <w:szCs w:val="18"/>
              </w:rPr>
              <w:t>Standardisation</w:t>
            </w:r>
          </w:p>
        </w:tc>
      </w:tr>
      <w:tr w:rsidR="00A95183" w:rsidRPr="00C951A9" w14:paraId="461C1569" w14:textId="77777777" w:rsidTr="00CF7D4D">
        <w:trPr>
          <w:cnfStyle w:val="000000010000" w:firstRow="0" w:lastRow="0" w:firstColumn="0" w:lastColumn="0" w:oddVBand="0" w:evenVBand="0" w:oddHBand="0" w:evenHBand="1" w:firstRowFirstColumn="0" w:firstRowLastColumn="0" w:lastRowFirstColumn="0" w:lastRowLastColumn="0"/>
        </w:trPr>
        <w:tc>
          <w:tcPr>
            <w:tcW w:w="13995" w:type="dxa"/>
            <w:gridSpan w:val="2"/>
            <w:tcBorders>
              <w:top w:val="single" w:sz="4" w:space="0" w:color="auto"/>
              <w:left w:val="nil"/>
              <w:bottom w:val="single" w:sz="4" w:space="0" w:color="auto"/>
              <w:right w:val="nil"/>
            </w:tcBorders>
            <w:shd w:val="clear" w:color="auto" w:fill="D9D9D9" w:themeFill="background1" w:themeFillShade="D9"/>
            <w:hideMark/>
          </w:tcPr>
          <w:p w14:paraId="345F4663" w14:textId="77777777" w:rsidR="00A95183" w:rsidRPr="00C951A9" w:rsidRDefault="00A95183" w:rsidP="00635881">
            <w:pPr>
              <w:keepNext/>
              <w:spacing w:before="20" w:line="240" w:lineRule="auto"/>
              <w:jc w:val="center"/>
              <w:rPr>
                <w:rFonts w:asciiTheme="majorHAnsi" w:hAnsiTheme="majorHAnsi" w:cstheme="majorHAnsi"/>
                <w:b/>
                <w:szCs w:val="18"/>
              </w:rPr>
            </w:pPr>
            <w:r w:rsidRPr="00C951A9">
              <w:rPr>
                <w:rFonts w:asciiTheme="majorHAnsi" w:hAnsiTheme="majorHAnsi" w:cstheme="majorHAnsi"/>
                <w:b/>
                <w:szCs w:val="18"/>
              </w:rPr>
              <w:t>Required Outcomes (</w:t>
            </w:r>
            <w:r w:rsidRPr="00C951A9">
              <w:rPr>
                <w:rFonts w:asciiTheme="majorHAnsi" w:hAnsiTheme="majorHAnsi" w:cstheme="majorHAnsi"/>
                <w:szCs w:val="18"/>
              </w:rPr>
              <w:t>Outcomes that must be progressed by the GMRG and are necessary to the implementation of the reforms)</w:t>
            </w:r>
          </w:p>
        </w:tc>
      </w:tr>
      <w:tr w:rsidR="00A95183" w:rsidRPr="00C951A9" w14:paraId="7369A9E9" w14:textId="77777777" w:rsidTr="00CF7D4D">
        <w:trPr>
          <w:trHeight w:val="488"/>
        </w:trPr>
        <w:tc>
          <w:tcPr>
            <w:tcW w:w="8222" w:type="dxa"/>
            <w:tcBorders>
              <w:top w:val="single" w:sz="4" w:space="0" w:color="auto"/>
              <w:left w:val="nil"/>
              <w:bottom w:val="single" w:sz="4" w:space="0" w:color="auto"/>
              <w:right w:val="single" w:sz="4" w:space="0" w:color="auto"/>
            </w:tcBorders>
            <w:shd w:val="clear" w:color="auto" w:fill="FFFFFF"/>
            <w:vAlign w:val="center"/>
            <w:hideMark/>
          </w:tcPr>
          <w:p w14:paraId="3E6E47FE" w14:textId="77777777" w:rsidR="00A95183" w:rsidRPr="00C951A9" w:rsidRDefault="00A95183" w:rsidP="00635881">
            <w:pPr>
              <w:pStyle w:val="TableBodyText"/>
              <w:spacing w:line="240" w:lineRule="auto"/>
              <w:rPr>
                <w:rFonts w:asciiTheme="majorHAnsi" w:hAnsiTheme="majorHAnsi" w:cstheme="majorHAnsi"/>
                <w:szCs w:val="18"/>
              </w:rPr>
            </w:pPr>
            <w:r w:rsidRPr="00C951A9">
              <w:rPr>
                <w:rFonts w:asciiTheme="majorHAnsi" w:hAnsiTheme="majorHAnsi" w:cstheme="majorHAnsi"/>
                <w:szCs w:val="18"/>
              </w:rPr>
              <w:t xml:space="preserve">Trades carried out through the capacity trading platform to be given effect through an operational transfer. Bare transfers will be allowed but the seller will be required to offer the buyer the option to use an operational transfer. </w:t>
            </w:r>
          </w:p>
        </w:tc>
        <w:tc>
          <w:tcPr>
            <w:tcW w:w="5773" w:type="dxa"/>
            <w:tcBorders>
              <w:top w:val="single" w:sz="4" w:space="0" w:color="auto"/>
              <w:left w:val="single" w:sz="4" w:space="0" w:color="auto"/>
              <w:bottom w:val="single" w:sz="4" w:space="0" w:color="auto"/>
              <w:right w:val="nil"/>
            </w:tcBorders>
            <w:shd w:val="clear" w:color="auto" w:fill="FFFFFF"/>
            <w:hideMark/>
          </w:tcPr>
          <w:p w14:paraId="27CCB5DD" w14:textId="77777777" w:rsidR="00A95183" w:rsidRPr="00C951A9" w:rsidRDefault="00A95183" w:rsidP="00635881">
            <w:pPr>
              <w:spacing w:before="20" w:line="240" w:lineRule="auto"/>
              <w:ind w:left="312"/>
              <w:jc w:val="center"/>
              <w:rPr>
                <w:rFonts w:asciiTheme="majorHAnsi" w:hAnsiTheme="majorHAnsi" w:cstheme="majorHAnsi"/>
                <w:szCs w:val="18"/>
              </w:rPr>
            </w:pPr>
            <w:r w:rsidRPr="00C951A9">
              <w:rPr>
                <w:rFonts w:asciiTheme="majorHAnsi" w:hAnsiTheme="majorHAnsi" w:cstheme="majorHAnsi"/>
                <w:szCs w:val="18"/>
              </w:rPr>
              <w:sym w:font="Wingdings" w:char="F0FC"/>
            </w:r>
          </w:p>
        </w:tc>
      </w:tr>
      <w:tr w:rsidR="00A95183" w:rsidRPr="00C951A9" w14:paraId="27BE1FF0" w14:textId="77777777" w:rsidTr="00CF7D4D">
        <w:trPr>
          <w:cnfStyle w:val="000000010000" w:firstRow="0" w:lastRow="0" w:firstColumn="0" w:lastColumn="0" w:oddVBand="0" w:evenVBand="0" w:oddHBand="0" w:evenHBand="1" w:firstRowFirstColumn="0" w:firstRowLastColumn="0" w:lastRowFirstColumn="0" w:lastRowLastColumn="0"/>
          <w:trHeight w:val="488"/>
        </w:trPr>
        <w:tc>
          <w:tcPr>
            <w:tcW w:w="8222" w:type="dxa"/>
            <w:tcBorders>
              <w:top w:val="single" w:sz="4" w:space="0" w:color="auto"/>
              <w:left w:val="nil"/>
              <w:bottom w:val="single" w:sz="4" w:space="0" w:color="auto"/>
              <w:right w:val="single" w:sz="4" w:space="0" w:color="auto"/>
            </w:tcBorders>
            <w:shd w:val="clear" w:color="auto" w:fill="FFFFFF"/>
            <w:hideMark/>
          </w:tcPr>
          <w:p w14:paraId="37A84C8D" w14:textId="77777777" w:rsidR="00A95183" w:rsidRPr="00C951A9" w:rsidRDefault="00A95183" w:rsidP="00635881">
            <w:pPr>
              <w:pStyle w:val="TableBodyText"/>
              <w:spacing w:line="240" w:lineRule="auto"/>
              <w:rPr>
                <w:rFonts w:asciiTheme="majorHAnsi" w:hAnsiTheme="majorHAnsi" w:cstheme="majorHAnsi"/>
                <w:szCs w:val="18"/>
              </w:rPr>
            </w:pPr>
            <w:r w:rsidRPr="00C951A9">
              <w:rPr>
                <w:rFonts w:asciiTheme="majorHAnsi" w:hAnsiTheme="majorHAnsi" w:cstheme="majorHAnsi"/>
                <w:szCs w:val="18"/>
              </w:rPr>
              <w:t>Standardisation of key primary and secondary capacity contractual terms for pipeline and hub (compression) services.  Where possible and appropriate the standards should apply across the eastern Australian gas market.</w:t>
            </w:r>
          </w:p>
        </w:tc>
        <w:tc>
          <w:tcPr>
            <w:tcW w:w="5773" w:type="dxa"/>
            <w:tcBorders>
              <w:top w:val="single" w:sz="4" w:space="0" w:color="auto"/>
              <w:left w:val="single" w:sz="4" w:space="0" w:color="auto"/>
              <w:bottom w:val="single" w:sz="4" w:space="0" w:color="auto"/>
              <w:right w:val="nil"/>
            </w:tcBorders>
            <w:shd w:val="clear" w:color="auto" w:fill="FFFFFF"/>
            <w:hideMark/>
          </w:tcPr>
          <w:p w14:paraId="4E8D8F45" w14:textId="77777777" w:rsidR="00A95183" w:rsidRPr="00C951A9" w:rsidRDefault="00A95183" w:rsidP="00635881">
            <w:pPr>
              <w:spacing w:before="20" w:line="240" w:lineRule="auto"/>
              <w:ind w:left="312"/>
              <w:jc w:val="center"/>
              <w:rPr>
                <w:rFonts w:asciiTheme="majorHAnsi" w:hAnsiTheme="majorHAnsi" w:cstheme="majorHAnsi"/>
                <w:szCs w:val="18"/>
              </w:rPr>
            </w:pPr>
            <w:r w:rsidRPr="00C951A9">
              <w:rPr>
                <w:rFonts w:asciiTheme="majorHAnsi" w:hAnsiTheme="majorHAnsi" w:cstheme="majorHAnsi"/>
                <w:szCs w:val="18"/>
              </w:rPr>
              <w:sym w:font="Wingdings" w:char="F0FC"/>
            </w:r>
          </w:p>
        </w:tc>
      </w:tr>
      <w:tr w:rsidR="00A95183" w:rsidRPr="00C951A9" w14:paraId="64B5608C" w14:textId="77777777" w:rsidTr="00CF7D4D">
        <w:trPr>
          <w:trHeight w:val="488"/>
        </w:trPr>
        <w:tc>
          <w:tcPr>
            <w:tcW w:w="8222" w:type="dxa"/>
            <w:tcBorders>
              <w:top w:val="single" w:sz="4" w:space="0" w:color="auto"/>
              <w:left w:val="nil"/>
              <w:bottom w:val="single" w:sz="4" w:space="0" w:color="auto"/>
              <w:right w:val="single" w:sz="4" w:space="0" w:color="auto"/>
            </w:tcBorders>
            <w:shd w:val="clear" w:color="auto" w:fill="FFFFFF"/>
            <w:hideMark/>
          </w:tcPr>
          <w:p w14:paraId="43DBF3CF" w14:textId="77777777" w:rsidR="00A95183" w:rsidRPr="00C951A9" w:rsidRDefault="00A95183" w:rsidP="00635881">
            <w:pPr>
              <w:pStyle w:val="TableBodyText"/>
              <w:spacing w:line="240" w:lineRule="auto"/>
              <w:rPr>
                <w:rFonts w:asciiTheme="majorHAnsi" w:hAnsiTheme="majorHAnsi" w:cstheme="majorHAnsi"/>
                <w:szCs w:val="18"/>
              </w:rPr>
            </w:pPr>
            <w:r w:rsidRPr="00C951A9">
              <w:rPr>
                <w:rFonts w:asciiTheme="majorHAnsi" w:hAnsiTheme="majorHAnsi" w:cstheme="majorHAnsi"/>
                <w:szCs w:val="18"/>
              </w:rPr>
              <w:t xml:space="preserve">Standards to be developed are for key operational, prudential and other contractual provisions in primary GTAs, secondary CTAs and operational GTAs. </w:t>
            </w:r>
          </w:p>
          <w:p w14:paraId="682519D3" w14:textId="77777777" w:rsidR="00A95183" w:rsidRPr="00C951A9" w:rsidRDefault="00A95183" w:rsidP="00635881">
            <w:pPr>
              <w:pStyle w:val="TableBodyText"/>
              <w:spacing w:line="240" w:lineRule="auto"/>
              <w:rPr>
                <w:rFonts w:asciiTheme="majorHAnsi" w:hAnsiTheme="majorHAnsi" w:cstheme="majorHAnsi"/>
                <w:szCs w:val="18"/>
              </w:rPr>
            </w:pPr>
            <w:r w:rsidRPr="00C951A9">
              <w:rPr>
                <w:rFonts w:asciiTheme="majorHAnsi" w:hAnsiTheme="majorHAnsi" w:cstheme="majorHAnsi"/>
                <w:szCs w:val="18"/>
              </w:rPr>
              <w:t xml:space="preserve">In response to stakeholder feedback, the AEMC also noted that it may be appropriate to prioritise the standardisation of operational GTAs and secondary capacity agreements (i.e. CTAs, the Exchange Agreement and Auction Agreement). </w:t>
            </w:r>
          </w:p>
        </w:tc>
        <w:tc>
          <w:tcPr>
            <w:tcW w:w="5773" w:type="dxa"/>
            <w:tcBorders>
              <w:top w:val="single" w:sz="4" w:space="0" w:color="auto"/>
              <w:left w:val="single" w:sz="4" w:space="0" w:color="auto"/>
              <w:bottom w:val="single" w:sz="4" w:space="0" w:color="auto"/>
              <w:right w:val="nil"/>
            </w:tcBorders>
            <w:shd w:val="clear" w:color="auto" w:fill="FFFFFF"/>
            <w:hideMark/>
          </w:tcPr>
          <w:p w14:paraId="725C9462" w14:textId="77777777" w:rsidR="00A95183" w:rsidRPr="00C951A9" w:rsidRDefault="00A95183" w:rsidP="00635881">
            <w:pPr>
              <w:pStyle w:val="TableBullet1"/>
              <w:numPr>
                <w:ilvl w:val="0"/>
                <w:numId w:val="0"/>
              </w:numPr>
              <w:tabs>
                <w:tab w:val="left" w:pos="720"/>
              </w:tabs>
              <w:spacing w:line="240" w:lineRule="auto"/>
              <w:ind w:left="312"/>
              <w:rPr>
                <w:rFonts w:asciiTheme="majorHAnsi" w:hAnsiTheme="majorHAnsi" w:cstheme="majorHAnsi"/>
                <w:szCs w:val="18"/>
              </w:rPr>
            </w:pPr>
            <w:r w:rsidRPr="00C951A9">
              <w:rPr>
                <w:rFonts w:asciiTheme="majorHAnsi" w:hAnsiTheme="majorHAnsi" w:cstheme="majorHAnsi"/>
                <w:szCs w:val="18"/>
              </w:rPr>
              <w:t xml:space="preserve">Standards developed for operational GTA, the Exchange Agreement and Auction Agreement but </w:t>
            </w:r>
            <w:r w:rsidRPr="00C951A9">
              <w:rPr>
                <w:rFonts w:asciiTheme="majorHAnsi" w:hAnsiTheme="majorHAnsi" w:cstheme="majorHAnsi"/>
                <w:b/>
                <w:szCs w:val="18"/>
              </w:rPr>
              <w:t>not</w:t>
            </w:r>
            <w:r w:rsidRPr="00C951A9">
              <w:rPr>
                <w:rFonts w:asciiTheme="majorHAnsi" w:hAnsiTheme="majorHAnsi" w:cstheme="majorHAnsi"/>
                <w:szCs w:val="18"/>
              </w:rPr>
              <w:t xml:space="preserve"> primary GTAs or secondary CTAs: </w:t>
            </w:r>
          </w:p>
        </w:tc>
      </w:tr>
      <w:tr w:rsidR="00A95183" w:rsidRPr="00C951A9" w14:paraId="37EBBE4B" w14:textId="77777777" w:rsidTr="00CF7D4D">
        <w:trPr>
          <w:cnfStyle w:val="000000010000" w:firstRow="0" w:lastRow="0" w:firstColumn="0" w:lastColumn="0" w:oddVBand="0" w:evenVBand="0" w:oddHBand="0" w:evenHBand="1" w:firstRowFirstColumn="0" w:firstRowLastColumn="0" w:lastRowFirstColumn="0" w:lastRowLastColumn="0"/>
          <w:trHeight w:val="166"/>
        </w:trPr>
        <w:tc>
          <w:tcPr>
            <w:tcW w:w="8222" w:type="dxa"/>
            <w:tcBorders>
              <w:top w:val="single" w:sz="4" w:space="0" w:color="auto"/>
              <w:left w:val="nil"/>
              <w:bottom w:val="single" w:sz="4" w:space="0" w:color="auto"/>
              <w:right w:val="single" w:sz="4" w:space="0" w:color="auto"/>
            </w:tcBorders>
            <w:shd w:val="clear" w:color="auto" w:fill="FFFFFF"/>
            <w:hideMark/>
          </w:tcPr>
          <w:p w14:paraId="1D45B8E6" w14:textId="77777777" w:rsidR="00A95183" w:rsidRPr="00C951A9" w:rsidRDefault="00A95183" w:rsidP="00635881">
            <w:pPr>
              <w:pStyle w:val="TableBodyText"/>
              <w:spacing w:line="240" w:lineRule="auto"/>
              <w:rPr>
                <w:rFonts w:asciiTheme="majorHAnsi" w:hAnsiTheme="majorHAnsi" w:cstheme="majorHAnsi"/>
                <w:szCs w:val="18"/>
              </w:rPr>
            </w:pPr>
            <w:r w:rsidRPr="00C951A9">
              <w:rPr>
                <w:rFonts w:asciiTheme="majorHAnsi" w:hAnsiTheme="majorHAnsi" w:cstheme="majorHAnsi"/>
                <w:szCs w:val="18"/>
              </w:rPr>
              <w:t>Counterparties to existing contracts should not be materially disadvantaged through the standardisation process.</w:t>
            </w:r>
          </w:p>
        </w:tc>
        <w:tc>
          <w:tcPr>
            <w:tcW w:w="5773" w:type="dxa"/>
            <w:tcBorders>
              <w:top w:val="single" w:sz="4" w:space="0" w:color="auto"/>
              <w:left w:val="single" w:sz="4" w:space="0" w:color="auto"/>
              <w:bottom w:val="single" w:sz="4" w:space="0" w:color="auto"/>
              <w:right w:val="nil"/>
            </w:tcBorders>
            <w:shd w:val="clear" w:color="auto" w:fill="FFFFFF"/>
            <w:hideMark/>
          </w:tcPr>
          <w:p w14:paraId="16D30176" w14:textId="77777777" w:rsidR="00A95183" w:rsidRPr="00C951A9" w:rsidRDefault="00A95183" w:rsidP="00635881">
            <w:pPr>
              <w:pStyle w:val="TableBodyText"/>
              <w:spacing w:line="240" w:lineRule="auto"/>
              <w:jc w:val="center"/>
              <w:rPr>
                <w:rFonts w:asciiTheme="majorHAnsi" w:hAnsiTheme="majorHAnsi" w:cstheme="majorHAnsi"/>
                <w:szCs w:val="18"/>
              </w:rPr>
            </w:pPr>
            <w:r w:rsidRPr="00C951A9">
              <w:rPr>
                <w:rFonts w:asciiTheme="majorHAnsi" w:hAnsiTheme="majorHAnsi" w:cstheme="majorHAnsi"/>
                <w:szCs w:val="18"/>
              </w:rPr>
              <w:sym w:font="Wingdings" w:char="F0FC"/>
            </w:r>
          </w:p>
        </w:tc>
      </w:tr>
    </w:tbl>
    <w:p w14:paraId="7FB87249" w14:textId="77777777" w:rsidR="003022E1" w:rsidRPr="003022E1" w:rsidRDefault="003022E1">
      <w:pPr>
        <w:rPr>
          <w:sz w:val="2"/>
        </w:rPr>
      </w:pPr>
    </w:p>
    <w:tbl>
      <w:tblPr>
        <w:tblStyle w:val="TableGrid2"/>
        <w:tblW w:w="5100" w:type="pct"/>
        <w:tblInd w:w="0" w:type="dxa"/>
        <w:tblLayout w:type="fixed"/>
        <w:tblLook w:val="0480" w:firstRow="0" w:lastRow="0" w:firstColumn="1" w:lastColumn="0" w:noHBand="0" w:noVBand="1"/>
        <w:tblCaption w:val="Table B.1"/>
        <w:tblDescription w:val="Comparison of recommendations "/>
      </w:tblPr>
      <w:tblGrid>
        <w:gridCol w:w="8222"/>
        <w:gridCol w:w="5773"/>
      </w:tblGrid>
      <w:tr w:rsidR="00A95183" w:rsidRPr="00C951A9" w14:paraId="3CFFF680" w14:textId="77777777" w:rsidTr="003022E1">
        <w:trPr>
          <w:cnfStyle w:val="000000010000" w:firstRow="0" w:lastRow="0" w:firstColumn="0" w:lastColumn="0" w:oddVBand="0" w:evenVBand="0" w:oddHBand="0" w:evenHBand="1" w:firstRowFirstColumn="0" w:firstRowLastColumn="0" w:lastRowFirstColumn="0" w:lastRowLastColumn="0"/>
          <w:tblHeader/>
        </w:trPr>
        <w:tc>
          <w:tcPr>
            <w:tcW w:w="13995" w:type="dxa"/>
            <w:gridSpan w:val="2"/>
            <w:tcBorders>
              <w:top w:val="single" w:sz="4" w:space="0" w:color="auto"/>
              <w:left w:val="nil"/>
              <w:bottom w:val="single" w:sz="4" w:space="0" w:color="auto"/>
              <w:right w:val="nil"/>
            </w:tcBorders>
            <w:shd w:val="clear" w:color="auto" w:fill="65697F"/>
            <w:hideMark/>
          </w:tcPr>
          <w:p w14:paraId="69F02673" w14:textId="77777777" w:rsidR="00A95183" w:rsidRPr="00C951A9" w:rsidRDefault="00A95183" w:rsidP="00635881">
            <w:pPr>
              <w:keepNext/>
              <w:spacing w:before="20" w:after="20" w:line="240" w:lineRule="auto"/>
              <w:jc w:val="center"/>
              <w:rPr>
                <w:rFonts w:asciiTheme="majorHAnsi" w:hAnsiTheme="majorHAnsi" w:cstheme="majorHAnsi"/>
                <w:b/>
                <w:color w:val="FFFFFF"/>
                <w:szCs w:val="18"/>
              </w:rPr>
            </w:pPr>
            <w:r w:rsidRPr="00C951A9">
              <w:rPr>
                <w:rFonts w:asciiTheme="majorHAnsi" w:hAnsiTheme="majorHAnsi" w:cstheme="majorHAnsi"/>
                <w:b/>
                <w:color w:val="FFFFFF"/>
                <w:szCs w:val="18"/>
              </w:rPr>
              <w:t>Capacity Trading Platform</w:t>
            </w:r>
          </w:p>
        </w:tc>
      </w:tr>
      <w:tr w:rsidR="00A95183" w:rsidRPr="00C951A9" w14:paraId="1BFC2661" w14:textId="77777777" w:rsidTr="00CF7D4D">
        <w:tc>
          <w:tcPr>
            <w:tcW w:w="13995" w:type="dxa"/>
            <w:gridSpan w:val="2"/>
            <w:tcBorders>
              <w:top w:val="single" w:sz="4" w:space="0" w:color="auto"/>
              <w:left w:val="nil"/>
              <w:bottom w:val="single" w:sz="4" w:space="0" w:color="auto"/>
              <w:right w:val="nil"/>
            </w:tcBorders>
            <w:shd w:val="clear" w:color="auto" w:fill="D9D9D9" w:themeFill="background1" w:themeFillShade="D9"/>
            <w:hideMark/>
          </w:tcPr>
          <w:p w14:paraId="42A0557B" w14:textId="77777777" w:rsidR="00A95183" w:rsidRPr="00C951A9" w:rsidRDefault="00A95183" w:rsidP="00635881">
            <w:pPr>
              <w:keepNext/>
              <w:spacing w:before="20" w:after="20" w:line="240" w:lineRule="auto"/>
              <w:jc w:val="center"/>
              <w:rPr>
                <w:rFonts w:asciiTheme="majorHAnsi" w:hAnsiTheme="majorHAnsi" w:cstheme="majorHAnsi"/>
                <w:b/>
                <w:szCs w:val="18"/>
              </w:rPr>
            </w:pPr>
            <w:r w:rsidRPr="00C951A9">
              <w:rPr>
                <w:rFonts w:asciiTheme="majorHAnsi" w:hAnsiTheme="majorHAnsi" w:cstheme="majorHAnsi"/>
                <w:b/>
                <w:szCs w:val="18"/>
              </w:rPr>
              <w:t>Required Outcomes (</w:t>
            </w:r>
            <w:r w:rsidRPr="00C951A9">
              <w:rPr>
                <w:rFonts w:asciiTheme="majorHAnsi" w:hAnsiTheme="majorHAnsi" w:cstheme="majorHAnsi"/>
                <w:szCs w:val="18"/>
              </w:rPr>
              <w:t>Outcomes that must be progressed by the GMRG and are necessary to the implementation of the reforms)</w:t>
            </w:r>
          </w:p>
        </w:tc>
      </w:tr>
      <w:tr w:rsidR="00A95183" w:rsidRPr="00C951A9" w14:paraId="529F93BB" w14:textId="77777777" w:rsidTr="00CF7D4D">
        <w:trPr>
          <w:cnfStyle w:val="000000010000" w:firstRow="0" w:lastRow="0" w:firstColumn="0" w:lastColumn="0" w:oddVBand="0" w:evenVBand="0" w:oddHBand="0" w:evenHBand="1" w:firstRowFirstColumn="0" w:firstRowLastColumn="0" w:lastRowFirstColumn="0" w:lastRowLastColumn="0"/>
          <w:trHeight w:val="488"/>
        </w:trPr>
        <w:tc>
          <w:tcPr>
            <w:tcW w:w="8222" w:type="dxa"/>
            <w:tcBorders>
              <w:top w:val="single" w:sz="4" w:space="0" w:color="auto"/>
              <w:left w:val="nil"/>
              <w:bottom w:val="single" w:sz="4" w:space="0" w:color="auto"/>
              <w:right w:val="single" w:sz="4" w:space="0" w:color="auto"/>
            </w:tcBorders>
            <w:shd w:val="clear" w:color="auto" w:fill="FFFFFF"/>
            <w:vAlign w:val="center"/>
            <w:hideMark/>
          </w:tcPr>
          <w:tbl>
            <w:tblPr>
              <w:tblW w:w="0" w:type="auto"/>
              <w:tblLayout w:type="fixed"/>
              <w:tblLook w:val="04A0" w:firstRow="1" w:lastRow="0" w:firstColumn="1" w:lastColumn="0" w:noHBand="0" w:noVBand="1"/>
              <w:tblCaption w:val="Table B.1"/>
              <w:tblDescription w:val="Comparison of recommendations "/>
            </w:tblPr>
            <w:tblGrid>
              <w:gridCol w:w="8453"/>
            </w:tblGrid>
            <w:tr w:rsidR="00A95183" w:rsidRPr="00C951A9" w14:paraId="7AE5B5AC" w14:textId="77777777" w:rsidTr="00635881">
              <w:trPr>
                <w:trHeight w:val="331"/>
              </w:trPr>
              <w:tc>
                <w:tcPr>
                  <w:tcW w:w="8453" w:type="dxa"/>
                  <w:hideMark/>
                </w:tcPr>
                <w:p w14:paraId="335910C9" w14:textId="77777777" w:rsidR="00A95183" w:rsidRPr="00C951A9" w:rsidRDefault="00A95183" w:rsidP="00635881">
                  <w:pPr>
                    <w:pStyle w:val="TableBodyText"/>
                    <w:spacing w:line="240" w:lineRule="auto"/>
                    <w:rPr>
                      <w:rFonts w:asciiTheme="majorHAnsi" w:hAnsiTheme="majorHAnsi" w:cstheme="majorHAnsi"/>
                      <w:color w:val="000000"/>
                      <w:szCs w:val="18"/>
                      <w:lang w:eastAsia="en-US"/>
                    </w:rPr>
                  </w:pPr>
                  <w:r w:rsidRPr="00C951A9">
                    <w:rPr>
                      <w:rFonts w:asciiTheme="majorHAnsi" w:hAnsiTheme="majorHAnsi" w:cstheme="majorHAnsi"/>
                      <w:szCs w:val="18"/>
                    </w:rPr>
                    <w:t xml:space="preserve">Creation of capacity trading platform(s) which include electronic anonymous </w:t>
                  </w:r>
                  <w:r w:rsidR="00F1710A" w:rsidRPr="00C951A9">
                    <w:rPr>
                      <w:rFonts w:asciiTheme="majorHAnsi" w:hAnsiTheme="majorHAnsi" w:cstheme="majorHAnsi"/>
                      <w:szCs w:val="18"/>
                    </w:rPr>
                    <w:t>exchange-based</w:t>
                  </w:r>
                  <w:r w:rsidRPr="00C951A9">
                    <w:rPr>
                      <w:rFonts w:asciiTheme="majorHAnsi" w:hAnsiTheme="majorHAnsi" w:cstheme="majorHAnsi"/>
                      <w:szCs w:val="18"/>
                    </w:rPr>
                    <w:t xml:space="preserve"> trading for commonly traded products in addition to a capacity listing service typical on current capacity trading platforms. </w:t>
                  </w:r>
                </w:p>
              </w:tc>
            </w:tr>
          </w:tbl>
          <w:p w14:paraId="597792B3" w14:textId="77777777" w:rsidR="00A95183" w:rsidRPr="00C951A9" w:rsidRDefault="00A95183" w:rsidP="00635881">
            <w:pPr>
              <w:spacing w:line="240" w:lineRule="auto"/>
              <w:rPr>
                <w:rFonts w:asciiTheme="majorHAnsi" w:hAnsiTheme="majorHAnsi" w:cstheme="majorHAnsi"/>
                <w:szCs w:val="18"/>
              </w:rPr>
            </w:pPr>
          </w:p>
        </w:tc>
        <w:tc>
          <w:tcPr>
            <w:tcW w:w="5773" w:type="dxa"/>
            <w:tcBorders>
              <w:top w:val="single" w:sz="4" w:space="0" w:color="auto"/>
              <w:left w:val="single" w:sz="4" w:space="0" w:color="auto"/>
              <w:bottom w:val="single" w:sz="4" w:space="0" w:color="auto"/>
              <w:right w:val="nil"/>
            </w:tcBorders>
            <w:shd w:val="clear" w:color="auto" w:fill="FFFFFF"/>
            <w:hideMark/>
          </w:tcPr>
          <w:p w14:paraId="5B43C9BF" w14:textId="77777777" w:rsidR="00A95183" w:rsidRPr="00C951A9" w:rsidRDefault="00A95183" w:rsidP="00635881">
            <w:pPr>
              <w:pStyle w:val="TableBodyText"/>
              <w:spacing w:line="240" w:lineRule="auto"/>
              <w:jc w:val="center"/>
              <w:rPr>
                <w:rFonts w:asciiTheme="majorHAnsi" w:hAnsiTheme="majorHAnsi" w:cstheme="majorHAnsi"/>
                <w:szCs w:val="18"/>
              </w:rPr>
            </w:pPr>
            <w:r w:rsidRPr="00C951A9">
              <w:rPr>
                <w:rFonts w:asciiTheme="majorHAnsi" w:hAnsiTheme="majorHAnsi" w:cstheme="majorHAnsi"/>
                <w:szCs w:val="18"/>
              </w:rPr>
              <w:sym w:font="Wingdings" w:char="F0FC"/>
            </w:r>
          </w:p>
        </w:tc>
      </w:tr>
      <w:tr w:rsidR="00A95183" w:rsidRPr="00C951A9" w14:paraId="0243ECEE" w14:textId="77777777" w:rsidTr="00CF7D4D">
        <w:trPr>
          <w:trHeight w:val="87"/>
        </w:trPr>
        <w:tc>
          <w:tcPr>
            <w:tcW w:w="8222" w:type="dxa"/>
            <w:tcBorders>
              <w:top w:val="single" w:sz="4" w:space="0" w:color="auto"/>
              <w:left w:val="nil"/>
              <w:bottom w:val="single" w:sz="4" w:space="0" w:color="auto"/>
              <w:right w:val="single" w:sz="4" w:space="0" w:color="auto"/>
            </w:tcBorders>
            <w:shd w:val="clear" w:color="auto" w:fill="FFFFFF"/>
            <w:hideMark/>
          </w:tcPr>
          <w:p w14:paraId="4EF343A0" w14:textId="77777777" w:rsidR="00A95183" w:rsidRPr="00C951A9" w:rsidRDefault="00A95183" w:rsidP="00635881">
            <w:pPr>
              <w:pStyle w:val="TableBodyText"/>
              <w:spacing w:line="240" w:lineRule="auto"/>
              <w:rPr>
                <w:rFonts w:asciiTheme="majorHAnsi" w:hAnsiTheme="majorHAnsi" w:cstheme="majorHAnsi"/>
                <w:szCs w:val="18"/>
              </w:rPr>
            </w:pPr>
            <w:r w:rsidRPr="00C951A9">
              <w:rPr>
                <w:rFonts w:asciiTheme="majorHAnsi" w:hAnsiTheme="majorHAnsi" w:cstheme="majorHAnsi"/>
                <w:szCs w:val="18"/>
              </w:rPr>
              <w:t>Trades carried out through trading platform to be given effect through an operational transfer.</w:t>
            </w:r>
          </w:p>
        </w:tc>
        <w:tc>
          <w:tcPr>
            <w:tcW w:w="5773" w:type="dxa"/>
            <w:tcBorders>
              <w:top w:val="single" w:sz="4" w:space="0" w:color="auto"/>
              <w:left w:val="single" w:sz="4" w:space="0" w:color="auto"/>
              <w:bottom w:val="single" w:sz="4" w:space="0" w:color="auto"/>
              <w:right w:val="nil"/>
            </w:tcBorders>
            <w:shd w:val="clear" w:color="auto" w:fill="FFFFFF"/>
            <w:hideMark/>
          </w:tcPr>
          <w:p w14:paraId="65763108" w14:textId="77777777" w:rsidR="00A95183" w:rsidRPr="00C951A9" w:rsidRDefault="00A95183" w:rsidP="00635881">
            <w:pPr>
              <w:pStyle w:val="TableBodyText"/>
              <w:spacing w:line="240" w:lineRule="auto"/>
              <w:jc w:val="center"/>
              <w:rPr>
                <w:rFonts w:asciiTheme="majorHAnsi" w:hAnsiTheme="majorHAnsi" w:cstheme="majorHAnsi"/>
                <w:szCs w:val="18"/>
              </w:rPr>
            </w:pPr>
            <w:r w:rsidRPr="00C951A9">
              <w:rPr>
                <w:rFonts w:asciiTheme="majorHAnsi" w:hAnsiTheme="majorHAnsi" w:cstheme="majorHAnsi"/>
                <w:szCs w:val="18"/>
              </w:rPr>
              <w:sym w:font="Wingdings" w:char="F0FC"/>
            </w:r>
          </w:p>
        </w:tc>
      </w:tr>
      <w:tr w:rsidR="00A95183" w:rsidRPr="00C951A9" w14:paraId="2BC76ADA" w14:textId="77777777" w:rsidTr="00CF7D4D">
        <w:trPr>
          <w:cnfStyle w:val="000000010000" w:firstRow="0" w:lastRow="0" w:firstColumn="0" w:lastColumn="0" w:oddVBand="0" w:evenVBand="0" w:oddHBand="0" w:evenHBand="1" w:firstRowFirstColumn="0" w:firstRowLastColumn="0" w:lastRowFirstColumn="0" w:lastRowLastColumn="0"/>
        </w:trPr>
        <w:tc>
          <w:tcPr>
            <w:tcW w:w="13995" w:type="dxa"/>
            <w:gridSpan w:val="2"/>
            <w:tcBorders>
              <w:top w:val="single" w:sz="4" w:space="0" w:color="auto"/>
              <w:left w:val="nil"/>
              <w:bottom w:val="single" w:sz="4" w:space="0" w:color="auto"/>
              <w:right w:val="nil"/>
            </w:tcBorders>
            <w:shd w:val="clear" w:color="auto" w:fill="D9D9D9" w:themeFill="background1" w:themeFillShade="D9"/>
            <w:hideMark/>
          </w:tcPr>
          <w:p w14:paraId="02E524F5" w14:textId="77777777" w:rsidR="00A95183" w:rsidRPr="00C951A9" w:rsidRDefault="00A95183" w:rsidP="00635881">
            <w:pPr>
              <w:pStyle w:val="ListParagraph"/>
              <w:keepNext/>
              <w:spacing w:before="20" w:after="20" w:line="240" w:lineRule="auto"/>
              <w:ind w:left="340"/>
              <w:jc w:val="center"/>
              <w:rPr>
                <w:rFonts w:asciiTheme="majorHAnsi" w:hAnsiTheme="majorHAnsi" w:cstheme="majorHAnsi"/>
                <w:b/>
                <w:szCs w:val="18"/>
              </w:rPr>
            </w:pPr>
            <w:r w:rsidRPr="00C951A9">
              <w:rPr>
                <w:rFonts w:asciiTheme="majorHAnsi" w:hAnsiTheme="majorHAnsi" w:cstheme="majorHAnsi"/>
                <w:b/>
                <w:szCs w:val="18"/>
              </w:rPr>
              <w:t>Preferred outcomes (</w:t>
            </w:r>
            <w:r w:rsidRPr="00C951A9">
              <w:rPr>
                <w:rFonts w:asciiTheme="majorHAnsi" w:hAnsiTheme="majorHAnsi" w:cstheme="majorHAnsi"/>
                <w:szCs w:val="18"/>
              </w:rPr>
              <w:t>Outcomes that should be pursued by the GMRG unless it is clear there are greater benefits in alternative approaches)</w:t>
            </w:r>
          </w:p>
        </w:tc>
      </w:tr>
      <w:tr w:rsidR="00A95183" w:rsidRPr="00C951A9" w14:paraId="66B5C2B7" w14:textId="77777777" w:rsidTr="00CF7D4D">
        <w:trPr>
          <w:trHeight w:val="47"/>
        </w:trPr>
        <w:tc>
          <w:tcPr>
            <w:tcW w:w="8222" w:type="dxa"/>
            <w:tcBorders>
              <w:top w:val="single" w:sz="4" w:space="0" w:color="auto"/>
              <w:left w:val="nil"/>
              <w:bottom w:val="single" w:sz="4" w:space="0" w:color="auto"/>
              <w:right w:val="single" w:sz="4" w:space="0" w:color="auto"/>
            </w:tcBorders>
            <w:shd w:val="clear" w:color="auto" w:fill="FFFFFF" w:themeFill="background1"/>
            <w:hideMark/>
          </w:tcPr>
          <w:p w14:paraId="1C5AFF3D" w14:textId="77777777" w:rsidR="00A95183" w:rsidRPr="00C951A9" w:rsidRDefault="00A95183" w:rsidP="00635881">
            <w:pPr>
              <w:pStyle w:val="TableBodyText"/>
              <w:spacing w:before="20" w:after="20" w:line="240" w:lineRule="auto"/>
              <w:rPr>
                <w:rFonts w:asciiTheme="majorHAnsi" w:hAnsiTheme="majorHAnsi" w:cstheme="majorHAnsi"/>
                <w:szCs w:val="18"/>
              </w:rPr>
            </w:pPr>
            <w:r w:rsidRPr="00C951A9">
              <w:rPr>
                <w:rFonts w:asciiTheme="majorHAnsi" w:hAnsiTheme="majorHAnsi" w:cstheme="majorHAnsi"/>
                <w:szCs w:val="18"/>
              </w:rPr>
              <w:t>Single capacity trading platform operating across the east coast.</w:t>
            </w:r>
          </w:p>
        </w:tc>
        <w:tc>
          <w:tcPr>
            <w:tcW w:w="5773" w:type="dxa"/>
            <w:tcBorders>
              <w:top w:val="single" w:sz="4" w:space="0" w:color="auto"/>
              <w:left w:val="single" w:sz="4" w:space="0" w:color="auto"/>
              <w:bottom w:val="single" w:sz="4" w:space="0" w:color="auto"/>
              <w:right w:val="nil"/>
            </w:tcBorders>
            <w:shd w:val="clear" w:color="auto" w:fill="FFFFFF" w:themeFill="background1"/>
            <w:hideMark/>
          </w:tcPr>
          <w:p w14:paraId="69FE9562" w14:textId="77777777" w:rsidR="00A95183" w:rsidRPr="00C951A9" w:rsidRDefault="00A95183" w:rsidP="00635881">
            <w:pPr>
              <w:pStyle w:val="TableBodyText"/>
              <w:spacing w:before="20" w:after="20" w:line="240" w:lineRule="auto"/>
              <w:jc w:val="center"/>
              <w:rPr>
                <w:rFonts w:asciiTheme="majorHAnsi" w:hAnsiTheme="majorHAnsi" w:cstheme="majorHAnsi"/>
                <w:b/>
                <w:szCs w:val="18"/>
              </w:rPr>
            </w:pPr>
            <w:r w:rsidRPr="00C951A9">
              <w:rPr>
                <w:rFonts w:asciiTheme="majorHAnsi" w:hAnsiTheme="majorHAnsi" w:cstheme="majorHAnsi"/>
                <w:szCs w:val="18"/>
              </w:rPr>
              <w:sym w:font="Wingdings" w:char="F0FC"/>
            </w:r>
          </w:p>
        </w:tc>
      </w:tr>
      <w:tr w:rsidR="00A95183" w:rsidRPr="00C951A9" w14:paraId="389A5981" w14:textId="77777777" w:rsidTr="00CF7D4D">
        <w:trPr>
          <w:cnfStyle w:val="000000010000" w:firstRow="0" w:lastRow="0" w:firstColumn="0" w:lastColumn="0" w:oddVBand="0" w:evenVBand="0" w:oddHBand="0" w:evenHBand="1" w:firstRowFirstColumn="0" w:firstRowLastColumn="0" w:lastRowFirstColumn="0" w:lastRowLastColumn="0"/>
          <w:trHeight w:val="126"/>
        </w:trPr>
        <w:tc>
          <w:tcPr>
            <w:tcW w:w="8222" w:type="dxa"/>
            <w:tcBorders>
              <w:top w:val="single" w:sz="4" w:space="0" w:color="auto"/>
              <w:left w:val="nil"/>
              <w:bottom w:val="single" w:sz="4" w:space="0" w:color="auto"/>
              <w:right w:val="single" w:sz="4" w:space="0" w:color="auto"/>
            </w:tcBorders>
            <w:shd w:val="clear" w:color="auto" w:fill="FFFFFF" w:themeFill="background1"/>
            <w:hideMark/>
          </w:tcPr>
          <w:p w14:paraId="65FBD8D2" w14:textId="77777777" w:rsidR="00A95183" w:rsidRPr="00C951A9" w:rsidRDefault="00A95183" w:rsidP="00635881">
            <w:pPr>
              <w:pStyle w:val="TableBodyText"/>
              <w:spacing w:before="20" w:after="20" w:line="240" w:lineRule="auto"/>
              <w:rPr>
                <w:rFonts w:asciiTheme="majorHAnsi" w:hAnsiTheme="majorHAnsi" w:cstheme="majorHAnsi"/>
                <w:szCs w:val="18"/>
              </w:rPr>
            </w:pPr>
            <w:r w:rsidRPr="00C951A9">
              <w:rPr>
                <w:rFonts w:asciiTheme="majorHAnsi" w:hAnsiTheme="majorHAnsi" w:cstheme="majorHAnsi"/>
                <w:szCs w:val="18"/>
              </w:rPr>
              <w:t>Shippers provided greater flexibility to change their receipt and delivery points.</w:t>
            </w:r>
          </w:p>
        </w:tc>
        <w:tc>
          <w:tcPr>
            <w:tcW w:w="5773" w:type="dxa"/>
            <w:tcBorders>
              <w:top w:val="single" w:sz="4" w:space="0" w:color="auto"/>
              <w:left w:val="single" w:sz="4" w:space="0" w:color="auto"/>
              <w:bottom w:val="single" w:sz="4" w:space="0" w:color="auto"/>
              <w:right w:val="nil"/>
            </w:tcBorders>
            <w:shd w:val="clear" w:color="auto" w:fill="FFFFFF" w:themeFill="background1"/>
            <w:hideMark/>
          </w:tcPr>
          <w:p w14:paraId="09B9D12D" w14:textId="77777777" w:rsidR="00A95183" w:rsidRPr="00C951A9" w:rsidRDefault="00A95183" w:rsidP="00635881">
            <w:pPr>
              <w:pStyle w:val="TableBodyText"/>
              <w:spacing w:before="20" w:after="20" w:line="240" w:lineRule="auto"/>
              <w:jc w:val="center"/>
              <w:rPr>
                <w:rFonts w:asciiTheme="majorHAnsi" w:hAnsiTheme="majorHAnsi" w:cstheme="majorHAnsi"/>
                <w:b/>
                <w:szCs w:val="18"/>
              </w:rPr>
            </w:pPr>
            <w:r w:rsidRPr="00C951A9">
              <w:rPr>
                <w:rFonts w:asciiTheme="majorHAnsi" w:hAnsiTheme="majorHAnsi" w:cstheme="majorHAnsi"/>
                <w:szCs w:val="18"/>
              </w:rPr>
              <w:sym w:font="Wingdings" w:char="F0FC"/>
            </w:r>
          </w:p>
        </w:tc>
      </w:tr>
      <w:tr w:rsidR="00A95183" w:rsidRPr="00C951A9" w14:paraId="2D04AF54" w14:textId="77777777" w:rsidTr="00CF7D4D">
        <w:trPr>
          <w:trHeight w:val="420"/>
        </w:trPr>
        <w:tc>
          <w:tcPr>
            <w:tcW w:w="8222" w:type="dxa"/>
            <w:tcBorders>
              <w:top w:val="single" w:sz="4" w:space="0" w:color="auto"/>
              <w:left w:val="nil"/>
              <w:bottom w:val="single" w:sz="4" w:space="0" w:color="auto"/>
              <w:right w:val="single" w:sz="4" w:space="0" w:color="auto"/>
            </w:tcBorders>
            <w:shd w:val="clear" w:color="auto" w:fill="FFFFFF" w:themeFill="background1"/>
            <w:hideMark/>
          </w:tcPr>
          <w:p w14:paraId="14687F82" w14:textId="77777777" w:rsidR="00A95183" w:rsidRPr="00C951A9" w:rsidRDefault="00A95183" w:rsidP="00635881">
            <w:pPr>
              <w:pStyle w:val="TableBodyText"/>
              <w:spacing w:before="20" w:after="20" w:line="240" w:lineRule="auto"/>
              <w:rPr>
                <w:rFonts w:asciiTheme="majorHAnsi" w:hAnsiTheme="majorHAnsi" w:cstheme="majorHAnsi"/>
                <w:szCs w:val="18"/>
              </w:rPr>
            </w:pPr>
            <w:r w:rsidRPr="00C951A9">
              <w:rPr>
                <w:rFonts w:asciiTheme="majorHAnsi" w:hAnsiTheme="majorHAnsi" w:cstheme="majorHAnsi"/>
                <w:szCs w:val="18"/>
              </w:rPr>
              <w:t>As many services as possible capable of being traded on the platform (e.g., transportation, hub (compression) and pipeline storage services), recognising the need to avoid unnecessary complexities.</w:t>
            </w:r>
          </w:p>
        </w:tc>
        <w:tc>
          <w:tcPr>
            <w:tcW w:w="5773" w:type="dxa"/>
            <w:tcBorders>
              <w:top w:val="single" w:sz="4" w:space="0" w:color="auto"/>
              <w:left w:val="single" w:sz="4" w:space="0" w:color="auto"/>
              <w:bottom w:val="single" w:sz="4" w:space="0" w:color="auto"/>
              <w:right w:val="nil"/>
            </w:tcBorders>
            <w:shd w:val="clear" w:color="auto" w:fill="FFFFFF" w:themeFill="background1"/>
            <w:hideMark/>
          </w:tcPr>
          <w:p w14:paraId="07F0694F" w14:textId="77777777" w:rsidR="00A95183" w:rsidRPr="00C951A9" w:rsidRDefault="00A95183" w:rsidP="00635881">
            <w:pPr>
              <w:pStyle w:val="TableBodyText"/>
              <w:spacing w:before="20" w:after="20" w:line="240" w:lineRule="auto"/>
              <w:jc w:val="center"/>
              <w:rPr>
                <w:rFonts w:asciiTheme="majorHAnsi" w:hAnsiTheme="majorHAnsi" w:cstheme="majorHAnsi"/>
                <w:b/>
                <w:szCs w:val="18"/>
              </w:rPr>
            </w:pPr>
            <w:r w:rsidRPr="00C951A9">
              <w:rPr>
                <w:rFonts w:asciiTheme="majorHAnsi" w:hAnsiTheme="majorHAnsi" w:cstheme="majorHAnsi"/>
                <w:szCs w:val="18"/>
              </w:rPr>
              <w:sym w:font="Wingdings" w:char="F0FC"/>
            </w:r>
          </w:p>
        </w:tc>
      </w:tr>
    </w:tbl>
    <w:p w14:paraId="09E4E08C" w14:textId="77777777" w:rsidR="003022E1" w:rsidRDefault="003022E1"/>
    <w:p w14:paraId="52CCD5C4" w14:textId="77777777" w:rsidR="00C67963" w:rsidRDefault="00C67963"/>
    <w:tbl>
      <w:tblPr>
        <w:tblStyle w:val="TableGrid2"/>
        <w:tblW w:w="5100" w:type="pct"/>
        <w:tblInd w:w="0" w:type="dxa"/>
        <w:tblLayout w:type="fixed"/>
        <w:tblLook w:val="0480" w:firstRow="0" w:lastRow="0" w:firstColumn="1" w:lastColumn="0" w:noHBand="0" w:noVBand="1"/>
        <w:tblCaption w:val="Table B.1"/>
        <w:tblDescription w:val="Comparison of recommendations "/>
      </w:tblPr>
      <w:tblGrid>
        <w:gridCol w:w="8222"/>
        <w:gridCol w:w="5773"/>
      </w:tblGrid>
      <w:tr w:rsidR="00C67963" w:rsidRPr="00C951A9" w14:paraId="34AA0741" w14:textId="77777777" w:rsidTr="00C67963">
        <w:trPr>
          <w:cnfStyle w:val="000000010000" w:firstRow="0" w:lastRow="0" w:firstColumn="0" w:lastColumn="0" w:oddVBand="0" w:evenVBand="0" w:oddHBand="0" w:evenHBand="1" w:firstRowFirstColumn="0" w:firstRowLastColumn="0" w:lastRowFirstColumn="0" w:lastRowLastColumn="0"/>
          <w:tblHeader/>
        </w:trPr>
        <w:tc>
          <w:tcPr>
            <w:tcW w:w="13995" w:type="dxa"/>
            <w:gridSpan w:val="2"/>
            <w:tcBorders>
              <w:top w:val="single" w:sz="4" w:space="0" w:color="auto"/>
              <w:left w:val="nil"/>
              <w:bottom w:val="single" w:sz="4" w:space="0" w:color="auto"/>
              <w:right w:val="nil"/>
            </w:tcBorders>
            <w:shd w:val="clear" w:color="auto" w:fill="65697F"/>
            <w:hideMark/>
          </w:tcPr>
          <w:p w14:paraId="23349E4F" w14:textId="2293DA0E" w:rsidR="00C67963" w:rsidRPr="00C951A9" w:rsidRDefault="00C67963" w:rsidP="00C67963">
            <w:pPr>
              <w:keepNext/>
              <w:spacing w:before="20" w:after="20" w:line="240" w:lineRule="auto"/>
              <w:jc w:val="center"/>
              <w:rPr>
                <w:rFonts w:asciiTheme="majorHAnsi" w:hAnsiTheme="majorHAnsi" w:cstheme="majorHAnsi"/>
                <w:b/>
                <w:color w:val="FFFFFF"/>
                <w:szCs w:val="18"/>
              </w:rPr>
            </w:pPr>
            <w:r w:rsidRPr="00C67963">
              <w:rPr>
                <w:rFonts w:asciiTheme="majorHAnsi" w:hAnsiTheme="majorHAnsi" w:cstheme="majorHAnsi"/>
                <w:b/>
                <w:color w:val="FFFFFF"/>
                <w:szCs w:val="18"/>
              </w:rPr>
              <w:t>Reporting Framework</w:t>
            </w:r>
          </w:p>
        </w:tc>
      </w:tr>
      <w:tr w:rsidR="00C67963" w:rsidRPr="00C951A9" w14:paraId="60953CCC" w14:textId="77777777" w:rsidTr="00C67963">
        <w:trPr>
          <w:cnfStyle w:val="000000010000" w:firstRow="0" w:lastRow="0" w:firstColumn="0" w:lastColumn="0" w:oddVBand="0" w:evenVBand="0" w:oddHBand="0" w:evenHBand="1" w:firstRowFirstColumn="0" w:firstRowLastColumn="0" w:lastRowFirstColumn="0" w:lastRowLastColumn="0"/>
          <w:tblHeader/>
        </w:trPr>
        <w:tc>
          <w:tcPr>
            <w:tcW w:w="13995" w:type="dxa"/>
            <w:gridSpan w:val="2"/>
            <w:tcBorders>
              <w:top w:val="single" w:sz="4" w:space="0" w:color="auto"/>
              <w:left w:val="nil"/>
              <w:bottom w:val="single" w:sz="4" w:space="0" w:color="auto"/>
              <w:right w:val="nil"/>
            </w:tcBorders>
            <w:shd w:val="clear" w:color="auto" w:fill="BFBFBF" w:themeFill="background1" w:themeFillShade="BF"/>
          </w:tcPr>
          <w:p w14:paraId="26E2A9B5" w14:textId="6A1ACB56" w:rsidR="00C67963" w:rsidRPr="00C67963" w:rsidRDefault="00C67963" w:rsidP="00C67963">
            <w:pPr>
              <w:keepNext/>
              <w:spacing w:before="20" w:after="20" w:line="240" w:lineRule="auto"/>
              <w:jc w:val="center"/>
              <w:rPr>
                <w:rFonts w:asciiTheme="majorHAnsi" w:hAnsiTheme="majorHAnsi" w:cstheme="majorHAnsi"/>
                <w:b/>
                <w:color w:val="FFFFFF"/>
                <w:szCs w:val="18"/>
              </w:rPr>
            </w:pPr>
            <w:r w:rsidRPr="00C951A9">
              <w:rPr>
                <w:rFonts w:asciiTheme="majorHAnsi" w:hAnsiTheme="majorHAnsi" w:cstheme="majorHAnsi"/>
                <w:b/>
                <w:szCs w:val="18"/>
              </w:rPr>
              <w:t>Required Outcomes (</w:t>
            </w:r>
            <w:r w:rsidRPr="00C951A9">
              <w:rPr>
                <w:rFonts w:asciiTheme="majorHAnsi" w:hAnsiTheme="majorHAnsi" w:cstheme="majorHAnsi"/>
                <w:szCs w:val="18"/>
              </w:rPr>
              <w:t>Outcomes that must be progressed by the GMRG and are necessary to the implementation of the reforms)</w:t>
            </w:r>
          </w:p>
        </w:tc>
      </w:tr>
      <w:tr w:rsidR="00656FC1" w:rsidRPr="00C951A9" w14:paraId="47137E9C" w14:textId="77777777" w:rsidTr="00656FC1">
        <w:trPr>
          <w:cnfStyle w:val="000000010000" w:firstRow="0" w:lastRow="0" w:firstColumn="0" w:lastColumn="0" w:oddVBand="0" w:evenVBand="0" w:oddHBand="0" w:evenHBand="1" w:firstRowFirstColumn="0" w:firstRowLastColumn="0" w:lastRowFirstColumn="0" w:lastRowLastColumn="0"/>
          <w:trHeight w:val="80"/>
          <w:tblHeader/>
        </w:trPr>
        <w:tc>
          <w:tcPr>
            <w:tcW w:w="8222" w:type="dxa"/>
            <w:tcBorders>
              <w:top w:val="single" w:sz="4" w:space="0" w:color="auto"/>
              <w:left w:val="nil"/>
              <w:right w:val="single" w:sz="4" w:space="0" w:color="auto"/>
            </w:tcBorders>
            <w:shd w:val="clear" w:color="auto" w:fill="auto"/>
          </w:tcPr>
          <w:p w14:paraId="2E655FB3" w14:textId="10CF12EE" w:rsidR="00656FC1" w:rsidRPr="00C951A9" w:rsidRDefault="00656FC1" w:rsidP="00656FC1">
            <w:pPr>
              <w:keepNext/>
              <w:spacing w:before="20" w:after="20" w:line="240" w:lineRule="auto"/>
              <w:rPr>
                <w:rFonts w:asciiTheme="majorHAnsi" w:hAnsiTheme="majorHAnsi" w:cstheme="majorHAnsi"/>
                <w:b/>
                <w:szCs w:val="18"/>
              </w:rPr>
            </w:pPr>
            <w:r w:rsidRPr="00C951A9">
              <w:rPr>
                <w:rFonts w:asciiTheme="majorHAnsi" w:hAnsiTheme="majorHAnsi" w:cstheme="majorHAnsi"/>
                <w:szCs w:val="18"/>
              </w:rPr>
              <w:t>Publication of information on all secondary trades of Pipeline capacity and hub services.</w:t>
            </w:r>
          </w:p>
        </w:tc>
        <w:tc>
          <w:tcPr>
            <w:tcW w:w="5773" w:type="dxa"/>
            <w:tcBorders>
              <w:top w:val="single" w:sz="4" w:space="0" w:color="auto"/>
              <w:left w:val="single" w:sz="4" w:space="0" w:color="auto"/>
              <w:right w:val="nil"/>
            </w:tcBorders>
            <w:shd w:val="clear" w:color="auto" w:fill="auto"/>
          </w:tcPr>
          <w:p w14:paraId="16F81A3E" w14:textId="0F426937" w:rsidR="00656FC1" w:rsidRPr="00C951A9" w:rsidRDefault="00656FC1" w:rsidP="00C67963">
            <w:pPr>
              <w:keepNext/>
              <w:spacing w:before="20" w:after="20" w:line="240" w:lineRule="auto"/>
              <w:jc w:val="center"/>
              <w:rPr>
                <w:rFonts w:asciiTheme="majorHAnsi" w:hAnsiTheme="majorHAnsi" w:cstheme="majorHAnsi"/>
                <w:b/>
                <w:szCs w:val="18"/>
              </w:rPr>
            </w:pPr>
            <w:r w:rsidRPr="00C951A9">
              <w:rPr>
                <w:rFonts w:asciiTheme="majorHAnsi" w:hAnsiTheme="majorHAnsi" w:cstheme="majorHAnsi"/>
                <w:szCs w:val="18"/>
              </w:rPr>
              <w:sym w:font="Wingdings" w:char="F0FC"/>
            </w:r>
          </w:p>
        </w:tc>
      </w:tr>
      <w:tr w:rsidR="00656FC1" w:rsidRPr="00C951A9" w14:paraId="5DAD0022" w14:textId="77777777" w:rsidTr="00656FC1">
        <w:trPr>
          <w:cnfStyle w:val="000000010000" w:firstRow="0" w:lastRow="0" w:firstColumn="0" w:lastColumn="0" w:oddVBand="0" w:evenVBand="0" w:oddHBand="0" w:evenHBand="1" w:firstRowFirstColumn="0" w:firstRowLastColumn="0" w:lastRowFirstColumn="0" w:lastRowLastColumn="0"/>
          <w:trHeight w:val="80"/>
          <w:tblHeader/>
        </w:trPr>
        <w:tc>
          <w:tcPr>
            <w:tcW w:w="8222" w:type="dxa"/>
            <w:tcBorders>
              <w:top w:val="single" w:sz="4" w:space="0" w:color="auto"/>
              <w:left w:val="nil"/>
              <w:right w:val="single" w:sz="4" w:space="0" w:color="auto"/>
            </w:tcBorders>
            <w:shd w:val="clear" w:color="auto" w:fill="auto"/>
          </w:tcPr>
          <w:p w14:paraId="7312467B" w14:textId="734EE1AF" w:rsidR="00656FC1" w:rsidRPr="00C951A9" w:rsidRDefault="00656FC1" w:rsidP="00656FC1">
            <w:pPr>
              <w:keepNext/>
              <w:spacing w:before="20" w:after="20" w:line="240" w:lineRule="auto"/>
              <w:rPr>
                <w:rFonts w:asciiTheme="majorHAnsi" w:hAnsiTheme="majorHAnsi" w:cstheme="majorHAnsi"/>
                <w:b/>
                <w:szCs w:val="18"/>
              </w:rPr>
            </w:pPr>
            <w:r w:rsidRPr="00C951A9">
              <w:rPr>
                <w:rFonts w:asciiTheme="majorHAnsi" w:hAnsiTheme="majorHAnsi" w:cstheme="majorHAnsi"/>
                <w:szCs w:val="18"/>
              </w:rPr>
              <w:t>The information to be published is the price of the trade and any other information that might reasonably influence that price, taking into account measures to protect the anonymity of counterparties.</w:t>
            </w:r>
          </w:p>
        </w:tc>
        <w:tc>
          <w:tcPr>
            <w:tcW w:w="5773" w:type="dxa"/>
            <w:tcBorders>
              <w:top w:val="single" w:sz="4" w:space="0" w:color="auto"/>
              <w:left w:val="single" w:sz="4" w:space="0" w:color="auto"/>
              <w:right w:val="nil"/>
            </w:tcBorders>
            <w:shd w:val="clear" w:color="auto" w:fill="auto"/>
          </w:tcPr>
          <w:p w14:paraId="3C3F264C" w14:textId="254A5B21" w:rsidR="00656FC1" w:rsidRPr="00C951A9" w:rsidRDefault="00656FC1" w:rsidP="00C67963">
            <w:pPr>
              <w:keepNext/>
              <w:spacing w:before="20" w:after="20" w:line="240" w:lineRule="auto"/>
              <w:jc w:val="center"/>
              <w:rPr>
                <w:rFonts w:asciiTheme="majorHAnsi" w:hAnsiTheme="majorHAnsi" w:cstheme="majorHAnsi"/>
                <w:b/>
                <w:szCs w:val="18"/>
              </w:rPr>
            </w:pPr>
            <w:r w:rsidRPr="00C951A9">
              <w:rPr>
                <w:rFonts w:asciiTheme="majorHAnsi" w:hAnsiTheme="majorHAnsi" w:cstheme="majorHAnsi"/>
                <w:szCs w:val="18"/>
              </w:rPr>
              <w:sym w:font="Wingdings" w:char="F0FC"/>
            </w:r>
          </w:p>
        </w:tc>
      </w:tr>
      <w:tr w:rsidR="00656FC1" w:rsidRPr="00C951A9" w14:paraId="626AFBAD" w14:textId="77777777" w:rsidTr="00656FC1">
        <w:trPr>
          <w:cnfStyle w:val="000000010000" w:firstRow="0" w:lastRow="0" w:firstColumn="0" w:lastColumn="0" w:oddVBand="0" w:evenVBand="0" w:oddHBand="0" w:evenHBand="1" w:firstRowFirstColumn="0" w:firstRowLastColumn="0" w:lastRowFirstColumn="0" w:lastRowLastColumn="0"/>
          <w:trHeight w:val="80"/>
          <w:tblHeader/>
        </w:trPr>
        <w:tc>
          <w:tcPr>
            <w:tcW w:w="8222" w:type="dxa"/>
            <w:tcBorders>
              <w:top w:val="single" w:sz="4" w:space="0" w:color="auto"/>
              <w:left w:val="nil"/>
              <w:right w:val="single" w:sz="4" w:space="0" w:color="auto"/>
            </w:tcBorders>
            <w:shd w:val="clear" w:color="auto" w:fill="auto"/>
          </w:tcPr>
          <w:p w14:paraId="62BD3404" w14:textId="0489A950" w:rsidR="00656FC1" w:rsidRPr="00C951A9" w:rsidRDefault="00656FC1" w:rsidP="00656FC1">
            <w:pPr>
              <w:keepNext/>
              <w:spacing w:before="20" w:after="20" w:line="240" w:lineRule="auto"/>
              <w:rPr>
                <w:rFonts w:asciiTheme="majorHAnsi" w:hAnsiTheme="majorHAnsi" w:cstheme="majorHAnsi"/>
                <w:b/>
                <w:szCs w:val="18"/>
              </w:rPr>
            </w:pPr>
            <w:r w:rsidRPr="00C951A9">
              <w:rPr>
                <w:rFonts w:asciiTheme="majorHAnsi" w:hAnsiTheme="majorHAnsi" w:cstheme="majorHAnsi"/>
                <w:szCs w:val="18"/>
              </w:rPr>
              <w:t>Publication should occur at or shortly after the time the transaction is entered into</w:t>
            </w:r>
          </w:p>
        </w:tc>
        <w:tc>
          <w:tcPr>
            <w:tcW w:w="5773" w:type="dxa"/>
            <w:tcBorders>
              <w:top w:val="single" w:sz="4" w:space="0" w:color="auto"/>
              <w:left w:val="single" w:sz="4" w:space="0" w:color="auto"/>
              <w:right w:val="nil"/>
            </w:tcBorders>
            <w:shd w:val="clear" w:color="auto" w:fill="auto"/>
          </w:tcPr>
          <w:p w14:paraId="50EAFFFA" w14:textId="3B8CDE69" w:rsidR="00656FC1" w:rsidRPr="00C951A9" w:rsidRDefault="00656FC1" w:rsidP="00C67963">
            <w:pPr>
              <w:keepNext/>
              <w:spacing w:before="20" w:after="20" w:line="240" w:lineRule="auto"/>
              <w:jc w:val="center"/>
              <w:rPr>
                <w:rFonts w:asciiTheme="majorHAnsi" w:hAnsiTheme="majorHAnsi" w:cstheme="majorHAnsi"/>
                <w:b/>
                <w:szCs w:val="18"/>
              </w:rPr>
            </w:pPr>
            <w:r w:rsidRPr="00C951A9">
              <w:rPr>
                <w:rFonts w:asciiTheme="majorHAnsi" w:hAnsiTheme="majorHAnsi" w:cstheme="majorHAnsi"/>
                <w:szCs w:val="18"/>
              </w:rPr>
              <w:sym w:font="Wingdings" w:char="F0FC"/>
            </w:r>
          </w:p>
        </w:tc>
      </w:tr>
      <w:tr w:rsidR="00656FC1" w:rsidRPr="00C951A9" w14:paraId="30B2FCDE" w14:textId="77777777" w:rsidTr="00656FC1">
        <w:trPr>
          <w:cnfStyle w:val="000000010000" w:firstRow="0" w:lastRow="0" w:firstColumn="0" w:lastColumn="0" w:oddVBand="0" w:evenVBand="0" w:oddHBand="0" w:evenHBand="1" w:firstRowFirstColumn="0" w:firstRowLastColumn="0" w:lastRowFirstColumn="0" w:lastRowLastColumn="0"/>
          <w:trHeight w:val="80"/>
          <w:tblHeader/>
        </w:trPr>
        <w:tc>
          <w:tcPr>
            <w:tcW w:w="13995" w:type="dxa"/>
            <w:gridSpan w:val="2"/>
            <w:tcBorders>
              <w:top w:val="single" w:sz="4" w:space="0" w:color="auto"/>
              <w:left w:val="nil"/>
              <w:right w:val="single" w:sz="4" w:space="0" w:color="auto"/>
            </w:tcBorders>
            <w:shd w:val="clear" w:color="auto" w:fill="BFBFBF" w:themeFill="background1" w:themeFillShade="BF"/>
          </w:tcPr>
          <w:p w14:paraId="599E8075" w14:textId="084B0BC3" w:rsidR="00656FC1" w:rsidRPr="00C951A9" w:rsidRDefault="00656FC1" w:rsidP="00C67963">
            <w:pPr>
              <w:keepNext/>
              <w:spacing w:before="20" w:after="20" w:line="240" w:lineRule="auto"/>
              <w:jc w:val="center"/>
              <w:rPr>
                <w:rFonts w:asciiTheme="majorHAnsi" w:hAnsiTheme="majorHAnsi" w:cstheme="majorHAnsi"/>
                <w:b/>
                <w:szCs w:val="18"/>
              </w:rPr>
            </w:pPr>
            <w:r w:rsidRPr="00C951A9">
              <w:rPr>
                <w:rFonts w:asciiTheme="majorHAnsi" w:hAnsiTheme="majorHAnsi" w:cstheme="majorHAnsi"/>
                <w:b/>
                <w:szCs w:val="18"/>
              </w:rPr>
              <w:t>Preferred outcomes (</w:t>
            </w:r>
            <w:r w:rsidRPr="00C951A9">
              <w:rPr>
                <w:rFonts w:asciiTheme="majorHAnsi" w:hAnsiTheme="majorHAnsi" w:cstheme="majorHAnsi"/>
                <w:szCs w:val="18"/>
              </w:rPr>
              <w:t>Outcomes that should be pursued by the GMRG unless it is clear there are greater benefits in alternative approaches)</w:t>
            </w:r>
          </w:p>
        </w:tc>
      </w:tr>
      <w:tr w:rsidR="00656FC1" w:rsidRPr="00C951A9" w14:paraId="3B1AD33D" w14:textId="77777777" w:rsidTr="00656FC1">
        <w:trPr>
          <w:cnfStyle w:val="000000010000" w:firstRow="0" w:lastRow="0" w:firstColumn="0" w:lastColumn="0" w:oddVBand="0" w:evenVBand="0" w:oddHBand="0" w:evenHBand="1" w:firstRowFirstColumn="0" w:firstRowLastColumn="0" w:lastRowFirstColumn="0" w:lastRowLastColumn="0"/>
          <w:trHeight w:val="80"/>
          <w:tblHeader/>
        </w:trPr>
        <w:tc>
          <w:tcPr>
            <w:tcW w:w="8222" w:type="dxa"/>
            <w:tcBorders>
              <w:top w:val="single" w:sz="4" w:space="0" w:color="auto"/>
              <w:left w:val="nil"/>
              <w:right w:val="single" w:sz="4" w:space="0" w:color="auto"/>
            </w:tcBorders>
            <w:shd w:val="clear" w:color="auto" w:fill="auto"/>
          </w:tcPr>
          <w:p w14:paraId="47791362" w14:textId="2C463E43" w:rsidR="00656FC1" w:rsidRPr="00C951A9" w:rsidRDefault="00656FC1" w:rsidP="00656FC1">
            <w:pPr>
              <w:keepNext/>
              <w:spacing w:before="20" w:after="20" w:line="240" w:lineRule="auto"/>
              <w:rPr>
                <w:rFonts w:asciiTheme="majorHAnsi" w:hAnsiTheme="majorHAnsi" w:cstheme="majorHAnsi"/>
                <w:b/>
                <w:szCs w:val="18"/>
              </w:rPr>
            </w:pPr>
            <w:r w:rsidRPr="00C951A9">
              <w:rPr>
                <w:rFonts w:asciiTheme="majorHAnsi" w:hAnsiTheme="majorHAnsi" w:cstheme="majorHAnsi"/>
                <w:szCs w:val="18"/>
              </w:rPr>
              <w:t>Trades conducted outside the capacity trading platform to be advertised ahead of time on the capacity trading platform listing service.</w:t>
            </w:r>
          </w:p>
        </w:tc>
        <w:tc>
          <w:tcPr>
            <w:tcW w:w="5773" w:type="dxa"/>
            <w:tcBorders>
              <w:top w:val="single" w:sz="4" w:space="0" w:color="auto"/>
              <w:left w:val="single" w:sz="4" w:space="0" w:color="auto"/>
              <w:right w:val="nil"/>
            </w:tcBorders>
            <w:shd w:val="clear" w:color="auto" w:fill="auto"/>
          </w:tcPr>
          <w:p w14:paraId="0AE98187" w14:textId="14FB9569" w:rsidR="00656FC1" w:rsidRPr="00C951A9" w:rsidRDefault="00656FC1" w:rsidP="00C67963">
            <w:pPr>
              <w:keepNext/>
              <w:spacing w:before="20" w:after="20" w:line="240" w:lineRule="auto"/>
              <w:jc w:val="center"/>
              <w:rPr>
                <w:rFonts w:asciiTheme="majorHAnsi" w:hAnsiTheme="majorHAnsi" w:cstheme="majorHAnsi"/>
                <w:b/>
                <w:szCs w:val="18"/>
              </w:rPr>
            </w:pPr>
            <w:r w:rsidRPr="00C951A9">
              <w:rPr>
                <w:rFonts w:asciiTheme="majorHAnsi" w:hAnsiTheme="majorHAnsi" w:cstheme="majorHAnsi"/>
                <w:szCs w:val="18"/>
              </w:rPr>
              <w:sym w:font="Wingdings" w:char="F0FB"/>
            </w:r>
            <w:r w:rsidRPr="00C951A9">
              <w:rPr>
                <w:rFonts w:asciiTheme="majorHAnsi" w:hAnsiTheme="majorHAnsi" w:cstheme="majorHAnsi"/>
                <w:szCs w:val="18"/>
              </w:rPr>
              <w:br/>
              <w:t>Having a</w:t>
            </w:r>
            <w:r w:rsidRPr="00C951A9">
              <w:rPr>
                <w:rFonts w:asciiTheme="majorHAnsi" w:hAnsiTheme="majorHAnsi" w:cstheme="majorHAnsi"/>
                <w:b/>
                <w:szCs w:val="18"/>
              </w:rPr>
              <w:t xml:space="preserve"> </w:t>
            </w:r>
            <w:r w:rsidRPr="00C951A9">
              <w:rPr>
                <w:rFonts w:asciiTheme="majorHAnsi" w:hAnsiTheme="majorHAnsi" w:cstheme="majorHAnsi"/>
                <w:szCs w:val="18"/>
              </w:rPr>
              <w:t>mandatory requirement could impede trade and be difficult to monitor/enforce</w:t>
            </w:r>
          </w:p>
        </w:tc>
      </w:tr>
    </w:tbl>
    <w:p w14:paraId="581E0732" w14:textId="77777777" w:rsidR="00A95183" w:rsidRDefault="00A95183" w:rsidP="00A95183">
      <w:pPr>
        <w:spacing w:line="240" w:lineRule="auto"/>
        <w:rPr>
          <w:rStyle w:val="BodyTextChar"/>
          <w:sz w:val="2"/>
          <w:szCs w:val="2"/>
        </w:rPr>
      </w:pPr>
    </w:p>
    <w:p w14:paraId="1306F570" w14:textId="77777777" w:rsidR="00A95183" w:rsidRDefault="00A95183" w:rsidP="00A95183">
      <w:pPr>
        <w:spacing w:line="240" w:lineRule="auto"/>
        <w:rPr>
          <w:rStyle w:val="BodyTextChar"/>
          <w:sz w:val="2"/>
          <w:szCs w:val="2"/>
        </w:rPr>
      </w:pPr>
    </w:p>
    <w:p w14:paraId="0D028F39" w14:textId="77777777" w:rsidR="00A95183" w:rsidRDefault="00A95183" w:rsidP="00A95183">
      <w:pPr>
        <w:spacing w:line="240" w:lineRule="auto"/>
        <w:rPr>
          <w:rStyle w:val="BodyTextChar"/>
          <w:sz w:val="2"/>
          <w:szCs w:val="2"/>
        </w:rPr>
      </w:pPr>
    </w:p>
    <w:p w14:paraId="1A6A943D" w14:textId="77777777" w:rsidR="00C67963" w:rsidRDefault="00C67963" w:rsidP="00A95183">
      <w:pPr>
        <w:spacing w:line="240" w:lineRule="auto"/>
        <w:rPr>
          <w:rStyle w:val="BodyTextChar"/>
          <w:sz w:val="2"/>
          <w:szCs w:val="2"/>
        </w:rPr>
        <w:sectPr w:rsidR="00C67963" w:rsidSect="00FF2136">
          <w:pgSz w:w="16839" w:h="11907" w:orient="landscape" w:code="9"/>
          <w:pgMar w:top="1361" w:right="1417" w:bottom="709" w:left="1701" w:header="567" w:footer="0" w:gutter="0"/>
          <w:cols w:space="708"/>
          <w:docGrid w:linePitch="360"/>
        </w:sectPr>
      </w:pPr>
    </w:p>
    <w:bookmarkEnd w:id="214"/>
    <w:p w14:paraId="363D46C3" w14:textId="77777777" w:rsidR="001719B2" w:rsidRDefault="001719B2" w:rsidP="001719B2">
      <w:pPr>
        <w:pStyle w:val="Heading9"/>
      </w:pPr>
      <w:r>
        <w:lastRenderedPageBreak/>
        <w:t xml:space="preserve">Members of the project teams and Advisory Panel </w:t>
      </w:r>
    </w:p>
    <w:p w14:paraId="67D08480" w14:textId="77777777" w:rsidR="001719B2" w:rsidRDefault="001719B2" w:rsidP="001719B2">
      <w:pPr>
        <w:pStyle w:val="BodyText"/>
        <w:rPr>
          <w:lang w:eastAsia="en-US"/>
        </w:rPr>
      </w:pPr>
      <w:r>
        <w:rPr>
          <w:lang w:eastAsia="en-US"/>
        </w:rPr>
        <w:t>The tables below contain a list of the members of the Standardisation, Capacity Trading Platform and Day-Ahead Auction project teams and the Advisory Panel.</w:t>
      </w:r>
    </w:p>
    <w:p w14:paraId="4577FE4A" w14:textId="77777777" w:rsidR="001719B2" w:rsidRDefault="001719B2" w:rsidP="001719B2">
      <w:pPr>
        <w:pStyle w:val="Caption"/>
      </w:pPr>
      <w:r>
        <w:t xml:space="preserve">Table </w:t>
      </w:r>
      <w:r w:rsidR="00983431">
        <w:fldChar w:fldCharType="begin"/>
      </w:r>
      <w:r w:rsidR="00983431">
        <w:instrText xml:space="preserve"> STYLEREF 9 \s </w:instrText>
      </w:r>
      <w:r w:rsidR="00983431">
        <w:fldChar w:fldCharType="separate"/>
      </w:r>
      <w:r w:rsidR="00761861">
        <w:rPr>
          <w:noProof/>
        </w:rPr>
        <w:t>C</w:t>
      </w:r>
      <w:r w:rsidR="00983431">
        <w:rPr>
          <w:noProof/>
        </w:rPr>
        <w:fldChar w:fldCharType="end"/>
      </w:r>
      <w:r>
        <w:t>.</w:t>
      </w:r>
      <w:r w:rsidR="00983431">
        <w:fldChar w:fldCharType="begin"/>
      </w:r>
      <w:r w:rsidR="00983431">
        <w:instrText xml:space="preserve"> SEQ TableAppendix \* ARABIC \s 9 </w:instrText>
      </w:r>
      <w:r w:rsidR="00983431">
        <w:fldChar w:fldCharType="separate"/>
      </w:r>
      <w:r w:rsidR="00761861">
        <w:rPr>
          <w:noProof/>
        </w:rPr>
        <w:t>1</w:t>
      </w:r>
      <w:r w:rsidR="00983431">
        <w:rPr>
          <w:noProof/>
        </w:rPr>
        <w:fldChar w:fldCharType="end"/>
      </w:r>
      <w:r>
        <w:t xml:space="preserve">: </w:t>
      </w:r>
      <w:r w:rsidR="000800F0">
        <w:t>Membership of Project Teams and Advisory Panel</w:t>
      </w:r>
    </w:p>
    <w:tbl>
      <w:tblPr>
        <w:tblStyle w:val="TableGrid"/>
        <w:tblW w:w="5000" w:type="pct"/>
        <w:tblLayout w:type="fixed"/>
        <w:tblLook w:val="0620" w:firstRow="1" w:lastRow="0" w:firstColumn="0" w:lastColumn="0" w:noHBand="1" w:noVBand="1"/>
        <w:tblCaption w:val="Table C.1"/>
        <w:tblDescription w:val="Membership of Project Teams and Advisory Panel"/>
      </w:tblPr>
      <w:tblGrid>
        <w:gridCol w:w="2928"/>
        <w:gridCol w:w="2930"/>
        <w:gridCol w:w="2930"/>
      </w:tblGrid>
      <w:tr w:rsidR="000800F0" w14:paraId="2165A958" w14:textId="77777777" w:rsidTr="00947034">
        <w:trPr>
          <w:cnfStyle w:val="100000000000" w:firstRow="1" w:lastRow="0" w:firstColumn="0" w:lastColumn="0" w:oddVBand="0" w:evenVBand="0" w:oddHBand="0" w:evenHBand="0" w:firstRowFirstColumn="0" w:firstRowLastColumn="0" w:lastRowFirstColumn="0" w:lastRowLastColumn="0"/>
          <w:cantSplit/>
          <w:tblHeader/>
        </w:trPr>
        <w:tc>
          <w:tcPr>
            <w:tcW w:w="5000" w:type="pct"/>
            <w:gridSpan w:val="3"/>
            <w:tcBorders>
              <w:bottom w:val="single" w:sz="4" w:space="0" w:color="auto"/>
            </w:tcBorders>
            <w:shd w:val="clear" w:color="auto" w:fill="0099CC"/>
          </w:tcPr>
          <w:p w14:paraId="276323EB" w14:textId="77777777" w:rsidR="000800F0" w:rsidRDefault="000800F0" w:rsidP="000800F0">
            <w:pPr>
              <w:pStyle w:val="TableHeading"/>
              <w:jc w:val="center"/>
              <w:rPr>
                <w:lang w:eastAsia="fr-CA"/>
              </w:rPr>
            </w:pPr>
            <w:r>
              <w:rPr>
                <w:lang w:eastAsia="fr-CA"/>
              </w:rPr>
              <w:t>Project Team Members</w:t>
            </w:r>
          </w:p>
        </w:tc>
      </w:tr>
      <w:tr w:rsidR="001719B2" w14:paraId="5EDFE0C2" w14:textId="77777777" w:rsidTr="00947034">
        <w:trPr>
          <w:cnfStyle w:val="100000000000" w:firstRow="1" w:lastRow="0" w:firstColumn="0" w:lastColumn="0" w:oddVBand="0" w:evenVBand="0" w:oddHBand="0" w:evenHBand="0" w:firstRowFirstColumn="0" w:firstRowLastColumn="0" w:lastRowFirstColumn="0" w:lastRowLastColumn="0"/>
          <w:cantSplit/>
          <w:tblHeader/>
        </w:trPr>
        <w:tc>
          <w:tcPr>
            <w:tcW w:w="1666" w:type="pct"/>
            <w:shd w:val="clear" w:color="auto" w:fill="65697F" w:themeFill="background2" w:themeFillShade="80"/>
          </w:tcPr>
          <w:p w14:paraId="541E4692" w14:textId="77777777" w:rsidR="001719B2" w:rsidRDefault="001719B2" w:rsidP="001719B2">
            <w:pPr>
              <w:pStyle w:val="TableHeading"/>
              <w:rPr>
                <w:lang w:eastAsia="fr-CA"/>
              </w:rPr>
            </w:pPr>
            <w:r>
              <w:rPr>
                <w:lang w:eastAsia="fr-CA"/>
              </w:rPr>
              <w:t>Standardisation Project Team</w:t>
            </w:r>
          </w:p>
        </w:tc>
        <w:tc>
          <w:tcPr>
            <w:tcW w:w="1667" w:type="pct"/>
            <w:shd w:val="clear" w:color="auto" w:fill="65697F" w:themeFill="background2" w:themeFillShade="80"/>
          </w:tcPr>
          <w:p w14:paraId="28863252" w14:textId="77777777" w:rsidR="001719B2" w:rsidRDefault="001719B2" w:rsidP="001719B2">
            <w:pPr>
              <w:pStyle w:val="TableHeading"/>
              <w:rPr>
                <w:lang w:eastAsia="fr-CA"/>
              </w:rPr>
            </w:pPr>
            <w:r>
              <w:rPr>
                <w:lang w:eastAsia="fr-CA"/>
              </w:rPr>
              <w:t>Capacity Trading Platform Project Team</w:t>
            </w:r>
          </w:p>
        </w:tc>
        <w:tc>
          <w:tcPr>
            <w:tcW w:w="1667" w:type="pct"/>
            <w:shd w:val="clear" w:color="auto" w:fill="65697F" w:themeFill="background2" w:themeFillShade="80"/>
          </w:tcPr>
          <w:p w14:paraId="3F45411E" w14:textId="77777777" w:rsidR="001719B2" w:rsidRDefault="001719B2" w:rsidP="001719B2">
            <w:pPr>
              <w:pStyle w:val="TableHeading"/>
              <w:rPr>
                <w:lang w:eastAsia="fr-CA"/>
              </w:rPr>
            </w:pPr>
            <w:r>
              <w:rPr>
                <w:lang w:eastAsia="fr-CA"/>
              </w:rPr>
              <w:t>Day-Ahead Auction Project Team</w:t>
            </w:r>
          </w:p>
        </w:tc>
      </w:tr>
      <w:tr w:rsidR="001719B2" w14:paraId="3F3F69AE" w14:textId="77777777" w:rsidTr="001719B2">
        <w:trPr>
          <w:cantSplit/>
        </w:trPr>
        <w:tc>
          <w:tcPr>
            <w:tcW w:w="1666" w:type="pct"/>
          </w:tcPr>
          <w:p w14:paraId="4DBE498B" w14:textId="77777777" w:rsidR="001719B2" w:rsidRDefault="001719B2" w:rsidP="001719B2">
            <w:pPr>
              <w:pStyle w:val="TableBodyText"/>
              <w:rPr>
                <w:lang w:eastAsia="fr-CA"/>
              </w:rPr>
            </w:pPr>
            <w:r>
              <w:rPr>
                <w:lang w:eastAsia="fr-CA"/>
              </w:rPr>
              <w:t>Sally Calder, AGL</w:t>
            </w:r>
          </w:p>
        </w:tc>
        <w:tc>
          <w:tcPr>
            <w:tcW w:w="1667" w:type="pct"/>
          </w:tcPr>
          <w:p w14:paraId="181835E3" w14:textId="77777777" w:rsidR="001719B2" w:rsidRDefault="001719B2" w:rsidP="001719B2">
            <w:pPr>
              <w:pStyle w:val="TableBodyText"/>
              <w:rPr>
                <w:lang w:eastAsia="fr-CA"/>
              </w:rPr>
            </w:pPr>
            <w:r>
              <w:rPr>
                <w:lang w:eastAsia="fr-CA"/>
              </w:rPr>
              <w:t>Kieran O’Leary, AGL</w:t>
            </w:r>
          </w:p>
        </w:tc>
        <w:tc>
          <w:tcPr>
            <w:tcW w:w="1667" w:type="pct"/>
          </w:tcPr>
          <w:p w14:paraId="73D7F784" w14:textId="77777777" w:rsidR="001719B2" w:rsidRDefault="001719B2" w:rsidP="001719B2">
            <w:pPr>
              <w:pStyle w:val="TableBodyText"/>
              <w:rPr>
                <w:lang w:eastAsia="fr-CA"/>
              </w:rPr>
            </w:pPr>
            <w:r>
              <w:rPr>
                <w:lang w:eastAsia="fr-CA"/>
              </w:rPr>
              <w:t>John Jamieson, APA</w:t>
            </w:r>
          </w:p>
        </w:tc>
      </w:tr>
      <w:tr w:rsidR="001719B2" w14:paraId="3FA780D7" w14:textId="77777777" w:rsidTr="001719B2">
        <w:trPr>
          <w:cantSplit/>
        </w:trPr>
        <w:tc>
          <w:tcPr>
            <w:tcW w:w="1666" w:type="pct"/>
          </w:tcPr>
          <w:p w14:paraId="7EC6133F" w14:textId="77777777" w:rsidR="001719B2" w:rsidRDefault="001719B2" w:rsidP="001719B2">
            <w:pPr>
              <w:pStyle w:val="TableBodyText"/>
              <w:rPr>
                <w:lang w:eastAsia="fr-CA"/>
              </w:rPr>
            </w:pPr>
            <w:r>
              <w:rPr>
                <w:lang w:eastAsia="fr-CA"/>
              </w:rPr>
              <w:t>Ainslie Lynch, APA</w:t>
            </w:r>
          </w:p>
        </w:tc>
        <w:tc>
          <w:tcPr>
            <w:tcW w:w="1667" w:type="pct"/>
          </w:tcPr>
          <w:p w14:paraId="0FDD4C54" w14:textId="77777777" w:rsidR="001719B2" w:rsidRDefault="001719B2" w:rsidP="001719B2">
            <w:pPr>
              <w:pStyle w:val="TableBodyText"/>
              <w:rPr>
                <w:lang w:eastAsia="fr-CA"/>
              </w:rPr>
            </w:pPr>
            <w:r>
              <w:rPr>
                <w:lang w:eastAsia="fr-CA"/>
              </w:rPr>
              <w:t>Lino Fusco, CQ Partners</w:t>
            </w:r>
          </w:p>
        </w:tc>
        <w:tc>
          <w:tcPr>
            <w:tcW w:w="1667" w:type="pct"/>
          </w:tcPr>
          <w:p w14:paraId="37C5F07B" w14:textId="77777777" w:rsidR="001719B2" w:rsidRDefault="001719B2" w:rsidP="001719B2">
            <w:pPr>
              <w:pStyle w:val="TableBodyText"/>
              <w:rPr>
                <w:lang w:eastAsia="fr-CA"/>
              </w:rPr>
            </w:pPr>
            <w:r>
              <w:rPr>
                <w:lang w:eastAsia="fr-CA"/>
              </w:rPr>
              <w:t>Deidre McEntee, APLNG</w:t>
            </w:r>
          </w:p>
        </w:tc>
      </w:tr>
      <w:tr w:rsidR="001719B2" w14:paraId="3D09000E" w14:textId="77777777" w:rsidTr="001719B2">
        <w:trPr>
          <w:cantSplit/>
        </w:trPr>
        <w:tc>
          <w:tcPr>
            <w:tcW w:w="1666" w:type="pct"/>
          </w:tcPr>
          <w:p w14:paraId="18069000" w14:textId="77777777" w:rsidR="001719B2" w:rsidRDefault="001719B2" w:rsidP="001719B2">
            <w:pPr>
              <w:pStyle w:val="TableBodyText"/>
              <w:rPr>
                <w:lang w:eastAsia="fr-CA"/>
              </w:rPr>
            </w:pPr>
            <w:r>
              <w:rPr>
                <w:lang w:eastAsia="fr-CA"/>
              </w:rPr>
              <w:t>Simon Taylor, DBP</w:t>
            </w:r>
          </w:p>
        </w:tc>
        <w:tc>
          <w:tcPr>
            <w:tcW w:w="1667" w:type="pct"/>
          </w:tcPr>
          <w:p w14:paraId="4ECF05F3" w14:textId="77777777" w:rsidR="001719B2" w:rsidRDefault="001719B2" w:rsidP="001719B2">
            <w:pPr>
              <w:pStyle w:val="TableBodyText"/>
              <w:rPr>
                <w:lang w:eastAsia="fr-CA"/>
              </w:rPr>
            </w:pPr>
            <w:r>
              <w:rPr>
                <w:lang w:eastAsia="fr-CA"/>
              </w:rPr>
              <w:t>Trent Leach, DBP</w:t>
            </w:r>
          </w:p>
        </w:tc>
        <w:tc>
          <w:tcPr>
            <w:tcW w:w="1667" w:type="pct"/>
          </w:tcPr>
          <w:p w14:paraId="77240CB9" w14:textId="77777777" w:rsidR="001719B2" w:rsidRDefault="001719B2" w:rsidP="001719B2">
            <w:pPr>
              <w:pStyle w:val="TableBodyText"/>
              <w:rPr>
                <w:lang w:eastAsia="fr-CA"/>
              </w:rPr>
            </w:pPr>
            <w:r>
              <w:rPr>
                <w:lang w:eastAsia="fr-CA"/>
              </w:rPr>
              <w:t>Leon Devaney, Central Petroleum</w:t>
            </w:r>
          </w:p>
        </w:tc>
      </w:tr>
      <w:tr w:rsidR="001719B2" w14:paraId="7B84E4A9" w14:textId="77777777" w:rsidTr="001719B2">
        <w:trPr>
          <w:cantSplit/>
        </w:trPr>
        <w:tc>
          <w:tcPr>
            <w:tcW w:w="1666" w:type="pct"/>
          </w:tcPr>
          <w:p w14:paraId="1D53F3D4" w14:textId="77777777" w:rsidR="001719B2" w:rsidRDefault="001719B2" w:rsidP="001719B2">
            <w:pPr>
              <w:pStyle w:val="TableBodyText"/>
              <w:rPr>
                <w:lang w:eastAsia="fr-CA"/>
              </w:rPr>
            </w:pPr>
            <w:r>
              <w:rPr>
                <w:lang w:eastAsia="fr-CA"/>
              </w:rPr>
              <w:t xml:space="preserve">Peter Frost, </w:t>
            </w:r>
            <w:proofErr w:type="spellStart"/>
            <w:r>
              <w:rPr>
                <w:lang w:eastAsia="fr-CA"/>
              </w:rPr>
              <w:t>EnergyAustralia</w:t>
            </w:r>
            <w:proofErr w:type="spellEnd"/>
          </w:p>
        </w:tc>
        <w:tc>
          <w:tcPr>
            <w:tcW w:w="1667" w:type="pct"/>
          </w:tcPr>
          <w:p w14:paraId="38BDBE38" w14:textId="77777777" w:rsidR="001719B2" w:rsidRDefault="001719B2" w:rsidP="001719B2">
            <w:pPr>
              <w:pStyle w:val="TableBodyText"/>
              <w:rPr>
                <w:lang w:eastAsia="fr-CA"/>
              </w:rPr>
            </w:pPr>
            <w:r>
              <w:rPr>
                <w:lang w:eastAsia="fr-CA"/>
              </w:rPr>
              <w:t xml:space="preserve">Ishara De Silva, </w:t>
            </w:r>
            <w:proofErr w:type="spellStart"/>
            <w:r>
              <w:rPr>
                <w:lang w:eastAsia="fr-CA"/>
              </w:rPr>
              <w:t>EnergyAustralia</w:t>
            </w:r>
            <w:proofErr w:type="spellEnd"/>
          </w:p>
        </w:tc>
        <w:tc>
          <w:tcPr>
            <w:tcW w:w="1667" w:type="pct"/>
          </w:tcPr>
          <w:p w14:paraId="623738A4" w14:textId="77777777" w:rsidR="001719B2" w:rsidRDefault="001719B2" w:rsidP="001719B2">
            <w:pPr>
              <w:pStyle w:val="TableBodyText"/>
              <w:rPr>
                <w:lang w:eastAsia="fr-CA"/>
              </w:rPr>
            </w:pPr>
            <w:r>
              <w:rPr>
                <w:lang w:eastAsia="fr-CA"/>
              </w:rPr>
              <w:t>Andrew O’Farrell, Origin</w:t>
            </w:r>
          </w:p>
        </w:tc>
      </w:tr>
      <w:tr w:rsidR="001719B2" w14:paraId="084CC2D2" w14:textId="77777777" w:rsidTr="001719B2">
        <w:trPr>
          <w:cantSplit/>
        </w:trPr>
        <w:tc>
          <w:tcPr>
            <w:tcW w:w="1666" w:type="pct"/>
          </w:tcPr>
          <w:p w14:paraId="3445159D" w14:textId="77777777" w:rsidR="001719B2" w:rsidRDefault="001719B2" w:rsidP="001719B2">
            <w:pPr>
              <w:pStyle w:val="TableBodyText"/>
              <w:rPr>
                <w:lang w:eastAsia="fr-CA"/>
              </w:rPr>
            </w:pPr>
            <w:r>
              <w:rPr>
                <w:lang w:eastAsia="fr-CA"/>
              </w:rPr>
              <w:t>Samantha Staunton, Epic</w:t>
            </w:r>
          </w:p>
        </w:tc>
        <w:tc>
          <w:tcPr>
            <w:tcW w:w="1667" w:type="pct"/>
          </w:tcPr>
          <w:p w14:paraId="595B095E" w14:textId="77777777" w:rsidR="001719B2" w:rsidRDefault="001719B2" w:rsidP="001719B2">
            <w:pPr>
              <w:pStyle w:val="TableBodyText"/>
              <w:rPr>
                <w:lang w:eastAsia="fr-CA"/>
              </w:rPr>
            </w:pPr>
            <w:r>
              <w:rPr>
                <w:lang w:eastAsia="fr-CA"/>
              </w:rPr>
              <w:t>Andrew Zancanaro, Jemena</w:t>
            </w:r>
          </w:p>
        </w:tc>
        <w:tc>
          <w:tcPr>
            <w:tcW w:w="1667" w:type="pct"/>
          </w:tcPr>
          <w:p w14:paraId="1483331E" w14:textId="77777777" w:rsidR="001719B2" w:rsidRDefault="001719B2" w:rsidP="001719B2">
            <w:pPr>
              <w:pStyle w:val="TableBodyText"/>
              <w:rPr>
                <w:lang w:eastAsia="fr-CA"/>
              </w:rPr>
            </w:pPr>
            <w:r>
              <w:rPr>
                <w:lang w:eastAsia="fr-CA"/>
              </w:rPr>
              <w:t>Matt Sherwell, Santos</w:t>
            </w:r>
          </w:p>
        </w:tc>
      </w:tr>
      <w:tr w:rsidR="001719B2" w14:paraId="64B746B7" w14:textId="77777777" w:rsidTr="001719B2">
        <w:trPr>
          <w:cantSplit/>
        </w:trPr>
        <w:tc>
          <w:tcPr>
            <w:tcW w:w="1666" w:type="pct"/>
          </w:tcPr>
          <w:p w14:paraId="03DA9941" w14:textId="77777777" w:rsidR="001719B2" w:rsidRDefault="001719B2" w:rsidP="001719B2">
            <w:pPr>
              <w:pStyle w:val="TableBodyText"/>
              <w:rPr>
                <w:lang w:eastAsia="fr-CA"/>
              </w:rPr>
            </w:pPr>
            <w:r>
              <w:rPr>
                <w:lang w:eastAsia="fr-CA"/>
              </w:rPr>
              <w:t>Jan Peric, Jemena</w:t>
            </w:r>
          </w:p>
        </w:tc>
        <w:tc>
          <w:tcPr>
            <w:tcW w:w="1667" w:type="pct"/>
          </w:tcPr>
          <w:p w14:paraId="74361778" w14:textId="77777777" w:rsidR="001719B2" w:rsidRDefault="001719B2" w:rsidP="001719B2">
            <w:pPr>
              <w:pStyle w:val="TableBodyText"/>
              <w:rPr>
                <w:lang w:eastAsia="fr-CA"/>
              </w:rPr>
            </w:pPr>
            <w:r>
              <w:rPr>
                <w:lang w:eastAsia="fr-CA"/>
              </w:rPr>
              <w:t xml:space="preserve">David Lawrence, Pacific Markets Consulting </w:t>
            </w:r>
          </w:p>
        </w:tc>
        <w:tc>
          <w:tcPr>
            <w:tcW w:w="1667" w:type="pct"/>
          </w:tcPr>
          <w:p w14:paraId="5A2F5406" w14:textId="77777777" w:rsidR="001719B2" w:rsidRDefault="001719B2" w:rsidP="001719B2">
            <w:pPr>
              <w:pStyle w:val="TableBodyText"/>
              <w:rPr>
                <w:lang w:eastAsia="fr-CA"/>
              </w:rPr>
            </w:pPr>
            <w:r>
              <w:rPr>
                <w:lang w:eastAsia="fr-CA"/>
              </w:rPr>
              <w:t xml:space="preserve">Jeff Cooke, </w:t>
            </w:r>
            <w:proofErr w:type="spellStart"/>
            <w:r>
              <w:rPr>
                <w:lang w:eastAsia="fr-CA"/>
              </w:rPr>
              <w:t>SEAGas</w:t>
            </w:r>
            <w:proofErr w:type="spellEnd"/>
          </w:p>
        </w:tc>
      </w:tr>
      <w:tr w:rsidR="000800F0" w14:paraId="000F2311" w14:textId="77777777" w:rsidTr="001719B2">
        <w:trPr>
          <w:cantSplit/>
        </w:trPr>
        <w:tc>
          <w:tcPr>
            <w:tcW w:w="1666" w:type="pct"/>
          </w:tcPr>
          <w:p w14:paraId="6620C0D5" w14:textId="77777777" w:rsidR="000800F0" w:rsidRDefault="000800F0" w:rsidP="001719B2">
            <w:pPr>
              <w:pStyle w:val="TableBodyText"/>
              <w:rPr>
                <w:lang w:eastAsia="fr-CA"/>
              </w:rPr>
            </w:pPr>
            <w:r>
              <w:rPr>
                <w:lang w:eastAsia="fr-CA"/>
              </w:rPr>
              <w:t>Michael Handley, Origin</w:t>
            </w:r>
          </w:p>
        </w:tc>
        <w:tc>
          <w:tcPr>
            <w:tcW w:w="1667" w:type="pct"/>
          </w:tcPr>
          <w:p w14:paraId="119289DE" w14:textId="77777777" w:rsidR="000800F0" w:rsidRDefault="000800F0" w:rsidP="001719B2">
            <w:pPr>
              <w:pStyle w:val="TableBodyText"/>
              <w:rPr>
                <w:lang w:eastAsia="fr-CA"/>
              </w:rPr>
            </w:pPr>
            <w:r>
              <w:rPr>
                <w:lang w:eastAsia="fr-CA"/>
              </w:rPr>
              <w:t>Jennifer Tarr, Stanwell</w:t>
            </w:r>
          </w:p>
        </w:tc>
        <w:tc>
          <w:tcPr>
            <w:tcW w:w="1667" w:type="pct"/>
          </w:tcPr>
          <w:p w14:paraId="3DBFBEFF" w14:textId="77777777" w:rsidR="000800F0" w:rsidRPr="001719B2" w:rsidRDefault="000800F0" w:rsidP="001719B2">
            <w:pPr>
              <w:pStyle w:val="TableBodyText"/>
              <w:rPr>
                <w:b/>
                <w:lang w:eastAsia="fr-CA"/>
              </w:rPr>
            </w:pPr>
            <w:r>
              <w:rPr>
                <w:lang w:eastAsia="fr-CA"/>
              </w:rPr>
              <w:t>Erin Bledsoe, Shell</w:t>
            </w:r>
          </w:p>
        </w:tc>
      </w:tr>
      <w:tr w:rsidR="005B364C" w14:paraId="16893CC2" w14:textId="77777777" w:rsidTr="00613E2F">
        <w:trPr>
          <w:cantSplit/>
        </w:trPr>
        <w:tc>
          <w:tcPr>
            <w:tcW w:w="1666" w:type="pct"/>
            <w:tcBorders>
              <w:bottom w:val="single" w:sz="4" w:space="0" w:color="auto"/>
            </w:tcBorders>
          </w:tcPr>
          <w:p w14:paraId="5FC10244" w14:textId="77777777" w:rsidR="005B364C" w:rsidRDefault="005B364C" w:rsidP="001719B2">
            <w:pPr>
              <w:pStyle w:val="TableBodyText"/>
              <w:rPr>
                <w:lang w:eastAsia="fr-CA"/>
              </w:rPr>
            </w:pPr>
            <w:r>
              <w:rPr>
                <w:lang w:eastAsia="fr-CA"/>
              </w:rPr>
              <w:t>Brad Mills, Shell</w:t>
            </w:r>
          </w:p>
        </w:tc>
        <w:tc>
          <w:tcPr>
            <w:tcW w:w="1667" w:type="pct"/>
            <w:vMerge w:val="restart"/>
          </w:tcPr>
          <w:p w14:paraId="0A80C24D" w14:textId="77777777" w:rsidR="005B364C" w:rsidRDefault="005B364C" w:rsidP="001719B2">
            <w:pPr>
              <w:pStyle w:val="TableBodyText"/>
              <w:rPr>
                <w:lang w:eastAsia="fr-CA"/>
              </w:rPr>
            </w:pPr>
            <w:r>
              <w:rPr>
                <w:lang w:eastAsia="fr-CA"/>
              </w:rPr>
              <w:t>Daniel Hamel, AEMO</w:t>
            </w:r>
          </w:p>
        </w:tc>
        <w:tc>
          <w:tcPr>
            <w:tcW w:w="1667" w:type="pct"/>
            <w:tcBorders>
              <w:bottom w:val="single" w:sz="4" w:space="0" w:color="auto"/>
            </w:tcBorders>
          </w:tcPr>
          <w:p w14:paraId="08AAABB0" w14:textId="77777777" w:rsidR="005B364C" w:rsidRDefault="005B364C" w:rsidP="001719B2">
            <w:pPr>
              <w:pStyle w:val="TableBodyText"/>
              <w:rPr>
                <w:lang w:eastAsia="fr-CA"/>
              </w:rPr>
            </w:pPr>
            <w:r>
              <w:rPr>
                <w:lang w:eastAsia="fr-CA"/>
              </w:rPr>
              <w:t>Kevin Ly, Snowy Hydro</w:t>
            </w:r>
          </w:p>
        </w:tc>
      </w:tr>
      <w:tr w:rsidR="005B364C" w14:paraId="3E93364F" w14:textId="77777777" w:rsidTr="00613E2F">
        <w:trPr>
          <w:cantSplit/>
        </w:trPr>
        <w:tc>
          <w:tcPr>
            <w:tcW w:w="1666" w:type="pct"/>
            <w:vMerge w:val="restart"/>
          </w:tcPr>
          <w:p w14:paraId="29EC8C56" w14:textId="77777777" w:rsidR="005B364C" w:rsidRDefault="005B364C" w:rsidP="005B364C">
            <w:pPr>
              <w:pStyle w:val="TableBodyText"/>
              <w:rPr>
                <w:lang w:eastAsia="fr-CA"/>
              </w:rPr>
            </w:pPr>
            <w:r>
              <w:rPr>
                <w:lang w:eastAsia="fr-CA"/>
              </w:rPr>
              <w:t xml:space="preserve">Angelo </w:t>
            </w:r>
            <w:proofErr w:type="spellStart"/>
            <w:r>
              <w:rPr>
                <w:lang w:eastAsia="fr-CA"/>
              </w:rPr>
              <w:t>Mantsio</w:t>
            </w:r>
            <w:proofErr w:type="spellEnd"/>
            <w:r>
              <w:rPr>
                <w:lang w:eastAsia="fr-CA"/>
              </w:rPr>
              <w:t>, AEMO</w:t>
            </w:r>
          </w:p>
        </w:tc>
        <w:tc>
          <w:tcPr>
            <w:tcW w:w="1667" w:type="pct"/>
            <w:vMerge/>
          </w:tcPr>
          <w:p w14:paraId="72D07902" w14:textId="77777777" w:rsidR="005B364C" w:rsidRDefault="005B364C" w:rsidP="005B364C">
            <w:pPr>
              <w:pStyle w:val="TableBodyText"/>
              <w:rPr>
                <w:lang w:eastAsia="fr-CA"/>
              </w:rPr>
            </w:pPr>
          </w:p>
        </w:tc>
        <w:tc>
          <w:tcPr>
            <w:tcW w:w="1667" w:type="pct"/>
            <w:tcBorders>
              <w:bottom w:val="single" w:sz="4" w:space="0" w:color="auto"/>
            </w:tcBorders>
          </w:tcPr>
          <w:p w14:paraId="42BF43A7" w14:textId="77777777" w:rsidR="005B364C" w:rsidRDefault="005B364C" w:rsidP="005B364C">
            <w:pPr>
              <w:pStyle w:val="TableBodyText"/>
              <w:rPr>
                <w:lang w:eastAsia="fr-CA"/>
              </w:rPr>
            </w:pPr>
            <w:r>
              <w:rPr>
                <w:lang w:eastAsia="fr-CA"/>
              </w:rPr>
              <w:t xml:space="preserve">Tom Walker, AEMC </w:t>
            </w:r>
          </w:p>
        </w:tc>
      </w:tr>
      <w:tr w:rsidR="005B364C" w14:paraId="690C77ED" w14:textId="77777777" w:rsidTr="000800F0">
        <w:trPr>
          <w:cantSplit/>
        </w:trPr>
        <w:tc>
          <w:tcPr>
            <w:tcW w:w="1666" w:type="pct"/>
            <w:vMerge/>
            <w:tcBorders>
              <w:bottom w:val="single" w:sz="4" w:space="0" w:color="auto"/>
            </w:tcBorders>
          </w:tcPr>
          <w:p w14:paraId="309749F8" w14:textId="77777777" w:rsidR="005B364C" w:rsidRDefault="005B364C" w:rsidP="005B364C">
            <w:pPr>
              <w:pStyle w:val="TableBodyText"/>
              <w:rPr>
                <w:lang w:eastAsia="fr-CA"/>
              </w:rPr>
            </w:pPr>
          </w:p>
        </w:tc>
        <w:tc>
          <w:tcPr>
            <w:tcW w:w="1667" w:type="pct"/>
            <w:vMerge/>
            <w:tcBorders>
              <w:bottom w:val="single" w:sz="4" w:space="0" w:color="auto"/>
            </w:tcBorders>
          </w:tcPr>
          <w:p w14:paraId="36FD7DB2" w14:textId="77777777" w:rsidR="005B364C" w:rsidRDefault="005B364C" w:rsidP="005B364C">
            <w:pPr>
              <w:pStyle w:val="TableBodyText"/>
              <w:rPr>
                <w:lang w:eastAsia="fr-CA"/>
              </w:rPr>
            </w:pPr>
          </w:p>
        </w:tc>
        <w:tc>
          <w:tcPr>
            <w:tcW w:w="1667" w:type="pct"/>
            <w:tcBorders>
              <w:bottom w:val="single" w:sz="4" w:space="0" w:color="auto"/>
            </w:tcBorders>
          </w:tcPr>
          <w:p w14:paraId="35CBDDE5" w14:textId="77777777" w:rsidR="005B364C" w:rsidRDefault="005B364C" w:rsidP="005B364C">
            <w:pPr>
              <w:pStyle w:val="TableBodyText"/>
              <w:rPr>
                <w:lang w:eastAsia="fr-CA"/>
              </w:rPr>
            </w:pPr>
            <w:r>
              <w:rPr>
                <w:lang w:eastAsia="fr-CA"/>
              </w:rPr>
              <w:t>Nicholas Pope, AEMO</w:t>
            </w:r>
          </w:p>
        </w:tc>
      </w:tr>
      <w:tr w:rsidR="000800F0" w:rsidRPr="000800F0" w14:paraId="228B1179" w14:textId="77777777" w:rsidTr="000800F0">
        <w:trPr>
          <w:cantSplit/>
        </w:trPr>
        <w:tc>
          <w:tcPr>
            <w:tcW w:w="5000" w:type="pct"/>
            <w:gridSpan w:val="3"/>
            <w:shd w:val="clear" w:color="auto" w:fill="0099CC"/>
          </w:tcPr>
          <w:p w14:paraId="1E61A1DB" w14:textId="77777777" w:rsidR="000800F0" w:rsidRPr="000800F0" w:rsidRDefault="000800F0" w:rsidP="000800F0">
            <w:pPr>
              <w:pStyle w:val="TableBodyText"/>
              <w:jc w:val="center"/>
              <w:rPr>
                <w:b/>
                <w:color w:val="FFFFFF" w:themeColor="background1"/>
                <w:lang w:eastAsia="fr-CA"/>
              </w:rPr>
            </w:pPr>
            <w:r w:rsidRPr="000800F0">
              <w:rPr>
                <w:b/>
                <w:color w:val="FFFFFF" w:themeColor="background1"/>
                <w:lang w:eastAsia="fr-CA"/>
              </w:rPr>
              <w:t>Advisory Panel Members</w:t>
            </w:r>
          </w:p>
        </w:tc>
      </w:tr>
      <w:tr w:rsidR="000800F0" w14:paraId="03DA006C" w14:textId="77777777" w:rsidTr="000800F0">
        <w:trPr>
          <w:cantSplit/>
        </w:trPr>
        <w:tc>
          <w:tcPr>
            <w:tcW w:w="5000" w:type="pct"/>
            <w:gridSpan w:val="3"/>
          </w:tcPr>
          <w:p w14:paraId="4C2A0A4D" w14:textId="77777777" w:rsidR="000800F0" w:rsidRDefault="000800F0" w:rsidP="001719B2">
            <w:pPr>
              <w:pStyle w:val="TableBodyText"/>
              <w:rPr>
                <w:lang w:eastAsia="fr-CA"/>
              </w:rPr>
            </w:pPr>
            <w:r>
              <w:rPr>
                <w:lang w:eastAsia="fr-CA"/>
              </w:rPr>
              <w:t>Nevenka Codevelle, APA</w:t>
            </w:r>
          </w:p>
        </w:tc>
      </w:tr>
      <w:tr w:rsidR="000800F0" w14:paraId="34AFE50F" w14:textId="77777777" w:rsidTr="000800F0">
        <w:trPr>
          <w:cantSplit/>
        </w:trPr>
        <w:tc>
          <w:tcPr>
            <w:tcW w:w="5000" w:type="pct"/>
            <w:gridSpan w:val="3"/>
          </w:tcPr>
          <w:p w14:paraId="5D4ED78B" w14:textId="77777777" w:rsidR="000800F0" w:rsidRDefault="000800F0" w:rsidP="001719B2">
            <w:pPr>
              <w:pStyle w:val="TableBodyText"/>
              <w:rPr>
                <w:lang w:eastAsia="fr-CA"/>
              </w:rPr>
            </w:pPr>
            <w:r>
              <w:rPr>
                <w:lang w:eastAsia="fr-CA"/>
              </w:rPr>
              <w:t>Warwick King, APLNG</w:t>
            </w:r>
          </w:p>
        </w:tc>
      </w:tr>
      <w:tr w:rsidR="000800F0" w14:paraId="426D2AF1" w14:textId="77777777" w:rsidTr="000800F0">
        <w:trPr>
          <w:cantSplit/>
        </w:trPr>
        <w:tc>
          <w:tcPr>
            <w:tcW w:w="5000" w:type="pct"/>
            <w:gridSpan w:val="3"/>
          </w:tcPr>
          <w:p w14:paraId="5AF34A10" w14:textId="77777777" w:rsidR="000800F0" w:rsidRDefault="000800F0" w:rsidP="001719B2">
            <w:pPr>
              <w:pStyle w:val="TableBodyText"/>
              <w:rPr>
                <w:lang w:eastAsia="fr-CA"/>
              </w:rPr>
            </w:pPr>
            <w:r>
              <w:rPr>
                <w:lang w:eastAsia="fr-CA"/>
              </w:rPr>
              <w:t>Graham Salmond, BHP</w:t>
            </w:r>
          </w:p>
        </w:tc>
      </w:tr>
      <w:tr w:rsidR="000800F0" w14:paraId="58108E70" w14:textId="77777777" w:rsidTr="000800F0">
        <w:trPr>
          <w:cantSplit/>
        </w:trPr>
        <w:tc>
          <w:tcPr>
            <w:tcW w:w="5000" w:type="pct"/>
            <w:gridSpan w:val="3"/>
          </w:tcPr>
          <w:p w14:paraId="7115454D" w14:textId="77777777" w:rsidR="000800F0" w:rsidRDefault="000800F0" w:rsidP="001719B2">
            <w:pPr>
              <w:pStyle w:val="TableBodyText"/>
              <w:rPr>
                <w:lang w:eastAsia="fr-CA"/>
              </w:rPr>
            </w:pPr>
            <w:r>
              <w:rPr>
                <w:lang w:eastAsia="fr-CA"/>
              </w:rPr>
              <w:t xml:space="preserve">Mark Collette, </w:t>
            </w:r>
            <w:proofErr w:type="spellStart"/>
            <w:r>
              <w:rPr>
                <w:lang w:eastAsia="fr-CA"/>
              </w:rPr>
              <w:t>EnergyAustralia</w:t>
            </w:r>
            <w:proofErr w:type="spellEnd"/>
          </w:p>
        </w:tc>
      </w:tr>
      <w:tr w:rsidR="000800F0" w14:paraId="2A422AAA" w14:textId="77777777" w:rsidTr="000800F0">
        <w:trPr>
          <w:cantSplit/>
        </w:trPr>
        <w:tc>
          <w:tcPr>
            <w:tcW w:w="5000" w:type="pct"/>
            <w:gridSpan w:val="3"/>
          </w:tcPr>
          <w:p w14:paraId="0E353515" w14:textId="77777777" w:rsidR="000800F0" w:rsidRDefault="000800F0" w:rsidP="001719B2">
            <w:pPr>
              <w:pStyle w:val="TableBodyText"/>
              <w:rPr>
                <w:lang w:eastAsia="fr-CA"/>
              </w:rPr>
            </w:pPr>
            <w:r>
              <w:rPr>
                <w:lang w:eastAsia="fr-CA"/>
              </w:rPr>
              <w:t>Rosemary Sinclair, Energy Consumers Australia</w:t>
            </w:r>
          </w:p>
        </w:tc>
      </w:tr>
      <w:tr w:rsidR="000800F0" w14:paraId="04EF64EA" w14:textId="77777777" w:rsidTr="000800F0">
        <w:trPr>
          <w:cantSplit/>
        </w:trPr>
        <w:tc>
          <w:tcPr>
            <w:tcW w:w="5000" w:type="pct"/>
            <w:gridSpan w:val="3"/>
          </w:tcPr>
          <w:p w14:paraId="476B92E6" w14:textId="77777777" w:rsidR="000800F0" w:rsidRDefault="000800F0" w:rsidP="001719B2">
            <w:pPr>
              <w:pStyle w:val="TableBodyText"/>
              <w:rPr>
                <w:lang w:eastAsia="fr-CA"/>
              </w:rPr>
            </w:pPr>
            <w:r>
              <w:rPr>
                <w:lang w:eastAsia="fr-CA"/>
              </w:rPr>
              <w:t>Paul Adams, Jemena</w:t>
            </w:r>
          </w:p>
        </w:tc>
      </w:tr>
      <w:tr w:rsidR="000800F0" w14:paraId="4A86684A" w14:textId="77777777" w:rsidTr="000800F0">
        <w:trPr>
          <w:cantSplit/>
        </w:trPr>
        <w:tc>
          <w:tcPr>
            <w:tcW w:w="5000" w:type="pct"/>
            <w:gridSpan w:val="3"/>
          </w:tcPr>
          <w:p w14:paraId="6EFF12F0" w14:textId="77777777" w:rsidR="000800F0" w:rsidRDefault="000800F0" w:rsidP="001719B2">
            <w:pPr>
              <w:pStyle w:val="TableBodyText"/>
              <w:rPr>
                <w:lang w:eastAsia="fr-CA"/>
              </w:rPr>
            </w:pPr>
            <w:r>
              <w:rPr>
                <w:lang w:eastAsia="fr-CA"/>
              </w:rPr>
              <w:t>Chris Crozier, Orica</w:t>
            </w:r>
          </w:p>
        </w:tc>
      </w:tr>
      <w:tr w:rsidR="000800F0" w14:paraId="566E6704" w14:textId="77777777" w:rsidTr="000800F0">
        <w:trPr>
          <w:cantSplit/>
        </w:trPr>
        <w:tc>
          <w:tcPr>
            <w:tcW w:w="5000" w:type="pct"/>
            <w:gridSpan w:val="3"/>
          </w:tcPr>
          <w:p w14:paraId="215BB654" w14:textId="77777777" w:rsidR="000800F0" w:rsidRDefault="000800F0" w:rsidP="001719B2">
            <w:pPr>
              <w:pStyle w:val="TableBodyText"/>
              <w:rPr>
                <w:lang w:eastAsia="fr-CA"/>
              </w:rPr>
            </w:pPr>
            <w:r>
              <w:rPr>
                <w:lang w:eastAsia="fr-CA"/>
              </w:rPr>
              <w:t>Greg Jarvis, Origin</w:t>
            </w:r>
          </w:p>
        </w:tc>
      </w:tr>
      <w:tr w:rsidR="000800F0" w14:paraId="283958BA" w14:textId="77777777" w:rsidTr="000800F0">
        <w:trPr>
          <w:cantSplit/>
        </w:trPr>
        <w:tc>
          <w:tcPr>
            <w:tcW w:w="5000" w:type="pct"/>
            <w:gridSpan w:val="3"/>
          </w:tcPr>
          <w:p w14:paraId="6472EEA0" w14:textId="77777777" w:rsidR="000800F0" w:rsidRDefault="000800F0" w:rsidP="001719B2">
            <w:pPr>
              <w:pStyle w:val="TableBodyText"/>
              <w:rPr>
                <w:lang w:eastAsia="fr-CA"/>
              </w:rPr>
            </w:pPr>
            <w:r>
              <w:rPr>
                <w:lang w:eastAsia="fr-CA"/>
              </w:rPr>
              <w:t xml:space="preserve">Dr Stephen Bell, </w:t>
            </w:r>
            <w:proofErr w:type="spellStart"/>
            <w:r>
              <w:rPr>
                <w:lang w:eastAsia="fr-CA"/>
              </w:rPr>
              <w:t>Qenos</w:t>
            </w:r>
            <w:proofErr w:type="spellEnd"/>
          </w:p>
        </w:tc>
      </w:tr>
      <w:tr w:rsidR="000800F0" w14:paraId="14E37745" w14:textId="77777777" w:rsidTr="000800F0">
        <w:tblPrEx>
          <w:tblLook w:val="04A0" w:firstRow="1" w:lastRow="0" w:firstColumn="1" w:lastColumn="0" w:noHBand="0" w:noVBand="1"/>
        </w:tblPrEx>
        <w:tc>
          <w:tcPr>
            <w:tcW w:w="5000" w:type="pct"/>
            <w:gridSpan w:val="3"/>
            <w:tcBorders>
              <w:bottom w:val="single" w:sz="4" w:space="0" w:color="auto"/>
            </w:tcBorders>
          </w:tcPr>
          <w:p w14:paraId="3B0DA0ED" w14:textId="77777777" w:rsidR="000800F0" w:rsidRDefault="000800F0" w:rsidP="00F030AF">
            <w:pPr>
              <w:pStyle w:val="TableBodyText"/>
              <w:rPr>
                <w:lang w:eastAsia="fr-CA"/>
              </w:rPr>
            </w:pPr>
            <w:r>
              <w:rPr>
                <w:lang w:eastAsia="fr-CA"/>
              </w:rPr>
              <w:t xml:space="preserve">Angus </w:t>
            </w:r>
            <w:proofErr w:type="spellStart"/>
            <w:r>
              <w:rPr>
                <w:lang w:eastAsia="fr-CA"/>
              </w:rPr>
              <w:t>Jaffray</w:t>
            </w:r>
            <w:proofErr w:type="spellEnd"/>
            <w:r>
              <w:rPr>
                <w:lang w:eastAsia="fr-CA"/>
              </w:rPr>
              <w:t>, Santos</w:t>
            </w:r>
          </w:p>
        </w:tc>
      </w:tr>
      <w:tr w:rsidR="000800F0" w14:paraId="0001CE0C" w14:textId="77777777" w:rsidTr="000800F0">
        <w:tblPrEx>
          <w:tblLook w:val="04A0" w:firstRow="1" w:lastRow="0" w:firstColumn="1" w:lastColumn="0" w:noHBand="0" w:noVBand="1"/>
        </w:tblPrEx>
        <w:trPr>
          <w:cnfStyle w:val="000000010000" w:firstRow="0" w:lastRow="0" w:firstColumn="0" w:lastColumn="0" w:oddVBand="0" w:evenVBand="0" w:oddHBand="0" w:evenHBand="1" w:firstRowFirstColumn="0" w:firstRowLastColumn="0" w:lastRowFirstColumn="0" w:lastRowLastColumn="0"/>
        </w:trPr>
        <w:tc>
          <w:tcPr>
            <w:tcW w:w="5000" w:type="pct"/>
            <w:gridSpan w:val="3"/>
            <w:shd w:val="clear" w:color="auto" w:fill="auto"/>
          </w:tcPr>
          <w:p w14:paraId="75635D5E" w14:textId="77777777" w:rsidR="000800F0" w:rsidRDefault="000800F0" w:rsidP="00F030AF">
            <w:pPr>
              <w:pStyle w:val="TableBodyText"/>
              <w:rPr>
                <w:lang w:eastAsia="fr-CA"/>
              </w:rPr>
            </w:pPr>
            <w:r>
              <w:rPr>
                <w:lang w:eastAsia="fr-CA"/>
              </w:rPr>
              <w:t xml:space="preserve">Tom Summers, Shell </w:t>
            </w:r>
          </w:p>
        </w:tc>
      </w:tr>
    </w:tbl>
    <w:p w14:paraId="604A4F3D" w14:textId="77777777" w:rsidR="00D128A9" w:rsidRDefault="00D128A9" w:rsidP="001719B2">
      <w:pPr>
        <w:pStyle w:val="BodyText"/>
        <w:rPr>
          <w:lang w:eastAsia="fr-CA"/>
        </w:rPr>
      </w:pPr>
      <w:r>
        <w:rPr>
          <w:lang w:eastAsia="fr-CA"/>
        </w:rPr>
        <w:br w:type="page"/>
      </w:r>
    </w:p>
    <w:p w14:paraId="1DCECFCC" w14:textId="77777777" w:rsidR="00D128A9" w:rsidRDefault="00D128A9" w:rsidP="00D128A9">
      <w:pPr>
        <w:pStyle w:val="Heading9"/>
        <w:spacing w:after="0"/>
      </w:pPr>
      <w:bookmarkStart w:id="215" w:name="_Ref492125115"/>
      <w:r>
        <w:lastRenderedPageBreak/>
        <w:t>Transportation services</w:t>
      </w:r>
      <w:bookmarkEnd w:id="215"/>
      <w:r>
        <w:t xml:space="preserve"> </w:t>
      </w:r>
    </w:p>
    <w:p w14:paraId="22069762" w14:textId="77777777" w:rsidR="00D128A9" w:rsidRPr="00D128A9" w:rsidRDefault="00D128A9" w:rsidP="00941E66">
      <w:pPr>
        <w:pStyle w:val="BodyText"/>
        <w:spacing w:before="120" w:after="0"/>
        <w:rPr>
          <w:lang w:eastAsia="en-US"/>
        </w:rPr>
      </w:pPr>
      <w:r>
        <w:rPr>
          <w:lang w:eastAsia="en-US"/>
        </w:rPr>
        <w:t>The box below provides an overview of the services that transmission pipelines typically provide.</w:t>
      </w:r>
    </w:p>
    <w:tbl>
      <w:tblPr>
        <w:tblStyle w:val="TableGrid"/>
        <w:tblW w:w="8926" w:type="dxa"/>
        <w:tblBorders>
          <w:left w:val="single" w:sz="4" w:space="0" w:color="auto"/>
          <w:right w:val="single" w:sz="4" w:space="0" w:color="auto"/>
        </w:tblBorders>
        <w:shd w:val="clear" w:color="auto" w:fill="E1E2E7" w:themeFill="background2"/>
        <w:tblLook w:val="04A0" w:firstRow="1" w:lastRow="0" w:firstColumn="1" w:lastColumn="0" w:noHBand="0" w:noVBand="1"/>
        <w:tblCaption w:val="Box D.1"/>
        <w:tblDescription w:val="Services provided by transmission pipelines"/>
      </w:tblPr>
      <w:tblGrid>
        <w:gridCol w:w="8926"/>
      </w:tblGrid>
      <w:tr w:rsidR="000645EA" w:rsidRPr="000645EA" w14:paraId="420B5D91" w14:textId="77777777" w:rsidTr="00656FC1">
        <w:trPr>
          <w:cnfStyle w:val="100000000000" w:firstRow="1" w:lastRow="0" w:firstColumn="0" w:lastColumn="0" w:oddVBand="0" w:evenVBand="0" w:oddHBand="0" w:evenHBand="0" w:firstRowFirstColumn="0" w:firstRowLastColumn="0" w:lastRowFirstColumn="0" w:lastRowLastColumn="0"/>
          <w:tblHeader/>
        </w:trPr>
        <w:tc>
          <w:tcPr>
            <w:tcW w:w="8926" w:type="dxa"/>
            <w:shd w:val="clear" w:color="auto" w:fill="E1E2E7" w:themeFill="background2"/>
          </w:tcPr>
          <w:p w14:paraId="47E54816" w14:textId="28BB93F8" w:rsidR="00D128A9" w:rsidRPr="000645EA" w:rsidRDefault="00656FC1" w:rsidP="00656FC1">
            <w:pPr>
              <w:pStyle w:val="AERbulletlistfirststyle"/>
              <w:numPr>
                <w:ilvl w:val="0"/>
                <w:numId w:val="0"/>
              </w:numPr>
              <w:spacing w:after="120"/>
              <w:ind w:left="357" w:hanging="357"/>
              <w:rPr>
                <w:rStyle w:val="Strong"/>
              </w:rPr>
            </w:pPr>
            <w:r w:rsidRPr="00656FC1">
              <w:rPr>
                <w:color w:val="auto"/>
                <w:sz w:val="22"/>
              </w:rPr>
              <w:t>Box D.1: Services provided by transmission pipelines</w:t>
            </w:r>
            <w:r w:rsidR="00D128A9" w:rsidRPr="00656FC1">
              <w:rPr>
                <w:rStyle w:val="Strong"/>
                <w:color w:val="auto"/>
                <w:sz w:val="22"/>
              </w:rPr>
              <w:t xml:space="preserve"> </w:t>
            </w:r>
          </w:p>
        </w:tc>
      </w:tr>
      <w:tr w:rsidR="00656FC1" w:rsidRPr="000645EA" w14:paraId="1FC091E2" w14:textId="77777777" w:rsidTr="00656FC1">
        <w:trPr>
          <w:cnfStyle w:val="100000000000" w:firstRow="1" w:lastRow="0" w:firstColumn="0" w:lastColumn="0" w:oddVBand="0" w:evenVBand="0" w:oddHBand="0" w:evenHBand="0" w:firstRowFirstColumn="0" w:firstRowLastColumn="0" w:lastRowFirstColumn="0" w:lastRowLastColumn="0"/>
          <w:tblHeader/>
        </w:trPr>
        <w:tc>
          <w:tcPr>
            <w:tcW w:w="8926" w:type="dxa"/>
            <w:shd w:val="clear" w:color="auto" w:fill="E1E2E7" w:themeFill="background2"/>
          </w:tcPr>
          <w:p w14:paraId="47364669" w14:textId="77777777" w:rsidR="00656FC1" w:rsidRPr="00EB7368" w:rsidRDefault="00656FC1" w:rsidP="00656FC1">
            <w:pPr>
              <w:rPr>
                <w:color w:val="auto"/>
              </w:rPr>
            </w:pPr>
            <w:r w:rsidRPr="00EB7368">
              <w:rPr>
                <w:color w:val="auto"/>
              </w:rPr>
              <w:t>Transportation services</w:t>
            </w:r>
          </w:p>
          <w:p w14:paraId="0837F3CE" w14:textId="77777777" w:rsidR="00656FC1" w:rsidRPr="00EB7368" w:rsidRDefault="00656FC1" w:rsidP="00656FC1">
            <w:pPr>
              <w:rPr>
                <w:rStyle w:val="Strong"/>
                <w:color w:val="auto"/>
              </w:rPr>
            </w:pPr>
            <w:r w:rsidRPr="00EB7368">
              <w:rPr>
                <w:rStyle w:val="Strong"/>
                <w:color w:val="auto"/>
              </w:rPr>
              <w:t xml:space="preserve">Transmission pipelines operating on a point-to-point basis usually offer: </w:t>
            </w:r>
          </w:p>
          <w:p w14:paraId="6590C827" w14:textId="77777777" w:rsidR="00656FC1" w:rsidRPr="00EB7368" w:rsidRDefault="00656FC1" w:rsidP="00656FC1">
            <w:pPr>
              <w:pStyle w:val="AERbulletlistfirststyle"/>
              <w:spacing w:after="120"/>
              <w:rPr>
                <w:rStyle w:val="Strong"/>
                <w:color w:val="auto"/>
              </w:rPr>
            </w:pPr>
            <w:r w:rsidRPr="00EB7368">
              <w:rPr>
                <w:rStyle w:val="Strong"/>
                <w:color w:val="auto"/>
              </w:rPr>
              <w:t>Forward haul services, which provide for the transportation of gas from a receipt point to a delivery point in the direction of the predominant flow of gas.</w:t>
            </w:r>
          </w:p>
          <w:p w14:paraId="7E5B6159" w14:textId="77777777" w:rsidR="00656FC1" w:rsidRPr="00EB7368" w:rsidRDefault="00656FC1" w:rsidP="00656FC1">
            <w:pPr>
              <w:pStyle w:val="AERbulletlistfirststyle"/>
              <w:spacing w:after="120"/>
              <w:rPr>
                <w:rStyle w:val="Strong"/>
                <w:color w:val="auto"/>
              </w:rPr>
            </w:pPr>
            <w:r w:rsidRPr="00EB7368">
              <w:rPr>
                <w:rStyle w:val="Strong"/>
                <w:color w:val="auto"/>
              </w:rPr>
              <w:t xml:space="preserve">Backhaul services, which involve the ‘virtual transportation’ of gas in the opposite direction to the predominant flow of gas.  The term ‘virtual transportation’ is used in this context, because a backhaul service does not involve the physical transportation of gas. It instead involves a physical swap of gas at the point at which it is supplied into the pipeline for an equivalent amount of gas at the backhaul delivery point. To be able to provide this service, the volume of gas being backhauled must be less than, or equal to, the volume of gas to be transported on a forward haul basis, which is why it is offered on an as available or interruptible basis.  </w:t>
            </w:r>
          </w:p>
          <w:p w14:paraId="12B283BA" w14:textId="77777777" w:rsidR="00656FC1" w:rsidRPr="00EB7368" w:rsidRDefault="00656FC1" w:rsidP="00656FC1">
            <w:pPr>
              <w:rPr>
                <w:rStyle w:val="Strong"/>
                <w:color w:val="auto"/>
              </w:rPr>
            </w:pPr>
            <w:r w:rsidRPr="00EB7368">
              <w:rPr>
                <w:rStyle w:val="Strong"/>
                <w:color w:val="auto"/>
              </w:rPr>
              <w:t xml:space="preserve">If a pipeline can physically flow in both directions across its full length (i.e. a bi-directional pipeline), then it will usually offer a single transportation service, which enables gas to be transported in either direction. </w:t>
            </w:r>
          </w:p>
          <w:p w14:paraId="65743BBA" w14:textId="77777777" w:rsidR="00656FC1" w:rsidRPr="00EB7368" w:rsidRDefault="00656FC1" w:rsidP="00656FC1">
            <w:pPr>
              <w:rPr>
                <w:rStyle w:val="Strong"/>
                <w:color w:val="auto"/>
              </w:rPr>
            </w:pPr>
            <w:r w:rsidRPr="00EB7368">
              <w:rPr>
                <w:rStyle w:val="Strong"/>
                <w:color w:val="auto"/>
              </w:rPr>
              <w:t xml:space="preserve">Forward haul and bi-directional services can be provided on: </w:t>
            </w:r>
          </w:p>
          <w:p w14:paraId="37244183" w14:textId="77777777" w:rsidR="00656FC1" w:rsidRPr="00EB7368" w:rsidRDefault="00656FC1" w:rsidP="00656FC1">
            <w:pPr>
              <w:pStyle w:val="AERbulletlistfirststyle"/>
              <w:spacing w:after="120"/>
              <w:rPr>
                <w:rStyle w:val="Strong"/>
                <w:color w:val="auto"/>
              </w:rPr>
            </w:pPr>
            <w:proofErr w:type="gramStart"/>
            <w:r w:rsidRPr="00EB7368">
              <w:rPr>
                <w:rStyle w:val="Strong"/>
                <w:color w:val="auto"/>
              </w:rPr>
              <w:t>a</w:t>
            </w:r>
            <w:proofErr w:type="gramEnd"/>
            <w:r w:rsidRPr="00EB7368">
              <w:rPr>
                <w:rStyle w:val="Strong"/>
                <w:color w:val="auto"/>
              </w:rPr>
              <w:t xml:space="preserve"> firm basis – a firm service allows users to transport gas up to their maximum daily and hourly capacity reservation. The priority accorded to this service in terms of scheduling is higher than any other services and is the last service to be curtailed. </w:t>
            </w:r>
          </w:p>
          <w:p w14:paraId="04F20A7F" w14:textId="77777777" w:rsidR="00656FC1" w:rsidRPr="00EB7368" w:rsidRDefault="00656FC1" w:rsidP="00656FC1">
            <w:pPr>
              <w:pStyle w:val="AERbulletlistfirststyle"/>
              <w:spacing w:after="120"/>
              <w:rPr>
                <w:rStyle w:val="Strong"/>
                <w:color w:val="auto"/>
              </w:rPr>
            </w:pPr>
            <w:proofErr w:type="gramStart"/>
            <w:r w:rsidRPr="00EB7368">
              <w:rPr>
                <w:rStyle w:val="Strong"/>
                <w:color w:val="auto"/>
              </w:rPr>
              <w:t>an</w:t>
            </w:r>
            <w:proofErr w:type="gramEnd"/>
            <w:r w:rsidRPr="00EB7368">
              <w:rPr>
                <w:rStyle w:val="Strong"/>
                <w:color w:val="auto"/>
              </w:rPr>
              <w:t xml:space="preserve"> as available basis – an as available service allows users to transport gas without reserving and having to pay for capacity on a daily basis, if there is spare capacity available. The priority accorded to this service is lower than that accorded to a firm transportation service in terms of scheduling and is curtailed before firm services.  </w:t>
            </w:r>
          </w:p>
          <w:p w14:paraId="54895DB0" w14:textId="77777777" w:rsidR="00656FC1" w:rsidRPr="00EB7368" w:rsidRDefault="00656FC1" w:rsidP="00656FC1">
            <w:pPr>
              <w:pStyle w:val="AERbulletlistfirststyle"/>
              <w:spacing w:after="120"/>
              <w:rPr>
                <w:rStyle w:val="Strong"/>
                <w:color w:val="auto"/>
              </w:rPr>
            </w:pPr>
            <w:proofErr w:type="gramStart"/>
            <w:r w:rsidRPr="00EB7368">
              <w:rPr>
                <w:rStyle w:val="Strong"/>
                <w:color w:val="auto"/>
              </w:rPr>
              <w:t>an</w:t>
            </w:r>
            <w:proofErr w:type="gramEnd"/>
            <w:r w:rsidRPr="00EB7368">
              <w:rPr>
                <w:rStyle w:val="Strong"/>
                <w:color w:val="auto"/>
              </w:rPr>
              <w:t xml:space="preserve"> interruptible basis – an interruptible service also allows a buyer to transport gas without reserving and paying for capacity on a daily basis. However, the priority accorded to this service in terms of scheduling is lower than as available services and is usually curtailed ahead of both as available and firm services.  </w:t>
            </w:r>
          </w:p>
          <w:p w14:paraId="34DC0194" w14:textId="77777777" w:rsidR="00656FC1" w:rsidRPr="00EB7368" w:rsidRDefault="00656FC1" w:rsidP="00656FC1">
            <w:pPr>
              <w:rPr>
                <w:color w:val="auto"/>
              </w:rPr>
            </w:pPr>
            <w:r w:rsidRPr="00EB7368">
              <w:rPr>
                <w:color w:val="auto"/>
              </w:rPr>
              <w:t>Storage services</w:t>
            </w:r>
          </w:p>
          <w:p w14:paraId="77356008" w14:textId="77777777" w:rsidR="00656FC1" w:rsidRPr="00EB7368" w:rsidRDefault="00656FC1" w:rsidP="00656FC1">
            <w:pPr>
              <w:rPr>
                <w:rStyle w:val="Strong"/>
                <w:color w:val="auto"/>
              </w:rPr>
            </w:pPr>
            <w:r w:rsidRPr="00EB7368">
              <w:rPr>
                <w:rStyle w:val="Strong"/>
                <w:color w:val="auto"/>
              </w:rPr>
              <w:t>Transmission pipelines may also be used to provide the following storage related services:</w:t>
            </w:r>
          </w:p>
          <w:p w14:paraId="55B207DE" w14:textId="77777777" w:rsidR="00656FC1" w:rsidRPr="00EB7368" w:rsidRDefault="00656FC1" w:rsidP="00656FC1">
            <w:pPr>
              <w:pStyle w:val="AERbulletlistfirststyle"/>
              <w:spacing w:after="120"/>
              <w:rPr>
                <w:rStyle w:val="Strong"/>
                <w:color w:val="auto"/>
              </w:rPr>
            </w:pPr>
            <w:r w:rsidRPr="00EB7368">
              <w:rPr>
                <w:rStyle w:val="Strong"/>
                <w:color w:val="auto"/>
              </w:rPr>
              <w:t>Park services, which allow users to inject more gas into a pipeline than they take out on a particular day, up to a specified level and to store that gas in the pipeline.  The additional gas supplied into the pipeline may be withdrawn by users at a later point in time, subject to constraints in their transportation contracts.</w:t>
            </w:r>
          </w:p>
          <w:p w14:paraId="29E4BE52" w14:textId="77777777" w:rsidR="00656FC1" w:rsidRPr="00EB7368" w:rsidRDefault="00656FC1" w:rsidP="00656FC1">
            <w:pPr>
              <w:pStyle w:val="AERbulletlistfirststyle"/>
              <w:spacing w:after="120"/>
              <w:rPr>
                <w:rStyle w:val="Strong"/>
                <w:color w:val="auto"/>
              </w:rPr>
            </w:pPr>
            <w:r w:rsidRPr="00EB7368">
              <w:rPr>
                <w:rStyle w:val="Strong"/>
                <w:color w:val="auto"/>
              </w:rPr>
              <w:t xml:space="preserve">Park and loan services, which in addition to allowing users to store gas on the pipeline, also allows users to inject less gas than it takes on any given day (a loan), up to a specified level.  </w:t>
            </w:r>
          </w:p>
          <w:p w14:paraId="47660E21" w14:textId="77777777" w:rsidR="00656FC1" w:rsidRPr="00EB7368" w:rsidRDefault="00656FC1" w:rsidP="00656FC1">
            <w:pPr>
              <w:pStyle w:val="ListBullet"/>
              <w:numPr>
                <w:ilvl w:val="0"/>
                <w:numId w:val="0"/>
              </w:numPr>
              <w:rPr>
                <w:color w:val="auto"/>
              </w:rPr>
            </w:pPr>
            <w:r w:rsidRPr="00EB7368">
              <w:rPr>
                <w:color w:val="auto"/>
              </w:rPr>
              <w:t>Ancillary services</w:t>
            </w:r>
          </w:p>
          <w:p w14:paraId="3138E6A0" w14:textId="77777777" w:rsidR="00656FC1" w:rsidRPr="00EB7368" w:rsidRDefault="00656FC1" w:rsidP="00656FC1">
            <w:pPr>
              <w:pStyle w:val="ListBullet"/>
              <w:numPr>
                <w:ilvl w:val="0"/>
                <w:numId w:val="0"/>
              </w:numPr>
              <w:rPr>
                <w:rStyle w:val="Strong"/>
                <w:color w:val="auto"/>
              </w:rPr>
            </w:pPr>
            <w:r w:rsidRPr="00EB7368">
              <w:rPr>
                <w:rStyle w:val="Strong"/>
                <w:color w:val="auto"/>
              </w:rPr>
              <w:t>Transmission pipelines can be used to provide a range of ancillary services, including:</w:t>
            </w:r>
          </w:p>
          <w:p w14:paraId="6EF44B68" w14:textId="77777777" w:rsidR="00656FC1" w:rsidRPr="00EB7368" w:rsidRDefault="00656FC1" w:rsidP="00656FC1">
            <w:pPr>
              <w:pStyle w:val="AERbulletlistfirststyle"/>
              <w:spacing w:after="120"/>
              <w:rPr>
                <w:rStyle w:val="Strong"/>
                <w:color w:val="auto"/>
              </w:rPr>
            </w:pPr>
            <w:r w:rsidRPr="00EB7368">
              <w:rPr>
                <w:rStyle w:val="Strong"/>
                <w:color w:val="auto"/>
              </w:rPr>
              <w:t>Renomination services, which enable users to amend their nominations after the nomination cut-off time, which is typically the afternoon before the gas day.</w:t>
            </w:r>
          </w:p>
          <w:p w14:paraId="776AED2B" w14:textId="77777777" w:rsidR="00656FC1" w:rsidRDefault="00656FC1" w:rsidP="00656FC1">
            <w:pPr>
              <w:pStyle w:val="AERbulletlistfirststyle"/>
              <w:spacing w:after="120"/>
              <w:rPr>
                <w:rStyle w:val="Strong"/>
                <w:color w:val="auto"/>
              </w:rPr>
            </w:pPr>
            <w:r w:rsidRPr="00EB7368">
              <w:rPr>
                <w:rStyle w:val="Strong"/>
                <w:color w:val="auto"/>
              </w:rPr>
              <w:t>In-pipe trade services, which enable gas to be traded between users at a notional point on the pipeline and allow us</w:t>
            </w:r>
            <w:r>
              <w:rPr>
                <w:rStyle w:val="Strong"/>
                <w:color w:val="auto"/>
              </w:rPr>
              <w:t>ers to manage their imbalances.</w:t>
            </w:r>
          </w:p>
          <w:p w14:paraId="32952BDD" w14:textId="5C198FFE" w:rsidR="00656FC1" w:rsidRPr="00656FC1" w:rsidRDefault="00656FC1" w:rsidP="00656FC1">
            <w:pPr>
              <w:pStyle w:val="AERbulletlistfirststyle"/>
              <w:spacing w:after="120"/>
              <w:rPr>
                <w:b w:val="0"/>
                <w:bCs/>
                <w:color w:val="auto"/>
              </w:rPr>
            </w:pPr>
            <w:r w:rsidRPr="00656FC1">
              <w:rPr>
                <w:rStyle w:val="Strong"/>
                <w:color w:val="auto"/>
              </w:rPr>
              <w:t>Capacity trading services, which enables capacity traded between users to be managed by the service provider rather than by the users (e.g. the user purchasing the capacity can make nominations directly to the pipeline rather than through the user selling the capacity).</w:t>
            </w:r>
          </w:p>
        </w:tc>
      </w:tr>
    </w:tbl>
    <w:p w14:paraId="49115AE4" w14:textId="77777777" w:rsidR="007372B2" w:rsidRDefault="00D128A9" w:rsidP="006E75F9">
      <w:pPr>
        <w:spacing w:line="240" w:lineRule="auto"/>
        <w:rPr>
          <w:sz w:val="18"/>
          <w:szCs w:val="18"/>
        </w:rPr>
      </w:pPr>
      <w:r w:rsidRPr="00D128A9">
        <w:rPr>
          <w:sz w:val="18"/>
          <w:szCs w:val="18"/>
        </w:rPr>
        <w:t xml:space="preserve">Source: AER, Draft Decision Roma to Brisbane Gas Pipeline </w:t>
      </w:r>
      <w:r w:rsidR="005663EA">
        <w:rPr>
          <w:sz w:val="18"/>
          <w:szCs w:val="18"/>
        </w:rPr>
        <w:t xml:space="preserve">AA </w:t>
      </w:r>
      <w:r w:rsidRPr="00D128A9">
        <w:rPr>
          <w:sz w:val="18"/>
          <w:szCs w:val="18"/>
        </w:rPr>
        <w:t>2017-22, July 2017, Attachment 1</w:t>
      </w:r>
      <w:r>
        <w:rPr>
          <w:sz w:val="18"/>
          <w:szCs w:val="18"/>
        </w:rPr>
        <w:t>, Appendix A</w:t>
      </w:r>
      <w:r w:rsidRPr="00D128A9">
        <w:rPr>
          <w:sz w:val="18"/>
          <w:szCs w:val="18"/>
        </w:rPr>
        <w:t xml:space="preserve">. </w:t>
      </w:r>
    </w:p>
    <w:p w14:paraId="39D8C727" w14:textId="77777777" w:rsidR="00984A91" w:rsidRDefault="00984A91" w:rsidP="00984A91">
      <w:pPr>
        <w:spacing w:before="120" w:after="120" w:line="252" w:lineRule="auto"/>
      </w:pPr>
      <w:bookmarkStart w:id="216" w:name="_Toc489464932"/>
    </w:p>
    <w:p w14:paraId="4C5CF357" w14:textId="77777777" w:rsidR="00984A91" w:rsidRPr="0057020B" w:rsidRDefault="00984A91" w:rsidP="00984A91">
      <w:pPr>
        <w:spacing w:before="120" w:after="120" w:line="252" w:lineRule="auto"/>
        <w:sectPr w:rsidR="00984A91" w:rsidRPr="0057020B" w:rsidSect="00CF1252">
          <w:headerReference w:type="even" r:id="rId79"/>
          <w:headerReference w:type="default" r:id="rId80"/>
          <w:footerReference w:type="default" r:id="rId81"/>
          <w:headerReference w:type="first" r:id="rId82"/>
          <w:pgSz w:w="11907" w:h="16840" w:code="9"/>
          <w:pgMar w:top="714" w:right="1418" w:bottom="992" w:left="1701" w:header="425" w:footer="397" w:gutter="0"/>
          <w:cols w:space="708"/>
          <w:docGrid w:linePitch="360"/>
        </w:sectPr>
      </w:pPr>
    </w:p>
    <w:p w14:paraId="24F03815" w14:textId="77777777" w:rsidR="001710D5" w:rsidRDefault="001710D5" w:rsidP="001710D5">
      <w:pPr>
        <w:pStyle w:val="Heading9"/>
      </w:pPr>
      <w:r>
        <w:lastRenderedPageBreak/>
        <w:t xml:space="preserve">Overview of the </w:t>
      </w:r>
      <w:bookmarkEnd w:id="216"/>
      <w:r>
        <w:t>GSH</w:t>
      </w:r>
    </w:p>
    <w:p w14:paraId="2EA4518D" w14:textId="77777777" w:rsidR="001710D5" w:rsidRDefault="001710D5" w:rsidP="001710D5">
      <w:pPr>
        <w:pStyle w:val="BodyText"/>
      </w:pPr>
      <w:r>
        <w:t xml:space="preserve">The GSH is a centralised trading, settlement and clearing facility that is operated by AEMO and can currently be used by market participants in the east coast to: </w:t>
      </w:r>
    </w:p>
    <w:p w14:paraId="70D9527B" w14:textId="77777777" w:rsidR="001710D5" w:rsidRDefault="001710D5" w:rsidP="001710D5">
      <w:pPr>
        <w:pStyle w:val="ListBullet"/>
      </w:pPr>
      <w:r>
        <w:t>trade gas and Wallumbilla hub (compression) services through the exchange; or</w:t>
      </w:r>
    </w:p>
    <w:p w14:paraId="5C3E24BB" w14:textId="77777777" w:rsidR="001710D5" w:rsidRDefault="001710D5" w:rsidP="001710D5">
      <w:pPr>
        <w:pStyle w:val="ListBullet"/>
      </w:pPr>
      <w:proofErr w:type="gramStart"/>
      <w:r>
        <w:t>advertise</w:t>
      </w:r>
      <w:proofErr w:type="gramEnd"/>
      <w:r>
        <w:t xml:space="preserve"> transportation products through the pipeline capacity listing service.  </w:t>
      </w:r>
    </w:p>
    <w:p w14:paraId="5713F113" w14:textId="77777777" w:rsidR="001710D5" w:rsidRDefault="001710D5" w:rsidP="001710D5">
      <w:pPr>
        <w:pStyle w:val="BodyText"/>
        <w:rPr>
          <w:lang w:eastAsia="fr-CA"/>
        </w:rPr>
      </w:pPr>
      <w:r>
        <w:t xml:space="preserve">The remainder of this chapter provides a brief overview of the exchange and capacity listing service elements of the GSH, the steps that market participants have to take to be able to use the GSH and the governance framework that underpins the GSH.  Further detail on the GSH can be found in the Gas Supply Hub Industry Guide that AEMO has </w:t>
      </w:r>
      <w:r w:rsidRPr="008B1B73">
        <w:t>published.</w:t>
      </w:r>
      <w:r w:rsidRPr="008B1B73">
        <w:rPr>
          <w:rStyle w:val="FootnoteReference"/>
          <w:rFonts w:eastAsia="Cambria"/>
        </w:rPr>
        <w:footnoteReference w:id="108"/>
      </w:r>
    </w:p>
    <w:p w14:paraId="33144942" w14:textId="77777777" w:rsidR="001710D5" w:rsidRDefault="001710D5" w:rsidP="001710D5">
      <w:pPr>
        <w:pStyle w:val="AppendixHeading2"/>
      </w:pPr>
      <w:r>
        <w:t>Exchange</w:t>
      </w:r>
    </w:p>
    <w:p w14:paraId="2C4B3D46" w14:textId="77777777" w:rsidR="001710D5" w:rsidRDefault="001710D5" w:rsidP="001710D5">
      <w:pPr>
        <w:pStyle w:val="BodyText"/>
      </w:pPr>
      <w:r>
        <w:t xml:space="preserve">The exchange component of the GSH is operated using the </w:t>
      </w:r>
      <w:proofErr w:type="spellStart"/>
      <w:r>
        <w:t>Trayport</w:t>
      </w:r>
      <w:proofErr w:type="spellEnd"/>
      <w:r>
        <w:t xml:space="preserve"> Exchange Trading System (ETS), which is integrated with the market registration, settlement, prudential management and reporting systems that have been established for the GSH. The ETS includes:</w:t>
      </w:r>
    </w:p>
    <w:p w14:paraId="5D7A672B" w14:textId="77777777" w:rsidR="001710D5" w:rsidRPr="00BC5A63" w:rsidRDefault="001710D5" w:rsidP="001710D5">
      <w:pPr>
        <w:pStyle w:val="ListBullet"/>
      </w:pPr>
      <w:r>
        <w:t>a</w:t>
      </w:r>
      <w:r w:rsidRPr="00BC5A63">
        <w:t xml:space="preserve"> screen trading </w:t>
      </w:r>
      <w:r>
        <w:t xml:space="preserve">service (see </w:t>
      </w:r>
      <w:r>
        <w:fldChar w:fldCharType="begin"/>
      </w:r>
      <w:r>
        <w:instrText xml:space="preserve"> REF _Ref492107594 \h </w:instrText>
      </w:r>
      <w:r>
        <w:fldChar w:fldCharType="separate"/>
      </w:r>
      <w:r w:rsidR="00761861">
        <w:t>Figure E.</w:t>
      </w:r>
      <w:r w:rsidR="00761861">
        <w:rPr>
          <w:noProof/>
        </w:rPr>
        <w:t>1</w:t>
      </w:r>
      <w:r>
        <w:fldChar w:fldCharType="end"/>
      </w:r>
      <w:r>
        <w:t>)</w:t>
      </w:r>
      <w:r w:rsidRPr="00BC5A63">
        <w:t>, which allows participants to place anonymous bids and offers</w:t>
      </w:r>
      <w:r>
        <w:t xml:space="preserve"> for standardised products</w:t>
      </w:r>
      <w:r w:rsidRPr="00BC5A63">
        <w:t>, which are automatically matched by the exchange</w:t>
      </w:r>
      <w:r>
        <w:t xml:space="preserve"> (see </w:t>
      </w:r>
      <w:r>
        <w:fldChar w:fldCharType="begin"/>
      </w:r>
      <w:r>
        <w:instrText xml:space="preserve"> REF _Ref492112736 \h </w:instrText>
      </w:r>
      <w:r>
        <w:fldChar w:fldCharType="separate"/>
      </w:r>
      <w:r w:rsidR="00761861">
        <w:t>Box E.1</w:t>
      </w:r>
      <w:r>
        <w:fldChar w:fldCharType="end"/>
      </w:r>
      <w:r>
        <w:t>)</w:t>
      </w:r>
      <w:r w:rsidRPr="00BC5A63">
        <w:t xml:space="preserve">; or </w:t>
      </w:r>
    </w:p>
    <w:p w14:paraId="3BD4B410" w14:textId="77777777" w:rsidR="001710D5" w:rsidRPr="00BC5A63" w:rsidRDefault="001710D5" w:rsidP="001710D5">
      <w:pPr>
        <w:pStyle w:val="ListBullet"/>
      </w:pPr>
      <w:proofErr w:type="gramStart"/>
      <w:r>
        <w:t>a</w:t>
      </w:r>
      <w:proofErr w:type="gramEnd"/>
      <w:r w:rsidRPr="00BC5A63">
        <w:t xml:space="preserve"> pre-matched trade service, which allows participants to </w:t>
      </w:r>
      <w:r>
        <w:t xml:space="preserve">bring a bilateral trade in one of the GSH products to the </w:t>
      </w:r>
      <w:r w:rsidRPr="00BC5A63">
        <w:t>exchange for settlement.</w:t>
      </w:r>
    </w:p>
    <w:tbl>
      <w:tblPr>
        <w:tblStyle w:val="PullOutBoxTable"/>
        <w:tblW w:w="5000" w:type="pct"/>
        <w:tblLook w:val="0600" w:firstRow="0" w:lastRow="0" w:firstColumn="0" w:lastColumn="0" w:noHBand="1" w:noVBand="1"/>
        <w:tblCaption w:val="Box E.1"/>
        <w:tblDescription w:val="Exchange trading process"/>
      </w:tblPr>
      <w:tblGrid>
        <w:gridCol w:w="8789"/>
      </w:tblGrid>
      <w:tr w:rsidR="001710D5" w:rsidRPr="00B21AEE" w14:paraId="6C5B3F50" w14:textId="77777777" w:rsidTr="00656FC1">
        <w:trPr>
          <w:tblHeader/>
        </w:trPr>
        <w:tc>
          <w:tcPr>
            <w:tcW w:w="5000" w:type="pct"/>
            <w:shd w:val="clear" w:color="auto" w:fill="auto"/>
          </w:tcPr>
          <w:p w14:paraId="1E4C335D" w14:textId="14286129" w:rsidR="001710D5" w:rsidRPr="00656FC1" w:rsidRDefault="00656FC1" w:rsidP="00656FC1">
            <w:pPr>
              <w:pStyle w:val="ListBullet"/>
              <w:numPr>
                <w:ilvl w:val="0"/>
                <w:numId w:val="0"/>
              </w:numPr>
              <w:spacing w:after="0"/>
              <w:ind w:left="357" w:hanging="357"/>
              <w:rPr>
                <w:b/>
                <w:sz w:val="20"/>
                <w:szCs w:val="20"/>
              </w:rPr>
            </w:pPr>
            <w:bookmarkStart w:id="217" w:name="_Ref492112736"/>
            <w:r w:rsidRPr="00656FC1">
              <w:rPr>
                <w:b/>
              </w:rPr>
              <w:t>Box E.1</w:t>
            </w:r>
            <w:bookmarkEnd w:id="217"/>
            <w:r w:rsidRPr="00656FC1">
              <w:rPr>
                <w:b/>
              </w:rPr>
              <w:t>: Exchange trading process</w:t>
            </w:r>
          </w:p>
        </w:tc>
      </w:tr>
      <w:tr w:rsidR="00656FC1" w:rsidRPr="00B21AEE" w14:paraId="3E4895E5" w14:textId="77777777" w:rsidTr="00656FC1">
        <w:trPr>
          <w:tblHeader/>
        </w:trPr>
        <w:tc>
          <w:tcPr>
            <w:tcW w:w="5000" w:type="pct"/>
          </w:tcPr>
          <w:p w14:paraId="2694EE55" w14:textId="77777777" w:rsidR="00656FC1" w:rsidRPr="00B21AEE" w:rsidRDefault="00656FC1" w:rsidP="00656FC1">
            <w:pPr>
              <w:autoSpaceDE w:val="0"/>
              <w:autoSpaceDN w:val="0"/>
              <w:adjustRightInd w:val="0"/>
              <w:spacing w:after="120"/>
              <w:rPr>
                <w:rFonts w:cs="Arial"/>
                <w:color w:val="000000"/>
                <w:sz w:val="20"/>
                <w:szCs w:val="20"/>
              </w:rPr>
            </w:pPr>
            <w:r w:rsidRPr="00B21AEE">
              <w:rPr>
                <w:rFonts w:cs="Arial"/>
                <w:color w:val="000000"/>
                <w:sz w:val="20"/>
                <w:szCs w:val="20"/>
              </w:rPr>
              <w:lastRenderedPageBreak/>
              <w:t>Trades conducted through the exchange involve the following steps:</w:t>
            </w:r>
          </w:p>
          <w:p w14:paraId="3A87FD5C" w14:textId="77777777" w:rsidR="00656FC1" w:rsidRPr="00B21AEE" w:rsidRDefault="00656FC1" w:rsidP="00656FC1">
            <w:pPr>
              <w:pStyle w:val="BodyText"/>
              <w:numPr>
                <w:ilvl w:val="6"/>
                <w:numId w:val="32"/>
              </w:numPr>
              <w:spacing w:before="60" w:after="60"/>
              <w:ind w:left="442" w:hanging="357"/>
              <w:rPr>
                <w:sz w:val="20"/>
                <w:szCs w:val="20"/>
              </w:rPr>
            </w:pPr>
            <w:r w:rsidRPr="00B21AEE">
              <w:rPr>
                <w:sz w:val="20"/>
                <w:szCs w:val="20"/>
              </w:rPr>
              <w:t xml:space="preserve">Trading </w:t>
            </w:r>
            <w:r>
              <w:rPr>
                <w:sz w:val="20"/>
                <w:szCs w:val="20"/>
              </w:rPr>
              <w:t>p</w:t>
            </w:r>
            <w:r w:rsidRPr="00B21AEE">
              <w:rPr>
                <w:sz w:val="20"/>
                <w:szCs w:val="20"/>
              </w:rPr>
              <w:t xml:space="preserve">articipants select the product they would like to trade and then complete the required information. </w:t>
            </w:r>
          </w:p>
          <w:p w14:paraId="0E0F7B08" w14:textId="77777777" w:rsidR="00656FC1" w:rsidRPr="00B21AEE" w:rsidRDefault="00656FC1" w:rsidP="00656FC1">
            <w:pPr>
              <w:pStyle w:val="BodyText"/>
              <w:numPr>
                <w:ilvl w:val="6"/>
                <w:numId w:val="32"/>
              </w:numPr>
              <w:spacing w:before="60" w:after="60"/>
              <w:ind w:left="442" w:hanging="357"/>
              <w:rPr>
                <w:sz w:val="20"/>
                <w:szCs w:val="20"/>
              </w:rPr>
            </w:pPr>
            <w:r w:rsidRPr="00B21AEE">
              <w:rPr>
                <w:sz w:val="20"/>
                <w:szCs w:val="20"/>
              </w:rPr>
              <w:t>The order is validated by the trading systems.</w:t>
            </w:r>
          </w:p>
          <w:p w14:paraId="02EF95C3" w14:textId="77777777" w:rsidR="00656FC1" w:rsidRPr="00B21AEE" w:rsidRDefault="00656FC1" w:rsidP="00656FC1">
            <w:pPr>
              <w:pStyle w:val="BodyText"/>
              <w:numPr>
                <w:ilvl w:val="6"/>
                <w:numId w:val="32"/>
              </w:numPr>
              <w:spacing w:before="60" w:after="60"/>
              <w:ind w:left="442" w:hanging="357"/>
              <w:rPr>
                <w:sz w:val="20"/>
                <w:szCs w:val="20"/>
              </w:rPr>
            </w:pPr>
            <w:r w:rsidRPr="00B21AEE">
              <w:rPr>
                <w:sz w:val="20"/>
                <w:szCs w:val="20"/>
              </w:rPr>
              <w:t xml:space="preserve">Confirmation of order submission is provided on screen and through a market report. </w:t>
            </w:r>
          </w:p>
          <w:p w14:paraId="3C5101A1" w14:textId="77777777" w:rsidR="00656FC1" w:rsidRPr="00B21AEE" w:rsidRDefault="00656FC1" w:rsidP="00656FC1">
            <w:pPr>
              <w:pStyle w:val="ListNumber"/>
              <w:numPr>
                <w:ilvl w:val="0"/>
                <w:numId w:val="0"/>
              </w:numPr>
              <w:rPr>
                <w:sz w:val="20"/>
                <w:szCs w:val="20"/>
              </w:rPr>
            </w:pPr>
            <w:r w:rsidRPr="00B21AEE">
              <w:rPr>
                <w:rFonts w:cs="Arial"/>
                <w:sz w:val="20"/>
                <w:szCs w:val="20"/>
              </w:rPr>
              <w:t>The trading system validates orders on submission to ensure:</w:t>
            </w:r>
          </w:p>
          <w:p w14:paraId="0AB84247" w14:textId="77777777" w:rsidR="00656FC1" w:rsidRPr="00B21AEE" w:rsidRDefault="00656FC1" w:rsidP="00656FC1">
            <w:pPr>
              <w:pStyle w:val="ListBullet"/>
              <w:numPr>
                <w:ilvl w:val="0"/>
                <w:numId w:val="43"/>
              </w:numPr>
              <w:rPr>
                <w:sz w:val="20"/>
                <w:szCs w:val="20"/>
              </w:rPr>
            </w:pPr>
            <w:r>
              <w:rPr>
                <w:sz w:val="20"/>
                <w:szCs w:val="20"/>
              </w:rPr>
              <w:t xml:space="preserve">the </w:t>
            </w:r>
            <w:r w:rsidRPr="00B21AEE">
              <w:rPr>
                <w:sz w:val="20"/>
                <w:szCs w:val="20"/>
              </w:rPr>
              <w:t>order contains all of the required order components in the correct format;</w:t>
            </w:r>
          </w:p>
          <w:p w14:paraId="6466753E" w14:textId="77777777" w:rsidR="00656FC1" w:rsidRDefault="00656FC1" w:rsidP="00656FC1">
            <w:pPr>
              <w:pStyle w:val="ListBullet"/>
              <w:numPr>
                <w:ilvl w:val="0"/>
                <w:numId w:val="42"/>
              </w:numPr>
              <w:rPr>
                <w:sz w:val="20"/>
                <w:szCs w:val="20"/>
              </w:rPr>
            </w:pPr>
            <w:r>
              <w:rPr>
                <w:sz w:val="20"/>
                <w:szCs w:val="20"/>
              </w:rPr>
              <w:t xml:space="preserve">the </w:t>
            </w:r>
            <w:r w:rsidRPr="00B21AEE">
              <w:rPr>
                <w:sz w:val="20"/>
                <w:szCs w:val="20"/>
              </w:rPr>
              <w:t>order quantity and price adheres to minimum, maximum and parcel size rules; and</w:t>
            </w:r>
          </w:p>
          <w:p w14:paraId="1BE86A74" w14:textId="49ACBCE4" w:rsidR="00656FC1" w:rsidRPr="00656FC1" w:rsidRDefault="00656FC1" w:rsidP="00656FC1">
            <w:pPr>
              <w:pStyle w:val="ListBullet"/>
              <w:numPr>
                <w:ilvl w:val="0"/>
                <w:numId w:val="42"/>
              </w:numPr>
              <w:rPr>
                <w:sz w:val="20"/>
                <w:szCs w:val="20"/>
              </w:rPr>
            </w:pPr>
            <w:r w:rsidRPr="00656FC1">
              <w:rPr>
                <w:sz w:val="20"/>
                <w:szCs w:val="20"/>
              </w:rPr>
              <w:t>Trading participants have adequate trading margin available to effect the transaction.</w:t>
            </w:r>
          </w:p>
        </w:tc>
      </w:tr>
    </w:tbl>
    <w:p w14:paraId="0398D9AD" w14:textId="77777777" w:rsidR="001710D5" w:rsidRDefault="008A1CCF" w:rsidP="001710D5">
      <w:pPr>
        <w:pStyle w:val="Caption"/>
        <w:keepLines w:val="0"/>
        <w:spacing w:after="0"/>
        <w:rPr>
          <w:rStyle w:val="Bold"/>
          <w:b/>
        </w:rPr>
      </w:pPr>
      <w:bookmarkStart w:id="218" w:name="_Ref492107594"/>
      <w:r>
        <w:t xml:space="preserve">Figure </w:t>
      </w:r>
      <w:r w:rsidR="00EA2835">
        <w:t>E</w:t>
      </w:r>
      <w:r w:rsidR="001710D5">
        <w:t>.</w:t>
      </w:r>
      <w:r w:rsidR="00983431">
        <w:fldChar w:fldCharType="begin"/>
      </w:r>
      <w:r w:rsidR="00983431">
        <w:instrText xml:space="preserve"> SEQ Figure \* ARABIC \s 1 </w:instrText>
      </w:r>
      <w:r w:rsidR="00983431">
        <w:fldChar w:fldCharType="separate"/>
      </w:r>
      <w:r w:rsidR="00761861">
        <w:rPr>
          <w:noProof/>
        </w:rPr>
        <w:t>1</w:t>
      </w:r>
      <w:r w:rsidR="00983431">
        <w:rPr>
          <w:noProof/>
        </w:rPr>
        <w:fldChar w:fldCharType="end"/>
      </w:r>
      <w:bookmarkEnd w:id="218"/>
      <w:r w:rsidR="001710D5">
        <w:t>:</w:t>
      </w:r>
      <w:r w:rsidR="001710D5" w:rsidRPr="008B1B73">
        <w:rPr>
          <w:rStyle w:val="Bold"/>
          <w:b/>
        </w:rPr>
        <w:t xml:space="preserve"> </w:t>
      </w:r>
      <w:r w:rsidR="001710D5">
        <w:rPr>
          <w:rStyle w:val="Bold"/>
          <w:b/>
        </w:rPr>
        <w:t xml:space="preserve">GSH screen trading </w:t>
      </w:r>
      <w:r w:rsidR="001710D5" w:rsidRPr="008B1B73">
        <w:rPr>
          <w:rStyle w:val="Bold"/>
          <w:b/>
        </w:rPr>
        <w:t>screenshot</w:t>
      </w:r>
    </w:p>
    <w:p w14:paraId="19E36DD5" w14:textId="77777777" w:rsidR="001710D5" w:rsidRDefault="001710D5" w:rsidP="001710D5">
      <w:pPr>
        <w:pStyle w:val="BodyText"/>
        <w:spacing w:before="0" w:after="0"/>
        <w:rPr>
          <w:rFonts w:eastAsiaTheme="minorEastAsia"/>
          <w:lang w:eastAsia="fr-CA"/>
        </w:rPr>
      </w:pPr>
      <w:r>
        <w:rPr>
          <w:rFonts w:eastAsiaTheme="minorEastAsia"/>
          <w:noProof/>
        </w:rPr>
        <w:drawing>
          <wp:inline distT="0" distB="0" distL="0" distR="0" wp14:anchorId="5EEE6580" wp14:editId="7AB8C733">
            <wp:extent cx="5359400" cy="2906514"/>
            <wp:effectExtent l="0" t="0" r="0" b="8255"/>
            <wp:docPr id="8" name="Picture 8" descr="GSH screen trading screenshot" title="Figure 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366793" cy="2910523"/>
                    </a:xfrm>
                    <a:prstGeom prst="rect">
                      <a:avLst/>
                    </a:prstGeom>
                    <a:noFill/>
                  </pic:spPr>
                </pic:pic>
              </a:graphicData>
            </a:graphic>
          </wp:inline>
        </w:drawing>
      </w:r>
    </w:p>
    <w:p w14:paraId="44F94FC2" w14:textId="77777777" w:rsidR="001710D5" w:rsidRPr="00BC5A63" w:rsidRDefault="001710D5" w:rsidP="001710D5">
      <w:pPr>
        <w:pStyle w:val="BodyText"/>
        <w:rPr>
          <w:rFonts w:cs="Arial"/>
          <w:color w:val="000000"/>
        </w:rPr>
      </w:pPr>
      <w:r>
        <w:t xml:space="preserve">The screen trading service </w:t>
      </w:r>
      <w:r>
        <w:rPr>
          <w:lang w:eastAsia="fr-CA"/>
        </w:rPr>
        <w:t xml:space="preserve">operates on a </w:t>
      </w:r>
      <w:r w:rsidRPr="008B1B73">
        <w:rPr>
          <w:rFonts w:cs="Arial"/>
        </w:rPr>
        <w:t>continuous</w:t>
      </w:r>
      <w:r>
        <w:rPr>
          <w:rFonts w:cs="Arial"/>
        </w:rPr>
        <w:t xml:space="preserve"> basis</w:t>
      </w:r>
      <w:r w:rsidRPr="008B1B73">
        <w:rPr>
          <w:rFonts w:cs="Arial"/>
        </w:rPr>
        <w:t>, with bids and offers matched on price throughout the trading day</w:t>
      </w:r>
      <w:r w:rsidRPr="00BC5A63">
        <w:rPr>
          <w:rFonts w:cs="Arial"/>
          <w:color w:val="000000"/>
        </w:rPr>
        <w:t xml:space="preserve"> </w:t>
      </w:r>
      <w:r>
        <w:rPr>
          <w:rFonts w:cs="Arial"/>
          <w:color w:val="000000"/>
        </w:rPr>
        <w:t>using the following rules</w:t>
      </w:r>
      <w:r w:rsidRPr="00BC5A63">
        <w:rPr>
          <w:rFonts w:cs="Arial"/>
          <w:color w:val="000000"/>
        </w:rPr>
        <w:t>:</w:t>
      </w:r>
      <w:r>
        <w:rPr>
          <w:rStyle w:val="FootnoteReference"/>
          <w:rFonts w:cs="Arial"/>
          <w:color w:val="000000"/>
        </w:rPr>
        <w:footnoteReference w:id="109"/>
      </w:r>
      <w:r w:rsidRPr="00BC5A63">
        <w:rPr>
          <w:rFonts w:cs="Arial"/>
          <w:color w:val="000000"/>
        </w:rPr>
        <w:t xml:space="preserve"> </w:t>
      </w:r>
    </w:p>
    <w:p w14:paraId="2B7594FA" w14:textId="77777777" w:rsidR="001710D5" w:rsidRPr="00BC5A63" w:rsidRDefault="001710D5" w:rsidP="001710D5">
      <w:pPr>
        <w:pStyle w:val="ListBullet"/>
      </w:pPr>
      <w:r>
        <w:t>o</w:t>
      </w:r>
      <w:r w:rsidRPr="00BC5A63">
        <w:t>rders are in the first instance matched based on price, with new offers matched against the highest price bid, and new bids matched against the lowest price offer</w:t>
      </w:r>
      <w:r>
        <w:t>; and</w:t>
      </w:r>
    </w:p>
    <w:p w14:paraId="58E109F2" w14:textId="77777777" w:rsidR="001710D5" w:rsidRDefault="001710D5" w:rsidP="001710D5">
      <w:pPr>
        <w:pStyle w:val="ListBullet"/>
      </w:pPr>
      <w:proofErr w:type="gramStart"/>
      <w:r>
        <w:t>w</w:t>
      </w:r>
      <w:r w:rsidRPr="00BC5A63">
        <w:t>here</w:t>
      </w:r>
      <w:proofErr w:type="gramEnd"/>
      <w:r w:rsidRPr="00BC5A63">
        <w:t xml:space="preserve"> two or more orders share the sam</w:t>
      </w:r>
      <w:r>
        <w:t xml:space="preserve">e price and are </w:t>
      </w:r>
      <w:r w:rsidRPr="00BC5A63">
        <w:t>capable of being executed</w:t>
      </w:r>
      <w:r>
        <w:t>,</w:t>
      </w:r>
      <w:r w:rsidRPr="00BC5A63">
        <w:t xml:space="preserve"> the order with the earlier submission time is matched first. </w:t>
      </w:r>
    </w:p>
    <w:p w14:paraId="4C475B8F" w14:textId="77777777" w:rsidR="001710D5" w:rsidRPr="008B1B73" w:rsidRDefault="001710D5" w:rsidP="001710D5">
      <w:pPr>
        <w:pStyle w:val="BodyText"/>
        <w:rPr>
          <w:highlight w:val="yellow"/>
        </w:rPr>
      </w:pPr>
      <w:r>
        <w:t xml:space="preserve">While the screen trading service provides participants a number of trading options, it does not currently enable participants to make an order to buy or sell </w:t>
      </w:r>
      <w:r w:rsidRPr="008B1B73">
        <w:t>conditional on other orders being matched as well. A buyer or seller may wish to do this if</w:t>
      </w:r>
      <w:r>
        <w:t>, for example,</w:t>
      </w:r>
      <w:r w:rsidRPr="008B1B73">
        <w:t xml:space="preserve"> they want to </w:t>
      </w:r>
      <w:r>
        <w:t xml:space="preserve">transport gas from </w:t>
      </w:r>
      <w:r w:rsidRPr="008B1B73">
        <w:t xml:space="preserve">Wallumbilla to Adelaide, </w:t>
      </w:r>
      <w:r>
        <w:t>which requires the use of two pipelines</w:t>
      </w:r>
      <w:r w:rsidRPr="008B1B73">
        <w:t xml:space="preserve">. AEMO is </w:t>
      </w:r>
      <w:r>
        <w:t xml:space="preserve">currently </w:t>
      </w:r>
      <w:r w:rsidRPr="008B1B73">
        <w:t xml:space="preserve">discussing this functionality with </w:t>
      </w:r>
      <w:proofErr w:type="spellStart"/>
      <w:r w:rsidRPr="008B1B73">
        <w:t>Trayport</w:t>
      </w:r>
      <w:proofErr w:type="spellEnd"/>
      <w:r w:rsidRPr="008B1B73">
        <w:t xml:space="preserve"> and </w:t>
      </w:r>
      <w:r>
        <w:t xml:space="preserve">expect that conditional bidding could </w:t>
      </w:r>
      <w:r w:rsidRPr="008B1B73">
        <w:t xml:space="preserve">be implemented. </w:t>
      </w:r>
    </w:p>
    <w:p w14:paraId="68906433" w14:textId="77777777" w:rsidR="00AA4404" w:rsidRDefault="001710D5" w:rsidP="001710D5">
      <w:pPr>
        <w:pStyle w:val="BodyText"/>
      </w:pPr>
      <w:r>
        <w:t xml:space="preserve">Trades carried out using the screen trading or pre-matched service are settled by AEMO, with settlement amounts calculated on a daily basis and statements issued to participants on a monthly basis. The prudential arrangements in the GSH require participants to post collateral to cover their potential settlement exposure. Prudential assessments are conducted each business day to determine whether sufficient collateral has been provided or if further collateral is required. Further detail on how the settlement and prudential arrangements are expected to be applied to capacity products is provided in Chapter </w:t>
      </w:r>
      <w:r>
        <w:fldChar w:fldCharType="begin"/>
      </w:r>
      <w:r>
        <w:instrText xml:space="preserve"> REF _Ref492099928 \r \h </w:instrText>
      </w:r>
      <w:r>
        <w:fldChar w:fldCharType="separate"/>
      </w:r>
      <w:r w:rsidR="00761861">
        <w:t>8</w:t>
      </w:r>
      <w:r>
        <w:fldChar w:fldCharType="end"/>
      </w:r>
      <w:r>
        <w:t>.</w:t>
      </w:r>
    </w:p>
    <w:p w14:paraId="0660DDE9" w14:textId="77777777" w:rsidR="005D51F3" w:rsidRDefault="005D51F3" w:rsidP="005D51F3">
      <w:pPr>
        <w:pStyle w:val="BodyText"/>
      </w:pPr>
      <w:r>
        <w:t>To deter trading participants from defaulting on their financial</w:t>
      </w:r>
      <w:r>
        <w:rPr>
          <w:rStyle w:val="FootnoteReference"/>
        </w:rPr>
        <w:footnoteReference w:id="110"/>
      </w:r>
      <w:r>
        <w:t xml:space="preserve"> or delivery obligations and to deal with any default that does occur, the following arrangements have been put in place:</w:t>
      </w:r>
    </w:p>
    <w:p w14:paraId="4D2DDDE7" w14:textId="77777777" w:rsidR="005D51F3" w:rsidRDefault="005D51F3" w:rsidP="005D51F3">
      <w:pPr>
        <w:pStyle w:val="ListBullet"/>
      </w:pPr>
      <w:r>
        <w:t>Market conduct rules have been included in Part 22 of the NGR (rule 543), which include requirements that trading participants must not:</w:t>
      </w:r>
    </w:p>
    <w:p w14:paraId="73A6D1D6" w14:textId="77777777" w:rsidR="005D51F3" w:rsidRDefault="005D51F3" w:rsidP="005D51F3">
      <w:pPr>
        <w:pStyle w:val="ListBullet2"/>
      </w:pPr>
      <w:r>
        <w:lastRenderedPageBreak/>
        <w:t>submit offers to buy or sell if they know, or ought to know, they will not be able to perform their obligations under a resulting transaction, or with the intention of defaulting in its performance; and</w:t>
      </w:r>
    </w:p>
    <w:p w14:paraId="61CD06A9" w14:textId="77777777" w:rsidR="005D51F3" w:rsidRDefault="005D51F3" w:rsidP="005D51F3">
      <w:pPr>
        <w:pStyle w:val="ListBullet2"/>
      </w:pPr>
      <w:proofErr w:type="gramStart"/>
      <w:r>
        <w:t>intentionally</w:t>
      </w:r>
      <w:proofErr w:type="gramEnd"/>
      <w:r>
        <w:t xml:space="preserve"> or recklessly default in the performance of its obligations under any transaction arising on the exchange.</w:t>
      </w:r>
    </w:p>
    <w:p w14:paraId="11856E6B" w14:textId="77777777" w:rsidR="005D51F3" w:rsidRDefault="005D51F3" w:rsidP="005D51F3">
      <w:pPr>
        <w:pStyle w:val="ListBullet2"/>
        <w:numPr>
          <w:ilvl w:val="0"/>
          <w:numId w:val="0"/>
        </w:numPr>
        <w:ind w:left="357"/>
      </w:pPr>
      <w:r>
        <w:t>These rules are classified as both civil penalty and conduct provisions, which means</w:t>
      </w:r>
      <w:r w:rsidR="00EB307E">
        <w:t xml:space="preserve"> that if a trading participant </w:t>
      </w:r>
      <w:r>
        <w:t>breaches these rules, then:</w:t>
      </w:r>
    </w:p>
    <w:p w14:paraId="46E9BD5C" w14:textId="77777777" w:rsidR="005D51F3" w:rsidRDefault="005D51F3" w:rsidP="005D51F3">
      <w:pPr>
        <w:pStyle w:val="ListBullet2"/>
      </w:pPr>
      <w:r>
        <w:t>the AER can institute civil proceedings in the Federal Court and seek an injunction or an ord</w:t>
      </w:r>
      <w:r w:rsidR="00EB307E">
        <w:t>er that the trading participant</w:t>
      </w:r>
      <w:r>
        <w:t xml:space="preserve"> cease or remedy the conduct, and/or an order that a penalty be paid;</w:t>
      </w:r>
      <w:r>
        <w:rPr>
          <w:rStyle w:val="FootnoteReference"/>
        </w:rPr>
        <w:footnoteReference w:id="111"/>
      </w:r>
      <w:r w:rsidRPr="00857DFB">
        <w:rPr>
          <w:vertAlign w:val="superscript"/>
        </w:rPr>
        <w:t>,</w:t>
      </w:r>
      <w:r>
        <w:rPr>
          <w:rStyle w:val="FootnoteReference"/>
        </w:rPr>
        <w:footnoteReference w:id="112"/>
      </w:r>
      <w:r>
        <w:t xml:space="preserve">  or</w:t>
      </w:r>
    </w:p>
    <w:p w14:paraId="10125EFF" w14:textId="77777777" w:rsidR="005D51F3" w:rsidRDefault="005D51F3" w:rsidP="005D51F3">
      <w:pPr>
        <w:pStyle w:val="ListBullet2"/>
      </w:pPr>
      <w:proofErr w:type="gramStart"/>
      <w:r>
        <w:t>the</w:t>
      </w:r>
      <w:proofErr w:type="gramEnd"/>
      <w:r>
        <w:t xml:space="preserve"> counterparty that suffers loss or damage as a result of the default may institute court proceedings to recover the amount of the loss or damage. </w:t>
      </w:r>
    </w:p>
    <w:p w14:paraId="2BD317AF" w14:textId="77777777" w:rsidR="005D51F3" w:rsidRDefault="005D51F3" w:rsidP="00656FC1">
      <w:pPr>
        <w:pStyle w:val="ListBullet"/>
      </w:pPr>
      <w:r>
        <w:t>If the trading participant does default on their financial or delivery obligations,</w:t>
      </w:r>
      <w:r>
        <w:rPr>
          <w:rStyle w:val="FootnoteReference"/>
        </w:rPr>
        <w:footnoteReference w:id="113"/>
      </w:r>
      <w:r>
        <w:t xml:space="preserve"> AEMO may suspend or terminate the participant’s membership and use the Close Out and Offset Procedures (see </w:t>
      </w:r>
      <w:r>
        <w:fldChar w:fldCharType="begin"/>
      </w:r>
      <w:r>
        <w:instrText xml:space="preserve"> REF _Ref492137828 \h </w:instrText>
      </w:r>
      <w:r>
        <w:fldChar w:fldCharType="separate"/>
      </w:r>
      <w:r w:rsidR="00761861">
        <w:t>Box E.</w:t>
      </w:r>
      <w:r w:rsidR="00761861">
        <w:rPr>
          <w:noProof/>
        </w:rPr>
        <w:t>1</w:t>
      </w:r>
      <w:r>
        <w:fldChar w:fldCharType="end"/>
      </w:r>
      <w:r>
        <w:t xml:space="preserve">) to cancel any transactions that are on foot. If this occurs, the counterparty to the trade will be compensated 25% of the face value of the transaction, which is paid using the collateral collected from the trading participant. </w:t>
      </w:r>
    </w:p>
    <w:tbl>
      <w:tblPr>
        <w:tblStyle w:val="PullOutBoxTable"/>
        <w:tblW w:w="5000" w:type="pct"/>
        <w:tblCellMar>
          <w:top w:w="113" w:type="dxa"/>
          <w:bottom w:w="113" w:type="dxa"/>
        </w:tblCellMar>
        <w:tblLook w:val="0600" w:firstRow="0" w:lastRow="0" w:firstColumn="0" w:lastColumn="0" w:noHBand="1" w:noVBand="1"/>
        <w:tblCaption w:val="Box E.1"/>
        <w:tblDescription w:val="Close Out and Offset Procedure"/>
      </w:tblPr>
      <w:tblGrid>
        <w:gridCol w:w="8789"/>
      </w:tblGrid>
      <w:tr w:rsidR="00AA4404" w:rsidRPr="00AB6514" w14:paraId="11040A29" w14:textId="77777777" w:rsidTr="00656FC1">
        <w:trPr>
          <w:tblHeader/>
        </w:trPr>
        <w:tc>
          <w:tcPr>
            <w:tcW w:w="5000" w:type="pct"/>
          </w:tcPr>
          <w:p w14:paraId="6958DC30" w14:textId="49656C63" w:rsidR="00AA4404" w:rsidRPr="00656FC1" w:rsidRDefault="00656FC1" w:rsidP="00656FC1">
            <w:pPr>
              <w:pStyle w:val="TableBodyText"/>
              <w:spacing w:before="0" w:after="0"/>
              <w:rPr>
                <w:b/>
                <w:sz w:val="20"/>
                <w:szCs w:val="20"/>
              </w:rPr>
            </w:pPr>
            <w:bookmarkStart w:id="219" w:name="_Ref492137828"/>
            <w:r w:rsidRPr="00656FC1">
              <w:rPr>
                <w:b/>
                <w:sz w:val="22"/>
              </w:rPr>
              <w:lastRenderedPageBreak/>
              <w:t>Box E.</w:t>
            </w:r>
            <w:r w:rsidRPr="00656FC1">
              <w:rPr>
                <w:b/>
                <w:sz w:val="22"/>
              </w:rPr>
              <w:fldChar w:fldCharType="begin"/>
            </w:r>
            <w:r w:rsidRPr="00656FC1">
              <w:rPr>
                <w:b/>
                <w:sz w:val="22"/>
              </w:rPr>
              <w:instrText xml:space="preserve"> SEQ Box \* ARABIC \s 1 </w:instrText>
            </w:r>
            <w:r w:rsidRPr="00656FC1">
              <w:rPr>
                <w:b/>
                <w:sz w:val="22"/>
              </w:rPr>
              <w:fldChar w:fldCharType="separate"/>
            </w:r>
            <w:r w:rsidRPr="00656FC1">
              <w:rPr>
                <w:b/>
                <w:noProof/>
                <w:sz w:val="22"/>
              </w:rPr>
              <w:t>1</w:t>
            </w:r>
            <w:r w:rsidRPr="00656FC1">
              <w:rPr>
                <w:b/>
                <w:noProof/>
                <w:sz w:val="22"/>
              </w:rPr>
              <w:fldChar w:fldCharType="end"/>
            </w:r>
            <w:bookmarkEnd w:id="219"/>
            <w:r w:rsidRPr="00656FC1">
              <w:rPr>
                <w:b/>
                <w:sz w:val="22"/>
              </w:rPr>
              <w:t>: Close Out and Offset Procedure</w:t>
            </w:r>
          </w:p>
        </w:tc>
      </w:tr>
      <w:tr w:rsidR="008528D0" w:rsidRPr="00AB6514" w14:paraId="581D2876" w14:textId="77777777" w:rsidTr="00656FC1">
        <w:trPr>
          <w:tblHeader/>
        </w:trPr>
        <w:tc>
          <w:tcPr>
            <w:tcW w:w="5000" w:type="pct"/>
          </w:tcPr>
          <w:p w14:paraId="131CCC1E" w14:textId="77777777" w:rsidR="008528D0" w:rsidRDefault="008528D0" w:rsidP="008528D0">
            <w:pPr>
              <w:keepNext/>
              <w:autoSpaceDE w:val="0"/>
              <w:autoSpaceDN w:val="0"/>
              <w:adjustRightInd w:val="0"/>
              <w:spacing w:after="120"/>
              <w:rPr>
                <w:rFonts w:cs="Arial"/>
                <w:color w:val="000000"/>
                <w:sz w:val="20"/>
                <w:szCs w:val="20"/>
              </w:rPr>
            </w:pPr>
            <w:r w:rsidRPr="00AB6514">
              <w:rPr>
                <w:rFonts w:cs="Arial"/>
                <w:color w:val="000000"/>
                <w:sz w:val="20"/>
                <w:szCs w:val="20"/>
              </w:rPr>
              <w:t xml:space="preserve">The Close Out and Offset Procedure, within the Exchange Agreement, set out the instructions for the termination of transactions covering future Gas Days. </w:t>
            </w:r>
            <w:r>
              <w:rPr>
                <w:rFonts w:cs="Arial"/>
                <w:color w:val="000000"/>
                <w:sz w:val="20"/>
                <w:szCs w:val="20"/>
              </w:rPr>
              <w:t xml:space="preserve">The objectives of this procedure are to: </w:t>
            </w:r>
          </w:p>
          <w:p w14:paraId="52CF466E" w14:textId="77777777" w:rsidR="008528D0" w:rsidRPr="003C0C05" w:rsidRDefault="008528D0" w:rsidP="008528D0">
            <w:pPr>
              <w:pStyle w:val="TableBullet1"/>
              <w:rPr>
                <w:sz w:val="20"/>
                <w:szCs w:val="20"/>
              </w:rPr>
            </w:pPr>
            <w:r>
              <w:rPr>
                <w:sz w:val="20"/>
                <w:szCs w:val="20"/>
              </w:rPr>
              <w:t>c</w:t>
            </w:r>
            <w:r w:rsidRPr="003C0C05">
              <w:rPr>
                <w:sz w:val="20"/>
                <w:szCs w:val="20"/>
              </w:rPr>
              <w:t>rystallise the loss so that creditors can take action to recover amounts owed by a defaulting party;</w:t>
            </w:r>
          </w:p>
          <w:p w14:paraId="74CDD841" w14:textId="77777777" w:rsidR="008528D0" w:rsidRPr="003C0C05" w:rsidRDefault="008528D0" w:rsidP="008528D0">
            <w:pPr>
              <w:pStyle w:val="TableBullet1"/>
              <w:rPr>
                <w:sz w:val="20"/>
                <w:szCs w:val="20"/>
              </w:rPr>
            </w:pPr>
            <w:r>
              <w:rPr>
                <w:sz w:val="20"/>
                <w:szCs w:val="20"/>
              </w:rPr>
              <w:t>p</w:t>
            </w:r>
            <w:r w:rsidRPr="003C0C05">
              <w:rPr>
                <w:sz w:val="20"/>
                <w:szCs w:val="20"/>
              </w:rPr>
              <w:t>rovide for an orderly termination process that minimises the impact on the operation of the gas market; and</w:t>
            </w:r>
          </w:p>
          <w:p w14:paraId="17EE1DD7" w14:textId="77777777" w:rsidR="008528D0" w:rsidRPr="003C0C05" w:rsidRDefault="008528D0" w:rsidP="008528D0">
            <w:pPr>
              <w:pStyle w:val="TableBullet1"/>
              <w:rPr>
                <w:sz w:val="20"/>
                <w:szCs w:val="20"/>
              </w:rPr>
            </w:pPr>
            <w:proofErr w:type="gramStart"/>
            <w:r>
              <w:rPr>
                <w:sz w:val="20"/>
                <w:szCs w:val="20"/>
              </w:rPr>
              <w:t>a</w:t>
            </w:r>
            <w:r w:rsidRPr="003C0C05">
              <w:rPr>
                <w:sz w:val="20"/>
                <w:szCs w:val="20"/>
              </w:rPr>
              <w:t>llow</w:t>
            </w:r>
            <w:proofErr w:type="gramEnd"/>
            <w:r w:rsidRPr="003C0C05">
              <w:rPr>
                <w:sz w:val="20"/>
                <w:szCs w:val="20"/>
              </w:rPr>
              <w:t xml:space="preserve"> exposure to be measured and collateralised with a clear designation of roles and responsibilities.  </w:t>
            </w:r>
          </w:p>
          <w:p w14:paraId="24FB8E0F" w14:textId="77777777" w:rsidR="008528D0" w:rsidRPr="00AB6514" w:rsidRDefault="008528D0" w:rsidP="008528D0">
            <w:pPr>
              <w:keepNext/>
              <w:autoSpaceDE w:val="0"/>
              <w:autoSpaceDN w:val="0"/>
              <w:adjustRightInd w:val="0"/>
              <w:spacing w:before="120" w:after="120"/>
              <w:rPr>
                <w:rFonts w:cs="Arial"/>
                <w:color w:val="000000"/>
                <w:sz w:val="20"/>
                <w:szCs w:val="20"/>
              </w:rPr>
            </w:pPr>
            <w:r>
              <w:rPr>
                <w:rFonts w:cs="Arial"/>
                <w:color w:val="000000"/>
                <w:sz w:val="20"/>
                <w:szCs w:val="20"/>
              </w:rPr>
              <w:t>Under t</w:t>
            </w:r>
            <w:r w:rsidRPr="00AB6514">
              <w:rPr>
                <w:rFonts w:cs="Arial"/>
                <w:color w:val="000000"/>
                <w:sz w:val="20"/>
                <w:szCs w:val="20"/>
              </w:rPr>
              <w:t>he procedure</w:t>
            </w:r>
            <w:r>
              <w:rPr>
                <w:rFonts w:cs="Arial"/>
                <w:color w:val="000000"/>
                <w:sz w:val="20"/>
                <w:szCs w:val="20"/>
              </w:rPr>
              <w:t>s,</w:t>
            </w:r>
            <w:r w:rsidRPr="00AB6514">
              <w:rPr>
                <w:rFonts w:cs="Arial"/>
                <w:color w:val="000000"/>
                <w:sz w:val="20"/>
                <w:szCs w:val="20"/>
              </w:rPr>
              <w:t xml:space="preserve"> the defaulting participant’s position </w:t>
            </w:r>
            <w:r>
              <w:rPr>
                <w:rFonts w:cs="Arial"/>
                <w:color w:val="000000"/>
                <w:sz w:val="20"/>
                <w:szCs w:val="20"/>
              </w:rPr>
              <w:t xml:space="preserve">is separated </w:t>
            </w:r>
            <w:r w:rsidRPr="00AB6514">
              <w:rPr>
                <w:rFonts w:cs="Arial"/>
                <w:color w:val="000000"/>
                <w:sz w:val="20"/>
                <w:szCs w:val="20"/>
              </w:rPr>
              <w:t xml:space="preserve">into a net quantity and an offsetting quantity. Transactions associated with the net position (buy or sell) are terminated leaving the defaulting participant without any future gas delivery obligations (zero net position). The defaulting participant is removed from transactions associated with the offset position so that the non-defaulting parties can be paired together to minimise the disruption to market. </w:t>
            </w:r>
            <w:r>
              <w:rPr>
                <w:rFonts w:cs="Arial"/>
                <w:color w:val="000000"/>
                <w:sz w:val="20"/>
                <w:szCs w:val="20"/>
              </w:rPr>
              <w:t xml:space="preserve">The </w:t>
            </w:r>
            <w:r>
              <w:rPr>
                <w:sz w:val="20"/>
                <w:szCs w:val="20"/>
              </w:rPr>
              <w:t>n</w:t>
            </w:r>
            <w:r w:rsidRPr="00AB6514">
              <w:rPr>
                <w:sz w:val="20"/>
                <w:szCs w:val="20"/>
              </w:rPr>
              <w:t xml:space="preserve">etting </w:t>
            </w:r>
            <w:r>
              <w:rPr>
                <w:sz w:val="20"/>
                <w:szCs w:val="20"/>
              </w:rPr>
              <w:t xml:space="preserve">process </w:t>
            </w:r>
            <w:r w:rsidRPr="00AB6514">
              <w:rPr>
                <w:sz w:val="20"/>
                <w:szCs w:val="20"/>
              </w:rPr>
              <w:t xml:space="preserve">means the impact of default may need to be shared across all related parties to the defaulting party. This is </w:t>
            </w:r>
            <w:r>
              <w:rPr>
                <w:sz w:val="20"/>
                <w:szCs w:val="20"/>
              </w:rPr>
              <w:t xml:space="preserve">currently </w:t>
            </w:r>
            <w:r w:rsidRPr="00AB6514">
              <w:rPr>
                <w:sz w:val="20"/>
                <w:szCs w:val="20"/>
              </w:rPr>
              <w:t>done on a pro rat</w:t>
            </w:r>
            <w:r>
              <w:rPr>
                <w:sz w:val="20"/>
                <w:szCs w:val="20"/>
              </w:rPr>
              <w:t>a</w:t>
            </w:r>
            <w:r w:rsidRPr="00AB6514">
              <w:rPr>
                <w:sz w:val="20"/>
                <w:szCs w:val="20"/>
              </w:rPr>
              <w:t xml:space="preserve"> basis. </w:t>
            </w:r>
          </w:p>
          <w:p w14:paraId="61859DD4" w14:textId="77777777" w:rsidR="008528D0" w:rsidRPr="00AB6514" w:rsidRDefault="008528D0" w:rsidP="008528D0">
            <w:pPr>
              <w:rPr>
                <w:sz w:val="20"/>
                <w:szCs w:val="20"/>
              </w:rPr>
            </w:pPr>
            <w:r w:rsidRPr="00AB6514">
              <w:rPr>
                <w:sz w:val="20"/>
                <w:szCs w:val="20"/>
              </w:rPr>
              <w:t>The way in which a transaction will be closed out will depend on the nature of the transactions:</w:t>
            </w:r>
          </w:p>
          <w:p w14:paraId="5E04B9B0" w14:textId="77777777" w:rsidR="008528D0" w:rsidRPr="00AB6514" w:rsidRDefault="008528D0" w:rsidP="008528D0">
            <w:pPr>
              <w:pStyle w:val="ListBullet"/>
              <w:rPr>
                <w:sz w:val="20"/>
                <w:szCs w:val="20"/>
              </w:rPr>
            </w:pPr>
            <w:r w:rsidRPr="00AB6514">
              <w:rPr>
                <w:b/>
                <w:sz w:val="20"/>
                <w:szCs w:val="20"/>
              </w:rPr>
              <w:t>Net zero:</w:t>
            </w:r>
            <w:r w:rsidRPr="00AB6514">
              <w:rPr>
                <w:sz w:val="20"/>
                <w:szCs w:val="20"/>
              </w:rPr>
              <w:t xml:space="preserve"> If a participant has a net position of 0 (i.e. bought 10 TJ and sold 10 TJ) the defaulting party is removed from the transaction and the counterparties to the defaulting party are matched together. </w:t>
            </w:r>
          </w:p>
          <w:p w14:paraId="76546F73" w14:textId="77777777" w:rsidR="008528D0" w:rsidRPr="00AB6514" w:rsidRDefault="008528D0" w:rsidP="008528D0">
            <w:pPr>
              <w:pStyle w:val="ListBullet"/>
              <w:rPr>
                <w:sz w:val="20"/>
                <w:szCs w:val="20"/>
              </w:rPr>
            </w:pPr>
            <w:r w:rsidRPr="00AB6514">
              <w:rPr>
                <w:b/>
                <w:sz w:val="20"/>
                <w:szCs w:val="20"/>
              </w:rPr>
              <w:t>Net short:</w:t>
            </w:r>
            <w:r w:rsidRPr="00AB6514">
              <w:rPr>
                <w:sz w:val="20"/>
                <w:szCs w:val="20"/>
              </w:rPr>
              <w:t xml:space="preserve"> If a participant has a net short position (i.e. bought 5 TJ and sold 10 TJ) then 5 TJ of transactions will be offset. The net short position of 5 TJ will be cancelled and compensation paid to the buyer(s) involved in the transaction(s).</w:t>
            </w:r>
          </w:p>
          <w:p w14:paraId="204478CE" w14:textId="77777777" w:rsidR="008528D0" w:rsidRPr="00AB6514" w:rsidRDefault="008528D0" w:rsidP="008528D0">
            <w:pPr>
              <w:pStyle w:val="ListBullet"/>
              <w:rPr>
                <w:sz w:val="20"/>
                <w:szCs w:val="20"/>
              </w:rPr>
            </w:pPr>
            <w:r w:rsidRPr="00AB6514">
              <w:rPr>
                <w:b/>
                <w:sz w:val="20"/>
                <w:szCs w:val="20"/>
              </w:rPr>
              <w:t>Net long</w:t>
            </w:r>
            <w:r w:rsidRPr="00AB6514">
              <w:rPr>
                <w:sz w:val="20"/>
                <w:szCs w:val="20"/>
              </w:rPr>
              <w:t>: If a participant has a net long position (i.e. bought 10TJ and sold 5 TJ) then 5 TJ of transactions will be offset. The net long position will be cancelled and compensation paid to the seller(s) involved in the transaction(s).</w:t>
            </w:r>
          </w:p>
          <w:p w14:paraId="7DDB2B35" w14:textId="77777777" w:rsidR="008528D0" w:rsidRPr="00AB6514" w:rsidRDefault="008528D0" w:rsidP="008528D0">
            <w:pPr>
              <w:pStyle w:val="TableBodyText"/>
              <w:spacing w:before="120" w:after="120"/>
              <w:rPr>
                <w:sz w:val="20"/>
                <w:szCs w:val="20"/>
              </w:rPr>
            </w:pPr>
            <w:r w:rsidRPr="00AB6514">
              <w:rPr>
                <w:sz w:val="20"/>
                <w:szCs w:val="20"/>
              </w:rPr>
              <w:t xml:space="preserve">If the defaulting party has made a loss on the transactions (i.e. bought for $8 and sold for $7) then AEMO collateralises the loss ($1) when the trade takes place so in the event of close out the seller is kept whole. If they have made a gain, then this money goes to paying any compensation owed to the impacted parties. </w:t>
            </w:r>
          </w:p>
          <w:p w14:paraId="5C158F2E" w14:textId="77777777" w:rsidR="008528D0" w:rsidRPr="00AB6514" w:rsidRDefault="008528D0" w:rsidP="008528D0">
            <w:pPr>
              <w:pStyle w:val="TableBodyText"/>
              <w:spacing w:before="120" w:after="120"/>
              <w:rPr>
                <w:color w:val="000000"/>
                <w:sz w:val="20"/>
                <w:szCs w:val="20"/>
              </w:rPr>
            </w:pPr>
            <w:r w:rsidRPr="00AB6514">
              <w:rPr>
                <w:color w:val="000000"/>
                <w:sz w:val="20"/>
                <w:szCs w:val="20"/>
              </w:rPr>
              <w:t xml:space="preserve">The close-out settlement amount is compensation payable by the defaulting participant to any of their counterparts (via AEMO) affected by the close-out of forward transactions, which is paid from the defaulting party’s collateral. Offset settlement amounts are determined for the defaulting participant, in aggregate they represent the gain or loss on any offsetting buy and sell transactions. </w:t>
            </w:r>
          </w:p>
          <w:p w14:paraId="6D079CF4" w14:textId="4222CC86" w:rsidR="008528D0" w:rsidRPr="00656FC1" w:rsidRDefault="008528D0" w:rsidP="008528D0">
            <w:pPr>
              <w:pStyle w:val="TableBodyText"/>
              <w:spacing w:before="0" w:after="0"/>
              <w:rPr>
                <w:b/>
                <w:sz w:val="22"/>
              </w:rPr>
            </w:pPr>
            <w:r>
              <w:rPr>
                <w:sz w:val="20"/>
                <w:szCs w:val="20"/>
              </w:rPr>
              <w:t xml:space="preserve">Note that </w:t>
            </w:r>
            <w:r w:rsidRPr="00AB6514">
              <w:rPr>
                <w:sz w:val="20"/>
                <w:szCs w:val="20"/>
              </w:rPr>
              <w:t xml:space="preserve">compensation </w:t>
            </w:r>
            <w:r>
              <w:rPr>
                <w:sz w:val="20"/>
                <w:szCs w:val="20"/>
              </w:rPr>
              <w:t xml:space="preserve">in the GSH </w:t>
            </w:r>
            <w:r w:rsidRPr="00AB6514">
              <w:rPr>
                <w:sz w:val="20"/>
                <w:szCs w:val="20"/>
              </w:rPr>
              <w:t xml:space="preserve">is </w:t>
            </w:r>
            <w:r>
              <w:rPr>
                <w:sz w:val="20"/>
                <w:szCs w:val="20"/>
              </w:rPr>
              <w:t xml:space="preserve">currently </w:t>
            </w:r>
            <w:r w:rsidRPr="00AB6514">
              <w:rPr>
                <w:sz w:val="20"/>
                <w:szCs w:val="20"/>
              </w:rPr>
              <w:t xml:space="preserve">set at 25% of the face value of the transactions. </w:t>
            </w:r>
            <w:r>
              <w:rPr>
                <w:sz w:val="20"/>
                <w:szCs w:val="20"/>
              </w:rPr>
              <w:t>T</w:t>
            </w:r>
            <w:r w:rsidRPr="00AB6514">
              <w:rPr>
                <w:sz w:val="20"/>
                <w:szCs w:val="20"/>
              </w:rPr>
              <w:t xml:space="preserve">he collateral requirement for buyers and sellers is </w:t>
            </w:r>
            <w:r>
              <w:rPr>
                <w:sz w:val="20"/>
                <w:szCs w:val="20"/>
              </w:rPr>
              <w:t xml:space="preserve">therefore </w:t>
            </w:r>
            <w:r w:rsidRPr="00AB6514">
              <w:rPr>
                <w:sz w:val="20"/>
                <w:szCs w:val="20"/>
              </w:rPr>
              <w:t>also set at 25%. The trade-off of higher compensation/penalty is higher collateral, which increases the cost of participating in the market.</w:t>
            </w:r>
          </w:p>
        </w:tc>
      </w:tr>
    </w:tbl>
    <w:p w14:paraId="63068FDF" w14:textId="77777777" w:rsidR="00AA4404" w:rsidRDefault="00AA4404" w:rsidP="00AA4404">
      <w:pPr>
        <w:pStyle w:val="BodyText"/>
        <w:spacing w:before="0"/>
        <w:rPr>
          <w:sz w:val="18"/>
          <w:szCs w:val="18"/>
        </w:rPr>
      </w:pPr>
      <w:r w:rsidRPr="00854182">
        <w:rPr>
          <w:sz w:val="18"/>
          <w:szCs w:val="18"/>
        </w:rPr>
        <w:t>Source: AEMO, Gas Supply Hub Industry Guide, October 2016, p. 84.</w:t>
      </w:r>
    </w:p>
    <w:p w14:paraId="0DCA5B12" w14:textId="77777777" w:rsidR="001710D5" w:rsidRDefault="001710D5" w:rsidP="001710D5">
      <w:pPr>
        <w:pStyle w:val="AppendixHeading2"/>
      </w:pPr>
      <w:r>
        <w:t>Capacity listing service</w:t>
      </w:r>
    </w:p>
    <w:p w14:paraId="27147B16" w14:textId="77777777" w:rsidR="001710D5" w:rsidRDefault="001710D5" w:rsidP="001710D5">
      <w:pPr>
        <w:pStyle w:val="BodyText"/>
        <w:spacing w:before="0"/>
      </w:pPr>
      <w:r>
        <w:t xml:space="preserve">The capacity listing service is also operated using </w:t>
      </w:r>
      <w:proofErr w:type="spellStart"/>
      <w:r>
        <w:t>Trayport’s</w:t>
      </w:r>
      <w:proofErr w:type="spellEnd"/>
      <w:r>
        <w:t xml:space="preserve"> ETS. The listing service enables participants to advertise an interest to buy or sell transportation, compression and storage services through a bilateral trade. When listing these services, participants must provide information on the service and capacity being offered or sought, the term of the trade, the receipt and delivery points between which the service can be provided and the listing party’s name and contact details. This information is then published on the GSH and the BB (see </w:t>
      </w:r>
      <w:r>
        <w:fldChar w:fldCharType="begin"/>
      </w:r>
      <w:r>
        <w:instrText xml:space="preserve"> REF _Ref492096923 \h </w:instrText>
      </w:r>
      <w:r>
        <w:fldChar w:fldCharType="separate"/>
      </w:r>
      <w:r w:rsidR="00761861">
        <w:t>Figure E.</w:t>
      </w:r>
      <w:r w:rsidR="00761861">
        <w:rPr>
          <w:noProof/>
        </w:rPr>
        <w:t>2</w:t>
      </w:r>
      <w:r>
        <w:fldChar w:fldCharType="end"/>
      </w:r>
      <w:r>
        <w:t xml:space="preserve">). If another party decides that it wants to enter into a trade </w:t>
      </w:r>
      <w:r>
        <w:lastRenderedPageBreak/>
        <w:t>with the listing party, then it can contact the listing party directly and negotiate the terms of that trade bilaterally.</w:t>
      </w:r>
      <w:r>
        <w:rPr>
          <w:rStyle w:val="FootnoteReference"/>
        </w:rPr>
        <w:footnoteReference w:id="114"/>
      </w:r>
    </w:p>
    <w:p w14:paraId="57C2C1A6" w14:textId="77777777" w:rsidR="001710D5" w:rsidRDefault="001710D5" w:rsidP="001710D5">
      <w:pPr>
        <w:pStyle w:val="Caption"/>
        <w:keepLines w:val="0"/>
        <w:spacing w:after="0"/>
        <w:rPr>
          <w:rStyle w:val="Bold"/>
          <w:b/>
        </w:rPr>
      </w:pPr>
      <w:bookmarkStart w:id="220" w:name="_Ref492096923"/>
      <w:r>
        <w:t xml:space="preserve">Figure </w:t>
      </w:r>
      <w:r w:rsidR="00EA2835">
        <w:t>E</w:t>
      </w:r>
      <w:r>
        <w:t>.</w:t>
      </w:r>
      <w:r w:rsidR="00983431">
        <w:fldChar w:fldCharType="begin"/>
      </w:r>
      <w:r w:rsidR="00983431">
        <w:instrText xml:space="preserve"> SEQ Figure \* ARABIC \s 1 </w:instrText>
      </w:r>
      <w:r w:rsidR="00983431">
        <w:fldChar w:fldCharType="separate"/>
      </w:r>
      <w:r w:rsidR="00761861">
        <w:rPr>
          <w:noProof/>
        </w:rPr>
        <w:t>2</w:t>
      </w:r>
      <w:r w:rsidR="00983431">
        <w:rPr>
          <w:noProof/>
        </w:rPr>
        <w:fldChar w:fldCharType="end"/>
      </w:r>
      <w:bookmarkEnd w:id="220"/>
      <w:r>
        <w:t>:</w:t>
      </w:r>
      <w:r w:rsidRPr="008B1B73">
        <w:rPr>
          <w:rStyle w:val="Bold"/>
          <w:b/>
        </w:rPr>
        <w:t xml:space="preserve"> </w:t>
      </w:r>
      <w:r>
        <w:rPr>
          <w:rStyle w:val="Bold"/>
          <w:b/>
        </w:rPr>
        <w:t>GSH listing service screenshot</w:t>
      </w:r>
    </w:p>
    <w:p w14:paraId="658BE228" w14:textId="77777777" w:rsidR="001710D5" w:rsidRDefault="001710D5" w:rsidP="001710D5">
      <w:pPr>
        <w:pStyle w:val="BodyText"/>
        <w:spacing w:before="0" w:after="0"/>
      </w:pPr>
      <w:r>
        <w:rPr>
          <w:noProof/>
        </w:rPr>
        <w:drawing>
          <wp:inline distT="0" distB="0" distL="0" distR="0" wp14:anchorId="1DBED85B" wp14:editId="3D7ED308">
            <wp:extent cx="5530850" cy="2368550"/>
            <wp:effectExtent l="0" t="0" r="0" b="0"/>
            <wp:docPr id="19" name="Picture 19" descr="GSH listing service screenshot" title="Figure 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Listing.PNG"/>
                    <pic:cNvPicPr/>
                  </pic:nvPicPr>
                  <pic:blipFill rotWithShape="1">
                    <a:blip r:embed="rId84">
                      <a:extLst>
                        <a:ext uri="{28A0092B-C50C-407E-A947-70E740481C1C}">
                          <a14:useLocalDpi xmlns:a14="http://schemas.microsoft.com/office/drawing/2010/main" val="0"/>
                        </a:ext>
                      </a:extLst>
                    </a:blip>
                    <a:srcRect t="3073" r="1674" b="1434"/>
                    <a:stretch/>
                  </pic:blipFill>
                  <pic:spPr bwMode="auto">
                    <a:xfrm>
                      <a:off x="0" y="0"/>
                      <a:ext cx="5538452" cy="2371806"/>
                    </a:xfrm>
                    <a:prstGeom prst="rect">
                      <a:avLst/>
                    </a:prstGeom>
                    <a:ln>
                      <a:noFill/>
                    </a:ln>
                    <a:extLst>
                      <a:ext uri="{53640926-AAD7-44D8-BBD7-CCE9431645EC}">
                        <a14:shadowObscured xmlns:a14="http://schemas.microsoft.com/office/drawing/2010/main"/>
                      </a:ext>
                    </a:extLst>
                  </pic:spPr>
                </pic:pic>
              </a:graphicData>
            </a:graphic>
          </wp:inline>
        </w:drawing>
      </w:r>
    </w:p>
    <w:p w14:paraId="4270051A" w14:textId="77777777" w:rsidR="001710D5" w:rsidRPr="00B73860" w:rsidRDefault="001710D5" w:rsidP="001710D5">
      <w:pPr>
        <w:pStyle w:val="BodyText"/>
        <w:spacing w:before="0" w:after="0"/>
        <w:rPr>
          <w:sz w:val="16"/>
          <w:szCs w:val="16"/>
        </w:rPr>
      </w:pPr>
      <w:r w:rsidRPr="00B73860">
        <w:rPr>
          <w:sz w:val="16"/>
          <w:szCs w:val="16"/>
        </w:rPr>
        <w:t>Source: AEMO, Gas Supply Hub Industry Guide, October 2016, p. 45.</w:t>
      </w:r>
    </w:p>
    <w:p w14:paraId="5E8097DA" w14:textId="77777777" w:rsidR="001710D5" w:rsidRDefault="001710D5" w:rsidP="001710D5">
      <w:pPr>
        <w:pStyle w:val="AppendixHeading2"/>
      </w:pPr>
      <w:bookmarkStart w:id="221" w:name="_Toc489442932"/>
      <w:bookmarkStart w:id="222" w:name="_Toc489443032"/>
      <w:bookmarkStart w:id="223" w:name="_Toc489443133"/>
      <w:bookmarkStart w:id="224" w:name="_Toc489443227"/>
      <w:bookmarkStart w:id="225" w:name="_Toc489443321"/>
      <w:bookmarkStart w:id="226" w:name="_Toc489464840"/>
      <w:bookmarkEnd w:id="221"/>
      <w:bookmarkEnd w:id="222"/>
      <w:bookmarkEnd w:id="223"/>
      <w:bookmarkEnd w:id="224"/>
      <w:bookmarkEnd w:id="225"/>
      <w:bookmarkEnd w:id="226"/>
      <w:r>
        <w:t>Use of the GSH</w:t>
      </w:r>
    </w:p>
    <w:p w14:paraId="064E6522" w14:textId="77777777" w:rsidR="001710D5" w:rsidRDefault="001710D5" w:rsidP="001710D5">
      <w:pPr>
        <w:pStyle w:val="BodyText"/>
        <w:rPr>
          <w:rFonts w:cs="Arial"/>
        </w:rPr>
      </w:pPr>
      <w:r>
        <w:t xml:space="preserve">To utilise the GSH, market participants must be </w:t>
      </w:r>
      <w:r w:rsidRPr="008B1B73">
        <w:t xml:space="preserve">registered </w:t>
      </w:r>
      <w:r>
        <w:t xml:space="preserve">as </w:t>
      </w:r>
      <w:r w:rsidRPr="008B1B73">
        <w:t xml:space="preserve">GSH </w:t>
      </w:r>
      <w:r>
        <w:t>members</w:t>
      </w:r>
      <w:r w:rsidRPr="008B1B73">
        <w:t xml:space="preserve"> and agree to be bound by the Exchange Agreement</w:t>
      </w:r>
      <w:r>
        <w:t xml:space="preserve">, which </w:t>
      </w:r>
      <w:r w:rsidRPr="008B1B73">
        <w:rPr>
          <w:rFonts w:cs="Arial"/>
        </w:rPr>
        <w:t xml:space="preserve">sets out the terms of participation in the </w:t>
      </w:r>
      <w:r>
        <w:rPr>
          <w:rFonts w:cs="Arial"/>
        </w:rPr>
        <w:t xml:space="preserve">GSH </w:t>
      </w:r>
      <w:r w:rsidRPr="008B1B73">
        <w:rPr>
          <w:rFonts w:cs="Arial"/>
        </w:rPr>
        <w:t xml:space="preserve">and the terms governing transactions entered into through the exchange. </w:t>
      </w:r>
      <w:r>
        <w:rPr>
          <w:rFonts w:cs="Arial"/>
        </w:rPr>
        <w:t xml:space="preserve">They must also pay a fixed participation fee and depending on the membership class, a variable transaction fee. </w:t>
      </w:r>
    </w:p>
    <w:p w14:paraId="088A8227" w14:textId="77777777" w:rsidR="001710D5" w:rsidRPr="008B1B73" w:rsidRDefault="001710D5" w:rsidP="001710D5">
      <w:pPr>
        <w:pStyle w:val="BodyText"/>
      </w:pPr>
      <w:r>
        <w:t>There are t</w:t>
      </w:r>
      <w:r w:rsidRPr="008B1B73">
        <w:t xml:space="preserve">hree classes of GSH </w:t>
      </w:r>
      <w:r>
        <w:t>members</w:t>
      </w:r>
      <w:r w:rsidRPr="008B1B73">
        <w:t>:</w:t>
      </w:r>
    </w:p>
    <w:p w14:paraId="44AFB981" w14:textId="77777777" w:rsidR="001710D5" w:rsidRDefault="001710D5" w:rsidP="001710D5">
      <w:pPr>
        <w:pStyle w:val="ListBullet"/>
        <w:numPr>
          <w:ilvl w:val="0"/>
          <w:numId w:val="15"/>
        </w:numPr>
      </w:pPr>
      <w:r w:rsidRPr="008B1B73">
        <w:rPr>
          <w:rStyle w:val="Bold"/>
        </w:rPr>
        <w:t>Trading Participant</w:t>
      </w:r>
      <w:r>
        <w:rPr>
          <w:rStyle w:val="Bold"/>
        </w:rPr>
        <w:t>s</w:t>
      </w:r>
      <w:r w:rsidRPr="008B1B73">
        <w:t xml:space="preserve"> </w:t>
      </w:r>
      <w:r>
        <w:t>are m</w:t>
      </w:r>
      <w:r w:rsidRPr="008B1B73">
        <w:t>ember</w:t>
      </w:r>
      <w:r>
        <w:t>s</w:t>
      </w:r>
      <w:r w:rsidRPr="008B1B73">
        <w:t xml:space="preserve"> </w:t>
      </w:r>
      <w:r>
        <w:t xml:space="preserve">that have </w:t>
      </w:r>
      <w:r w:rsidRPr="008B1B73">
        <w:t xml:space="preserve">access to the </w:t>
      </w:r>
      <w:r>
        <w:t>t</w:t>
      </w:r>
      <w:r w:rsidRPr="008B1B73">
        <w:t xml:space="preserve">rading </w:t>
      </w:r>
      <w:r>
        <w:t>s</w:t>
      </w:r>
      <w:r w:rsidRPr="008B1B73">
        <w:t xml:space="preserve">ystem to the extent required </w:t>
      </w:r>
      <w:r>
        <w:t xml:space="preserve">to participate </w:t>
      </w:r>
      <w:r w:rsidRPr="008B1B73">
        <w:t>in exchange trading.</w:t>
      </w:r>
      <w:r w:rsidR="002D0314">
        <w:t xml:space="preserve"> Trading p</w:t>
      </w:r>
      <w:r>
        <w:t>articipants are currently required to pay a fixed annual fee of $14,500 for a single licence and variable transaction fees of $0.01-$0.03/GJ depending on the tenor of the product purchased. AEMO is, however, considering whether to reduce the fixed fee to $12,000 p.a. and to offer a rebate if, within a billing period, variable transaction fees are $7,000 or more.</w:t>
      </w:r>
      <w:r w:rsidRPr="00F626E0">
        <w:rPr>
          <w:rStyle w:val="FootnoteReference"/>
        </w:rPr>
        <w:t xml:space="preserve"> </w:t>
      </w:r>
      <w:r>
        <w:rPr>
          <w:rStyle w:val="FootnoteReference"/>
        </w:rPr>
        <w:footnoteReference w:id="115"/>
      </w:r>
    </w:p>
    <w:p w14:paraId="246C7191" w14:textId="77777777" w:rsidR="001710D5" w:rsidRPr="008B1B73" w:rsidRDefault="001710D5" w:rsidP="001710D5">
      <w:pPr>
        <w:pStyle w:val="ListBullet"/>
        <w:numPr>
          <w:ilvl w:val="0"/>
          <w:numId w:val="15"/>
        </w:numPr>
      </w:pPr>
      <w:r w:rsidRPr="008B1B73">
        <w:rPr>
          <w:rStyle w:val="Bold"/>
        </w:rPr>
        <w:t>Viewing Participant</w:t>
      </w:r>
      <w:r>
        <w:rPr>
          <w:rStyle w:val="Bold"/>
        </w:rPr>
        <w:t>s</w:t>
      </w:r>
      <w:r w:rsidRPr="008B1B73">
        <w:t xml:space="preserve"> </w:t>
      </w:r>
      <w:r>
        <w:t>are m</w:t>
      </w:r>
      <w:r w:rsidRPr="008B1B73">
        <w:t>ember</w:t>
      </w:r>
      <w:r>
        <w:t>s</w:t>
      </w:r>
      <w:r w:rsidRPr="008B1B73">
        <w:t xml:space="preserve"> </w:t>
      </w:r>
      <w:r>
        <w:t xml:space="preserve">that have </w:t>
      </w:r>
      <w:r w:rsidRPr="008B1B73">
        <w:t xml:space="preserve">access to the </w:t>
      </w:r>
      <w:r>
        <w:t>t</w:t>
      </w:r>
      <w:r w:rsidRPr="008B1B73">
        <w:t xml:space="preserve">rading </w:t>
      </w:r>
      <w:r>
        <w:t>s</w:t>
      </w:r>
      <w:r w:rsidRPr="008B1B73">
        <w:t xml:space="preserve">ystem to the extent required </w:t>
      </w:r>
      <w:r>
        <w:t xml:space="preserve">to view </w:t>
      </w:r>
      <w:r w:rsidRPr="008B1B73">
        <w:t>information about product trading.</w:t>
      </w:r>
      <w:r w:rsidRPr="00F626E0">
        <w:t xml:space="preserve"> </w:t>
      </w:r>
      <w:r>
        <w:t>Viewing Participants are currently required to pay a fixed annual fee of $5,500 per licence, but AEMO is currently considering whether to reduce this to an annual fee of $3,600.</w:t>
      </w:r>
      <w:r>
        <w:rPr>
          <w:rStyle w:val="FootnoteReference"/>
        </w:rPr>
        <w:footnoteReference w:id="116"/>
      </w:r>
    </w:p>
    <w:p w14:paraId="6F4D8A22" w14:textId="77777777" w:rsidR="001710D5" w:rsidRPr="008B1B73" w:rsidRDefault="001710D5" w:rsidP="001710D5">
      <w:pPr>
        <w:pStyle w:val="ListBullet"/>
        <w:numPr>
          <w:ilvl w:val="0"/>
          <w:numId w:val="15"/>
        </w:numPr>
      </w:pPr>
      <w:r w:rsidRPr="008B1B73">
        <w:rPr>
          <w:rStyle w:val="Bold"/>
        </w:rPr>
        <w:t>Reallocation Participant</w:t>
      </w:r>
      <w:r>
        <w:rPr>
          <w:rStyle w:val="Bold"/>
        </w:rPr>
        <w:t>s</w:t>
      </w:r>
      <w:r w:rsidRPr="008B1B73">
        <w:t xml:space="preserve"> </w:t>
      </w:r>
      <w:r>
        <w:t>are m</w:t>
      </w:r>
      <w:r w:rsidRPr="008B1B73">
        <w:t>ember</w:t>
      </w:r>
      <w:r>
        <w:t>s</w:t>
      </w:r>
      <w:r w:rsidRPr="008B1B73">
        <w:t xml:space="preserve"> </w:t>
      </w:r>
      <w:r>
        <w:t xml:space="preserve">that have </w:t>
      </w:r>
      <w:r w:rsidRPr="008B1B73">
        <w:t>access to the Trading System to the extent required to participate in reallocations.</w:t>
      </w:r>
      <w:r w:rsidRPr="008B1B73">
        <w:rPr>
          <w:rStyle w:val="FootnoteReference"/>
          <w:rFonts w:eastAsia="Cambria"/>
        </w:rPr>
        <w:footnoteReference w:id="117"/>
      </w:r>
      <w:r>
        <w:t xml:space="preserve"> Reallocation Participants are currently required to pay a fixed annual fee of $9,000.</w:t>
      </w:r>
    </w:p>
    <w:p w14:paraId="0CB93EFA" w14:textId="77777777" w:rsidR="001710D5" w:rsidRDefault="001710D5" w:rsidP="001710D5">
      <w:pPr>
        <w:pStyle w:val="BodyText"/>
      </w:pPr>
      <w:r>
        <w:t xml:space="preserve">Market participants that want to trade transportation capacity products using the exchange will need to be </w:t>
      </w:r>
      <w:r w:rsidRPr="008B1B73">
        <w:t>register</w:t>
      </w:r>
      <w:r>
        <w:t>ed</w:t>
      </w:r>
      <w:r w:rsidRPr="008B1B73">
        <w:t xml:space="preserve"> as a </w:t>
      </w:r>
      <w:r w:rsidR="002D0314">
        <w:t xml:space="preserve">trading </w:t>
      </w:r>
      <w:proofErr w:type="gramStart"/>
      <w:r w:rsidR="002D0314">
        <w:t xml:space="preserve">participant </w:t>
      </w:r>
      <w:r>
        <w:t>,</w:t>
      </w:r>
      <w:proofErr w:type="gramEnd"/>
      <w:r>
        <w:t xml:space="preserve"> while participants that only want to use </w:t>
      </w:r>
      <w:r>
        <w:lastRenderedPageBreak/>
        <w:t>the listing service can just be registered as a Viewing Participant</w:t>
      </w:r>
      <w:r w:rsidRPr="008B1B73">
        <w:t xml:space="preserve">. </w:t>
      </w:r>
      <w:r>
        <w:t xml:space="preserve">If a market participant is an existing GSH </w:t>
      </w:r>
      <w:r w:rsidR="002D0314">
        <w:t xml:space="preserve">trading </w:t>
      </w:r>
      <w:proofErr w:type="gramStart"/>
      <w:r w:rsidR="002D0314">
        <w:t xml:space="preserve">participant </w:t>
      </w:r>
      <w:r>
        <w:t>,</w:t>
      </w:r>
      <w:proofErr w:type="gramEnd"/>
      <w:r>
        <w:t xml:space="preserve"> then it will not need </w:t>
      </w:r>
      <w:r w:rsidRPr="008B1B73">
        <w:rPr>
          <w:rFonts w:cs="Arial"/>
        </w:rPr>
        <w:t xml:space="preserve">to complete another registration to trade </w:t>
      </w:r>
      <w:r>
        <w:rPr>
          <w:rFonts w:cs="Arial"/>
        </w:rPr>
        <w:t xml:space="preserve">these </w:t>
      </w:r>
      <w:r w:rsidRPr="008B1B73">
        <w:rPr>
          <w:rFonts w:cs="Arial"/>
        </w:rPr>
        <w:t>products.</w:t>
      </w:r>
      <w:r>
        <w:rPr>
          <w:rFonts w:cs="Arial"/>
        </w:rPr>
        <w:t xml:space="preserve"> If, however, a market participant is not already registered, it will need</w:t>
      </w:r>
      <w:r w:rsidRPr="008B1B73">
        <w:rPr>
          <w:rFonts w:cs="Arial"/>
        </w:rPr>
        <w:t xml:space="preserve"> to </w:t>
      </w:r>
      <w:r>
        <w:rPr>
          <w:rFonts w:cs="Arial"/>
        </w:rPr>
        <w:t xml:space="preserve">register to become a </w:t>
      </w:r>
      <w:r w:rsidR="00EB307E">
        <w:rPr>
          <w:rFonts w:cs="Arial"/>
        </w:rPr>
        <w:t>trading participant</w:t>
      </w:r>
      <w:r>
        <w:rPr>
          <w:rFonts w:cs="Arial"/>
        </w:rPr>
        <w:t xml:space="preserve"> and </w:t>
      </w:r>
      <w:r w:rsidRPr="008B1B73">
        <w:rPr>
          <w:rFonts w:cs="Arial"/>
        </w:rPr>
        <w:t xml:space="preserve">provide AEMO with organisational and financial information, pay the fixed participation fee </w:t>
      </w:r>
      <w:r>
        <w:rPr>
          <w:rFonts w:cs="Arial"/>
        </w:rPr>
        <w:t xml:space="preserve">(on a monthly basis) </w:t>
      </w:r>
      <w:r w:rsidRPr="008B1B73">
        <w:rPr>
          <w:rFonts w:cs="Arial"/>
        </w:rPr>
        <w:t>and post collateral with AEMO to be granted a financial trading limit on the exchange.</w:t>
      </w:r>
      <w:r>
        <w:rPr>
          <w:rStyle w:val="FootnoteReference"/>
          <w:rFonts w:cs="Arial"/>
        </w:rPr>
        <w:footnoteReference w:id="118"/>
      </w:r>
      <w:r>
        <w:t xml:space="preserve">  As outlined in </w:t>
      </w:r>
      <w:r>
        <w:fldChar w:fldCharType="begin"/>
      </w:r>
      <w:r>
        <w:instrText xml:space="preserve"> REF _Ref491414461 \h </w:instrText>
      </w:r>
      <w:r>
        <w:fldChar w:fldCharType="separate"/>
      </w:r>
      <w:r w:rsidR="00761861">
        <w:t xml:space="preserve">Table </w:t>
      </w:r>
      <w:r w:rsidR="00761861">
        <w:rPr>
          <w:noProof/>
        </w:rPr>
        <w:t>2</w:t>
      </w:r>
      <w:r w:rsidR="00761861">
        <w:t>.</w:t>
      </w:r>
      <w:r w:rsidR="00761861">
        <w:rPr>
          <w:noProof/>
        </w:rPr>
        <w:t>1</w:t>
      </w:r>
      <w:r>
        <w:fldChar w:fldCharType="end"/>
      </w:r>
      <w:r>
        <w:t>, shippers wishing to procure capacity from the exchange will also need to enter into an operational GTA with the relevant service provider(s).</w:t>
      </w:r>
      <w:r>
        <w:rPr>
          <w:rStyle w:val="FootnoteReference"/>
        </w:rPr>
        <w:footnoteReference w:id="119"/>
      </w:r>
    </w:p>
    <w:p w14:paraId="39B1C3C7" w14:textId="77777777" w:rsidR="001710D5" w:rsidRPr="008B1B73" w:rsidRDefault="001710D5" w:rsidP="001710D5">
      <w:pPr>
        <w:pStyle w:val="BodyText"/>
      </w:pPr>
      <w:r w:rsidRPr="008B1B73">
        <w:rPr>
          <w:rFonts w:cs="Arial"/>
        </w:rPr>
        <w:t xml:space="preserve">The Exchange Agreement </w:t>
      </w:r>
      <w:r>
        <w:rPr>
          <w:rFonts w:cs="Arial"/>
        </w:rPr>
        <w:t xml:space="preserve">provides </w:t>
      </w:r>
      <w:r w:rsidR="002D0314">
        <w:rPr>
          <w:rFonts w:cs="Arial"/>
        </w:rPr>
        <w:t>trading participant</w:t>
      </w:r>
      <w:r>
        <w:rPr>
          <w:rFonts w:cs="Arial"/>
        </w:rPr>
        <w:t xml:space="preserve">s with </w:t>
      </w:r>
      <w:r w:rsidRPr="008B1B73">
        <w:rPr>
          <w:rFonts w:cs="Arial"/>
        </w:rPr>
        <w:t xml:space="preserve">two types of access to products: automatic or requested. </w:t>
      </w:r>
      <w:r w:rsidRPr="008B1B73">
        <w:t xml:space="preserve">Participants currently have access to all trading products on the GSH when they become a </w:t>
      </w:r>
      <w:r w:rsidR="002D0314">
        <w:t xml:space="preserve">trading </w:t>
      </w:r>
      <w:proofErr w:type="gramStart"/>
      <w:r w:rsidR="002D0314">
        <w:t xml:space="preserve">participant </w:t>
      </w:r>
      <w:r w:rsidRPr="008B1B73">
        <w:t>,</w:t>
      </w:r>
      <w:proofErr w:type="gramEnd"/>
      <w:r w:rsidRPr="008B1B73">
        <w:t xml:space="preserve"> </w:t>
      </w:r>
      <w:r>
        <w:t>but</w:t>
      </w:r>
      <w:r w:rsidRPr="008B1B73">
        <w:t xml:space="preserve"> they can ask AEMO to </w:t>
      </w:r>
      <w:r>
        <w:t xml:space="preserve">limit their </w:t>
      </w:r>
      <w:r w:rsidRPr="008B1B73">
        <w:t>access</w:t>
      </w:r>
      <w:r>
        <w:t xml:space="preserve"> </w:t>
      </w:r>
      <w:r w:rsidRPr="008B1B73">
        <w:t xml:space="preserve">to </w:t>
      </w:r>
      <w:r>
        <w:t>particular products</w:t>
      </w:r>
      <w:r w:rsidRPr="008B1B73">
        <w:t>.</w:t>
      </w:r>
      <w:r>
        <w:rPr>
          <w:rStyle w:val="FootnoteReference"/>
        </w:rPr>
        <w:footnoteReference w:id="120"/>
      </w:r>
      <w:r w:rsidRPr="008B1B73">
        <w:t xml:space="preserve"> </w:t>
      </w:r>
    </w:p>
    <w:p w14:paraId="73B083A7" w14:textId="77777777" w:rsidR="001710D5" w:rsidRPr="008B1B73" w:rsidRDefault="001710D5" w:rsidP="001710D5">
      <w:pPr>
        <w:pStyle w:val="BodyText"/>
      </w:pPr>
      <w:r>
        <w:rPr>
          <w:rFonts w:cs="Arial"/>
        </w:rPr>
        <w:t xml:space="preserve">Under the terms of the </w:t>
      </w:r>
      <w:r w:rsidRPr="008B1B73">
        <w:rPr>
          <w:rFonts w:cs="Arial"/>
        </w:rPr>
        <w:t xml:space="preserve">Exchange Agreement, </w:t>
      </w:r>
      <w:r>
        <w:rPr>
          <w:rFonts w:cs="Arial"/>
        </w:rPr>
        <w:t xml:space="preserve">AEMO may restrict a participant from access to, or use of, the GSH in whole or part if a </w:t>
      </w:r>
      <w:r w:rsidRPr="008B1B73">
        <w:rPr>
          <w:rFonts w:cs="Arial"/>
        </w:rPr>
        <w:t xml:space="preserve">suspension event occurs. </w:t>
      </w:r>
      <w:r>
        <w:rPr>
          <w:rFonts w:cs="Arial"/>
        </w:rPr>
        <w:t xml:space="preserve">A </w:t>
      </w:r>
      <w:r>
        <w:t>suspension event</w:t>
      </w:r>
      <w:r w:rsidRPr="008B1B73">
        <w:t xml:space="preserve"> include</w:t>
      </w:r>
      <w:r>
        <w:t>s</w:t>
      </w:r>
      <w:r w:rsidRPr="008B1B73">
        <w:t>:</w:t>
      </w:r>
    </w:p>
    <w:p w14:paraId="55B7A01E" w14:textId="77777777" w:rsidR="001710D5" w:rsidRPr="008B1B73" w:rsidRDefault="001710D5" w:rsidP="00CF4594">
      <w:pPr>
        <w:pStyle w:val="ListBullet"/>
        <w:numPr>
          <w:ilvl w:val="0"/>
          <w:numId w:val="45"/>
        </w:numPr>
      </w:pPr>
      <w:r>
        <w:t>the f</w:t>
      </w:r>
      <w:r w:rsidRPr="008B1B73">
        <w:t xml:space="preserve">ailure </w:t>
      </w:r>
      <w:r>
        <w:t xml:space="preserve">of the participant </w:t>
      </w:r>
      <w:r w:rsidRPr="008B1B73">
        <w:t>to meet a margin call;</w:t>
      </w:r>
    </w:p>
    <w:p w14:paraId="008681E2" w14:textId="77777777" w:rsidR="001710D5" w:rsidRPr="008B1B73" w:rsidRDefault="001710D5" w:rsidP="00CF4594">
      <w:pPr>
        <w:pStyle w:val="ListBullet"/>
        <w:numPr>
          <w:ilvl w:val="0"/>
          <w:numId w:val="44"/>
        </w:numPr>
      </w:pPr>
      <w:r w:rsidRPr="008B1B73">
        <w:t xml:space="preserve">AEMO </w:t>
      </w:r>
      <w:r>
        <w:t xml:space="preserve">having </w:t>
      </w:r>
      <w:r w:rsidRPr="008B1B73">
        <w:t xml:space="preserve">reasonable grounds to believe the </w:t>
      </w:r>
      <w:r>
        <w:t xml:space="preserve">participant is no longer eligible to </w:t>
      </w:r>
      <w:r w:rsidRPr="008B1B73">
        <w:t xml:space="preserve">trade in a product and the </w:t>
      </w:r>
      <w:r>
        <w:t xml:space="preserve">participant not providing </w:t>
      </w:r>
      <w:r w:rsidRPr="008B1B73">
        <w:t xml:space="preserve">sufficient evidence to verify its eligibility; </w:t>
      </w:r>
      <w:r>
        <w:t>or</w:t>
      </w:r>
    </w:p>
    <w:p w14:paraId="43316C8E" w14:textId="77777777" w:rsidR="001710D5" w:rsidRPr="008B1B73" w:rsidRDefault="001710D5" w:rsidP="00CF4594">
      <w:pPr>
        <w:pStyle w:val="ListBullet"/>
        <w:numPr>
          <w:ilvl w:val="0"/>
          <w:numId w:val="44"/>
        </w:numPr>
      </w:pPr>
      <w:proofErr w:type="gramStart"/>
      <w:r>
        <w:t>t</w:t>
      </w:r>
      <w:r w:rsidRPr="008B1B73">
        <w:t>he</w:t>
      </w:r>
      <w:proofErr w:type="gramEnd"/>
      <w:r w:rsidRPr="008B1B73">
        <w:t xml:space="preserve"> </w:t>
      </w:r>
      <w:r w:rsidR="002D0314">
        <w:t xml:space="preserve">trading participant </w:t>
      </w:r>
      <w:r>
        <w:t>’s d</w:t>
      </w:r>
      <w:r w:rsidRPr="008B1B73">
        <w:t xml:space="preserve">elivery </w:t>
      </w:r>
      <w:r>
        <w:t>v</w:t>
      </w:r>
      <w:r w:rsidRPr="008B1B73">
        <w:t xml:space="preserve">ariance </w:t>
      </w:r>
      <w:r>
        <w:t>q</w:t>
      </w:r>
      <w:r w:rsidRPr="008B1B73">
        <w:t xml:space="preserve">uantity </w:t>
      </w:r>
      <w:r>
        <w:t xml:space="preserve">(i.e. the difference between the quantity it was obligated to deliver and the actual quantity it delivered) </w:t>
      </w:r>
      <w:r w:rsidRPr="008B1B73">
        <w:t xml:space="preserve">is greater than 25% of the </w:t>
      </w:r>
      <w:r>
        <w:t>d</w:t>
      </w:r>
      <w:r w:rsidRPr="008B1B73">
        <w:t xml:space="preserve">elivery </w:t>
      </w:r>
      <w:r>
        <w:t>q</w:t>
      </w:r>
      <w:r w:rsidRPr="008B1B73">
        <w:t>uantity</w:t>
      </w:r>
      <w:r>
        <w:t xml:space="preserve"> </w:t>
      </w:r>
      <w:r w:rsidRPr="008B1B73">
        <w:t>on three or more occasions in a rolling six</w:t>
      </w:r>
      <w:r>
        <w:t>-</w:t>
      </w:r>
      <w:r w:rsidRPr="008B1B73">
        <w:t>month period without a reasonable explanation.</w:t>
      </w:r>
    </w:p>
    <w:p w14:paraId="5A1E58EE" w14:textId="77777777" w:rsidR="001710D5" w:rsidRPr="00F232EA" w:rsidRDefault="001710D5" w:rsidP="001710D5">
      <w:pPr>
        <w:pStyle w:val="BodyText"/>
        <w:rPr>
          <w:lang w:eastAsia="fr-CA"/>
        </w:rPr>
      </w:pPr>
      <w:r w:rsidRPr="008B1B73">
        <w:rPr>
          <w:rFonts w:cs="Arial"/>
        </w:rPr>
        <w:t xml:space="preserve">AEMO may also suspend a </w:t>
      </w:r>
      <w:r w:rsidR="002D0314">
        <w:rPr>
          <w:rFonts w:cs="Arial"/>
        </w:rPr>
        <w:t xml:space="preserve">trading participant </w:t>
      </w:r>
      <w:r>
        <w:rPr>
          <w:rFonts w:cs="Arial"/>
        </w:rPr>
        <w:t xml:space="preserve">from trading </w:t>
      </w:r>
      <w:r w:rsidRPr="008B1B73">
        <w:rPr>
          <w:rFonts w:cs="Arial"/>
        </w:rPr>
        <w:t>at the request of the AER</w:t>
      </w:r>
      <w:r>
        <w:rPr>
          <w:rFonts w:cs="Arial"/>
        </w:rPr>
        <w:t xml:space="preserve"> in connection with an investigation of breaches of the market conduct provisions in Part 22 of the NGR</w:t>
      </w:r>
      <w:r w:rsidRPr="008B1B73">
        <w:rPr>
          <w:rFonts w:cs="Arial"/>
        </w:rPr>
        <w:t xml:space="preserve">. </w:t>
      </w:r>
      <w:r>
        <w:rPr>
          <w:rFonts w:cs="Arial"/>
        </w:rPr>
        <w:t xml:space="preserve">Under the terms of the Exchange Agreement, the suspension </w:t>
      </w:r>
      <w:r>
        <w:t xml:space="preserve">can only be </w:t>
      </w:r>
      <w:r w:rsidRPr="008B1B73">
        <w:t xml:space="preserve">lifted </w:t>
      </w:r>
      <w:r>
        <w:t xml:space="preserve">if AEMO is satisfied </w:t>
      </w:r>
      <w:r w:rsidRPr="008B1B73">
        <w:t>that the reason for the suspension no longer applies, or the act giving rise to the suspension no longer warrants continued suspension.</w:t>
      </w:r>
      <w:r w:rsidRPr="00C8573E">
        <w:t xml:space="preserve"> </w:t>
      </w:r>
      <w:r w:rsidRPr="008B1B73">
        <w:t xml:space="preserve">If a participant fails to respond to a default notice AEMO </w:t>
      </w:r>
      <w:r>
        <w:t xml:space="preserve">can </w:t>
      </w:r>
      <w:r w:rsidRPr="008B1B73">
        <w:t xml:space="preserve">suspend the </w:t>
      </w:r>
      <w:r>
        <w:t xml:space="preserve">participant’s membership </w:t>
      </w:r>
      <w:r w:rsidRPr="008B1B73">
        <w:t xml:space="preserve">and </w:t>
      </w:r>
      <w:r>
        <w:t xml:space="preserve">close out </w:t>
      </w:r>
      <w:r w:rsidRPr="008B1B73">
        <w:t xml:space="preserve">any net long or net short transactions </w:t>
      </w:r>
      <w:r>
        <w:t xml:space="preserve">using the </w:t>
      </w:r>
      <w:r w:rsidRPr="008B1B73">
        <w:t>GSH Close Out and Offset Procedure</w:t>
      </w:r>
      <w:r>
        <w:t xml:space="preserve"> (see </w:t>
      </w:r>
      <w:r>
        <w:fldChar w:fldCharType="begin"/>
      </w:r>
      <w:r>
        <w:instrText xml:space="preserve"> REF _Ref492137828 \h </w:instrText>
      </w:r>
      <w:r>
        <w:fldChar w:fldCharType="separate"/>
      </w:r>
      <w:r w:rsidR="00761861">
        <w:t>Box E.</w:t>
      </w:r>
      <w:r w:rsidR="00761861">
        <w:rPr>
          <w:noProof/>
        </w:rPr>
        <w:t>1</w:t>
      </w:r>
      <w:r>
        <w:fldChar w:fldCharType="end"/>
      </w:r>
      <w:r>
        <w:t xml:space="preserve">). </w:t>
      </w:r>
    </w:p>
    <w:p w14:paraId="5946837E" w14:textId="77777777" w:rsidR="001710D5" w:rsidRPr="008B1B73" w:rsidRDefault="001710D5" w:rsidP="001710D5">
      <w:pPr>
        <w:pStyle w:val="BodyText"/>
      </w:pPr>
      <w:r>
        <w:rPr>
          <w:rFonts w:cs="Arial"/>
        </w:rPr>
        <w:t xml:space="preserve">The Exchange Agreement also allows AEMO to terminate a participant’s membership if </w:t>
      </w:r>
      <w:r w:rsidRPr="008B1B73">
        <w:rPr>
          <w:rFonts w:cs="Arial"/>
        </w:rPr>
        <w:t xml:space="preserve">a default event </w:t>
      </w:r>
      <w:r>
        <w:rPr>
          <w:rFonts w:cs="Arial"/>
        </w:rPr>
        <w:t>occurs.</w:t>
      </w:r>
      <w:r w:rsidRPr="008B1B73">
        <w:rPr>
          <w:rFonts w:cs="Arial"/>
        </w:rPr>
        <w:t xml:space="preserve"> </w:t>
      </w:r>
      <w:r>
        <w:rPr>
          <w:rFonts w:cs="Arial"/>
        </w:rPr>
        <w:t>A default event</w:t>
      </w:r>
      <w:r w:rsidRPr="008B1B73">
        <w:rPr>
          <w:rFonts w:cs="Arial"/>
        </w:rPr>
        <w:t xml:space="preserve"> include</w:t>
      </w:r>
      <w:r>
        <w:rPr>
          <w:rFonts w:cs="Arial"/>
        </w:rPr>
        <w:t>s</w:t>
      </w:r>
      <w:r w:rsidRPr="008B1B73">
        <w:rPr>
          <w:rFonts w:cs="Arial"/>
        </w:rPr>
        <w:t>:</w:t>
      </w:r>
    </w:p>
    <w:p w14:paraId="012F5B3C" w14:textId="77777777" w:rsidR="001710D5" w:rsidRPr="008B1B73" w:rsidRDefault="001710D5" w:rsidP="00CF4594">
      <w:pPr>
        <w:pStyle w:val="ListBullet"/>
        <w:numPr>
          <w:ilvl w:val="0"/>
          <w:numId w:val="44"/>
        </w:numPr>
      </w:pPr>
      <w:r>
        <w:t>the f</w:t>
      </w:r>
      <w:r w:rsidRPr="008B1B73">
        <w:t xml:space="preserve">ailure </w:t>
      </w:r>
      <w:r>
        <w:t xml:space="preserve">of the participant </w:t>
      </w:r>
      <w:r w:rsidRPr="008B1B73">
        <w:t>to pay an amount due</w:t>
      </w:r>
      <w:r>
        <w:t>;</w:t>
      </w:r>
    </w:p>
    <w:p w14:paraId="10CBB3D6" w14:textId="77777777" w:rsidR="001710D5" w:rsidRPr="008B1B73" w:rsidRDefault="001710D5" w:rsidP="00CF4594">
      <w:pPr>
        <w:pStyle w:val="ListBullet"/>
        <w:numPr>
          <w:ilvl w:val="0"/>
          <w:numId w:val="39"/>
        </w:numPr>
      </w:pPr>
      <w:r>
        <w:t>t</w:t>
      </w:r>
      <w:r w:rsidRPr="008B1B73">
        <w:t xml:space="preserve">he </w:t>
      </w:r>
      <w:r>
        <w:t>p</w:t>
      </w:r>
      <w:r w:rsidRPr="008B1B73">
        <w:t xml:space="preserve">articipant </w:t>
      </w:r>
      <w:r>
        <w:t xml:space="preserve">breaches </w:t>
      </w:r>
      <w:r w:rsidRPr="008B1B73">
        <w:t xml:space="preserve">the </w:t>
      </w:r>
      <w:r>
        <w:t>m</w:t>
      </w:r>
      <w:r w:rsidRPr="008B1B73">
        <w:t xml:space="preserve">arket </w:t>
      </w:r>
      <w:r>
        <w:t>c</w:t>
      </w:r>
      <w:r w:rsidRPr="008B1B73">
        <w:t xml:space="preserve">onduct </w:t>
      </w:r>
      <w:r>
        <w:t>r</w:t>
      </w:r>
      <w:r w:rsidRPr="008B1B73">
        <w:t>ules</w:t>
      </w:r>
      <w:r>
        <w:t xml:space="preserve"> in the NGR (see </w:t>
      </w:r>
      <w:r>
        <w:fldChar w:fldCharType="begin"/>
      </w:r>
      <w:r>
        <w:instrText xml:space="preserve"> REF _Ref492057223 \h </w:instrText>
      </w:r>
      <w:r>
        <w:fldChar w:fldCharType="separate"/>
      </w:r>
      <w:r w:rsidR="00761861">
        <w:t>Box E.</w:t>
      </w:r>
      <w:r>
        <w:fldChar w:fldCharType="end"/>
      </w:r>
      <w:r>
        <w:t>)</w:t>
      </w:r>
      <w:r w:rsidRPr="008B1B73">
        <w:t xml:space="preserve">; </w:t>
      </w:r>
      <w:r>
        <w:t>or</w:t>
      </w:r>
    </w:p>
    <w:p w14:paraId="71BEE491" w14:textId="77777777" w:rsidR="001710D5" w:rsidRDefault="001710D5" w:rsidP="00CF4594">
      <w:pPr>
        <w:pStyle w:val="ListBullet"/>
        <w:numPr>
          <w:ilvl w:val="0"/>
          <w:numId w:val="39"/>
        </w:numPr>
      </w:pPr>
      <w:proofErr w:type="gramStart"/>
      <w:r>
        <w:t>the</w:t>
      </w:r>
      <w:proofErr w:type="gramEnd"/>
      <w:r>
        <w:t xml:space="preserve"> p</w:t>
      </w:r>
      <w:r w:rsidRPr="008B1B73">
        <w:t xml:space="preserve">articipant no longer meets the criteria for registration in the relevant category. </w:t>
      </w:r>
    </w:p>
    <w:p w14:paraId="4353937C" w14:textId="77777777" w:rsidR="001710D5" w:rsidRPr="00F232EA" w:rsidRDefault="001710D5" w:rsidP="001710D5">
      <w:pPr>
        <w:pStyle w:val="BodyText"/>
        <w:spacing w:before="0"/>
        <w:rPr>
          <w:sz w:val="2"/>
          <w:szCs w:val="2"/>
        </w:rPr>
      </w:pPr>
      <w:bookmarkStart w:id="227" w:name="_Ref492057658"/>
    </w:p>
    <w:bookmarkEnd w:id="227"/>
    <w:p w14:paraId="784DE791" w14:textId="77777777" w:rsidR="001710D5" w:rsidRDefault="001710D5" w:rsidP="001710D5">
      <w:pPr>
        <w:pStyle w:val="AppendixHeading2"/>
      </w:pPr>
      <w:r>
        <w:lastRenderedPageBreak/>
        <w:t>Current governance framework</w:t>
      </w:r>
    </w:p>
    <w:p w14:paraId="5FB9989D" w14:textId="77777777" w:rsidR="001710D5" w:rsidRDefault="001710D5" w:rsidP="001710D5">
      <w:pPr>
        <w:pStyle w:val="BodyText"/>
        <w:rPr>
          <w:rFonts w:eastAsiaTheme="majorEastAsia"/>
        </w:rPr>
      </w:pPr>
      <w:r w:rsidRPr="0057020B">
        <w:rPr>
          <w:rFonts w:eastAsiaTheme="majorEastAsia"/>
        </w:rPr>
        <w:t xml:space="preserve">The </w:t>
      </w:r>
      <w:r>
        <w:rPr>
          <w:rFonts w:eastAsiaTheme="majorEastAsia"/>
        </w:rPr>
        <w:t xml:space="preserve">governance framework for the GSH is set out in the NGL, Part 22 of the NGR, the Exchange Agreement and a number of procedures. </w:t>
      </w:r>
      <w:r>
        <w:rPr>
          <w:rFonts w:eastAsiaTheme="majorEastAsia"/>
        </w:rPr>
        <w:fldChar w:fldCharType="begin"/>
      </w:r>
      <w:r>
        <w:rPr>
          <w:rFonts w:eastAsiaTheme="majorEastAsia"/>
        </w:rPr>
        <w:instrText xml:space="preserve"> REF _Ref492108712 \h </w:instrText>
      </w:r>
      <w:r>
        <w:rPr>
          <w:rFonts w:eastAsiaTheme="majorEastAsia"/>
        </w:rPr>
      </w:r>
      <w:r>
        <w:rPr>
          <w:rFonts w:eastAsiaTheme="majorEastAsia"/>
        </w:rPr>
        <w:fldChar w:fldCharType="separate"/>
      </w:r>
      <w:r w:rsidR="00761861">
        <w:t>Table E.</w:t>
      </w:r>
      <w:r w:rsidR="00761861">
        <w:rPr>
          <w:noProof/>
        </w:rPr>
        <w:t>2</w:t>
      </w:r>
      <w:r>
        <w:rPr>
          <w:rFonts w:eastAsiaTheme="majorEastAsia"/>
        </w:rPr>
        <w:fldChar w:fldCharType="end"/>
      </w:r>
      <w:r>
        <w:rPr>
          <w:rFonts w:eastAsiaTheme="majorEastAsia"/>
        </w:rPr>
        <w:t xml:space="preserve"> provides an overview of the key elements of this framework, while </w:t>
      </w:r>
      <w:r>
        <w:fldChar w:fldCharType="begin"/>
      </w:r>
      <w:r>
        <w:instrText xml:space="preserve"> REF _Ref492057223 \h </w:instrText>
      </w:r>
      <w:r>
        <w:fldChar w:fldCharType="separate"/>
      </w:r>
      <w:r w:rsidR="00761861">
        <w:t>Box E.</w:t>
      </w:r>
      <w:r>
        <w:fldChar w:fldCharType="end"/>
      </w:r>
      <w:r>
        <w:t xml:space="preserve"> sets out the GSH market conduct rules, which are a key element of the GSH governance framework that is overseen by the AER. </w:t>
      </w:r>
    </w:p>
    <w:p w14:paraId="6E20B173" w14:textId="77777777" w:rsidR="001710D5" w:rsidRDefault="001710D5" w:rsidP="001710D5">
      <w:pPr>
        <w:pStyle w:val="Caption"/>
        <w:spacing w:after="0"/>
      </w:pPr>
      <w:bookmarkStart w:id="228" w:name="_Ref492108712"/>
      <w:r>
        <w:t xml:space="preserve">Table </w:t>
      </w:r>
      <w:r w:rsidR="00EA2835">
        <w:t>E</w:t>
      </w:r>
      <w:r w:rsidR="00901056">
        <w:t>.</w:t>
      </w:r>
      <w:r w:rsidR="00983431">
        <w:fldChar w:fldCharType="begin"/>
      </w:r>
      <w:r w:rsidR="00983431">
        <w:instrText xml:space="preserve"> SEQ Table \* ARABIC \s 1 </w:instrText>
      </w:r>
      <w:r w:rsidR="00983431">
        <w:fldChar w:fldCharType="separate"/>
      </w:r>
      <w:r w:rsidR="00761861">
        <w:rPr>
          <w:noProof/>
        </w:rPr>
        <w:t>2</w:t>
      </w:r>
      <w:r w:rsidR="00983431">
        <w:rPr>
          <w:noProof/>
        </w:rPr>
        <w:fldChar w:fldCharType="end"/>
      </w:r>
      <w:bookmarkEnd w:id="228"/>
      <w:r>
        <w:t xml:space="preserve">: Current GSH governance framework </w:t>
      </w:r>
    </w:p>
    <w:tbl>
      <w:tblPr>
        <w:tblStyle w:val="TableGrid"/>
        <w:tblW w:w="5000" w:type="pct"/>
        <w:tblLayout w:type="fixed"/>
        <w:tblLook w:val="0420" w:firstRow="1" w:lastRow="0" w:firstColumn="0" w:lastColumn="0" w:noHBand="0" w:noVBand="1"/>
        <w:tblCaption w:val="Table E.2"/>
        <w:tblDescription w:val="Current GSH governance framework "/>
      </w:tblPr>
      <w:tblGrid>
        <w:gridCol w:w="1276"/>
        <w:gridCol w:w="7513"/>
      </w:tblGrid>
      <w:tr w:rsidR="001710D5" w:rsidRPr="00790A24" w14:paraId="2EABBA4D" w14:textId="77777777" w:rsidTr="00635881">
        <w:trPr>
          <w:cnfStyle w:val="100000000000" w:firstRow="1" w:lastRow="0" w:firstColumn="0" w:lastColumn="0" w:oddVBand="0" w:evenVBand="0" w:oddHBand="0" w:evenHBand="0" w:firstRowFirstColumn="0" w:firstRowLastColumn="0" w:lastRowFirstColumn="0" w:lastRowLastColumn="0"/>
          <w:cantSplit/>
          <w:tblHeader/>
        </w:trPr>
        <w:tc>
          <w:tcPr>
            <w:tcW w:w="726" w:type="pct"/>
            <w:shd w:val="clear" w:color="auto" w:fill="0099CC"/>
          </w:tcPr>
          <w:p w14:paraId="774470A0" w14:textId="77777777" w:rsidR="001710D5" w:rsidRPr="00790A24" w:rsidRDefault="001710D5" w:rsidP="00635881">
            <w:pPr>
              <w:pStyle w:val="TableHeading"/>
              <w:keepNext/>
              <w:rPr>
                <w:sz w:val="20"/>
                <w:szCs w:val="20"/>
                <w:lang w:eastAsia="fr-CA"/>
              </w:rPr>
            </w:pPr>
            <w:r w:rsidRPr="00790A24">
              <w:rPr>
                <w:sz w:val="20"/>
                <w:szCs w:val="20"/>
                <w:lang w:eastAsia="fr-CA"/>
              </w:rPr>
              <w:t>Instrument</w:t>
            </w:r>
          </w:p>
        </w:tc>
        <w:tc>
          <w:tcPr>
            <w:tcW w:w="4274" w:type="pct"/>
            <w:shd w:val="clear" w:color="auto" w:fill="0099CC"/>
          </w:tcPr>
          <w:p w14:paraId="17A1A10A" w14:textId="77777777" w:rsidR="001710D5" w:rsidRPr="00790A24" w:rsidRDefault="001710D5" w:rsidP="00635881">
            <w:pPr>
              <w:pStyle w:val="TableHeading"/>
              <w:keepNext/>
              <w:rPr>
                <w:sz w:val="20"/>
                <w:szCs w:val="20"/>
                <w:lang w:eastAsia="fr-CA"/>
              </w:rPr>
            </w:pPr>
            <w:r w:rsidRPr="00790A24">
              <w:rPr>
                <w:sz w:val="20"/>
                <w:szCs w:val="20"/>
                <w:lang w:eastAsia="fr-CA"/>
              </w:rPr>
              <w:t>Description</w:t>
            </w:r>
          </w:p>
        </w:tc>
      </w:tr>
      <w:tr w:rsidR="001710D5" w:rsidRPr="00790A24" w14:paraId="054CC3BF" w14:textId="77777777" w:rsidTr="00635881">
        <w:trPr>
          <w:cantSplit/>
        </w:trPr>
        <w:tc>
          <w:tcPr>
            <w:tcW w:w="726" w:type="pct"/>
          </w:tcPr>
          <w:p w14:paraId="0D16E242" w14:textId="77777777" w:rsidR="001710D5" w:rsidRPr="00790A24" w:rsidRDefault="001710D5" w:rsidP="00635881">
            <w:pPr>
              <w:pStyle w:val="TableBodyText"/>
              <w:keepNext/>
              <w:rPr>
                <w:sz w:val="20"/>
                <w:szCs w:val="20"/>
                <w:lang w:eastAsia="fr-CA"/>
              </w:rPr>
            </w:pPr>
            <w:r w:rsidRPr="00790A24">
              <w:rPr>
                <w:sz w:val="20"/>
                <w:szCs w:val="20"/>
                <w:lang w:eastAsia="fr-CA"/>
              </w:rPr>
              <w:t>NGL</w:t>
            </w:r>
          </w:p>
        </w:tc>
        <w:tc>
          <w:tcPr>
            <w:tcW w:w="4274" w:type="pct"/>
          </w:tcPr>
          <w:p w14:paraId="41F2BFFD" w14:textId="77777777" w:rsidR="001710D5" w:rsidRPr="00790A24" w:rsidRDefault="001710D5" w:rsidP="00635881">
            <w:pPr>
              <w:pStyle w:val="TableBodyText"/>
              <w:keepNext/>
              <w:rPr>
                <w:sz w:val="20"/>
                <w:szCs w:val="20"/>
                <w:lang w:eastAsia="fr-CA"/>
              </w:rPr>
            </w:pPr>
            <w:r w:rsidRPr="00790A24">
              <w:rPr>
                <w:sz w:val="20"/>
                <w:szCs w:val="20"/>
              </w:rPr>
              <w:t xml:space="preserve">AEMO operates the GSH as one of its statutory functions under section 91BRK of the NGL. This section of the NGL </w:t>
            </w:r>
            <w:r w:rsidRPr="00790A24">
              <w:rPr>
                <w:sz w:val="20"/>
                <w:szCs w:val="20"/>
                <w:lang w:eastAsia="fr-CA"/>
              </w:rPr>
              <w:t xml:space="preserve">provides for AEMO to establish, operate and administer ‘gas trading exchanges’, which are defined as a facility through which persons may elect to buy and sell natural gas or related goods or services, including pipeline capacity. </w:t>
            </w:r>
          </w:p>
          <w:p w14:paraId="18BC27BA" w14:textId="77777777" w:rsidR="001710D5" w:rsidRPr="00790A24" w:rsidRDefault="001710D5" w:rsidP="00635881">
            <w:pPr>
              <w:pStyle w:val="TableBodyText"/>
              <w:keepNext/>
              <w:rPr>
                <w:sz w:val="20"/>
                <w:szCs w:val="20"/>
                <w:lang w:eastAsia="fr-CA"/>
              </w:rPr>
            </w:pPr>
            <w:r w:rsidRPr="00790A24">
              <w:rPr>
                <w:sz w:val="20"/>
                <w:szCs w:val="20"/>
                <w:lang w:eastAsia="fr-CA"/>
              </w:rPr>
              <w:t xml:space="preserve">This section of the NGL also allows </w:t>
            </w:r>
            <w:r w:rsidRPr="00790A24">
              <w:rPr>
                <w:rFonts w:eastAsiaTheme="majorEastAsia"/>
                <w:sz w:val="20"/>
                <w:szCs w:val="20"/>
              </w:rPr>
              <w:t>AEMO to make and administe</w:t>
            </w:r>
            <w:r>
              <w:rPr>
                <w:rFonts w:eastAsiaTheme="majorEastAsia"/>
                <w:sz w:val="20"/>
                <w:szCs w:val="20"/>
              </w:rPr>
              <w:t>r</w:t>
            </w:r>
            <w:r w:rsidRPr="00790A24">
              <w:rPr>
                <w:rFonts w:eastAsiaTheme="majorEastAsia"/>
                <w:sz w:val="20"/>
                <w:szCs w:val="20"/>
              </w:rPr>
              <w:t xml:space="preserve"> a gas trading </w:t>
            </w:r>
            <w:r>
              <w:rPr>
                <w:rFonts w:eastAsiaTheme="majorEastAsia"/>
                <w:sz w:val="20"/>
                <w:szCs w:val="20"/>
              </w:rPr>
              <w:t>E</w:t>
            </w:r>
            <w:r w:rsidRPr="00790A24">
              <w:rPr>
                <w:rFonts w:eastAsiaTheme="majorEastAsia"/>
                <w:sz w:val="20"/>
                <w:szCs w:val="20"/>
              </w:rPr>
              <w:t xml:space="preserve">xchange </w:t>
            </w:r>
            <w:r>
              <w:rPr>
                <w:rFonts w:eastAsiaTheme="majorEastAsia"/>
                <w:sz w:val="20"/>
                <w:szCs w:val="20"/>
              </w:rPr>
              <w:t>A</w:t>
            </w:r>
            <w:r w:rsidRPr="00790A24">
              <w:rPr>
                <w:rFonts w:eastAsiaTheme="majorEastAsia"/>
                <w:sz w:val="20"/>
                <w:szCs w:val="20"/>
              </w:rPr>
              <w:t>greement for the purposes of the exchange.  AEMO’s gas trading exchange functions and the operation of the gas trading exchange are included as subjects for the NGR (section 74(1</w:t>
            </w:r>
            <w:proofErr w:type="gramStart"/>
            <w:r w:rsidRPr="00790A24">
              <w:rPr>
                <w:rFonts w:eastAsiaTheme="majorEastAsia"/>
                <w:sz w:val="20"/>
                <w:szCs w:val="20"/>
              </w:rPr>
              <w:t>)(</w:t>
            </w:r>
            <w:proofErr w:type="spellStart"/>
            <w:proofErr w:type="gramEnd"/>
            <w:r w:rsidRPr="00790A24">
              <w:rPr>
                <w:rFonts w:eastAsiaTheme="majorEastAsia"/>
                <w:sz w:val="20"/>
                <w:szCs w:val="20"/>
              </w:rPr>
              <w:t>aaa</w:t>
            </w:r>
            <w:proofErr w:type="spellEnd"/>
            <w:r w:rsidRPr="00790A24">
              <w:rPr>
                <w:rFonts w:eastAsiaTheme="majorEastAsia"/>
                <w:sz w:val="20"/>
                <w:szCs w:val="20"/>
              </w:rPr>
              <w:t>)).</w:t>
            </w:r>
          </w:p>
        </w:tc>
      </w:tr>
      <w:tr w:rsidR="001710D5" w:rsidRPr="00790A24" w14:paraId="0B5825EC" w14:textId="77777777" w:rsidTr="00635881">
        <w:trPr>
          <w:cnfStyle w:val="000000010000" w:firstRow="0" w:lastRow="0" w:firstColumn="0" w:lastColumn="0" w:oddVBand="0" w:evenVBand="0" w:oddHBand="0" w:evenHBand="1" w:firstRowFirstColumn="0" w:firstRowLastColumn="0" w:lastRowFirstColumn="0" w:lastRowLastColumn="0"/>
          <w:cantSplit/>
        </w:trPr>
        <w:tc>
          <w:tcPr>
            <w:tcW w:w="726" w:type="pct"/>
          </w:tcPr>
          <w:p w14:paraId="6CFE1A33" w14:textId="77777777" w:rsidR="001710D5" w:rsidRPr="00790A24" w:rsidRDefault="001710D5" w:rsidP="00635881">
            <w:pPr>
              <w:pStyle w:val="TableBodyText"/>
              <w:rPr>
                <w:sz w:val="20"/>
                <w:szCs w:val="20"/>
                <w:lang w:eastAsia="fr-CA"/>
              </w:rPr>
            </w:pPr>
            <w:bookmarkStart w:id="229" w:name="_Hlk492233680"/>
            <w:r w:rsidRPr="00790A24">
              <w:rPr>
                <w:sz w:val="20"/>
                <w:szCs w:val="20"/>
                <w:lang w:eastAsia="fr-CA"/>
              </w:rPr>
              <w:t>NGR</w:t>
            </w:r>
          </w:p>
        </w:tc>
        <w:tc>
          <w:tcPr>
            <w:tcW w:w="4274" w:type="pct"/>
          </w:tcPr>
          <w:p w14:paraId="6B400FFC" w14:textId="77777777" w:rsidR="001710D5" w:rsidRPr="00790A24" w:rsidRDefault="001710D5" w:rsidP="00635881">
            <w:pPr>
              <w:pStyle w:val="TableBodyText"/>
              <w:rPr>
                <w:rFonts w:eastAsiaTheme="majorEastAsia"/>
                <w:sz w:val="20"/>
                <w:szCs w:val="20"/>
              </w:rPr>
            </w:pPr>
            <w:r w:rsidRPr="00790A24">
              <w:rPr>
                <w:rFonts w:eastAsiaTheme="majorEastAsia"/>
                <w:sz w:val="20"/>
                <w:szCs w:val="20"/>
              </w:rPr>
              <w:t xml:space="preserve">Part 22 of the NGR contains rules applicable to the </w:t>
            </w:r>
            <w:r>
              <w:rPr>
                <w:rFonts w:eastAsiaTheme="majorEastAsia"/>
                <w:sz w:val="20"/>
                <w:szCs w:val="20"/>
              </w:rPr>
              <w:t>GSH</w:t>
            </w:r>
            <w:r w:rsidRPr="00790A24">
              <w:rPr>
                <w:rFonts w:eastAsiaTheme="majorEastAsia"/>
                <w:sz w:val="20"/>
                <w:szCs w:val="20"/>
              </w:rPr>
              <w:t xml:space="preserve">.  Matters covered in Part 22 include: </w:t>
            </w:r>
          </w:p>
          <w:p w14:paraId="13B22153" w14:textId="77777777" w:rsidR="001710D5" w:rsidRPr="00790A24" w:rsidRDefault="001710D5" w:rsidP="00635881">
            <w:pPr>
              <w:pStyle w:val="TableBullet1"/>
              <w:rPr>
                <w:rFonts w:eastAsiaTheme="majorEastAsia"/>
                <w:sz w:val="20"/>
                <w:szCs w:val="20"/>
              </w:rPr>
            </w:pPr>
            <w:r w:rsidRPr="00790A24">
              <w:rPr>
                <w:rFonts w:eastAsiaTheme="majorEastAsia"/>
                <w:sz w:val="20"/>
                <w:szCs w:val="20"/>
              </w:rPr>
              <w:t>high level design parameters for the exchange;</w:t>
            </w:r>
          </w:p>
          <w:p w14:paraId="33B51A7C" w14:textId="77777777" w:rsidR="001710D5" w:rsidRPr="00790A24" w:rsidRDefault="001710D5" w:rsidP="00635881">
            <w:pPr>
              <w:pStyle w:val="TableBullet1"/>
              <w:rPr>
                <w:rFonts w:eastAsiaTheme="majorEastAsia"/>
                <w:sz w:val="20"/>
                <w:szCs w:val="20"/>
              </w:rPr>
            </w:pPr>
            <w:r w:rsidRPr="00790A24">
              <w:rPr>
                <w:rFonts w:eastAsiaTheme="majorEastAsia"/>
                <w:sz w:val="20"/>
                <w:szCs w:val="20"/>
              </w:rPr>
              <w:t>arrangements for the determination of charges for delivery failures;</w:t>
            </w:r>
          </w:p>
          <w:p w14:paraId="45C5DCC4" w14:textId="77777777" w:rsidR="001710D5" w:rsidRPr="00790A24" w:rsidRDefault="001710D5" w:rsidP="00635881">
            <w:pPr>
              <w:pStyle w:val="TableBullet1"/>
              <w:rPr>
                <w:rFonts w:eastAsiaTheme="majorEastAsia"/>
                <w:sz w:val="20"/>
                <w:szCs w:val="20"/>
              </w:rPr>
            </w:pPr>
            <w:r w:rsidRPr="00790A24">
              <w:rPr>
                <w:rFonts w:eastAsiaTheme="majorEastAsia"/>
                <w:sz w:val="20"/>
                <w:szCs w:val="20"/>
              </w:rPr>
              <w:t xml:space="preserve">arrangements for becoming a member; </w:t>
            </w:r>
          </w:p>
          <w:p w14:paraId="52B31D40" w14:textId="77777777" w:rsidR="001710D5" w:rsidRPr="00790A24" w:rsidRDefault="001710D5" w:rsidP="00635881">
            <w:pPr>
              <w:pStyle w:val="TableBullet1"/>
              <w:rPr>
                <w:rFonts w:eastAsiaTheme="majorEastAsia"/>
                <w:sz w:val="20"/>
                <w:szCs w:val="20"/>
              </w:rPr>
            </w:pPr>
            <w:r w:rsidRPr="00790A24">
              <w:rPr>
                <w:rFonts w:eastAsiaTheme="majorEastAsia"/>
                <w:sz w:val="20"/>
                <w:szCs w:val="20"/>
              </w:rPr>
              <w:t>AEMO’s power to suspend a member;</w:t>
            </w:r>
          </w:p>
          <w:p w14:paraId="3C75F61E" w14:textId="77777777" w:rsidR="001710D5" w:rsidRPr="00790A24" w:rsidRDefault="001710D5" w:rsidP="00635881">
            <w:pPr>
              <w:pStyle w:val="TableBullet1"/>
              <w:rPr>
                <w:rFonts w:eastAsiaTheme="majorEastAsia"/>
                <w:sz w:val="20"/>
                <w:szCs w:val="20"/>
              </w:rPr>
            </w:pPr>
            <w:r w:rsidRPr="00790A24">
              <w:rPr>
                <w:rFonts w:eastAsiaTheme="majorEastAsia"/>
                <w:sz w:val="20"/>
                <w:szCs w:val="20"/>
              </w:rPr>
              <w:t xml:space="preserve">the subject matter for the exchange agreement; and </w:t>
            </w:r>
          </w:p>
          <w:p w14:paraId="146FBCE2" w14:textId="77777777" w:rsidR="001710D5" w:rsidRPr="00790A24" w:rsidRDefault="001710D5" w:rsidP="00635881">
            <w:pPr>
              <w:pStyle w:val="TableBullet1"/>
              <w:rPr>
                <w:rFonts w:eastAsiaTheme="majorEastAsia"/>
                <w:sz w:val="20"/>
                <w:szCs w:val="20"/>
              </w:rPr>
            </w:pPr>
            <w:proofErr w:type="gramStart"/>
            <w:r w:rsidRPr="00790A24">
              <w:rPr>
                <w:rFonts w:eastAsiaTheme="majorEastAsia"/>
                <w:sz w:val="20"/>
                <w:szCs w:val="20"/>
              </w:rPr>
              <w:t>the</w:t>
            </w:r>
            <w:proofErr w:type="gramEnd"/>
            <w:r w:rsidRPr="00790A24">
              <w:rPr>
                <w:rFonts w:eastAsiaTheme="majorEastAsia"/>
                <w:sz w:val="20"/>
                <w:szCs w:val="20"/>
              </w:rPr>
              <w:t xml:space="preserve"> market conduct rules (see </w:t>
            </w:r>
            <w:r w:rsidRPr="00790A24">
              <w:rPr>
                <w:rFonts w:eastAsiaTheme="majorEastAsia"/>
                <w:sz w:val="20"/>
                <w:szCs w:val="20"/>
              </w:rPr>
              <w:fldChar w:fldCharType="begin"/>
            </w:r>
            <w:r w:rsidRPr="00790A24">
              <w:rPr>
                <w:rFonts w:eastAsiaTheme="majorEastAsia"/>
                <w:sz w:val="20"/>
                <w:szCs w:val="20"/>
              </w:rPr>
              <w:instrText xml:space="preserve"> REF _Ref492057223 \h  \* MERGEFORMAT </w:instrText>
            </w:r>
            <w:r w:rsidRPr="00790A24">
              <w:rPr>
                <w:rFonts w:eastAsiaTheme="majorEastAsia"/>
                <w:sz w:val="20"/>
                <w:szCs w:val="20"/>
              </w:rPr>
            </w:r>
            <w:r w:rsidRPr="00790A24">
              <w:rPr>
                <w:rFonts w:eastAsiaTheme="majorEastAsia"/>
                <w:sz w:val="20"/>
                <w:szCs w:val="20"/>
              </w:rPr>
              <w:fldChar w:fldCharType="separate"/>
            </w:r>
            <w:r w:rsidR="00761861" w:rsidRPr="00761861">
              <w:rPr>
                <w:sz w:val="20"/>
                <w:szCs w:val="20"/>
              </w:rPr>
              <w:t xml:space="preserve">Box </w:t>
            </w:r>
            <w:r w:rsidR="00761861" w:rsidRPr="00761861">
              <w:rPr>
                <w:noProof/>
                <w:sz w:val="20"/>
                <w:szCs w:val="20"/>
              </w:rPr>
              <w:t>E</w:t>
            </w:r>
            <w:r w:rsidR="00761861">
              <w:t>.</w:t>
            </w:r>
            <w:r w:rsidRPr="00790A24">
              <w:rPr>
                <w:rFonts w:eastAsiaTheme="majorEastAsia"/>
                <w:sz w:val="20"/>
                <w:szCs w:val="20"/>
              </w:rPr>
              <w:fldChar w:fldCharType="end"/>
            </w:r>
            <w:r w:rsidRPr="00790A24">
              <w:rPr>
                <w:rFonts w:eastAsiaTheme="majorEastAsia"/>
                <w:sz w:val="20"/>
                <w:szCs w:val="20"/>
              </w:rPr>
              <w:t xml:space="preserve">). </w:t>
            </w:r>
          </w:p>
          <w:p w14:paraId="1DADF7BB" w14:textId="77777777" w:rsidR="001710D5" w:rsidRPr="00790A24" w:rsidRDefault="001710D5" w:rsidP="00635881">
            <w:pPr>
              <w:pStyle w:val="TableBodyText"/>
              <w:rPr>
                <w:rFonts w:eastAsiaTheme="majorEastAsia"/>
                <w:sz w:val="20"/>
                <w:szCs w:val="20"/>
              </w:rPr>
            </w:pPr>
            <w:r w:rsidRPr="00790A24">
              <w:rPr>
                <w:rFonts w:eastAsiaTheme="majorEastAsia"/>
                <w:sz w:val="20"/>
                <w:szCs w:val="20"/>
              </w:rPr>
              <w:t xml:space="preserve">Part 22 can be amended by the AEMC through the usual rule change process.  </w:t>
            </w:r>
          </w:p>
          <w:p w14:paraId="36057B4E" w14:textId="77777777" w:rsidR="001710D5" w:rsidRPr="00790A24" w:rsidRDefault="001710D5" w:rsidP="00635881">
            <w:pPr>
              <w:pStyle w:val="TableBodyText"/>
              <w:rPr>
                <w:rFonts w:eastAsiaTheme="majorEastAsia"/>
                <w:sz w:val="20"/>
                <w:szCs w:val="20"/>
              </w:rPr>
            </w:pPr>
            <w:r w:rsidRPr="00790A24">
              <w:rPr>
                <w:rFonts w:eastAsiaTheme="majorEastAsia"/>
                <w:sz w:val="20"/>
                <w:szCs w:val="20"/>
              </w:rPr>
              <w:t>The</w:t>
            </w:r>
            <w:r w:rsidRPr="00790A24">
              <w:rPr>
                <w:sz w:val="20"/>
                <w:szCs w:val="20"/>
              </w:rPr>
              <w:t xml:space="preserve"> AER monitors compliance and can investigate and enforce breaches under </w:t>
            </w:r>
            <w:r>
              <w:rPr>
                <w:sz w:val="20"/>
                <w:szCs w:val="20"/>
              </w:rPr>
              <w:t xml:space="preserve">its </w:t>
            </w:r>
            <w:r w:rsidRPr="00790A24">
              <w:rPr>
                <w:sz w:val="20"/>
                <w:szCs w:val="20"/>
              </w:rPr>
              <w:t>ge</w:t>
            </w:r>
            <w:r w:rsidRPr="00790A24">
              <w:rPr>
                <w:rFonts w:eastAsiaTheme="majorEastAsia"/>
                <w:sz w:val="20"/>
                <w:szCs w:val="20"/>
              </w:rPr>
              <w:t>neral powers.  It also has a specific duty in Part 22 to monitor compliance with the market conduct rules.</w:t>
            </w:r>
          </w:p>
        </w:tc>
      </w:tr>
      <w:tr w:rsidR="001710D5" w:rsidRPr="00790A24" w14:paraId="2F03E19B" w14:textId="77777777" w:rsidTr="00635881">
        <w:trPr>
          <w:cantSplit/>
        </w:trPr>
        <w:tc>
          <w:tcPr>
            <w:tcW w:w="726" w:type="pct"/>
          </w:tcPr>
          <w:p w14:paraId="4FB38641" w14:textId="77777777" w:rsidR="001710D5" w:rsidRPr="00790A24" w:rsidRDefault="001710D5" w:rsidP="00635881">
            <w:pPr>
              <w:pStyle w:val="TableBodyText"/>
              <w:rPr>
                <w:sz w:val="20"/>
                <w:szCs w:val="20"/>
                <w:lang w:eastAsia="fr-CA"/>
              </w:rPr>
            </w:pPr>
            <w:r w:rsidRPr="00790A24">
              <w:rPr>
                <w:sz w:val="20"/>
                <w:szCs w:val="20"/>
                <w:lang w:eastAsia="fr-CA"/>
              </w:rPr>
              <w:t>Exchange Agreement</w:t>
            </w:r>
          </w:p>
        </w:tc>
        <w:tc>
          <w:tcPr>
            <w:tcW w:w="4274" w:type="pct"/>
          </w:tcPr>
          <w:p w14:paraId="35325C4E" w14:textId="77777777" w:rsidR="001710D5" w:rsidRPr="00790A24" w:rsidRDefault="001710D5" w:rsidP="00635881">
            <w:pPr>
              <w:pStyle w:val="TableBodyText"/>
              <w:rPr>
                <w:rFonts w:eastAsiaTheme="majorEastAsia"/>
                <w:sz w:val="20"/>
                <w:szCs w:val="20"/>
              </w:rPr>
            </w:pPr>
            <w:r w:rsidRPr="00790A24">
              <w:rPr>
                <w:rFonts w:eastAsiaTheme="majorEastAsia"/>
                <w:sz w:val="20"/>
                <w:szCs w:val="20"/>
              </w:rPr>
              <w:t xml:space="preserve">The Exchange Agreement </w:t>
            </w:r>
            <w:r>
              <w:rPr>
                <w:rFonts w:eastAsiaTheme="majorEastAsia"/>
                <w:sz w:val="20"/>
                <w:szCs w:val="20"/>
              </w:rPr>
              <w:t xml:space="preserve">that has been developed by </w:t>
            </w:r>
            <w:r w:rsidRPr="00790A24">
              <w:rPr>
                <w:rFonts w:eastAsiaTheme="majorEastAsia"/>
                <w:sz w:val="20"/>
                <w:szCs w:val="20"/>
              </w:rPr>
              <w:t xml:space="preserve">AEMO </w:t>
            </w:r>
            <w:r>
              <w:rPr>
                <w:rFonts w:eastAsiaTheme="majorEastAsia"/>
                <w:sz w:val="20"/>
                <w:szCs w:val="20"/>
              </w:rPr>
              <w:t xml:space="preserve">in accordance with the NGR and NGL, </w:t>
            </w:r>
            <w:r w:rsidRPr="00790A24">
              <w:rPr>
                <w:rFonts w:eastAsiaTheme="majorEastAsia"/>
                <w:sz w:val="20"/>
                <w:szCs w:val="20"/>
              </w:rPr>
              <w:t xml:space="preserve">is a multilateral contract.  It covers admission to the exchange, prudential requirements, </w:t>
            </w:r>
            <w:proofErr w:type="gramStart"/>
            <w:r w:rsidRPr="00790A24">
              <w:rPr>
                <w:rFonts w:eastAsiaTheme="majorEastAsia"/>
                <w:sz w:val="20"/>
                <w:szCs w:val="20"/>
              </w:rPr>
              <w:t>operation</w:t>
            </w:r>
            <w:proofErr w:type="gramEnd"/>
            <w:r w:rsidRPr="00790A24">
              <w:rPr>
                <w:rFonts w:eastAsiaTheme="majorEastAsia"/>
                <w:sz w:val="20"/>
                <w:szCs w:val="20"/>
              </w:rPr>
              <w:t xml:space="preserve"> of the exchange, product definition, delivery obligations and settlement.  Some provisions (such as the </w:t>
            </w:r>
            <w:r>
              <w:rPr>
                <w:rFonts w:eastAsiaTheme="majorEastAsia"/>
                <w:sz w:val="20"/>
                <w:szCs w:val="20"/>
              </w:rPr>
              <w:t>Settlements and Prudential Methodology</w:t>
            </w:r>
            <w:r w:rsidRPr="00790A24">
              <w:rPr>
                <w:rFonts w:eastAsiaTheme="majorEastAsia"/>
                <w:sz w:val="20"/>
                <w:szCs w:val="20"/>
              </w:rPr>
              <w:t xml:space="preserve">) are set out in </w:t>
            </w:r>
            <w:r>
              <w:rPr>
                <w:rFonts w:eastAsiaTheme="majorEastAsia"/>
                <w:sz w:val="20"/>
                <w:szCs w:val="20"/>
              </w:rPr>
              <w:t>subsidiary documents</w:t>
            </w:r>
            <w:r w:rsidRPr="00790A24">
              <w:rPr>
                <w:rFonts w:eastAsiaTheme="majorEastAsia"/>
                <w:sz w:val="20"/>
                <w:szCs w:val="20"/>
              </w:rPr>
              <w:t xml:space="preserve">.  </w:t>
            </w:r>
          </w:p>
          <w:p w14:paraId="680BFD5E" w14:textId="77777777" w:rsidR="001710D5" w:rsidRPr="00790A24" w:rsidRDefault="001710D5" w:rsidP="00635881">
            <w:pPr>
              <w:pStyle w:val="TableBodyText"/>
              <w:rPr>
                <w:sz w:val="20"/>
                <w:szCs w:val="20"/>
                <w:lang w:eastAsia="fr-CA"/>
              </w:rPr>
            </w:pPr>
            <w:bookmarkStart w:id="230" w:name="_Hlk499048545"/>
            <w:r w:rsidRPr="00790A24">
              <w:rPr>
                <w:rFonts w:eastAsiaTheme="majorEastAsia"/>
                <w:sz w:val="20"/>
                <w:szCs w:val="20"/>
              </w:rPr>
              <w:t>The Exchange Agreement can be amended by AEMO over time</w:t>
            </w:r>
            <w:r>
              <w:rPr>
                <w:rFonts w:eastAsiaTheme="majorEastAsia"/>
                <w:sz w:val="20"/>
                <w:szCs w:val="20"/>
              </w:rPr>
              <w:t xml:space="preserve"> to, for example, add new products, remove redundant products, or make refinements to existing products</w:t>
            </w:r>
            <w:r w:rsidRPr="00790A24">
              <w:rPr>
                <w:rFonts w:eastAsiaTheme="majorEastAsia"/>
                <w:sz w:val="20"/>
                <w:szCs w:val="20"/>
              </w:rPr>
              <w:t>.</w:t>
            </w:r>
            <w:r w:rsidRPr="00790A24">
              <w:rPr>
                <w:sz w:val="20"/>
                <w:szCs w:val="20"/>
                <w:lang w:eastAsia="fr-CA"/>
              </w:rPr>
              <w:t xml:space="preserve"> Specifically, rule 540 allows any person to propose an amendment to the </w:t>
            </w:r>
            <w:r>
              <w:rPr>
                <w:sz w:val="20"/>
                <w:szCs w:val="20"/>
                <w:lang w:eastAsia="fr-CA"/>
              </w:rPr>
              <w:t>E</w:t>
            </w:r>
            <w:r w:rsidRPr="00790A24">
              <w:rPr>
                <w:sz w:val="20"/>
                <w:szCs w:val="20"/>
                <w:lang w:eastAsia="fr-CA"/>
              </w:rPr>
              <w:t xml:space="preserve">xchange </w:t>
            </w:r>
            <w:r>
              <w:rPr>
                <w:sz w:val="20"/>
                <w:szCs w:val="20"/>
                <w:lang w:eastAsia="fr-CA"/>
              </w:rPr>
              <w:t>A</w:t>
            </w:r>
            <w:r w:rsidRPr="00790A24">
              <w:rPr>
                <w:sz w:val="20"/>
                <w:szCs w:val="20"/>
                <w:lang w:eastAsia="fr-CA"/>
              </w:rPr>
              <w:t>greement and states that AEMO can approve the amendment if it is satisfied: (a) the amendment is consistent with the NGL and the NGR; and (b) the amendment is appropriate having regard to the NGO and the compliance costs likely to be incurred by AEMO and participants.</w:t>
            </w:r>
            <w:r>
              <w:rPr>
                <w:sz w:val="20"/>
                <w:szCs w:val="20"/>
                <w:lang w:eastAsia="fr-CA"/>
              </w:rPr>
              <w:t xml:space="preserve"> Before making a change, AEMO must consult with gas trading exchange members and any other persons AEMO thinks would be affected by the proposed amendment. </w:t>
            </w:r>
            <w:bookmarkEnd w:id="230"/>
          </w:p>
        </w:tc>
      </w:tr>
      <w:tr w:rsidR="001710D5" w:rsidRPr="00790A24" w14:paraId="12547590" w14:textId="77777777" w:rsidTr="00635881">
        <w:trPr>
          <w:cnfStyle w:val="000000010000" w:firstRow="0" w:lastRow="0" w:firstColumn="0" w:lastColumn="0" w:oddVBand="0" w:evenVBand="0" w:oddHBand="0" w:evenHBand="1" w:firstRowFirstColumn="0" w:firstRowLastColumn="0" w:lastRowFirstColumn="0" w:lastRowLastColumn="0"/>
          <w:cantSplit/>
        </w:trPr>
        <w:tc>
          <w:tcPr>
            <w:tcW w:w="726" w:type="pct"/>
          </w:tcPr>
          <w:p w14:paraId="42F2C4B6" w14:textId="77777777" w:rsidR="001710D5" w:rsidRPr="00790A24" w:rsidRDefault="001710D5" w:rsidP="00635881">
            <w:pPr>
              <w:pStyle w:val="TableBodyText"/>
              <w:rPr>
                <w:sz w:val="20"/>
                <w:szCs w:val="20"/>
                <w:lang w:eastAsia="fr-CA"/>
              </w:rPr>
            </w:pPr>
            <w:r>
              <w:rPr>
                <w:sz w:val="20"/>
                <w:szCs w:val="20"/>
                <w:lang w:eastAsia="fr-CA"/>
              </w:rPr>
              <w:lastRenderedPageBreak/>
              <w:t>GSH Subsidiary Documents</w:t>
            </w:r>
          </w:p>
        </w:tc>
        <w:tc>
          <w:tcPr>
            <w:tcW w:w="4274" w:type="pct"/>
          </w:tcPr>
          <w:p w14:paraId="767145F1" w14:textId="77777777" w:rsidR="001710D5" w:rsidRPr="00790A24" w:rsidRDefault="001710D5" w:rsidP="00635881">
            <w:pPr>
              <w:pStyle w:val="TableBodyText"/>
              <w:rPr>
                <w:sz w:val="20"/>
                <w:szCs w:val="20"/>
              </w:rPr>
            </w:pPr>
            <w:r w:rsidRPr="00790A24">
              <w:rPr>
                <w:sz w:val="20"/>
                <w:szCs w:val="20"/>
              </w:rPr>
              <w:t>AEMO has the power to make procedures in accordance with the Exchange Agreement. The procedures that AEMO has published to date include procedures on:</w:t>
            </w:r>
          </w:p>
          <w:p w14:paraId="729527DB" w14:textId="77777777" w:rsidR="001710D5" w:rsidRPr="00790A24" w:rsidRDefault="001710D5" w:rsidP="00635881">
            <w:pPr>
              <w:pStyle w:val="TableBullet1"/>
              <w:rPr>
                <w:sz w:val="20"/>
                <w:szCs w:val="20"/>
              </w:rPr>
            </w:pPr>
            <w:r w:rsidRPr="00790A24">
              <w:rPr>
                <w:sz w:val="20"/>
                <w:szCs w:val="20"/>
              </w:rPr>
              <w:t>reallocation</w:t>
            </w:r>
            <w:r>
              <w:rPr>
                <w:sz w:val="20"/>
                <w:szCs w:val="20"/>
              </w:rPr>
              <w:t xml:space="preserve"> (the Reallocation Procedure)</w:t>
            </w:r>
            <w:r w:rsidRPr="00790A24">
              <w:rPr>
                <w:sz w:val="20"/>
                <w:szCs w:val="20"/>
              </w:rPr>
              <w:t>;</w:t>
            </w:r>
          </w:p>
          <w:p w14:paraId="5F26FFC2" w14:textId="77777777" w:rsidR="001710D5" w:rsidRPr="00790A24" w:rsidRDefault="001710D5" w:rsidP="00635881">
            <w:pPr>
              <w:pStyle w:val="TableBullet1"/>
              <w:rPr>
                <w:sz w:val="20"/>
                <w:szCs w:val="20"/>
              </w:rPr>
            </w:pPr>
            <w:r w:rsidRPr="00790A24">
              <w:rPr>
                <w:sz w:val="20"/>
                <w:szCs w:val="20"/>
              </w:rPr>
              <w:t xml:space="preserve">the </w:t>
            </w:r>
            <w:r>
              <w:rPr>
                <w:sz w:val="20"/>
                <w:szCs w:val="20"/>
              </w:rPr>
              <w:t>interface between systems (the I</w:t>
            </w:r>
            <w:r w:rsidRPr="00790A24">
              <w:rPr>
                <w:sz w:val="20"/>
                <w:szCs w:val="20"/>
              </w:rPr>
              <w:t xml:space="preserve">nterface </w:t>
            </w:r>
            <w:r>
              <w:rPr>
                <w:sz w:val="20"/>
                <w:szCs w:val="20"/>
              </w:rPr>
              <w:t>P</w:t>
            </w:r>
            <w:r w:rsidRPr="00790A24">
              <w:rPr>
                <w:sz w:val="20"/>
                <w:szCs w:val="20"/>
              </w:rPr>
              <w:t>rotocol</w:t>
            </w:r>
            <w:r>
              <w:rPr>
                <w:sz w:val="20"/>
                <w:szCs w:val="20"/>
              </w:rPr>
              <w:t>)</w:t>
            </w:r>
            <w:r w:rsidRPr="00790A24">
              <w:rPr>
                <w:sz w:val="20"/>
                <w:szCs w:val="20"/>
              </w:rPr>
              <w:t xml:space="preserve">; </w:t>
            </w:r>
          </w:p>
          <w:p w14:paraId="762E9169" w14:textId="77777777" w:rsidR="001710D5" w:rsidRPr="00790A24" w:rsidRDefault="001710D5" w:rsidP="00635881">
            <w:pPr>
              <w:pStyle w:val="TableBullet1"/>
              <w:rPr>
                <w:sz w:val="20"/>
                <w:szCs w:val="20"/>
              </w:rPr>
            </w:pPr>
            <w:r w:rsidRPr="00790A24">
              <w:rPr>
                <w:sz w:val="20"/>
                <w:szCs w:val="20"/>
              </w:rPr>
              <w:t>exchange fees; and</w:t>
            </w:r>
          </w:p>
          <w:p w14:paraId="738D6479" w14:textId="77777777" w:rsidR="001710D5" w:rsidRPr="00790A24" w:rsidRDefault="001710D5" w:rsidP="00635881">
            <w:pPr>
              <w:pStyle w:val="TableBullet1"/>
              <w:rPr>
                <w:sz w:val="20"/>
                <w:szCs w:val="20"/>
              </w:rPr>
            </w:pPr>
            <w:proofErr w:type="gramStart"/>
            <w:r w:rsidRPr="00790A24">
              <w:rPr>
                <w:sz w:val="20"/>
                <w:szCs w:val="20"/>
              </w:rPr>
              <w:t>security</w:t>
            </w:r>
            <w:proofErr w:type="gramEnd"/>
            <w:r w:rsidRPr="00790A24">
              <w:rPr>
                <w:sz w:val="20"/>
                <w:szCs w:val="20"/>
              </w:rPr>
              <w:t xml:space="preserve"> deposits. </w:t>
            </w:r>
          </w:p>
        </w:tc>
      </w:tr>
      <w:bookmarkEnd w:id="229"/>
    </w:tbl>
    <w:p w14:paraId="4D2ED5AD" w14:textId="77777777" w:rsidR="001710D5" w:rsidRDefault="001710D5" w:rsidP="001710D5">
      <w:pPr>
        <w:pStyle w:val="BodyText"/>
        <w:spacing w:before="0" w:after="240"/>
      </w:pPr>
    </w:p>
    <w:p w14:paraId="18C828D0" w14:textId="27C7C465" w:rsidR="001710D5" w:rsidRDefault="001710D5" w:rsidP="001710D5">
      <w:pPr>
        <w:pStyle w:val="Caption"/>
        <w:spacing w:after="0"/>
      </w:pPr>
    </w:p>
    <w:tbl>
      <w:tblPr>
        <w:tblStyle w:val="PullOutBoxTable"/>
        <w:tblW w:w="5000" w:type="pct"/>
        <w:tblLook w:val="0600" w:firstRow="0" w:lastRow="0" w:firstColumn="0" w:lastColumn="0" w:noHBand="1" w:noVBand="1"/>
        <w:tblCaption w:val="Box E.2"/>
        <w:tblDescription w:val="Market Conduct Rules"/>
      </w:tblPr>
      <w:tblGrid>
        <w:gridCol w:w="8789"/>
      </w:tblGrid>
      <w:tr w:rsidR="001710D5" w:rsidRPr="00854182" w14:paraId="4B714951" w14:textId="77777777" w:rsidTr="008528D0">
        <w:trPr>
          <w:tblHeader/>
        </w:trPr>
        <w:tc>
          <w:tcPr>
            <w:tcW w:w="5000" w:type="pct"/>
            <w:shd w:val="clear" w:color="auto" w:fill="auto"/>
          </w:tcPr>
          <w:p w14:paraId="33FEA79F" w14:textId="35C61302" w:rsidR="001710D5" w:rsidRPr="008528D0" w:rsidRDefault="008528D0" w:rsidP="008528D0">
            <w:pPr>
              <w:pStyle w:val="BodyText"/>
              <w:keepNext/>
              <w:spacing w:before="60" w:after="0"/>
              <w:rPr>
                <w:rFonts w:asciiTheme="majorHAnsi" w:hAnsiTheme="majorHAnsi" w:cstheme="majorHAnsi"/>
                <w:b/>
                <w:sz w:val="20"/>
                <w:szCs w:val="20"/>
              </w:rPr>
            </w:pPr>
            <w:bookmarkStart w:id="231" w:name="_Ref492057223"/>
            <w:r w:rsidRPr="008528D0">
              <w:rPr>
                <w:b/>
              </w:rPr>
              <w:t>Box E.</w:t>
            </w:r>
            <w:bookmarkEnd w:id="231"/>
            <w:r w:rsidRPr="008528D0">
              <w:rPr>
                <w:b/>
              </w:rPr>
              <w:t>2: Market Conduct Rules</w:t>
            </w:r>
          </w:p>
        </w:tc>
      </w:tr>
      <w:tr w:rsidR="008528D0" w:rsidRPr="00854182" w14:paraId="720BFCDB" w14:textId="77777777" w:rsidTr="008528D0">
        <w:trPr>
          <w:tblHeader/>
        </w:trPr>
        <w:tc>
          <w:tcPr>
            <w:tcW w:w="5000" w:type="pct"/>
          </w:tcPr>
          <w:p w14:paraId="66563356" w14:textId="77777777" w:rsidR="008528D0" w:rsidRPr="00854182" w:rsidRDefault="008528D0" w:rsidP="008528D0">
            <w:pPr>
              <w:pStyle w:val="BodyText"/>
              <w:keepNext/>
              <w:spacing w:before="0"/>
              <w:rPr>
                <w:rFonts w:asciiTheme="majorHAnsi" w:hAnsiTheme="majorHAnsi" w:cstheme="majorHAnsi"/>
                <w:sz w:val="20"/>
                <w:szCs w:val="20"/>
              </w:rPr>
            </w:pPr>
            <w:r w:rsidRPr="00854182">
              <w:rPr>
                <w:rFonts w:asciiTheme="majorHAnsi" w:hAnsiTheme="majorHAnsi" w:cstheme="majorHAnsi"/>
                <w:sz w:val="20"/>
                <w:szCs w:val="20"/>
              </w:rPr>
              <w:t>The market conduct rules are set out in rules 542-544 of Part 22 of the NGR.</w:t>
            </w:r>
          </w:p>
          <w:p w14:paraId="13FC56AB" w14:textId="77777777" w:rsidR="008528D0" w:rsidRPr="00854182" w:rsidRDefault="008528D0" w:rsidP="008528D0">
            <w:pPr>
              <w:pStyle w:val="BodyText"/>
              <w:keepNext/>
              <w:spacing w:before="60"/>
              <w:rPr>
                <w:rFonts w:asciiTheme="majorHAnsi" w:hAnsiTheme="majorHAnsi" w:cstheme="majorHAnsi"/>
                <w:color w:val="000000"/>
                <w:sz w:val="20"/>
                <w:szCs w:val="20"/>
              </w:rPr>
            </w:pPr>
            <w:r w:rsidRPr="00854182">
              <w:rPr>
                <w:rFonts w:asciiTheme="majorHAnsi" w:hAnsiTheme="majorHAnsi" w:cstheme="majorHAnsi"/>
                <w:sz w:val="20"/>
                <w:szCs w:val="20"/>
              </w:rPr>
              <w:t xml:space="preserve">Rule 542 states that </w:t>
            </w:r>
            <w:r w:rsidRPr="00854182">
              <w:rPr>
                <w:rFonts w:asciiTheme="majorHAnsi" w:hAnsiTheme="majorHAnsi" w:cstheme="majorHAnsi"/>
                <w:color w:val="000000"/>
                <w:sz w:val="20"/>
                <w:szCs w:val="20"/>
              </w:rPr>
              <w:t xml:space="preserve">a GSH member must, in relation to its activities in connection with the GSH or the products it trades on the GSH: </w:t>
            </w:r>
          </w:p>
          <w:p w14:paraId="52958B3A" w14:textId="77777777" w:rsidR="008528D0" w:rsidRPr="00B73860" w:rsidRDefault="008528D0" w:rsidP="008528D0">
            <w:pPr>
              <w:pStyle w:val="ListParagraph"/>
              <w:keepNext/>
              <w:numPr>
                <w:ilvl w:val="4"/>
                <w:numId w:val="46"/>
              </w:numPr>
              <w:autoSpaceDE w:val="0"/>
              <w:autoSpaceDN w:val="0"/>
              <w:adjustRightInd w:val="0"/>
              <w:spacing w:before="60" w:after="120" w:line="240" w:lineRule="auto"/>
              <w:ind w:left="924" w:hanging="357"/>
              <w:contextualSpacing w:val="0"/>
              <w:rPr>
                <w:rFonts w:asciiTheme="majorHAnsi" w:hAnsiTheme="majorHAnsi" w:cstheme="majorHAnsi"/>
                <w:color w:val="000000"/>
                <w:sz w:val="19"/>
                <w:szCs w:val="19"/>
              </w:rPr>
            </w:pPr>
            <w:r w:rsidRPr="00B73860">
              <w:rPr>
                <w:rFonts w:asciiTheme="majorHAnsi" w:hAnsiTheme="majorHAnsi" w:cstheme="majorHAnsi"/>
                <w:color w:val="000000"/>
                <w:sz w:val="19"/>
                <w:szCs w:val="19"/>
              </w:rPr>
              <w:t xml:space="preserve">comply with all applicable laws relevant to the performance of its obligations; and </w:t>
            </w:r>
          </w:p>
          <w:p w14:paraId="4E0B173F" w14:textId="77777777" w:rsidR="008528D0" w:rsidRPr="00B73860" w:rsidRDefault="008528D0" w:rsidP="008528D0">
            <w:pPr>
              <w:pStyle w:val="ListParagraph"/>
              <w:keepNext/>
              <w:numPr>
                <w:ilvl w:val="4"/>
                <w:numId w:val="46"/>
              </w:numPr>
              <w:autoSpaceDE w:val="0"/>
              <w:autoSpaceDN w:val="0"/>
              <w:adjustRightInd w:val="0"/>
              <w:spacing w:before="60" w:after="120" w:line="240" w:lineRule="auto"/>
              <w:ind w:left="924" w:hanging="357"/>
              <w:contextualSpacing w:val="0"/>
              <w:rPr>
                <w:rFonts w:asciiTheme="majorHAnsi" w:hAnsiTheme="majorHAnsi" w:cstheme="majorHAnsi"/>
                <w:color w:val="000000"/>
                <w:sz w:val="19"/>
                <w:szCs w:val="19"/>
              </w:rPr>
            </w:pPr>
            <w:r w:rsidRPr="00B73860">
              <w:rPr>
                <w:rFonts w:asciiTheme="majorHAnsi" w:hAnsiTheme="majorHAnsi" w:cstheme="majorHAnsi"/>
                <w:color w:val="000000"/>
                <w:sz w:val="19"/>
                <w:szCs w:val="19"/>
              </w:rPr>
              <w:t xml:space="preserve">not act fraudulently, dishonestly or in bad faith; and </w:t>
            </w:r>
          </w:p>
          <w:p w14:paraId="1A87AA4D" w14:textId="77777777" w:rsidR="008528D0" w:rsidRPr="00B73860" w:rsidRDefault="008528D0" w:rsidP="008528D0">
            <w:pPr>
              <w:pStyle w:val="BodyText"/>
              <w:keepNext/>
              <w:numPr>
                <w:ilvl w:val="4"/>
                <w:numId w:val="46"/>
              </w:numPr>
              <w:spacing w:before="60"/>
              <w:ind w:left="924" w:hanging="357"/>
              <w:rPr>
                <w:rFonts w:asciiTheme="majorHAnsi" w:hAnsiTheme="majorHAnsi" w:cstheme="majorHAnsi"/>
                <w:sz w:val="19"/>
                <w:szCs w:val="19"/>
              </w:rPr>
            </w:pPr>
            <w:proofErr w:type="gramStart"/>
            <w:r w:rsidRPr="00B73860">
              <w:rPr>
                <w:rFonts w:asciiTheme="majorHAnsi" w:hAnsiTheme="majorHAnsi" w:cstheme="majorHAnsi"/>
                <w:color w:val="000000"/>
                <w:sz w:val="19"/>
                <w:szCs w:val="19"/>
              </w:rPr>
              <w:t>not</w:t>
            </w:r>
            <w:proofErr w:type="gramEnd"/>
            <w:r w:rsidRPr="00B73860">
              <w:rPr>
                <w:rFonts w:asciiTheme="majorHAnsi" w:hAnsiTheme="majorHAnsi" w:cstheme="majorHAnsi"/>
                <w:color w:val="000000"/>
                <w:sz w:val="19"/>
                <w:szCs w:val="19"/>
              </w:rPr>
              <w:t xml:space="preserve"> engage in any conduct with the intent of distorting or manipulating prices (including reported prices) or misleading any person.</w:t>
            </w:r>
          </w:p>
          <w:p w14:paraId="619CFA5A" w14:textId="77777777" w:rsidR="008528D0" w:rsidRPr="00854182" w:rsidRDefault="008528D0" w:rsidP="008528D0">
            <w:pPr>
              <w:pStyle w:val="BodyText"/>
              <w:keepNext/>
              <w:spacing w:before="60"/>
              <w:rPr>
                <w:rFonts w:asciiTheme="majorHAnsi" w:hAnsiTheme="majorHAnsi" w:cstheme="majorHAnsi"/>
                <w:sz w:val="20"/>
                <w:szCs w:val="20"/>
              </w:rPr>
            </w:pPr>
            <w:r w:rsidRPr="00854182">
              <w:rPr>
                <w:rFonts w:asciiTheme="majorHAnsi" w:hAnsiTheme="majorHAnsi" w:cstheme="majorHAnsi"/>
                <w:sz w:val="20"/>
                <w:szCs w:val="20"/>
              </w:rPr>
              <w:t xml:space="preserve">Rule 543 sets out a number of specific conduct rules relating to the trade of products on the GSH and states that: </w:t>
            </w:r>
          </w:p>
          <w:p w14:paraId="5E3D393E" w14:textId="77777777" w:rsidR="008528D0" w:rsidRPr="00B73860" w:rsidRDefault="008528D0" w:rsidP="008528D0">
            <w:pPr>
              <w:keepNext/>
              <w:tabs>
                <w:tab w:val="left" w:pos="964"/>
              </w:tabs>
              <w:autoSpaceDE w:val="0"/>
              <w:autoSpaceDN w:val="0"/>
              <w:adjustRightInd w:val="0"/>
              <w:spacing w:before="60" w:after="120"/>
              <w:ind w:left="924" w:hanging="357"/>
              <w:rPr>
                <w:rFonts w:asciiTheme="majorHAnsi" w:hAnsiTheme="majorHAnsi" w:cstheme="majorHAnsi"/>
                <w:color w:val="000000"/>
                <w:sz w:val="19"/>
                <w:szCs w:val="19"/>
              </w:rPr>
            </w:pPr>
            <w:r w:rsidRPr="00B73860">
              <w:rPr>
                <w:rFonts w:asciiTheme="majorHAnsi" w:hAnsiTheme="majorHAnsi" w:cstheme="majorHAnsi"/>
                <w:color w:val="000000"/>
                <w:sz w:val="19"/>
                <w:szCs w:val="19"/>
              </w:rPr>
              <w:t xml:space="preserve">(1)  A GSH member must not submit offers to buy or sell products on the GSH: </w:t>
            </w:r>
          </w:p>
          <w:p w14:paraId="6DC9E499" w14:textId="77777777" w:rsidR="008528D0" w:rsidRPr="00B73860" w:rsidRDefault="008528D0" w:rsidP="008528D0">
            <w:pPr>
              <w:keepNext/>
              <w:autoSpaceDE w:val="0"/>
              <w:autoSpaceDN w:val="0"/>
              <w:adjustRightInd w:val="0"/>
              <w:spacing w:before="60" w:after="120"/>
              <w:ind w:left="1283" w:hanging="357"/>
              <w:rPr>
                <w:rFonts w:asciiTheme="majorHAnsi" w:hAnsiTheme="majorHAnsi" w:cstheme="majorHAnsi"/>
                <w:color w:val="000000"/>
                <w:sz w:val="19"/>
                <w:szCs w:val="19"/>
              </w:rPr>
            </w:pPr>
            <w:r w:rsidRPr="00B73860">
              <w:rPr>
                <w:rFonts w:asciiTheme="majorHAnsi" w:hAnsiTheme="majorHAnsi" w:cstheme="majorHAnsi"/>
                <w:color w:val="000000"/>
                <w:sz w:val="19"/>
                <w:szCs w:val="19"/>
              </w:rPr>
              <w:t xml:space="preserve">(a) if the member knows, or ought to know, that it will not be able to perform its obligations under a resulting transaction; </w:t>
            </w:r>
          </w:p>
          <w:p w14:paraId="7553C30E" w14:textId="77777777" w:rsidR="008528D0" w:rsidRPr="00B73860" w:rsidRDefault="008528D0" w:rsidP="008528D0">
            <w:pPr>
              <w:keepNext/>
              <w:autoSpaceDE w:val="0"/>
              <w:autoSpaceDN w:val="0"/>
              <w:adjustRightInd w:val="0"/>
              <w:spacing w:before="60" w:after="120"/>
              <w:ind w:left="1283" w:hanging="357"/>
              <w:rPr>
                <w:rFonts w:asciiTheme="majorHAnsi" w:hAnsiTheme="majorHAnsi" w:cstheme="majorHAnsi"/>
                <w:color w:val="000000"/>
                <w:sz w:val="19"/>
                <w:szCs w:val="19"/>
              </w:rPr>
            </w:pPr>
            <w:r w:rsidRPr="00B73860">
              <w:rPr>
                <w:rFonts w:asciiTheme="majorHAnsi" w:hAnsiTheme="majorHAnsi" w:cstheme="majorHAnsi"/>
                <w:color w:val="000000"/>
                <w:sz w:val="19"/>
                <w:szCs w:val="19"/>
              </w:rPr>
              <w:t xml:space="preserve">(b) with the intention of defaulting in its performance; </w:t>
            </w:r>
          </w:p>
          <w:p w14:paraId="296EEB7F" w14:textId="77777777" w:rsidR="008528D0" w:rsidRPr="00B73860" w:rsidRDefault="008528D0" w:rsidP="008528D0">
            <w:pPr>
              <w:keepNext/>
              <w:autoSpaceDE w:val="0"/>
              <w:autoSpaceDN w:val="0"/>
              <w:adjustRightInd w:val="0"/>
              <w:spacing w:before="60" w:after="120"/>
              <w:ind w:left="1283" w:hanging="357"/>
              <w:rPr>
                <w:rFonts w:asciiTheme="majorHAnsi" w:hAnsiTheme="majorHAnsi" w:cstheme="majorHAnsi"/>
                <w:color w:val="000000"/>
                <w:sz w:val="19"/>
                <w:szCs w:val="19"/>
              </w:rPr>
            </w:pPr>
            <w:r w:rsidRPr="00B73860">
              <w:rPr>
                <w:rFonts w:asciiTheme="majorHAnsi" w:hAnsiTheme="majorHAnsi" w:cstheme="majorHAnsi"/>
                <w:color w:val="000000"/>
                <w:sz w:val="19"/>
                <w:szCs w:val="19"/>
              </w:rPr>
              <w:t xml:space="preserve">(c) with the intention of causing a transaction with itself; or </w:t>
            </w:r>
          </w:p>
          <w:p w14:paraId="1F4D20E9" w14:textId="77777777" w:rsidR="008528D0" w:rsidRPr="00B73860" w:rsidRDefault="008528D0" w:rsidP="008528D0">
            <w:pPr>
              <w:keepNext/>
              <w:autoSpaceDE w:val="0"/>
              <w:autoSpaceDN w:val="0"/>
              <w:adjustRightInd w:val="0"/>
              <w:spacing w:before="60" w:after="120"/>
              <w:ind w:left="1283" w:hanging="357"/>
              <w:rPr>
                <w:rFonts w:asciiTheme="majorHAnsi" w:hAnsiTheme="majorHAnsi" w:cstheme="majorHAnsi"/>
                <w:color w:val="000000"/>
                <w:sz w:val="19"/>
                <w:szCs w:val="19"/>
              </w:rPr>
            </w:pPr>
            <w:r w:rsidRPr="00B73860">
              <w:rPr>
                <w:rFonts w:asciiTheme="majorHAnsi" w:hAnsiTheme="majorHAnsi" w:cstheme="majorHAnsi"/>
                <w:color w:val="000000"/>
                <w:sz w:val="19"/>
                <w:szCs w:val="19"/>
              </w:rPr>
              <w:t xml:space="preserve">(d) with the intention of causing a transaction with an associate, in circumstances where the terms of that transaction may be varied on terms that would not reasonably be agreed with a separate unrelated party. </w:t>
            </w:r>
          </w:p>
          <w:p w14:paraId="6CF43FD7" w14:textId="77777777" w:rsidR="008528D0" w:rsidRPr="00B73860" w:rsidRDefault="008528D0" w:rsidP="008528D0">
            <w:pPr>
              <w:keepNext/>
              <w:autoSpaceDE w:val="0"/>
              <w:autoSpaceDN w:val="0"/>
              <w:adjustRightInd w:val="0"/>
              <w:spacing w:before="60" w:after="120"/>
              <w:ind w:left="924" w:hanging="357"/>
              <w:rPr>
                <w:rFonts w:asciiTheme="majorHAnsi" w:hAnsiTheme="majorHAnsi" w:cstheme="majorHAnsi"/>
                <w:color w:val="000000"/>
                <w:sz w:val="19"/>
                <w:szCs w:val="19"/>
              </w:rPr>
            </w:pPr>
            <w:r w:rsidRPr="00B73860">
              <w:rPr>
                <w:rFonts w:asciiTheme="majorHAnsi" w:hAnsiTheme="majorHAnsi" w:cstheme="majorHAnsi"/>
                <w:color w:val="000000"/>
                <w:sz w:val="19"/>
                <w:szCs w:val="19"/>
              </w:rPr>
              <w:t xml:space="preserve">(2)  A GSH member must not intentionally or recklessly default in the performance of its obligations under any transaction arising on the GSH. </w:t>
            </w:r>
          </w:p>
          <w:p w14:paraId="714219F5" w14:textId="77777777" w:rsidR="008528D0" w:rsidRPr="00B73860" w:rsidRDefault="008528D0" w:rsidP="008528D0">
            <w:pPr>
              <w:pStyle w:val="BodyText"/>
              <w:keepNext/>
              <w:spacing w:before="60"/>
              <w:ind w:left="924" w:hanging="357"/>
              <w:rPr>
                <w:rFonts w:asciiTheme="majorHAnsi" w:hAnsiTheme="majorHAnsi" w:cstheme="majorHAnsi"/>
                <w:color w:val="000000"/>
                <w:sz w:val="19"/>
                <w:szCs w:val="19"/>
              </w:rPr>
            </w:pPr>
            <w:r w:rsidRPr="00B73860">
              <w:rPr>
                <w:rFonts w:asciiTheme="majorHAnsi" w:hAnsiTheme="majorHAnsi" w:cstheme="majorHAnsi"/>
                <w:color w:val="000000"/>
                <w:sz w:val="19"/>
                <w:szCs w:val="19"/>
              </w:rPr>
              <w:t xml:space="preserve">(3)  A GSH member must not manipulate or attempt to manipulate the price of products traded on the gas trading exchange. </w:t>
            </w:r>
          </w:p>
          <w:p w14:paraId="0FEAB9C7" w14:textId="77777777" w:rsidR="008528D0" w:rsidRPr="00854182" w:rsidRDefault="008528D0" w:rsidP="008528D0">
            <w:pPr>
              <w:pStyle w:val="BodyText"/>
              <w:keepNext/>
              <w:spacing w:before="60"/>
              <w:rPr>
                <w:rFonts w:asciiTheme="majorHAnsi" w:hAnsiTheme="majorHAnsi" w:cstheme="majorHAnsi"/>
                <w:sz w:val="20"/>
                <w:szCs w:val="20"/>
              </w:rPr>
            </w:pPr>
            <w:r w:rsidRPr="00854182">
              <w:rPr>
                <w:rFonts w:asciiTheme="majorHAnsi" w:hAnsiTheme="majorHAnsi" w:cstheme="majorHAnsi"/>
                <w:sz w:val="20"/>
                <w:szCs w:val="20"/>
              </w:rPr>
              <w:t xml:space="preserve">Rule 544 sets out a number of specific conduct rules relating to the provision of information and states that: </w:t>
            </w:r>
          </w:p>
          <w:p w14:paraId="3AE5BED1" w14:textId="77777777" w:rsidR="008528D0" w:rsidRPr="00B73860" w:rsidRDefault="008528D0" w:rsidP="008528D0">
            <w:pPr>
              <w:pStyle w:val="BodyText"/>
              <w:keepNext/>
              <w:spacing w:before="60"/>
              <w:ind w:left="924" w:hanging="357"/>
              <w:rPr>
                <w:rFonts w:asciiTheme="majorHAnsi" w:hAnsiTheme="majorHAnsi" w:cstheme="majorHAnsi"/>
                <w:sz w:val="19"/>
                <w:szCs w:val="19"/>
              </w:rPr>
            </w:pPr>
            <w:r w:rsidRPr="00B73860">
              <w:rPr>
                <w:rFonts w:asciiTheme="majorHAnsi" w:hAnsiTheme="majorHAnsi" w:cstheme="majorHAnsi"/>
                <w:sz w:val="19"/>
                <w:szCs w:val="19"/>
              </w:rPr>
              <w:t xml:space="preserve">(1) A GSH member must take all reasonable steps to ensure that all data and information given to AEMO or another member in accordance with the </w:t>
            </w:r>
            <w:r>
              <w:rPr>
                <w:rFonts w:asciiTheme="majorHAnsi" w:hAnsiTheme="majorHAnsi" w:cstheme="majorHAnsi"/>
                <w:sz w:val="19"/>
                <w:szCs w:val="19"/>
              </w:rPr>
              <w:t>E</w:t>
            </w:r>
            <w:r w:rsidRPr="00B73860">
              <w:rPr>
                <w:rFonts w:asciiTheme="majorHAnsi" w:hAnsiTheme="majorHAnsi" w:cstheme="majorHAnsi"/>
                <w:sz w:val="19"/>
                <w:szCs w:val="19"/>
              </w:rPr>
              <w:t xml:space="preserve">xchange </w:t>
            </w:r>
            <w:r>
              <w:rPr>
                <w:rFonts w:asciiTheme="majorHAnsi" w:hAnsiTheme="majorHAnsi" w:cstheme="majorHAnsi"/>
                <w:sz w:val="19"/>
                <w:szCs w:val="19"/>
              </w:rPr>
              <w:t>A</w:t>
            </w:r>
            <w:r w:rsidRPr="00B73860">
              <w:rPr>
                <w:rFonts w:asciiTheme="majorHAnsi" w:hAnsiTheme="majorHAnsi" w:cstheme="majorHAnsi"/>
                <w:sz w:val="19"/>
                <w:szCs w:val="19"/>
              </w:rPr>
              <w:t xml:space="preserve">greement is correct. </w:t>
            </w:r>
          </w:p>
          <w:p w14:paraId="1AD62242" w14:textId="77777777" w:rsidR="008528D0" w:rsidRPr="00B73860" w:rsidRDefault="008528D0" w:rsidP="008528D0">
            <w:pPr>
              <w:pStyle w:val="BodyText"/>
              <w:keepNext/>
              <w:spacing w:before="60"/>
              <w:ind w:left="924" w:hanging="357"/>
              <w:rPr>
                <w:rFonts w:asciiTheme="majorHAnsi" w:hAnsiTheme="majorHAnsi" w:cstheme="majorHAnsi"/>
                <w:sz w:val="19"/>
                <w:szCs w:val="19"/>
              </w:rPr>
            </w:pPr>
            <w:r w:rsidRPr="00B73860">
              <w:rPr>
                <w:rFonts w:asciiTheme="majorHAnsi" w:hAnsiTheme="majorHAnsi" w:cstheme="majorHAnsi"/>
                <w:sz w:val="19"/>
                <w:szCs w:val="19"/>
              </w:rPr>
              <w:t xml:space="preserve">(2) A GSH member must comply with its obligations under the </w:t>
            </w:r>
            <w:r>
              <w:rPr>
                <w:rFonts w:asciiTheme="majorHAnsi" w:hAnsiTheme="majorHAnsi" w:cstheme="majorHAnsi"/>
                <w:sz w:val="19"/>
                <w:szCs w:val="19"/>
              </w:rPr>
              <w:t>E</w:t>
            </w:r>
            <w:r w:rsidRPr="00B73860">
              <w:rPr>
                <w:rFonts w:asciiTheme="majorHAnsi" w:hAnsiTheme="majorHAnsi" w:cstheme="majorHAnsi"/>
                <w:sz w:val="19"/>
                <w:szCs w:val="19"/>
              </w:rPr>
              <w:t xml:space="preserve">xchange </w:t>
            </w:r>
            <w:r>
              <w:rPr>
                <w:rFonts w:asciiTheme="majorHAnsi" w:hAnsiTheme="majorHAnsi" w:cstheme="majorHAnsi"/>
                <w:sz w:val="19"/>
                <w:szCs w:val="19"/>
              </w:rPr>
              <w:t>A</w:t>
            </w:r>
            <w:r w:rsidRPr="00B73860">
              <w:rPr>
                <w:rFonts w:asciiTheme="majorHAnsi" w:hAnsiTheme="majorHAnsi" w:cstheme="majorHAnsi"/>
                <w:sz w:val="19"/>
                <w:szCs w:val="19"/>
              </w:rPr>
              <w:t>greement to keep information confidential.</w:t>
            </w:r>
          </w:p>
          <w:p w14:paraId="1C5488AC" w14:textId="23ECF8A6" w:rsidR="008528D0" w:rsidRPr="008528D0" w:rsidRDefault="008528D0" w:rsidP="008528D0">
            <w:pPr>
              <w:pStyle w:val="BodyText"/>
              <w:keepNext/>
              <w:spacing w:before="60"/>
              <w:rPr>
                <w:b/>
              </w:rPr>
            </w:pPr>
            <w:r>
              <w:rPr>
                <w:rFonts w:asciiTheme="majorHAnsi" w:hAnsiTheme="majorHAnsi" w:cstheme="majorHAnsi"/>
                <w:sz w:val="20"/>
                <w:szCs w:val="20"/>
              </w:rPr>
              <w:t xml:space="preserve">These rules are all </w:t>
            </w:r>
            <w:r w:rsidRPr="00854182">
              <w:rPr>
                <w:rFonts w:asciiTheme="majorHAnsi" w:hAnsiTheme="majorHAnsi" w:cstheme="majorHAnsi"/>
                <w:sz w:val="20"/>
                <w:szCs w:val="20"/>
              </w:rPr>
              <w:t xml:space="preserve">classified as conduct and civil penalty provisions </w:t>
            </w:r>
            <w:r>
              <w:rPr>
                <w:rFonts w:asciiTheme="majorHAnsi" w:hAnsiTheme="majorHAnsi" w:cstheme="majorHAnsi"/>
                <w:sz w:val="20"/>
                <w:szCs w:val="20"/>
              </w:rPr>
              <w:t>and compliance with the rules is overseen by the AER.</w:t>
            </w:r>
          </w:p>
        </w:tc>
      </w:tr>
    </w:tbl>
    <w:p w14:paraId="54167800" w14:textId="77777777" w:rsidR="001710D5" w:rsidRDefault="001710D5" w:rsidP="001710D5">
      <w:pPr>
        <w:pStyle w:val="BodyText"/>
        <w:spacing w:before="0" w:after="240"/>
      </w:pPr>
    </w:p>
    <w:p w14:paraId="7D066E17" w14:textId="77777777" w:rsidR="001710D5" w:rsidRPr="00A9425D" w:rsidRDefault="001710D5" w:rsidP="006E75F9">
      <w:pPr>
        <w:spacing w:line="240" w:lineRule="auto"/>
        <w:rPr>
          <w:rStyle w:val="BodyTextChar"/>
          <w:sz w:val="2"/>
          <w:szCs w:val="2"/>
        </w:rPr>
      </w:pPr>
    </w:p>
    <w:p w14:paraId="7ABA5D3E" w14:textId="77777777" w:rsidR="00C951A9" w:rsidRPr="00A9425D" w:rsidRDefault="00C951A9">
      <w:pPr>
        <w:spacing w:line="240" w:lineRule="auto"/>
        <w:rPr>
          <w:rStyle w:val="BodyTextChar"/>
          <w:sz w:val="2"/>
          <w:szCs w:val="2"/>
        </w:rPr>
      </w:pPr>
    </w:p>
    <w:sectPr w:rsidR="00C951A9" w:rsidRPr="00A9425D" w:rsidSect="001710D5">
      <w:pgSz w:w="11907" w:h="16839" w:code="9"/>
      <w:pgMar w:top="1361" w:right="1417" w:bottom="709" w:left="1701" w:header="567" w:footer="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ED17219" w14:textId="77777777" w:rsidR="00656FC1" w:rsidRDefault="00656FC1" w:rsidP="00256624">
      <w:r>
        <w:separator/>
      </w:r>
    </w:p>
    <w:p w14:paraId="3412E866" w14:textId="77777777" w:rsidR="00656FC1" w:rsidRDefault="00656FC1"/>
  </w:endnote>
  <w:endnote w:type="continuationSeparator" w:id="0">
    <w:p w14:paraId="0E9FA6E1" w14:textId="77777777" w:rsidR="00656FC1" w:rsidRDefault="00656FC1" w:rsidP="00256624">
      <w:r>
        <w:continuationSeparator/>
      </w:r>
    </w:p>
    <w:p w14:paraId="1DD1C26F" w14:textId="77777777" w:rsidR="00656FC1" w:rsidRDefault="00656FC1"/>
  </w:endnote>
  <w:endnote w:type="continuationNotice" w:id="1">
    <w:p w14:paraId="541A749C" w14:textId="77777777" w:rsidR="00656FC1" w:rsidRDefault="00656FC1">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 Antiqua">
    <w:panose1 w:val="02040602050305030304"/>
    <w:charset w:val="00"/>
    <w:family w:val="roman"/>
    <w:pitch w:val="variable"/>
    <w:sig w:usb0="00000287" w:usb1="00000000" w:usb2="00000000" w:usb3="00000000" w:csb0="0000009F" w:csb1="00000000"/>
  </w:font>
  <w:font w:name="Arial Rounded MT Bold">
    <w:panose1 w:val="020F0704030504030204"/>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Gotham Light">
    <w:altName w:val="Calibri"/>
    <w:panose1 w:val="00000000000000000000"/>
    <w:charset w:val="00"/>
    <w:family w:val="swiss"/>
    <w:notTrueType/>
    <w:pitch w:val="default"/>
    <w:sig w:usb0="00000003" w:usb1="00000000" w:usb2="00000000" w:usb3="00000000" w:csb0="00000001" w:csb1="00000000"/>
  </w:font>
  <w:font w:name="ArialMT">
    <w:altName w:val="Arial"/>
    <w:panose1 w:val="00000000000000000000"/>
    <w:charset w:val="4D"/>
    <w:family w:val="auto"/>
    <w:notTrueType/>
    <w:pitch w:val="default"/>
    <w:sig w:usb0="00000003" w:usb1="00000000" w:usb2="00000000" w:usb3="00000000" w:csb0="00000001" w:csb1="00000000"/>
  </w:font>
  <w:font w:name="Myriad Pro">
    <w:altName w:val="Segoe UI"/>
    <w:panose1 w:val="00000000000000000000"/>
    <w:charset w:val="00"/>
    <w:family w:val="swiss"/>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Franklin Gothic Demi Cond">
    <w:panose1 w:val="020B0706030402020204"/>
    <w:charset w:val="00"/>
    <w:family w:val="swiss"/>
    <w:pitch w:val="variable"/>
    <w:sig w:usb0="00000287" w:usb1="00000000" w:usb2="00000000" w:usb3="00000000" w:csb0="0000009F" w:csb1="00000000"/>
  </w:font>
  <w:font w:name="Segoe UI">
    <w:panose1 w:val="020B0502040204020203"/>
    <w:charset w:val="00"/>
    <w:family w:val="swiss"/>
    <w:pitch w:val="variable"/>
    <w:sig w:usb0="E10022FF" w:usb1="C000E47F" w:usb2="00000029" w:usb3="00000000" w:csb0="000001D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33E7B09" w14:textId="77777777" w:rsidR="00656FC1" w:rsidRDefault="00656FC1">
    <w:pPr>
      <w:pStyle w:val="Footer"/>
    </w:pPr>
    <w:bookmarkStart w:id="1" w:name="_Hlk491874953"/>
    <w:bookmarkStart w:id="2" w:name="_Hlk491874954"/>
    <w:bookmarkStart w:id="3" w:name="_Hlk491874955"/>
    <w:bookmarkStart w:id="4" w:name="_Hlk492057950"/>
    <w:bookmarkStart w:id="5" w:name="_Hlk492057951"/>
    <w:bookmarkStart w:id="6" w:name="_Hlk492057952"/>
    <w:bookmarkStart w:id="7" w:name="_Hlk492112249"/>
    <w:bookmarkStart w:id="8" w:name="_Hlk492112250"/>
    <w:bookmarkStart w:id="9" w:name="_Hlk492112251"/>
    <w:bookmarkEnd w:id="1"/>
    <w:bookmarkEnd w:id="2"/>
    <w:bookmarkEnd w:id="3"/>
    <w:bookmarkEnd w:id="4"/>
    <w:bookmarkEnd w:id="5"/>
    <w:bookmarkEnd w:id="6"/>
    <w:bookmarkEnd w:id="7"/>
    <w:bookmarkEnd w:id="8"/>
    <w:bookmarkEnd w:id="9"/>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260844" w14:textId="77777777" w:rsidR="00656FC1" w:rsidRDefault="00656FC1" w:rsidP="00887CBF">
    <w:pPr>
      <w:pStyle w:val="Footer"/>
      <w:pBdr>
        <w:top w:val="single" w:sz="4" w:space="1" w:color="0099CC"/>
      </w:pBdr>
      <w:spacing w:line="80" w:lineRule="exact"/>
    </w:pPr>
  </w:p>
  <w:p w14:paraId="2318032E" w14:textId="77777777" w:rsidR="00656FC1" w:rsidRDefault="00656FC1" w:rsidP="004B3D51">
    <w:pPr>
      <w:pStyle w:val="Footer"/>
    </w:pPr>
    <w:r>
      <w:fldChar w:fldCharType="begin"/>
    </w:r>
    <w:r>
      <w:instrText xml:space="preserve"> PAGE   \* MERGEFORMAT </w:instrText>
    </w:r>
    <w:r>
      <w:fldChar w:fldCharType="separate"/>
    </w:r>
    <w:r w:rsidR="008528D0">
      <w:rPr>
        <w:noProof/>
      </w:rPr>
      <w:t>16</w:t>
    </w:r>
    <w:r>
      <w:rPr>
        <w:noProof/>
      </w:rPr>
      <w:fldChar w:fldCharType="end"/>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5081FDE" w14:textId="77777777" w:rsidR="00656FC1" w:rsidRDefault="00656FC1" w:rsidP="00887CBF">
    <w:pPr>
      <w:pStyle w:val="Footer"/>
      <w:pBdr>
        <w:top w:val="single" w:sz="4" w:space="1" w:color="0099CC"/>
      </w:pBdr>
      <w:spacing w:line="80" w:lineRule="exact"/>
    </w:pPr>
  </w:p>
  <w:p w14:paraId="63BB5C3E" w14:textId="77777777" w:rsidR="00656FC1" w:rsidRDefault="00656FC1" w:rsidP="004B3D51">
    <w:pPr>
      <w:pStyle w:val="Footer"/>
    </w:pPr>
    <w:r>
      <w:fldChar w:fldCharType="begin"/>
    </w:r>
    <w:r>
      <w:instrText xml:space="preserve"> PAGE   \* MERGEFORMAT </w:instrText>
    </w:r>
    <w:r>
      <w:fldChar w:fldCharType="separate"/>
    </w:r>
    <w:r w:rsidR="008528D0">
      <w:rPr>
        <w:noProof/>
      </w:rPr>
      <w:t>30</w:t>
    </w:r>
    <w:r>
      <w:rPr>
        <w:noProof/>
      </w:rPr>
      <w:fldChar w:fldCharType="end"/>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E675116" w14:textId="77777777" w:rsidR="00656FC1" w:rsidRDefault="00656FC1" w:rsidP="00887CBF">
    <w:pPr>
      <w:pStyle w:val="Footer"/>
      <w:pBdr>
        <w:top w:val="single" w:sz="4" w:space="1" w:color="0099CC"/>
      </w:pBdr>
      <w:spacing w:line="80" w:lineRule="exact"/>
    </w:pPr>
  </w:p>
  <w:p w14:paraId="7C9E6FD6" w14:textId="77777777" w:rsidR="00656FC1" w:rsidRDefault="00656FC1" w:rsidP="004B3D51">
    <w:pPr>
      <w:pStyle w:val="Footer"/>
    </w:pPr>
    <w:r>
      <w:fldChar w:fldCharType="begin"/>
    </w:r>
    <w:r>
      <w:instrText xml:space="preserve"> PAGE   \* MERGEFORMAT </w:instrText>
    </w:r>
    <w:r>
      <w:fldChar w:fldCharType="separate"/>
    </w:r>
    <w:r w:rsidR="008528D0">
      <w:rPr>
        <w:noProof/>
      </w:rPr>
      <w:t>40</w:t>
    </w:r>
    <w:r>
      <w:rPr>
        <w:noProof/>
      </w:rPr>
      <w:fldChar w:fldCharType="end"/>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7F17EF" w14:textId="77777777" w:rsidR="00656FC1" w:rsidRDefault="00656FC1" w:rsidP="00887CBF">
    <w:pPr>
      <w:pStyle w:val="Footer"/>
      <w:pBdr>
        <w:top w:val="single" w:sz="4" w:space="1" w:color="0099CC"/>
      </w:pBdr>
      <w:spacing w:line="80" w:lineRule="exact"/>
    </w:pPr>
  </w:p>
  <w:p w14:paraId="55C6341E" w14:textId="77777777" w:rsidR="00656FC1" w:rsidRDefault="00656FC1" w:rsidP="004B3D51">
    <w:pPr>
      <w:pStyle w:val="Footer"/>
    </w:pPr>
    <w:r>
      <w:fldChar w:fldCharType="begin"/>
    </w:r>
    <w:r>
      <w:instrText xml:space="preserve"> PAGE   \* MERGEFORMAT </w:instrText>
    </w:r>
    <w:r>
      <w:fldChar w:fldCharType="separate"/>
    </w:r>
    <w:r w:rsidR="008528D0">
      <w:rPr>
        <w:noProof/>
      </w:rPr>
      <w:t>78</w:t>
    </w:r>
    <w:r>
      <w:rPr>
        <w:noProof/>
      </w:rPr>
      <w:fldChar w:fldCharType="end"/>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22D349" w14:textId="77777777" w:rsidR="00656FC1" w:rsidRDefault="00656FC1" w:rsidP="00C951A9">
    <w:pPr>
      <w:pStyle w:val="Footer"/>
      <w:pBdr>
        <w:top w:val="single" w:sz="4" w:space="1" w:color="0099CC"/>
      </w:pBdr>
      <w:spacing w:before="20" w:line="80" w:lineRule="exact"/>
    </w:pPr>
  </w:p>
  <w:p w14:paraId="34106825" w14:textId="77777777" w:rsidR="00656FC1" w:rsidRDefault="00656FC1" w:rsidP="004B3D51">
    <w:pPr>
      <w:pStyle w:val="Footer"/>
    </w:pPr>
    <w:r>
      <w:fldChar w:fldCharType="begin"/>
    </w:r>
    <w:r>
      <w:instrText xml:space="preserve"> PAGE   \* MERGEFORMAT </w:instrText>
    </w:r>
    <w:r>
      <w:fldChar w:fldCharType="separate"/>
    </w:r>
    <w:r w:rsidR="008528D0">
      <w:rPr>
        <w:noProof/>
      </w:rPr>
      <w:t>132</w:t>
    </w:r>
    <w:r>
      <w:rPr>
        <w:noProof/>
      </w:rPr>
      <w:fldChar w:fldCharType="end"/>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52DCBF6" w14:textId="77777777" w:rsidR="00656FC1" w:rsidRDefault="00656FC1" w:rsidP="00852D52">
    <w:pPr>
      <w:pStyle w:val="Footer"/>
      <w:pBdr>
        <w:top w:val="single" w:sz="4" w:space="1" w:color="0099CC"/>
      </w:pBdr>
      <w:spacing w:before="240" w:line="80" w:lineRule="exact"/>
    </w:pPr>
  </w:p>
  <w:p w14:paraId="78F6906E" w14:textId="77777777" w:rsidR="00656FC1" w:rsidRDefault="00656FC1" w:rsidP="004B3D51">
    <w:pPr>
      <w:pStyle w:val="Footer"/>
    </w:pPr>
    <w:r>
      <w:fldChar w:fldCharType="begin"/>
    </w:r>
    <w:r>
      <w:instrText xml:space="preserve"> PAGE   \* MERGEFORMAT </w:instrText>
    </w:r>
    <w:r>
      <w:fldChar w:fldCharType="separate"/>
    </w:r>
    <w:r w:rsidR="008528D0">
      <w:rPr>
        <w:noProof/>
      </w:rPr>
      <w:t>149</w:t>
    </w:r>
    <w:r>
      <w:rPr>
        <w:noProof/>
      </w:rPr>
      <w:fldChar w:fldCharType="end"/>
    </w:r>
  </w:p>
  <w:p w14:paraId="260FB3BD" w14:textId="77777777" w:rsidR="00656FC1" w:rsidRDefault="00656FC1"/>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79AA5AC" w14:textId="77777777" w:rsidR="00656FC1" w:rsidRDefault="00656FC1" w:rsidP="00887CBF">
    <w:pPr>
      <w:pStyle w:val="Footer"/>
      <w:pBdr>
        <w:top w:val="single" w:sz="4" w:space="1" w:color="0099CC"/>
      </w:pBdr>
      <w:spacing w:line="80" w:lineRule="exact"/>
    </w:pPr>
  </w:p>
  <w:p w14:paraId="52D277FF" w14:textId="77777777" w:rsidR="00656FC1" w:rsidRDefault="00656FC1" w:rsidP="004B3D51">
    <w:pPr>
      <w:pStyle w:val="Footer"/>
    </w:pPr>
    <w:r>
      <w:fldChar w:fldCharType="begin"/>
    </w:r>
    <w:r>
      <w:instrText xml:space="preserve"> PAGE   \* MERGEFORMAT </w:instrText>
    </w:r>
    <w:r>
      <w:fldChar w:fldCharType="separate"/>
    </w:r>
    <w:r w:rsidR="008528D0">
      <w:rPr>
        <w:noProof/>
      </w:rPr>
      <w:t>157</w:t>
    </w:r>
    <w:r>
      <w:rPr>
        <w:noProof/>
      </w:rPr>
      <w:fldChar w:fldCharType="end"/>
    </w:r>
  </w:p>
  <w:p w14:paraId="6F525A89" w14:textId="77777777" w:rsidR="00656FC1" w:rsidRDefault="00656FC1"/>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31ECA47" w14:textId="77777777" w:rsidR="00656FC1" w:rsidRDefault="00656FC1">
    <w:pPr>
      <w:pStyle w:val="Footer"/>
    </w:pPr>
    <w:bookmarkStart w:id="10" w:name="_Hlk491874947"/>
    <w:bookmarkStart w:id="11" w:name="_Hlk491874948"/>
    <w:bookmarkStart w:id="12" w:name="_Hlk491874949"/>
    <w:bookmarkStart w:id="13" w:name="_Hlk492057944"/>
    <w:bookmarkStart w:id="14" w:name="_Hlk492057945"/>
    <w:bookmarkStart w:id="15" w:name="_Hlk492057946"/>
    <w:bookmarkStart w:id="16" w:name="_Hlk492112243"/>
    <w:bookmarkStart w:id="17" w:name="_Hlk492112244"/>
    <w:bookmarkStart w:id="18" w:name="_Hlk492112245"/>
    <w:bookmarkEnd w:id="10"/>
    <w:bookmarkEnd w:id="11"/>
    <w:bookmarkEnd w:id="12"/>
    <w:bookmarkEnd w:id="13"/>
    <w:bookmarkEnd w:id="14"/>
    <w:bookmarkEnd w:id="15"/>
    <w:bookmarkEnd w:id="16"/>
    <w:bookmarkEnd w:id="17"/>
    <w:bookmarkEnd w:id="18"/>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4EA3462" w14:textId="77777777" w:rsidR="00656FC1" w:rsidRDefault="00656FC1" w:rsidP="0044504D">
    <w:pPr>
      <w:pStyle w:val="Footer"/>
      <w:pBdr>
        <w:top w:val="single" w:sz="4" w:space="1" w:color="214C90" w:themeColor="text2"/>
      </w:pBdr>
      <w:spacing w:line="80" w:lineRule="exact"/>
    </w:pPr>
  </w:p>
  <w:p w14:paraId="47E86AD1" w14:textId="77777777" w:rsidR="00656FC1" w:rsidRPr="003B6692" w:rsidRDefault="00656FC1" w:rsidP="003B6692">
    <w:pPr>
      <w:pStyle w:val="Footer"/>
    </w:pPr>
    <w:r>
      <w:fldChar w:fldCharType="begin"/>
    </w:r>
    <w:r>
      <w:instrText xml:space="preserve"> PAGE   \* MERGEFORMAT </w:instrText>
    </w:r>
    <w:r>
      <w:fldChar w:fldCharType="separate"/>
    </w:r>
    <w:r w:rsidR="008528D0">
      <w:rPr>
        <w:noProof/>
      </w:rPr>
      <w:t>iv</w:t>
    </w:r>
    <w:r>
      <w:rPr>
        <w:noProof/>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86AEF76" w14:textId="77777777" w:rsidR="00656FC1" w:rsidRDefault="00656FC1" w:rsidP="00887CBF">
    <w:pPr>
      <w:pStyle w:val="Footer"/>
      <w:pBdr>
        <w:top w:val="single" w:sz="4" w:space="1" w:color="0099CC"/>
      </w:pBdr>
      <w:spacing w:line="80" w:lineRule="exact"/>
    </w:pPr>
  </w:p>
  <w:p w14:paraId="5971386A" w14:textId="77777777" w:rsidR="00656FC1" w:rsidRDefault="00656FC1" w:rsidP="004B3D51">
    <w:pPr>
      <w:pStyle w:val="Footer"/>
    </w:pPr>
    <w:r>
      <w:fldChar w:fldCharType="begin"/>
    </w:r>
    <w:r>
      <w:instrText xml:space="preserve"> PAGE   \* MERGEFORMAT </w:instrText>
    </w:r>
    <w:r>
      <w:fldChar w:fldCharType="separate"/>
    </w:r>
    <w:r w:rsidR="008528D0">
      <w:rPr>
        <w:noProof/>
      </w:rPr>
      <w:t>4</w:t>
    </w:r>
    <w:r>
      <w:rPr>
        <w:noProof/>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B86A18" w14:textId="77777777" w:rsidR="00656FC1" w:rsidRDefault="00656FC1" w:rsidP="00887CBF">
    <w:pPr>
      <w:pStyle w:val="Footer"/>
      <w:pBdr>
        <w:top w:val="single" w:sz="4" w:space="1" w:color="0099CC"/>
      </w:pBdr>
      <w:spacing w:line="80" w:lineRule="exact"/>
    </w:pPr>
  </w:p>
  <w:p w14:paraId="36CAEC17" w14:textId="77777777" w:rsidR="00656FC1" w:rsidRDefault="00656FC1" w:rsidP="004B3D51">
    <w:pPr>
      <w:pStyle w:val="Footer"/>
    </w:pPr>
    <w:r>
      <w:fldChar w:fldCharType="begin"/>
    </w:r>
    <w:r>
      <w:instrText xml:space="preserve"> PAGE   \* MERGEFORMAT </w:instrText>
    </w:r>
    <w:r>
      <w:fldChar w:fldCharType="separate"/>
    </w:r>
    <w:r w:rsidR="008528D0">
      <w:rPr>
        <w:noProof/>
      </w:rPr>
      <w:t>9</w:t>
    </w:r>
    <w:r>
      <w:rPr>
        <w:noProof/>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BCCB34" w14:textId="77777777" w:rsidR="00656FC1" w:rsidRDefault="00656FC1" w:rsidP="00887CBF">
    <w:pPr>
      <w:pStyle w:val="Footer"/>
      <w:pBdr>
        <w:top w:val="single" w:sz="4" w:space="1" w:color="0099CC"/>
      </w:pBdr>
      <w:spacing w:line="80" w:lineRule="exact"/>
    </w:pPr>
  </w:p>
  <w:p w14:paraId="60CC64C7" w14:textId="77777777" w:rsidR="00656FC1" w:rsidRDefault="00656FC1" w:rsidP="004B3D51">
    <w:pPr>
      <w:pStyle w:val="Footer"/>
    </w:pPr>
    <w:r>
      <w:fldChar w:fldCharType="begin"/>
    </w:r>
    <w:r>
      <w:instrText xml:space="preserve"> PAGE   \* MERGEFORMAT </w:instrText>
    </w:r>
    <w:r>
      <w:fldChar w:fldCharType="separate"/>
    </w:r>
    <w:r w:rsidR="008528D0">
      <w:rPr>
        <w:noProof/>
      </w:rPr>
      <w:t>10</w:t>
    </w:r>
    <w:r>
      <w:rPr>
        <w:noProof/>
      </w:rPr>
      <w:fldChar w:fldCharType="end"/>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8D2D632" w14:textId="77777777" w:rsidR="00656FC1" w:rsidRDefault="00656FC1" w:rsidP="00887CBF">
    <w:pPr>
      <w:pStyle w:val="Footer"/>
      <w:pBdr>
        <w:top w:val="single" w:sz="4" w:space="1" w:color="0099CC"/>
      </w:pBdr>
      <w:spacing w:line="80" w:lineRule="exact"/>
    </w:pPr>
  </w:p>
  <w:p w14:paraId="7B703DA3" w14:textId="77777777" w:rsidR="00656FC1" w:rsidRDefault="00656FC1" w:rsidP="004B3D51">
    <w:pPr>
      <w:pStyle w:val="Footer"/>
    </w:pPr>
    <w:r>
      <w:fldChar w:fldCharType="begin"/>
    </w:r>
    <w:r>
      <w:instrText xml:space="preserve"> PAGE   \* MERGEFORMAT </w:instrText>
    </w:r>
    <w:r>
      <w:fldChar w:fldCharType="separate"/>
    </w:r>
    <w:r w:rsidR="008528D0">
      <w:rPr>
        <w:noProof/>
      </w:rPr>
      <w:t>11</w:t>
    </w:r>
    <w:r>
      <w:rPr>
        <w:noProof/>
      </w:rPr>
      <w:fldChar w:fldCharType="end"/>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A7E0E42" w14:textId="77777777" w:rsidR="00656FC1" w:rsidRDefault="00656FC1" w:rsidP="00887CBF">
    <w:pPr>
      <w:pStyle w:val="Footer"/>
      <w:pBdr>
        <w:top w:val="single" w:sz="4" w:space="1" w:color="0099CC"/>
      </w:pBdr>
      <w:spacing w:line="80" w:lineRule="exact"/>
    </w:pPr>
  </w:p>
  <w:p w14:paraId="10F5DF95" w14:textId="77777777" w:rsidR="00656FC1" w:rsidRDefault="00656FC1" w:rsidP="004B3D51">
    <w:pPr>
      <w:pStyle w:val="Footer"/>
    </w:pPr>
    <w:r>
      <w:fldChar w:fldCharType="begin"/>
    </w:r>
    <w:r>
      <w:instrText xml:space="preserve"> PAGE   \* MERGEFORMAT </w:instrText>
    </w:r>
    <w:r>
      <w:fldChar w:fldCharType="separate"/>
    </w:r>
    <w:r w:rsidR="008528D0">
      <w:rPr>
        <w:noProof/>
      </w:rPr>
      <w:t>13</w:t>
    </w:r>
    <w:r>
      <w:rPr>
        <w:noProof/>
      </w:rPr>
      <w:fldChar w:fldCharType="end"/>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45AB04" w14:textId="77777777" w:rsidR="00656FC1" w:rsidRDefault="00656FC1" w:rsidP="00887CBF">
    <w:pPr>
      <w:pStyle w:val="Footer"/>
      <w:pBdr>
        <w:top w:val="single" w:sz="4" w:space="1" w:color="0099CC"/>
      </w:pBdr>
      <w:spacing w:line="80" w:lineRule="exact"/>
    </w:pPr>
  </w:p>
  <w:p w14:paraId="6CBE9091" w14:textId="77777777" w:rsidR="00656FC1" w:rsidRDefault="00656FC1" w:rsidP="004B3D51">
    <w:pPr>
      <w:pStyle w:val="Footer"/>
    </w:pPr>
    <w:r>
      <w:fldChar w:fldCharType="begin"/>
    </w:r>
    <w:r>
      <w:instrText xml:space="preserve"> PAGE   \* MERGEFORMAT </w:instrText>
    </w:r>
    <w:r>
      <w:fldChar w:fldCharType="separate"/>
    </w:r>
    <w:r w:rsidR="008528D0">
      <w:rPr>
        <w:noProof/>
      </w:rPr>
      <w:t>14</w:t>
    </w:r>
    <w:r>
      <w:rPr>
        <w:noProof/>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7D01872" w14:textId="77777777" w:rsidR="00656FC1" w:rsidRPr="0022372B" w:rsidRDefault="00656FC1" w:rsidP="0022372B">
      <w:pPr>
        <w:pStyle w:val="Footer"/>
        <w:spacing w:after="80" w:line="240" w:lineRule="auto"/>
        <w:jc w:val="left"/>
        <w:rPr>
          <w:color w:val="A9A8A9" w:themeColor="accent4"/>
          <w:sz w:val="16"/>
          <w:szCs w:val="16"/>
        </w:rPr>
      </w:pPr>
      <w:r w:rsidRPr="0022372B">
        <w:rPr>
          <w:color w:val="A9A8A9" w:themeColor="accent4"/>
          <w:sz w:val="16"/>
          <w:szCs w:val="16"/>
        </w:rPr>
        <w:t>_________________________________</w:t>
      </w:r>
    </w:p>
  </w:footnote>
  <w:footnote w:type="continuationSeparator" w:id="0">
    <w:p w14:paraId="0D83743A" w14:textId="77777777" w:rsidR="00656FC1" w:rsidRPr="0022372B" w:rsidRDefault="00656FC1" w:rsidP="0022372B">
      <w:pPr>
        <w:pStyle w:val="Footer"/>
        <w:spacing w:after="80" w:line="240" w:lineRule="auto"/>
        <w:jc w:val="left"/>
        <w:rPr>
          <w:color w:val="A9A8A9" w:themeColor="accent4"/>
          <w:sz w:val="16"/>
          <w:szCs w:val="16"/>
        </w:rPr>
      </w:pPr>
      <w:r w:rsidRPr="0022372B">
        <w:rPr>
          <w:color w:val="A9A8A9" w:themeColor="accent4"/>
          <w:sz w:val="16"/>
          <w:szCs w:val="16"/>
        </w:rPr>
        <w:t>_________________________________</w:t>
      </w:r>
    </w:p>
  </w:footnote>
  <w:footnote w:type="continuationNotice" w:id="1">
    <w:p w14:paraId="543FED08" w14:textId="77777777" w:rsidR="00656FC1" w:rsidRPr="00A176B6" w:rsidRDefault="00656FC1" w:rsidP="00A176B6">
      <w:pPr>
        <w:spacing w:line="160" w:lineRule="exact"/>
        <w:rPr>
          <w:sz w:val="16"/>
          <w:szCs w:val="16"/>
        </w:rPr>
      </w:pPr>
    </w:p>
  </w:footnote>
  <w:footnote w:id="2">
    <w:p w14:paraId="7C325BA6" w14:textId="77777777" w:rsidR="00656FC1" w:rsidRDefault="00656FC1" w:rsidP="00B91D37">
      <w:pPr>
        <w:pStyle w:val="FootnoteText"/>
        <w:spacing w:after="20"/>
      </w:pPr>
      <w:r>
        <w:rPr>
          <w:rStyle w:val="FootnoteReference"/>
        </w:rPr>
        <w:footnoteRef/>
      </w:r>
      <w:r>
        <w:t xml:space="preserve"> </w:t>
      </w:r>
      <w:r>
        <w:tab/>
        <w:t>COAG Energy Council, Bulletin Two: Gas Market Reform Package, August 2016.</w:t>
      </w:r>
    </w:p>
  </w:footnote>
  <w:footnote w:id="3">
    <w:p w14:paraId="32F2F31B" w14:textId="77777777" w:rsidR="00656FC1" w:rsidRPr="00C80910" w:rsidRDefault="00656FC1" w:rsidP="00B35496">
      <w:pPr>
        <w:pStyle w:val="Default"/>
        <w:tabs>
          <w:tab w:val="left" w:pos="357"/>
        </w:tabs>
        <w:spacing w:before="40" w:after="20"/>
        <w:ind w:left="426" w:hanging="426"/>
        <w:rPr>
          <w:rFonts w:asciiTheme="majorHAnsi" w:eastAsia="Times New Roman" w:hAnsiTheme="majorHAnsi" w:cstheme="majorHAnsi"/>
          <w:color w:val="auto"/>
          <w:sz w:val="16"/>
          <w:szCs w:val="20"/>
        </w:rPr>
      </w:pPr>
      <w:r w:rsidRPr="00C80910">
        <w:rPr>
          <w:rStyle w:val="FootnoteReference"/>
          <w:rFonts w:asciiTheme="majorHAnsi" w:hAnsiTheme="majorHAnsi" w:cstheme="majorHAnsi"/>
          <w:sz w:val="16"/>
          <w:szCs w:val="16"/>
        </w:rPr>
        <w:footnoteRef/>
      </w:r>
      <w:r w:rsidRPr="00C80910">
        <w:rPr>
          <w:rFonts w:asciiTheme="majorHAnsi" w:hAnsiTheme="majorHAnsi" w:cstheme="majorHAnsi"/>
          <w:sz w:val="16"/>
          <w:szCs w:val="16"/>
        </w:rPr>
        <w:t xml:space="preserve"> </w:t>
      </w:r>
      <w:r>
        <w:rPr>
          <w:rFonts w:asciiTheme="majorHAnsi" w:hAnsiTheme="majorHAnsi" w:cstheme="majorHAnsi"/>
          <w:sz w:val="16"/>
          <w:szCs w:val="16"/>
        </w:rPr>
        <w:tab/>
      </w:r>
      <w:r w:rsidRPr="00C80910">
        <w:rPr>
          <w:rFonts w:asciiTheme="majorHAnsi" w:eastAsia="Times New Roman" w:hAnsiTheme="majorHAnsi" w:cstheme="majorHAnsi"/>
          <w:sz w:val="16"/>
          <w:szCs w:val="16"/>
        </w:rPr>
        <w:t>T</w:t>
      </w:r>
      <w:r w:rsidRPr="00C80910">
        <w:rPr>
          <w:rFonts w:asciiTheme="majorHAnsi" w:eastAsia="Times New Roman" w:hAnsiTheme="majorHAnsi" w:cstheme="majorHAnsi"/>
          <w:color w:val="auto"/>
          <w:sz w:val="16"/>
          <w:szCs w:val="20"/>
        </w:rPr>
        <w:t xml:space="preserve">here are currently two different models used to allocate and manage pipeline capacity in Australia: </w:t>
      </w:r>
    </w:p>
    <w:p w14:paraId="2D6519C4" w14:textId="77777777" w:rsidR="00656FC1" w:rsidRPr="00C80910" w:rsidRDefault="00656FC1" w:rsidP="00CF4594">
      <w:pPr>
        <w:pStyle w:val="ListParagraph"/>
        <w:numPr>
          <w:ilvl w:val="0"/>
          <w:numId w:val="58"/>
        </w:numPr>
        <w:autoSpaceDE w:val="0"/>
        <w:autoSpaceDN w:val="0"/>
        <w:adjustRightInd w:val="0"/>
        <w:spacing w:before="40" w:after="20" w:line="240" w:lineRule="auto"/>
        <w:rPr>
          <w:rFonts w:asciiTheme="majorHAnsi" w:hAnsiTheme="majorHAnsi" w:cstheme="majorHAnsi"/>
          <w:sz w:val="16"/>
          <w:szCs w:val="20"/>
        </w:rPr>
      </w:pPr>
      <w:r w:rsidRPr="00C80910">
        <w:rPr>
          <w:rFonts w:asciiTheme="majorHAnsi" w:hAnsiTheme="majorHAnsi" w:cstheme="majorHAnsi"/>
          <w:sz w:val="16"/>
          <w:szCs w:val="20"/>
        </w:rPr>
        <w:t xml:space="preserve">the market carriage model, which provides open access to the Victorian </w:t>
      </w:r>
      <w:r>
        <w:rPr>
          <w:rFonts w:asciiTheme="majorHAnsi" w:hAnsiTheme="majorHAnsi" w:cstheme="majorHAnsi"/>
          <w:sz w:val="16"/>
          <w:szCs w:val="20"/>
        </w:rPr>
        <w:t xml:space="preserve">Declared Transmission System </w:t>
      </w:r>
      <w:r w:rsidRPr="00C80910">
        <w:rPr>
          <w:rFonts w:asciiTheme="majorHAnsi" w:hAnsiTheme="majorHAnsi" w:cstheme="majorHAnsi"/>
          <w:sz w:val="16"/>
          <w:szCs w:val="20"/>
        </w:rPr>
        <w:t xml:space="preserve">and uses outcomes from the operation of the </w:t>
      </w:r>
      <w:r>
        <w:rPr>
          <w:rFonts w:asciiTheme="majorHAnsi" w:hAnsiTheme="majorHAnsi" w:cstheme="majorHAnsi"/>
          <w:sz w:val="16"/>
          <w:szCs w:val="20"/>
        </w:rPr>
        <w:t xml:space="preserve">Declared Wholesale Gas Market (DWGM) </w:t>
      </w:r>
      <w:r w:rsidRPr="00C80910">
        <w:rPr>
          <w:rFonts w:asciiTheme="majorHAnsi" w:hAnsiTheme="majorHAnsi" w:cstheme="majorHAnsi"/>
          <w:sz w:val="16"/>
          <w:szCs w:val="20"/>
        </w:rPr>
        <w:t xml:space="preserve">to </w:t>
      </w:r>
      <w:r>
        <w:rPr>
          <w:rFonts w:asciiTheme="majorHAnsi" w:hAnsiTheme="majorHAnsi" w:cstheme="majorHAnsi"/>
          <w:sz w:val="16"/>
          <w:szCs w:val="20"/>
        </w:rPr>
        <w:t xml:space="preserve">allocate </w:t>
      </w:r>
      <w:r w:rsidRPr="00C80910">
        <w:rPr>
          <w:rFonts w:asciiTheme="majorHAnsi" w:hAnsiTheme="majorHAnsi" w:cstheme="majorHAnsi"/>
          <w:sz w:val="16"/>
          <w:szCs w:val="20"/>
        </w:rPr>
        <w:t>pipeline</w:t>
      </w:r>
      <w:r>
        <w:rPr>
          <w:rFonts w:asciiTheme="majorHAnsi" w:hAnsiTheme="majorHAnsi" w:cstheme="majorHAnsi"/>
          <w:sz w:val="16"/>
          <w:szCs w:val="20"/>
        </w:rPr>
        <w:t xml:space="preserve"> capacity</w:t>
      </w:r>
      <w:r w:rsidRPr="00C80910">
        <w:rPr>
          <w:rFonts w:asciiTheme="majorHAnsi" w:hAnsiTheme="majorHAnsi" w:cstheme="majorHAnsi"/>
          <w:sz w:val="16"/>
          <w:szCs w:val="20"/>
        </w:rPr>
        <w:t xml:space="preserve">; and </w:t>
      </w:r>
    </w:p>
    <w:p w14:paraId="1A9A4E92" w14:textId="77777777" w:rsidR="00656FC1" w:rsidRDefault="00656FC1" w:rsidP="00CF4594">
      <w:pPr>
        <w:pStyle w:val="FootnoteText"/>
        <w:numPr>
          <w:ilvl w:val="0"/>
          <w:numId w:val="58"/>
        </w:numPr>
        <w:spacing w:before="40" w:after="20"/>
      </w:pPr>
      <w:proofErr w:type="gramStart"/>
      <w:r w:rsidRPr="00C80910">
        <w:rPr>
          <w:rFonts w:asciiTheme="majorHAnsi" w:hAnsiTheme="majorHAnsi" w:cstheme="majorHAnsi"/>
        </w:rPr>
        <w:t>the</w:t>
      </w:r>
      <w:proofErr w:type="gramEnd"/>
      <w:r w:rsidRPr="00C80910">
        <w:rPr>
          <w:rFonts w:asciiTheme="majorHAnsi" w:hAnsiTheme="majorHAnsi" w:cstheme="majorHAnsi"/>
        </w:rPr>
        <w:t xml:space="preserve"> contract carriage model, which is in use on all other pipelines and relies on bilateral contracts between the pipeline operator and shippers to allocate pipeline capacity.</w:t>
      </w:r>
    </w:p>
  </w:footnote>
  <w:footnote w:id="4">
    <w:p w14:paraId="2CC4ECC4" w14:textId="77777777" w:rsidR="00656FC1" w:rsidRDefault="00656FC1" w:rsidP="00B91D37">
      <w:pPr>
        <w:pStyle w:val="FootnoteText"/>
        <w:spacing w:after="20"/>
      </w:pPr>
      <w:r>
        <w:rPr>
          <w:rStyle w:val="FootnoteReference"/>
        </w:rPr>
        <w:footnoteRef/>
      </w:r>
      <w:r>
        <w:t xml:space="preserve"> </w:t>
      </w:r>
      <w:r>
        <w:tab/>
        <w:t>A</w:t>
      </w:r>
      <w:r w:rsidRPr="00636AC6">
        <w:t xml:space="preserve">EMC, Stage 2 Final Report: </w:t>
      </w:r>
      <w:r>
        <w:t xml:space="preserve">East Coast </w:t>
      </w:r>
      <w:r w:rsidRPr="00636AC6">
        <w:rPr>
          <w:rFonts w:cs="Arial"/>
          <w:iCs/>
        </w:rPr>
        <w:t>Review, 23 May 2016,</w:t>
      </w:r>
      <w:r w:rsidRPr="00636AC6">
        <w:t xml:space="preserve"> </w:t>
      </w:r>
      <w:r>
        <w:t>p</w:t>
      </w:r>
      <w:r w:rsidRPr="00636AC6">
        <w:t>p. 6</w:t>
      </w:r>
      <w:r>
        <w:t>9 and 73</w:t>
      </w:r>
      <w:r w:rsidRPr="00636AC6">
        <w:t>.</w:t>
      </w:r>
    </w:p>
  </w:footnote>
  <w:footnote w:id="5">
    <w:p w14:paraId="19BBD7BF" w14:textId="77777777" w:rsidR="00656FC1" w:rsidRDefault="00656FC1" w:rsidP="00854182">
      <w:pPr>
        <w:pStyle w:val="FootnoteText"/>
      </w:pPr>
      <w:r>
        <w:rPr>
          <w:rStyle w:val="FootnoteReference"/>
        </w:rPr>
        <w:footnoteRef/>
      </w:r>
      <w:r>
        <w:t xml:space="preserve"> </w:t>
      </w:r>
      <w:r>
        <w:tab/>
        <w:t>ibid, p. viii.</w:t>
      </w:r>
    </w:p>
  </w:footnote>
  <w:footnote w:id="6">
    <w:p w14:paraId="6863898A" w14:textId="77777777" w:rsidR="00656FC1" w:rsidRDefault="00656FC1" w:rsidP="00854182">
      <w:pPr>
        <w:pStyle w:val="FootnoteText"/>
      </w:pPr>
      <w:r>
        <w:rPr>
          <w:rStyle w:val="FootnoteReference"/>
        </w:rPr>
        <w:footnoteRef/>
      </w:r>
      <w:r>
        <w:t xml:space="preserve"> </w:t>
      </w:r>
      <w:r>
        <w:tab/>
        <w:t>COAG Energy Council, Australian Gas Market Vision, December 2014.</w:t>
      </w:r>
    </w:p>
  </w:footnote>
  <w:footnote w:id="7">
    <w:p w14:paraId="6AFA5642" w14:textId="77777777" w:rsidR="00656FC1" w:rsidRDefault="00656FC1">
      <w:pPr>
        <w:pStyle w:val="FootnoteText"/>
      </w:pPr>
      <w:r>
        <w:rPr>
          <w:rStyle w:val="FootnoteReference"/>
        </w:rPr>
        <w:footnoteRef/>
      </w:r>
      <w:r>
        <w:t xml:space="preserve"> </w:t>
      </w:r>
      <w:r>
        <w:tab/>
        <w:t xml:space="preserve">The GMRG’s final recommendations can be found here: </w:t>
      </w:r>
      <w:r w:rsidRPr="00B35496">
        <w:t>http://gmrg.coagenergycouncil.gov.au/publications/gmrg-recommendation-on-who-should-operate-capacity-trading-platform-auction</w:t>
      </w:r>
    </w:p>
  </w:footnote>
  <w:footnote w:id="8">
    <w:p w14:paraId="20CC1D89" w14:textId="77777777" w:rsidR="00656FC1" w:rsidRDefault="00656FC1" w:rsidP="00B35496">
      <w:pPr>
        <w:pStyle w:val="FootnoteText"/>
      </w:pPr>
      <w:r>
        <w:rPr>
          <w:rStyle w:val="FootnoteReference"/>
        </w:rPr>
        <w:footnoteRef/>
      </w:r>
      <w:r>
        <w:t xml:space="preserve"> </w:t>
      </w:r>
      <w:r>
        <w:tab/>
        <w:t>COAG Energy Council, 12</w:t>
      </w:r>
      <w:r w:rsidRPr="00C76541">
        <w:rPr>
          <w:vertAlign w:val="superscript"/>
        </w:rPr>
        <w:t>th</w:t>
      </w:r>
      <w:r>
        <w:t xml:space="preserve"> Energy Council Meeting Communique, 14 July 2017.</w:t>
      </w:r>
    </w:p>
  </w:footnote>
  <w:footnote w:id="9">
    <w:p w14:paraId="5195D87A" w14:textId="77777777" w:rsidR="00656FC1" w:rsidRDefault="00656FC1" w:rsidP="00DF3C44">
      <w:pPr>
        <w:pStyle w:val="FootnoteText"/>
        <w:spacing w:before="0" w:after="0"/>
      </w:pPr>
      <w:r>
        <w:rPr>
          <w:rStyle w:val="FootnoteReference"/>
        </w:rPr>
        <w:footnoteRef/>
      </w:r>
      <w:r>
        <w:t xml:space="preserve"> </w:t>
      </w:r>
      <w:r>
        <w:tab/>
        <w:t xml:space="preserve">See </w:t>
      </w:r>
      <w:r w:rsidRPr="00DF3C44">
        <w:t>http://gmrg.coagenergycouncil.gov.au/publications</w:t>
      </w:r>
    </w:p>
  </w:footnote>
  <w:footnote w:id="10">
    <w:p w14:paraId="7C9E93A3" w14:textId="77777777" w:rsidR="00656FC1" w:rsidRDefault="00656FC1" w:rsidP="004069EF">
      <w:pPr>
        <w:pStyle w:val="FootnoteText"/>
        <w:spacing w:after="0"/>
      </w:pPr>
      <w:r>
        <w:rPr>
          <w:rStyle w:val="FootnoteReference"/>
        </w:rPr>
        <w:footnoteRef/>
      </w:r>
      <w:r>
        <w:t xml:space="preserve"> </w:t>
      </w:r>
      <w:r>
        <w:tab/>
        <w:t>A</w:t>
      </w:r>
      <w:r w:rsidRPr="00636AC6">
        <w:t xml:space="preserve">EMC, Stage 2 Final Report: </w:t>
      </w:r>
      <w:r>
        <w:t xml:space="preserve">East Coast </w:t>
      </w:r>
      <w:r w:rsidRPr="00636AC6">
        <w:rPr>
          <w:rFonts w:cs="Arial"/>
          <w:iCs/>
        </w:rPr>
        <w:t>Review, 23 May 2016,</w:t>
      </w:r>
      <w:r w:rsidRPr="00636AC6">
        <w:t xml:space="preserve"> </w:t>
      </w:r>
      <w:r>
        <w:t>p</w:t>
      </w:r>
      <w:r w:rsidRPr="00636AC6">
        <w:t xml:space="preserve">p. </w:t>
      </w:r>
      <w:r>
        <w:t>67-</w:t>
      </w:r>
      <w:r w:rsidRPr="00636AC6">
        <w:t>6</w:t>
      </w:r>
      <w:r>
        <w:t>9</w:t>
      </w:r>
      <w:r w:rsidRPr="00636AC6">
        <w:t>.</w:t>
      </w:r>
    </w:p>
  </w:footnote>
  <w:footnote w:id="11">
    <w:p w14:paraId="6A92D3D1" w14:textId="77777777" w:rsidR="00656FC1" w:rsidRDefault="00656FC1" w:rsidP="004069EF">
      <w:pPr>
        <w:pStyle w:val="FootnoteText"/>
        <w:spacing w:after="0"/>
      </w:pPr>
      <w:r>
        <w:rPr>
          <w:rStyle w:val="FootnoteReference"/>
        </w:rPr>
        <w:footnoteRef/>
      </w:r>
      <w:r>
        <w:t xml:space="preserve"> </w:t>
      </w:r>
      <w:r>
        <w:tab/>
        <w:t>COAG Energy Council, Australian Gas Market Vision, December 2014.</w:t>
      </w:r>
    </w:p>
  </w:footnote>
  <w:footnote w:id="12">
    <w:p w14:paraId="1DD4DFA8" w14:textId="77777777" w:rsidR="00656FC1" w:rsidRDefault="00656FC1" w:rsidP="00ED02BA">
      <w:pPr>
        <w:pStyle w:val="FootnoteText"/>
      </w:pPr>
      <w:r>
        <w:rPr>
          <w:rStyle w:val="FootnoteReference"/>
        </w:rPr>
        <w:footnoteRef/>
      </w:r>
      <w:r>
        <w:t xml:space="preserve"> </w:t>
      </w:r>
      <w:r>
        <w:tab/>
        <w:t xml:space="preserve">The pre-matched service allows participants to register off-market trades in listed products to the exchange for settlement. </w:t>
      </w:r>
    </w:p>
  </w:footnote>
  <w:footnote w:id="13">
    <w:p w14:paraId="0A94E4A2" w14:textId="77777777" w:rsidR="00656FC1" w:rsidRPr="00FB6BDD" w:rsidRDefault="00656FC1" w:rsidP="009950F3">
      <w:pPr>
        <w:pStyle w:val="FootnoteText"/>
        <w:rPr>
          <w:lang w:val="en-US"/>
        </w:rPr>
      </w:pPr>
      <w:r>
        <w:rPr>
          <w:rStyle w:val="FootnoteReference"/>
        </w:rPr>
        <w:footnoteRef/>
      </w:r>
      <w:r>
        <w:t xml:space="preserve"> </w:t>
      </w:r>
      <w:r>
        <w:tab/>
      </w:r>
      <w:r w:rsidRPr="00CE0F95">
        <w:t>The service provider can also offer an operational GTA-style service under a primary GTA, allowing a primary shipper to roll capacity bought in the secondary market into the primary GTA.</w:t>
      </w:r>
    </w:p>
  </w:footnote>
  <w:footnote w:id="14">
    <w:p w14:paraId="0D13E1F6" w14:textId="77777777" w:rsidR="00656FC1" w:rsidRDefault="00656FC1" w:rsidP="001E27B6">
      <w:pPr>
        <w:pStyle w:val="FootnoteText"/>
      </w:pPr>
      <w:r>
        <w:rPr>
          <w:rStyle w:val="FootnoteReference"/>
        </w:rPr>
        <w:footnoteRef/>
      </w:r>
      <w:r>
        <w:t xml:space="preserve"> </w:t>
      </w:r>
      <w:r>
        <w:tab/>
        <w:t>A</w:t>
      </w:r>
      <w:r w:rsidRPr="00636AC6">
        <w:t xml:space="preserve">EMC, Stage 2 Final Report: </w:t>
      </w:r>
      <w:r>
        <w:t xml:space="preserve">East Coast </w:t>
      </w:r>
      <w:r w:rsidRPr="00636AC6">
        <w:rPr>
          <w:rFonts w:cs="Arial"/>
          <w:iCs/>
        </w:rPr>
        <w:t>Review, 23 May 2016,</w:t>
      </w:r>
      <w:r w:rsidRPr="00636AC6">
        <w:t xml:space="preserve"> </w:t>
      </w:r>
      <w:r>
        <w:t>p</w:t>
      </w:r>
      <w:r w:rsidRPr="00636AC6">
        <w:t>p. 67</w:t>
      </w:r>
      <w:r>
        <w:t>, 73 and 83</w:t>
      </w:r>
      <w:r w:rsidRPr="00636AC6">
        <w:t>.</w:t>
      </w:r>
    </w:p>
  </w:footnote>
  <w:footnote w:id="15">
    <w:p w14:paraId="4ED05C4E" w14:textId="77777777" w:rsidR="00656FC1" w:rsidRDefault="00656FC1" w:rsidP="001E27B6">
      <w:pPr>
        <w:pStyle w:val="FootnoteText"/>
      </w:pPr>
      <w:r>
        <w:rPr>
          <w:rStyle w:val="FootnoteReference"/>
        </w:rPr>
        <w:footnoteRef/>
      </w:r>
      <w:r>
        <w:t xml:space="preserve"> </w:t>
      </w:r>
      <w:r>
        <w:tab/>
        <w:t>ibid, p. 83.</w:t>
      </w:r>
    </w:p>
  </w:footnote>
  <w:footnote w:id="16">
    <w:p w14:paraId="2A71F02F" w14:textId="77777777" w:rsidR="00656FC1" w:rsidRDefault="00656FC1" w:rsidP="001E27B6">
      <w:pPr>
        <w:pStyle w:val="FootnoteText"/>
      </w:pPr>
      <w:r>
        <w:rPr>
          <w:rStyle w:val="FootnoteReference"/>
        </w:rPr>
        <w:footnoteRef/>
      </w:r>
      <w:r>
        <w:t xml:space="preserve"> </w:t>
      </w:r>
      <w:r>
        <w:tab/>
        <w:t>Shippers will also be able to have recourse to other means to identify potential counterparties and enter into bilateral trades.</w:t>
      </w:r>
    </w:p>
  </w:footnote>
  <w:footnote w:id="17">
    <w:p w14:paraId="7017F85D" w14:textId="77777777" w:rsidR="00656FC1" w:rsidRDefault="00656FC1" w:rsidP="001E27B6">
      <w:pPr>
        <w:pStyle w:val="FootnoteText"/>
      </w:pPr>
      <w:r>
        <w:rPr>
          <w:rStyle w:val="FootnoteReference"/>
        </w:rPr>
        <w:footnoteRef/>
      </w:r>
      <w:r>
        <w:t xml:space="preserve"> </w:t>
      </w:r>
      <w:r>
        <w:tab/>
        <w:t xml:space="preserve">The pre-matched service allows participants to register off-market trades in listed products to the exchange for settlement. </w:t>
      </w:r>
    </w:p>
  </w:footnote>
  <w:footnote w:id="18">
    <w:p w14:paraId="629FF7F3" w14:textId="77777777" w:rsidR="00656FC1" w:rsidRDefault="00656FC1" w:rsidP="001E27B6">
      <w:pPr>
        <w:pStyle w:val="FootnoteText"/>
      </w:pPr>
      <w:r>
        <w:rPr>
          <w:rStyle w:val="FootnoteReference"/>
        </w:rPr>
        <w:footnoteRef/>
      </w:r>
      <w:r>
        <w:t xml:space="preserve"> </w:t>
      </w:r>
      <w:r>
        <w:tab/>
        <w:t>Refer to Box 2.1 for an explanation of this term</w:t>
      </w:r>
      <w:r>
        <w:rPr>
          <w:rFonts w:eastAsia="Calibri"/>
          <w:szCs w:val="16"/>
        </w:rPr>
        <w:t>.</w:t>
      </w:r>
    </w:p>
  </w:footnote>
  <w:footnote w:id="19">
    <w:p w14:paraId="2DF82256" w14:textId="77777777" w:rsidR="00656FC1" w:rsidRPr="00FB6BDD" w:rsidRDefault="00656FC1" w:rsidP="00854182">
      <w:pPr>
        <w:pStyle w:val="FootnoteText"/>
        <w:rPr>
          <w:lang w:val="en-US"/>
        </w:rPr>
      </w:pPr>
      <w:r>
        <w:rPr>
          <w:rStyle w:val="FootnoteReference"/>
        </w:rPr>
        <w:footnoteRef/>
      </w:r>
      <w:r>
        <w:t xml:space="preserve"> </w:t>
      </w:r>
      <w:r>
        <w:tab/>
      </w:r>
      <w:r w:rsidRPr="00CE0F95">
        <w:t>The service provider can also offer an operational GTA-style service under a primary GTA, allowing a primary shipper to roll capacity bought in the secondary market into the primary GTA.</w:t>
      </w:r>
    </w:p>
  </w:footnote>
  <w:footnote w:id="20">
    <w:p w14:paraId="2349F6CA" w14:textId="77777777" w:rsidR="00656FC1" w:rsidRDefault="00656FC1" w:rsidP="001E27B6">
      <w:pPr>
        <w:pStyle w:val="FootnoteText"/>
      </w:pPr>
      <w:r>
        <w:rPr>
          <w:rStyle w:val="FootnoteReference"/>
        </w:rPr>
        <w:footnoteRef/>
      </w:r>
      <w:r>
        <w:t xml:space="preserve"> </w:t>
      </w:r>
      <w:r>
        <w:tab/>
        <w:t>Section 291 of the NGL.</w:t>
      </w:r>
    </w:p>
  </w:footnote>
  <w:footnote w:id="21">
    <w:p w14:paraId="678D6A0A" w14:textId="77777777" w:rsidR="00656FC1" w:rsidRDefault="00656FC1" w:rsidP="001E27B6">
      <w:pPr>
        <w:pStyle w:val="FootnoteText"/>
      </w:pPr>
      <w:r>
        <w:rPr>
          <w:rStyle w:val="FootnoteReference"/>
        </w:rPr>
        <w:footnoteRef/>
      </w:r>
      <w:r>
        <w:t xml:space="preserve"> </w:t>
      </w:r>
      <w:r>
        <w:tab/>
        <w:t>See section 291 of the NGL.</w:t>
      </w:r>
    </w:p>
  </w:footnote>
  <w:footnote w:id="22">
    <w:p w14:paraId="3729E67D" w14:textId="77777777" w:rsidR="00656FC1" w:rsidRDefault="00656FC1" w:rsidP="001E27B6">
      <w:pPr>
        <w:pStyle w:val="FootnoteText"/>
      </w:pPr>
      <w:r>
        <w:rPr>
          <w:rStyle w:val="FootnoteReference"/>
        </w:rPr>
        <w:footnoteRef/>
      </w:r>
      <w:r>
        <w:t xml:space="preserve"> </w:t>
      </w:r>
      <w:r>
        <w:tab/>
      </w:r>
      <w:r w:rsidRPr="000A7592">
        <w:t>AEMC, Stage 2 Final Report: Information Provision, May 2016, p. 4.</w:t>
      </w:r>
    </w:p>
  </w:footnote>
  <w:footnote w:id="23">
    <w:p w14:paraId="5D7C0F9E" w14:textId="77777777" w:rsidR="00656FC1" w:rsidRDefault="00656FC1" w:rsidP="001E27B6">
      <w:pPr>
        <w:pStyle w:val="FootnoteText"/>
      </w:pPr>
      <w:r>
        <w:rPr>
          <w:rStyle w:val="FootnoteReference"/>
        </w:rPr>
        <w:footnoteRef/>
      </w:r>
      <w:r>
        <w:t xml:space="preserve"> </w:t>
      </w:r>
      <w:r>
        <w:tab/>
        <w:t>A</w:t>
      </w:r>
      <w:r w:rsidRPr="00636AC6">
        <w:t xml:space="preserve">EMC, Stage 2 Final Report: </w:t>
      </w:r>
      <w:r>
        <w:t xml:space="preserve">East Coast </w:t>
      </w:r>
      <w:r w:rsidRPr="00636AC6">
        <w:rPr>
          <w:rFonts w:cs="Arial"/>
          <w:iCs/>
        </w:rPr>
        <w:t>Review, 23 May 2016,</w:t>
      </w:r>
      <w:r w:rsidRPr="00636AC6">
        <w:t xml:space="preserve"> </w:t>
      </w:r>
      <w:r>
        <w:t>p</w:t>
      </w:r>
      <w:r w:rsidRPr="00636AC6">
        <w:t xml:space="preserve">p. </w:t>
      </w:r>
      <w:r>
        <w:t>67-</w:t>
      </w:r>
      <w:r w:rsidRPr="00636AC6">
        <w:t>6</w:t>
      </w:r>
      <w:r>
        <w:t>9</w:t>
      </w:r>
      <w:r w:rsidRPr="00636AC6">
        <w:t>.</w:t>
      </w:r>
    </w:p>
  </w:footnote>
  <w:footnote w:id="24">
    <w:p w14:paraId="7B7001CD" w14:textId="77777777" w:rsidR="00656FC1" w:rsidRDefault="00656FC1" w:rsidP="001E27B6">
      <w:pPr>
        <w:pStyle w:val="FootnoteText"/>
      </w:pPr>
      <w:r>
        <w:rPr>
          <w:rStyle w:val="FootnoteReference"/>
        </w:rPr>
        <w:footnoteRef/>
      </w:r>
      <w:r>
        <w:t xml:space="preserve"> </w:t>
      </w:r>
      <w:r>
        <w:tab/>
        <w:t>COAG Energy Council, Australian Gas Market Vision, December 2014.</w:t>
      </w:r>
    </w:p>
  </w:footnote>
  <w:footnote w:id="25">
    <w:p w14:paraId="13021AC6" w14:textId="77777777" w:rsidR="00656FC1" w:rsidRDefault="00656FC1" w:rsidP="001E27B6">
      <w:pPr>
        <w:pStyle w:val="FootnoteText"/>
      </w:pPr>
      <w:r>
        <w:rPr>
          <w:rStyle w:val="FootnoteReference"/>
        </w:rPr>
        <w:footnoteRef/>
      </w:r>
      <w:r>
        <w:t xml:space="preserve"> </w:t>
      </w:r>
      <w:r>
        <w:tab/>
        <w:t>A</w:t>
      </w:r>
      <w:r w:rsidRPr="00636AC6">
        <w:t xml:space="preserve">EMC, Stage 2 Final Report: </w:t>
      </w:r>
      <w:r>
        <w:t xml:space="preserve">East Coast </w:t>
      </w:r>
      <w:r w:rsidRPr="00636AC6">
        <w:rPr>
          <w:rFonts w:cs="Arial"/>
          <w:iCs/>
        </w:rPr>
        <w:t>Review, 23 May 2016,</w:t>
      </w:r>
      <w:r w:rsidRPr="00636AC6">
        <w:t xml:space="preserve"> </w:t>
      </w:r>
      <w:r>
        <w:t>p</w:t>
      </w:r>
      <w:r w:rsidRPr="00636AC6">
        <w:t xml:space="preserve">p. </w:t>
      </w:r>
      <w:r>
        <w:t>128-129</w:t>
      </w:r>
      <w:r w:rsidRPr="00636AC6">
        <w:t>.</w:t>
      </w:r>
    </w:p>
  </w:footnote>
  <w:footnote w:id="26">
    <w:p w14:paraId="52C9D6CD" w14:textId="77777777" w:rsidR="00656FC1" w:rsidRDefault="00656FC1" w:rsidP="00854182">
      <w:pPr>
        <w:pStyle w:val="FootnoteText"/>
      </w:pPr>
      <w:r>
        <w:rPr>
          <w:rStyle w:val="FootnoteReference"/>
        </w:rPr>
        <w:footnoteRef/>
      </w:r>
      <w:r>
        <w:t xml:space="preserve"> </w:t>
      </w:r>
      <w:r>
        <w:tab/>
        <w:t>AEMC, Stage 2 Final Report: East Coast Review, 23 May 2016, pp. 87-92.</w:t>
      </w:r>
    </w:p>
  </w:footnote>
  <w:footnote w:id="27">
    <w:p w14:paraId="24424B25" w14:textId="77777777" w:rsidR="00656FC1" w:rsidRDefault="00656FC1" w:rsidP="00854182">
      <w:pPr>
        <w:pStyle w:val="FootnoteText"/>
      </w:pPr>
      <w:r>
        <w:rPr>
          <w:rStyle w:val="FootnoteReference"/>
        </w:rPr>
        <w:footnoteRef/>
      </w:r>
      <w:r>
        <w:t xml:space="preserve"> </w:t>
      </w:r>
      <w:r>
        <w:tab/>
        <w:t>ibid, p. 87.</w:t>
      </w:r>
    </w:p>
  </w:footnote>
  <w:footnote w:id="28">
    <w:p w14:paraId="1E4987A9" w14:textId="77777777" w:rsidR="00656FC1" w:rsidRDefault="00656FC1">
      <w:pPr>
        <w:pStyle w:val="FootnoteText"/>
      </w:pPr>
      <w:r>
        <w:rPr>
          <w:rStyle w:val="FootnoteReference"/>
        </w:rPr>
        <w:footnoteRef/>
      </w:r>
      <w:r>
        <w:t xml:space="preserve"> </w:t>
      </w:r>
      <w:r>
        <w:tab/>
      </w:r>
      <w:r w:rsidRPr="00F453C6">
        <w:t>http://gmrg.coagenergycouncil.gov.au/publications/standardisation-related-reforms-and-capacity-trading-platform-consultation-paper</w:t>
      </w:r>
    </w:p>
  </w:footnote>
  <w:footnote w:id="29">
    <w:p w14:paraId="05E6213C" w14:textId="77777777" w:rsidR="00656FC1" w:rsidRDefault="00656FC1" w:rsidP="00854182">
      <w:pPr>
        <w:pStyle w:val="FootnoteText"/>
      </w:pPr>
      <w:r>
        <w:rPr>
          <w:rStyle w:val="FootnoteReference"/>
        </w:rPr>
        <w:footnoteRef/>
      </w:r>
      <w:r>
        <w:t xml:space="preserve"> </w:t>
      </w:r>
      <w:r>
        <w:tab/>
        <w:t>AEMC, Stage 2 Final Report: East Coast Review, 23 May 2016, pp. 85-86.</w:t>
      </w:r>
    </w:p>
  </w:footnote>
  <w:footnote w:id="30">
    <w:p w14:paraId="6895AF2B" w14:textId="77777777" w:rsidR="00656FC1" w:rsidRDefault="00656FC1" w:rsidP="00854182">
      <w:pPr>
        <w:pStyle w:val="FootnoteText"/>
      </w:pPr>
      <w:r>
        <w:rPr>
          <w:rStyle w:val="FootnoteReference"/>
        </w:rPr>
        <w:footnoteRef/>
      </w:r>
      <w:r>
        <w:t xml:space="preserve"> </w:t>
      </w:r>
      <w:r>
        <w:tab/>
        <w:t>AEMC, Pipeline Capacity Discussion Paper, 3 March 2016, p.20.</w:t>
      </w:r>
    </w:p>
  </w:footnote>
  <w:footnote w:id="31">
    <w:p w14:paraId="516E038D" w14:textId="77777777" w:rsidR="00656FC1" w:rsidRDefault="00656FC1" w:rsidP="00854182">
      <w:pPr>
        <w:pStyle w:val="FootnoteText"/>
      </w:pPr>
      <w:r>
        <w:rPr>
          <w:rStyle w:val="FootnoteReference"/>
        </w:rPr>
        <w:footnoteRef/>
      </w:r>
      <w:r>
        <w:t xml:space="preserve"> </w:t>
      </w:r>
      <w:r>
        <w:tab/>
        <w:t xml:space="preserve">AEMC, Stage 2 Final Report: East Coast Review, 23 May 2016, pp. 85-86. </w:t>
      </w:r>
    </w:p>
  </w:footnote>
  <w:footnote w:id="32">
    <w:p w14:paraId="048B0687" w14:textId="77777777" w:rsidR="00656FC1" w:rsidRDefault="00656FC1" w:rsidP="00854182">
      <w:pPr>
        <w:pStyle w:val="FootnoteText"/>
      </w:pPr>
      <w:r>
        <w:rPr>
          <w:rStyle w:val="FootnoteReference"/>
        </w:rPr>
        <w:footnoteRef/>
      </w:r>
      <w:r>
        <w:t xml:space="preserve"> </w:t>
      </w:r>
      <w:r>
        <w:tab/>
        <w:t>ibid, p. 89.</w:t>
      </w:r>
    </w:p>
  </w:footnote>
  <w:footnote w:id="33">
    <w:p w14:paraId="64861566" w14:textId="77777777" w:rsidR="00656FC1" w:rsidRDefault="00656FC1" w:rsidP="00854182">
      <w:pPr>
        <w:pStyle w:val="FootnoteText"/>
      </w:pPr>
      <w:r>
        <w:rPr>
          <w:rStyle w:val="FootnoteReference"/>
        </w:rPr>
        <w:footnoteRef/>
      </w:r>
      <w:r>
        <w:t xml:space="preserve"> </w:t>
      </w:r>
      <w:r>
        <w:tab/>
        <w:t>ibid, p. 90.</w:t>
      </w:r>
    </w:p>
  </w:footnote>
  <w:footnote w:id="34">
    <w:p w14:paraId="06EFD847" w14:textId="77777777" w:rsidR="00656FC1" w:rsidRDefault="00656FC1" w:rsidP="00854182">
      <w:pPr>
        <w:pStyle w:val="FootnoteText"/>
      </w:pPr>
      <w:r>
        <w:rPr>
          <w:rStyle w:val="FootnoteReference"/>
        </w:rPr>
        <w:footnoteRef/>
      </w:r>
      <w:r>
        <w:t xml:space="preserve"> </w:t>
      </w:r>
      <w:r>
        <w:tab/>
        <w:t>AEMC, Pipeline Capacity Discussion Paper, 3 March 2016, p.20.</w:t>
      </w:r>
    </w:p>
  </w:footnote>
  <w:footnote w:id="35">
    <w:p w14:paraId="3A48D6B0" w14:textId="77777777" w:rsidR="00656FC1" w:rsidRDefault="00656FC1" w:rsidP="00BA7FF7">
      <w:pPr>
        <w:pStyle w:val="FootnoteText"/>
        <w:spacing w:before="20" w:after="20"/>
      </w:pPr>
      <w:r>
        <w:rPr>
          <w:rStyle w:val="FootnoteReference"/>
        </w:rPr>
        <w:footnoteRef/>
      </w:r>
      <w:r>
        <w:t xml:space="preserve"> </w:t>
      </w:r>
      <w:r>
        <w:tab/>
        <w:t xml:space="preserve">See </w:t>
      </w:r>
      <w:r w:rsidRPr="00771D19">
        <w:t>https://www.aemo.com.au/Gas/Gas-Supply-Hubs/Market-operations</w:t>
      </w:r>
    </w:p>
  </w:footnote>
  <w:footnote w:id="36">
    <w:p w14:paraId="1760EEF0" w14:textId="77777777" w:rsidR="00656FC1" w:rsidRDefault="00656FC1" w:rsidP="008557C3">
      <w:pPr>
        <w:pStyle w:val="FootnoteText"/>
        <w:spacing w:before="20" w:after="20"/>
      </w:pPr>
      <w:r>
        <w:rPr>
          <w:rStyle w:val="FootnoteReference"/>
        </w:rPr>
        <w:footnoteRef/>
      </w:r>
      <w:r>
        <w:t xml:space="preserve"> </w:t>
      </w:r>
      <w:r>
        <w:tab/>
        <w:t>Changes to primary GTAs may, for example, be required to:</w:t>
      </w:r>
    </w:p>
    <w:p w14:paraId="7CBB2E39" w14:textId="77777777" w:rsidR="00656FC1" w:rsidRPr="003B21BA" w:rsidRDefault="00656FC1" w:rsidP="00CF4594">
      <w:pPr>
        <w:pStyle w:val="FootnoteText"/>
        <w:numPr>
          <w:ilvl w:val="0"/>
          <w:numId w:val="65"/>
        </w:numPr>
        <w:spacing w:before="20" w:after="20"/>
        <w:rPr>
          <w:szCs w:val="16"/>
        </w:rPr>
      </w:pPr>
      <w:r w:rsidRPr="003B21BA">
        <w:rPr>
          <w:szCs w:val="16"/>
        </w:rPr>
        <w:t>allow the primary shipper’s capacity to be transferred to another shipper via an operational transfer;</w:t>
      </w:r>
    </w:p>
    <w:p w14:paraId="33E93406" w14:textId="77777777" w:rsidR="00656FC1" w:rsidRPr="003B21BA" w:rsidRDefault="00656FC1" w:rsidP="00CF4594">
      <w:pPr>
        <w:pStyle w:val="FootnoteText"/>
        <w:numPr>
          <w:ilvl w:val="0"/>
          <w:numId w:val="65"/>
        </w:numPr>
        <w:spacing w:before="20" w:after="20"/>
        <w:rPr>
          <w:szCs w:val="16"/>
        </w:rPr>
      </w:pPr>
      <w:r w:rsidRPr="003B21BA">
        <w:rPr>
          <w:szCs w:val="16"/>
        </w:rPr>
        <w:t>introduce the concepts of contract and operational MDQ and allow the primary shipper’s operational MDQ to be adjusted when a trade occurs;</w:t>
      </w:r>
    </w:p>
    <w:p w14:paraId="147D92A3" w14:textId="77777777" w:rsidR="00656FC1" w:rsidRDefault="00656FC1" w:rsidP="00CF4594">
      <w:pPr>
        <w:pStyle w:val="FootnoteText"/>
        <w:numPr>
          <w:ilvl w:val="0"/>
          <w:numId w:val="65"/>
        </w:numPr>
        <w:spacing w:before="20" w:after="20"/>
        <w:rPr>
          <w:szCs w:val="16"/>
        </w:rPr>
      </w:pPr>
      <w:r w:rsidRPr="003B21BA">
        <w:rPr>
          <w:szCs w:val="16"/>
        </w:rPr>
        <w:t>recognise that if capacity is traded through an operational GTA the primary shipper will remain liable to pay the tariff for the contract MDQ but the liability to pay any imbalance or overrun charges on the transferred capacity and all the other obligations and liabilities set out in the operational GTA will move to the secondary shipper</w:t>
      </w:r>
      <w:r>
        <w:rPr>
          <w:szCs w:val="16"/>
        </w:rPr>
        <w:t xml:space="preserve">; </w:t>
      </w:r>
    </w:p>
    <w:p w14:paraId="306F437E" w14:textId="77777777" w:rsidR="00656FC1" w:rsidRPr="00C659B4" w:rsidRDefault="00656FC1" w:rsidP="00CF4594">
      <w:pPr>
        <w:pStyle w:val="FootnoteText"/>
        <w:numPr>
          <w:ilvl w:val="0"/>
          <w:numId w:val="65"/>
        </w:numPr>
        <w:spacing w:before="20" w:after="20"/>
        <w:rPr>
          <w:szCs w:val="16"/>
        </w:rPr>
      </w:pPr>
      <w:r w:rsidRPr="00C659B4">
        <w:rPr>
          <w:szCs w:val="16"/>
        </w:rPr>
        <w:t xml:space="preserve">the harmonisation of gas day start times and nomination cut-off times when it occurs; </w:t>
      </w:r>
    </w:p>
    <w:p w14:paraId="377D0F2B" w14:textId="77777777" w:rsidR="00656FC1" w:rsidRPr="00C659B4" w:rsidRDefault="00656FC1" w:rsidP="00CF4594">
      <w:pPr>
        <w:pStyle w:val="FootnoteText"/>
        <w:numPr>
          <w:ilvl w:val="0"/>
          <w:numId w:val="65"/>
        </w:numPr>
        <w:spacing w:before="20" w:after="20"/>
        <w:rPr>
          <w:szCs w:val="16"/>
        </w:rPr>
      </w:pPr>
      <w:proofErr w:type="gramStart"/>
      <w:r w:rsidRPr="00C659B4">
        <w:rPr>
          <w:szCs w:val="16"/>
        </w:rPr>
        <w:t>the</w:t>
      </w:r>
      <w:proofErr w:type="gramEnd"/>
      <w:r w:rsidRPr="00C659B4">
        <w:rPr>
          <w:szCs w:val="16"/>
        </w:rPr>
        <w:t xml:space="preserve"> adoption of zones and primary/secondary receipt and delivery point concepts.</w:t>
      </w:r>
      <w:r>
        <w:rPr>
          <w:szCs w:val="16"/>
        </w:rPr>
        <w:t xml:space="preserve"> and</w:t>
      </w:r>
    </w:p>
    <w:p w14:paraId="53BBA8A8" w14:textId="77777777" w:rsidR="00656FC1" w:rsidRPr="003B21BA" w:rsidRDefault="00656FC1" w:rsidP="00CF4594">
      <w:pPr>
        <w:pStyle w:val="FootnoteText"/>
        <w:numPr>
          <w:ilvl w:val="0"/>
          <w:numId w:val="65"/>
        </w:numPr>
        <w:spacing w:before="20" w:after="20"/>
        <w:rPr>
          <w:szCs w:val="16"/>
        </w:rPr>
      </w:pPr>
      <w:proofErr w:type="gramStart"/>
      <w:r>
        <w:rPr>
          <w:szCs w:val="16"/>
        </w:rPr>
        <w:t>amend</w:t>
      </w:r>
      <w:proofErr w:type="gramEnd"/>
      <w:r>
        <w:rPr>
          <w:szCs w:val="16"/>
        </w:rPr>
        <w:t xml:space="preserve"> service priorities. </w:t>
      </w:r>
    </w:p>
  </w:footnote>
  <w:footnote w:id="37">
    <w:p w14:paraId="61420C2C" w14:textId="77777777" w:rsidR="00656FC1" w:rsidRDefault="00656FC1" w:rsidP="00A61499">
      <w:pPr>
        <w:pStyle w:val="FootnoteText"/>
        <w:spacing w:before="0" w:after="0"/>
      </w:pPr>
      <w:r>
        <w:rPr>
          <w:rStyle w:val="FootnoteReference"/>
        </w:rPr>
        <w:footnoteRef/>
      </w:r>
      <w:r>
        <w:t xml:space="preserve"> </w:t>
      </w:r>
      <w:r>
        <w:tab/>
        <w:t xml:space="preserve">In this case, if the operational GTA had different prioritisation principles to those set out in primary GTAs and if there was a curtailment event the </w:t>
      </w:r>
      <w:r w:rsidRPr="0057020B">
        <w:t xml:space="preserve">service provider may have inconsistent contractual obligations to primary shippers from those to secondary shippers and be in breach of </w:t>
      </w:r>
      <w:r>
        <w:t xml:space="preserve">its </w:t>
      </w:r>
      <w:r w:rsidRPr="0057020B">
        <w:t>contract</w:t>
      </w:r>
      <w:r>
        <w:t>s</w:t>
      </w:r>
      <w:r w:rsidRPr="0057020B">
        <w:t>.</w:t>
      </w:r>
    </w:p>
  </w:footnote>
  <w:footnote w:id="38">
    <w:p w14:paraId="3DD9D757" w14:textId="77777777" w:rsidR="00656FC1" w:rsidRDefault="00656FC1" w:rsidP="007D20E7">
      <w:pPr>
        <w:pStyle w:val="FootnoteText"/>
      </w:pPr>
      <w:r>
        <w:rPr>
          <w:rStyle w:val="FootnoteReference"/>
        </w:rPr>
        <w:footnoteRef/>
      </w:r>
      <w:r>
        <w:t xml:space="preserve"> </w:t>
      </w:r>
      <w:r>
        <w:tab/>
      </w:r>
      <w:r w:rsidRPr="0057020B">
        <w:t xml:space="preserve">Foundation </w:t>
      </w:r>
      <w:r>
        <w:t>s</w:t>
      </w:r>
      <w:r w:rsidRPr="0057020B">
        <w:t xml:space="preserve">hippers are those who funded the construction of a pipeline (or part thereof) either by direct contributions or by signing up as the original shippers to the pipeline.  In consideration </w:t>
      </w:r>
      <w:r>
        <w:t xml:space="preserve">of </w:t>
      </w:r>
      <w:r w:rsidRPr="0057020B">
        <w:t xml:space="preserve">this contribution and the risk they take, </w:t>
      </w:r>
      <w:r>
        <w:t>f</w:t>
      </w:r>
      <w:r w:rsidRPr="0057020B">
        <w:t xml:space="preserve">oundation </w:t>
      </w:r>
      <w:r>
        <w:t>s</w:t>
      </w:r>
      <w:r w:rsidRPr="0057020B">
        <w:t>hippers are often granted special rights.</w:t>
      </w:r>
    </w:p>
  </w:footnote>
  <w:footnote w:id="39">
    <w:p w14:paraId="6926F8E6" w14:textId="77777777" w:rsidR="00656FC1" w:rsidRDefault="00656FC1" w:rsidP="00C83B84">
      <w:pPr>
        <w:pStyle w:val="FootnoteText"/>
      </w:pPr>
      <w:r>
        <w:rPr>
          <w:rStyle w:val="FootnoteReference"/>
        </w:rPr>
        <w:footnoteRef/>
      </w:r>
      <w:r>
        <w:t xml:space="preserve"> </w:t>
      </w:r>
      <w:r>
        <w:tab/>
      </w:r>
      <w:r w:rsidRPr="0057020B">
        <w:t xml:space="preserve">Foundation </w:t>
      </w:r>
      <w:r>
        <w:t>s</w:t>
      </w:r>
      <w:r w:rsidRPr="0057020B">
        <w:t xml:space="preserve">hippers are those who funded the construction of a pipeline (or part thereof) either by direct contributions or by signing up as the original shippers to the pipeline.  In consideration </w:t>
      </w:r>
      <w:r>
        <w:t xml:space="preserve">of </w:t>
      </w:r>
      <w:r w:rsidRPr="0057020B">
        <w:t xml:space="preserve">this contribution and the risk they take, </w:t>
      </w:r>
      <w:r>
        <w:t>f</w:t>
      </w:r>
      <w:r w:rsidRPr="0057020B">
        <w:t xml:space="preserve">oundation </w:t>
      </w:r>
      <w:r>
        <w:t>s</w:t>
      </w:r>
      <w:r w:rsidRPr="0057020B">
        <w:t>hippers are often granted special rights.</w:t>
      </w:r>
    </w:p>
  </w:footnote>
  <w:footnote w:id="40">
    <w:p w14:paraId="172776A9" w14:textId="77777777" w:rsidR="00656FC1" w:rsidRPr="00AD1633" w:rsidRDefault="00656FC1" w:rsidP="00854182">
      <w:pPr>
        <w:pStyle w:val="FootnoteText"/>
        <w:rPr>
          <w:lang w:val="en-US"/>
        </w:rPr>
      </w:pPr>
      <w:r>
        <w:rPr>
          <w:rStyle w:val="FootnoteReference"/>
        </w:rPr>
        <w:footnoteRef/>
      </w:r>
      <w:r>
        <w:t xml:space="preserve"> </w:t>
      </w:r>
      <w:r>
        <w:tab/>
        <w:t>The main benefits of this option that were cited by these project team members were that it would: allow shippers to access the capacity on the operational, prudential and other contract terms set out in their primary GTA; minimise the number of contracts that secondary shippers and service providers have to manage, although it was noted that primary and secondary capacity would still need to be distinguished in the service provider’s system; and limit the number of trading right numbers (TRN) that shippers using the Short Term Trading Market (STTM) have to manage.</w:t>
      </w:r>
    </w:p>
  </w:footnote>
  <w:footnote w:id="41">
    <w:p w14:paraId="5FFFE279" w14:textId="77777777" w:rsidR="00656FC1" w:rsidRPr="00C41C5D" w:rsidRDefault="00656FC1" w:rsidP="00075B7F">
      <w:pPr>
        <w:pStyle w:val="FootnoteText"/>
        <w:rPr>
          <w:lang w:val="en-US"/>
        </w:rPr>
      </w:pPr>
      <w:r>
        <w:rPr>
          <w:rStyle w:val="FootnoteReference"/>
        </w:rPr>
        <w:footnoteRef/>
      </w:r>
      <w:r>
        <w:t xml:space="preserve"> </w:t>
      </w:r>
      <w:r>
        <w:tab/>
      </w:r>
      <w:r w:rsidRPr="00C41C5D">
        <w:t xml:space="preserve">The </w:t>
      </w:r>
      <w:r>
        <w:t>standard terms in the</w:t>
      </w:r>
      <w:r w:rsidRPr="00C41C5D">
        <w:t xml:space="preserve"> operational GTA </w:t>
      </w:r>
      <w:r>
        <w:t xml:space="preserve">are </w:t>
      </w:r>
      <w:r w:rsidRPr="00C41C5D">
        <w:t>likely to state that services will not start until conditions are met, such as the provision of credit suppor</w:t>
      </w:r>
      <w:r>
        <w:t>t.</w:t>
      </w:r>
    </w:p>
  </w:footnote>
  <w:footnote w:id="42">
    <w:p w14:paraId="76A014D2" w14:textId="77777777" w:rsidR="00656FC1" w:rsidRDefault="00656FC1">
      <w:pPr>
        <w:pStyle w:val="FootnoteText"/>
      </w:pPr>
      <w:r>
        <w:rPr>
          <w:rStyle w:val="FootnoteReference"/>
        </w:rPr>
        <w:footnoteRef/>
      </w:r>
      <w:r>
        <w:t xml:space="preserve"> </w:t>
      </w:r>
      <w:r>
        <w:tab/>
        <w:t>For example, if the primary GTA had a relatively high maximum hourly quantity (MHQ) factor or a generous imbalance regime, then the application of these terms to capacity purchased through the trading platform could impose costs on service providers that they are not compensated for.</w:t>
      </w:r>
    </w:p>
  </w:footnote>
  <w:footnote w:id="43">
    <w:p w14:paraId="764BA676" w14:textId="77777777" w:rsidR="00656FC1" w:rsidRDefault="00656FC1" w:rsidP="00854182">
      <w:pPr>
        <w:pStyle w:val="FootnoteText"/>
      </w:pPr>
      <w:r>
        <w:rPr>
          <w:rStyle w:val="FootnoteReference"/>
        </w:rPr>
        <w:footnoteRef/>
      </w:r>
      <w:r>
        <w:t xml:space="preserve"> </w:t>
      </w:r>
      <w:r>
        <w:tab/>
        <w:t>The allocation agent may, or may not be, the pipeline operator.</w:t>
      </w:r>
    </w:p>
  </w:footnote>
  <w:footnote w:id="44">
    <w:p w14:paraId="4F3DE58B" w14:textId="77777777" w:rsidR="00656FC1" w:rsidRDefault="00656FC1" w:rsidP="00854182">
      <w:pPr>
        <w:pStyle w:val="FootnoteText"/>
      </w:pPr>
      <w:r>
        <w:rPr>
          <w:rStyle w:val="FootnoteReference"/>
        </w:rPr>
        <w:footnoteRef/>
      </w:r>
      <w:r>
        <w:t xml:space="preserve"> </w:t>
      </w:r>
      <w:r>
        <w:tab/>
        <w:t>AEMC, Stage 2 Final Report: East Coast Review, 23 May 2016, pp. 90-93.</w:t>
      </w:r>
    </w:p>
  </w:footnote>
  <w:footnote w:id="45">
    <w:p w14:paraId="149BD5E6" w14:textId="77777777" w:rsidR="00656FC1" w:rsidRDefault="00656FC1" w:rsidP="0013298B">
      <w:pPr>
        <w:pStyle w:val="FootnoteText"/>
      </w:pPr>
      <w:r>
        <w:rPr>
          <w:rStyle w:val="FootnoteReference"/>
        </w:rPr>
        <w:footnoteRef/>
      </w:r>
      <w:r>
        <w:t xml:space="preserve"> </w:t>
      </w:r>
      <w:r>
        <w:tab/>
      </w:r>
      <w:r w:rsidRPr="00D73CE9">
        <w:t xml:space="preserve">The term ‘trade’ is used in this context to refer to a </w:t>
      </w:r>
      <w:r w:rsidRPr="00DF6F93">
        <w:rPr>
          <w:i/>
        </w:rPr>
        <w:t>temporary</w:t>
      </w:r>
      <w:r w:rsidRPr="00D73CE9">
        <w:t xml:space="preserve"> transfer of capacity that does not affect the primary shipper’s rights against, and obligations to, the service provider.</w:t>
      </w:r>
    </w:p>
  </w:footnote>
  <w:footnote w:id="46">
    <w:p w14:paraId="39698836" w14:textId="77777777" w:rsidR="00656FC1" w:rsidRDefault="00656FC1">
      <w:pPr>
        <w:pStyle w:val="FootnoteText"/>
      </w:pPr>
      <w:r>
        <w:rPr>
          <w:rStyle w:val="FootnoteReference"/>
        </w:rPr>
        <w:footnoteRef/>
      </w:r>
      <w:r>
        <w:t xml:space="preserve"> </w:t>
      </w:r>
      <w:r>
        <w:tab/>
        <w:t>AEMC, Stage 2 Final Report: East Coast Review, 23 May 2016, pp. 91-92.</w:t>
      </w:r>
    </w:p>
  </w:footnote>
  <w:footnote w:id="47">
    <w:p w14:paraId="209B472D" w14:textId="77777777" w:rsidR="00656FC1" w:rsidRDefault="00656FC1" w:rsidP="00993A3C">
      <w:pPr>
        <w:pStyle w:val="FootnoteText"/>
      </w:pPr>
      <w:r>
        <w:rPr>
          <w:rStyle w:val="FootnoteReference"/>
        </w:rPr>
        <w:footnoteRef/>
      </w:r>
      <w:r>
        <w:t xml:space="preserve"> </w:t>
      </w:r>
      <w:r>
        <w:tab/>
        <w:t>Further support for this view can be found in the explanatory material that accompanied the original National Third Party Access Code for Natural Gas Pipeline Systems, which noted that the capacity trading provisions in an access arrangement must “comply with a number of principles designed to limit the ability of the Service Provider to restrict competition in the Secondary market by unreasonably limiting the resale of capacity”.</w:t>
      </w:r>
    </w:p>
  </w:footnote>
  <w:footnote w:id="48">
    <w:p w14:paraId="00064EBC" w14:textId="77777777" w:rsidR="00656FC1" w:rsidRDefault="00656FC1" w:rsidP="00BF1669">
      <w:pPr>
        <w:pStyle w:val="FootnoteText"/>
      </w:pPr>
      <w:r>
        <w:rPr>
          <w:rStyle w:val="FootnoteReference"/>
        </w:rPr>
        <w:footnoteRef/>
      </w:r>
      <w:r>
        <w:t xml:space="preserve"> </w:t>
      </w:r>
      <w:r>
        <w:tab/>
        <w:t>Note that this could occur if the pipeline operator utilises distance based or zonal tariffs, but would not occur if the pipeline utilises postage stamp tariffs (i.e. because the shipper’s charges would not change as a result of the move).</w:t>
      </w:r>
    </w:p>
  </w:footnote>
  <w:footnote w:id="49">
    <w:p w14:paraId="0D073D6B" w14:textId="77777777" w:rsidR="00656FC1" w:rsidRDefault="00656FC1" w:rsidP="006D41E9">
      <w:pPr>
        <w:pStyle w:val="FootnoteText"/>
      </w:pPr>
      <w:r>
        <w:rPr>
          <w:rStyle w:val="FootnoteReference"/>
        </w:rPr>
        <w:footnoteRef/>
      </w:r>
      <w:r>
        <w:t xml:space="preserve"> </w:t>
      </w:r>
      <w:r>
        <w:tab/>
        <w:t>AEMC, Final rule determination: National Gas Amendment (Gas day harmonisation) Rule 2017, 16 February 2017, pp. 21-24.</w:t>
      </w:r>
    </w:p>
  </w:footnote>
  <w:footnote w:id="50">
    <w:p w14:paraId="69CBF169" w14:textId="77777777" w:rsidR="00656FC1" w:rsidRDefault="00656FC1" w:rsidP="006D41E9">
      <w:pPr>
        <w:pStyle w:val="FootnoteText"/>
      </w:pPr>
      <w:r>
        <w:rPr>
          <w:rStyle w:val="FootnoteReference"/>
        </w:rPr>
        <w:footnoteRef/>
      </w:r>
      <w:r>
        <w:t xml:space="preserve"> </w:t>
      </w:r>
      <w:r>
        <w:tab/>
        <w:t xml:space="preserve">The AEMC cited the following example in its rule change to highlight how these differences are dealt with on the South West Queensland Pipeline (SWQP). </w:t>
      </w:r>
    </w:p>
    <w:p w14:paraId="4FF931D6" w14:textId="77777777" w:rsidR="00656FC1" w:rsidRPr="001B7E7C" w:rsidRDefault="00656FC1" w:rsidP="006D41E9">
      <w:pPr>
        <w:pStyle w:val="FootnoteText"/>
        <w:rPr>
          <w:i/>
          <w:szCs w:val="16"/>
        </w:rPr>
      </w:pPr>
      <w:r w:rsidRPr="001B7E7C">
        <w:rPr>
          <w:szCs w:val="16"/>
        </w:rPr>
        <w:tab/>
      </w:r>
      <w:r w:rsidRPr="001B7E7C">
        <w:rPr>
          <w:i/>
          <w:szCs w:val="16"/>
        </w:rPr>
        <w:t xml:space="preserve">“The western end of the APA pipeline is at Moomba which operates with a 6.30 am AEST gas day start time. The eastern end of the SWQP is at Wallumbilla where the GSH operates on a gas day that starts at 8.00 am AEST. Nevertheless, shippers using this pipeline are not required to enter into a two-day transportation contract, nor required to negotiate a pro-rating arrangement so that the gas flow matches either the Moomba or Wallumbilla gas day. Instead, SWQP shippers nominate their requirements for a ‘gas day’ and the </w:t>
      </w:r>
      <w:proofErr w:type="spellStart"/>
      <w:r w:rsidRPr="001B7E7C">
        <w:rPr>
          <w:i/>
          <w:szCs w:val="16"/>
        </w:rPr>
        <w:t>linepack</w:t>
      </w:r>
      <w:proofErr w:type="spellEnd"/>
      <w:r w:rsidRPr="001B7E7C">
        <w:rPr>
          <w:i/>
          <w:szCs w:val="16"/>
        </w:rPr>
        <w:t xml:space="preserve"> available on the pipeline allows APA to operate it in a way that accommodates the difference in the gas days of the markets to which the pipeline is connected without any specific contractual requirements or any other action by the shippers.”</w:t>
      </w:r>
    </w:p>
    <w:p w14:paraId="25F9CD90" w14:textId="77777777" w:rsidR="00656FC1" w:rsidRDefault="00656FC1" w:rsidP="006D41E9">
      <w:pPr>
        <w:pStyle w:val="FootnoteText"/>
      </w:pPr>
      <w:r>
        <w:rPr>
          <w:sz w:val="18"/>
          <w:szCs w:val="18"/>
        </w:rPr>
        <w:tab/>
      </w:r>
      <w:r>
        <w:t>AEMC, Final rule determination: National Gas Amendment (Gas day harmonisation) Rule 2017, 16 February 2017, p. 21</w:t>
      </w:r>
      <w:r>
        <w:rPr>
          <w:sz w:val="18"/>
          <w:szCs w:val="18"/>
        </w:rPr>
        <w:t xml:space="preserve">. </w:t>
      </w:r>
      <w:r>
        <w:t xml:space="preserve"> </w:t>
      </w:r>
    </w:p>
  </w:footnote>
  <w:footnote w:id="51">
    <w:p w14:paraId="7B4FD996" w14:textId="77777777" w:rsidR="00656FC1" w:rsidRDefault="00656FC1" w:rsidP="006D41E9">
      <w:pPr>
        <w:pStyle w:val="FootnoteText"/>
      </w:pPr>
      <w:r>
        <w:rPr>
          <w:rStyle w:val="FootnoteReference"/>
        </w:rPr>
        <w:footnoteRef/>
      </w:r>
      <w:r>
        <w:t xml:space="preserve"> </w:t>
      </w:r>
      <w:r>
        <w:tab/>
        <w:t>ibid, p. 23.</w:t>
      </w:r>
    </w:p>
  </w:footnote>
  <w:footnote w:id="52">
    <w:p w14:paraId="415B4C3F" w14:textId="77777777" w:rsidR="00656FC1" w:rsidRDefault="00656FC1" w:rsidP="006D41E9">
      <w:pPr>
        <w:pStyle w:val="FootnoteText"/>
      </w:pPr>
      <w:r>
        <w:rPr>
          <w:rStyle w:val="FootnoteReference"/>
        </w:rPr>
        <w:footnoteRef/>
      </w:r>
      <w:r>
        <w:t xml:space="preserve"> </w:t>
      </w:r>
      <w:r>
        <w:tab/>
        <w:t>ACCC, Inquiry into the east coast gas market, April 2016, p. 79.</w:t>
      </w:r>
    </w:p>
  </w:footnote>
  <w:footnote w:id="53">
    <w:p w14:paraId="6688F75C" w14:textId="77777777" w:rsidR="00656FC1" w:rsidRDefault="00656FC1" w:rsidP="006D41E9">
      <w:pPr>
        <w:pStyle w:val="FootnoteText"/>
      </w:pPr>
      <w:r>
        <w:rPr>
          <w:rStyle w:val="FootnoteReference"/>
        </w:rPr>
        <w:footnoteRef/>
      </w:r>
      <w:r>
        <w:t xml:space="preserve"> </w:t>
      </w:r>
      <w:r>
        <w:tab/>
        <w:t>AEMC, Final rule determination: National Gas Amendment (Gas day harmonisation) Rule 2017, 16 February 2017, p. i.</w:t>
      </w:r>
    </w:p>
  </w:footnote>
  <w:footnote w:id="54">
    <w:p w14:paraId="2F866288" w14:textId="77777777" w:rsidR="00656FC1" w:rsidRDefault="00656FC1" w:rsidP="006D41E9">
      <w:pPr>
        <w:pStyle w:val="FootnoteText"/>
      </w:pPr>
      <w:r>
        <w:rPr>
          <w:rStyle w:val="FootnoteReference"/>
        </w:rPr>
        <w:footnoteRef/>
      </w:r>
      <w:r>
        <w:t xml:space="preserve"> </w:t>
      </w:r>
      <w:r>
        <w:tab/>
        <w:t xml:space="preserve">The 3 pm timing is based on the latest nomination cut-off time that will exist once gas day harmonisation occurs. </w:t>
      </w:r>
    </w:p>
  </w:footnote>
  <w:footnote w:id="55">
    <w:p w14:paraId="517EDAA4" w14:textId="77777777" w:rsidR="00656FC1" w:rsidRDefault="00656FC1">
      <w:pPr>
        <w:pStyle w:val="FootnoteText"/>
      </w:pPr>
      <w:r>
        <w:rPr>
          <w:rStyle w:val="FootnoteReference"/>
        </w:rPr>
        <w:footnoteRef/>
      </w:r>
      <w:r>
        <w:t xml:space="preserve"> </w:t>
      </w:r>
      <w:r>
        <w:tab/>
        <w:t xml:space="preserve">It is worth noting that even if a common nomination cut-off time is adopted, there is nothing stopping shippers from trying to manage their resourcing requirements by submitting nominations earlier. </w:t>
      </w:r>
    </w:p>
  </w:footnote>
  <w:footnote w:id="56">
    <w:p w14:paraId="0A969A40" w14:textId="77777777" w:rsidR="00656FC1" w:rsidRDefault="00656FC1" w:rsidP="006B7FDD">
      <w:pPr>
        <w:pStyle w:val="FootnoteText"/>
      </w:pPr>
      <w:r>
        <w:rPr>
          <w:rStyle w:val="FootnoteReference"/>
        </w:rPr>
        <w:footnoteRef/>
      </w:r>
      <w:r>
        <w:t xml:space="preserve"> </w:t>
      </w:r>
      <w:r>
        <w:tab/>
        <w:t xml:space="preserve">The GMRG understands that the pre-dispatch schedule must be issued as soon as possible after 12.30 pm on a day-ahead basis and no later than 4 pm. The GMRG also understands that the day-ahead schedule is typically issued at 12.30 pm and subsequent schedules published every 30 minutes on a rolling basis. </w:t>
      </w:r>
    </w:p>
  </w:footnote>
  <w:footnote w:id="57">
    <w:p w14:paraId="4EA84677" w14:textId="77777777" w:rsidR="00656FC1" w:rsidRDefault="00656FC1">
      <w:pPr>
        <w:pStyle w:val="FootnoteText"/>
      </w:pPr>
      <w:r>
        <w:rPr>
          <w:rStyle w:val="FootnoteReference"/>
        </w:rPr>
        <w:footnoteRef/>
      </w:r>
      <w:r>
        <w:t xml:space="preserve"> </w:t>
      </w:r>
      <w:r>
        <w:tab/>
      </w:r>
      <w:r w:rsidRPr="00095979">
        <w:rPr>
          <w:sz w:val="18"/>
          <w:szCs w:val="18"/>
        </w:rPr>
        <w:t xml:space="preserve">AEMC, Stage 2 Final Report: </w:t>
      </w:r>
      <w:r w:rsidRPr="005E3347">
        <w:rPr>
          <w:rFonts w:cs="Arial"/>
          <w:i/>
          <w:iCs/>
          <w:sz w:val="18"/>
          <w:szCs w:val="18"/>
        </w:rPr>
        <w:t>East Coast Review</w:t>
      </w:r>
      <w:r w:rsidRPr="00095979">
        <w:rPr>
          <w:rFonts w:cs="Arial"/>
          <w:iCs/>
          <w:sz w:val="18"/>
          <w:szCs w:val="18"/>
        </w:rPr>
        <w:t>, 23 May 2016,</w:t>
      </w:r>
      <w:r w:rsidRPr="00095979">
        <w:rPr>
          <w:sz w:val="18"/>
          <w:szCs w:val="18"/>
        </w:rPr>
        <w:t xml:space="preserve"> </w:t>
      </w:r>
      <w:r>
        <w:t>pp. 93-94.</w:t>
      </w:r>
    </w:p>
  </w:footnote>
  <w:footnote w:id="58">
    <w:p w14:paraId="28A42C6E" w14:textId="77777777" w:rsidR="00656FC1" w:rsidRDefault="00656FC1" w:rsidP="00854182">
      <w:pPr>
        <w:pStyle w:val="FootnoteText"/>
      </w:pPr>
      <w:r>
        <w:rPr>
          <w:rStyle w:val="FootnoteReference"/>
        </w:rPr>
        <w:footnoteRef/>
      </w:r>
      <w:r>
        <w:t xml:space="preserve"> </w:t>
      </w:r>
      <w:r>
        <w:tab/>
      </w:r>
      <w:r>
        <w:rPr>
          <w:sz w:val="18"/>
          <w:szCs w:val="18"/>
        </w:rPr>
        <w:t>ibid</w:t>
      </w:r>
      <w:r w:rsidRPr="00095979">
        <w:rPr>
          <w:rFonts w:cs="Arial"/>
          <w:iCs/>
          <w:sz w:val="18"/>
          <w:szCs w:val="18"/>
        </w:rPr>
        <w:t>,</w:t>
      </w:r>
      <w:r w:rsidRPr="00095979">
        <w:rPr>
          <w:sz w:val="18"/>
          <w:szCs w:val="18"/>
        </w:rPr>
        <w:t xml:space="preserve"> </w:t>
      </w:r>
      <w:r>
        <w:t>p. 95.</w:t>
      </w:r>
    </w:p>
  </w:footnote>
  <w:footnote w:id="59">
    <w:p w14:paraId="3D4952B3" w14:textId="77777777" w:rsidR="00656FC1" w:rsidRDefault="00656FC1">
      <w:pPr>
        <w:pStyle w:val="FootnoteText"/>
      </w:pPr>
      <w:r>
        <w:rPr>
          <w:rStyle w:val="FootnoteReference"/>
        </w:rPr>
        <w:footnoteRef/>
      </w:r>
      <w:r>
        <w:t xml:space="preserve"> </w:t>
      </w:r>
      <w:r>
        <w:tab/>
        <w:t>ibid, p. 104.</w:t>
      </w:r>
    </w:p>
  </w:footnote>
  <w:footnote w:id="60">
    <w:p w14:paraId="40F67598" w14:textId="77777777" w:rsidR="00656FC1" w:rsidRDefault="00656FC1" w:rsidP="00854182">
      <w:pPr>
        <w:pStyle w:val="FootnoteText"/>
      </w:pPr>
      <w:r>
        <w:rPr>
          <w:rStyle w:val="FootnoteReference"/>
        </w:rPr>
        <w:footnoteRef/>
      </w:r>
      <w:r>
        <w:t xml:space="preserve"> </w:t>
      </w:r>
      <w:r>
        <w:tab/>
        <w:t>ibid, p. 87.</w:t>
      </w:r>
    </w:p>
  </w:footnote>
  <w:footnote w:id="61">
    <w:p w14:paraId="4A0A1685" w14:textId="77777777" w:rsidR="00656FC1" w:rsidRDefault="00656FC1" w:rsidP="00B0008C">
      <w:pPr>
        <w:pStyle w:val="FootnoteText"/>
      </w:pPr>
      <w:r>
        <w:rPr>
          <w:rStyle w:val="FootnoteReference"/>
        </w:rPr>
        <w:footnoteRef/>
      </w:r>
      <w:r>
        <w:t xml:space="preserve"> </w:t>
      </w:r>
      <w:r>
        <w:tab/>
        <w:t>COAG Energy Council, 12</w:t>
      </w:r>
      <w:r w:rsidRPr="00C76541">
        <w:rPr>
          <w:vertAlign w:val="superscript"/>
        </w:rPr>
        <w:t>th</w:t>
      </w:r>
      <w:r>
        <w:t xml:space="preserve"> Energy Council Meeting Communique, 14 July 2017.</w:t>
      </w:r>
    </w:p>
  </w:footnote>
  <w:footnote w:id="62">
    <w:p w14:paraId="000EBF0B" w14:textId="77777777" w:rsidR="00656FC1" w:rsidRDefault="00656FC1" w:rsidP="000B0E84">
      <w:pPr>
        <w:pStyle w:val="FootnoteText"/>
      </w:pPr>
      <w:r>
        <w:rPr>
          <w:rStyle w:val="FootnoteReference"/>
        </w:rPr>
        <w:footnoteRef/>
      </w:r>
      <w:r>
        <w:t xml:space="preserve"> </w:t>
      </w:r>
      <w:r>
        <w:tab/>
        <w:t xml:space="preserve">See </w:t>
      </w:r>
      <w:r w:rsidRPr="00F453C6">
        <w:t>http://gmrg.coagenergycouncil.gov.au/publications/standardisation-related-reforms-and-capacity-trading-platform-consultation-paper</w:t>
      </w:r>
    </w:p>
  </w:footnote>
  <w:footnote w:id="63">
    <w:p w14:paraId="50C3AA7D" w14:textId="77777777" w:rsidR="00656FC1" w:rsidRDefault="00656FC1" w:rsidP="009C53F3">
      <w:pPr>
        <w:pStyle w:val="FootnoteText"/>
        <w:rPr>
          <w:szCs w:val="16"/>
        </w:rPr>
      </w:pPr>
      <w:r>
        <w:rPr>
          <w:rStyle w:val="FootnoteReference"/>
          <w:rFonts w:eastAsiaTheme="majorEastAsia"/>
          <w:szCs w:val="16"/>
        </w:rPr>
        <w:footnoteRef/>
      </w:r>
      <w:r>
        <w:rPr>
          <w:szCs w:val="16"/>
        </w:rPr>
        <w:t xml:space="preserve"> </w:t>
      </w:r>
      <w:r>
        <w:rPr>
          <w:szCs w:val="16"/>
        </w:rPr>
        <w:tab/>
        <w:t xml:space="preserve">AEMC, Stage 2 Final Report: </w:t>
      </w:r>
      <w:r>
        <w:rPr>
          <w:rFonts w:cs="Arial"/>
          <w:i/>
          <w:iCs/>
          <w:szCs w:val="16"/>
        </w:rPr>
        <w:t>East Coast Review</w:t>
      </w:r>
      <w:r>
        <w:rPr>
          <w:rFonts w:cs="Arial"/>
          <w:iCs/>
          <w:szCs w:val="16"/>
        </w:rPr>
        <w:t>, 23 May 2016,</w:t>
      </w:r>
      <w:r>
        <w:rPr>
          <w:szCs w:val="16"/>
        </w:rPr>
        <w:t xml:space="preserve"> p. 101.</w:t>
      </w:r>
    </w:p>
  </w:footnote>
  <w:footnote w:id="64">
    <w:p w14:paraId="7D705EAA" w14:textId="77777777" w:rsidR="00656FC1" w:rsidRDefault="00656FC1" w:rsidP="009C53F3">
      <w:pPr>
        <w:pStyle w:val="ListBullet"/>
        <w:numPr>
          <w:ilvl w:val="0"/>
          <w:numId w:val="0"/>
        </w:numPr>
        <w:ind w:left="357" w:hanging="357"/>
        <w:rPr>
          <w:sz w:val="16"/>
          <w:szCs w:val="16"/>
        </w:rPr>
      </w:pPr>
      <w:r>
        <w:rPr>
          <w:rStyle w:val="FootnoteReference"/>
          <w:rFonts w:eastAsiaTheme="majorEastAsia"/>
          <w:sz w:val="16"/>
          <w:szCs w:val="16"/>
        </w:rPr>
        <w:footnoteRef/>
      </w:r>
      <w:r>
        <w:rPr>
          <w:sz w:val="16"/>
          <w:szCs w:val="16"/>
        </w:rPr>
        <w:t xml:space="preserve"> </w:t>
      </w:r>
      <w:r>
        <w:rPr>
          <w:sz w:val="16"/>
          <w:szCs w:val="16"/>
        </w:rPr>
        <w:tab/>
        <w:t xml:space="preserve">A park service allows a shipper to inject more gas into a pipeline than it takes out on a particular day, up to a specified level, without incurring imbalance charges.  The additional gas supplied into the pipeline (positive imbalance) may be withdrawn by the shipper at a later point in time, although the total volume of gas withdrawn on a particular day must not exceed the capacity specified in the shipper’s transportation contract. </w:t>
      </w:r>
    </w:p>
  </w:footnote>
  <w:footnote w:id="65">
    <w:p w14:paraId="5AECA4C1" w14:textId="77777777" w:rsidR="00656FC1" w:rsidRDefault="00656FC1" w:rsidP="009C53F3">
      <w:pPr>
        <w:pStyle w:val="ListBullet"/>
        <w:numPr>
          <w:ilvl w:val="0"/>
          <w:numId w:val="0"/>
        </w:numPr>
        <w:ind w:left="357" w:hanging="357"/>
        <w:rPr>
          <w:sz w:val="16"/>
          <w:szCs w:val="16"/>
        </w:rPr>
      </w:pPr>
      <w:r>
        <w:rPr>
          <w:rStyle w:val="FootnoteReference"/>
          <w:rFonts w:eastAsiaTheme="majorEastAsia"/>
          <w:sz w:val="16"/>
          <w:szCs w:val="16"/>
        </w:rPr>
        <w:footnoteRef/>
      </w:r>
      <w:r>
        <w:rPr>
          <w:sz w:val="16"/>
          <w:szCs w:val="16"/>
        </w:rPr>
        <w:t xml:space="preserve"> </w:t>
      </w:r>
      <w:r>
        <w:rPr>
          <w:sz w:val="16"/>
          <w:szCs w:val="16"/>
        </w:rPr>
        <w:tab/>
        <w:t xml:space="preserve">A loan service allows a shipper to inject less gas than it takes on any given day (negative imbalance), up to a specified level, without incurring imbalance charges.  Any additional gas taken by the shipper on a particular day (i.e., the loan) must be ‘repaid’ within the time specified in the contract.  </w:t>
      </w:r>
    </w:p>
  </w:footnote>
  <w:footnote w:id="66">
    <w:p w14:paraId="437969D6" w14:textId="77777777" w:rsidR="00656FC1" w:rsidRDefault="00656FC1" w:rsidP="009C53F3">
      <w:pPr>
        <w:pStyle w:val="FootnoteText"/>
        <w:rPr>
          <w:szCs w:val="16"/>
        </w:rPr>
      </w:pPr>
      <w:r>
        <w:rPr>
          <w:rStyle w:val="FootnoteReference"/>
          <w:rFonts w:eastAsiaTheme="majorEastAsia"/>
          <w:szCs w:val="16"/>
        </w:rPr>
        <w:footnoteRef/>
      </w:r>
      <w:r>
        <w:rPr>
          <w:szCs w:val="16"/>
        </w:rPr>
        <w:t xml:space="preserve"> </w:t>
      </w:r>
      <w:r>
        <w:rPr>
          <w:szCs w:val="16"/>
        </w:rPr>
        <w:tab/>
        <w:t xml:space="preserve">AEMC, Stage 2 Final Report: </w:t>
      </w:r>
      <w:r>
        <w:rPr>
          <w:rFonts w:cs="Arial"/>
          <w:i/>
          <w:iCs/>
          <w:szCs w:val="16"/>
        </w:rPr>
        <w:t>East Coast Review</w:t>
      </w:r>
      <w:r>
        <w:rPr>
          <w:rFonts w:cs="Arial"/>
          <w:iCs/>
          <w:szCs w:val="16"/>
        </w:rPr>
        <w:t>, 23 May 2016,</w:t>
      </w:r>
      <w:r>
        <w:rPr>
          <w:szCs w:val="16"/>
        </w:rPr>
        <w:t xml:space="preserve"> p. 97.</w:t>
      </w:r>
    </w:p>
  </w:footnote>
  <w:footnote w:id="67">
    <w:p w14:paraId="23DE1BE6" w14:textId="77777777" w:rsidR="00656FC1" w:rsidRPr="00E53FFB" w:rsidRDefault="00656FC1" w:rsidP="0086263D">
      <w:pPr>
        <w:pStyle w:val="FootnoteText"/>
      </w:pPr>
      <w:r w:rsidRPr="00E53FFB">
        <w:rPr>
          <w:rStyle w:val="FootnoteReference"/>
          <w:szCs w:val="16"/>
        </w:rPr>
        <w:footnoteRef/>
      </w:r>
      <w:r w:rsidRPr="00E53FFB">
        <w:t xml:space="preserve"> </w:t>
      </w:r>
      <w:r w:rsidRPr="00E53FFB">
        <w:tab/>
        <w:t xml:space="preserve">The GMRG understands from the work carried out by the AEMC on this issue that the point-to-point nature of capacity rights may be more of an issue for industrial customers and gas fired generators because they have traditionally only sought to have gas transported from a receipt point to their facilities. Larger retailers, on the other hand, tend to enter into contracts that provide for the use of multiple delivery and receipt points. That said, larger retailers may be limited in their ability to add further delivery (or receipt) points to accommodate a capacity trade if they haven’t already specified those points in their GTA. They may also be constrained in their ability to transfer the capacity that they have reserved for a particular delivery (receipt) point to another delivery (receipt) point even if the delivery (receipt) point they want to transfer the capacity to is already specified in their GTA.  </w:t>
      </w:r>
    </w:p>
  </w:footnote>
  <w:footnote w:id="68">
    <w:p w14:paraId="1AE10246" w14:textId="77777777" w:rsidR="00656FC1" w:rsidRDefault="00656FC1" w:rsidP="0086263D">
      <w:pPr>
        <w:pStyle w:val="FootnoteText"/>
      </w:pPr>
      <w:r>
        <w:rPr>
          <w:rStyle w:val="FootnoteReference"/>
        </w:rPr>
        <w:footnoteRef/>
      </w:r>
      <w:r>
        <w:t xml:space="preserve"> </w:t>
      </w:r>
      <w:r>
        <w:tab/>
        <w:t xml:space="preserve">Prior to using a multi-user receipt or delivery point within a zone, the secondary shipper will need to become a party to the relevant allocation agreement and any other arrangements that may be in place at the point they wish to use. </w:t>
      </w:r>
    </w:p>
  </w:footnote>
  <w:footnote w:id="69">
    <w:p w14:paraId="4521085A" w14:textId="77777777" w:rsidR="00656FC1" w:rsidRDefault="00656FC1">
      <w:pPr>
        <w:pStyle w:val="FootnoteText"/>
      </w:pPr>
      <w:r>
        <w:rPr>
          <w:rStyle w:val="FootnoteReference"/>
        </w:rPr>
        <w:footnoteRef/>
      </w:r>
      <w:r>
        <w:t xml:space="preserve"> </w:t>
      </w:r>
      <w:r>
        <w:tab/>
        <w:t>The GMRG understands that the secondary firm rights concept is currently employed in in the United States</w:t>
      </w:r>
      <w:r w:rsidRPr="00D507A8">
        <w:rPr>
          <w:rStyle w:val="FootnoteReference"/>
        </w:rPr>
        <w:t xml:space="preserve"> </w:t>
      </w:r>
      <w:r>
        <w:t xml:space="preserve"> and is also used on a number of transmission pipelines in Australia where shippers have rights to all the receipt and/or delivery points on the pipeline.</w:t>
      </w:r>
    </w:p>
  </w:footnote>
  <w:footnote w:id="70">
    <w:p w14:paraId="1F4A4521" w14:textId="77777777" w:rsidR="00656FC1" w:rsidRDefault="00656FC1" w:rsidP="00C14FFB">
      <w:pPr>
        <w:pStyle w:val="FootnoteText"/>
      </w:pPr>
      <w:r>
        <w:rPr>
          <w:rStyle w:val="FootnoteReference"/>
        </w:rPr>
        <w:footnoteRef/>
      </w:r>
      <w:r>
        <w:t xml:space="preserve"> </w:t>
      </w:r>
      <w:r>
        <w:tab/>
        <w:t xml:space="preserve">For example, </w:t>
      </w:r>
      <w:proofErr w:type="spellStart"/>
      <w:r>
        <w:t>EnergyAustralia</w:t>
      </w:r>
      <w:proofErr w:type="spellEnd"/>
      <w:r>
        <w:t xml:space="preserve"> would not agree to purchase secondary capacity to supply its </w:t>
      </w:r>
      <w:proofErr w:type="spellStart"/>
      <w:r>
        <w:t>Tallawarra</w:t>
      </w:r>
      <w:proofErr w:type="spellEnd"/>
      <w:r>
        <w:t xml:space="preserve"> Power Station if it knew that the delivery point capacity would already be fully utilised on that day.</w:t>
      </w:r>
    </w:p>
  </w:footnote>
  <w:footnote w:id="71">
    <w:p w14:paraId="7F4AD40F" w14:textId="77777777" w:rsidR="00656FC1" w:rsidRDefault="00656FC1" w:rsidP="00376B38">
      <w:pPr>
        <w:pStyle w:val="FootnoteText"/>
      </w:pPr>
      <w:r>
        <w:rPr>
          <w:rStyle w:val="FootnoteReference"/>
        </w:rPr>
        <w:footnoteRef/>
      </w:r>
      <w:r>
        <w:t xml:space="preserve"> </w:t>
      </w:r>
      <w:r>
        <w:tab/>
        <w:t xml:space="preserve">For example, should the delivery zone at the western end of the SWQP only comprise the Moomba delivery point, or should it also include the </w:t>
      </w:r>
      <w:proofErr w:type="spellStart"/>
      <w:r>
        <w:t>Ballera</w:t>
      </w:r>
      <w:proofErr w:type="spellEnd"/>
      <w:r>
        <w:t xml:space="preserve"> delivery point?</w:t>
      </w:r>
    </w:p>
  </w:footnote>
  <w:footnote w:id="72">
    <w:p w14:paraId="74B631D1" w14:textId="77777777" w:rsidR="00656FC1" w:rsidRDefault="00656FC1" w:rsidP="00376B38">
      <w:pPr>
        <w:pStyle w:val="FootnoteText"/>
      </w:pPr>
      <w:r>
        <w:rPr>
          <w:rStyle w:val="FootnoteReference"/>
        </w:rPr>
        <w:footnoteRef/>
      </w:r>
      <w:r>
        <w:t xml:space="preserve"> </w:t>
      </w:r>
      <w:r>
        <w:tab/>
        <w:t>For example, should the delivery zone at the Sydney end of the MSP only include Wilton?</w:t>
      </w:r>
    </w:p>
  </w:footnote>
  <w:footnote w:id="73">
    <w:p w14:paraId="0CA20E33" w14:textId="77777777" w:rsidR="00656FC1" w:rsidRDefault="00656FC1" w:rsidP="00CF4594">
      <w:pPr>
        <w:pStyle w:val="FootnoteText"/>
        <w:spacing w:before="0" w:after="0"/>
      </w:pPr>
      <w:r>
        <w:rPr>
          <w:rStyle w:val="FootnoteReference"/>
          <w:rFonts w:eastAsiaTheme="majorEastAsia"/>
        </w:rPr>
        <w:footnoteRef/>
      </w:r>
      <w:r>
        <w:t xml:space="preserve"> </w:t>
      </w:r>
      <w:r>
        <w:tab/>
        <w:t>A balance-of-day product will not be possible to trade because of the operation of the day-ahead auction.</w:t>
      </w:r>
    </w:p>
  </w:footnote>
  <w:footnote w:id="74">
    <w:p w14:paraId="7ACC236C" w14:textId="77777777" w:rsidR="00656FC1" w:rsidRDefault="00656FC1" w:rsidP="00431C3A">
      <w:pPr>
        <w:pStyle w:val="FootnoteText"/>
      </w:pPr>
      <w:r>
        <w:rPr>
          <w:rStyle w:val="FootnoteReference"/>
        </w:rPr>
        <w:footnoteRef/>
      </w:r>
      <w:r>
        <w:t xml:space="preserve"> </w:t>
      </w:r>
      <w:r>
        <w:tab/>
      </w:r>
      <w:r w:rsidRPr="008B1B73">
        <w:t xml:space="preserve">The current Wallumbilla compression product listed on the GSH is delivered through a swap instead of an operational transfer. A required outcome from the AEMC’s </w:t>
      </w:r>
      <w:r w:rsidRPr="00CD3486">
        <w:rPr>
          <w:i/>
        </w:rPr>
        <w:t>East Coast Review</w:t>
      </w:r>
      <w:r w:rsidRPr="008B1B73">
        <w:t xml:space="preserve"> is that trades carried out on the capacity trading platform be given effect through an operational transfer. A new Wallumbilla compression product will</w:t>
      </w:r>
      <w:r>
        <w:t xml:space="preserve"> therefore need to be developed </w:t>
      </w:r>
      <w:r w:rsidRPr="008B1B73">
        <w:t>to meet this</w:t>
      </w:r>
      <w:r>
        <w:t xml:space="preserve"> requirement.</w:t>
      </w:r>
    </w:p>
  </w:footnote>
  <w:footnote w:id="75">
    <w:p w14:paraId="7692BF5D" w14:textId="77777777" w:rsidR="00656FC1" w:rsidRDefault="00656FC1" w:rsidP="00CF4594">
      <w:pPr>
        <w:pStyle w:val="FootnoteText"/>
      </w:pPr>
      <w:r>
        <w:rPr>
          <w:rStyle w:val="FootnoteReference"/>
          <w:rFonts w:eastAsia="Cambria"/>
        </w:rPr>
        <w:footnoteRef/>
      </w:r>
      <w:r>
        <w:t xml:space="preserve"> </w:t>
      </w:r>
      <w:r>
        <w:tab/>
        <w:t xml:space="preserve">The LPTP (Low Pressure Trade Point) is a notional point in APA’s Wallumbilla hub at the low pressure header. </w:t>
      </w:r>
    </w:p>
  </w:footnote>
  <w:footnote w:id="76">
    <w:p w14:paraId="76C43B4F" w14:textId="77777777" w:rsidR="00656FC1" w:rsidRDefault="00656FC1" w:rsidP="00CF4594">
      <w:pPr>
        <w:pStyle w:val="FootnoteText"/>
      </w:pPr>
      <w:r>
        <w:rPr>
          <w:rStyle w:val="FootnoteReference"/>
          <w:rFonts w:eastAsia="Cambria"/>
        </w:rPr>
        <w:footnoteRef/>
      </w:r>
      <w:r>
        <w:t xml:space="preserve"> </w:t>
      </w:r>
      <w:r>
        <w:tab/>
        <w:t>The HPTP (High Pressure Trade Point) is a notional point in APA’s Wallumbilla hub at the high pressure header.</w:t>
      </w:r>
    </w:p>
  </w:footnote>
  <w:footnote w:id="77">
    <w:p w14:paraId="61242E86" w14:textId="77777777" w:rsidR="00656FC1" w:rsidRDefault="00656FC1" w:rsidP="00CF4594">
      <w:pPr>
        <w:pStyle w:val="FootnoteText"/>
      </w:pPr>
      <w:r>
        <w:rPr>
          <w:rStyle w:val="FootnoteReference"/>
          <w:rFonts w:eastAsia="Cambria"/>
        </w:rPr>
        <w:footnoteRef/>
      </w:r>
      <w:r>
        <w:t xml:space="preserve"> </w:t>
      </w:r>
      <w:r>
        <w:tab/>
        <w:t xml:space="preserve">The MCF (Moomba Compression Facility) is a notional point in APA’s Moomba hub at the low pressure header. </w:t>
      </w:r>
    </w:p>
  </w:footnote>
  <w:footnote w:id="78">
    <w:p w14:paraId="4419A904" w14:textId="77777777" w:rsidR="00656FC1" w:rsidRDefault="00656FC1" w:rsidP="00CF4594">
      <w:pPr>
        <w:pStyle w:val="FootnoteText"/>
      </w:pPr>
      <w:r>
        <w:rPr>
          <w:rStyle w:val="FootnoteReference"/>
        </w:rPr>
        <w:footnoteRef/>
      </w:r>
      <w:r>
        <w:t xml:space="preserve"> </w:t>
      </w:r>
      <w:r>
        <w:tab/>
      </w:r>
      <w:r w:rsidRPr="008B1B73">
        <w:t xml:space="preserve">The current Wallumbilla compression product listed on the GSH is delivered through a swap instead of an operational transfer. A required outcome from the AEMC’s </w:t>
      </w:r>
      <w:r w:rsidRPr="00CD3486">
        <w:rPr>
          <w:i/>
        </w:rPr>
        <w:t>East Coast Review</w:t>
      </w:r>
      <w:r w:rsidRPr="008B1B73">
        <w:t xml:space="preserve"> is that trades carried out on the capacity trading platform be given effect through an operational transfer. A new Wallumbilla compression product will</w:t>
      </w:r>
      <w:r>
        <w:t xml:space="preserve"> therefore need to be developed </w:t>
      </w:r>
      <w:r w:rsidRPr="008B1B73">
        <w:t>to meet this</w:t>
      </w:r>
      <w:r>
        <w:t xml:space="preserve"> requirement.</w:t>
      </w:r>
    </w:p>
  </w:footnote>
  <w:footnote w:id="79">
    <w:p w14:paraId="2775CC3B" w14:textId="77777777" w:rsidR="00656FC1" w:rsidRPr="00FB6BDD" w:rsidRDefault="00656FC1" w:rsidP="00F85F7D">
      <w:pPr>
        <w:pStyle w:val="FootnoteText"/>
        <w:rPr>
          <w:lang w:val="en-US"/>
        </w:rPr>
      </w:pPr>
      <w:r>
        <w:rPr>
          <w:rStyle w:val="FootnoteReference"/>
        </w:rPr>
        <w:footnoteRef/>
      </w:r>
      <w:r>
        <w:t xml:space="preserve"> </w:t>
      </w:r>
      <w:r>
        <w:tab/>
      </w:r>
      <w:r w:rsidRPr="00CE0F95">
        <w:t>The service provider can also offer an operational GTA-style service under a primary GTA, allowing a primary shipper to roll capacity bought in the secondary market into the primary GTA.</w:t>
      </w:r>
    </w:p>
  </w:footnote>
  <w:footnote w:id="80">
    <w:p w14:paraId="6D28BBBD" w14:textId="77777777" w:rsidR="00656FC1" w:rsidRDefault="00656FC1">
      <w:pPr>
        <w:pStyle w:val="FootnoteText"/>
      </w:pPr>
      <w:r>
        <w:rPr>
          <w:rStyle w:val="FootnoteReference"/>
        </w:rPr>
        <w:footnoteRef/>
      </w:r>
      <w:r>
        <w:t xml:space="preserve"> </w:t>
      </w:r>
      <w:r>
        <w:tab/>
      </w:r>
      <w:r>
        <w:rPr>
          <w:rFonts w:cs="Arial"/>
        </w:rPr>
        <w:t>Service provider</w:t>
      </w:r>
      <w:r w:rsidRPr="008B1B73">
        <w:rPr>
          <w:rFonts w:cs="Arial"/>
        </w:rPr>
        <w:t xml:space="preserve">s will need to consider whether transferring MDQ will be undertaken manually or if systems will be built to automate </w:t>
      </w:r>
      <w:r>
        <w:rPr>
          <w:rFonts w:cs="Arial"/>
        </w:rPr>
        <w:t>this transfer</w:t>
      </w:r>
      <w:r w:rsidRPr="008B1B73">
        <w:rPr>
          <w:rFonts w:cs="Arial"/>
        </w:rPr>
        <w:t>.</w:t>
      </w:r>
    </w:p>
  </w:footnote>
  <w:footnote w:id="81">
    <w:p w14:paraId="4EB7265D" w14:textId="77777777" w:rsidR="00656FC1" w:rsidRDefault="00656FC1">
      <w:pPr>
        <w:pStyle w:val="FootnoteText"/>
      </w:pPr>
      <w:r>
        <w:rPr>
          <w:rStyle w:val="FootnoteReference"/>
        </w:rPr>
        <w:footnoteRef/>
      </w:r>
      <w:r>
        <w:t xml:space="preserve"> </w:t>
      </w:r>
      <w:r>
        <w:tab/>
        <w:t xml:space="preserve">In this regard it is worth noting that capacity trades will need to be provided with a matching buy and sell transaction, so if one side of the trade is deemed ineligible the pair will be rejected and hence the service provider will have to inform AEMO the trade is invalid.  </w:t>
      </w:r>
    </w:p>
  </w:footnote>
  <w:footnote w:id="82">
    <w:p w14:paraId="63479C6B" w14:textId="77777777" w:rsidR="00656FC1" w:rsidRDefault="00656FC1" w:rsidP="00A52672">
      <w:pPr>
        <w:pStyle w:val="FootnoteText"/>
        <w:rPr>
          <w:lang w:val="en-US"/>
        </w:rPr>
      </w:pPr>
      <w:r>
        <w:rPr>
          <w:rStyle w:val="FootnoteReference"/>
        </w:rPr>
        <w:footnoteRef/>
      </w:r>
      <w:r>
        <w:t xml:space="preserve"> </w:t>
      </w:r>
      <w:r>
        <w:tab/>
      </w:r>
      <w:r>
        <w:rPr>
          <w:lang w:val="en-US"/>
        </w:rPr>
        <w:t xml:space="preserve">See Section 8.3 of the GMRG </w:t>
      </w:r>
      <w:proofErr w:type="spellStart"/>
      <w:r>
        <w:rPr>
          <w:lang w:val="en-US"/>
        </w:rPr>
        <w:t>Standardisation</w:t>
      </w:r>
      <w:proofErr w:type="spellEnd"/>
      <w:r>
        <w:rPr>
          <w:lang w:val="en-US"/>
        </w:rPr>
        <w:t xml:space="preserve"> and Capacity Trading Platform Consultation Paper – Sept 2017</w:t>
      </w:r>
    </w:p>
  </w:footnote>
  <w:footnote w:id="83">
    <w:p w14:paraId="4D489E85" w14:textId="77777777" w:rsidR="00656FC1" w:rsidRDefault="00656FC1" w:rsidP="00A52672">
      <w:pPr>
        <w:pStyle w:val="FootnoteText"/>
        <w:rPr>
          <w:lang w:val="en-US"/>
        </w:rPr>
      </w:pPr>
      <w:r>
        <w:rPr>
          <w:rStyle w:val="FootnoteReference"/>
        </w:rPr>
        <w:footnoteRef/>
      </w:r>
      <w:r>
        <w:t xml:space="preserve"> </w:t>
      </w:r>
      <w:r>
        <w:tab/>
        <w:t>For example, which TRN do you reduce if there’s more than one, what service priority does a trade get and what if a participant’s firm TRN in the STTM is not listed as priority ‘1’)</w:t>
      </w:r>
    </w:p>
  </w:footnote>
  <w:footnote w:id="84">
    <w:p w14:paraId="75F63280" w14:textId="77777777" w:rsidR="00656FC1" w:rsidRDefault="00656FC1" w:rsidP="00333218">
      <w:pPr>
        <w:pStyle w:val="FootnoteText"/>
      </w:pPr>
      <w:r>
        <w:rPr>
          <w:rStyle w:val="FootnoteReference"/>
        </w:rPr>
        <w:footnoteRef/>
      </w:r>
      <w:r>
        <w:t xml:space="preserve"> </w:t>
      </w:r>
      <w:r>
        <w:tab/>
        <w:t xml:space="preserve">AEMO uses the </w:t>
      </w:r>
      <w:proofErr w:type="spellStart"/>
      <w:r>
        <w:rPr>
          <w:rFonts w:cs="Arial"/>
        </w:rPr>
        <w:t>Austraclear</w:t>
      </w:r>
      <w:proofErr w:type="spellEnd"/>
      <w:r>
        <w:rPr>
          <w:rFonts w:cs="Arial"/>
        </w:rPr>
        <w:t xml:space="preserve"> system to clear the market and process security deposits provided for prudential purposes (see AEMO Market Clearing Procedure). This system provides real-time gross settlement of transactions and is widely used in the finance industry for the settlement of transactions.</w:t>
      </w:r>
    </w:p>
  </w:footnote>
  <w:footnote w:id="85">
    <w:p w14:paraId="00FC3EB5" w14:textId="77777777" w:rsidR="00656FC1" w:rsidRDefault="00656FC1" w:rsidP="00333218">
      <w:pPr>
        <w:pStyle w:val="FootnoteText"/>
        <w:rPr>
          <w:lang w:val="en-US"/>
        </w:rPr>
      </w:pPr>
      <w:r>
        <w:rPr>
          <w:rStyle w:val="FootnoteReference"/>
        </w:rPr>
        <w:footnoteRef/>
      </w:r>
      <w:r>
        <w:t xml:space="preserve"> </w:t>
      </w:r>
      <w:r>
        <w:tab/>
        <w:t>See Box 9.1 of the consultation paper for more detail on reallocations.</w:t>
      </w:r>
    </w:p>
  </w:footnote>
  <w:footnote w:id="86">
    <w:p w14:paraId="67FE4FF0" w14:textId="77777777" w:rsidR="00656FC1" w:rsidRDefault="00656FC1" w:rsidP="00D557DD">
      <w:pPr>
        <w:pStyle w:val="FootnoteText"/>
      </w:pPr>
      <w:r>
        <w:rPr>
          <w:rStyle w:val="FootnoteReference"/>
        </w:rPr>
        <w:footnoteRef/>
      </w:r>
      <w:r>
        <w:t xml:space="preserve"> </w:t>
      </w:r>
      <w:r>
        <w:tab/>
        <w:t xml:space="preserve">A breakdown of the </w:t>
      </w:r>
      <w:r>
        <w:rPr>
          <w:rFonts w:cs="Arial"/>
        </w:rPr>
        <w:t>s</w:t>
      </w:r>
      <w:r w:rsidRPr="008B1B73">
        <w:rPr>
          <w:rFonts w:cs="Arial"/>
        </w:rPr>
        <w:t xml:space="preserve">ettlement amounts for </w:t>
      </w:r>
      <w:r>
        <w:rPr>
          <w:rFonts w:cs="Arial"/>
        </w:rPr>
        <w:t xml:space="preserve">capacity </w:t>
      </w:r>
      <w:r w:rsidRPr="008B1B73">
        <w:rPr>
          <w:rFonts w:cs="Arial"/>
        </w:rPr>
        <w:t xml:space="preserve">products </w:t>
      </w:r>
      <w:r>
        <w:rPr>
          <w:rFonts w:cs="Arial"/>
        </w:rPr>
        <w:t xml:space="preserve">would, however, be listed as a separate line item on the </w:t>
      </w:r>
      <w:r w:rsidRPr="008B1B73">
        <w:rPr>
          <w:rFonts w:cs="Arial"/>
        </w:rPr>
        <w:t>settlement statement.</w:t>
      </w:r>
    </w:p>
  </w:footnote>
  <w:footnote w:id="87">
    <w:p w14:paraId="224D8E25" w14:textId="77777777" w:rsidR="00656FC1" w:rsidRPr="0081129E" w:rsidRDefault="00656FC1" w:rsidP="0081129E">
      <w:pPr>
        <w:pStyle w:val="BodyText"/>
        <w:ind w:left="357" w:hanging="357"/>
        <w:rPr>
          <w:sz w:val="16"/>
          <w:szCs w:val="16"/>
        </w:rPr>
      </w:pPr>
      <w:r w:rsidRPr="0081129E">
        <w:rPr>
          <w:rStyle w:val="FootnoteReference"/>
          <w:sz w:val="16"/>
          <w:szCs w:val="16"/>
        </w:rPr>
        <w:footnoteRef/>
      </w:r>
      <w:r w:rsidRPr="0081129E">
        <w:rPr>
          <w:sz w:val="16"/>
          <w:szCs w:val="16"/>
        </w:rPr>
        <w:t xml:space="preserve"> </w:t>
      </w:r>
      <w:r w:rsidRPr="0081129E">
        <w:rPr>
          <w:sz w:val="16"/>
          <w:szCs w:val="16"/>
        </w:rPr>
        <w:tab/>
      </w:r>
      <w:r>
        <w:rPr>
          <w:rFonts w:eastAsiaTheme="minorEastAsia"/>
          <w:sz w:val="16"/>
          <w:szCs w:val="16"/>
        </w:rPr>
        <w:t>T</w:t>
      </w:r>
      <w:r w:rsidRPr="0081129E">
        <w:rPr>
          <w:rFonts w:eastAsiaTheme="minorEastAsia"/>
          <w:sz w:val="16"/>
          <w:szCs w:val="16"/>
        </w:rPr>
        <w:t xml:space="preserve">he service provider may still have a claim to payment for the capacity under the primary GTA. </w:t>
      </w:r>
    </w:p>
  </w:footnote>
  <w:footnote w:id="88">
    <w:p w14:paraId="1452EC39" w14:textId="77777777" w:rsidR="00656FC1" w:rsidRDefault="00656FC1" w:rsidP="00866564">
      <w:pPr>
        <w:pStyle w:val="FootnoteText"/>
      </w:pPr>
      <w:r>
        <w:rPr>
          <w:rStyle w:val="FootnoteReference"/>
        </w:rPr>
        <w:footnoteRef/>
      </w:r>
      <w:r>
        <w:t xml:space="preserve"> </w:t>
      </w:r>
      <w:r>
        <w:tab/>
        <w:t>That is to verify a seller had the requisite amount of capacity before the trade was entered into.</w:t>
      </w:r>
    </w:p>
  </w:footnote>
  <w:footnote w:id="89">
    <w:p w14:paraId="4C3D04D2" w14:textId="77777777" w:rsidR="00656FC1" w:rsidRDefault="00656FC1" w:rsidP="0031545C">
      <w:pPr>
        <w:pStyle w:val="FootnoteText"/>
      </w:pPr>
      <w:r>
        <w:rPr>
          <w:rStyle w:val="FootnoteReference"/>
        </w:rPr>
        <w:footnoteRef/>
      </w:r>
      <w:r>
        <w:t xml:space="preserve"> </w:t>
      </w:r>
      <w:r>
        <w:tab/>
      </w:r>
      <w:r w:rsidRPr="00F232EA">
        <w:rPr>
          <w:szCs w:val="16"/>
        </w:rPr>
        <w:t xml:space="preserve">AEMC, Stage 2 Final Report: </w:t>
      </w:r>
      <w:r w:rsidRPr="00F232EA">
        <w:rPr>
          <w:rFonts w:cs="Arial"/>
          <w:i/>
          <w:iCs/>
          <w:szCs w:val="16"/>
        </w:rPr>
        <w:t>East Coast Review</w:t>
      </w:r>
      <w:r w:rsidRPr="00F232EA">
        <w:rPr>
          <w:rFonts w:cs="Arial"/>
          <w:iCs/>
          <w:szCs w:val="16"/>
        </w:rPr>
        <w:t>, 23 May 2016</w:t>
      </w:r>
      <w:r>
        <w:t>, p. 98.</w:t>
      </w:r>
    </w:p>
  </w:footnote>
  <w:footnote w:id="90">
    <w:p w14:paraId="5BEEDC61" w14:textId="77777777" w:rsidR="00656FC1" w:rsidRDefault="00656FC1" w:rsidP="00145D10">
      <w:pPr>
        <w:pStyle w:val="FootnoteText"/>
        <w:spacing w:after="0"/>
      </w:pPr>
      <w:r>
        <w:rPr>
          <w:rStyle w:val="FootnoteReference"/>
        </w:rPr>
        <w:footnoteRef/>
      </w:r>
      <w:r>
        <w:t xml:space="preserve"> </w:t>
      </w:r>
      <w:r>
        <w:tab/>
        <w:t>AEMC, Stage 2 Final Report: East Coast Review, 23 May 2016, p.105.</w:t>
      </w:r>
    </w:p>
  </w:footnote>
  <w:footnote w:id="91">
    <w:p w14:paraId="75896B3F" w14:textId="77777777" w:rsidR="00656FC1" w:rsidRDefault="00656FC1" w:rsidP="00145D10">
      <w:pPr>
        <w:pStyle w:val="FootnoteText"/>
        <w:spacing w:after="0"/>
      </w:pPr>
      <w:r>
        <w:rPr>
          <w:rStyle w:val="FootnoteReference"/>
        </w:rPr>
        <w:footnoteRef/>
      </w:r>
      <w:r>
        <w:t xml:space="preserve"> </w:t>
      </w:r>
      <w:r>
        <w:tab/>
        <w:t>ibid, p.106.</w:t>
      </w:r>
    </w:p>
  </w:footnote>
  <w:footnote w:id="92">
    <w:p w14:paraId="33E45350" w14:textId="77777777" w:rsidR="00656FC1" w:rsidRDefault="00656FC1" w:rsidP="00145D10">
      <w:pPr>
        <w:pStyle w:val="FootnoteText"/>
        <w:spacing w:after="0"/>
      </w:pPr>
      <w:r>
        <w:rPr>
          <w:rStyle w:val="FootnoteReference"/>
        </w:rPr>
        <w:footnoteRef/>
      </w:r>
      <w:r>
        <w:t xml:space="preserve"> </w:t>
      </w:r>
      <w:r>
        <w:tab/>
      </w:r>
      <w:hyperlink r:id="rId1" w:history="1">
        <w:r w:rsidRPr="003D248D">
          <w:rPr>
            <w:rStyle w:val="Hyperlink"/>
          </w:rPr>
          <w:t>http://gmrg.coagenergycouncil.gov.au/publications/day-ahead-auction-contracted-un-nominated-capacity-and-reporting-framework</w:t>
        </w:r>
      </w:hyperlink>
      <w:r>
        <w:t xml:space="preserve"> </w:t>
      </w:r>
    </w:p>
  </w:footnote>
  <w:footnote w:id="93">
    <w:p w14:paraId="595CEE9D" w14:textId="77777777" w:rsidR="00656FC1" w:rsidRDefault="00656FC1">
      <w:pPr>
        <w:pStyle w:val="FootnoteText"/>
      </w:pPr>
      <w:r>
        <w:rPr>
          <w:rStyle w:val="FootnoteReference"/>
        </w:rPr>
        <w:footnoteRef/>
      </w:r>
      <w:r>
        <w:t xml:space="preserve"> </w:t>
      </w:r>
      <w:r>
        <w:tab/>
        <w:t xml:space="preserve">ACCC, Submission on Day-Ahead Auction of Contracted but Un-Nominated Capacity &amp; Reporting Framework, 6 November 2017. </w:t>
      </w:r>
    </w:p>
  </w:footnote>
  <w:footnote w:id="94">
    <w:p w14:paraId="5D3AF2F9" w14:textId="77777777" w:rsidR="00656FC1" w:rsidRDefault="00656FC1" w:rsidP="00400837">
      <w:pPr>
        <w:pStyle w:val="FootnoteText"/>
      </w:pPr>
      <w:r>
        <w:rPr>
          <w:rStyle w:val="FootnoteReference"/>
        </w:rPr>
        <w:footnoteRef/>
      </w:r>
      <w:r>
        <w:t xml:space="preserve"> </w:t>
      </w:r>
      <w:r>
        <w:tab/>
        <w:t>AEMC, Stage 2 Final Report: East Coast Review, 23 May 2016, pp. 108-109.</w:t>
      </w:r>
    </w:p>
  </w:footnote>
  <w:footnote w:id="95">
    <w:p w14:paraId="3988108D" w14:textId="77777777" w:rsidR="00656FC1" w:rsidRDefault="00656FC1" w:rsidP="006F2B35">
      <w:pPr>
        <w:pStyle w:val="FootnoteText"/>
      </w:pPr>
      <w:r>
        <w:rPr>
          <w:rStyle w:val="FootnoteReference"/>
        </w:rPr>
        <w:footnoteRef/>
      </w:r>
      <w:r>
        <w:t xml:space="preserve"> </w:t>
      </w:r>
      <w:r>
        <w:tab/>
        <w:t>Prime Minister of Australia Hon. Malcom Turnbull, Measures Agreed for Cheaper, More Reliable Gas, 20 March 2017.</w:t>
      </w:r>
    </w:p>
  </w:footnote>
  <w:footnote w:id="96">
    <w:p w14:paraId="33EFBFC0" w14:textId="77777777" w:rsidR="00656FC1" w:rsidRDefault="00656FC1" w:rsidP="00557E12">
      <w:pPr>
        <w:pStyle w:val="FootnoteText"/>
        <w:spacing w:before="20" w:after="20"/>
      </w:pPr>
      <w:r>
        <w:rPr>
          <w:rStyle w:val="FootnoteReference"/>
        </w:rPr>
        <w:footnoteRef/>
      </w:r>
      <w:r>
        <w:t xml:space="preserve"> </w:t>
      </w:r>
      <w:r>
        <w:tab/>
        <w:t>AEMC, Stage 2 Final Report: East Coast Review, 23 May 2016, pp. 107-108.</w:t>
      </w:r>
    </w:p>
  </w:footnote>
  <w:footnote w:id="97">
    <w:p w14:paraId="0F9BEA04" w14:textId="77777777" w:rsidR="00656FC1" w:rsidRDefault="00656FC1" w:rsidP="00B1436A">
      <w:pPr>
        <w:pStyle w:val="FootnoteText"/>
        <w:spacing w:before="20" w:after="20"/>
      </w:pPr>
      <w:r>
        <w:rPr>
          <w:rStyle w:val="FootnoteReference"/>
        </w:rPr>
        <w:footnoteRef/>
      </w:r>
      <w:r>
        <w:t xml:space="preserve"> </w:t>
      </w:r>
      <w:r>
        <w:tab/>
        <w:t>ibid, p.108.</w:t>
      </w:r>
    </w:p>
  </w:footnote>
  <w:footnote w:id="98">
    <w:p w14:paraId="6B6D56F2" w14:textId="77777777" w:rsidR="00656FC1" w:rsidRDefault="00656FC1" w:rsidP="00557E12">
      <w:pPr>
        <w:pStyle w:val="FootnoteText"/>
        <w:spacing w:before="20" w:after="20"/>
      </w:pPr>
      <w:r>
        <w:rPr>
          <w:rStyle w:val="FootnoteReference"/>
        </w:rPr>
        <w:footnoteRef/>
      </w:r>
      <w:r>
        <w:t xml:space="preserve"> </w:t>
      </w:r>
      <w:r>
        <w:tab/>
        <w:t>Note that in allowing trades to be given effect under the terms of a primary GTA it has been assumed that these terms will not drive the value disproportionately.</w:t>
      </w:r>
    </w:p>
  </w:footnote>
  <w:footnote w:id="99">
    <w:p w14:paraId="5CAD644B" w14:textId="77777777" w:rsidR="00656FC1" w:rsidRDefault="00656FC1">
      <w:pPr>
        <w:pStyle w:val="FootnoteText"/>
      </w:pPr>
      <w:r>
        <w:rPr>
          <w:rStyle w:val="FootnoteReference"/>
        </w:rPr>
        <w:footnoteRef/>
      </w:r>
      <w:r>
        <w:t xml:space="preserve"> </w:t>
      </w:r>
      <w:r>
        <w:tab/>
        <w:t>Note that the situation here is quite different from what was adopted in the recent BB rule change where the AEMC agreed that the nominations of gas fired generators should not be published ahead of the gas day because it may affect their competitive position in the NEM. In that case it is quite clear that nominations will be a sign of the amount a generator intends to generate the next day. The same cannot be said though for secondary capacity purchases.</w:t>
      </w:r>
    </w:p>
  </w:footnote>
  <w:footnote w:id="100">
    <w:p w14:paraId="02ED7E1F" w14:textId="77777777" w:rsidR="00656FC1" w:rsidRPr="007E1550" w:rsidRDefault="00656FC1" w:rsidP="00AD7E84">
      <w:pPr>
        <w:pStyle w:val="BodyText"/>
        <w:tabs>
          <w:tab w:val="clear" w:pos="2268"/>
          <w:tab w:val="clear" w:pos="4536"/>
          <w:tab w:val="clear" w:pos="6804"/>
          <w:tab w:val="clear" w:pos="9638"/>
          <w:tab w:val="left" w:pos="357"/>
        </w:tabs>
        <w:spacing w:before="0" w:after="60"/>
        <w:rPr>
          <w:sz w:val="16"/>
          <w:szCs w:val="16"/>
          <w:lang w:val="en-US"/>
        </w:rPr>
      </w:pPr>
      <w:r w:rsidRPr="00F72B6D">
        <w:rPr>
          <w:rStyle w:val="FootnoteReference"/>
          <w:sz w:val="18"/>
          <w:szCs w:val="18"/>
        </w:rPr>
        <w:footnoteRef/>
      </w:r>
      <w:r w:rsidRPr="00F72B6D">
        <w:rPr>
          <w:sz w:val="18"/>
          <w:szCs w:val="18"/>
        </w:rPr>
        <w:t xml:space="preserve"> </w:t>
      </w:r>
      <w:r>
        <w:rPr>
          <w:sz w:val="18"/>
          <w:szCs w:val="18"/>
        </w:rPr>
        <w:tab/>
      </w:r>
      <w:r w:rsidRPr="007E1550">
        <w:rPr>
          <w:sz w:val="16"/>
          <w:szCs w:val="16"/>
        </w:rPr>
        <w:t xml:space="preserve">The type of information that is published may differ from what is currently published for commodity trades. </w:t>
      </w:r>
    </w:p>
  </w:footnote>
  <w:footnote w:id="101">
    <w:p w14:paraId="6C0C1BD0" w14:textId="77777777" w:rsidR="00656FC1" w:rsidRPr="00AD7E84" w:rsidRDefault="00656FC1" w:rsidP="00AD7E84">
      <w:pPr>
        <w:pStyle w:val="BodyText"/>
        <w:tabs>
          <w:tab w:val="clear" w:pos="2268"/>
          <w:tab w:val="clear" w:pos="4536"/>
          <w:tab w:val="clear" w:pos="6804"/>
          <w:tab w:val="clear" w:pos="9638"/>
          <w:tab w:val="left" w:pos="357"/>
        </w:tabs>
        <w:spacing w:before="0" w:after="60"/>
        <w:ind w:left="357" w:hanging="357"/>
        <w:rPr>
          <w:sz w:val="16"/>
          <w:szCs w:val="16"/>
        </w:rPr>
      </w:pPr>
      <w:r w:rsidRPr="00AD7E84">
        <w:rPr>
          <w:rStyle w:val="FootnoteReference"/>
          <w:sz w:val="16"/>
          <w:szCs w:val="16"/>
        </w:rPr>
        <w:footnoteRef/>
      </w:r>
      <w:r w:rsidRPr="00AD7E84">
        <w:rPr>
          <w:sz w:val="16"/>
          <w:szCs w:val="16"/>
        </w:rPr>
        <w:t xml:space="preserve"> </w:t>
      </w:r>
      <w:r>
        <w:rPr>
          <w:sz w:val="16"/>
          <w:szCs w:val="16"/>
        </w:rPr>
        <w:tab/>
      </w:r>
      <w:r w:rsidRPr="00AD7E84">
        <w:rPr>
          <w:sz w:val="16"/>
          <w:szCs w:val="16"/>
        </w:rPr>
        <w:t>The inclusion of the second limb of this reporting window means that if a trade is entered into and will commence the next day, it will need to be reported on the day the trade is executed.</w:t>
      </w:r>
    </w:p>
    <w:p w14:paraId="2793EF61" w14:textId="77777777" w:rsidR="00656FC1" w:rsidRPr="007E1550" w:rsidRDefault="00656FC1" w:rsidP="00557E12">
      <w:pPr>
        <w:pStyle w:val="FootnoteText"/>
        <w:rPr>
          <w:lang w:val="en-US"/>
        </w:rPr>
      </w:pPr>
    </w:p>
  </w:footnote>
  <w:footnote w:id="102">
    <w:p w14:paraId="71532D88" w14:textId="77777777" w:rsidR="00656FC1" w:rsidRPr="007E1550" w:rsidRDefault="00656FC1" w:rsidP="00FF214E">
      <w:pPr>
        <w:pStyle w:val="BodyText"/>
        <w:tabs>
          <w:tab w:val="clear" w:pos="2268"/>
          <w:tab w:val="clear" w:pos="4536"/>
          <w:tab w:val="clear" w:pos="6804"/>
          <w:tab w:val="clear" w:pos="9638"/>
          <w:tab w:val="left" w:pos="357"/>
        </w:tabs>
        <w:spacing w:before="0" w:after="60"/>
        <w:ind w:left="357" w:hanging="357"/>
        <w:rPr>
          <w:lang w:val="en-US"/>
        </w:rPr>
      </w:pPr>
      <w:r w:rsidRPr="00AD7E84">
        <w:rPr>
          <w:rStyle w:val="FootnoteReference"/>
          <w:sz w:val="16"/>
          <w:szCs w:val="16"/>
        </w:rPr>
        <w:footnoteRef/>
      </w:r>
      <w:r w:rsidRPr="00AD7E84">
        <w:rPr>
          <w:sz w:val="16"/>
          <w:szCs w:val="16"/>
        </w:rPr>
        <w:t xml:space="preserve"> </w:t>
      </w:r>
      <w:r>
        <w:rPr>
          <w:sz w:val="16"/>
          <w:szCs w:val="16"/>
        </w:rPr>
        <w:tab/>
      </w:r>
      <w:r w:rsidRPr="00AD7E84">
        <w:rPr>
          <w:sz w:val="16"/>
          <w:szCs w:val="16"/>
        </w:rPr>
        <w:t>The inclusion of the second limb of this reporting window means that if a trade is entered into and will commence the next day, it will need to be reported on the day the trade is executed.</w:t>
      </w:r>
      <w:r w:rsidRPr="007E1550">
        <w:rPr>
          <w:lang w:val="en-US"/>
        </w:rPr>
        <w:t xml:space="preserve"> </w:t>
      </w:r>
    </w:p>
  </w:footnote>
  <w:footnote w:id="103">
    <w:p w14:paraId="1F06BDAF" w14:textId="77777777" w:rsidR="00656FC1" w:rsidRDefault="00656FC1">
      <w:pPr>
        <w:pStyle w:val="FootnoteText"/>
      </w:pPr>
      <w:r>
        <w:rPr>
          <w:rStyle w:val="FootnoteReference"/>
        </w:rPr>
        <w:footnoteRef/>
      </w:r>
      <w:r>
        <w:t xml:space="preserve"> </w:t>
      </w:r>
      <w:r>
        <w:tab/>
        <w:t>Even if a trade was entered into that was not due to commence for another month, the price struck in that trade will be informative to others considering entering into trades at a similar time.</w:t>
      </w:r>
    </w:p>
  </w:footnote>
  <w:footnote w:id="104">
    <w:p w14:paraId="60A79F0A" w14:textId="77777777" w:rsidR="00656FC1" w:rsidRDefault="00656FC1" w:rsidP="00557E12">
      <w:pPr>
        <w:pStyle w:val="FootnoteText"/>
      </w:pPr>
      <w:r>
        <w:rPr>
          <w:rStyle w:val="FootnoteReference"/>
        </w:rPr>
        <w:footnoteRef/>
      </w:r>
      <w:r>
        <w:t xml:space="preserve"> </w:t>
      </w:r>
      <w:r>
        <w:tab/>
        <w:t xml:space="preserve">This is akin to what AEMO currently does for GSH trades, which are published on the BB website. </w:t>
      </w:r>
    </w:p>
  </w:footnote>
  <w:footnote w:id="105">
    <w:p w14:paraId="198D32E1" w14:textId="77777777" w:rsidR="00656FC1" w:rsidRDefault="00656FC1" w:rsidP="005C0F62">
      <w:pPr>
        <w:pStyle w:val="FootnoteText"/>
      </w:pPr>
      <w:r>
        <w:rPr>
          <w:rStyle w:val="FootnoteReference"/>
        </w:rPr>
        <w:footnoteRef/>
      </w:r>
      <w:r>
        <w:t xml:space="preserve"> </w:t>
      </w:r>
      <w:r>
        <w:tab/>
      </w:r>
      <w:r w:rsidRPr="00F232EA">
        <w:rPr>
          <w:szCs w:val="16"/>
        </w:rPr>
        <w:t xml:space="preserve">AEMC, Stage 2 Final Report: </w:t>
      </w:r>
      <w:r w:rsidRPr="00F232EA">
        <w:rPr>
          <w:rFonts w:cs="Arial"/>
          <w:i/>
          <w:iCs/>
          <w:szCs w:val="16"/>
        </w:rPr>
        <w:t>East Coast Review</w:t>
      </w:r>
      <w:r w:rsidRPr="00F232EA">
        <w:rPr>
          <w:rFonts w:cs="Arial"/>
          <w:iCs/>
          <w:szCs w:val="16"/>
        </w:rPr>
        <w:t>, 23 May 2016,</w:t>
      </w:r>
      <w:r>
        <w:t xml:space="preserve"> p. 104.</w:t>
      </w:r>
    </w:p>
  </w:footnote>
  <w:footnote w:id="106">
    <w:p w14:paraId="58E598F6" w14:textId="77777777" w:rsidR="00656FC1" w:rsidRDefault="00656FC1" w:rsidP="005C0F62">
      <w:pPr>
        <w:pStyle w:val="FootnoteText"/>
      </w:pPr>
      <w:r>
        <w:rPr>
          <w:rStyle w:val="FootnoteReference"/>
        </w:rPr>
        <w:footnoteRef/>
      </w:r>
      <w:r>
        <w:t xml:space="preserve"> </w:t>
      </w:r>
      <w:r>
        <w:tab/>
      </w:r>
      <w:r>
        <w:rPr>
          <w:rFonts w:cs="Arial"/>
          <w:iCs/>
          <w:szCs w:val="16"/>
        </w:rPr>
        <w:t>ibid</w:t>
      </w:r>
      <w:r w:rsidRPr="00F232EA">
        <w:rPr>
          <w:rFonts w:cs="Arial"/>
          <w:iCs/>
          <w:szCs w:val="16"/>
        </w:rPr>
        <w:t>,</w:t>
      </w:r>
      <w:r w:rsidRPr="00F232EA">
        <w:rPr>
          <w:szCs w:val="16"/>
        </w:rPr>
        <w:t xml:space="preserve"> p</w:t>
      </w:r>
      <w:r>
        <w:rPr>
          <w:szCs w:val="16"/>
        </w:rPr>
        <w:t>p</w:t>
      </w:r>
      <w:r w:rsidRPr="00F232EA">
        <w:rPr>
          <w:szCs w:val="16"/>
        </w:rPr>
        <w:t xml:space="preserve">. </w:t>
      </w:r>
      <w:r>
        <w:rPr>
          <w:szCs w:val="16"/>
        </w:rPr>
        <w:t>104-105</w:t>
      </w:r>
      <w:r w:rsidRPr="00F232EA">
        <w:rPr>
          <w:szCs w:val="16"/>
        </w:rPr>
        <w:t>.</w:t>
      </w:r>
    </w:p>
  </w:footnote>
  <w:footnote w:id="107">
    <w:p w14:paraId="7B29EA2F" w14:textId="77777777" w:rsidR="00656FC1" w:rsidRDefault="00656FC1">
      <w:pPr>
        <w:pStyle w:val="FootnoteText"/>
      </w:pPr>
      <w:r>
        <w:rPr>
          <w:rStyle w:val="FootnoteReference"/>
        </w:rPr>
        <w:footnoteRef/>
      </w:r>
      <w:r>
        <w:t xml:space="preserve"> </w:t>
      </w:r>
      <w:r>
        <w:tab/>
      </w:r>
      <w:r w:rsidRPr="006C0C17">
        <w:rPr>
          <w:szCs w:val="16"/>
        </w:rPr>
        <w:t xml:space="preserve">A civil monetary liability means a liability for damages, compensation or any other monetary amount that can be recovered by a party that incurs loss or damage by way of civil proceedings. This is different from a civil penalty provision, which allows the AER to issue </w:t>
      </w:r>
      <w:r w:rsidRPr="006C0C17">
        <w:rPr>
          <w:rFonts w:cs="Arial"/>
          <w:szCs w:val="16"/>
        </w:rPr>
        <w:t>infringement notices and seek an order that a penalty be paid if the civil penalty provision has been breached.</w:t>
      </w:r>
    </w:p>
  </w:footnote>
  <w:footnote w:id="108">
    <w:p w14:paraId="1209FE98" w14:textId="77777777" w:rsidR="00656FC1" w:rsidRDefault="00656FC1" w:rsidP="001710D5">
      <w:pPr>
        <w:pStyle w:val="FootnoteText"/>
      </w:pPr>
      <w:r>
        <w:rPr>
          <w:rStyle w:val="FootnoteReference"/>
          <w:rFonts w:eastAsia="Cambria"/>
        </w:rPr>
        <w:footnoteRef/>
      </w:r>
      <w:r>
        <w:t xml:space="preserve"> </w:t>
      </w:r>
      <w:r>
        <w:tab/>
        <w:t xml:space="preserve">See: </w:t>
      </w:r>
      <w:hyperlink r:id="rId2" w:history="1">
        <w:r w:rsidRPr="007410C0">
          <w:rPr>
            <w:rStyle w:val="Hyperlink"/>
          </w:rPr>
          <w:t>https://www.aemo.com.au/Gas/Gas-Supply-Hubs/Market-operations</w:t>
        </w:r>
      </w:hyperlink>
      <w:r>
        <w:t xml:space="preserve"> </w:t>
      </w:r>
    </w:p>
  </w:footnote>
  <w:footnote w:id="109">
    <w:p w14:paraId="2478C7E4" w14:textId="77777777" w:rsidR="00656FC1" w:rsidRDefault="00656FC1" w:rsidP="001710D5">
      <w:pPr>
        <w:pStyle w:val="FootnoteText"/>
      </w:pPr>
      <w:r>
        <w:rPr>
          <w:rStyle w:val="FootnoteReference"/>
        </w:rPr>
        <w:footnoteRef/>
      </w:r>
      <w:r>
        <w:t xml:space="preserve"> </w:t>
      </w:r>
      <w:r>
        <w:tab/>
        <w:t>AEMO, Gas Supply Hub Industry Guide, October 2016, p. 39.</w:t>
      </w:r>
    </w:p>
  </w:footnote>
  <w:footnote w:id="110">
    <w:p w14:paraId="489931EC" w14:textId="77777777" w:rsidR="00656FC1" w:rsidRDefault="00656FC1" w:rsidP="005D51F3">
      <w:pPr>
        <w:pStyle w:val="FootnoteText"/>
      </w:pPr>
      <w:r>
        <w:rPr>
          <w:rStyle w:val="FootnoteReference"/>
        </w:rPr>
        <w:footnoteRef/>
      </w:r>
      <w:r>
        <w:t xml:space="preserve"> </w:t>
      </w:r>
      <w:r>
        <w:tab/>
        <w:t xml:space="preserve">Financial default includes the failure by the trading participant to pay an invoice or to make a margin call. </w:t>
      </w:r>
    </w:p>
  </w:footnote>
  <w:footnote w:id="111">
    <w:p w14:paraId="381CF823" w14:textId="77777777" w:rsidR="00656FC1" w:rsidRDefault="00656FC1" w:rsidP="005D51F3">
      <w:pPr>
        <w:pStyle w:val="FootnoteText"/>
      </w:pPr>
      <w:r>
        <w:rPr>
          <w:rStyle w:val="FootnoteReference"/>
        </w:rPr>
        <w:footnoteRef/>
      </w:r>
      <w:r>
        <w:t xml:space="preserve"> </w:t>
      </w:r>
      <w:r>
        <w:tab/>
        <w:t>The civil penalty provisions are set out in section 3 of the NGL. The maximum civil penalty is currently $100,000 for body corporates (or $20,000 for individuals) plus $10,000 ($2,000 for individuals) for every day it continues.</w:t>
      </w:r>
    </w:p>
  </w:footnote>
  <w:footnote w:id="112">
    <w:p w14:paraId="4A68228B" w14:textId="77777777" w:rsidR="00656FC1" w:rsidRDefault="00656FC1" w:rsidP="005D51F3">
      <w:pPr>
        <w:pStyle w:val="FootnoteText"/>
      </w:pPr>
      <w:r>
        <w:rPr>
          <w:rStyle w:val="FootnoteReference"/>
        </w:rPr>
        <w:footnoteRef/>
      </w:r>
      <w:r>
        <w:t xml:space="preserve"> </w:t>
      </w:r>
      <w:r>
        <w:tab/>
        <w:t xml:space="preserve">The AER may also issue an infringement notice if the AER has reason to a trading </w:t>
      </w:r>
      <w:proofErr w:type="gramStart"/>
      <w:r>
        <w:t>participant  has</w:t>
      </w:r>
      <w:proofErr w:type="gramEnd"/>
      <w:r>
        <w:t xml:space="preserve"> breached a civil penalty provision. The maximum infringement notice is $20,000 for body corporates and $4,000 for individuals. </w:t>
      </w:r>
    </w:p>
  </w:footnote>
  <w:footnote w:id="113">
    <w:p w14:paraId="18020172" w14:textId="77777777" w:rsidR="00656FC1" w:rsidRDefault="00656FC1" w:rsidP="005D51F3">
      <w:pPr>
        <w:pStyle w:val="FootnoteText"/>
      </w:pPr>
      <w:r>
        <w:rPr>
          <w:rStyle w:val="FootnoteReference"/>
        </w:rPr>
        <w:footnoteRef/>
      </w:r>
      <w:r>
        <w:t xml:space="preserve"> </w:t>
      </w:r>
      <w:r>
        <w:tab/>
        <w:t xml:space="preserve">If, rather than defaulting on their delivery obligation, the trading participant  breaches its gas delivery obligation and the variance is outside a 5% tolerance level then compensation must be paid to the counterparty (the compensation is based on the delivery variance quantity and the delivery price). If the delivery variance quantity is outside this tolerance then the party at fault must compensate the counterpart 25% of the value of the variation quantity. </w:t>
      </w:r>
    </w:p>
    <w:p w14:paraId="1FFE28D0" w14:textId="77777777" w:rsidR="00656FC1" w:rsidRDefault="00656FC1" w:rsidP="005D51F3">
      <w:pPr>
        <w:pStyle w:val="FootnoteText"/>
      </w:pPr>
      <w:r>
        <w:tab/>
        <w:t>See AEMO, Gas Supply Hub Industry Guide, October 2016, p. 74 for more detail.</w:t>
      </w:r>
    </w:p>
  </w:footnote>
  <w:footnote w:id="114">
    <w:p w14:paraId="74708874" w14:textId="77777777" w:rsidR="00656FC1" w:rsidRDefault="00656FC1" w:rsidP="001710D5">
      <w:pPr>
        <w:pStyle w:val="FootnoteText"/>
      </w:pPr>
      <w:r>
        <w:rPr>
          <w:rStyle w:val="FootnoteReference"/>
        </w:rPr>
        <w:footnoteRef/>
      </w:r>
      <w:r>
        <w:t xml:space="preserve"> </w:t>
      </w:r>
      <w:r>
        <w:tab/>
        <w:t>ibid, pp. 44-45.</w:t>
      </w:r>
    </w:p>
  </w:footnote>
  <w:footnote w:id="115">
    <w:p w14:paraId="1C2FC2A1" w14:textId="77777777" w:rsidR="00656FC1" w:rsidRDefault="00656FC1" w:rsidP="001710D5">
      <w:pPr>
        <w:pStyle w:val="FootnoteText"/>
      </w:pPr>
      <w:r>
        <w:rPr>
          <w:rStyle w:val="FootnoteReference"/>
        </w:rPr>
        <w:footnoteRef/>
      </w:r>
      <w:r>
        <w:t xml:space="preserve"> </w:t>
      </w:r>
      <w:r>
        <w:tab/>
        <w:t>AEMO, Impact and Implementation Report: GSH Exchange Agreement, 25 August 2017.</w:t>
      </w:r>
    </w:p>
  </w:footnote>
  <w:footnote w:id="116">
    <w:p w14:paraId="6F4A50F5" w14:textId="77777777" w:rsidR="00656FC1" w:rsidRDefault="00656FC1" w:rsidP="001710D5">
      <w:pPr>
        <w:pStyle w:val="FootnoteText"/>
      </w:pPr>
      <w:r>
        <w:rPr>
          <w:rStyle w:val="FootnoteReference"/>
        </w:rPr>
        <w:footnoteRef/>
      </w:r>
      <w:r>
        <w:t xml:space="preserve"> </w:t>
      </w:r>
      <w:r>
        <w:tab/>
        <w:t>ibid</w:t>
      </w:r>
    </w:p>
  </w:footnote>
  <w:footnote w:id="117">
    <w:p w14:paraId="1110C93C" w14:textId="77777777" w:rsidR="00656FC1" w:rsidRDefault="00656FC1" w:rsidP="001710D5">
      <w:pPr>
        <w:pStyle w:val="FootnoteText"/>
      </w:pPr>
      <w:r>
        <w:rPr>
          <w:rStyle w:val="FootnoteReference"/>
          <w:rFonts w:eastAsia="Cambria"/>
        </w:rPr>
        <w:footnoteRef/>
      </w:r>
      <w:r>
        <w:t xml:space="preserve"> </w:t>
      </w:r>
      <w:r>
        <w:tab/>
        <w:t>Reallocations are a transfer of a settlement amount from one party to another</w:t>
      </w:r>
      <w:r w:rsidRPr="00571F0F">
        <w:t>.</w:t>
      </w:r>
    </w:p>
  </w:footnote>
  <w:footnote w:id="118">
    <w:p w14:paraId="4C04AA95" w14:textId="77777777" w:rsidR="00656FC1" w:rsidRDefault="00656FC1" w:rsidP="001710D5">
      <w:pPr>
        <w:pStyle w:val="FootnoteText"/>
      </w:pPr>
      <w:r>
        <w:rPr>
          <w:rStyle w:val="FootnoteReference"/>
        </w:rPr>
        <w:footnoteRef/>
      </w:r>
      <w:r>
        <w:t xml:space="preserve"> </w:t>
      </w:r>
      <w:r>
        <w:tab/>
      </w:r>
      <w:r w:rsidRPr="008B1B73">
        <w:t>The registration process takes up to 15 business days from receiving a complete appli</w:t>
      </w:r>
      <w:r>
        <w:t xml:space="preserve">cation and associated documents.  </w:t>
      </w:r>
      <w:r w:rsidRPr="008B1B73">
        <w:t xml:space="preserve">All </w:t>
      </w:r>
      <w:r>
        <w:t xml:space="preserve">the </w:t>
      </w:r>
      <w:r w:rsidRPr="008B1B73">
        <w:t>information required to register in the GSH, including the GSH Member Registration Guide</w:t>
      </w:r>
      <w:r>
        <w:t xml:space="preserve"> can be found </w:t>
      </w:r>
      <w:r w:rsidRPr="008B1B73">
        <w:t>on AEMO’s website.</w:t>
      </w:r>
      <w:r>
        <w:t xml:space="preserve"> See: </w:t>
      </w:r>
      <w:hyperlink r:id="rId3" w:history="1">
        <w:r w:rsidRPr="00CE09C9">
          <w:rPr>
            <w:rStyle w:val="Hyperlink"/>
          </w:rPr>
          <w:t>https://www.aemo.com.au/Gas/Gas-Supply-Hubs/Participant-information/How-to-register</w:t>
        </w:r>
      </w:hyperlink>
      <w:r>
        <w:rPr>
          <w:rStyle w:val="Hyperlink"/>
        </w:rPr>
        <w:t xml:space="preserve"> </w:t>
      </w:r>
    </w:p>
  </w:footnote>
  <w:footnote w:id="119">
    <w:p w14:paraId="6A110146" w14:textId="77777777" w:rsidR="00656FC1" w:rsidRPr="00FB6BDD" w:rsidRDefault="00656FC1" w:rsidP="001710D5">
      <w:pPr>
        <w:pStyle w:val="FootnoteText"/>
        <w:rPr>
          <w:lang w:val="en-US"/>
        </w:rPr>
      </w:pPr>
      <w:r>
        <w:rPr>
          <w:rStyle w:val="FootnoteReference"/>
        </w:rPr>
        <w:footnoteRef/>
      </w:r>
      <w:r>
        <w:t xml:space="preserve"> </w:t>
      </w:r>
      <w:r>
        <w:tab/>
      </w:r>
      <w:r w:rsidRPr="00CE0F95">
        <w:t>The service provider can also offer an operational GTA-style service under a primary GTA, allowing a primary shipper to roll capacity bought in the secondary market into the primary GTA.</w:t>
      </w:r>
    </w:p>
  </w:footnote>
  <w:footnote w:id="120">
    <w:p w14:paraId="296AD0E5" w14:textId="77777777" w:rsidR="00656FC1" w:rsidRDefault="00656FC1" w:rsidP="001710D5">
      <w:pPr>
        <w:pStyle w:val="FootnoteText"/>
      </w:pPr>
      <w:r>
        <w:rPr>
          <w:rStyle w:val="FootnoteReference"/>
        </w:rPr>
        <w:footnoteRef/>
      </w:r>
      <w:r>
        <w:t xml:space="preserve"> </w:t>
      </w:r>
      <w:r>
        <w:tab/>
      </w:r>
      <w:r w:rsidRPr="008B1B73">
        <w:t xml:space="preserve">For example, a participant may ask AEMO to restrict access to the </w:t>
      </w:r>
      <w:r>
        <w:t>South East Queensland (</w:t>
      </w:r>
      <w:r w:rsidRPr="008B1B73">
        <w:t>SEQ</w:t>
      </w:r>
      <w:r>
        <w:t>)</w:t>
      </w:r>
      <w:r w:rsidRPr="008B1B73">
        <w:t xml:space="preserve"> product because it does not have agreements in place on the Roma to Brisbane Pipeline (RBP).</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C5621B1" w14:textId="77777777" w:rsidR="00656FC1" w:rsidRPr="00E35A55" w:rsidRDefault="00656FC1" w:rsidP="00F61E4D">
    <w:pPr>
      <w:pStyle w:val="Header"/>
      <w:tabs>
        <w:tab w:val="clear" w:pos="7796"/>
        <w:tab w:val="left" w:pos="4621"/>
      </w:tabs>
      <w:ind w:left="-623" w:hanging="142"/>
      <w:rPr>
        <w:b/>
        <w:sz w:val="24"/>
        <w:szCs w:val="24"/>
      </w:rPr>
    </w:pPr>
    <w:r>
      <w:rPr>
        <w:b/>
        <w:noProof/>
        <w:sz w:val="24"/>
        <w:szCs w:val="24"/>
        <w:lang w:eastAsia="en-AU"/>
      </w:rPr>
      <w:pict w14:anchorId="007D3D9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2pt;height:64.8pt">
          <v:imagedata r:id="rId1" o:title="GMRG-logo-stacked-small"/>
        </v:shape>
      </w:pic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043842B" w14:textId="77777777" w:rsidR="00656FC1" w:rsidRDefault="00656FC1" w:rsidP="00145D10">
    <w:pPr>
      <w:pStyle w:val="Header"/>
      <w:ind w:left="-851"/>
    </w:pPr>
    <w:r>
      <w:rPr>
        <w:b/>
        <w:noProof/>
        <w:sz w:val="24"/>
        <w:szCs w:val="24"/>
        <w:lang w:eastAsia="en-AU"/>
      </w:rPr>
      <w:drawing>
        <wp:inline distT="0" distB="0" distL="0" distR="0" wp14:anchorId="0E9629B5" wp14:editId="31CAAECA">
          <wp:extent cx="504825" cy="857250"/>
          <wp:effectExtent l="0" t="0" r="9525" b="0"/>
          <wp:docPr id="6" name="Picture 6" descr="Gas Market Reform Group Logo" title="Gas Market Reform Group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C:\Users\Katherine Lowe\AppData\Local\Microsoft\Windows\INetCacheContent.Word\GMRG-logo-stacked-small.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4825" cy="857250"/>
                  </a:xfrm>
                  <a:prstGeom prst="rect">
                    <a:avLst/>
                  </a:prstGeom>
                  <a:noFill/>
                  <a:ln>
                    <a:noFill/>
                  </a:ln>
                </pic:spPr>
              </pic:pic>
            </a:graphicData>
          </a:graphic>
        </wp:inline>
      </w:drawing>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6586682" w14:textId="22B7DF8A" w:rsidR="00656FC1" w:rsidRDefault="00656FC1">
    <w:pPr>
      <w:pStyle w:val="Header"/>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8CC6FBF" w14:textId="424B4267" w:rsidR="00656FC1" w:rsidRDefault="00656FC1">
    <w:pPr>
      <w:pStyle w:val="Header"/>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A7B48C2" w14:textId="5C3F3CA9" w:rsidR="00656FC1" w:rsidRPr="00395A4B" w:rsidRDefault="00656FC1" w:rsidP="005614F2">
    <w:pPr>
      <w:pStyle w:val="Header"/>
      <w:ind w:left="-623" w:hanging="511"/>
    </w:pPr>
    <w:r>
      <w:rPr>
        <w:b/>
        <w:noProof/>
        <w:sz w:val="24"/>
        <w:szCs w:val="24"/>
        <w:lang w:eastAsia="en-AU"/>
      </w:rPr>
      <w:drawing>
        <wp:inline distT="0" distB="0" distL="0" distR="0" wp14:anchorId="40AA7386" wp14:editId="661EA927">
          <wp:extent cx="504825" cy="857250"/>
          <wp:effectExtent l="0" t="0" r="9525" b="0"/>
          <wp:docPr id="7" name="Picture 7" descr="Gas Market Reform Group Logo" title="Gas Market Reform Group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C:\Users\Katherine Lowe\AppData\Local\Microsoft\Windows\INetCacheContent.Word\GMRG-logo-stacked-small.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4825" cy="857250"/>
                  </a:xfrm>
                  <a:prstGeom prst="rect">
                    <a:avLst/>
                  </a:prstGeom>
                  <a:noFill/>
                  <a:ln>
                    <a:noFill/>
                  </a:ln>
                </pic:spPr>
              </pic:pic>
            </a:graphicData>
          </a:graphic>
        </wp:inline>
      </w:drawing>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34EB42B" w14:textId="4E482F4B" w:rsidR="00656FC1" w:rsidRDefault="00656FC1">
    <w:pPr>
      <w:pStyle w:val="Header"/>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CFDBE89" w14:textId="0831AF52" w:rsidR="00656FC1" w:rsidRDefault="00656FC1">
    <w:pPr>
      <w:pStyle w:val="Header"/>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01A37AC" w14:textId="751F8A0B" w:rsidR="00656FC1" w:rsidRPr="00395A4B" w:rsidRDefault="00656FC1" w:rsidP="005614F2">
    <w:pPr>
      <w:pStyle w:val="Header"/>
      <w:ind w:left="-623" w:hanging="511"/>
    </w:pPr>
    <w:r>
      <w:rPr>
        <w:b/>
        <w:noProof/>
        <w:sz w:val="24"/>
        <w:szCs w:val="24"/>
        <w:lang w:eastAsia="en-AU"/>
      </w:rPr>
      <w:drawing>
        <wp:inline distT="0" distB="0" distL="0" distR="0" wp14:anchorId="7CDFB513" wp14:editId="2D3287F9">
          <wp:extent cx="504825" cy="857250"/>
          <wp:effectExtent l="0" t="0" r="9525" b="0"/>
          <wp:docPr id="17" name="Picture 17" descr="Gas Market Reform Group Logo" title="Gas Market Reform Group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C:\Users\Katherine Lowe\AppData\Local\Microsoft\Windows\INetCacheContent.Word\GMRG-logo-stacked-small.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4825" cy="857250"/>
                  </a:xfrm>
                  <a:prstGeom prst="rect">
                    <a:avLst/>
                  </a:prstGeom>
                  <a:noFill/>
                  <a:ln>
                    <a:noFill/>
                  </a:ln>
                </pic:spPr>
              </pic:pic>
            </a:graphicData>
          </a:graphic>
        </wp:inline>
      </w:drawing>
    </w: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05460E5" w14:textId="01071809" w:rsidR="00656FC1" w:rsidRDefault="00656FC1">
    <w:pPr>
      <w:pStyle w:val="Header"/>
    </w:pP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8F4209A" w14:textId="50BFED99" w:rsidR="00656FC1" w:rsidRDefault="00656FC1">
    <w:pPr>
      <w:pStyle w:val="Header"/>
    </w:pP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2ACE76B" w14:textId="77777777" w:rsidR="00656FC1" w:rsidRPr="00395A4B" w:rsidRDefault="00656FC1" w:rsidP="005614F2">
    <w:pPr>
      <w:pStyle w:val="Header"/>
      <w:ind w:left="-623" w:hanging="511"/>
    </w:pPr>
    <w:r>
      <w:rPr>
        <w:b/>
        <w:noProof/>
        <w:sz w:val="24"/>
        <w:szCs w:val="24"/>
        <w:lang w:eastAsia="en-AU"/>
      </w:rPr>
      <w:drawing>
        <wp:inline distT="0" distB="0" distL="0" distR="0" wp14:anchorId="58F2EEF3" wp14:editId="7AC5B4B8">
          <wp:extent cx="504825" cy="857250"/>
          <wp:effectExtent l="0" t="0" r="9525" b="0"/>
          <wp:docPr id="26" name="Picture 26" descr="Gas Market Reform Group Logo" title="Gas Market Reform Group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C:\Users\Katherine Lowe\AppData\Local\Microsoft\Windows\INetCacheContent.Word\GMRG-logo-stacked-small.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4825" cy="857250"/>
                  </a:xfrm>
                  <a:prstGeom prst="rect">
                    <a:avLst/>
                  </a:prstGeom>
                  <a:noFill/>
                  <a:ln>
                    <a:noFill/>
                  </a:ln>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06EF264" w14:textId="77777777" w:rsidR="00656FC1" w:rsidRPr="00570893" w:rsidRDefault="00656FC1" w:rsidP="00570893">
    <w:pPr>
      <w:pStyle w:val="Header"/>
      <w:ind w:left="-993" w:hanging="283"/>
    </w:pP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5719CE" w14:textId="55FFC89C" w:rsidR="00656FC1" w:rsidRDefault="00656FC1">
    <w:pPr>
      <w:pStyle w:val="Header"/>
    </w:pP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836842" w14:textId="362A548C" w:rsidR="00656FC1" w:rsidRDefault="00656FC1">
    <w:pPr>
      <w:pStyle w:val="Header"/>
    </w:pP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33D5FFC" w14:textId="77777777" w:rsidR="00656FC1" w:rsidRPr="00395A4B" w:rsidRDefault="00656FC1" w:rsidP="005614F2">
    <w:pPr>
      <w:pStyle w:val="Header"/>
      <w:ind w:left="-623" w:hanging="511"/>
    </w:pPr>
    <w:r>
      <w:rPr>
        <w:b/>
        <w:noProof/>
        <w:sz w:val="24"/>
        <w:szCs w:val="24"/>
        <w:lang w:eastAsia="en-AU"/>
      </w:rPr>
      <w:drawing>
        <wp:inline distT="0" distB="0" distL="0" distR="0" wp14:anchorId="061EB279" wp14:editId="62B1711F">
          <wp:extent cx="504825" cy="857250"/>
          <wp:effectExtent l="0" t="0" r="9525" b="0"/>
          <wp:docPr id="29" name="Picture 29" descr="Gas Market Reform Group Logo" title="GMRG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C:\Users\Katherine Lowe\AppData\Local\Microsoft\Windows\INetCacheContent.Word\GMRG-logo-stacked-small.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4825" cy="857250"/>
                  </a:xfrm>
                  <a:prstGeom prst="rect">
                    <a:avLst/>
                  </a:prstGeom>
                  <a:noFill/>
                  <a:ln>
                    <a:noFill/>
                  </a:ln>
                </pic:spPr>
              </pic:pic>
            </a:graphicData>
          </a:graphic>
        </wp:inline>
      </w:drawing>
    </w: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E18455A" w14:textId="6E0AFA1E" w:rsidR="00656FC1" w:rsidRDefault="00656FC1">
    <w:pPr>
      <w:pStyle w:val="Header"/>
    </w:pP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178FB55" w14:textId="6FFE5320" w:rsidR="00656FC1" w:rsidRDefault="00656FC1">
    <w:pPr>
      <w:pStyle w:val="Header"/>
    </w:pP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06D562" w14:textId="77777777" w:rsidR="00656FC1" w:rsidRPr="00395A4B" w:rsidRDefault="00656FC1" w:rsidP="00F61E4D">
    <w:pPr>
      <w:pStyle w:val="Header"/>
      <w:ind w:left="-623" w:hanging="142"/>
    </w:pPr>
    <w:r>
      <w:rPr>
        <w:b/>
        <w:noProof/>
        <w:sz w:val="24"/>
        <w:szCs w:val="24"/>
        <w:lang w:eastAsia="en-AU"/>
      </w:rPr>
      <w:drawing>
        <wp:inline distT="0" distB="0" distL="0" distR="0" wp14:anchorId="35C09A0A" wp14:editId="38E251D7">
          <wp:extent cx="504825" cy="857250"/>
          <wp:effectExtent l="0" t="0" r="9525" b="0"/>
          <wp:docPr id="30" name="Picture 30" descr="Gas Market Reform Group Logo" title="GMRG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C:\Users\Katherine Lowe\AppData\Local\Microsoft\Windows\INetCacheContent.Word\GMRG-logo-stacked-small.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4825" cy="857250"/>
                  </a:xfrm>
                  <a:prstGeom prst="rect">
                    <a:avLst/>
                  </a:prstGeom>
                  <a:noFill/>
                  <a:ln>
                    <a:noFill/>
                  </a:ln>
                </pic:spPr>
              </pic:pic>
            </a:graphicData>
          </a:graphic>
        </wp:inline>
      </w:drawing>
    </w: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F776EBC" w14:textId="10FA5E3F" w:rsidR="00656FC1" w:rsidRDefault="00656FC1">
    <w:pPr>
      <w:pStyle w:val="Header"/>
    </w:pP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7D4E2F7" w14:textId="33F4FE2D" w:rsidR="00656FC1" w:rsidRDefault="00656FC1">
    <w:pPr>
      <w:pStyle w:val="Header"/>
    </w:pP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3BC9A51" w14:textId="77777777" w:rsidR="00656FC1" w:rsidRPr="00395A4B" w:rsidRDefault="00656FC1" w:rsidP="00B065DE">
    <w:pPr>
      <w:pStyle w:val="Header"/>
      <w:ind w:left="-623" w:hanging="653"/>
    </w:pPr>
    <w:r>
      <w:rPr>
        <w:b/>
        <w:noProof/>
        <w:sz w:val="24"/>
        <w:szCs w:val="24"/>
        <w:lang w:eastAsia="en-AU"/>
      </w:rPr>
      <w:drawing>
        <wp:inline distT="0" distB="0" distL="0" distR="0" wp14:anchorId="36A0DE33" wp14:editId="54791DD9">
          <wp:extent cx="504825" cy="857250"/>
          <wp:effectExtent l="0" t="0" r="9525" b="0"/>
          <wp:docPr id="31" name="Picture 31" descr="Gas Market Reform Group Logo" title="Gas Market Reform Group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C:\Users\Katherine Lowe\AppData\Local\Microsoft\Windows\INetCacheContent.Word\GMRG-logo-stacked-small.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4825" cy="857250"/>
                  </a:xfrm>
                  <a:prstGeom prst="rect">
                    <a:avLst/>
                  </a:prstGeom>
                  <a:noFill/>
                  <a:ln>
                    <a:noFill/>
                  </a:ln>
                </pic:spPr>
              </pic:pic>
            </a:graphicData>
          </a:graphic>
        </wp:inline>
      </w:drawing>
    </w:r>
  </w:p>
</w:hdr>
</file>

<file path=word/header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F6CAD" w14:textId="0AC7F454" w:rsidR="00656FC1" w:rsidRDefault="00656FC1">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253A97F" w14:textId="3C00B119" w:rsidR="00656FC1" w:rsidRDefault="00656FC1">
    <w:pPr>
      <w:pStyle w:val="Header"/>
    </w:pPr>
  </w:p>
</w:hdr>
</file>

<file path=word/header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6AD4CEC" w14:textId="06C347B1" w:rsidR="00656FC1" w:rsidRDefault="00656FC1">
    <w:pPr>
      <w:pStyle w:val="Header"/>
    </w:pPr>
  </w:p>
</w:hdr>
</file>

<file path=word/header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4571E98" w14:textId="77777777" w:rsidR="00656FC1" w:rsidRPr="00395A4B" w:rsidRDefault="00656FC1" w:rsidP="00F61E4D">
    <w:pPr>
      <w:pStyle w:val="Header"/>
      <w:ind w:left="-623" w:hanging="142"/>
    </w:pPr>
    <w:r>
      <w:rPr>
        <w:b/>
        <w:noProof/>
        <w:sz w:val="24"/>
        <w:szCs w:val="24"/>
        <w:lang w:eastAsia="en-AU"/>
      </w:rPr>
      <w:drawing>
        <wp:inline distT="0" distB="0" distL="0" distR="0" wp14:anchorId="637F1FCB" wp14:editId="1EF3A057">
          <wp:extent cx="504825" cy="857250"/>
          <wp:effectExtent l="0" t="0" r="9525" b="0"/>
          <wp:docPr id="34" name="Picture 34" descr="Gas Market Reform Group Logo" title="Gas Market Reform Group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C:\Users\Katherine Lowe\AppData\Local\Microsoft\Windows\INetCacheContent.Word\GMRG-logo-stacked-small.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4825" cy="857250"/>
                  </a:xfrm>
                  <a:prstGeom prst="rect">
                    <a:avLst/>
                  </a:prstGeom>
                  <a:noFill/>
                  <a:ln>
                    <a:noFill/>
                  </a:ln>
                </pic:spPr>
              </pic:pic>
            </a:graphicData>
          </a:graphic>
        </wp:inline>
      </w:drawing>
    </w:r>
  </w:p>
</w:hdr>
</file>

<file path=word/header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34EC3F" w14:textId="58C7DF02" w:rsidR="00656FC1" w:rsidRDefault="00656FC1">
    <w:pPr>
      <w:pStyle w:val="Header"/>
    </w:pPr>
  </w:p>
</w:hdr>
</file>

<file path=word/header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DB6A2A" w14:textId="3D8184C5" w:rsidR="00656FC1" w:rsidRDefault="00656FC1">
    <w:pPr>
      <w:pStyle w:val="Header"/>
    </w:pPr>
  </w:p>
</w:hdr>
</file>

<file path=word/header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30BBE49" w14:textId="77777777" w:rsidR="00656FC1" w:rsidRPr="00395A4B" w:rsidRDefault="00656FC1" w:rsidP="00120702">
    <w:pPr>
      <w:pStyle w:val="Header"/>
      <w:ind w:left="-851" w:hanging="142"/>
    </w:pPr>
    <w:r>
      <w:rPr>
        <w:b/>
        <w:noProof/>
        <w:sz w:val="24"/>
        <w:szCs w:val="24"/>
        <w:lang w:eastAsia="en-AU"/>
      </w:rPr>
      <w:drawing>
        <wp:inline distT="0" distB="0" distL="0" distR="0" wp14:anchorId="64C566CE" wp14:editId="0405DB22">
          <wp:extent cx="504825" cy="857250"/>
          <wp:effectExtent l="0" t="0" r="9525" b="0"/>
          <wp:docPr id="10" name="Picture 10" descr="Gas Market Reform Group Logo" title="Gas Market Reform Group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C:\Users\Katherine Lowe\AppData\Local\Microsoft\Windows\INetCacheContent.Word\GMRG-logo-stacked-small.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4825" cy="857250"/>
                  </a:xfrm>
                  <a:prstGeom prst="rect">
                    <a:avLst/>
                  </a:prstGeom>
                  <a:noFill/>
                  <a:ln>
                    <a:noFill/>
                  </a:ln>
                </pic:spPr>
              </pic:pic>
            </a:graphicData>
          </a:graphic>
        </wp:inline>
      </w:drawing>
    </w:r>
  </w:p>
</w:hdr>
</file>

<file path=word/header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A5377F3" w14:textId="0CA1FD5D" w:rsidR="00656FC1" w:rsidRDefault="00656FC1">
    <w:pPr>
      <w:pStyle w:val="Header"/>
    </w:pPr>
  </w:p>
</w:hdr>
</file>

<file path=word/header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4A837A3" w14:textId="2694C76A" w:rsidR="00656FC1" w:rsidRDefault="00656FC1">
    <w:pPr>
      <w:pStyle w:val="Header"/>
    </w:pPr>
  </w:p>
</w:hdr>
</file>

<file path=word/header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3B4CF08" w14:textId="77777777" w:rsidR="00656FC1" w:rsidRPr="00395A4B" w:rsidRDefault="00656FC1" w:rsidP="00F61E4D">
    <w:pPr>
      <w:pStyle w:val="Header"/>
      <w:ind w:left="-623" w:hanging="142"/>
    </w:pPr>
    <w:r>
      <w:rPr>
        <w:b/>
        <w:noProof/>
        <w:sz w:val="24"/>
        <w:szCs w:val="24"/>
        <w:lang w:eastAsia="en-AU"/>
      </w:rPr>
      <w:drawing>
        <wp:inline distT="0" distB="0" distL="0" distR="0" wp14:anchorId="62BFC551" wp14:editId="7201A68A">
          <wp:extent cx="504825" cy="857250"/>
          <wp:effectExtent l="0" t="0" r="9525" b="0"/>
          <wp:docPr id="36" name="Picture 36" descr="Gas Market Reform Group Logo" title="Gas Market Reform Group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C:\Users\Katherine Lowe\AppData\Local\Microsoft\Windows\INetCacheContent.Word\GMRG-logo-stacked-small.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4825" cy="857250"/>
                  </a:xfrm>
                  <a:prstGeom prst="rect">
                    <a:avLst/>
                  </a:prstGeom>
                  <a:noFill/>
                  <a:ln>
                    <a:noFill/>
                  </a:ln>
                </pic:spPr>
              </pic:pic>
            </a:graphicData>
          </a:graphic>
        </wp:inline>
      </w:drawing>
    </w:r>
  </w:p>
</w:hdr>
</file>

<file path=word/header3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EDED56E" w14:textId="2CCF44F2" w:rsidR="00656FC1" w:rsidRDefault="00656FC1">
    <w:pPr>
      <w:pStyle w:val="Header"/>
    </w:pPr>
  </w:p>
</w:hdr>
</file>

<file path=word/header3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5C3D8A" w14:textId="5192A57F" w:rsidR="00656FC1" w:rsidRDefault="00656FC1">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78653DE" w14:textId="77777777" w:rsidR="00656FC1" w:rsidRDefault="00656FC1" w:rsidP="006A5795">
    <w:pPr>
      <w:pStyle w:val="Header"/>
      <w:ind w:left="-567" w:hanging="567"/>
    </w:pPr>
    <w:r>
      <w:rPr>
        <w:b/>
        <w:noProof/>
        <w:sz w:val="24"/>
        <w:szCs w:val="24"/>
        <w:lang w:eastAsia="en-AU"/>
      </w:rPr>
      <w:drawing>
        <wp:inline distT="0" distB="0" distL="0" distR="0" wp14:anchorId="36EFB2A4" wp14:editId="24A500CA">
          <wp:extent cx="504825" cy="857250"/>
          <wp:effectExtent l="0" t="0" r="9525" b="0"/>
          <wp:docPr id="2" name="Picture 2" descr="Gas Market Reform Group Logo" title="Gas Market Reform Group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C:\Users\Katherine Lowe\AppData\Local\Microsoft\Windows\INetCacheContent.Word\GMRG-logo-stacked-small.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4825" cy="857250"/>
                  </a:xfrm>
                  <a:prstGeom prst="rect">
                    <a:avLst/>
                  </a:prstGeom>
                  <a:noFill/>
                  <a:ln>
                    <a:noFill/>
                  </a:ln>
                </pic:spPr>
              </pic:pic>
            </a:graphicData>
          </a:graphic>
        </wp:inline>
      </w:drawing>
    </w:r>
  </w:p>
</w:hdr>
</file>

<file path=word/header4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703C269" w14:textId="77777777" w:rsidR="00656FC1" w:rsidRDefault="00656FC1" w:rsidP="00B33AD5">
    <w:pPr>
      <w:pStyle w:val="Header"/>
      <w:ind w:left="-623" w:hanging="142"/>
    </w:pPr>
    <w:r>
      <w:rPr>
        <w:b/>
        <w:noProof/>
        <w:sz w:val="24"/>
        <w:szCs w:val="24"/>
        <w:lang w:eastAsia="en-AU"/>
      </w:rPr>
      <w:drawing>
        <wp:inline distT="0" distB="0" distL="0" distR="0" wp14:anchorId="16BA7F55" wp14:editId="0BB39468">
          <wp:extent cx="504825" cy="857250"/>
          <wp:effectExtent l="0" t="0" r="9525" b="0"/>
          <wp:docPr id="37" name="Picture 37" descr="Gas Market Reform Group Logo" title="Gas Market Reform Group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C:\Users\Katherine Lowe\AppData\Local\Microsoft\Windows\INetCacheContent.Word\GMRG-logo-stacked-small.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4825" cy="857250"/>
                  </a:xfrm>
                  <a:prstGeom prst="rect">
                    <a:avLst/>
                  </a:prstGeom>
                  <a:noFill/>
                  <a:ln>
                    <a:noFill/>
                  </a:ln>
                </pic:spPr>
              </pic:pic>
            </a:graphicData>
          </a:graphic>
        </wp:inline>
      </w:drawing>
    </w:r>
  </w:p>
</w:hdr>
</file>

<file path=word/header4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3D998F" w14:textId="34B2FCA2" w:rsidR="00656FC1" w:rsidRDefault="00656FC1">
    <w:pPr>
      <w:pStyle w:val="Header"/>
    </w:pPr>
  </w:p>
</w:hdr>
</file>

<file path=word/header4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99B242A" w14:textId="1E241B58" w:rsidR="00656FC1" w:rsidRDefault="00656FC1">
    <w:pPr>
      <w:pStyle w:val="Header"/>
    </w:pPr>
  </w:p>
</w:hdr>
</file>

<file path=word/header4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5F527A3" w14:textId="77777777" w:rsidR="00656FC1" w:rsidRDefault="00656FC1" w:rsidP="00B33AD5">
    <w:pPr>
      <w:pStyle w:val="Header"/>
      <w:ind w:left="-623" w:hanging="142"/>
    </w:pPr>
    <w:r>
      <w:rPr>
        <w:b/>
        <w:noProof/>
        <w:sz w:val="24"/>
        <w:szCs w:val="24"/>
        <w:lang w:eastAsia="en-AU"/>
      </w:rPr>
      <w:drawing>
        <wp:inline distT="0" distB="0" distL="0" distR="0" wp14:anchorId="41FB9738" wp14:editId="6BE51728">
          <wp:extent cx="504825" cy="857250"/>
          <wp:effectExtent l="0" t="0" r="9525" b="0"/>
          <wp:docPr id="38" name="Picture 38" descr="Gas Market Reform Group Logo" title="GMRG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C:\Users\Katherine Lowe\AppData\Local\Microsoft\Windows\INetCacheContent.Word\GMRG-logo-stacked-small.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4825" cy="857250"/>
                  </a:xfrm>
                  <a:prstGeom prst="rect">
                    <a:avLst/>
                  </a:prstGeom>
                  <a:noFill/>
                  <a:ln>
                    <a:noFill/>
                  </a:ln>
                </pic:spPr>
              </pic:pic>
            </a:graphicData>
          </a:graphic>
        </wp:inline>
      </w:drawing>
    </w:r>
  </w:p>
</w:hdr>
</file>

<file path=word/header4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9A4E35E" w14:textId="01E3E064" w:rsidR="00656FC1" w:rsidRDefault="00656FC1">
    <w:pPr>
      <w:pStyle w:val="Header"/>
    </w:pPr>
  </w:p>
</w:hdr>
</file>

<file path=word/header4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B18F0E6" w14:textId="46DDD5C8" w:rsidR="00656FC1" w:rsidRDefault="00656FC1">
    <w:pPr>
      <w:pStyle w:val="Header"/>
    </w:pPr>
  </w:p>
</w:hdr>
</file>

<file path=word/header4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0BA8E6" w14:textId="77777777" w:rsidR="00656FC1" w:rsidRPr="00395A4B" w:rsidRDefault="00656FC1" w:rsidP="00F61E4D">
    <w:pPr>
      <w:pStyle w:val="Header"/>
      <w:ind w:left="-623" w:hanging="142"/>
    </w:pPr>
    <w:r>
      <w:rPr>
        <w:b/>
        <w:noProof/>
        <w:sz w:val="24"/>
        <w:szCs w:val="24"/>
        <w:lang w:eastAsia="en-AU"/>
      </w:rPr>
      <w:drawing>
        <wp:inline distT="0" distB="0" distL="0" distR="0" wp14:anchorId="0A06DBEB" wp14:editId="442F79FF">
          <wp:extent cx="504825" cy="857250"/>
          <wp:effectExtent l="0" t="0" r="9525" b="0"/>
          <wp:docPr id="39" name="Picture 39" descr="Gas Market Reform Group Logo" title="Gas Market Reform Group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C:\Users\Katherine Lowe\AppData\Local\Microsoft\Windows\INetCacheContent.Word\GMRG-logo-stacked-small.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4825" cy="857250"/>
                  </a:xfrm>
                  <a:prstGeom prst="rect">
                    <a:avLst/>
                  </a:prstGeom>
                  <a:noFill/>
                  <a:ln>
                    <a:noFill/>
                  </a:ln>
                </pic:spPr>
              </pic:pic>
            </a:graphicData>
          </a:graphic>
        </wp:inline>
      </w:drawing>
    </w:r>
  </w:p>
</w:hdr>
</file>

<file path=word/header4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67A05C3" w14:textId="6A39CF97" w:rsidR="00656FC1" w:rsidRDefault="00656FC1">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CCD6D6D" w14:textId="718FFD98" w:rsidR="00656FC1" w:rsidRDefault="00656FC1">
    <w:pPr>
      <w:pStyle w:val="Head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FC0AD09" w14:textId="11AC86B1" w:rsidR="00656FC1" w:rsidRDefault="00656FC1">
    <w:pPr>
      <w:pStyle w:val="Heade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E5042F4" w14:textId="77777777" w:rsidR="00656FC1" w:rsidRPr="00395A4B" w:rsidRDefault="00656FC1" w:rsidP="005614F2">
    <w:pPr>
      <w:pStyle w:val="Header"/>
      <w:ind w:left="-623" w:hanging="511"/>
    </w:pPr>
    <w:r>
      <w:rPr>
        <w:b/>
        <w:noProof/>
        <w:sz w:val="24"/>
        <w:szCs w:val="24"/>
        <w:lang w:eastAsia="en-AU"/>
      </w:rPr>
      <w:drawing>
        <wp:inline distT="0" distB="0" distL="0" distR="0" wp14:anchorId="74DCAB74" wp14:editId="50AA68C4">
          <wp:extent cx="504825" cy="857250"/>
          <wp:effectExtent l="0" t="0" r="9525" b="0"/>
          <wp:docPr id="3" name="Picture 3" descr="Gas Market Reform Group Logo" title="Gas Market Reform Group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C:\Users\Katherine Lowe\AppData\Local\Microsoft\Windows\INetCacheContent.Word\GMRG-logo-stacked-small.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4825" cy="857250"/>
                  </a:xfrm>
                  <a:prstGeom prst="rect">
                    <a:avLst/>
                  </a:prstGeom>
                  <a:noFill/>
                  <a:ln>
                    <a:noFill/>
                  </a:ln>
                </pic:spPr>
              </pic:pic>
            </a:graphicData>
          </a:graphic>
        </wp:inline>
      </w:drawing>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085C7C" w14:textId="0196CFBF" w:rsidR="00656FC1" w:rsidRDefault="00656FC1">
    <w:pPr>
      <w:pStyle w:val="Heade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8F9C1AB" w14:textId="030768B2" w:rsidR="00656FC1" w:rsidRDefault="00656FC1">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3"/>
    <w:multiLevelType w:val="singleLevel"/>
    <w:tmpl w:val="05328822"/>
    <w:lvl w:ilvl="0">
      <w:start w:val="1"/>
      <w:numFmt w:val="bullet"/>
      <w:lvlText w:val=""/>
      <w:lvlJc w:val="left"/>
      <w:pPr>
        <w:tabs>
          <w:tab w:val="num" w:pos="643"/>
        </w:tabs>
        <w:ind w:left="643" w:hanging="360"/>
      </w:pPr>
      <w:rPr>
        <w:rFonts w:ascii="Symbol" w:hAnsi="Symbol" w:hint="default"/>
      </w:rPr>
    </w:lvl>
  </w:abstractNum>
  <w:abstractNum w:abstractNumId="1" w15:restartNumberingAfterBreak="0">
    <w:nsid w:val="FFFFFF89"/>
    <w:multiLevelType w:val="singleLevel"/>
    <w:tmpl w:val="F6944FAE"/>
    <w:lvl w:ilvl="0">
      <w:start w:val="1"/>
      <w:numFmt w:val="bullet"/>
      <w:lvlText w:val=""/>
      <w:lvlJc w:val="left"/>
      <w:pPr>
        <w:tabs>
          <w:tab w:val="num" w:pos="360"/>
        </w:tabs>
        <w:ind w:left="360" w:hanging="360"/>
      </w:pPr>
      <w:rPr>
        <w:rFonts w:ascii="Symbol" w:hAnsi="Symbol" w:hint="default"/>
      </w:rPr>
    </w:lvl>
  </w:abstractNum>
  <w:abstractNum w:abstractNumId="2" w15:restartNumberingAfterBreak="0">
    <w:nsid w:val="00032DB9"/>
    <w:multiLevelType w:val="multilevel"/>
    <w:tmpl w:val="E5E89F92"/>
    <w:styleLink w:val="BulletList"/>
    <w:lvl w:ilvl="0">
      <w:start w:val="1"/>
      <w:numFmt w:val="bullet"/>
      <w:lvlText w:val=""/>
      <w:lvlJc w:val="left"/>
      <w:pPr>
        <w:ind w:left="369" w:hanging="369"/>
      </w:pPr>
      <w:rPr>
        <w:rFonts w:ascii="Symbol" w:hAnsi="Symbol" w:hint="default"/>
      </w:rPr>
    </w:lvl>
    <w:lvl w:ilvl="1">
      <w:start w:val="1"/>
      <w:numFmt w:val="none"/>
      <w:lvlText w:val="-"/>
      <w:lvlJc w:val="left"/>
      <w:pPr>
        <w:ind w:left="737" w:hanging="368"/>
      </w:pPr>
    </w:lvl>
    <w:lvl w:ilvl="2">
      <w:start w:val="1"/>
      <w:numFmt w:val="none"/>
      <w:lvlText w:val=":"/>
      <w:lvlJc w:val="left"/>
      <w:pPr>
        <w:ind w:left="1106" w:hanging="369"/>
      </w:pPr>
    </w:lvl>
    <w:lvl w:ilvl="3">
      <w:start w:val="1"/>
      <w:numFmt w:val="none"/>
      <w:lvlText w:val=""/>
      <w:lvlJc w:val="left"/>
      <w:pPr>
        <w:ind w:left="1474" w:hanging="368"/>
      </w:pPr>
      <w:rPr>
        <w:color w:val="auto"/>
      </w:rPr>
    </w:lvl>
    <w:lvl w:ilvl="4">
      <w:start w:val="1"/>
      <w:numFmt w:val="none"/>
      <w:lvlText w:val=""/>
      <w:lvlJc w:val="left"/>
      <w:pPr>
        <w:ind w:left="1800" w:hanging="360"/>
      </w:pPr>
      <w:rPr>
        <w:color w:val="auto"/>
      </w:rPr>
    </w:lvl>
    <w:lvl w:ilvl="5">
      <w:start w:val="1"/>
      <w:numFmt w:val="none"/>
      <w:lvlText w:val=""/>
      <w:lvlJc w:val="left"/>
      <w:pPr>
        <w:ind w:left="2160" w:hanging="360"/>
      </w:pPr>
      <w:rPr>
        <w:color w:val="auto"/>
      </w:rPr>
    </w:lvl>
    <w:lvl w:ilvl="6">
      <w:start w:val="1"/>
      <w:numFmt w:val="none"/>
      <w:lvlText w:val=""/>
      <w:lvlJc w:val="left"/>
      <w:pPr>
        <w:ind w:left="2520" w:hanging="360"/>
      </w:pPr>
      <w:rPr>
        <w:color w:val="auto"/>
      </w:rPr>
    </w:lvl>
    <w:lvl w:ilvl="7">
      <w:start w:val="1"/>
      <w:numFmt w:val="none"/>
      <w:lvlText w:val=""/>
      <w:lvlJc w:val="left"/>
      <w:pPr>
        <w:ind w:left="2880" w:hanging="360"/>
      </w:pPr>
      <w:rPr>
        <w:color w:val="auto"/>
      </w:rPr>
    </w:lvl>
    <w:lvl w:ilvl="8">
      <w:start w:val="1"/>
      <w:numFmt w:val="none"/>
      <w:lvlText w:val=""/>
      <w:lvlJc w:val="left"/>
      <w:pPr>
        <w:ind w:left="3240" w:hanging="360"/>
      </w:pPr>
      <w:rPr>
        <w:color w:val="auto"/>
      </w:rPr>
    </w:lvl>
  </w:abstractNum>
  <w:abstractNum w:abstractNumId="3" w15:restartNumberingAfterBreak="0">
    <w:nsid w:val="00F7340A"/>
    <w:multiLevelType w:val="multilevel"/>
    <w:tmpl w:val="1062F0D2"/>
    <w:lvl w:ilvl="0">
      <w:start w:val="1"/>
      <w:numFmt w:val="decimal"/>
      <w:lvlText w:val="(%1)"/>
      <w:lvlJc w:val="left"/>
      <w:pPr>
        <w:tabs>
          <w:tab w:val="num" w:pos="-31680"/>
        </w:tabs>
        <w:ind w:left="369" w:hanging="284"/>
      </w:pPr>
      <w:rPr>
        <w:rFonts w:ascii="Arial" w:hAnsi="Arial" w:hint="default"/>
        <w:b w:val="0"/>
        <w:i w:val="0"/>
        <w:sz w:val="18"/>
        <w:szCs w:val="26"/>
      </w:rPr>
    </w:lvl>
    <w:lvl w:ilvl="1">
      <w:start w:val="1"/>
      <w:numFmt w:val="lowerLetter"/>
      <w:lvlText w:val="%2."/>
      <w:lvlJc w:val="left"/>
      <w:pPr>
        <w:ind w:left="652" w:hanging="283"/>
      </w:pPr>
      <w:rPr>
        <w:rFonts w:hint="default"/>
      </w:rPr>
    </w:lvl>
    <w:lvl w:ilvl="2">
      <w:start w:val="1"/>
      <w:numFmt w:val="lowerRoman"/>
      <w:lvlText w:val="%3."/>
      <w:lvlJc w:val="left"/>
      <w:pPr>
        <w:ind w:left="936" w:hanging="284"/>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 w15:restartNumberingAfterBreak="0">
    <w:nsid w:val="02BA3DBE"/>
    <w:multiLevelType w:val="multilevel"/>
    <w:tmpl w:val="8DF8C6B6"/>
    <w:name w:val="MyNumbering8"/>
    <w:lvl w:ilvl="0">
      <w:start w:val="1"/>
      <w:numFmt w:val="decimal"/>
      <w:lvlText w:val="%1."/>
      <w:lvlJc w:val="left"/>
      <w:pPr>
        <w:ind w:left="360" w:hanging="360"/>
      </w:pPr>
      <w:rPr>
        <w:rFonts w:ascii="Arial" w:hAnsi="Arial" w:hint="default"/>
        <w:b w:val="0"/>
        <w:i w:val="0"/>
        <w:color w:val="auto"/>
        <w:sz w:val="22"/>
        <w:szCs w:val="18"/>
      </w:rPr>
    </w:lvl>
    <w:lvl w:ilvl="1">
      <w:start w:val="1"/>
      <w:numFmt w:val="lowerLetter"/>
      <w:lvlText w:val="%2."/>
      <w:lvlJc w:val="left"/>
      <w:pPr>
        <w:ind w:left="714" w:hanging="357"/>
      </w:pPr>
      <w:rPr>
        <w:rFonts w:hint="default"/>
      </w:rPr>
    </w:lvl>
    <w:lvl w:ilvl="2">
      <w:start w:val="1"/>
      <w:numFmt w:val="lowerRoman"/>
      <w:lvlText w:val="%3."/>
      <w:lvlJc w:val="left"/>
      <w:pPr>
        <w:ind w:left="1071" w:hanging="357"/>
      </w:pPr>
      <w:rPr>
        <w:rFonts w:hint="default"/>
      </w:rPr>
    </w:lvl>
    <w:lvl w:ilvl="3">
      <w:start w:val="1"/>
      <w:numFmt w:val="upperLetter"/>
      <w:lvlText w:val="%4."/>
      <w:lvlJc w:val="left"/>
      <w:pPr>
        <w:ind w:left="1428" w:hanging="357"/>
      </w:pPr>
      <w:rPr>
        <w:rFonts w:hint="default"/>
      </w:rPr>
    </w:lvl>
    <w:lvl w:ilvl="4">
      <w:start w:val="1"/>
      <w:numFmt w:val="upperRoman"/>
      <w:lvlText w:val="%5."/>
      <w:lvlJc w:val="left"/>
      <w:pPr>
        <w:ind w:left="1785" w:hanging="357"/>
      </w:pPr>
      <w:rPr>
        <w:rFonts w:hint="default"/>
      </w:rPr>
    </w:lvl>
    <w:lvl w:ilvl="5">
      <w:start w:val="1"/>
      <w:numFmt w:val="lowerRoman"/>
      <w:lvlText w:val="%6."/>
      <w:lvlJc w:val="right"/>
      <w:pPr>
        <w:ind w:left="2142" w:hanging="357"/>
      </w:pPr>
      <w:rPr>
        <w:rFonts w:hint="default"/>
      </w:rPr>
    </w:lvl>
    <w:lvl w:ilvl="6">
      <w:start w:val="1"/>
      <w:numFmt w:val="decimal"/>
      <w:lvlText w:val="%7."/>
      <w:lvlJc w:val="left"/>
      <w:pPr>
        <w:ind w:left="2499" w:hanging="357"/>
      </w:pPr>
      <w:rPr>
        <w:rFonts w:hint="default"/>
      </w:rPr>
    </w:lvl>
    <w:lvl w:ilvl="7">
      <w:start w:val="1"/>
      <w:numFmt w:val="lowerLetter"/>
      <w:lvlText w:val="%8."/>
      <w:lvlJc w:val="left"/>
      <w:pPr>
        <w:ind w:left="2856" w:hanging="357"/>
      </w:pPr>
      <w:rPr>
        <w:rFonts w:hint="default"/>
      </w:rPr>
    </w:lvl>
    <w:lvl w:ilvl="8">
      <w:start w:val="1"/>
      <w:numFmt w:val="lowerRoman"/>
      <w:lvlText w:val="%9."/>
      <w:lvlJc w:val="right"/>
      <w:pPr>
        <w:ind w:left="3213" w:hanging="357"/>
      </w:pPr>
      <w:rPr>
        <w:rFonts w:hint="default"/>
      </w:rPr>
    </w:lvl>
  </w:abstractNum>
  <w:abstractNum w:abstractNumId="5" w15:restartNumberingAfterBreak="0">
    <w:nsid w:val="0364475F"/>
    <w:multiLevelType w:val="multilevel"/>
    <w:tmpl w:val="583A35FA"/>
    <w:name w:val="MyBullets9"/>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6" w15:restartNumberingAfterBreak="0">
    <w:nsid w:val="036F68CE"/>
    <w:multiLevelType w:val="multilevel"/>
    <w:tmpl w:val="9F2A8B76"/>
    <w:styleLink w:val="MyListNumbering"/>
    <w:lvl w:ilvl="0">
      <w:start w:val="1"/>
      <w:numFmt w:val="lowerLetter"/>
      <w:lvlText w:val="(%1)"/>
      <w:lvlJc w:val="left"/>
      <w:pPr>
        <w:tabs>
          <w:tab w:val="num" w:pos="567"/>
        </w:tabs>
        <w:ind w:left="360" w:hanging="360"/>
      </w:pPr>
      <w:rPr>
        <w:rFonts w:hint="default"/>
      </w:rPr>
    </w:lvl>
    <w:lvl w:ilvl="1">
      <w:start w:val="1"/>
      <w:numFmt w:val="lowerRoman"/>
      <w:lvlText w:val="%2."/>
      <w:lvlJc w:val="left"/>
      <w:pPr>
        <w:ind w:left="1440" w:hanging="360"/>
      </w:pPr>
      <w:rPr>
        <w:rFonts w:hint="default"/>
      </w:rPr>
    </w:lvl>
    <w:lvl w:ilvl="2">
      <w:start w:val="1"/>
      <w:numFmt w:val="decimal"/>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 w15:restartNumberingAfterBreak="0">
    <w:nsid w:val="03B57116"/>
    <w:multiLevelType w:val="multilevel"/>
    <w:tmpl w:val="D8C832B8"/>
    <w:name w:val="TableNumbering2"/>
    <w:lvl w:ilvl="0">
      <w:start w:val="1"/>
      <w:numFmt w:val="none"/>
      <w:suff w:val="nothing"/>
      <w:lvlText w:val=""/>
      <w:lvlJc w:val="left"/>
      <w:pPr>
        <w:ind w:left="113" w:firstLine="0"/>
      </w:pPr>
      <w:rPr>
        <w:rFonts w:hint="default"/>
      </w:rPr>
    </w:lvl>
    <w:lvl w:ilvl="1">
      <w:start w:val="1"/>
      <w:numFmt w:val="decimal"/>
      <w:lvlText w:val="(%2)"/>
      <w:lvlJc w:val="left"/>
      <w:pPr>
        <w:tabs>
          <w:tab w:val="num" w:pos="425"/>
        </w:tabs>
        <w:ind w:left="425" w:hanging="425"/>
      </w:pPr>
      <w:rPr>
        <w:rFonts w:hint="default"/>
      </w:rPr>
    </w:lvl>
    <w:lvl w:ilvl="2">
      <w:start w:val="1"/>
      <w:numFmt w:val="none"/>
      <w:lvlText w:val=""/>
      <w:lvlJc w:val="left"/>
      <w:pPr>
        <w:ind w:left="340" w:hanging="340"/>
      </w:pPr>
      <w:rPr>
        <w:rFonts w:hint="default"/>
      </w:rPr>
    </w:lvl>
    <w:lvl w:ilvl="3">
      <w:start w:val="1"/>
      <w:numFmt w:val="none"/>
      <w:lvlText w:val=""/>
      <w:lvlJc w:val="left"/>
      <w:pPr>
        <w:ind w:left="340" w:hanging="340"/>
      </w:pPr>
      <w:rPr>
        <w:rFonts w:hint="default"/>
      </w:rPr>
    </w:lvl>
    <w:lvl w:ilvl="4">
      <w:start w:val="1"/>
      <w:numFmt w:val="none"/>
      <w:lvlText w:val=""/>
      <w:lvlJc w:val="left"/>
      <w:pPr>
        <w:ind w:left="340" w:hanging="340"/>
      </w:pPr>
      <w:rPr>
        <w:rFonts w:hint="default"/>
      </w:rPr>
    </w:lvl>
    <w:lvl w:ilvl="5">
      <w:start w:val="1"/>
      <w:numFmt w:val="none"/>
      <w:lvlText w:val=""/>
      <w:lvlJc w:val="left"/>
      <w:pPr>
        <w:ind w:left="340" w:hanging="340"/>
      </w:pPr>
      <w:rPr>
        <w:rFonts w:hint="default"/>
      </w:rPr>
    </w:lvl>
    <w:lvl w:ilvl="6">
      <w:start w:val="1"/>
      <w:numFmt w:val="none"/>
      <w:lvlText w:val=""/>
      <w:lvlJc w:val="left"/>
      <w:pPr>
        <w:ind w:left="340" w:hanging="340"/>
      </w:pPr>
      <w:rPr>
        <w:rFonts w:hint="default"/>
      </w:rPr>
    </w:lvl>
    <w:lvl w:ilvl="7">
      <w:start w:val="1"/>
      <w:numFmt w:val="none"/>
      <w:lvlText w:val=""/>
      <w:lvlJc w:val="left"/>
      <w:pPr>
        <w:ind w:left="340" w:hanging="340"/>
      </w:pPr>
      <w:rPr>
        <w:rFonts w:hint="default"/>
      </w:rPr>
    </w:lvl>
    <w:lvl w:ilvl="8">
      <w:start w:val="1"/>
      <w:numFmt w:val="none"/>
      <w:lvlText w:val=""/>
      <w:lvlJc w:val="left"/>
      <w:pPr>
        <w:ind w:left="340" w:hanging="340"/>
      </w:pPr>
      <w:rPr>
        <w:rFonts w:hint="default"/>
      </w:rPr>
    </w:lvl>
  </w:abstractNum>
  <w:abstractNum w:abstractNumId="8" w15:restartNumberingAfterBreak="0">
    <w:nsid w:val="08096D26"/>
    <w:multiLevelType w:val="singleLevel"/>
    <w:tmpl w:val="09AED864"/>
    <w:lvl w:ilvl="0">
      <w:start w:val="1"/>
      <w:numFmt w:val="bullet"/>
      <w:lvlText w:val=""/>
      <w:lvlJc w:val="left"/>
      <w:pPr>
        <w:tabs>
          <w:tab w:val="num" w:pos="340"/>
        </w:tabs>
        <w:ind w:left="340" w:hanging="340"/>
      </w:pPr>
      <w:rPr>
        <w:rFonts w:ascii="Symbol" w:hAnsi="Symbol" w:hint="default"/>
        <w:color w:val="auto"/>
        <w:sz w:val="22"/>
      </w:rPr>
    </w:lvl>
  </w:abstractNum>
  <w:abstractNum w:abstractNumId="9" w15:restartNumberingAfterBreak="0">
    <w:nsid w:val="0A8C43AA"/>
    <w:multiLevelType w:val="hybridMultilevel"/>
    <w:tmpl w:val="90406000"/>
    <w:name w:val="MyNumbering6222"/>
    <w:lvl w:ilvl="0" w:tplc="713CADB2">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BBA645EA">
      <w:start w:val="1"/>
      <w:numFmt w:val="lowerRoman"/>
      <w:lvlText w:val="(%4)"/>
      <w:lvlJc w:val="left"/>
      <w:pPr>
        <w:ind w:left="2880" w:hanging="360"/>
      </w:pPr>
      <w:rPr>
        <w:rFonts w:ascii="Arial" w:hAnsi="Arial" w:hint="default"/>
        <w:b w:val="0"/>
        <w:i/>
        <w:sz w:val="20"/>
      </w:r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34249880">
      <w:start w:val="1"/>
      <w:numFmt w:val="decimal"/>
      <w:lvlText w:val="%7."/>
      <w:lvlJc w:val="left"/>
      <w:pPr>
        <w:ind w:left="5040" w:hanging="360"/>
      </w:pPr>
      <w:rPr>
        <w:rFonts w:ascii="Arial" w:hAnsi="Arial" w:hint="default"/>
        <w:b w:val="0"/>
        <w:i w:val="0"/>
        <w:sz w:val="20"/>
      </w:r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0" w15:restartNumberingAfterBreak="0">
    <w:nsid w:val="0B880F76"/>
    <w:multiLevelType w:val="hybridMultilevel"/>
    <w:tmpl w:val="BAAAB1AA"/>
    <w:lvl w:ilvl="0" w:tplc="E0523722">
      <w:numFmt w:val="bullet"/>
      <w:lvlText w:val="-"/>
      <w:lvlJc w:val="left"/>
      <w:pPr>
        <w:ind w:left="4330" w:hanging="360"/>
      </w:pPr>
      <w:rPr>
        <w:rFonts w:ascii="Book Antiqua" w:eastAsia="Times New Roman" w:hAnsi="Book Antiqua" w:cs="Times New Roman"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 w15:restartNumberingAfterBreak="0">
    <w:nsid w:val="0D7210F9"/>
    <w:multiLevelType w:val="multilevel"/>
    <w:tmpl w:val="583A35FA"/>
    <w:name w:val="MyBullets15"/>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12" w15:restartNumberingAfterBreak="0">
    <w:nsid w:val="0DA64AB1"/>
    <w:multiLevelType w:val="hybridMultilevel"/>
    <w:tmpl w:val="3A7033E8"/>
    <w:lvl w:ilvl="0" w:tplc="8F8EC1A6">
      <w:start w:val="1"/>
      <w:numFmt w:val="bullet"/>
      <w:lvlText w:val="-"/>
      <w:lvlJc w:val="left"/>
      <w:pPr>
        <w:ind w:left="720" w:hanging="360"/>
      </w:pPr>
      <w:rPr>
        <w:rFonts w:ascii="Arial" w:hAnsi="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 w15:restartNumberingAfterBreak="0">
    <w:nsid w:val="0FB2573F"/>
    <w:multiLevelType w:val="multilevel"/>
    <w:tmpl w:val="DE1A4C60"/>
    <w:name w:val="TableFootnotes"/>
    <w:lvl w:ilvl="0">
      <w:start w:val="1"/>
      <w:numFmt w:val="none"/>
      <w:suff w:val="nothing"/>
      <w:lvlText w:val=""/>
      <w:lvlJc w:val="left"/>
      <w:pPr>
        <w:ind w:left="113" w:firstLine="0"/>
      </w:pPr>
      <w:rPr>
        <w:rFonts w:hint="default"/>
        <w:spacing w:val="-10"/>
      </w:rPr>
    </w:lvl>
    <w:lvl w:ilvl="1">
      <w:start w:val="1"/>
      <w:numFmt w:val="decimal"/>
      <w:lvlText w:val="(%2)"/>
      <w:lvlJc w:val="left"/>
      <w:pPr>
        <w:tabs>
          <w:tab w:val="num" w:pos="425"/>
        </w:tabs>
        <w:ind w:left="425" w:hanging="425"/>
      </w:pPr>
      <w:rPr>
        <w:rFonts w:hint="default"/>
        <w:spacing w:val="0"/>
        <w:w w:val="100"/>
        <w:kern w:val="0"/>
        <w:position w:val="0"/>
      </w:rPr>
    </w:lvl>
    <w:lvl w:ilvl="2">
      <w:start w:val="1"/>
      <w:numFmt w:val="none"/>
      <w:lvlRestart w:val="1"/>
      <w:lvlText w:val=""/>
      <w:lvlJc w:val="left"/>
      <w:pPr>
        <w:tabs>
          <w:tab w:val="num" w:pos="284"/>
        </w:tabs>
        <w:ind w:left="284" w:hanging="284"/>
      </w:pPr>
      <w:rPr>
        <w:rFonts w:hint="default"/>
        <w:color w:val="auto"/>
        <w:spacing w:val="-4"/>
      </w:rPr>
    </w:lvl>
    <w:lvl w:ilvl="3">
      <w:start w:val="1"/>
      <w:numFmt w:val="none"/>
      <w:lvlText w:val=""/>
      <w:lvlJc w:val="left"/>
      <w:pPr>
        <w:tabs>
          <w:tab w:val="num" w:pos="0"/>
        </w:tabs>
        <w:ind w:left="-709" w:firstLine="0"/>
      </w:pPr>
      <w:rPr>
        <w:rFonts w:hint="default"/>
        <w:spacing w:val="-10"/>
        <w:w w:val="100"/>
      </w:rPr>
    </w:lvl>
    <w:lvl w:ilvl="4">
      <w:start w:val="1"/>
      <w:numFmt w:val="none"/>
      <w:lvlText w:val=""/>
      <w:lvlJc w:val="left"/>
      <w:pPr>
        <w:tabs>
          <w:tab w:val="num" w:pos="2835"/>
        </w:tabs>
        <w:ind w:left="2835" w:hanging="567"/>
      </w:pPr>
      <w:rPr>
        <w:rFonts w:hint="default"/>
      </w:rPr>
    </w:lvl>
    <w:lvl w:ilvl="5">
      <w:start w:val="1"/>
      <w:numFmt w:val="none"/>
      <w:lvlText w:val=""/>
      <w:lvlJc w:val="left"/>
      <w:pPr>
        <w:tabs>
          <w:tab w:val="num" w:pos="2160"/>
        </w:tabs>
        <w:ind w:left="2016" w:hanging="936"/>
      </w:pPr>
      <w:rPr>
        <w:rFonts w:hint="default"/>
      </w:rPr>
    </w:lvl>
    <w:lvl w:ilvl="6">
      <w:start w:val="1"/>
      <w:numFmt w:val="lowerRoman"/>
      <w:lvlRestart w:val="1"/>
      <w:lvlText w:val="%7"/>
      <w:lvlJc w:val="left"/>
      <w:pPr>
        <w:tabs>
          <w:tab w:val="num" w:pos="369"/>
        </w:tabs>
        <w:ind w:left="369" w:hanging="369"/>
      </w:pPr>
      <w:rPr>
        <w:rFonts w:hint="default"/>
      </w:rPr>
    </w:lvl>
    <w:lvl w:ilvl="7">
      <w:start w:val="1"/>
      <w:numFmt w:val="lowerLetter"/>
      <w:lvlText w:val="%8."/>
      <w:lvlJc w:val="left"/>
      <w:pPr>
        <w:tabs>
          <w:tab w:val="num" w:pos="737"/>
        </w:tabs>
        <w:ind w:left="737" w:hanging="368"/>
      </w:pPr>
      <w:rPr>
        <w:rFonts w:hint="default"/>
        <w:position w:val="0"/>
      </w:rPr>
    </w:lvl>
    <w:lvl w:ilvl="8">
      <w:start w:val="1"/>
      <w:numFmt w:val="bullet"/>
      <w:lvlText w:val=""/>
      <w:lvlJc w:val="left"/>
      <w:pPr>
        <w:tabs>
          <w:tab w:val="num" w:pos="1106"/>
        </w:tabs>
        <w:ind w:left="1106" w:hanging="369"/>
      </w:pPr>
      <w:rPr>
        <w:rFonts w:ascii="Symbol" w:hAnsi="Symbol" w:hint="default"/>
        <w:position w:val="2"/>
        <w:sz w:val="20"/>
        <w:szCs w:val="20"/>
      </w:rPr>
    </w:lvl>
  </w:abstractNum>
  <w:abstractNum w:abstractNumId="14" w15:restartNumberingAfterBreak="0">
    <w:nsid w:val="0FD2211C"/>
    <w:multiLevelType w:val="hybridMultilevel"/>
    <w:tmpl w:val="AFC6F1DA"/>
    <w:lvl w:ilvl="0" w:tplc="C41AB19C">
      <w:start w:val="1"/>
      <w:numFmt w:val="lowerLetter"/>
      <w:lvlText w:val="(%1)"/>
      <w:lvlJc w:val="left"/>
      <w:pPr>
        <w:ind w:left="1077" w:hanging="360"/>
      </w:pPr>
      <w:rPr>
        <w:rFonts w:ascii="Arial" w:hAnsi="Arial" w:hint="default"/>
        <w:b w:val="0"/>
        <w:i w:val="0"/>
        <w:sz w:val="22"/>
        <w:szCs w:val="26"/>
      </w:rPr>
    </w:lvl>
    <w:lvl w:ilvl="1" w:tplc="0C090019" w:tentative="1">
      <w:start w:val="1"/>
      <w:numFmt w:val="lowerLetter"/>
      <w:lvlText w:val="%2."/>
      <w:lvlJc w:val="left"/>
      <w:pPr>
        <w:ind w:left="1797" w:hanging="360"/>
      </w:pPr>
    </w:lvl>
    <w:lvl w:ilvl="2" w:tplc="0C09001B" w:tentative="1">
      <w:start w:val="1"/>
      <w:numFmt w:val="lowerRoman"/>
      <w:lvlText w:val="%3."/>
      <w:lvlJc w:val="right"/>
      <w:pPr>
        <w:ind w:left="2517" w:hanging="180"/>
      </w:pPr>
    </w:lvl>
    <w:lvl w:ilvl="3" w:tplc="0C09000F" w:tentative="1">
      <w:start w:val="1"/>
      <w:numFmt w:val="decimal"/>
      <w:lvlText w:val="%4."/>
      <w:lvlJc w:val="left"/>
      <w:pPr>
        <w:ind w:left="3237" w:hanging="360"/>
      </w:pPr>
    </w:lvl>
    <w:lvl w:ilvl="4" w:tplc="0C090019" w:tentative="1">
      <w:start w:val="1"/>
      <w:numFmt w:val="lowerLetter"/>
      <w:lvlText w:val="%5."/>
      <w:lvlJc w:val="left"/>
      <w:pPr>
        <w:ind w:left="3957" w:hanging="360"/>
      </w:pPr>
    </w:lvl>
    <w:lvl w:ilvl="5" w:tplc="0C09001B" w:tentative="1">
      <w:start w:val="1"/>
      <w:numFmt w:val="lowerRoman"/>
      <w:lvlText w:val="%6."/>
      <w:lvlJc w:val="right"/>
      <w:pPr>
        <w:ind w:left="4677" w:hanging="180"/>
      </w:pPr>
    </w:lvl>
    <w:lvl w:ilvl="6" w:tplc="0C09000F" w:tentative="1">
      <w:start w:val="1"/>
      <w:numFmt w:val="decimal"/>
      <w:lvlText w:val="%7."/>
      <w:lvlJc w:val="left"/>
      <w:pPr>
        <w:ind w:left="5397" w:hanging="360"/>
      </w:pPr>
    </w:lvl>
    <w:lvl w:ilvl="7" w:tplc="0C090019" w:tentative="1">
      <w:start w:val="1"/>
      <w:numFmt w:val="lowerLetter"/>
      <w:lvlText w:val="%8."/>
      <w:lvlJc w:val="left"/>
      <w:pPr>
        <w:ind w:left="6117" w:hanging="360"/>
      </w:pPr>
    </w:lvl>
    <w:lvl w:ilvl="8" w:tplc="0C09001B" w:tentative="1">
      <w:start w:val="1"/>
      <w:numFmt w:val="lowerRoman"/>
      <w:lvlText w:val="%9."/>
      <w:lvlJc w:val="right"/>
      <w:pPr>
        <w:ind w:left="6837" w:hanging="180"/>
      </w:pPr>
    </w:lvl>
  </w:abstractNum>
  <w:abstractNum w:abstractNumId="15" w15:restartNumberingAfterBreak="0">
    <w:nsid w:val="0FF31932"/>
    <w:multiLevelType w:val="multilevel"/>
    <w:tmpl w:val="583A35FA"/>
    <w:name w:val="MyBullets22"/>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16" w15:restartNumberingAfterBreak="0">
    <w:nsid w:val="11A77141"/>
    <w:multiLevelType w:val="multilevel"/>
    <w:tmpl w:val="583A35FA"/>
    <w:name w:val="MyBullets16"/>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17" w15:restartNumberingAfterBreak="0">
    <w:nsid w:val="126B4FB4"/>
    <w:multiLevelType w:val="multilevel"/>
    <w:tmpl w:val="583A35FA"/>
    <w:name w:val="MyBullets36"/>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18" w15:restartNumberingAfterBreak="0">
    <w:nsid w:val="12D074B3"/>
    <w:multiLevelType w:val="hybridMultilevel"/>
    <w:tmpl w:val="794604D8"/>
    <w:name w:val="MyNumbering622442"/>
    <w:lvl w:ilvl="0" w:tplc="36F829CA">
      <w:start w:val="1"/>
      <w:numFmt w:val="lowerLetter"/>
      <w:lvlText w:val="(%1)"/>
      <w:lvlJc w:val="left"/>
      <w:pPr>
        <w:ind w:left="1077" w:hanging="360"/>
      </w:pPr>
      <w:rPr>
        <w:rFonts w:ascii="Arial" w:hAnsi="Arial" w:hint="default"/>
        <w:b w:val="0"/>
        <w:i w:val="0"/>
        <w:sz w:val="22"/>
        <w:szCs w:val="26"/>
      </w:rPr>
    </w:lvl>
    <w:lvl w:ilvl="1" w:tplc="0C090019" w:tentative="1">
      <w:start w:val="1"/>
      <w:numFmt w:val="lowerLetter"/>
      <w:lvlText w:val="%2."/>
      <w:lvlJc w:val="left"/>
      <w:pPr>
        <w:ind w:left="1797" w:hanging="360"/>
      </w:pPr>
    </w:lvl>
    <w:lvl w:ilvl="2" w:tplc="0C09001B" w:tentative="1">
      <w:start w:val="1"/>
      <w:numFmt w:val="lowerRoman"/>
      <w:lvlText w:val="%3."/>
      <w:lvlJc w:val="right"/>
      <w:pPr>
        <w:ind w:left="2517" w:hanging="180"/>
      </w:pPr>
    </w:lvl>
    <w:lvl w:ilvl="3" w:tplc="0C09000F" w:tentative="1">
      <w:start w:val="1"/>
      <w:numFmt w:val="decimal"/>
      <w:lvlText w:val="%4."/>
      <w:lvlJc w:val="left"/>
      <w:pPr>
        <w:ind w:left="3237" w:hanging="360"/>
      </w:pPr>
    </w:lvl>
    <w:lvl w:ilvl="4" w:tplc="0C090019" w:tentative="1">
      <w:start w:val="1"/>
      <w:numFmt w:val="lowerLetter"/>
      <w:lvlText w:val="%5."/>
      <w:lvlJc w:val="left"/>
      <w:pPr>
        <w:ind w:left="3957" w:hanging="360"/>
      </w:pPr>
    </w:lvl>
    <w:lvl w:ilvl="5" w:tplc="0C09001B" w:tentative="1">
      <w:start w:val="1"/>
      <w:numFmt w:val="lowerRoman"/>
      <w:lvlText w:val="%6."/>
      <w:lvlJc w:val="right"/>
      <w:pPr>
        <w:ind w:left="4677" w:hanging="180"/>
      </w:pPr>
    </w:lvl>
    <w:lvl w:ilvl="6" w:tplc="0C09000F" w:tentative="1">
      <w:start w:val="1"/>
      <w:numFmt w:val="decimal"/>
      <w:lvlText w:val="%7."/>
      <w:lvlJc w:val="left"/>
      <w:pPr>
        <w:ind w:left="5397" w:hanging="360"/>
      </w:pPr>
    </w:lvl>
    <w:lvl w:ilvl="7" w:tplc="0C090019" w:tentative="1">
      <w:start w:val="1"/>
      <w:numFmt w:val="lowerLetter"/>
      <w:lvlText w:val="%8."/>
      <w:lvlJc w:val="left"/>
      <w:pPr>
        <w:ind w:left="6117" w:hanging="360"/>
      </w:pPr>
    </w:lvl>
    <w:lvl w:ilvl="8" w:tplc="0C09001B" w:tentative="1">
      <w:start w:val="1"/>
      <w:numFmt w:val="lowerRoman"/>
      <w:lvlText w:val="%9."/>
      <w:lvlJc w:val="right"/>
      <w:pPr>
        <w:ind w:left="6837" w:hanging="180"/>
      </w:pPr>
    </w:lvl>
  </w:abstractNum>
  <w:abstractNum w:abstractNumId="19" w15:restartNumberingAfterBreak="0">
    <w:nsid w:val="13111E92"/>
    <w:multiLevelType w:val="multilevel"/>
    <w:tmpl w:val="583A35FA"/>
    <w:name w:val="MyBullets14"/>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20" w15:restartNumberingAfterBreak="0">
    <w:nsid w:val="14890D1D"/>
    <w:multiLevelType w:val="multilevel"/>
    <w:tmpl w:val="583A35FA"/>
    <w:name w:val="MyBullets"/>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21" w15:restartNumberingAfterBreak="0">
    <w:nsid w:val="150E00BA"/>
    <w:multiLevelType w:val="multilevel"/>
    <w:tmpl w:val="583A35FA"/>
    <w:name w:val="MyBullets34"/>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22" w15:restartNumberingAfterBreak="0">
    <w:nsid w:val="17263C8B"/>
    <w:multiLevelType w:val="hybridMultilevel"/>
    <w:tmpl w:val="CB38E1DA"/>
    <w:lvl w:ilvl="0" w:tplc="8F8EC1A6">
      <w:start w:val="1"/>
      <w:numFmt w:val="bullet"/>
      <w:lvlText w:val="-"/>
      <w:lvlJc w:val="left"/>
      <w:pPr>
        <w:ind w:left="720" w:hanging="360"/>
      </w:pPr>
      <w:rPr>
        <w:rFonts w:ascii="Arial" w:hAnsi="Aria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3" w15:restartNumberingAfterBreak="0">
    <w:nsid w:val="174A3534"/>
    <w:multiLevelType w:val="multilevel"/>
    <w:tmpl w:val="583A35FA"/>
    <w:name w:val="MyBullets5"/>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24" w15:restartNumberingAfterBreak="0">
    <w:nsid w:val="17AA0310"/>
    <w:multiLevelType w:val="singleLevel"/>
    <w:tmpl w:val="FE407418"/>
    <w:lvl w:ilvl="0">
      <w:start w:val="1"/>
      <w:numFmt w:val="bullet"/>
      <w:lvlText w:val=""/>
      <w:lvlJc w:val="left"/>
      <w:pPr>
        <w:tabs>
          <w:tab w:val="num" w:pos="340"/>
        </w:tabs>
        <w:ind w:left="340" w:hanging="340"/>
      </w:pPr>
      <w:rPr>
        <w:rFonts w:ascii="Symbol" w:hAnsi="Symbol" w:hint="default"/>
        <w:color w:val="auto"/>
        <w:sz w:val="22"/>
      </w:rPr>
    </w:lvl>
  </w:abstractNum>
  <w:abstractNum w:abstractNumId="25" w15:restartNumberingAfterBreak="0">
    <w:nsid w:val="18B347EF"/>
    <w:multiLevelType w:val="multilevel"/>
    <w:tmpl w:val="583A35FA"/>
    <w:name w:val="MyBullets33"/>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26" w15:restartNumberingAfterBreak="0">
    <w:nsid w:val="18DB37BE"/>
    <w:multiLevelType w:val="multilevel"/>
    <w:tmpl w:val="59A8F944"/>
    <w:lvl w:ilvl="0">
      <w:start w:val="1"/>
      <w:numFmt w:val="decimal"/>
      <w:lvlText w:val="%1."/>
      <w:lvlJc w:val="left"/>
      <w:pPr>
        <w:ind w:left="360" w:hanging="360"/>
      </w:pPr>
      <w:rPr>
        <w:rFonts w:ascii="Arial" w:hAnsi="Arial" w:hint="default"/>
        <w:b w:val="0"/>
        <w:i w:val="0"/>
        <w:color w:val="auto"/>
        <w:sz w:val="22"/>
        <w:szCs w:val="18"/>
      </w:rPr>
    </w:lvl>
    <w:lvl w:ilvl="1">
      <w:start w:val="1"/>
      <w:numFmt w:val="lowerLetter"/>
      <w:lvlText w:val="(%2)"/>
      <w:lvlJc w:val="left"/>
      <w:pPr>
        <w:ind w:left="714" w:hanging="357"/>
      </w:pPr>
      <w:rPr>
        <w:rFonts w:hint="default"/>
      </w:rPr>
    </w:lvl>
    <w:lvl w:ilvl="2">
      <w:start w:val="1"/>
      <w:numFmt w:val="lowerRoman"/>
      <w:lvlText w:val="%3."/>
      <w:lvlJc w:val="left"/>
      <w:pPr>
        <w:ind w:left="1071" w:hanging="357"/>
      </w:pPr>
      <w:rPr>
        <w:rFonts w:hint="default"/>
      </w:rPr>
    </w:lvl>
    <w:lvl w:ilvl="3">
      <w:start w:val="1"/>
      <w:numFmt w:val="upperLetter"/>
      <w:lvlText w:val="%4."/>
      <w:lvlJc w:val="left"/>
      <w:pPr>
        <w:ind w:left="1428" w:hanging="357"/>
      </w:pPr>
      <w:rPr>
        <w:rFonts w:hint="default"/>
      </w:rPr>
    </w:lvl>
    <w:lvl w:ilvl="4">
      <w:start w:val="1"/>
      <w:numFmt w:val="upperRoman"/>
      <w:lvlText w:val="%5."/>
      <w:lvlJc w:val="left"/>
      <w:pPr>
        <w:ind w:left="1785" w:hanging="357"/>
      </w:pPr>
      <w:rPr>
        <w:rFonts w:hint="default"/>
      </w:rPr>
    </w:lvl>
    <w:lvl w:ilvl="5">
      <w:start w:val="1"/>
      <w:numFmt w:val="lowerRoman"/>
      <w:lvlText w:val="%6."/>
      <w:lvlJc w:val="right"/>
      <w:pPr>
        <w:ind w:left="2142" w:hanging="357"/>
      </w:pPr>
      <w:rPr>
        <w:rFonts w:hint="default"/>
      </w:rPr>
    </w:lvl>
    <w:lvl w:ilvl="6">
      <w:start w:val="1"/>
      <w:numFmt w:val="decimal"/>
      <w:lvlText w:val="%7."/>
      <w:lvlJc w:val="left"/>
      <w:pPr>
        <w:ind w:left="2499" w:hanging="357"/>
      </w:pPr>
      <w:rPr>
        <w:rFonts w:hint="default"/>
      </w:rPr>
    </w:lvl>
    <w:lvl w:ilvl="7">
      <w:start w:val="1"/>
      <w:numFmt w:val="lowerLetter"/>
      <w:lvlText w:val="%8."/>
      <w:lvlJc w:val="left"/>
      <w:pPr>
        <w:ind w:left="2856" w:hanging="357"/>
      </w:pPr>
      <w:rPr>
        <w:rFonts w:hint="default"/>
      </w:rPr>
    </w:lvl>
    <w:lvl w:ilvl="8">
      <w:start w:val="1"/>
      <w:numFmt w:val="lowerRoman"/>
      <w:lvlText w:val="%9."/>
      <w:lvlJc w:val="right"/>
      <w:pPr>
        <w:ind w:left="3213" w:hanging="357"/>
      </w:pPr>
      <w:rPr>
        <w:rFonts w:hint="default"/>
      </w:rPr>
    </w:lvl>
  </w:abstractNum>
  <w:abstractNum w:abstractNumId="27" w15:restartNumberingAfterBreak="0">
    <w:nsid w:val="1CC032E9"/>
    <w:multiLevelType w:val="multilevel"/>
    <w:tmpl w:val="583A35FA"/>
    <w:name w:val="MyBullets27"/>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28" w15:restartNumberingAfterBreak="0">
    <w:nsid w:val="1D6A2037"/>
    <w:multiLevelType w:val="hybridMultilevel"/>
    <w:tmpl w:val="CE5EA1C8"/>
    <w:lvl w:ilvl="0" w:tplc="91AE3A2E">
      <w:start w:val="1"/>
      <w:numFmt w:val="lowerRoman"/>
      <w:lvlText w:val="(%1)"/>
      <w:lvlJc w:val="left"/>
      <w:pPr>
        <w:ind w:left="720" w:hanging="360"/>
      </w:pPr>
      <w:rPr>
        <w:rFonts w:ascii="Arial" w:hAnsi="Arial" w:hint="default"/>
        <w:b w:val="0"/>
        <w:i w:val="0"/>
        <w:sz w:val="18"/>
        <w:szCs w:val="26"/>
      </w:rPr>
    </w:lvl>
    <w:lvl w:ilvl="1" w:tplc="0840F2F8">
      <w:start w:val="1"/>
      <w:numFmt w:val="lowerRoman"/>
      <w:lvlText w:val="(%2)"/>
      <w:lvlJc w:val="left"/>
      <w:pPr>
        <w:ind w:left="1440" w:hanging="360"/>
      </w:pPr>
      <w:rPr>
        <w:rFonts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9" w15:restartNumberingAfterBreak="0">
    <w:nsid w:val="1E752802"/>
    <w:multiLevelType w:val="hybridMultilevel"/>
    <w:tmpl w:val="57084850"/>
    <w:name w:val="MyNumbering33"/>
    <w:lvl w:ilvl="0" w:tplc="62EEBF52">
      <w:start w:val="1"/>
      <w:numFmt w:val="lowerLetter"/>
      <w:lvlText w:val="(%1)"/>
      <w:lvlJc w:val="left"/>
      <w:pPr>
        <w:ind w:left="720" w:hanging="360"/>
      </w:pPr>
      <w:rPr>
        <w:rFonts w:ascii="Arial" w:hAnsi="Arial" w:hint="default"/>
        <w:b w:val="0"/>
        <w:i w:val="0"/>
        <w:color w:val="231F20"/>
        <w:w w:val="100"/>
        <w:sz w:val="22"/>
        <w:szCs w:val="20"/>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0" w15:restartNumberingAfterBreak="0">
    <w:nsid w:val="1EC473E5"/>
    <w:multiLevelType w:val="multilevel"/>
    <w:tmpl w:val="97C27198"/>
    <w:name w:val="MyNumbering62244"/>
    <w:lvl w:ilvl="0">
      <w:start w:val="1"/>
      <w:numFmt w:val="decimal"/>
      <w:pStyle w:val="ListNumber"/>
      <w:lvlText w:val="%1."/>
      <w:lvlJc w:val="left"/>
      <w:pPr>
        <w:ind w:left="360" w:hanging="360"/>
      </w:pPr>
      <w:rPr>
        <w:rFonts w:ascii="Arial" w:hAnsi="Arial" w:hint="default"/>
        <w:b w:val="0"/>
        <w:i w:val="0"/>
        <w:color w:val="auto"/>
        <w:sz w:val="22"/>
        <w:szCs w:val="18"/>
      </w:rPr>
    </w:lvl>
    <w:lvl w:ilvl="1">
      <w:start w:val="1"/>
      <w:numFmt w:val="lowerLetter"/>
      <w:pStyle w:val="ListNumber2"/>
      <w:lvlText w:val="%2."/>
      <w:lvlJc w:val="left"/>
      <w:pPr>
        <w:ind w:left="714" w:hanging="357"/>
      </w:pPr>
      <w:rPr>
        <w:rFonts w:hint="default"/>
      </w:rPr>
    </w:lvl>
    <w:lvl w:ilvl="2">
      <w:start w:val="1"/>
      <w:numFmt w:val="lowerRoman"/>
      <w:pStyle w:val="ListNumber3"/>
      <w:lvlText w:val="%3."/>
      <w:lvlJc w:val="left"/>
      <w:pPr>
        <w:ind w:left="1071" w:hanging="357"/>
      </w:pPr>
      <w:rPr>
        <w:rFonts w:hint="default"/>
      </w:rPr>
    </w:lvl>
    <w:lvl w:ilvl="3">
      <w:start w:val="1"/>
      <w:numFmt w:val="upperLetter"/>
      <w:pStyle w:val="ListNumber4"/>
      <w:lvlText w:val="%4."/>
      <w:lvlJc w:val="left"/>
      <w:pPr>
        <w:ind w:left="1428" w:hanging="357"/>
      </w:pPr>
      <w:rPr>
        <w:rFonts w:hint="default"/>
      </w:rPr>
    </w:lvl>
    <w:lvl w:ilvl="4">
      <w:start w:val="1"/>
      <w:numFmt w:val="upperRoman"/>
      <w:pStyle w:val="ListNumber5"/>
      <w:lvlText w:val="%5."/>
      <w:lvlJc w:val="left"/>
      <w:pPr>
        <w:ind w:left="1785" w:hanging="357"/>
      </w:pPr>
      <w:rPr>
        <w:rFonts w:hint="default"/>
      </w:rPr>
    </w:lvl>
    <w:lvl w:ilvl="5">
      <w:start w:val="1"/>
      <w:numFmt w:val="lowerRoman"/>
      <w:lvlText w:val="%6."/>
      <w:lvlJc w:val="right"/>
      <w:pPr>
        <w:ind w:left="2142" w:hanging="357"/>
      </w:pPr>
      <w:rPr>
        <w:rFonts w:hint="default"/>
      </w:rPr>
    </w:lvl>
    <w:lvl w:ilvl="6">
      <w:start w:val="1"/>
      <w:numFmt w:val="decimal"/>
      <w:lvlText w:val="%7."/>
      <w:lvlJc w:val="left"/>
      <w:pPr>
        <w:ind w:left="2499" w:hanging="357"/>
      </w:pPr>
      <w:rPr>
        <w:rFonts w:hint="default"/>
      </w:rPr>
    </w:lvl>
    <w:lvl w:ilvl="7">
      <w:start w:val="1"/>
      <w:numFmt w:val="lowerLetter"/>
      <w:lvlText w:val="%8."/>
      <w:lvlJc w:val="left"/>
      <w:pPr>
        <w:ind w:left="2856" w:hanging="357"/>
      </w:pPr>
      <w:rPr>
        <w:rFonts w:hint="default"/>
      </w:rPr>
    </w:lvl>
    <w:lvl w:ilvl="8">
      <w:start w:val="1"/>
      <w:numFmt w:val="lowerRoman"/>
      <w:lvlText w:val="%9."/>
      <w:lvlJc w:val="right"/>
      <w:pPr>
        <w:ind w:left="3213" w:hanging="357"/>
      </w:pPr>
      <w:rPr>
        <w:rFonts w:hint="default"/>
      </w:rPr>
    </w:lvl>
  </w:abstractNum>
  <w:abstractNum w:abstractNumId="31" w15:restartNumberingAfterBreak="0">
    <w:nsid w:val="1FF6579C"/>
    <w:multiLevelType w:val="multilevel"/>
    <w:tmpl w:val="8DF8C6B6"/>
    <w:name w:val="MyNumbering"/>
    <w:lvl w:ilvl="0">
      <w:start w:val="1"/>
      <w:numFmt w:val="decimal"/>
      <w:lvlText w:val="%1."/>
      <w:lvlJc w:val="left"/>
      <w:pPr>
        <w:ind w:left="360" w:hanging="360"/>
      </w:pPr>
      <w:rPr>
        <w:rFonts w:ascii="Arial" w:hAnsi="Arial" w:hint="default"/>
        <w:b w:val="0"/>
        <w:i w:val="0"/>
        <w:color w:val="auto"/>
        <w:sz w:val="22"/>
        <w:szCs w:val="18"/>
      </w:rPr>
    </w:lvl>
    <w:lvl w:ilvl="1">
      <w:start w:val="1"/>
      <w:numFmt w:val="lowerLetter"/>
      <w:lvlText w:val="%2."/>
      <w:lvlJc w:val="left"/>
      <w:pPr>
        <w:ind w:left="714" w:hanging="357"/>
      </w:pPr>
      <w:rPr>
        <w:rFonts w:hint="default"/>
      </w:rPr>
    </w:lvl>
    <w:lvl w:ilvl="2">
      <w:start w:val="1"/>
      <w:numFmt w:val="lowerRoman"/>
      <w:lvlText w:val="%3."/>
      <w:lvlJc w:val="left"/>
      <w:pPr>
        <w:ind w:left="1071" w:hanging="357"/>
      </w:pPr>
      <w:rPr>
        <w:rFonts w:hint="default"/>
      </w:rPr>
    </w:lvl>
    <w:lvl w:ilvl="3">
      <w:start w:val="1"/>
      <w:numFmt w:val="upperLetter"/>
      <w:lvlText w:val="%4."/>
      <w:lvlJc w:val="left"/>
      <w:pPr>
        <w:ind w:left="1428" w:hanging="357"/>
      </w:pPr>
      <w:rPr>
        <w:rFonts w:hint="default"/>
      </w:rPr>
    </w:lvl>
    <w:lvl w:ilvl="4">
      <w:start w:val="1"/>
      <w:numFmt w:val="upperRoman"/>
      <w:lvlText w:val="%5."/>
      <w:lvlJc w:val="left"/>
      <w:pPr>
        <w:ind w:left="1785" w:hanging="357"/>
      </w:pPr>
      <w:rPr>
        <w:rFonts w:hint="default"/>
      </w:rPr>
    </w:lvl>
    <w:lvl w:ilvl="5">
      <w:start w:val="1"/>
      <w:numFmt w:val="lowerRoman"/>
      <w:lvlText w:val="%6."/>
      <w:lvlJc w:val="right"/>
      <w:pPr>
        <w:ind w:left="2142" w:hanging="357"/>
      </w:pPr>
      <w:rPr>
        <w:rFonts w:hint="default"/>
      </w:rPr>
    </w:lvl>
    <w:lvl w:ilvl="6">
      <w:start w:val="1"/>
      <w:numFmt w:val="decimal"/>
      <w:lvlText w:val="%7."/>
      <w:lvlJc w:val="left"/>
      <w:pPr>
        <w:ind w:left="2499" w:hanging="357"/>
      </w:pPr>
      <w:rPr>
        <w:rFonts w:hint="default"/>
      </w:rPr>
    </w:lvl>
    <w:lvl w:ilvl="7">
      <w:start w:val="1"/>
      <w:numFmt w:val="lowerLetter"/>
      <w:lvlText w:val="%8."/>
      <w:lvlJc w:val="left"/>
      <w:pPr>
        <w:ind w:left="2856" w:hanging="357"/>
      </w:pPr>
      <w:rPr>
        <w:rFonts w:hint="default"/>
      </w:rPr>
    </w:lvl>
    <w:lvl w:ilvl="8">
      <w:start w:val="1"/>
      <w:numFmt w:val="lowerRoman"/>
      <w:lvlText w:val="%9."/>
      <w:lvlJc w:val="right"/>
      <w:pPr>
        <w:ind w:left="3213" w:hanging="357"/>
      </w:pPr>
      <w:rPr>
        <w:rFonts w:hint="default"/>
      </w:rPr>
    </w:lvl>
  </w:abstractNum>
  <w:abstractNum w:abstractNumId="32" w15:restartNumberingAfterBreak="0">
    <w:nsid w:val="21B0106C"/>
    <w:multiLevelType w:val="hybridMultilevel"/>
    <w:tmpl w:val="4B4E4242"/>
    <w:name w:val="MyNumbering62246"/>
    <w:lvl w:ilvl="0" w:tplc="36F829CA">
      <w:start w:val="1"/>
      <w:numFmt w:val="lowerLetter"/>
      <w:lvlText w:val="(%1)"/>
      <w:lvlJc w:val="left"/>
      <w:pPr>
        <w:ind w:left="720" w:hanging="360"/>
      </w:pPr>
      <w:rPr>
        <w:rFonts w:ascii="Arial" w:hAnsi="Arial" w:hint="default"/>
        <w:b w:val="0"/>
        <w:i w:val="0"/>
        <w:sz w:val="22"/>
        <w:szCs w:val="26"/>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3" w15:restartNumberingAfterBreak="0">
    <w:nsid w:val="226A6EE6"/>
    <w:multiLevelType w:val="multilevel"/>
    <w:tmpl w:val="E4FE780E"/>
    <w:lvl w:ilvl="0">
      <w:start w:val="1"/>
      <w:numFmt w:val="bullet"/>
      <w:pStyle w:val="TableBullet1"/>
      <w:lvlText w:val=""/>
      <w:lvlJc w:val="left"/>
      <w:pPr>
        <w:tabs>
          <w:tab w:val="num" w:pos="312"/>
        </w:tabs>
        <w:ind w:left="312" w:hanging="227"/>
      </w:pPr>
      <w:rPr>
        <w:rFonts w:ascii="Wingdings" w:hAnsi="Wingdings" w:hint="default"/>
        <w:color w:val="auto"/>
        <w:position w:val="0"/>
        <w:sz w:val="18"/>
      </w:rPr>
    </w:lvl>
    <w:lvl w:ilvl="1">
      <w:start w:val="1"/>
      <w:numFmt w:val="bullet"/>
      <w:pStyle w:val="TableBullet2"/>
      <w:lvlText w:val="–"/>
      <w:lvlJc w:val="left"/>
      <w:pPr>
        <w:tabs>
          <w:tab w:val="num" w:pos="539"/>
        </w:tabs>
        <w:ind w:left="539" w:hanging="227"/>
      </w:pPr>
      <w:rPr>
        <w:rFonts w:ascii="Arial" w:hAnsi="Arial" w:hint="default"/>
        <w:color w:val="auto"/>
        <w:position w:val="0"/>
        <w:sz w:val="18"/>
      </w:rPr>
    </w:lvl>
    <w:lvl w:ilvl="2">
      <w:start w:val="1"/>
      <w:numFmt w:val="bullet"/>
      <w:pStyle w:val="TableBullet3"/>
      <w:lvlText w:val="•"/>
      <w:lvlJc w:val="left"/>
      <w:pPr>
        <w:tabs>
          <w:tab w:val="num" w:pos="765"/>
        </w:tabs>
        <w:ind w:left="765" w:hanging="226"/>
      </w:pPr>
      <w:rPr>
        <w:rFonts w:ascii="Book Antiqua" w:hAnsi="Book Antiqua" w:hint="default"/>
        <w:color w:val="auto"/>
        <w:position w:val="0"/>
        <w:sz w:val="18"/>
      </w:rPr>
    </w:lvl>
    <w:lvl w:ilvl="3">
      <w:start w:val="1"/>
      <w:numFmt w:val="none"/>
      <w:lvlText w:val=""/>
      <w:lvlJc w:val="left"/>
      <w:pPr>
        <w:tabs>
          <w:tab w:val="num" w:pos="1021"/>
        </w:tabs>
        <w:ind w:left="908" w:hanging="227"/>
      </w:pPr>
      <w:rPr>
        <w:rFonts w:hint="default"/>
        <w:color w:val="214C90" w:themeColor="text2"/>
        <w:sz w:val="16"/>
      </w:rPr>
    </w:lvl>
    <w:lvl w:ilvl="4">
      <w:start w:val="1"/>
      <w:numFmt w:val="none"/>
      <w:lvlText w:val=""/>
      <w:lvlJc w:val="left"/>
      <w:pPr>
        <w:tabs>
          <w:tab w:val="num" w:pos="1248"/>
        </w:tabs>
        <w:ind w:left="1135" w:hanging="227"/>
      </w:pPr>
      <w:rPr>
        <w:rFonts w:hint="default"/>
        <w:color w:val="214C90" w:themeColor="text2"/>
      </w:rPr>
    </w:lvl>
    <w:lvl w:ilvl="5">
      <w:start w:val="1"/>
      <w:numFmt w:val="none"/>
      <w:lvlText w:val=""/>
      <w:lvlJc w:val="left"/>
      <w:pPr>
        <w:tabs>
          <w:tab w:val="num" w:pos="1475"/>
        </w:tabs>
        <w:ind w:left="1362" w:hanging="227"/>
      </w:pPr>
      <w:rPr>
        <w:rFonts w:hint="default"/>
      </w:rPr>
    </w:lvl>
    <w:lvl w:ilvl="6">
      <w:start w:val="1"/>
      <w:numFmt w:val="none"/>
      <w:lvlText w:val=""/>
      <w:lvlJc w:val="left"/>
      <w:pPr>
        <w:tabs>
          <w:tab w:val="num" w:pos="1702"/>
        </w:tabs>
        <w:ind w:left="1589" w:hanging="227"/>
      </w:pPr>
      <w:rPr>
        <w:rFonts w:hint="default"/>
      </w:rPr>
    </w:lvl>
    <w:lvl w:ilvl="7">
      <w:start w:val="1"/>
      <w:numFmt w:val="none"/>
      <w:lvlText w:val=""/>
      <w:lvlJc w:val="left"/>
      <w:pPr>
        <w:tabs>
          <w:tab w:val="num" w:pos="1929"/>
        </w:tabs>
        <w:ind w:left="1816" w:hanging="227"/>
      </w:pPr>
      <w:rPr>
        <w:rFonts w:hint="default"/>
      </w:rPr>
    </w:lvl>
    <w:lvl w:ilvl="8">
      <w:start w:val="1"/>
      <w:numFmt w:val="none"/>
      <w:lvlText w:val=""/>
      <w:lvlJc w:val="left"/>
      <w:pPr>
        <w:tabs>
          <w:tab w:val="num" w:pos="2156"/>
        </w:tabs>
        <w:ind w:left="2043" w:hanging="227"/>
      </w:pPr>
      <w:rPr>
        <w:rFonts w:hint="default"/>
      </w:rPr>
    </w:lvl>
  </w:abstractNum>
  <w:abstractNum w:abstractNumId="34" w15:restartNumberingAfterBreak="0">
    <w:nsid w:val="254A468D"/>
    <w:multiLevelType w:val="hybridMultilevel"/>
    <w:tmpl w:val="A3568734"/>
    <w:name w:val="MyNumbering32"/>
    <w:lvl w:ilvl="0" w:tplc="A432922E">
      <w:start w:val="1"/>
      <w:numFmt w:val="decimal"/>
      <w:lvlText w:val="(%1)"/>
      <w:lvlJc w:val="left"/>
      <w:pPr>
        <w:ind w:left="720" w:hanging="360"/>
      </w:pPr>
      <w:rPr>
        <w:rFonts w:ascii="Arial" w:hAnsi="Arial" w:hint="default"/>
        <w:b w:val="0"/>
        <w:i w:val="0"/>
        <w:sz w:val="22"/>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5" w15:restartNumberingAfterBreak="0">
    <w:nsid w:val="254B6A47"/>
    <w:multiLevelType w:val="multilevel"/>
    <w:tmpl w:val="305A6728"/>
    <w:name w:val="AlphaList"/>
    <w:lvl w:ilvl="0">
      <w:start w:val="1"/>
      <w:numFmt w:val="lowerLetter"/>
      <w:lvlText w:val="(%1)"/>
      <w:lvlJc w:val="left"/>
      <w:pPr>
        <w:tabs>
          <w:tab w:val="num" w:pos="397"/>
        </w:tabs>
        <w:ind w:left="397" w:hanging="397"/>
      </w:pPr>
      <w:rPr>
        <w:rFonts w:hint="default"/>
      </w:rPr>
    </w:lvl>
    <w:lvl w:ilvl="1">
      <w:start w:val="1"/>
      <w:numFmt w:val="lowerRoman"/>
      <w:lvlText w:val="(%2)"/>
      <w:lvlJc w:val="left"/>
      <w:pPr>
        <w:tabs>
          <w:tab w:val="num" w:pos="794"/>
        </w:tabs>
        <w:ind w:left="794" w:hanging="397"/>
      </w:pPr>
      <w:rPr>
        <w:rFonts w:hint="default"/>
      </w:rPr>
    </w:lvl>
    <w:lvl w:ilvl="2">
      <w:start w:val="1"/>
      <w:numFmt w:val="upperLetter"/>
      <w:lvlText w:val="(%3)"/>
      <w:lvlJc w:val="left"/>
      <w:pPr>
        <w:tabs>
          <w:tab w:val="num" w:pos="1191"/>
        </w:tabs>
        <w:ind w:left="1191" w:hanging="397"/>
      </w:pPr>
      <w:rPr>
        <w:rFonts w:hint="default"/>
      </w:rPr>
    </w:lvl>
    <w:lvl w:ilvl="3">
      <w:start w:val="1"/>
      <w:numFmt w:val="decimal"/>
      <w:lvlText w:val="%4."/>
      <w:lvlJc w:val="left"/>
      <w:pPr>
        <w:tabs>
          <w:tab w:val="num" w:pos="1588"/>
        </w:tabs>
        <w:ind w:left="1588" w:hanging="397"/>
      </w:pPr>
      <w:rPr>
        <w:rFonts w:hint="default"/>
      </w:rPr>
    </w:lvl>
    <w:lvl w:ilvl="4">
      <w:start w:val="1"/>
      <w:numFmt w:val="none"/>
      <w:lvlText w:val=""/>
      <w:lvlJc w:val="left"/>
      <w:pPr>
        <w:tabs>
          <w:tab w:val="num" w:pos="2013"/>
        </w:tabs>
        <w:ind w:left="1985" w:hanging="397"/>
      </w:pPr>
      <w:rPr>
        <w:rFonts w:hint="default"/>
      </w:rPr>
    </w:lvl>
    <w:lvl w:ilvl="5">
      <w:start w:val="1"/>
      <w:numFmt w:val="none"/>
      <w:lvlText w:val=""/>
      <w:lvlJc w:val="left"/>
      <w:pPr>
        <w:tabs>
          <w:tab w:val="num" w:pos="2410"/>
        </w:tabs>
        <w:ind w:left="2382" w:hanging="397"/>
      </w:pPr>
      <w:rPr>
        <w:rFonts w:hint="default"/>
      </w:rPr>
    </w:lvl>
    <w:lvl w:ilvl="6">
      <w:start w:val="1"/>
      <w:numFmt w:val="none"/>
      <w:lvlText w:val=""/>
      <w:lvlJc w:val="left"/>
      <w:pPr>
        <w:tabs>
          <w:tab w:val="num" w:pos="2807"/>
        </w:tabs>
        <w:ind w:left="2779" w:hanging="397"/>
      </w:pPr>
      <w:rPr>
        <w:rFonts w:hint="default"/>
      </w:rPr>
    </w:lvl>
    <w:lvl w:ilvl="7">
      <w:start w:val="1"/>
      <w:numFmt w:val="none"/>
      <w:lvlText w:val=""/>
      <w:lvlJc w:val="left"/>
      <w:pPr>
        <w:tabs>
          <w:tab w:val="num" w:pos="3204"/>
        </w:tabs>
        <w:ind w:left="3176" w:hanging="397"/>
      </w:pPr>
      <w:rPr>
        <w:rFonts w:hint="default"/>
      </w:rPr>
    </w:lvl>
    <w:lvl w:ilvl="8">
      <w:start w:val="1"/>
      <w:numFmt w:val="none"/>
      <w:lvlText w:val=""/>
      <w:lvlJc w:val="left"/>
      <w:pPr>
        <w:tabs>
          <w:tab w:val="num" w:pos="3601"/>
        </w:tabs>
        <w:ind w:left="3573" w:hanging="397"/>
      </w:pPr>
      <w:rPr>
        <w:rFonts w:hint="default"/>
      </w:rPr>
    </w:lvl>
  </w:abstractNum>
  <w:abstractNum w:abstractNumId="36" w15:restartNumberingAfterBreak="0">
    <w:nsid w:val="27C445F5"/>
    <w:multiLevelType w:val="multilevel"/>
    <w:tmpl w:val="0EDEA0D8"/>
    <w:styleLink w:val="HangingList"/>
    <w:lvl w:ilvl="0">
      <w:start w:val="1"/>
      <w:numFmt w:val="none"/>
      <w:suff w:val="nothing"/>
      <w:lvlText w:val=""/>
      <w:lvlJc w:val="left"/>
      <w:pPr>
        <w:ind w:left="992" w:hanging="992"/>
      </w:pPr>
      <w:rPr>
        <w:rFonts w:hint="default"/>
      </w:rPr>
    </w:lvl>
    <w:lvl w:ilvl="1">
      <w:start w:val="1"/>
      <w:numFmt w:val="none"/>
      <w:suff w:val="nothing"/>
      <w:lvlText w:val=""/>
      <w:lvlJc w:val="left"/>
      <w:pPr>
        <w:ind w:left="1701" w:hanging="709"/>
      </w:pPr>
      <w:rPr>
        <w:rFonts w:hint="default"/>
      </w:rPr>
    </w:lvl>
    <w:lvl w:ilvl="2">
      <w:start w:val="1"/>
      <w:numFmt w:val="none"/>
      <w:suff w:val="nothing"/>
      <w:lvlText w:val=""/>
      <w:lvlJc w:val="left"/>
      <w:pPr>
        <w:ind w:left="2410" w:hanging="709"/>
      </w:pPr>
      <w:rPr>
        <w:rFonts w:hint="default"/>
      </w:rPr>
    </w:lvl>
    <w:lvl w:ilvl="3">
      <w:start w:val="1"/>
      <w:numFmt w:val="none"/>
      <w:suff w:val="nothing"/>
      <w:lvlText w:val=""/>
      <w:lvlJc w:val="left"/>
      <w:pPr>
        <w:ind w:left="3119" w:hanging="709"/>
      </w:pPr>
      <w:rPr>
        <w:rFonts w:hint="default"/>
      </w:rPr>
    </w:lvl>
    <w:lvl w:ilvl="4">
      <w:start w:val="1"/>
      <w:numFmt w:val="none"/>
      <w:suff w:val="nothing"/>
      <w:lvlText w:val=""/>
      <w:lvlJc w:val="left"/>
      <w:pPr>
        <w:ind w:left="3828" w:hanging="709"/>
      </w:pPr>
      <w:rPr>
        <w:rFonts w:hint="default"/>
      </w:rPr>
    </w:lvl>
    <w:lvl w:ilvl="5">
      <w:start w:val="1"/>
      <w:numFmt w:val="none"/>
      <w:suff w:val="nothing"/>
      <w:lvlText w:val=""/>
      <w:lvlJc w:val="left"/>
      <w:pPr>
        <w:ind w:left="4537" w:hanging="710"/>
      </w:pPr>
      <w:rPr>
        <w:rFonts w:hint="default"/>
      </w:rPr>
    </w:lvl>
    <w:lvl w:ilvl="6">
      <w:start w:val="1"/>
      <w:numFmt w:val="none"/>
      <w:suff w:val="nothing"/>
      <w:lvlText w:val=""/>
      <w:lvlJc w:val="left"/>
      <w:pPr>
        <w:ind w:left="5246" w:hanging="710"/>
      </w:pPr>
      <w:rPr>
        <w:rFonts w:hint="default"/>
      </w:rPr>
    </w:lvl>
    <w:lvl w:ilvl="7">
      <w:start w:val="1"/>
      <w:numFmt w:val="none"/>
      <w:suff w:val="nothing"/>
      <w:lvlText w:val=""/>
      <w:lvlJc w:val="left"/>
      <w:pPr>
        <w:ind w:left="5955" w:hanging="992"/>
      </w:pPr>
      <w:rPr>
        <w:rFonts w:hint="default"/>
      </w:rPr>
    </w:lvl>
    <w:lvl w:ilvl="8">
      <w:start w:val="1"/>
      <w:numFmt w:val="none"/>
      <w:suff w:val="nothing"/>
      <w:lvlText w:val=""/>
      <w:lvlJc w:val="left"/>
      <w:pPr>
        <w:ind w:left="6664" w:hanging="992"/>
      </w:pPr>
      <w:rPr>
        <w:rFonts w:hint="default"/>
      </w:rPr>
    </w:lvl>
  </w:abstractNum>
  <w:abstractNum w:abstractNumId="37" w15:restartNumberingAfterBreak="0">
    <w:nsid w:val="2911260D"/>
    <w:multiLevelType w:val="multilevel"/>
    <w:tmpl w:val="BB8EE6B2"/>
    <w:lvl w:ilvl="0">
      <w:start w:val="1"/>
      <w:numFmt w:val="decimal"/>
      <w:pStyle w:val="NotesNumbered"/>
      <w:lvlText w:val="%1."/>
      <w:lvlJc w:val="left"/>
      <w:pPr>
        <w:tabs>
          <w:tab w:val="num" w:pos="284"/>
        </w:tabs>
        <w:ind w:left="284" w:hanging="284"/>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8" w15:restartNumberingAfterBreak="0">
    <w:nsid w:val="29E20C04"/>
    <w:multiLevelType w:val="multilevel"/>
    <w:tmpl w:val="775ED5F2"/>
    <w:lvl w:ilvl="0">
      <w:start w:val="1"/>
      <w:numFmt w:val="upperLetter"/>
      <w:pStyle w:val="AppendixLevel1"/>
      <w:lvlText w:val="%1."/>
      <w:lvlJc w:val="left"/>
      <w:pPr>
        <w:ind w:left="1134" w:hanging="1134"/>
      </w:pPr>
    </w:lvl>
    <w:lvl w:ilvl="1">
      <w:start w:val="1"/>
      <w:numFmt w:val="decimal"/>
      <w:pStyle w:val="AppendixLevel2"/>
      <w:lvlText w:val="%1.%2"/>
      <w:lvlJc w:val="left"/>
      <w:pPr>
        <w:ind w:left="1134" w:hanging="1134"/>
      </w:pPr>
    </w:lvl>
    <w:lvl w:ilvl="2">
      <w:start w:val="1"/>
      <w:numFmt w:val="decimal"/>
      <w:pStyle w:val="AppendixLevel3"/>
      <w:lvlText w:val="%1.%2.%3"/>
      <w:lvlJc w:val="left"/>
      <w:pPr>
        <w:ind w:left="1134" w:hanging="1134"/>
      </w:pPr>
    </w:lvl>
    <w:lvl w:ilvl="3">
      <w:start w:val="1"/>
      <w:numFmt w:val="none"/>
      <w:lvlText w:val="(%4)"/>
      <w:lvlJc w:val="left"/>
      <w:pPr>
        <w:ind w:left="1808" w:hanging="737"/>
      </w:pPr>
    </w:lvl>
    <w:lvl w:ilvl="4">
      <w:start w:val="1"/>
      <w:numFmt w:val="lowerLetter"/>
      <w:lvlText w:val="(%5)"/>
      <w:lvlJc w:val="left"/>
      <w:pPr>
        <w:ind w:left="2165" w:hanging="737"/>
      </w:pPr>
    </w:lvl>
    <w:lvl w:ilvl="5">
      <w:start w:val="1"/>
      <w:numFmt w:val="lowerRoman"/>
      <w:lvlText w:val="(%6)"/>
      <w:lvlJc w:val="left"/>
      <w:pPr>
        <w:ind w:left="2522" w:hanging="737"/>
      </w:pPr>
    </w:lvl>
    <w:lvl w:ilvl="6">
      <w:start w:val="1"/>
      <w:numFmt w:val="decimal"/>
      <w:lvlText w:val="%7."/>
      <w:lvlJc w:val="left"/>
      <w:pPr>
        <w:ind w:left="2879" w:hanging="737"/>
      </w:pPr>
    </w:lvl>
    <w:lvl w:ilvl="7">
      <w:start w:val="1"/>
      <w:numFmt w:val="lowerLetter"/>
      <w:lvlText w:val="%8."/>
      <w:lvlJc w:val="left"/>
      <w:pPr>
        <w:ind w:left="3236" w:hanging="737"/>
      </w:pPr>
    </w:lvl>
    <w:lvl w:ilvl="8">
      <w:start w:val="1"/>
      <w:numFmt w:val="lowerRoman"/>
      <w:lvlText w:val="%9."/>
      <w:lvlJc w:val="left"/>
      <w:pPr>
        <w:ind w:left="3593" w:hanging="737"/>
      </w:pPr>
    </w:lvl>
  </w:abstractNum>
  <w:abstractNum w:abstractNumId="39" w15:restartNumberingAfterBreak="0">
    <w:nsid w:val="2BE23DBF"/>
    <w:multiLevelType w:val="singleLevel"/>
    <w:tmpl w:val="66264F0E"/>
    <w:lvl w:ilvl="0">
      <w:start w:val="1"/>
      <w:numFmt w:val="bullet"/>
      <w:lvlText w:val=""/>
      <w:lvlJc w:val="left"/>
      <w:pPr>
        <w:tabs>
          <w:tab w:val="num" w:pos="340"/>
        </w:tabs>
        <w:ind w:left="340" w:hanging="340"/>
      </w:pPr>
      <w:rPr>
        <w:rFonts w:ascii="Symbol" w:hAnsi="Symbol" w:hint="default"/>
        <w:color w:val="auto"/>
        <w:sz w:val="22"/>
      </w:rPr>
    </w:lvl>
  </w:abstractNum>
  <w:abstractNum w:abstractNumId="40" w15:restartNumberingAfterBreak="0">
    <w:nsid w:val="2C5441D2"/>
    <w:multiLevelType w:val="multilevel"/>
    <w:tmpl w:val="9138A632"/>
    <w:lvl w:ilvl="0">
      <w:start w:val="1"/>
      <w:numFmt w:val="decimal"/>
      <w:lvlText w:val="%1."/>
      <w:lvlJc w:val="left"/>
      <w:pPr>
        <w:ind w:left="360" w:hanging="360"/>
      </w:pPr>
      <w:rPr>
        <w:rFonts w:hint="default"/>
        <w:b w:val="0"/>
        <w:i w:val="0"/>
        <w:color w:val="auto"/>
        <w:sz w:val="22"/>
        <w:szCs w:val="18"/>
      </w:rPr>
    </w:lvl>
    <w:lvl w:ilvl="1">
      <w:start w:val="1"/>
      <w:numFmt w:val="lowerLetter"/>
      <w:lvlText w:val="%2."/>
      <w:lvlJc w:val="left"/>
      <w:pPr>
        <w:ind w:left="714" w:hanging="357"/>
      </w:pPr>
    </w:lvl>
    <w:lvl w:ilvl="2">
      <w:start w:val="1"/>
      <w:numFmt w:val="lowerRoman"/>
      <w:lvlText w:val="%3."/>
      <w:lvlJc w:val="left"/>
      <w:pPr>
        <w:ind w:left="1071" w:hanging="357"/>
      </w:pPr>
    </w:lvl>
    <w:lvl w:ilvl="3">
      <w:start w:val="1"/>
      <w:numFmt w:val="upperLetter"/>
      <w:lvlText w:val="%4."/>
      <w:lvlJc w:val="left"/>
      <w:pPr>
        <w:ind w:left="1428" w:hanging="357"/>
      </w:pPr>
    </w:lvl>
    <w:lvl w:ilvl="4">
      <w:start w:val="1"/>
      <w:numFmt w:val="upperRoman"/>
      <w:lvlText w:val="%5."/>
      <w:lvlJc w:val="left"/>
      <w:pPr>
        <w:ind w:left="1785" w:hanging="357"/>
      </w:pPr>
    </w:lvl>
    <w:lvl w:ilvl="5">
      <w:start w:val="1"/>
      <w:numFmt w:val="lowerRoman"/>
      <w:lvlText w:val="%6."/>
      <w:lvlJc w:val="right"/>
      <w:pPr>
        <w:ind w:left="2142" w:hanging="357"/>
      </w:pPr>
    </w:lvl>
    <w:lvl w:ilvl="6">
      <w:start w:val="1"/>
      <w:numFmt w:val="decimal"/>
      <w:lvlText w:val="%7."/>
      <w:lvlJc w:val="left"/>
      <w:pPr>
        <w:ind w:left="2499" w:hanging="357"/>
      </w:pPr>
    </w:lvl>
    <w:lvl w:ilvl="7">
      <w:start w:val="1"/>
      <w:numFmt w:val="lowerLetter"/>
      <w:lvlText w:val="%8."/>
      <w:lvlJc w:val="left"/>
      <w:pPr>
        <w:ind w:left="2856" w:hanging="357"/>
      </w:pPr>
    </w:lvl>
    <w:lvl w:ilvl="8">
      <w:start w:val="1"/>
      <w:numFmt w:val="lowerRoman"/>
      <w:lvlText w:val="%9."/>
      <w:lvlJc w:val="right"/>
      <w:pPr>
        <w:ind w:left="3213" w:hanging="357"/>
      </w:pPr>
    </w:lvl>
  </w:abstractNum>
  <w:abstractNum w:abstractNumId="41" w15:restartNumberingAfterBreak="0">
    <w:nsid w:val="2C976934"/>
    <w:multiLevelType w:val="multilevel"/>
    <w:tmpl w:val="C9881CB4"/>
    <w:name w:val="TableBullets"/>
    <w:styleLink w:val="TableBullets"/>
    <w:lvl w:ilvl="0">
      <w:start w:val="1"/>
      <w:numFmt w:val="bullet"/>
      <w:suff w:val="nothing"/>
      <w:lvlText w:val=""/>
      <w:lvlJc w:val="left"/>
      <w:pPr>
        <w:ind w:left="284" w:hanging="171"/>
      </w:pPr>
      <w:rPr>
        <w:rFonts w:ascii="Symbol" w:hAnsi="Symbol" w:hint="default"/>
        <w:color w:val="auto"/>
      </w:rPr>
    </w:lvl>
    <w:lvl w:ilvl="1">
      <w:start w:val="1"/>
      <w:numFmt w:val="bullet"/>
      <w:lvlText w:val="–"/>
      <w:lvlJc w:val="left"/>
      <w:pPr>
        <w:ind w:left="454" w:hanging="170"/>
      </w:pPr>
      <w:rPr>
        <w:rFonts w:ascii="Georgia" w:hAnsi="Georgia" w:hint="default"/>
        <w:color w:val="auto"/>
      </w:rPr>
    </w:lvl>
    <w:lvl w:ilvl="2">
      <w:start w:val="1"/>
      <w:numFmt w:val="bullet"/>
      <w:lvlText w:val="o"/>
      <w:lvlJc w:val="left"/>
      <w:pPr>
        <w:tabs>
          <w:tab w:val="num" w:pos="454"/>
        </w:tabs>
        <w:ind w:left="624" w:hanging="170"/>
      </w:pPr>
      <w:rPr>
        <w:rFonts w:ascii="Courier New" w:hAnsi="Courier New" w:hint="default"/>
      </w:rPr>
    </w:lvl>
    <w:lvl w:ilvl="3">
      <w:start w:val="1"/>
      <w:numFmt w:val="none"/>
      <w:lvlText w:val=""/>
      <w:lvlJc w:val="left"/>
      <w:pPr>
        <w:ind w:left="340" w:hanging="340"/>
      </w:pPr>
      <w:rPr>
        <w:rFonts w:hint="default"/>
      </w:rPr>
    </w:lvl>
    <w:lvl w:ilvl="4">
      <w:start w:val="1"/>
      <w:numFmt w:val="none"/>
      <w:lvlText w:val=""/>
      <w:lvlJc w:val="left"/>
      <w:pPr>
        <w:ind w:left="340" w:hanging="340"/>
      </w:pPr>
      <w:rPr>
        <w:rFonts w:hint="default"/>
      </w:rPr>
    </w:lvl>
    <w:lvl w:ilvl="5">
      <w:start w:val="1"/>
      <w:numFmt w:val="none"/>
      <w:lvlText w:val=""/>
      <w:lvlJc w:val="left"/>
      <w:pPr>
        <w:ind w:left="340" w:hanging="340"/>
      </w:pPr>
      <w:rPr>
        <w:rFonts w:hint="default"/>
      </w:rPr>
    </w:lvl>
    <w:lvl w:ilvl="6">
      <w:start w:val="1"/>
      <w:numFmt w:val="none"/>
      <w:lvlText w:val=""/>
      <w:lvlJc w:val="left"/>
      <w:pPr>
        <w:ind w:left="340" w:hanging="340"/>
      </w:pPr>
      <w:rPr>
        <w:rFonts w:hint="default"/>
      </w:rPr>
    </w:lvl>
    <w:lvl w:ilvl="7">
      <w:start w:val="1"/>
      <w:numFmt w:val="none"/>
      <w:lvlText w:val=""/>
      <w:lvlJc w:val="left"/>
      <w:pPr>
        <w:ind w:left="340" w:hanging="340"/>
      </w:pPr>
      <w:rPr>
        <w:rFonts w:hint="default"/>
      </w:rPr>
    </w:lvl>
    <w:lvl w:ilvl="8">
      <w:start w:val="1"/>
      <w:numFmt w:val="none"/>
      <w:lvlText w:val=""/>
      <w:lvlJc w:val="left"/>
      <w:pPr>
        <w:ind w:left="340" w:hanging="340"/>
      </w:pPr>
      <w:rPr>
        <w:rFonts w:hint="default"/>
      </w:rPr>
    </w:lvl>
  </w:abstractNum>
  <w:abstractNum w:abstractNumId="42" w15:restartNumberingAfterBreak="0">
    <w:nsid w:val="2CF45687"/>
    <w:multiLevelType w:val="multilevel"/>
    <w:tmpl w:val="583A35FA"/>
    <w:name w:val="MyBullets4"/>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43" w15:restartNumberingAfterBreak="0">
    <w:nsid w:val="2DCE6818"/>
    <w:multiLevelType w:val="multilevel"/>
    <w:tmpl w:val="583A35FA"/>
    <w:name w:val="MyBullets13"/>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44" w15:restartNumberingAfterBreak="0">
    <w:nsid w:val="30740827"/>
    <w:multiLevelType w:val="multilevel"/>
    <w:tmpl w:val="F93C3242"/>
    <w:lvl w:ilvl="0">
      <w:start w:val="1"/>
      <w:numFmt w:val="lowerLetter"/>
      <w:lvlText w:val="(%1)"/>
      <w:lvlJc w:val="left"/>
      <w:pPr>
        <w:ind w:left="720" w:hanging="360"/>
      </w:pPr>
      <w:rPr>
        <w:rFonts w:ascii="Arial" w:hAnsi="Arial" w:hint="default"/>
        <w:b w:val="0"/>
        <w:i w:val="0"/>
        <w:sz w:val="22"/>
        <w:szCs w:val="26"/>
      </w:rPr>
    </w:lvl>
    <w:lvl w:ilvl="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45" w15:restartNumberingAfterBreak="0">
    <w:nsid w:val="315672CA"/>
    <w:multiLevelType w:val="multilevel"/>
    <w:tmpl w:val="938274C0"/>
    <w:name w:val="Table Numbering"/>
    <w:lvl w:ilvl="0">
      <w:start w:val="1"/>
      <w:numFmt w:val="decimal"/>
      <w:lvlText w:val="%1."/>
      <w:lvlJc w:val="left"/>
      <w:pPr>
        <w:tabs>
          <w:tab w:val="num" w:pos="425"/>
        </w:tabs>
        <w:ind w:left="425" w:hanging="425"/>
      </w:pPr>
      <w:rPr>
        <w:rFonts w:hint="default"/>
        <w:b/>
        <w:i w:val="0"/>
        <w:color w:val="auto"/>
      </w:rPr>
    </w:lvl>
    <w:lvl w:ilvl="1">
      <w:start w:val="1"/>
      <w:numFmt w:val="lowerLetter"/>
      <w:lvlText w:val="%2)"/>
      <w:lvlJc w:val="left"/>
      <w:pPr>
        <w:tabs>
          <w:tab w:val="num" w:pos="851"/>
        </w:tabs>
        <w:ind w:left="850" w:hanging="425"/>
      </w:pPr>
      <w:rPr>
        <w:rFonts w:hint="default"/>
        <w:b/>
        <w:i w:val="0"/>
        <w:color w:val="auto"/>
      </w:rPr>
    </w:lvl>
    <w:lvl w:ilvl="2">
      <w:start w:val="1"/>
      <w:numFmt w:val="lowerRoman"/>
      <w:lvlText w:val="%3)"/>
      <w:lvlJc w:val="left"/>
      <w:pPr>
        <w:tabs>
          <w:tab w:val="num" w:pos="1276"/>
        </w:tabs>
        <w:ind w:left="1275" w:hanging="425"/>
      </w:pPr>
      <w:rPr>
        <w:rFonts w:hint="default"/>
        <w:b/>
        <w:i w:val="0"/>
        <w:color w:val="auto"/>
        <w:sz w:val="18"/>
      </w:rPr>
    </w:lvl>
    <w:lvl w:ilvl="3">
      <w:start w:val="1"/>
      <w:numFmt w:val="none"/>
      <w:lvlText w:val="%4"/>
      <w:lvlJc w:val="left"/>
      <w:pPr>
        <w:tabs>
          <w:tab w:val="num" w:pos="1701"/>
        </w:tabs>
        <w:ind w:left="1700" w:hanging="425"/>
      </w:pPr>
      <w:rPr>
        <w:rFonts w:hint="default"/>
        <w:b/>
        <w:i w:val="0"/>
        <w:color w:val="000000" w:themeColor="text1"/>
      </w:rPr>
    </w:lvl>
    <w:lvl w:ilvl="4">
      <w:start w:val="1"/>
      <w:numFmt w:val="none"/>
      <w:lvlText w:val="%5"/>
      <w:lvlJc w:val="left"/>
      <w:pPr>
        <w:tabs>
          <w:tab w:val="num" w:pos="2126"/>
        </w:tabs>
        <w:ind w:left="2125" w:hanging="425"/>
      </w:pPr>
      <w:rPr>
        <w:rFonts w:hint="default"/>
        <w:b/>
        <w:i w:val="0"/>
        <w:color w:val="000000" w:themeColor="text1"/>
      </w:rPr>
    </w:lvl>
    <w:lvl w:ilvl="5">
      <w:start w:val="1"/>
      <w:numFmt w:val="none"/>
      <w:lvlText w:val=""/>
      <w:lvlJc w:val="left"/>
      <w:pPr>
        <w:tabs>
          <w:tab w:val="num" w:pos="2522"/>
        </w:tabs>
        <w:ind w:left="2550" w:hanging="425"/>
      </w:pPr>
      <w:rPr>
        <w:rFonts w:hint="default"/>
      </w:rPr>
    </w:lvl>
    <w:lvl w:ilvl="6">
      <w:start w:val="1"/>
      <w:numFmt w:val="none"/>
      <w:lvlText w:val=""/>
      <w:lvlJc w:val="left"/>
      <w:pPr>
        <w:tabs>
          <w:tab w:val="num" w:pos="2947"/>
        </w:tabs>
        <w:ind w:left="2975" w:hanging="425"/>
      </w:pPr>
      <w:rPr>
        <w:rFonts w:hint="default"/>
      </w:rPr>
    </w:lvl>
    <w:lvl w:ilvl="7">
      <w:start w:val="1"/>
      <w:numFmt w:val="none"/>
      <w:lvlText w:val=""/>
      <w:lvlJc w:val="left"/>
      <w:pPr>
        <w:tabs>
          <w:tab w:val="num" w:pos="3372"/>
        </w:tabs>
        <w:ind w:left="3400" w:hanging="425"/>
      </w:pPr>
      <w:rPr>
        <w:rFonts w:hint="default"/>
      </w:rPr>
    </w:lvl>
    <w:lvl w:ilvl="8">
      <w:start w:val="1"/>
      <w:numFmt w:val="none"/>
      <w:lvlText w:val=""/>
      <w:lvlJc w:val="left"/>
      <w:pPr>
        <w:tabs>
          <w:tab w:val="num" w:pos="3797"/>
        </w:tabs>
        <w:ind w:left="3825" w:hanging="425"/>
      </w:pPr>
      <w:rPr>
        <w:rFonts w:hint="default"/>
      </w:rPr>
    </w:lvl>
  </w:abstractNum>
  <w:abstractNum w:abstractNumId="46" w15:restartNumberingAfterBreak="0">
    <w:nsid w:val="3192772E"/>
    <w:multiLevelType w:val="multilevel"/>
    <w:tmpl w:val="583A35FA"/>
    <w:name w:val="MyBullets8"/>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47" w15:restartNumberingAfterBreak="0">
    <w:nsid w:val="32DB3535"/>
    <w:multiLevelType w:val="hybridMultilevel"/>
    <w:tmpl w:val="F9689D2E"/>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8" w15:restartNumberingAfterBreak="0">
    <w:nsid w:val="32F0649C"/>
    <w:multiLevelType w:val="multilevel"/>
    <w:tmpl w:val="583A35FA"/>
    <w:name w:val="MyBullets25"/>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49" w15:restartNumberingAfterBreak="0">
    <w:nsid w:val="353B574C"/>
    <w:multiLevelType w:val="multilevel"/>
    <w:tmpl w:val="583A35FA"/>
    <w:name w:val="MyBullets21"/>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50" w15:restartNumberingAfterBreak="0">
    <w:nsid w:val="37BD00BF"/>
    <w:multiLevelType w:val="multilevel"/>
    <w:tmpl w:val="583A35FA"/>
    <w:name w:val="MyBullets23"/>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51" w15:restartNumberingAfterBreak="0">
    <w:nsid w:val="37E16566"/>
    <w:multiLevelType w:val="multilevel"/>
    <w:tmpl w:val="8DF8C6B6"/>
    <w:name w:val="MyNumbering7"/>
    <w:lvl w:ilvl="0">
      <w:start w:val="1"/>
      <w:numFmt w:val="decimal"/>
      <w:lvlText w:val="%1."/>
      <w:lvlJc w:val="left"/>
      <w:pPr>
        <w:ind w:left="360" w:hanging="360"/>
      </w:pPr>
      <w:rPr>
        <w:rFonts w:ascii="Arial" w:hAnsi="Arial" w:hint="default"/>
        <w:b w:val="0"/>
        <w:i w:val="0"/>
        <w:color w:val="auto"/>
        <w:sz w:val="22"/>
        <w:szCs w:val="18"/>
      </w:rPr>
    </w:lvl>
    <w:lvl w:ilvl="1">
      <w:start w:val="1"/>
      <w:numFmt w:val="lowerLetter"/>
      <w:lvlText w:val="%2."/>
      <w:lvlJc w:val="left"/>
      <w:pPr>
        <w:ind w:left="714" w:hanging="357"/>
      </w:pPr>
      <w:rPr>
        <w:rFonts w:hint="default"/>
      </w:rPr>
    </w:lvl>
    <w:lvl w:ilvl="2">
      <w:start w:val="1"/>
      <w:numFmt w:val="lowerRoman"/>
      <w:lvlText w:val="%3."/>
      <w:lvlJc w:val="left"/>
      <w:pPr>
        <w:ind w:left="1071" w:hanging="357"/>
      </w:pPr>
      <w:rPr>
        <w:rFonts w:hint="default"/>
      </w:rPr>
    </w:lvl>
    <w:lvl w:ilvl="3">
      <w:start w:val="1"/>
      <w:numFmt w:val="upperLetter"/>
      <w:lvlText w:val="%4."/>
      <w:lvlJc w:val="left"/>
      <w:pPr>
        <w:ind w:left="1428" w:hanging="357"/>
      </w:pPr>
      <w:rPr>
        <w:rFonts w:hint="default"/>
      </w:rPr>
    </w:lvl>
    <w:lvl w:ilvl="4">
      <w:start w:val="1"/>
      <w:numFmt w:val="upperRoman"/>
      <w:lvlText w:val="%5."/>
      <w:lvlJc w:val="left"/>
      <w:pPr>
        <w:ind w:left="1785" w:hanging="357"/>
      </w:pPr>
      <w:rPr>
        <w:rFonts w:hint="default"/>
      </w:rPr>
    </w:lvl>
    <w:lvl w:ilvl="5">
      <w:start w:val="1"/>
      <w:numFmt w:val="lowerRoman"/>
      <w:lvlText w:val="%6."/>
      <w:lvlJc w:val="right"/>
      <w:pPr>
        <w:ind w:left="2142" w:hanging="357"/>
      </w:pPr>
      <w:rPr>
        <w:rFonts w:hint="default"/>
      </w:rPr>
    </w:lvl>
    <w:lvl w:ilvl="6">
      <w:start w:val="1"/>
      <w:numFmt w:val="decimal"/>
      <w:lvlText w:val="%7."/>
      <w:lvlJc w:val="left"/>
      <w:pPr>
        <w:ind w:left="2499" w:hanging="357"/>
      </w:pPr>
      <w:rPr>
        <w:rFonts w:hint="default"/>
      </w:rPr>
    </w:lvl>
    <w:lvl w:ilvl="7">
      <w:start w:val="1"/>
      <w:numFmt w:val="lowerLetter"/>
      <w:lvlText w:val="%8."/>
      <w:lvlJc w:val="left"/>
      <w:pPr>
        <w:ind w:left="2856" w:hanging="357"/>
      </w:pPr>
      <w:rPr>
        <w:rFonts w:hint="default"/>
      </w:rPr>
    </w:lvl>
    <w:lvl w:ilvl="8">
      <w:start w:val="1"/>
      <w:numFmt w:val="lowerRoman"/>
      <w:lvlText w:val="%9."/>
      <w:lvlJc w:val="right"/>
      <w:pPr>
        <w:ind w:left="3213" w:hanging="357"/>
      </w:pPr>
      <w:rPr>
        <w:rFonts w:hint="default"/>
      </w:rPr>
    </w:lvl>
  </w:abstractNum>
  <w:abstractNum w:abstractNumId="52" w15:restartNumberingAfterBreak="0">
    <w:nsid w:val="39CB5DDF"/>
    <w:multiLevelType w:val="multilevel"/>
    <w:tmpl w:val="583A35FA"/>
    <w:name w:val="MyBullets10"/>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53" w15:restartNumberingAfterBreak="0">
    <w:nsid w:val="3A51023F"/>
    <w:multiLevelType w:val="hybridMultilevel"/>
    <w:tmpl w:val="97E81086"/>
    <w:lvl w:ilvl="0" w:tplc="450679CA">
      <w:start w:val="1"/>
      <w:numFmt w:val="lowerLetter"/>
      <w:lvlText w:val="(%1)"/>
      <w:lvlJc w:val="left"/>
      <w:pPr>
        <w:ind w:left="720" w:hanging="360"/>
      </w:pPr>
      <w:rPr>
        <w:rFonts w:ascii="Arial" w:hAnsi="Arial" w:hint="default"/>
        <w:b w:val="0"/>
        <w:i w:val="0"/>
        <w:color w:val="231F20"/>
        <w:w w:val="100"/>
        <w:sz w:val="20"/>
        <w:szCs w:val="20"/>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4" w15:restartNumberingAfterBreak="0">
    <w:nsid w:val="3AC734CF"/>
    <w:multiLevelType w:val="hybridMultilevel"/>
    <w:tmpl w:val="6E9E426C"/>
    <w:name w:val="MyNumbering5"/>
    <w:lvl w:ilvl="0" w:tplc="A432922E">
      <w:start w:val="1"/>
      <w:numFmt w:val="decimal"/>
      <w:lvlText w:val="(%1)"/>
      <w:lvlJc w:val="left"/>
      <w:pPr>
        <w:ind w:left="720" w:hanging="360"/>
      </w:pPr>
      <w:rPr>
        <w:rFonts w:ascii="Arial" w:hAnsi="Arial" w:hint="default"/>
        <w:b w:val="0"/>
        <w:i w:val="0"/>
        <w:sz w:val="22"/>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5" w15:restartNumberingAfterBreak="0">
    <w:nsid w:val="3CE01F45"/>
    <w:multiLevelType w:val="singleLevel"/>
    <w:tmpl w:val="EE584D78"/>
    <w:lvl w:ilvl="0">
      <w:start w:val="1"/>
      <w:numFmt w:val="bullet"/>
      <w:lvlText w:val=""/>
      <w:lvlJc w:val="left"/>
      <w:pPr>
        <w:tabs>
          <w:tab w:val="num" w:pos="340"/>
        </w:tabs>
        <w:ind w:left="340" w:hanging="340"/>
      </w:pPr>
      <w:rPr>
        <w:rFonts w:ascii="Symbol" w:hAnsi="Symbol" w:hint="default"/>
        <w:color w:val="auto"/>
        <w:sz w:val="22"/>
      </w:rPr>
    </w:lvl>
  </w:abstractNum>
  <w:abstractNum w:abstractNumId="56" w15:restartNumberingAfterBreak="0">
    <w:nsid w:val="3EDB238B"/>
    <w:multiLevelType w:val="multilevel"/>
    <w:tmpl w:val="A7166D02"/>
    <w:lvl w:ilvl="0">
      <w:start w:val="1"/>
      <w:numFmt w:val="decimal"/>
      <w:pStyle w:val="Heading1"/>
      <w:lvlText w:val="%1."/>
      <w:lvlJc w:val="left"/>
      <w:pPr>
        <w:ind w:left="4169" w:hanging="624"/>
      </w:pPr>
      <w:rPr>
        <w:rFonts w:hint="default"/>
      </w:rPr>
    </w:lvl>
    <w:lvl w:ilvl="1">
      <w:start w:val="1"/>
      <w:numFmt w:val="decimal"/>
      <w:pStyle w:val="Heading2"/>
      <w:lvlText w:val="%1.%2"/>
      <w:lvlJc w:val="left"/>
      <w:pPr>
        <w:ind w:left="3744" w:hanging="624"/>
      </w:pPr>
      <w:rPr>
        <w:rFonts w:hint="default"/>
        <w:b/>
      </w:rPr>
    </w:lvl>
    <w:lvl w:ilvl="2">
      <w:start w:val="1"/>
      <w:numFmt w:val="decimal"/>
      <w:pStyle w:val="Heading3"/>
      <w:lvlText w:val="%1.%2.%3"/>
      <w:lvlJc w:val="left"/>
      <w:pPr>
        <w:ind w:left="624" w:hanging="624"/>
      </w:pPr>
      <w:rPr>
        <w:rFonts w:hint="default"/>
        <w:b/>
      </w:rPr>
    </w:lvl>
    <w:lvl w:ilvl="3">
      <w:start w:val="1"/>
      <w:numFmt w:val="decimal"/>
      <w:pStyle w:val="Heading4"/>
      <w:lvlText w:val="%1.%2.%3.%4"/>
      <w:lvlJc w:val="left"/>
      <w:pPr>
        <w:ind w:left="907" w:hanging="907"/>
      </w:pPr>
      <w:rPr>
        <w:rFonts w:hint="default"/>
      </w:rPr>
    </w:lvl>
    <w:lvl w:ilvl="4">
      <w:start w:val="1"/>
      <w:numFmt w:val="decimal"/>
      <w:pStyle w:val="Heading5"/>
      <w:lvlText w:val="%1.%2.%3.%4.%5"/>
      <w:lvlJc w:val="left"/>
      <w:pPr>
        <w:ind w:left="1134" w:hanging="1134"/>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57" w15:restartNumberingAfterBreak="0">
    <w:nsid w:val="3F240BDB"/>
    <w:multiLevelType w:val="hybridMultilevel"/>
    <w:tmpl w:val="EDE639C2"/>
    <w:name w:val="MyNumbering4"/>
    <w:lvl w:ilvl="0" w:tplc="0C090003">
      <w:start w:val="1"/>
      <w:numFmt w:val="bullet"/>
      <w:lvlText w:val="o"/>
      <w:lvlJc w:val="left"/>
      <w:pPr>
        <w:ind w:left="720" w:hanging="360"/>
      </w:pPr>
      <w:rPr>
        <w:rFonts w:ascii="Courier New" w:hAnsi="Courier New" w:cs="Courier New"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8" w15:restartNumberingAfterBreak="0">
    <w:nsid w:val="3F9D3D47"/>
    <w:multiLevelType w:val="multilevel"/>
    <w:tmpl w:val="583A35FA"/>
    <w:name w:val="MyBullets18"/>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59" w15:restartNumberingAfterBreak="0">
    <w:nsid w:val="4247713B"/>
    <w:multiLevelType w:val="multilevel"/>
    <w:tmpl w:val="277629B6"/>
    <w:name w:val="MyNumbering622"/>
    <w:lvl w:ilvl="0">
      <w:start w:val="1"/>
      <w:numFmt w:val="decimal"/>
      <w:lvlText w:val="%1."/>
      <w:lvlJc w:val="left"/>
      <w:pPr>
        <w:ind w:left="360" w:hanging="360"/>
      </w:pPr>
      <w:rPr>
        <w:rFonts w:ascii="Arial" w:hAnsi="Arial" w:hint="default"/>
        <w:b w:val="0"/>
        <w:i w:val="0"/>
        <w:color w:val="auto"/>
        <w:sz w:val="22"/>
        <w:szCs w:val="18"/>
      </w:rPr>
    </w:lvl>
    <w:lvl w:ilvl="1">
      <w:start w:val="1"/>
      <w:numFmt w:val="lowerLetter"/>
      <w:lvlText w:val="%2."/>
      <w:lvlJc w:val="left"/>
      <w:pPr>
        <w:ind w:left="714" w:hanging="357"/>
      </w:pPr>
      <w:rPr>
        <w:rFonts w:hint="default"/>
      </w:rPr>
    </w:lvl>
    <w:lvl w:ilvl="2">
      <w:start w:val="1"/>
      <w:numFmt w:val="lowerRoman"/>
      <w:lvlText w:val="%3."/>
      <w:lvlJc w:val="left"/>
      <w:pPr>
        <w:ind w:left="1071" w:hanging="357"/>
      </w:pPr>
      <w:rPr>
        <w:rFonts w:hint="default"/>
      </w:rPr>
    </w:lvl>
    <w:lvl w:ilvl="3">
      <w:start w:val="1"/>
      <w:numFmt w:val="upperLetter"/>
      <w:lvlText w:val="%4."/>
      <w:lvlJc w:val="left"/>
      <w:pPr>
        <w:ind w:left="1428" w:hanging="357"/>
      </w:pPr>
      <w:rPr>
        <w:rFonts w:hint="default"/>
      </w:rPr>
    </w:lvl>
    <w:lvl w:ilvl="4">
      <w:start w:val="1"/>
      <w:numFmt w:val="upperRoman"/>
      <w:lvlText w:val="%5."/>
      <w:lvlJc w:val="left"/>
      <w:pPr>
        <w:ind w:left="1785" w:hanging="357"/>
      </w:pPr>
      <w:rPr>
        <w:rFonts w:hint="default"/>
      </w:rPr>
    </w:lvl>
    <w:lvl w:ilvl="5">
      <w:start w:val="1"/>
      <w:numFmt w:val="lowerRoman"/>
      <w:lvlText w:val="%6."/>
      <w:lvlJc w:val="right"/>
      <w:pPr>
        <w:ind w:left="2142" w:hanging="357"/>
      </w:pPr>
      <w:rPr>
        <w:rFonts w:hint="default"/>
      </w:rPr>
    </w:lvl>
    <w:lvl w:ilvl="6">
      <w:start w:val="1"/>
      <w:numFmt w:val="decimal"/>
      <w:lvlText w:val="%7."/>
      <w:lvlJc w:val="left"/>
      <w:pPr>
        <w:ind w:left="2499" w:hanging="357"/>
      </w:pPr>
      <w:rPr>
        <w:rFonts w:hint="default"/>
      </w:rPr>
    </w:lvl>
    <w:lvl w:ilvl="7">
      <w:start w:val="1"/>
      <w:numFmt w:val="lowerLetter"/>
      <w:lvlText w:val="%8."/>
      <w:lvlJc w:val="left"/>
      <w:pPr>
        <w:ind w:left="2856" w:hanging="357"/>
      </w:pPr>
      <w:rPr>
        <w:rFonts w:hint="default"/>
      </w:rPr>
    </w:lvl>
    <w:lvl w:ilvl="8">
      <w:start w:val="1"/>
      <w:numFmt w:val="lowerRoman"/>
      <w:lvlText w:val="%9."/>
      <w:lvlJc w:val="right"/>
      <w:pPr>
        <w:ind w:left="3213" w:hanging="357"/>
      </w:pPr>
      <w:rPr>
        <w:rFonts w:hint="default"/>
      </w:rPr>
    </w:lvl>
  </w:abstractNum>
  <w:abstractNum w:abstractNumId="60" w15:restartNumberingAfterBreak="0">
    <w:nsid w:val="434C71DD"/>
    <w:multiLevelType w:val="hybridMultilevel"/>
    <w:tmpl w:val="8EB68272"/>
    <w:lvl w:ilvl="0" w:tplc="56349C82">
      <w:start w:val="1"/>
      <w:numFmt w:val="lowerLetter"/>
      <w:lvlText w:val="(%1)"/>
      <w:lvlJc w:val="left"/>
      <w:pPr>
        <w:ind w:left="720" w:hanging="360"/>
      </w:pPr>
      <w:rPr>
        <w:rFonts w:ascii="Arial" w:hAnsi="Arial" w:hint="default"/>
        <w:b w:val="0"/>
        <w:i w:val="0"/>
        <w:sz w:val="18"/>
        <w:szCs w:val="26"/>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1" w15:restartNumberingAfterBreak="0">
    <w:nsid w:val="43665411"/>
    <w:multiLevelType w:val="multilevel"/>
    <w:tmpl w:val="583A35FA"/>
    <w:name w:val="MyBullets35"/>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62" w15:restartNumberingAfterBreak="0">
    <w:nsid w:val="45D07742"/>
    <w:multiLevelType w:val="multilevel"/>
    <w:tmpl w:val="8DF8C6B6"/>
    <w:name w:val="MyNumbering9"/>
    <w:lvl w:ilvl="0">
      <w:start w:val="1"/>
      <w:numFmt w:val="decimal"/>
      <w:lvlText w:val="%1."/>
      <w:lvlJc w:val="left"/>
      <w:pPr>
        <w:ind w:left="360" w:hanging="360"/>
      </w:pPr>
      <w:rPr>
        <w:rFonts w:ascii="Arial" w:hAnsi="Arial" w:hint="default"/>
        <w:b w:val="0"/>
        <w:i w:val="0"/>
        <w:color w:val="auto"/>
        <w:sz w:val="22"/>
        <w:szCs w:val="18"/>
      </w:rPr>
    </w:lvl>
    <w:lvl w:ilvl="1">
      <w:start w:val="1"/>
      <w:numFmt w:val="lowerLetter"/>
      <w:lvlText w:val="%2."/>
      <w:lvlJc w:val="left"/>
      <w:pPr>
        <w:ind w:left="714" w:hanging="357"/>
      </w:pPr>
      <w:rPr>
        <w:rFonts w:hint="default"/>
      </w:rPr>
    </w:lvl>
    <w:lvl w:ilvl="2">
      <w:start w:val="1"/>
      <w:numFmt w:val="lowerRoman"/>
      <w:lvlText w:val="%3."/>
      <w:lvlJc w:val="left"/>
      <w:pPr>
        <w:ind w:left="1071" w:hanging="357"/>
      </w:pPr>
      <w:rPr>
        <w:rFonts w:hint="default"/>
      </w:rPr>
    </w:lvl>
    <w:lvl w:ilvl="3">
      <w:start w:val="1"/>
      <w:numFmt w:val="upperLetter"/>
      <w:lvlText w:val="%4."/>
      <w:lvlJc w:val="left"/>
      <w:pPr>
        <w:ind w:left="1428" w:hanging="357"/>
      </w:pPr>
      <w:rPr>
        <w:rFonts w:hint="default"/>
      </w:rPr>
    </w:lvl>
    <w:lvl w:ilvl="4">
      <w:start w:val="1"/>
      <w:numFmt w:val="upperRoman"/>
      <w:lvlText w:val="%5."/>
      <w:lvlJc w:val="left"/>
      <w:pPr>
        <w:ind w:left="1785" w:hanging="357"/>
      </w:pPr>
      <w:rPr>
        <w:rFonts w:hint="default"/>
      </w:rPr>
    </w:lvl>
    <w:lvl w:ilvl="5">
      <w:start w:val="1"/>
      <w:numFmt w:val="lowerRoman"/>
      <w:lvlText w:val="%6."/>
      <w:lvlJc w:val="right"/>
      <w:pPr>
        <w:ind w:left="2142" w:hanging="357"/>
      </w:pPr>
      <w:rPr>
        <w:rFonts w:hint="default"/>
      </w:rPr>
    </w:lvl>
    <w:lvl w:ilvl="6">
      <w:start w:val="1"/>
      <w:numFmt w:val="decimal"/>
      <w:lvlText w:val="%7."/>
      <w:lvlJc w:val="left"/>
      <w:pPr>
        <w:ind w:left="2499" w:hanging="357"/>
      </w:pPr>
      <w:rPr>
        <w:rFonts w:hint="default"/>
      </w:rPr>
    </w:lvl>
    <w:lvl w:ilvl="7">
      <w:start w:val="1"/>
      <w:numFmt w:val="lowerLetter"/>
      <w:lvlText w:val="%8."/>
      <w:lvlJc w:val="left"/>
      <w:pPr>
        <w:ind w:left="2856" w:hanging="357"/>
      </w:pPr>
      <w:rPr>
        <w:rFonts w:hint="default"/>
      </w:rPr>
    </w:lvl>
    <w:lvl w:ilvl="8">
      <w:start w:val="1"/>
      <w:numFmt w:val="lowerRoman"/>
      <w:lvlText w:val="%9."/>
      <w:lvlJc w:val="right"/>
      <w:pPr>
        <w:ind w:left="3213" w:hanging="357"/>
      </w:pPr>
      <w:rPr>
        <w:rFonts w:hint="default"/>
      </w:rPr>
    </w:lvl>
  </w:abstractNum>
  <w:abstractNum w:abstractNumId="63" w15:restartNumberingAfterBreak="0">
    <w:nsid w:val="45FF7C58"/>
    <w:multiLevelType w:val="multilevel"/>
    <w:tmpl w:val="583A35FA"/>
    <w:name w:val="MyBullets19"/>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64" w15:restartNumberingAfterBreak="0">
    <w:nsid w:val="47844F2D"/>
    <w:multiLevelType w:val="multilevel"/>
    <w:tmpl w:val="DC0412A8"/>
    <w:name w:val="items"/>
    <w:lvl w:ilvl="0">
      <w:start w:val="1"/>
      <w:numFmt w:val="decimal"/>
      <w:lvlRestart w:val="0"/>
      <w:lvlText w:val="%1."/>
      <w:lvlJc w:val="left"/>
      <w:pPr>
        <w:ind w:left="624" w:hanging="624"/>
      </w:pPr>
      <w:rPr>
        <w:color w:val="5D89B4" w:themeColor="accent3"/>
        <w:sz w:val="22"/>
        <w:szCs w:val="22"/>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5" w15:restartNumberingAfterBreak="0">
    <w:nsid w:val="48B628BD"/>
    <w:multiLevelType w:val="hybridMultilevel"/>
    <w:tmpl w:val="11B8399E"/>
    <w:lvl w:ilvl="0" w:tplc="36F829CA">
      <w:start w:val="1"/>
      <w:numFmt w:val="lowerLetter"/>
      <w:lvlText w:val="(%1)"/>
      <w:lvlJc w:val="left"/>
      <w:pPr>
        <w:ind w:left="720" w:hanging="360"/>
      </w:pPr>
      <w:rPr>
        <w:rFonts w:ascii="Arial" w:hAnsi="Arial" w:hint="default"/>
        <w:b w:val="0"/>
        <w:i w:val="0"/>
        <w:sz w:val="22"/>
        <w:szCs w:val="26"/>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66" w15:restartNumberingAfterBreak="0">
    <w:nsid w:val="49267E33"/>
    <w:multiLevelType w:val="multilevel"/>
    <w:tmpl w:val="583A35FA"/>
    <w:name w:val="MyBullets32"/>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67" w15:restartNumberingAfterBreak="0">
    <w:nsid w:val="495451BC"/>
    <w:multiLevelType w:val="multilevel"/>
    <w:tmpl w:val="583A35FA"/>
    <w:name w:val="MyBullets2"/>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68" w15:restartNumberingAfterBreak="0">
    <w:nsid w:val="4A27795F"/>
    <w:multiLevelType w:val="hybridMultilevel"/>
    <w:tmpl w:val="E8A4A08C"/>
    <w:lvl w:ilvl="0" w:tplc="E0523722">
      <w:numFmt w:val="bullet"/>
      <w:lvlText w:val="-"/>
      <w:lvlJc w:val="left"/>
      <w:pPr>
        <w:ind w:left="4330" w:hanging="360"/>
      </w:pPr>
      <w:rPr>
        <w:rFonts w:ascii="Book Antiqua" w:eastAsia="Times New Roman" w:hAnsi="Book Antiqua" w:cs="Times New Roman"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9" w15:restartNumberingAfterBreak="0">
    <w:nsid w:val="4A9D27B0"/>
    <w:multiLevelType w:val="hybridMultilevel"/>
    <w:tmpl w:val="E27A23E6"/>
    <w:name w:val="MyNumbering62242"/>
    <w:lvl w:ilvl="0" w:tplc="3290243E">
      <w:start w:val="1"/>
      <w:numFmt w:val="lowerLetter"/>
      <w:lvlText w:val="%1"/>
      <w:lvlJc w:val="left"/>
      <w:pPr>
        <w:ind w:left="1077" w:hanging="360"/>
      </w:pPr>
      <w:rPr>
        <w:rFonts w:ascii="Arial" w:hAnsi="Arial" w:hint="default"/>
        <w:b w:val="0"/>
        <w:i w:val="0"/>
        <w:sz w:val="22"/>
        <w:szCs w:val="26"/>
      </w:rPr>
    </w:lvl>
    <w:lvl w:ilvl="1" w:tplc="0C090019" w:tentative="1">
      <w:start w:val="1"/>
      <w:numFmt w:val="lowerLetter"/>
      <w:lvlText w:val="%2."/>
      <w:lvlJc w:val="left"/>
      <w:pPr>
        <w:ind w:left="1797" w:hanging="360"/>
      </w:pPr>
    </w:lvl>
    <w:lvl w:ilvl="2" w:tplc="0C09001B" w:tentative="1">
      <w:start w:val="1"/>
      <w:numFmt w:val="lowerRoman"/>
      <w:lvlText w:val="%3."/>
      <w:lvlJc w:val="right"/>
      <w:pPr>
        <w:ind w:left="2517" w:hanging="180"/>
      </w:pPr>
    </w:lvl>
    <w:lvl w:ilvl="3" w:tplc="0C09000F" w:tentative="1">
      <w:start w:val="1"/>
      <w:numFmt w:val="decimal"/>
      <w:lvlText w:val="%4."/>
      <w:lvlJc w:val="left"/>
      <w:pPr>
        <w:ind w:left="3237" w:hanging="360"/>
      </w:pPr>
    </w:lvl>
    <w:lvl w:ilvl="4" w:tplc="0C090019" w:tentative="1">
      <w:start w:val="1"/>
      <w:numFmt w:val="lowerLetter"/>
      <w:lvlText w:val="%5."/>
      <w:lvlJc w:val="left"/>
      <w:pPr>
        <w:ind w:left="3957" w:hanging="360"/>
      </w:pPr>
    </w:lvl>
    <w:lvl w:ilvl="5" w:tplc="0C09001B" w:tentative="1">
      <w:start w:val="1"/>
      <w:numFmt w:val="lowerRoman"/>
      <w:lvlText w:val="%6."/>
      <w:lvlJc w:val="right"/>
      <w:pPr>
        <w:ind w:left="4677" w:hanging="180"/>
      </w:pPr>
    </w:lvl>
    <w:lvl w:ilvl="6" w:tplc="0C09000F" w:tentative="1">
      <w:start w:val="1"/>
      <w:numFmt w:val="decimal"/>
      <w:lvlText w:val="%7."/>
      <w:lvlJc w:val="left"/>
      <w:pPr>
        <w:ind w:left="5397" w:hanging="360"/>
      </w:pPr>
    </w:lvl>
    <w:lvl w:ilvl="7" w:tplc="0C090019" w:tentative="1">
      <w:start w:val="1"/>
      <w:numFmt w:val="lowerLetter"/>
      <w:lvlText w:val="%8."/>
      <w:lvlJc w:val="left"/>
      <w:pPr>
        <w:ind w:left="6117" w:hanging="360"/>
      </w:pPr>
    </w:lvl>
    <w:lvl w:ilvl="8" w:tplc="0C09001B" w:tentative="1">
      <w:start w:val="1"/>
      <w:numFmt w:val="lowerRoman"/>
      <w:lvlText w:val="%9."/>
      <w:lvlJc w:val="right"/>
      <w:pPr>
        <w:ind w:left="6837" w:hanging="180"/>
      </w:pPr>
    </w:lvl>
  </w:abstractNum>
  <w:abstractNum w:abstractNumId="70" w15:restartNumberingAfterBreak="0">
    <w:nsid w:val="4BFF2C71"/>
    <w:multiLevelType w:val="hybridMultilevel"/>
    <w:tmpl w:val="7160E82E"/>
    <w:name w:val="MyNumbering3"/>
    <w:lvl w:ilvl="0" w:tplc="9036DE78">
      <w:start w:val="1"/>
      <w:numFmt w:val="decimal"/>
      <w:lvlText w:val="(%1)"/>
      <w:lvlJc w:val="left"/>
      <w:pPr>
        <w:ind w:left="720" w:hanging="360"/>
      </w:pPr>
      <w:rPr>
        <w:rFonts w:ascii="Arial" w:hAnsi="Arial" w:hint="default"/>
        <w:b w:val="0"/>
        <w:i w:val="0"/>
        <w:sz w:val="22"/>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71" w15:restartNumberingAfterBreak="0">
    <w:nsid w:val="4EF67232"/>
    <w:multiLevelType w:val="multilevel"/>
    <w:tmpl w:val="100AAA4C"/>
    <w:name w:val="Axiom Appendices"/>
    <w:lvl w:ilvl="0">
      <w:start w:val="1"/>
      <w:numFmt w:val="upperLetter"/>
      <w:lvlRestart w:val="0"/>
      <w:pStyle w:val="Heading9"/>
      <w:lvlText w:val="Appendix %1"/>
      <w:lvlJc w:val="left"/>
      <w:pPr>
        <w:ind w:left="2268" w:hanging="2268"/>
      </w:pPr>
      <w:rPr>
        <w:rFonts w:hint="default"/>
      </w:rPr>
    </w:lvl>
    <w:lvl w:ilvl="1">
      <w:start w:val="1"/>
      <w:numFmt w:val="decimal"/>
      <w:pStyle w:val="AppendixHeading2"/>
      <w:lvlText w:val="%1.%2"/>
      <w:lvlJc w:val="left"/>
      <w:pPr>
        <w:ind w:left="851" w:hanging="851"/>
      </w:pPr>
      <w:rPr>
        <w:rFonts w:hint="default"/>
      </w:rPr>
    </w:lvl>
    <w:lvl w:ilvl="2">
      <w:start w:val="1"/>
      <w:numFmt w:val="decimal"/>
      <w:pStyle w:val="AppendixHeading3"/>
      <w:lvlText w:val="%1.%2.%3"/>
      <w:lvlJc w:val="left"/>
      <w:pPr>
        <w:ind w:left="851" w:hanging="851"/>
      </w:pPr>
      <w:rPr>
        <w:rFonts w:hint="default"/>
      </w:rPr>
    </w:lvl>
    <w:lvl w:ilvl="3">
      <w:start w:val="1"/>
      <w:numFmt w:val="decimal"/>
      <w:pStyle w:val="AppendixHeading4"/>
      <w:lvlText w:val="%1.%2.%3.%4"/>
      <w:lvlJc w:val="left"/>
      <w:pPr>
        <w:ind w:left="851" w:hanging="851"/>
      </w:pPr>
      <w:rPr>
        <w:rFonts w:hint="default"/>
        <w:b/>
        <w:i w:val="0"/>
      </w:rPr>
    </w:lvl>
    <w:lvl w:ilvl="4">
      <w:start w:val="1"/>
      <w:numFmt w:val="none"/>
      <w:suff w:val="space"/>
      <w:lvlText w:val=""/>
      <w:lvlJc w:val="left"/>
      <w:pPr>
        <w:ind w:left="851" w:hanging="851"/>
      </w:pPr>
      <w:rPr>
        <w:rFonts w:hint="default"/>
      </w:rPr>
    </w:lvl>
    <w:lvl w:ilvl="5">
      <w:start w:val="1"/>
      <w:numFmt w:val="none"/>
      <w:lvlText w:val=""/>
      <w:lvlJc w:val="left"/>
      <w:pPr>
        <w:ind w:left="851" w:hanging="851"/>
      </w:pPr>
      <w:rPr>
        <w:rFonts w:hint="default"/>
      </w:rPr>
    </w:lvl>
    <w:lvl w:ilvl="6">
      <w:start w:val="1"/>
      <w:numFmt w:val="none"/>
      <w:lvlText w:val=""/>
      <w:lvlJc w:val="left"/>
      <w:pPr>
        <w:ind w:left="851" w:hanging="851"/>
      </w:pPr>
      <w:rPr>
        <w:rFonts w:hint="default"/>
      </w:rPr>
    </w:lvl>
    <w:lvl w:ilvl="7">
      <w:start w:val="1"/>
      <w:numFmt w:val="none"/>
      <w:lvlText w:val=""/>
      <w:lvlJc w:val="left"/>
      <w:pPr>
        <w:ind w:left="851" w:hanging="851"/>
      </w:pPr>
      <w:rPr>
        <w:rFonts w:hint="default"/>
      </w:rPr>
    </w:lvl>
    <w:lvl w:ilvl="8">
      <w:start w:val="1"/>
      <w:numFmt w:val="none"/>
      <w:lvlText w:val=""/>
      <w:lvlJc w:val="left"/>
      <w:pPr>
        <w:ind w:left="851" w:hanging="851"/>
      </w:pPr>
      <w:rPr>
        <w:rFonts w:hint="default"/>
      </w:rPr>
    </w:lvl>
  </w:abstractNum>
  <w:abstractNum w:abstractNumId="72" w15:restartNumberingAfterBreak="0">
    <w:nsid w:val="4FE25902"/>
    <w:multiLevelType w:val="multilevel"/>
    <w:tmpl w:val="E89892DA"/>
    <w:lvl w:ilvl="0">
      <w:start w:val="1"/>
      <w:numFmt w:val="decimal"/>
      <w:lvlText w:val="%1."/>
      <w:lvlJc w:val="left"/>
      <w:pPr>
        <w:ind w:left="360" w:hanging="360"/>
      </w:pPr>
      <w:rPr>
        <w:rFonts w:ascii="Arial" w:hAnsi="Arial" w:hint="default"/>
        <w:b w:val="0"/>
        <w:i w:val="0"/>
        <w:color w:val="auto"/>
        <w:sz w:val="22"/>
        <w:szCs w:val="18"/>
      </w:rPr>
    </w:lvl>
    <w:lvl w:ilvl="1">
      <w:start w:val="1"/>
      <w:numFmt w:val="lowerLetter"/>
      <w:lvlText w:val="(%2)"/>
      <w:lvlJc w:val="left"/>
      <w:pPr>
        <w:ind w:left="714" w:hanging="357"/>
      </w:pPr>
      <w:rPr>
        <w:rFonts w:hint="default"/>
      </w:rPr>
    </w:lvl>
    <w:lvl w:ilvl="2">
      <w:start w:val="1"/>
      <w:numFmt w:val="lowerRoman"/>
      <w:lvlText w:val="%3."/>
      <w:lvlJc w:val="left"/>
      <w:pPr>
        <w:ind w:left="1071" w:hanging="357"/>
      </w:pPr>
      <w:rPr>
        <w:rFonts w:hint="default"/>
      </w:rPr>
    </w:lvl>
    <w:lvl w:ilvl="3">
      <w:start w:val="1"/>
      <w:numFmt w:val="upperLetter"/>
      <w:lvlText w:val="%4."/>
      <w:lvlJc w:val="left"/>
      <w:pPr>
        <w:ind w:left="1428" w:hanging="357"/>
      </w:pPr>
      <w:rPr>
        <w:rFonts w:hint="default"/>
      </w:rPr>
    </w:lvl>
    <w:lvl w:ilvl="4">
      <w:start w:val="1"/>
      <w:numFmt w:val="upperRoman"/>
      <w:lvlText w:val="%5."/>
      <w:lvlJc w:val="left"/>
      <w:pPr>
        <w:ind w:left="1785" w:hanging="357"/>
      </w:pPr>
      <w:rPr>
        <w:rFonts w:hint="default"/>
      </w:rPr>
    </w:lvl>
    <w:lvl w:ilvl="5">
      <w:start w:val="1"/>
      <w:numFmt w:val="lowerRoman"/>
      <w:lvlText w:val="%6."/>
      <w:lvlJc w:val="right"/>
      <w:pPr>
        <w:ind w:left="2142" w:hanging="357"/>
      </w:pPr>
      <w:rPr>
        <w:rFonts w:hint="default"/>
      </w:rPr>
    </w:lvl>
    <w:lvl w:ilvl="6">
      <w:start w:val="1"/>
      <w:numFmt w:val="decimal"/>
      <w:lvlText w:val="%7."/>
      <w:lvlJc w:val="left"/>
      <w:pPr>
        <w:ind w:left="2499" w:hanging="357"/>
      </w:pPr>
      <w:rPr>
        <w:rFonts w:hint="default"/>
      </w:rPr>
    </w:lvl>
    <w:lvl w:ilvl="7">
      <w:start w:val="1"/>
      <w:numFmt w:val="lowerLetter"/>
      <w:lvlText w:val="%8."/>
      <w:lvlJc w:val="left"/>
      <w:pPr>
        <w:ind w:left="2856" w:hanging="357"/>
      </w:pPr>
      <w:rPr>
        <w:rFonts w:hint="default"/>
      </w:rPr>
    </w:lvl>
    <w:lvl w:ilvl="8">
      <w:start w:val="1"/>
      <w:numFmt w:val="lowerRoman"/>
      <w:lvlText w:val="%9."/>
      <w:lvlJc w:val="right"/>
      <w:pPr>
        <w:ind w:left="3213" w:hanging="357"/>
      </w:pPr>
      <w:rPr>
        <w:rFonts w:hint="default"/>
      </w:rPr>
    </w:lvl>
  </w:abstractNum>
  <w:abstractNum w:abstractNumId="73" w15:restartNumberingAfterBreak="0">
    <w:nsid w:val="4FED0F20"/>
    <w:multiLevelType w:val="multilevel"/>
    <w:tmpl w:val="8FFE7F86"/>
    <w:lvl w:ilvl="0">
      <w:start w:val="1"/>
      <w:numFmt w:val="bullet"/>
      <w:lvlText w:val=""/>
      <w:lvlJc w:val="left"/>
      <w:pPr>
        <w:ind w:left="369" w:hanging="369"/>
      </w:pPr>
      <w:rPr>
        <w:rFonts w:ascii="Wingdings" w:hAnsi="Wingdings" w:hint="default"/>
      </w:rPr>
    </w:lvl>
    <w:lvl w:ilvl="1">
      <w:start w:val="1"/>
      <w:numFmt w:val="bullet"/>
      <w:lvlText w:val="o"/>
      <w:lvlJc w:val="left"/>
      <w:pPr>
        <w:ind w:left="737" w:hanging="368"/>
      </w:pPr>
      <w:rPr>
        <w:rFonts w:ascii="Courier New" w:hAnsi="Courier New" w:cs="Courier New" w:hint="default"/>
      </w:rPr>
    </w:lvl>
    <w:lvl w:ilvl="2">
      <w:start w:val="1"/>
      <w:numFmt w:val="none"/>
      <w:lvlText w:val=":"/>
      <w:lvlJc w:val="left"/>
      <w:pPr>
        <w:ind w:left="1106" w:hanging="369"/>
      </w:pPr>
      <w:rPr>
        <w:rFonts w:hint="default"/>
      </w:rPr>
    </w:lvl>
    <w:lvl w:ilvl="3">
      <w:start w:val="1"/>
      <w:numFmt w:val="none"/>
      <w:lvlText w:val=""/>
      <w:lvlJc w:val="left"/>
      <w:pPr>
        <w:ind w:left="1474" w:hanging="368"/>
      </w:pPr>
      <w:rPr>
        <w:rFonts w:hint="default"/>
        <w:color w:val="auto"/>
      </w:rPr>
    </w:lvl>
    <w:lvl w:ilvl="4">
      <w:start w:val="1"/>
      <w:numFmt w:val="none"/>
      <w:lvlText w:val=""/>
      <w:lvlJc w:val="left"/>
      <w:pPr>
        <w:ind w:left="1800" w:hanging="360"/>
      </w:pPr>
      <w:rPr>
        <w:rFonts w:hint="default"/>
        <w:color w:val="auto"/>
      </w:rPr>
    </w:lvl>
    <w:lvl w:ilvl="5">
      <w:start w:val="1"/>
      <w:numFmt w:val="none"/>
      <w:lvlText w:val=""/>
      <w:lvlJc w:val="left"/>
      <w:pPr>
        <w:ind w:left="2160" w:hanging="360"/>
      </w:pPr>
      <w:rPr>
        <w:rFonts w:hint="default"/>
        <w:color w:val="auto"/>
      </w:rPr>
    </w:lvl>
    <w:lvl w:ilvl="6">
      <w:start w:val="1"/>
      <w:numFmt w:val="none"/>
      <w:lvlText w:val=""/>
      <w:lvlJc w:val="left"/>
      <w:pPr>
        <w:ind w:left="2520" w:hanging="360"/>
      </w:pPr>
      <w:rPr>
        <w:rFonts w:hint="default"/>
        <w:color w:val="auto"/>
      </w:rPr>
    </w:lvl>
    <w:lvl w:ilvl="7">
      <w:start w:val="1"/>
      <w:numFmt w:val="none"/>
      <w:lvlText w:val=""/>
      <w:lvlJc w:val="left"/>
      <w:pPr>
        <w:ind w:left="2880" w:hanging="360"/>
      </w:pPr>
      <w:rPr>
        <w:rFonts w:hint="default"/>
        <w:color w:val="auto"/>
      </w:rPr>
    </w:lvl>
    <w:lvl w:ilvl="8">
      <w:start w:val="1"/>
      <w:numFmt w:val="none"/>
      <w:lvlText w:val=""/>
      <w:lvlJc w:val="left"/>
      <w:pPr>
        <w:ind w:left="3240" w:hanging="360"/>
      </w:pPr>
      <w:rPr>
        <w:rFonts w:hint="default"/>
        <w:color w:val="auto"/>
      </w:rPr>
    </w:lvl>
  </w:abstractNum>
  <w:abstractNum w:abstractNumId="74" w15:restartNumberingAfterBreak="0">
    <w:nsid w:val="512A7060"/>
    <w:multiLevelType w:val="multilevel"/>
    <w:tmpl w:val="583A35FA"/>
    <w:name w:val="MyBullets11"/>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75" w15:restartNumberingAfterBreak="0">
    <w:nsid w:val="51A144D2"/>
    <w:multiLevelType w:val="multilevel"/>
    <w:tmpl w:val="583A35FA"/>
    <w:name w:val="MyBullets29"/>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76" w15:restartNumberingAfterBreak="0">
    <w:nsid w:val="52456C28"/>
    <w:multiLevelType w:val="multilevel"/>
    <w:tmpl w:val="472A8ED0"/>
    <w:name w:val="U1_Legal Numbering"/>
    <w:lvl w:ilvl="0">
      <w:start w:val="1"/>
      <w:numFmt w:val="decimal"/>
      <w:lvlText w:val="%1."/>
      <w:lvlJc w:val="left"/>
      <w:pPr>
        <w:ind w:left="567" w:hanging="567"/>
      </w:pPr>
      <w:rPr>
        <w:rFonts w:hint="default"/>
      </w:rPr>
    </w:lvl>
    <w:lvl w:ilvl="1">
      <w:start w:val="1"/>
      <w:numFmt w:val="decimal"/>
      <w:lvlText w:val="%1.%2"/>
      <w:lvlJc w:val="left"/>
      <w:pPr>
        <w:ind w:left="1134" w:hanging="567"/>
      </w:pPr>
      <w:rPr>
        <w:rFonts w:hint="default"/>
      </w:rPr>
    </w:lvl>
    <w:lvl w:ilvl="2">
      <w:start w:val="1"/>
      <w:numFmt w:val="decimal"/>
      <w:lvlText w:val="%1.%2.%3"/>
      <w:lvlJc w:val="left"/>
      <w:pPr>
        <w:tabs>
          <w:tab w:val="num" w:pos="1134"/>
        </w:tabs>
        <w:ind w:left="1814" w:hanging="680"/>
      </w:pPr>
      <w:rPr>
        <w:rFonts w:hint="default"/>
      </w:rPr>
    </w:lvl>
    <w:lvl w:ilvl="3">
      <w:start w:val="1"/>
      <w:numFmt w:val="decimal"/>
      <w:suff w:val="space"/>
      <w:lvlText w:val="%1.%2.%3.%4  "/>
      <w:lvlJc w:val="left"/>
      <w:pPr>
        <w:ind w:left="2268" w:hanging="454"/>
      </w:pPr>
      <w:rPr>
        <w:rFonts w:hint="default"/>
      </w:rPr>
    </w:lvl>
    <w:lvl w:ilvl="4">
      <w:start w:val="1"/>
      <w:numFmt w:val="none"/>
      <w:suff w:val="space"/>
      <w:lvlText w:val=""/>
      <w:lvlJc w:val="left"/>
      <w:pPr>
        <w:ind w:left="2835" w:hanging="567"/>
      </w:pPr>
      <w:rPr>
        <w:rFonts w:hint="default"/>
      </w:rPr>
    </w:lvl>
    <w:lvl w:ilvl="5">
      <w:start w:val="1"/>
      <w:numFmt w:val="none"/>
      <w:suff w:val="space"/>
      <w:lvlText w:val=""/>
      <w:lvlJc w:val="left"/>
      <w:pPr>
        <w:ind w:left="3402" w:hanging="567"/>
      </w:pPr>
      <w:rPr>
        <w:rFonts w:hint="default"/>
      </w:rPr>
    </w:lvl>
    <w:lvl w:ilvl="6">
      <w:start w:val="1"/>
      <w:numFmt w:val="none"/>
      <w:suff w:val="space"/>
      <w:lvlText w:val=""/>
      <w:lvlJc w:val="left"/>
      <w:pPr>
        <w:ind w:left="3969" w:hanging="567"/>
      </w:pPr>
      <w:rPr>
        <w:rFonts w:hint="default"/>
      </w:rPr>
    </w:lvl>
    <w:lvl w:ilvl="7">
      <w:start w:val="1"/>
      <w:numFmt w:val="none"/>
      <w:suff w:val="space"/>
      <w:lvlText w:val=""/>
      <w:lvlJc w:val="left"/>
      <w:pPr>
        <w:ind w:left="4536" w:hanging="567"/>
      </w:pPr>
      <w:rPr>
        <w:rFonts w:hint="default"/>
      </w:rPr>
    </w:lvl>
    <w:lvl w:ilvl="8">
      <w:start w:val="1"/>
      <w:numFmt w:val="none"/>
      <w:suff w:val="space"/>
      <w:lvlText w:val=""/>
      <w:lvlJc w:val="left"/>
      <w:pPr>
        <w:ind w:left="5103" w:hanging="567"/>
      </w:pPr>
      <w:rPr>
        <w:rFonts w:hint="default"/>
      </w:rPr>
    </w:lvl>
  </w:abstractNum>
  <w:abstractNum w:abstractNumId="77" w15:restartNumberingAfterBreak="0">
    <w:nsid w:val="52890B29"/>
    <w:multiLevelType w:val="hybridMultilevel"/>
    <w:tmpl w:val="067CFC18"/>
    <w:name w:val="MyHeadings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8" w15:restartNumberingAfterBreak="0">
    <w:nsid w:val="55A605C1"/>
    <w:multiLevelType w:val="multilevel"/>
    <w:tmpl w:val="583A35FA"/>
    <w:name w:val="MyBullets20"/>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79" w15:restartNumberingAfterBreak="0">
    <w:nsid w:val="55B3780A"/>
    <w:multiLevelType w:val="singleLevel"/>
    <w:tmpl w:val="E90C2FDE"/>
    <w:lvl w:ilvl="0">
      <w:start w:val="1"/>
      <w:numFmt w:val="bullet"/>
      <w:lvlText w:val=""/>
      <w:lvlJc w:val="left"/>
      <w:pPr>
        <w:tabs>
          <w:tab w:val="num" w:pos="340"/>
        </w:tabs>
        <w:ind w:left="340" w:hanging="340"/>
      </w:pPr>
      <w:rPr>
        <w:rFonts w:ascii="Symbol" w:hAnsi="Symbol" w:hint="default"/>
        <w:color w:val="auto"/>
        <w:sz w:val="22"/>
      </w:rPr>
    </w:lvl>
  </w:abstractNum>
  <w:abstractNum w:abstractNumId="80" w15:restartNumberingAfterBreak="0">
    <w:nsid w:val="55D6482D"/>
    <w:multiLevelType w:val="multilevel"/>
    <w:tmpl w:val="583A35FA"/>
    <w:name w:val="MyBullets3"/>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81" w15:restartNumberingAfterBreak="0">
    <w:nsid w:val="563C0189"/>
    <w:multiLevelType w:val="hybridMultilevel"/>
    <w:tmpl w:val="48543BA4"/>
    <w:lvl w:ilvl="0" w:tplc="B6DEF8A4">
      <w:start w:val="1"/>
      <w:numFmt w:val="lowerRoman"/>
      <w:lvlText w:val="(%1)"/>
      <w:lvlJc w:val="left"/>
      <w:pPr>
        <w:ind w:left="720" w:hanging="360"/>
      </w:pPr>
      <w:rPr>
        <w:rFonts w:ascii="Arial" w:hAnsi="Arial" w:hint="default"/>
        <w:b w:val="0"/>
        <w:i w:val="0"/>
        <w:sz w:val="20"/>
        <w:szCs w:val="26"/>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82" w15:restartNumberingAfterBreak="0">
    <w:nsid w:val="56C75B88"/>
    <w:multiLevelType w:val="multilevel"/>
    <w:tmpl w:val="9F643D5E"/>
    <w:lvl w:ilvl="0">
      <w:start w:val="1"/>
      <w:numFmt w:val="bullet"/>
      <w:lvlRestart w:val="0"/>
      <w:pStyle w:val="ListBullets"/>
      <w:lvlText w:val=""/>
      <w:lvlJc w:val="left"/>
      <w:pPr>
        <w:tabs>
          <w:tab w:val="num" w:pos="360"/>
        </w:tabs>
        <w:ind w:left="360" w:hanging="360"/>
      </w:pPr>
      <w:rPr>
        <w:rFonts w:ascii="Wingdings" w:hAnsi="Wingdings" w:hint="default"/>
      </w:rPr>
    </w:lvl>
    <w:lvl w:ilvl="1">
      <w:start w:val="1"/>
      <w:numFmt w:val="bullet"/>
      <w:lvlRestart w:val="0"/>
      <w:lvlText w:val=""/>
      <w:lvlJc w:val="left"/>
      <w:pPr>
        <w:tabs>
          <w:tab w:val="num" w:pos="720"/>
        </w:tabs>
        <w:ind w:left="720" w:hanging="360"/>
      </w:pPr>
      <w:rPr>
        <w:rFonts w:ascii="Symbol" w:hAnsi="Symbol" w:hint="default"/>
      </w:rPr>
    </w:lvl>
    <w:lvl w:ilvl="2">
      <w:start w:val="1"/>
      <w:numFmt w:val="bullet"/>
      <w:lvlRestart w:val="0"/>
      <w:lvlText w:val=""/>
      <w:lvlJc w:val="left"/>
      <w:pPr>
        <w:tabs>
          <w:tab w:val="num" w:pos="1080"/>
        </w:tabs>
        <w:ind w:left="1080" w:hanging="360"/>
      </w:pPr>
      <w:rPr>
        <w:rFonts w:ascii="Symbol" w:hAnsi="Symbol"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83" w15:restartNumberingAfterBreak="0">
    <w:nsid w:val="571F7B36"/>
    <w:multiLevelType w:val="multilevel"/>
    <w:tmpl w:val="583A35FA"/>
    <w:name w:val="MyBullets12"/>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84" w15:restartNumberingAfterBreak="0">
    <w:nsid w:val="579363C6"/>
    <w:multiLevelType w:val="hybridMultilevel"/>
    <w:tmpl w:val="96A26B68"/>
    <w:lvl w:ilvl="0" w:tplc="02C8F9CA">
      <w:start w:val="1"/>
      <w:numFmt w:val="lowerLetter"/>
      <w:lvlText w:val="(%1)"/>
      <w:lvlJc w:val="left"/>
      <w:pPr>
        <w:ind w:left="720" w:hanging="360"/>
      </w:pPr>
      <w:rPr>
        <w:rFonts w:ascii="Arial" w:hAnsi="Arial" w:hint="default"/>
        <w:b w:val="0"/>
        <w:i w:val="0"/>
        <w:sz w:val="19"/>
        <w:szCs w:val="26"/>
      </w:rPr>
    </w:lvl>
    <w:lvl w:ilvl="1" w:tplc="0C090019" w:tentative="1">
      <w:start w:val="1"/>
      <w:numFmt w:val="lowerLetter"/>
      <w:lvlText w:val="%2."/>
      <w:lvlJc w:val="left"/>
      <w:pPr>
        <w:ind w:left="1440" w:hanging="360"/>
      </w:pPr>
    </w:lvl>
    <w:lvl w:ilvl="2" w:tplc="36F829CA">
      <w:start w:val="1"/>
      <w:numFmt w:val="lowerLetter"/>
      <w:lvlText w:val="(%3)"/>
      <w:lvlJc w:val="left"/>
      <w:pPr>
        <w:ind w:left="2160" w:hanging="180"/>
      </w:pPr>
      <w:rPr>
        <w:rFonts w:ascii="Arial" w:hAnsi="Arial" w:hint="default"/>
        <w:b w:val="0"/>
        <w:i w:val="0"/>
        <w:sz w:val="22"/>
        <w:szCs w:val="26"/>
      </w:r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85" w15:restartNumberingAfterBreak="0">
    <w:nsid w:val="58741D25"/>
    <w:multiLevelType w:val="multilevel"/>
    <w:tmpl w:val="10107B4A"/>
    <w:name w:val="TableNumbering"/>
    <w:styleLink w:val="TableFootnotes"/>
    <w:lvl w:ilvl="0">
      <w:start w:val="1"/>
      <w:numFmt w:val="none"/>
      <w:suff w:val="nothing"/>
      <w:lvlText w:val=""/>
      <w:lvlJc w:val="left"/>
      <w:pPr>
        <w:ind w:left="0" w:firstLine="0"/>
      </w:pPr>
      <w:rPr>
        <w:rFonts w:hint="default"/>
      </w:rPr>
    </w:lvl>
    <w:lvl w:ilvl="1">
      <w:start w:val="1"/>
      <w:numFmt w:val="decimal"/>
      <w:lvlText w:val="(%2)"/>
      <w:lvlJc w:val="left"/>
      <w:pPr>
        <w:ind w:left="340" w:hanging="340"/>
      </w:pPr>
      <w:rPr>
        <w:rFonts w:hint="default"/>
      </w:rPr>
    </w:lvl>
    <w:lvl w:ilvl="2">
      <w:start w:val="1"/>
      <w:numFmt w:val="none"/>
      <w:lvlText w:val=""/>
      <w:lvlJc w:val="left"/>
      <w:pPr>
        <w:ind w:left="340" w:hanging="340"/>
      </w:pPr>
      <w:rPr>
        <w:rFonts w:hint="default"/>
      </w:rPr>
    </w:lvl>
    <w:lvl w:ilvl="3">
      <w:start w:val="1"/>
      <w:numFmt w:val="none"/>
      <w:lvlText w:val=""/>
      <w:lvlJc w:val="left"/>
      <w:pPr>
        <w:ind w:left="340" w:hanging="340"/>
      </w:pPr>
      <w:rPr>
        <w:rFonts w:hint="default"/>
      </w:rPr>
    </w:lvl>
    <w:lvl w:ilvl="4">
      <w:start w:val="1"/>
      <w:numFmt w:val="none"/>
      <w:lvlText w:val=""/>
      <w:lvlJc w:val="left"/>
      <w:pPr>
        <w:ind w:left="340" w:hanging="340"/>
      </w:pPr>
      <w:rPr>
        <w:rFonts w:hint="default"/>
      </w:rPr>
    </w:lvl>
    <w:lvl w:ilvl="5">
      <w:start w:val="1"/>
      <w:numFmt w:val="none"/>
      <w:lvlText w:val=""/>
      <w:lvlJc w:val="left"/>
      <w:pPr>
        <w:ind w:left="340" w:hanging="340"/>
      </w:pPr>
      <w:rPr>
        <w:rFonts w:hint="default"/>
      </w:rPr>
    </w:lvl>
    <w:lvl w:ilvl="6">
      <w:start w:val="1"/>
      <w:numFmt w:val="none"/>
      <w:lvlText w:val=""/>
      <w:lvlJc w:val="left"/>
      <w:pPr>
        <w:ind w:left="340" w:hanging="340"/>
      </w:pPr>
      <w:rPr>
        <w:rFonts w:hint="default"/>
      </w:rPr>
    </w:lvl>
    <w:lvl w:ilvl="7">
      <w:start w:val="1"/>
      <w:numFmt w:val="none"/>
      <w:lvlText w:val=""/>
      <w:lvlJc w:val="left"/>
      <w:pPr>
        <w:ind w:left="340" w:hanging="340"/>
      </w:pPr>
      <w:rPr>
        <w:rFonts w:hint="default"/>
      </w:rPr>
    </w:lvl>
    <w:lvl w:ilvl="8">
      <w:start w:val="1"/>
      <w:numFmt w:val="none"/>
      <w:lvlText w:val=""/>
      <w:lvlJc w:val="left"/>
      <w:pPr>
        <w:ind w:left="340" w:hanging="340"/>
      </w:pPr>
      <w:rPr>
        <w:rFonts w:hint="default"/>
      </w:rPr>
    </w:lvl>
  </w:abstractNum>
  <w:abstractNum w:abstractNumId="86" w15:restartNumberingAfterBreak="0">
    <w:nsid w:val="593E71A5"/>
    <w:multiLevelType w:val="multilevel"/>
    <w:tmpl w:val="583A35FA"/>
    <w:name w:val="MyBullets26"/>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87" w15:restartNumberingAfterBreak="0">
    <w:nsid w:val="59920CC7"/>
    <w:multiLevelType w:val="hybridMultilevel"/>
    <w:tmpl w:val="D038824C"/>
    <w:lvl w:ilvl="0" w:tplc="E178758A">
      <w:start w:val="1"/>
      <w:numFmt w:val="lowerLetter"/>
      <w:lvlText w:val="(%1)"/>
      <w:lvlJc w:val="left"/>
      <w:pPr>
        <w:ind w:left="720" w:hanging="360"/>
      </w:pPr>
      <w:rPr>
        <w:rFonts w:ascii="Arial" w:hAnsi="Arial" w:hint="default"/>
        <w:b w:val="0"/>
        <w:i w:val="0"/>
        <w:sz w:val="22"/>
        <w:szCs w:val="26"/>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88" w15:restartNumberingAfterBreak="0">
    <w:nsid w:val="5A5A77E1"/>
    <w:multiLevelType w:val="multilevel"/>
    <w:tmpl w:val="583A35FA"/>
    <w:name w:val="MyBullets6"/>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89" w15:restartNumberingAfterBreak="0">
    <w:nsid w:val="5AE6625A"/>
    <w:multiLevelType w:val="multilevel"/>
    <w:tmpl w:val="FF203CF0"/>
    <w:name w:val="MyHeadings"/>
    <w:lvl w:ilvl="0">
      <w:start w:val="1"/>
      <w:numFmt w:val="decimal"/>
      <w:suff w:val="space"/>
      <w:lvlText w:val="%1."/>
      <w:lvlJc w:val="left"/>
      <w:pPr>
        <w:ind w:left="0" w:firstLine="0"/>
      </w:pPr>
      <w:rPr>
        <w:rFonts w:asciiTheme="majorHAnsi" w:hAnsiTheme="majorHAnsi" w:hint="default"/>
        <w:b/>
        <w:i w:val="0"/>
        <w:color w:val="E1E2E7" w:themeColor="background2"/>
        <w:sz w:val="40"/>
      </w:rPr>
    </w:lvl>
    <w:lvl w:ilvl="1">
      <w:start w:val="1"/>
      <w:numFmt w:val="decimal"/>
      <w:suff w:val="space"/>
      <w:lvlText w:val="%1.%2"/>
      <w:lvlJc w:val="left"/>
      <w:pPr>
        <w:ind w:left="0" w:firstLine="0"/>
      </w:pPr>
      <w:rPr>
        <w:rFonts w:asciiTheme="majorHAnsi" w:hAnsiTheme="majorHAnsi" w:hint="default"/>
        <w:b/>
        <w:i w:val="0"/>
        <w:color w:val="214C90" w:themeColor="text2"/>
        <w:spacing w:val="-6"/>
        <w:sz w:val="32"/>
      </w:rPr>
    </w:lvl>
    <w:lvl w:ilvl="2">
      <w:start w:val="1"/>
      <w:numFmt w:val="decimal"/>
      <w:suff w:val="space"/>
      <w:lvlText w:val="%1.%2.%3"/>
      <w:lvlJc w:val="left"/>
      <w:pPr>
        <w:ind w:left="0" w:firstLine="0"/>
      </w:pPr>
      <w:rPr>
        <w:rFonts w:asciiTheme="majorHAnsi" w:hAnsiTheme="majorHAnsi" w:hint="default"/>
        <w:b/>
        <w:i w:val="0"/>
        <w:color w:val="46A6A9" w:themeColor="accent2"/>
        <w:spacing w:val="-4"/>
        <w:sz w:val="24"/>
      </w:rPr>
    </w:lvl>
    <w:lvl w:ilvl="3">
      <w:start w:val="1"/>
      <w:numFmt w:val="decimal"/>
      <w:suff w:val="space"/>
      <w:lvlText w:val="%1.%2.%3.%4"/>
      <w:lvlJc w:val="left"/>
      <w:pPr>
        <w:ind w:left="0" w:firstLine="0"/>
      </w:pPr>
      <w:rPr>
        <w:rFonts w:asciiTheme="majorHAnsi" w:hAnsiTheme="majorHAnsi" w:hint="default"/>
        <w:b/>
        <w:i w:val="0"/>
        <w:color w:val="auto"/>
        <w:sz w:val="20"/>
      </w:rPr>
    </w:lvl>
    <w:lvl w:ilvl="4">
      <w:start w:val="1"/>
      <w:numFmt w:val="none"/>
      <w:suff w:val="space"/>
      <w:lvlText w:val=""/>
      <w:lvlJc w:val="left"/>
      <w:pPr>
        <w:ind w:left="0" w:firstLine="0"/>
      </w:pPr>
      <w:rPr>
        <w:rFonts w:hint="default"/>
      </w:rPr>
    </w:lvl>
    <w:lvl w:ilvl="5">
      <w:start w:val="1"/>
      <w:numFmt w:val="none"/>
      <w:lvlText w:val=""/>
      <w:lvlJc w:val="left"/>
      <w:pPr>
        <w:tabs>
          <w:tab w:val="num" w:pos="-31680"/>
        </w:tabs>
        <w:ind w:left="0" w:firstLine="0"/>
      </w:pPr>
      <w:rPr>
        <w:rFonts w:hint="default"/>
      </w:rPr>
    </w:lvl>
    <w:lvl w:ilvl="6">
      <w:start w:val="1"/>
      <w:numFmt w:val="none"/>
      <w:lvlText w:val=""/>
      <w:lvlJc w:val="left"/>
      <w:pPr>
        <w:tabs>
          <w:tab w:val="num" w:pos="-31680"/>
        </w:tabs>
        <w:ind w:left="0" w:firstLine="0"/>
      </w:pPr>
      <w:rPr>
        <w:rFonts w:hint="default"/>
      </w:rPr>
    </w:lvl>
    <w:lvl w:ilvl="7">
      <w:start w:val="1"/>
      <w:numFmt w:val="none"/>
      <w:lvlText w:val=""/>
      <w:lvlJc w:val="left"/>
      <w:pPr>
        <w:tabs>
          <w:tab w:val="num" w:pos="-31680"/>
        </w:tabs>
        <w:ind w:left="0" w:firstLine="0"/>
      </w:pPr>
      <w:rPr>
        <w:rFonts w:hint="default"/>
      </w:rPr>
    </w:lvl>
    <w:lvl w:ilvl="8">
      <w:start w:val="1"/>
      <w:numFmt w:val="none"/>
      <w:lvlText w:val=""/>
      <w:lvlJc w:val="left"/>
      <w:pPr>
        <w:tabs>
          <w:tab w:val="num" w:pos="-31680"/>
        </w:tabs>
        <w:ind w:left="0" w:firstLine="0"/>
      </w:pPr>
      <w:rPr>
        <w:rFonts w:hint="default"/>
      </w:rPr>
    </w:lvl>
  </w:abstractNum>
  <w:abstractNum w:abstractNumId="90" w15:restartNumberingAfterBreak="0">
    <w:nsid w:val="5B3A7D91"/>
    <w:multiLevelType w:val="hybridMultilevel"/>
    <w:tmpl w:val="B4C0DA34"/>
    <w:name w:val="MyNumbering2"/>
    <w:lvl w:ilvl="0" w:tplc="77A6A824">
      <w:start w:val="1"/>
      <w:numFmt w:val="bullet"/>
      <w:pStyle w:val="ListBullet2"/>
      <w:lvlText w:val="o"/>
      <w:lvlJc w:val="left"/>
      <w:pPr>
        <w:ind w:left="4330" w:hanging="360"/>
      </w:pPr>
      <w:rPr>
        <w:rFonts w:ascii="Courier New" w:hAnsi="Courier New" w:cs="Courier New"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1" w15:restartNumberingAfterBreak="0">
    <w:nsid w:val="5B5936B0"/>
    <w:multiLevelType w:val="hybridMultilevel"/>
    <w:tmpl w:val="42FC20B2"/>
    <w:lvl w:ilvl="0" w:tplc="BC2EC844">
      <w:start w:val="1"/>
      <w:numFmt w:val="lowerLetter"/>
      <w:lvlText w:val="(%1)"/>
      <w:lvlJc w:val="left"/>
      <w:pPr>
        <w:ind w:left="720" w:hanging="360"/>
      </w:pPr>
      <w:rPr>
        <w:rFonts w:ascii="Arial" w:hAnsi="Arial" w:hint="default"/>
        <w:b w:val="0"/>
        <w:i w:val="0"/>
        <w:sz w:val="22"/>
        <w:szCs w:val="26"/>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2C8F9CA">
      <w:start w:val="1"/>
      <w:numFmt w:val="lowerLetter"/>
      <w:lvlText w:val="(%5)"/>
      <w:lvlJc w:val="left"/>
      <w:pPr>
        <w:ind w:left="3600" w:hanging="360"/>
      </w:pPr>
      <w:rPr>
        <w:rFonts w:ascii="Arial" w:hAnsi="Arial" w:hint="default"/>
        <w:b w:val="0"/>
        <w:i w:val="0"/>
        <w:sz w:val="19"/>
        <w:szCs w:val="26"/>
      </w:r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92" w15:restartNumberingAfterBreak="0">
    <w:nsid w:val="5B8E3352"/>
    <w:multiLevelType w:val="multilevel"/>
    <w:tmpl w:val="583A35FA"/>
    <w:name w:val="MyBullets28"/>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93" w15:restartNumberingAfterBreak="0">
    <w:nsid w:val="5BB0269B"/>
    <w:multiLevelType w:val="hybridMultilevel"/>
    <w:tmpl w:val="65C2480C"/>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4" w15:restartNumberingAfterBreak="0">
    <w:nsid w:val="5D0540A9"/>
    <w:multiLevelType w:val="multilevel"/>
    <w:tmpl w:val="DBC00818"/>
    <w:name w:val="MyAppendicesNumbering"/>
    <w:lvl w:ilvl="0">
      <w:start w:val="1"/>
      <w:numFmt w:val="upperLetter"/>
      <w:suff w:val="space"/>
      <w:lvlText w:val="Appendix %1."/>
      <w:lvlJc w:val="left"/>
      <w:pPr>
        <w:ind w:left="0" w:firstLine="0"/>
      </w:pPr>
      <w:rPr>
        <w:rFonts w:asciiTheme="majorHAnsi" w:hAnsiTheme="majorHAnsi" w:hint="default"/>
        <w:b/>
        <w:i w:val="0"/>
        <w:sz w:val="40"/>
      </w:rPr>
    </w:lvl>
    <w:lvl w:ilvl="1">
      <w:start w:val="1"/>
      <w:numFmt w:val="decimal"/>
      <w:suff w:val="space"/>
      <w:lvlText w:val="%1.%2"/>
      <w:lvlJc w:val="left"/>
      <w:pPr>
        <w:ind w:left="0" w:firstLine="0"/>
      </w:pPr>
      <w:rPr>
        <w:rFonts w:hint="default"/>
        <w:sz w:val="32"/>
      </w:rPr>
    </w:lvl>
    <w:lvl w:ilvl="2">
      <w:start w:val="1"/>
      <w:numFmt w:val="decimal"/>
      <w:suff w:val="space"/>
      <w:lvlText w:val="%1.%2.%3 "/>
      <w:lvlJc w:val="left"/>
      <w:pPr>
        <w:ind w:left="0" w:firstLine="0"/>
      </w:pPr>
      <w:rPr>
        <w:rFonts w:hint="default"/>
      </w:rPr>
    </w:lvl>
    <w:lvl w:ilvl="3">
      <w:start w:val="1"/>
      <w:numFmt w:val="decimal"/>
      <w:suff w:val="space"/>
      <w:lvlText w:val="%1.%2.%3.%4 "/>
      <w:lvlJc w:val="left"/>
      <w:pPr>
        <w:ind w:left="0" w:firstLine="0"/>
      </w:pPr>
      <w:rPr>
        <w:rFonts w:hint="default"/>
      </w:rPr>
    </w:lvl>
    <w:lvl w:ilvl="4">
      <w:start w:val="1"/>
      <w:numFmt w:val="decimal"/>
      <w:suff w:val="space"/>
      <w:lvlText w:val="%1%2.%3.%4.%5"/>
      <w:lvlJc w:val="left"/>
      <w:pPr>
        <w:ind w:left="0" w:firstLine="0"/>
      </w:pPr>
      <w:rPr>
        <w:rFonts w:hint="default"/>
      </w:rPr>
    </w:lvl>
    <w:lvl w:ilvl="5">
      <w:start w:val="1"/>
      <w:numFmt w:val="none"/>
      <w:lvlText w:val=""/>
      <w:lvlJc w:val="right"/>
      <w:pPr>
        <w:tabs>
          <w:tab w:val="num" w:pos="2268"/>
        </w:tabs>
        <w:ind w:left="0" w:firstLine="0"/>
      </w:pPr>
      <w:rPr>
        <w:rFonts w:hint="default"/>
      </w:rPr>
    </w:lvl>
    <w:lvl w:ilvl="6">
      <w:start w:val="1"/>
      <w:numFmt w:val="none"/>
      <w:lvlText w:val=""/>
      <w:lvlJc w:val="left"/>
      <w:pPr>
        <w:tabs>
          <w:tab w:val="num" w:pos="2268"/>
        </w:tabs>
        <w:ind w:left="0" w:firstLine="0"/>
      </w:pPr>
      <w:rPr>
        <w:rFonts w:hint="default"/>
      </w:rPr>
    </w:lvl>
    <w:lvl w:ilvl="7">
      <w:start w:val="1"/>
      <w:numFmt w:val="none"/>
      <w:lvlText w:val=""/>
      <w:lvlJc w:val="left"/>
      <w:pPr>
        <w:tabs>
          <w:tab w:val="num" w:pos="2268"/>
        </w:tabs>
        <w:ind w:left="0" w:firstLine="0"/>
      </w:pPr>
      <w:rPr>
        <w:rFonts w:hint="default"/>
      </w:rPr>
    </w:lvl>
    <w:lvl w:ilvl="8">
      <w:start w:val="1"/>
      <w:numFmt w:val="none"/>
      <w:lvlText w:val=""/>
      <w:lvlJc w:val="right"/>
      <w:pPr>
        <w:tabs>
          <w:tab w:val="num" w:pos="2268"/>
        </w:tabs>
        <w:ind w:left="0" w:firstLine="0"/>
      </w:pPr>
      <w:rPr>
        <w:rFonts w:hint="default"/>
      </w:rPr>
    </w:lvl>
  </w:abstractNum>
  <w:abstractNum w:abstractNumId="95" w15:restartNumberingAfterBreak="0">
    <w:nsid w:val="5E773BE7"/>
    <w:multiLevelType w:val="hybridMultilevel"/>
    <w:tmpl w:val="B7F611CC"/>
    <w:lvl w:ilvl="0" w:tplc="BC2EC844">
      <w:start w:val="1"/>
      <w:numFmt w:val="lowerLetter"/>
      <w:lvlText w:val="(%1)"/>
      <w:lvlJc w:val="left"/>
      <w:pPr>
        <w:ind w:left="720" w:hanging="360"/>
      </w:pPr>
      <w:rPr>
        <w:rFonts w:ascii="Arial" w:hAnsi="Arial" w:hint="default"/>
        <w:b w:val="0"/>
        <w:i w:val="0"/>
        <w:sz w:val="22"/>
        <w:szCs w:val="26"/>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6" w15:restartNumberingAfterBreak="0">
    <w:nsid w:val="5EC860DC"/>
    <w:multiLevelType w:val="multilevel"/>
    <w:tmpl w:val="52749BF4"/>
    <w:name w:val="MyNumbering62"/>
    <w:lvl w:ilvl="0">
      <w:start w:val="1"/>
      <w:numFmt w:val="decimal"/>
      <w:lvlText w:val="%1."/>
      <w:lvlJc w:val="left"/>
      <w:pPr>
        <w:ind w:left="360" w:hanging="360"/>
      </w:pPr>
      <w:rPr>
        <w:rFonts w:ascii="Arial" w:hAnsi="Arial" w:hint="default"/>
        <w:b w:val="0"/>
        <w:i w:val="0"/>
        <w:color w:val="auto"/>
        <w:sz w:val="22"/>
        <w:szCs w:val="18"/>
      </w:rPr>
    </w:lvl>
    <w:lvl w:ilvl="1">
      <w:start w:val="1"/>
      <w:numFmt w:val="lowerLetter"/>
      <w:lvlText w:val="%2."/>
      <w:lvlJc w:val="left"/>
      <w:pPr>
        <w:ind w:left="714" w:hanging="357"/>
      </w:pPr>
      <w:rPr>
        <w:rFonts w:hint="default"/>
      </w:rPr>
    </w:lvl>
    <w:lvl w:ilvl="2">
      <w:start w:val="1"/>
      <w:numFmt w:val="lowerRoman"/>
      <w:lvlText w:val="%3."/>
      <w:lvlJc w:val="left"/>
      <w:pPr>
        <w:ind w:left="1071" w:hanging="357"/>
      </w:pPr>
      <w:rPr>
        <w:rFonts w:hint="default"/>
      </w:rPr>
    </w:lvl>
    <w:lvl w:ilvl="3">
      <w:start w:val="1"/>
      <w:numFmt w:val="upperLetter"/>
      <w:lvlText w:val="%4."/>
      <w:lvlJc w:val="left"/>
      <w:pPr>
        <w:ind w:left="1428" w:hanging="357"/>
      </w:pPr>
      <w:rPr>
        <w:rFonts w:hint="default"/>
      </w:rPr>
    </w:lvl>
    <w:lvl w:ilvl="4">
      <w:start w:val="1"/>
      <w:numFmt w:val="upperRoman"/>
      <w:lvlText w:val="%5."/>
      <w:lvlJc w:val="left"/>
      <w:pPr>
        <w:ind w:left="1785" w:hanging="357"/>
      </w:pPr>
      <w:rPr>
        <w:rFonts w:hint="default"/>
      </w:rPr>
    </w:lvl>
    <w:lvl w:ilvl="5">
      <w:start w:val="1"/>
      <w:numFmt w:val="lowerRoman"/>
      <w:lvlText w:val="%6."/>
      <w:lvlJc w:val="right"/>
      <w:pPr>
        <w:ind w:left="2142" w:hanging="357"/>
      </w:pPr>
      <w:rPr>
        <w:rFonts w:hint="default"/>
      </w:rPr>
    </w:lvl>
    <w:lvl w:ilvl="6">
      <w:start w:val="1"/>
      <w:numFmt w:val="decimal"/>
      <w:lvlText w:val="%7."/>
      <w:lvlJc w:val="left"/>
      <w:pPr>
        <w:ind w:left="2499" w:hanging="357"/>
      </w:pPr>
      <w:rPr>
        <w:rFonts w:hint="default"/>
      </w:rPr>
    </w:lvl>
    <w:lvl w:ilvl="7">
      <w:start w:val="1"/>
      <w:numFmt w:val="lowerLetter"/>
      <w:lvlText w:val="%8."/>
      <w:lvlJc w:val="left"/>
      <w:pPr>
        <w:ind w:left="2856" w:hanging="357"/>
      </w:pPr>
      <w:rPr>
        <w:rFonts w:hint="default"/>
      </w:rPr>
    </w:lvl>
    <w:lvl w:ilvl="8">
      <w:start w:val="1"/>
      <w:numFmt w:val="lowerRoman"/>
      <w:lvlText w:val="%9."/>
      <w:lvlJc w:val="right"/>
      <w:pPr>
        <w:ind w:left="3213" w:hanging="357"/>
      </w:pPr>
      <w:rPr>
        <w:rFonts w:hint="default"/>
      </w:rPr>
    </w:lvl>
  </w:abstractNum>
  <w:abstractNum w:abstractNumId="97" w15:restartNumberingAfterBreak="0">
    <w:nsid w:val="60561366"/>
    <w:multiLevelType w:val="multilevel"/>
    <w:tmpl w:val="CB80A4C6"/>
    <w:lvl w:ilvl="0">
      <w:start w:val="1"/>
      <w:numFmt w:val="bullet"/>
      <w:pStyle w:val="ListBullet"/>
      <w:lvlText w:val="§"/>
      <w:lvlJc w:val="left"/>
      <w:pPr>
        <w:ind w:left="720" w:hanging="360"/>
      </w:pPr>
      <w:rPr>
        <w:rFonts w:ascii="Wingdings" w:hAnsi="Wingdings" w:hint="default"/>
        <w:sz w:val="18"/>
        <w:szCs w:val="26"/>
      </w:rPr>
    </w:lvl>
    <w:lvl w:ilvl="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98" w15:restartNumberingAfterBreak="0">
    <w:nsid w:val="607E17E0"/>
    <w:multiLevelType w:val="multilevel"/>
    <w:tmpl w:val="583A35FA"/>
    <w:name w:val="MyBullets38"/>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99" w15:restartNumberingAfterBreak="0">
    <w:nsid w:val="6313234F"/>
    <w:multiLevelType w:val="multilevel"/>
    <w:tmpl w:val="A79EFCEC"/>
    <w:name w:val="MyNumbering6224"/>
    <w:lvl w:ilvl="0">
      <w:start w:val="1"/>
      <w:numFmt w:val="lowerRoman"/>
      <w:lvlText w:val="(%1)"/>
      <w:lvlJc w:val="left"/>
      <w:pPr>
        <w:ind w:left="360" w:hanging="360"/>
      </w:pPr>
      <w:rPr>
        <w:rFonts w:ascii="Arial" w:hAnsi="Arial" w:hint="default"/>
        <w:b w:val="0"/>
        <w:i w:val="0"/>
        <w:color w:val="auto"/>
        <w:sz w:val="22"/>
        <w:szCs w:val="26"/>
      </w:rPr>
    </w:lvl>
    <w:lvl w:ilvl="1">
      <w:start w:val="1"/>
      <w:numFmt w:val="lowerLetter"/>
      <w:lvlText w:val="%2."/>
      <w:lvlJc w:val="left"/>
      <w:pPr>
        <w:ind w:left="714" w:hanging="357"/>
      </w:pPr>
      <w:rPr>
        <w:rFonts w:hint="default"/>
      </w:rPr>
    </w:lvl>
    <w:lvl w:ilvl="2">
      <w:start w:val="1"/>
      <w:numFmt w:val="lowerRoman"/>
      <w:lvlText w:val="%3."/>
      <w:lvlJc w:val="left"/>
      <w:pPr>
        <w:ind w:left="1071" w:hanging="357"/>
      </w:pPr>
      <w:rPr>
        <w:rFonts w:hint="default"/>
      </w:rPr>
    </w:lvl>
    <w:lvl w:ilvl="3">
      <w:start w:val="1"/>
      <w:numFmt w:val="upperLetter"/>
      <w:lvlText w:val="%4."/>
      <w:lvlJc w:val="left"/>
      <w:pPr>
        <w:ind w:left="1428" w:hanging="357"/>
      </w:pPr>
      <w:rPr>
        <w:rFonts w:hint="default"/>
      </w:rPr>
    </w:lvl>
    <w:lvl w:ilvl="4">
      <w:start w:val="1"/>
      <w:numFmt w:val="upperRoman"/>
      <w:lvlText w:val="%5."/>
      <w:lvlJc w:val="left"/>
      <w:pPr>
        <w:ind w:left="1785" w:hanging="357"/>
      </w:pPr>
      <w:rPr>
        <w:rFonts w:hint="default"/>
      </w:rPr>
    </w:lvl>
    <w:lvl w:ilvl="5">
      <w:start w:val="1"/>
      <w:numFmt w:val="lowerRoman"/>
      <w:lvlText w:val="%6."/>
      <w:lvlJc w:val="right"/>
      <w:pPr>
        <w:ind w:left="2142" w:hanging="357"/>
      </w:pPr>
      <w:rPr>
        <w:rFonts w:hint="default"/>
      </w:rPr>
    </w:lvl>
    <w:lvl w:ilvl="6">
      <w:start w:val="1"/>
      <w:numFmt w:val="decimal"/>
      <w:lvlText w:val="%7."/>
      <w:lvlJc w:val="left"/>
      <w:pPr>
        <w:ind w:left="2499" w:hanging="357"/>
      </w:pPr>
      <w:rPr>
        <w:rFonts w:hint="default"/>
      </w:rPr>
    </w:lvl>
    <w:lvl w:ilvl="7">
      <w:start w:val="1"/>
      <w:numFmt w:val="lowerLetter"/>
      <w:lvlText w:val="%8."/>
      <w:lvlJc w:val="left"/>
      <w:pPr>
        <w:ind w:left="2856" w:hanging="357"/>
      </w:pPr>
      <w:rPr>
        <w:rFonts w:hint="default"/>
      </w:rPr>
    </w:lvl>
    <w:lvl w:ilvl="8">
      <w:start w:val="1"/>
      <w:numFmt w:val="lowerRoman"/>
      <w:lvlText w:val="%9."/>
      <w:lvlJc w:val="right"/>
      <w:pPr>
        <w:ind w:left="3213" w:hanging="357"/>
      </w:pPr>
      <w:rPr>
        <w:rFonts w:hint="default"/>
      </w:rPr>
    </w:lvl>
  </w:abstractNum>
  <w:abstractNum w:abstractNumId="100" w15:restartNumberingAfterBreak="0">
    <w:nsid w:val="654852CE"/>
    <w:multiLevelType w:val="multilevel"/>
    <w:tmpl w:val="583A35FA"/>
    <w:name w:val="MyBullets37"/>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101" w15:restartNumberingAfterBreak="0">
    <w:nsid w:val="659B38C9"/>
    <w:multiLevelType w:val="multilevel"/>
    <w:tmpl w:val="5B4E4206"/>
    <w:lvl w:ilvl="0">
      <w:start w:val="1"/>
      <w:numFmt w:val="decimal"/>
      <w:lvlText w:val="%1."/>
      <w:lvlJc w:val="left"/>
      <w:pPr>
        <w:ind w:left="360" w:hanging="360"/>
      </w:pPr>
      <w:rPr>
        <w:rFonts w:ascii="Arial" w:hAnsi="Arial" w:hint="default"/>
        <w:b w:val="0"/>
        <w:i w:val="0"/>
        <w:color w:val="auto"/>
        <w:sz w:val="22"/>
        <w:szCs w:val="18"/>
      </w:rPr>
    </w:lvl>
    <w:lvl w:ilvl="1">
      <w:start w:val="1"/>
      <w:numFmt w:val="lowerLetter"/>
      <w:lvlText w:val="(%2)"/>
      <w:lvlJc w:val="left"/>
      <w:pPr>
        <w:ind w:left="714" w:hanging="357"/>
      </w:pPr>
      <w:rPr>
        <w:rFonts w:hint="default"/>
      </w:rPr>
    </w:lvl>
    <w:lvl w:ilvl="2">
      <w:start w:val="1"/>
      <w:numFmt w:val="lowerRoman"/>
      <w:lvlText w:val="%3."/>
      <w:lvlJc w:val="left"/>
      <w:pPr>
        <w:ind w:left="1071" w:hanging="357"/>
      </w:pPr>
      <w:rPr>
        <w:rFonts w:hint="default"/>
      </w:rPr>
    </w:lvl>
    <w:lvl w:ilvl="3">
      <w:start w:val="1"/>
      <w:numFmt w:val="upperLetter"/>
      <w:lvlText w:val="%4."/>
      <w:lvlJc w:val="left"/>
      <w:pPr>
        <w:ind w:left="1428" w:hanging="357"/>
      </w:pPr>
      <w:rPr>
        <w:rFonts w:hint="default"/>
      </w:rPr>
    </w:lvl>
    <w:lvl w:ilvl="4">
      <w:start w:val="1"/>
      <w:numFmt w:val="upperRoman"/>
      <w:lvlText w:val="%5."/>
      <w:lvlJc w:val="left"/>
      <w:pPr>
        <w:ind w:left="1785" w:hanging="357"/>
      </w:pPr>
      <w:rPr>
        <w:rFonts w:hint="default"/>
      </w:rPr>
    </w:lvl>
    <w:lvl w:ilvl="5">
      <w:start w:val="1"/>
      <w:numFmt w:val="lowerRoman"/>
      <w:lvlText w:val="%6."/>
      <w:lvlJc w:val="right"/>
      <w:pPr>
        <w:ind w:left="2142" w:hanging="357"/>
      </w:pPr>
      <w:rPr>
        <w:rFonts w:hint="default"/>
      </w:rPr>
    </w:lvl>
    <w:lvl w:ilvl="6">
      <w:start w:val="1"/>
      <w:numFmt w:val="decimal"/>
      <w:lvlText w:val="%7."/>
      <w:lvlJc w:val="left"/>
      <w:pPr>
        <w:ind w:left="2499" w:hanging="357"/>
      </w:pPr>
      <w:rPr>
        <w:rFonts w:hint="default"/>
      </w:rPr>
    </w:lvl>
    <w:lvl w:ilvl="7">
      <w:start w:val="1"/>
      <w:numFmt w:val="lowerLetter"/>
      <w:lvlText w:val="%8."/>
      <w:lvlJc w:val="left"/>
      <w:pPr>
        <w:ind w:left="2856" w:hanging="357"/>
      </w:pPr>
      <w:rPr>
        <w:rFonts w:hint="default"/>
      </w:rPr>
    </w:lvl>
    <w:lvl w:ilvl="8">
      <w:start w:val="1"/>
      <w:numFmt w:val="lowerRoman"/>
      <w:lvlText w:val="%9."/>
      <w:lvlJc w:val="right"/>
      <w:pPr>
        <w:ind w:left="3213" w:hanging="357"/>
      </w:pPr>
      <w:rPr>
        <w:rFonts w:hint="default"/>
      </w:rPr>
    </w:lvl>
  </w:abstractNum>
  <w:abstractNum w:abstractNumId="102" w15:restartNumberingAfterBreak="0">
    <w:nsid w:val="65B47BDC"/>
    <w:multiLevelType w:val="singleLevel"/>
    <w:tmpl w:val="9FD063DE"/>
    <w:lvl w:ilvl="0">
      <w:start w:val="1"/>
      <w:numFmt w:val="bullet"/>
      <w:lvlText w:val=""/>
      <w:lvlJc w:val="left"/>
      <w:pPr>
        <w:tabs>
          <w:tab w:val="num" w:pos="340"/>
        </w:tabs>
        <w:ind w:left="340" w:hanging="340"/>
      </w:pPr>
      <w:rPr>
        <w:rFonts w:ascii="Symbol" w:hAnsi="Symbol" w:hint="default"/>
        <w:color w:val="auto"/>
        <w:sz w:val="22"/>
      </w:rPr>
    </w:lvl>
  </w:abstractNum>
  <w:abstractNum w:abstractNumId="103" w15:restartNumberingAfterBreak="0">
    <w:nsid w:val="67283FA7"/>
    <w:multiLevelType w:val="multilevel"/>
    <w:tmpl w:val="66148666"/>
    <w:name w:val="MyNumbering6"/>
    <w:lvl w:ilvl="0">
      <w:start w:val="1"/>
      <w:numFmt w:val="decimal"/>
      <w:lvlText w:val="%1."/>
      <w:lvlJc w:val="left"/>
      <w:pPr>
        <w:ind w:left="360" w:hanging="360"/>
      </w:pPr>
      <w:rPr>
        <w:rFonts w:ascii="Arial" w:hAnsi="Arial" w:hint="default"/>
        <w:b w:val="0"/>
        <w:i w:val="0"/>
        <w:color w:val="auto"/>
        <w:sz w:val="22"/>
        <w:szCs w:val="18"/>
      </w:rPr>
    </w:lvl>
    <w:lvl w:ilvl="1">
      <w:start w:val="1"/>
      <w:numFmt w:val="lowerLetter"/>
      <w:lvlText w:val="%2."/>
      <w:lvlJc w:val="left"/>
      <w:pPr>
        <w:ind w:left="714" w:hanging="357"/>
      </w:pPr>
      <w:rPr>
        <w:rFonts w:hint="default"/>
      </w:rPr>
    </w:lvl>
    <w:lvl w:ilvl="2">
      <w:start w:val="1"/>
      <w:numFmt w:val="lowerRoman"/>
      <w:lvlText w:val="%3."/>
      <w:lvlJc w:val="left"/>
      <w:pPr>
        <w:ind w:left="1071" w:hanging="357"/>
      </w:pPr>
      <w:rPr>
        <w:rFonts w:hint="default"/>
      </w:rPr>
    </w:lvl>
    <w:lvl w:ilvl="3">
      <w:start w:val="1"/>
      <w:numFmt w:val="upperLetter"/>
      <w:lvlText w:val="%4."/>
      <w:lvlJc w:val="left"/>
      <w:pPr>
        <w:ind w:left="1428" w:hanging="357"/>
      </w:pPr>
      <w:rPr>
        <w:rFonts w:hint="default"/>
      </w:rPr>
    </w:lvl>
    <w:lvl w:ilvl="4">
      <w:start w:val="1"/>
      <w:numFmt w:val="upperRoman"/>
      <w:lvlText w:val="%5."/>
      <w:lvlJc w:val="left"/>
      <w:pPr>
        <w:ind w:left="1785" w:hanging="357"/>
      </w:pPr>
      <w:rPr>
        <w:rFonts w:hint="default"/>
      </w:rPr>
    </w:lvl>
    <w:lvl w:ilvl="5">
      <w:start w:val="1"/>
      <w:numFmt w:val="lowerRoman"/>
      <w:lvlText w:val="%6."/>
      <w:lvlJc w:val="right"/>
      <w:pPr>
        <w:ind w:left="2142" w:hanging="357"/>
      </w:pPr>
      <w:rPr>
        <w:rFonts w:hint="default"/>
      </w:rPr>
    </w:lvl>
    <w:lvl w:ilvl="6">
      <w:start w:val="1"/>
      <w:numFmt w:val="decimal"/>
      <w:lvlText w:val="%7."/>
      <w:lvlJc w:val="left"/>
      <w:pPr>
        <w:ind w:left="2499" w:hanging="357"/>
      </w:pPr>
      <w:rPr>
        <w:rFonts w:hint="default"/>
      </w:rPr>
    </w:lvl>
    <w:lvl w:ilvl="7">
      <w:start w:val="1"/>
      <w:numFmt w:val="lowerLetter"/>
      <w:lvlText w:val="%8."/>
      <w:lvlJc w:val="left"/>
      <w:pPr>
        <w:ind w:left="2856" w:hanging="357"/>
      </w:pPr>
      <w:rPr>
        <w:rFonts w:hint="default"/>
      </w:rPr>
    </w:lvl>
    <w:lvl w:ilvl="8">
      <w:start w:val="1"/>
      <w:numFmt w:val="lowerRoman"/>
      <w:lvlText w:val="%9."/>
      <w:lvlJc w:val="right"/>
      <w:pPr>
        <w:ind w:left="3213" w:hanging="357"/>
      </w:pPr>
      <w:rPr>
        <w:rFonts w:hint="default"/>
      </w:rPr>
    </w:lvl>
  </w:abstractNum>
  <w:abstractNum w:abstractNumId="104" w15:restartNumberingAfterBreak="0">
    <w:nsid w:val="69884CA8"/>
    <w:multiLevelType w:val="multilevel"/>
    <w:tmpl w:val="1716F1D0"/>
    <w:lvl w:ilvl="0">
      <w:start w:val="1"/>
      <w:numFmt w:val="decimal"/>
      <w:lvlText w:val="%1."/>
      <w:lvlJc w:val="left"/>
      <w:pPr>
        <w:ind w:left="360" w:hanging="360"/>
      </w:pPr>
      <w:rPr>
        <w:rFonts w:ascii="Arial" w:hAnsi="Arial" w:hint="default"/>
        <w:b w:val="0"/>
        <w:i w:val="0"/>
        <w:color w:val="auto"/>
        <w:sz w:val="22"/>
        <w:szCs w:val="18"/>
      </w:rPr>
    </w:lvl>
    <w:lvl w:ilvl="1">
      <w:start w:val="1"/>
      <w:numFmt w:val="lowerLetter"/>
      <w:lvlText w:val="(%2)"/>
      <w:lvlJc w:val="left"/>
      <w:pPr>
        <w:ind w:left="714" w:hanging="357"/>
      </w:pPr>
      <w:rPr>
        <w:rFonts w:hint="default"/>
      </w:rPr>
    </w:lvl>
    <w:lvl w:ilvl="2">
      <w:start w:val="1"/>
      <w:numFmt w:val="lowerRoman"/>
      <w:lvlText w:val="%3."/>
      <w:lvlJc w:val="left"/>
      <w:pPr>
        <w:ind w:left="1071" w:hanging="357"/>
      </w:pPr>
      <w:rPr>
        <w:rFonts w:hint="default"/>
      </w:rPr>
    </w:lvl>
    <w:lvl w:ilvl="3">
      <w:start w:val="1"/>
      <w:numFmt w:val="upperLetter"/>
      <w:lvlText w:val="%4."/>
      <w:lvlJc w:val="left"/>
      <w:pPr>
        <w:ind w:left="1428" w:hanging="357"/>
      </w:pPr>
      <w:rPr>
        <w:rFonts w:hint="default"/>
      </w:rPr>
    </w:lvl>
    <w:lvl w:ilvl="4">
      <w:start w:val="1"/>
      <w:numFmt w:val="upperRoman"/>
      <w:lvlText w:val="%5."/>
      <w:lvlJc w:val="left"/>
      <w:pPr>
        <w:ind w:left="1785" w:hanging="357"/>
      </w:pPr>
      <w:rPr>
        <w:rFonts w:hint="default"/>
      </w:rPr>
    </w:lvl>
    <w:lvl w:ilvl="5">
      <w:start w:val="1"/>
      <w:numFmt w:val="lowerRoman"/>
      <w:lvlText w:val="%6."/>
      <w:lvlJc w:val="right"/>
      <w:pPr>
        <w:ind w:left="2142" w:hanging="357"/>
      </w:pPr>
      <w:rPr>
        <w:rFonts w:hint="default"/>
      </w:rPr>
    </w:lvl>
    <w:lvl w:ilvl="6">
      <w:start w:val="1"/>
      <w:numFmt w:val="decimal"/>
      <w:lvlText w:val="%7."/>
      <w:lvlJc w:val="left"/>
      <w:pPr>
        <w:ind w:left="2499" w:hanging="357"/>
      </w:pPr>
      <w:rPr>
        <w:rFonts w:hint="default"/>
      </w:rPr>
    </w:lvl>
    <w:lvl w:ilvl="7">
      <w:start w:val="1"/>
      <w:numFmt w:val="lowerLetter"/>
      <w:lvlText w:val="%8."/>
      <w:lvlJc w:val="left"/>
      <w:pPr>
        <w:ind w:left="2856" w:hanging="357"/>
      </w:pPr>
      <w:rPr>
        <w:rFonts w:hint="default"/>
      </w:rPr>
    </w:lvl>
    <w:lvl w:ilvl="8">
      <w:start w:val="1"/>
      <w:numFmt w:val="lowerRoman"/>
      <w:lvlText w:val="%9."/>
      <w:lvlJc w:val="right"/>
      <w:pPr>
        <w:ind w:left="3213" w:hanging="357"/>
      </w:pPr>
      <w:rPr>
        <w:rFonts w:hint="default"/>
      </w:rPr>
    </w:lvl>
  </w:abstractNum>
  <w:abstractNum w:abstractNumId="105" w15:restartNumberingAfterBreak="0">
    <w:nsid w:val="6CE848E0"/>
    <w:multiLevelType w:val="multilevel"/>
    <w:tmpl w:val="583A35FA"/>
    <w:name w:val="MyBullets17"/>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106" w15:restartNumberingAfterBreak="0">
    <w:nsid w:val="6D56407A"/>
    <w:multiLevelType w:val="multilevel"/>
    <w:tmpl w:val="583A35FA"/>
    <w:name w:val="MyBullets7"/>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107" w15:restartNumberingAfterBreak="0">
    <w:nsid w:val="6F4C0B22"/>
    <w:multiLevelType w:val="multilevel"/>
    <w:tmpl w:val="583A35FA"/>
    <w:name w:val="MyBullets24"/>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108" w15:restartNumberingAfterBreak="0">
    <w:nsid w:val="6FC65F59"/>
    <w:multiLevelType w:val="hybridMultilevel"/>
    <w:tmpl w:val="4622D28A"/>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09" w15:restartNumberingAfterBreak="0">
    <w:nsid w:val="70385AE4"/>
    <w:multiLevelType w:val="hybridMultilevel"/>
    <w:tmpl w:val="413889BE"/>
    <w:lvl w:ilvl="0" w:tplc="51546C2A">
      <w:start w:val="1"/>
      <w:numFmt w:val="lowerLetter"/>
      <w:lvlText w:val="(%1)"/>
      <w:lvlJc w:val="left"/>
      <w:pPr>
        <w:ind w:left="1077" w:hanging="360"/>
      </w:pPr>
      <w:rPr>
        <w:rFonts w:ascii="Arial" w:hAnsi="Arial" w:hint="default"/>
        <w:b w:val="0"/>
        <w:i w:val="0"/>
        <w:sz w:val="22"/>
        <w:szCs w:val="26"/>
      </w:rPr>
    </w:lvl>
    <w:lvl w:ilvl="1" w:tplc="0C090019" w:tentative="1">
      <w:start w:val="1"/>
      <w:numFmt w:val="lowerLetter"/>
      <w:lvlText w:val="%2."/>
      <w:lvlJc w:val="left"/>
      <w:pPr>
        <w:ind w:left="1797" w:hanging="360"/>
      </w:pPr>
    </w:lvl>
    <w:lvl w:ilvl="2" w:tplc="0C09001B" w:tentative="1">
      <w:start w:val="1"/>
      <w:numFmt w:val="lowerRoman"/>
      <w:lvlText w:val="%3."/>
      <w:lvlJc w:val="right"/>
      <w:pPr>
        <w:ind w:left="2517" w:hanging="180"/>
      </w:pPr>
    </w:lvl>
    <w:lvl w:ilvl="3" w:tplc="0C09000F" w:tentative="1">
      <w:start w:val="1"/>
      <w:numFmt w:val="decimal"/>
      <w:lvlText w:val="%4."/>
      <w:lvlJc w:val="left"/>
      <w:pPr>
        <w:ind w:left="3237" w:hanging="360"/>
      </w:pPr>
    </w:lvl>
    <w:lvl w:ilvl="4" w:tplc="0C090019" w:tentative="1">
      <w:start w:val="1"/>
      <w:numFmt w:val="lowerLetter"/>
      <w:lvlText w:val="%5."/>
      <w:lvlJc w:val="left"/>
      <w:pPr>
        <w:ind w:left="3957" w:hanging="360"/>
      </w:pPr>
    </w:lvl>
    <w:lvl w:ilvl="5" w:tplc="0C09001B" w:tentative="1">
      <w:start w:val="1"/>
      <w:numFmt w:val="lowerRoman"/>
      <w:lvlText w:val="%6."/>
      <w:lvlJc w:val="right"/>
      <w:pPr>
        <w:ind w:left="4677" w:hanging="180"/>
      </w:pPr>
    </w:lvl>
    <w:lvl w:ilvl="6" w:tplc="0C09000F" w:tentative="1">
      <w:start w:val="1"/>
      <w:numFmt w:val="decimal"/>
      <w:lvlText w:val="%7."/>
      <w:lvlJc w:val="left"/>
      <w:pPr>
        <w:ind w:left="5397" w:hanging="360"/>
      </w:pPr>
    </w:lvl>
    <w:lvl w:ilvl="7" w:tplc="0C090019" w:tentative="1">
      <w:start w:val="1"/>
      <w:numFmt w:val="lowerLetter"/>
      <w:lvlText w:val="%8."/>
      <w:lvlJc w:val="left"/>
      <w:pPr>
        <w:ind w:left="6117" w:hanging="360"/>
      </w:pPr>
    </w:lvl>
    <w:lvl w:ilvl="8" w:tplc="0C09001B" w:tentative="1">
      <w:start w:val="1"/>
      <w:numFmt w:val="lowerRoman"/>
      <w:lvlText w:val="%9."/>
      <w:lvlJc w:val="right"/>
      <w:pPr>
        <w:ind w:left="6837" w:hanging="180"/>
      </w:pPr>
    </w:lvl>
  </w:abstractNum>
  <w:abstractNum w:abstractNumId="110" w15:restartNumberingAfterBreak="0">
    <w:nsid w:val="706A5290"/>
    <w:multiLevelType w:val="hybridMultilevel"/>
    <w:tmpl w:val="284EA752"/>
    <w:lvl w:ilvl="0" w:tplc="9BD0F7E8">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11" w15:restartNumberingAfterBreak="0">
    <w:nsid w:val="711E56F4"/>
    <w:multiLevelType w:val="multilevel"/>
    <w:tmpl w:val="8DF8C6B6"/>
    <w:name w:val="MyNumbering72"/>
    <w:lvl w:ilvl="0">
      <w:start w:val="1"/>
      <w:numFmt w:val="decimal"/>
      <w:lvlText w:val="%1."/>
      <w:lvlJc w:val="left"/>
      <w:pPr>
        <w:ind w:left="360" w:hanging="360"/>
      </w:pPr>
      <w:rPr>
        <w:rFonts w:ascii="Arial" w:hAnsi="Arial" w:hint="default"/>
        <w:b w:val="0"/>
        <w:i w:val="0"/>
        <w:color w:val="auto"/>
        <w:sz w:val="22"/>
        <w:szCs w:val="18"/>
      </w:rPr>
    </w:lvl>
    <w:lvl w:ilvl="1">
      <w:start w:val="1"/>
      <w:numFmt w:val="lowerLetter"/>
      <w:lvlText w:val="%2."/>
      <w:lvlJc w:val="left"/>
      <w:pPr>
        <w:ind w:left="714" w:hanging="357"/>
      </w:pPr>
      <w:rPr>
        <w:rFonts w:hint="default"/>
      </w:rPr>
    </w:lvl>
    <w:lvl w:ilvl="2">
      <w:start w:val="1"/>
      <w:numFmt w:val="lowerRoman"/>
      <w:lvlText w:val="%3."/>
      <w:lvlJc w:val="left"/>
      <w:pPr>
        <w:ind w:left="1071" w:hanging="357"/>
      </w:pPr>
      <w:rPr>
        <w:rFonts w:hint="default"/>
      </w:rPr>
    </w:lvl>
    <w:lvl w:ilvl="3">
      <w:start w:val="1"/>
      <w:numFmt w:val="upperLetter"/>
      <w:lvlText w:val="%4."/>
      <w:lvlJc w:val="left"/>
      <w:pPr>
        <w:ind w:left="1428" w:hanging="357"/>
      </w:pPr>
      <w:rPr>
        <w:rFonts w:hint="default"/>
      </w:rPr>
    </w:lvl>
    <w:lvl w:ilvl="4">
      <w:start w:val="1"/>
      <w:numFmt w:val="upperRoman"/>
      <w:lvlText w:val="%5."/>
      <w:lvlJc w:val="left"/>
      <w:pPr>
        <w:ind w:left="1785" w:hanging="357"/>
      </w:pPr>
      <w:rPr>
        <w:rFonts w:hint="default"/>
      </w:rPr>
    </w:lvl>
    <w:lvl w:ilvl="5">
      <w:start w:val="1"/>
      <w:numFmt w:val="lowerRoman"/>
      <w:lvlText w:val="%6."/>
      <w:lvlJc w:val="right"/>
      <w:pPr>
        <w:ind w:left="2142" w:hanging="357"/>
      </w:pPr>
      <w:rPr>
        <w:rFonts w:hint="default"/>
      </w:rPr>
    </w:lvl>
    <w:lvl w:ilvl="6">
      <w:start w:val="1"/>
      <w:numFmt w:val="decimal"/>
      <w:lvlText w:val="%7."/>
      <w:lvlJc w:val="left"/>
      <w:pPr>
        <w:ind w:left="2499" w:hanging="357"/>
      </w:pPr>
      <w:rPr>
        <w:rFonts w:hint="default"/>
      </w:rPr>
    </w:lvl>
    <w:lvl w:ilvl="7">
      <w:start w:val="1"/>
      <w:numFmt w:val="lowerLetter"/>
      <w:lvlText w:val="%8."/>
      <w:lvlJc w:val="left"/>
      <w:pPr>
        <w:ind w:left="2856" w:hanging="357"/>
      </w:pPr>
      <w:rPr>
        <w:rFonts w:hint="default"/>
      </w:rPr>
    </w:lvl>
    <w:lvl w:ilvl="8">
      <w:start w:val="1"/>
      <w:numFmt w:val="lowerRoman"/>
      <w:lvlText w:val="%9."/>
      <w:lvlJc w:val="right"/>
      <w:pPr>
        <w:ind w:left="3213" w:hanging="357"/>
      </w:pPr>
      <w:rPr>
        <w:rFonts w:hint="default"/>
      </w:rPr>
    </w:lvl>
  </w:abstractNum>
  <w:abstractNum w:abstractNumId="112" w15:restartNumberingAfterBreak="0">
    <w:nsid w:val="72224F0A"/>
    <w:multiLevelType w:val="multilevel"/>
    <w:tmpl w:val="4F5E492C"/>
    <w:name w:val="Bullets"/>
    <w:lvl w:ilvl="0">
      <w:start w:val="1"/>
      <w:numFmt w:val="bullet"/>
      <w:lvlText w:val=""/>
      <w:lvlJc w:val="left"/>
      <w:pPr>
        <w:tabs>
          <w:tab w:val="num" w:pos="425"/>
        </w:tabs>
        <w:ind w:left="425" w:hanging="425"/>
      </w:pPr>
      <w:rPr>
        <w:rFonts w:ascii="Wingdings" w:hAnsi="Wingdings" w:hint="default"/>
        <w:color w:val="214C90" w:themeColor="text2"/>
        <w:position w:val="0"/>
        <w:sz w:val="20"/>
      </w:rPr>
    </w:lvl>
    <w:lvl w:ilvl="1">
      <w:start w:val="1"/>
      <w:numFmt w:val="bullet"/>
      <w:lvlText w:val=""/>
      <w:lvlJc w:val="left"/>
      <w:pPr>
        <w:tabs>
          <w:tab w:val="num" w:pos="851"/>
        </w:tabs>
        <w:ind w:left="850" w:hanging="425"/>
      </w:pPr>
      <w:rPr>
        <w:rFonts w:ascii="Wingdings" w:hAnsi="Wingdings" w:hint="default"/>
        <w:color w:val="214C90" w:themeColor="text2"/>
      </w:rPr>
    </w:lvl>
    <w:lvl w:ilvl="2">
      <w:start w:val="1"/>
      <w:numFmt w:val="bullet"/>
      <w:lvlText w:val=""/>
      <w:lvlJc w:val="left"/>
      <w:pPr>
        <w:tabs>
          <w:tab w:val="num" w:pos="1276"/>
        </w:tabs>
        <w:ind w:left="1275" w:hanging="425"/>
      </w:pPr>
      <w:rPr>
        <w:rFonts w:ascii="Symbol" w:hAnsi="Symbol" w:hint="default"/>
        <w:color w:val="214C90" w:themeColor="text2"/>
      </w:rPr>
    </w:lvl>
    <w:lvl w:ilvl="3">
      <w:start w:val="1"/>
      <w:numFmt w:val="bullet"/>
      <w:lvlText w:val=""/>
      <w:lvlJc w:val="left"/>
      <w:pPr>
        <w:tabs>
          <w:tab w:val="num" w:pos="1701"/>
        </w:tabs>
        <w:ind w:left="1700" w:hanging="425"/>
      </w:pPr>
      <w:rPr>
        <w:rFonts w:ascii="Symbol" w:hAnsi="Symbol" w:hint="default"/>
        <w:color w:val="214C90" w:themeColor="text2"/>
        <w:sz w:val="20"/>
      </w:rPr>
    </w:lvl>
    <w:lvl w:ilvl="4">
      <w:start w:val="1"/>
      <w:numFmt w:val="bullet"/>
      <w:lvlText w:val=""/>
      <w:lvlJc w:val="left"/>
      <w:pPr>
        <w:tabs>
          <w:tab w:val="num" w:pos="2126"/>
        </w:tabs>
        <w:ind w:left="2125" w:hanging="425"/>
      </w:pPr>
      <w:rPr>
        <w:rFonts w:ascii="Wingdings" w:hAnsi="Wingdings" w:hint="default"/>
        <w:color w:val="214C90" w:themeColor="text2"/>
      </w:rPr>
    </w:lvl>
    <w:lvl w:ilvl="5">
      <w:start w:val="1"/>
      <w:numFmt w:val="lowerRoman"/>
      <w:lvlText w:val="(%6)"/>
      <w:lvlJc w:val="left"/>
      <w:pPr>
        <w:tabs>
          <w:tab w:val="num" w:pos="3630"/>
        </w:tabs>
        <w:ind w:left="2550" w:hanging="425"/>
      </w:pPr>
      <w:rPr>
        <w:rFonts w:hint="default"/>
      </w:rPr>
    </w:lvl>
    <w:lvl w:ilvl="6">
      <w:start w:val="1"/>
      <w:numFmt w:val="decimal"/>
      <w:lvlText w:val="%7."/>
      <w:lvlJc w:val="left"/>
      <w:pPr>
        <w:tabs>
          <w:tab w:val="num" w:pos="4055"/>
        </w:tabs>
        <w:ind w:left="2975" w:hanging="425"/>
      </w:pPr>
      <w:rPr>
        <w:rFonts w:hint="default"/>
      </w:rPr>
    </w:lvl>
    <w:lvl w:ilvl="7">
      <w:start w:val="1"/>
      <w:numFmt w:val="lowerLetter"/>
      <w:lvlText w:val="%8."/>
      <w:lvlJc w:val="left"/>
      <w:pPr>
        <w:tabs>
          <w:tab w:val="num" w:pos="4480"/>
        </w:tabs>
        <w:ind w:left="3400" w:hanging="425"/>
      </w:pPr>
      <w:rPr>
        <w:rFonts w:hint="default"/>
      </w:rPr>
    </w:lvl>
    <w:lvl w:ilvl="8">
      <w:start w:val="1"/>
      <w:numFmt w:val="lowerRoman"/>
      <w:lvlText w:val="%9."/>
      <w:lvlJc w:val="left"/>
      <w:pPr>
        <w:tabs>
          <w:tab w:val="num" w:pos="4905"/>
        </w:tabs>
        <w:ind w:left="3825" w:hanging="425"/>
      </w:pPr>
      <w:rPr>
        <w:rFonts w:hint="default"/>
      </w:rPr>
    </w:lvl>
  </w:abstractNum>
  <w:abstractNum w:abstractNumId="113" w15:restartNumberingAfterBreak="0">
    <w:nsid w:val="73EF6592"/>
    <w:multiLevelType w:val="hybridMultilevel"/>
    <w:tmpl w:val="E2B24F3A"/>
    <w:lvl w:ilvl="0" w:tplc="BCF6DC2A">
      <w:start w:val="1"/>
      <w:numFmt w:val="bullet"/>
      <w:lvlText w:val="§"/>
      <w:lvlJc w:val="left"/>
      <w:pPr>
        <w:ind w:left="720" w:hanging="360"/>
      </w:pPr>
      <w:rPr>
        <w:rFonts w:ascii="Wingdings" w:hAnsi="Wingdings" w:hint="default"/>
        <w:sz w:val="18"/>
        <w:szCs w:val="26"/>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4" w15:restartNumberingAfterBreak="0">
    <w:nsid w:val="762964D5"/>
    <w:multiLevelType w:val="multilevel"/>
    <w:tmpl w:val="E898CC72"/>
    <w:styleLink w:val="KeyPoints"/>
    <w:lvl w:ilvl="0">
      <w:start w:val="1"/>
      <w:numFmt w:val="decimal"/>
      <w:lvlText w:val="%1."/>
      <w:lvlJc w:val="left"/>
      <w:pPr>
        <w:ind w:left="369" w:hanging="369"/>
      </w:pPr>
      <w:rPr>
        <w:rFonts w:ascii="Arial" w:hAnsi="Arial" w:hint="default"/>
        <w:sz w:val="22"/>
      </w:rPr>
    </w:lvl>
    <w:lvl w:ilvl="1">
      <w:start w:val="1"/>
      <w:numFmt w:val="lowerLetter"/>
      <w:lvlText w:val="%2."/>
      <w:lvlJc w:val="left"/>
      <w:pPr>
        <w:ind w:left="738" w:hanging="369"/>
      </w:pPr>
      <w:rPr>
        <w:rFonts w:hint="default"/>
      </w:rPr>
    </w:lvl>
    <w:lvl w:ilvl="2">
      <w:start w:val="1"/>
      <w:numFmt w:val="lowerRoman"/>
      <w:lvlText w:val="%3."/>
      <w:lvlJc w:val="left"/>
      <w:pPr>
        <w:ind w:left="1107" w:hanging="369"/>
      </w:pPr>
      <w:rPr>
        <w:rFonts w:hint="default"/>
      </w:rPr>
    </w:lvl>
    <w:lvl w:ilvl="3">
      <w:start w:val="1"/>
      <w:numFmt w:val="none"/>
      <w:lvlText w:val="%4"/>
      <w:lvlJc w:val="left"/>
      <w:pPr>
        <w:ind w:left="1476" w:hanging="369"/>
      </w:pPr>
      <w:rPr>
        <w:rFonts w:hint="default"/>
      </w:rPr>
    </w:lvl>
    <w:lvl w:ilvl="4">
      <w:start w:val="1"/>
      <w:numFmt w:val="none"/>
      <w:lvlText w:val=""/>
      <w:lvlJc w:val="left"/>
      <w:pPr>
        <w:ind w:left="1845" w:hanging="369"/>
      </w:pPr>
      <w:rPr>
        <w:rFonts w:hint="default"/>
      </w:rPr>
    </w:lvl>
    <w:lvl w:ilvl="5">
      <w:start w:val="1"/>
      <w:numFmt w:val="none"/>
      <w:lvlText w:val=""/>
      <w:lvlJc w:val="left"/>
      <w:pPr>
        <w:ind w:left="2214" w:hanging="369"/>
      </w:pPr>
      <w:rPr>
        <w:rFonts w:hint="default"/>
      </w:rPr>
    </w:lvl>
    <w:lvl w:ilvl="6">
      <w:start w:val="1"/>
      <w:numFmt w:val="none"/>
      <w:lvlText w:val=""/>
      <w:lvlJc w:val="left"/>
      <w:pPr>
        <w:ind w:left="2583" w:hanging="369"/>
      </w:pPr>
      <w:rPr>
        <w:rFonts w:hint="default"/>
      </w:rPr>
    </w:lvl>
    <w:lvl w:ilvl="7">
      <w:start w:val="1"/>
      <w:numFmt w:val="none"/>
      <w:lvlText w:val=""/>
      <w:lvlJc w:val="left"/>
      <w:pPr>
        <w:ind w:left="2952" w:hanging="369"/>
      </w:pPr>
      <w:rPr>
        <w:rFonts w:hint="default"/>
      </w:rPr>
    </w:lvl>
    <w:lvl w:ilvl="8">
      <w:start w:val="1"/>
      <w:numFmt w:val="none"/>
      <w:lvlText w:val=""/>
      <w:lvlJc w:val="left"/>
      <w:pPr>
        <w:ind w:left="3321" w:hanging="369"/>
      </w:pPr>
      <w:rPr>
        <w:rFonts w:hint="default"/>
      </w:rPr>
    </w:lvl>
  </w:abstractNum>
  <w:abstractNum w:abstractNumId="115" w15:restartNumberingAfterBreak="0">
    <w:nsid w:val="76683FAC"/>
    <w:multiLevelType w:val="hybridMultilevel"/>
    <w:tmpl w:val="7584CEB8"/>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16" w15:restartNumberingAfterBreak="0">
    <w:nsid w:val="77664A87"/>
    <w:multiLevelType w:val="hybridMultilevel"/>
    <w:tmpl w:val="BC4AF7E4"/>
    <w:name w:val="MyNumbering62243"/>
    <w:lvl w:ilvl="0" w:tplc="8F8EC1A6">
      <w:start w:val="1"/>
      <w:numFmt w:val="bullet"/>
      <w:lvlText w:val="-"/>
      <w:lvlJc w:val="left"/>
      <w:pPr>
        <w:ind w:left="720" w:hanging="360"/>
      </w:pPr>
      <w:rPr>
        <w:rFonts w:ascii="Arial" w:hAnsi="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7" w15:restartNumberingAfterBreak="0">
    <w:nsid w:val="78E82D81"/>
    <w:multiLevelType w:val="singleLevel"/>
    <w:tmpl w:val="640C8DA2"/>
    <w:lvl w:ilvl="0">
      <w:start w:val="1"/>
      <w:numFmt w:val="bullet"/>
      <w:lvlText w:val=""/>
      <w:lvlJc w:val="left"/>
      <w:pPr>
        <w:tabs>
          <w:tab w:val="num" w:pos="340"/>
        </w:tabs>
        <w:ind w:left="340" w:hanging="340"/>
      </w:pPr>
      <w:rPr>
        <w:rFonts w:ascii="Symbol" w:hAnsi="Symbol" w:hint="default"/>
        <w:color w:val="auto"/>
        <w:sz w:val="22"/>
      </w:rPr>
    </w:lvl>
  </w:abstractNum>
  <w:abstractNum w:abstractNumId="118" w15:restartNumberingAfterBreak="0">
    <w:nsid w:val="7C6626FE"/>
    <w:multiLevelType w:val="hybridMultilevel"/>
    <w:tmpl w:val="4920E35C"/>
    <w:lvl w:ilvl="0" w:tplc="35F8C790">
      <w:start w:val="1"/>
      <w:numFmt w:val="decimal"/>
      <w:lvlText w:val="(%1)"/>
      <w:lvlJc w:val="left"/>
      <w:pPr>
        <w:ind w:left="720" w:hanging="360"/>
      </w:pPr>
      <w:rPr>
        <w:rFonts w:ascii="Arial" w:hAnsi="Arial" w:hint="default"/>
        <w:b w:val="0"/>
        <w:i w:val="0"/>
        <w:sz w:val="22"/>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19" w15:restartNumberingAfterBreak="0">
    <w:nsid w:val="7E030DAE"/>
    <w:multiLevelType w:val="multilevel"/>
    <w:tmpl w:val="0C09001D"/>
    <w:name w:val="MyNumbering"/>
    <w:lvl w:ilvl="0">
      <w:start w:val="1"/>
      <w:numFmt w:val="decimal"/>
      <w:lvlText w:val="%1)"/>
      <w:lvlJc w:val="left"/>
      <w:pPr>
        <w:ind w:left="1779" w:hanging="360"/>
      </w:pPr>
      <w:rPr>
        <w:rFonts w:hint="default"/>
        <w:b w:val="0"/>
        <w:i w:val="0"/>
        <w:color w:val="auto"/>
        <w:sz w:val="22"/>
      </w:rPr>
    </w:lvl>
    <w:lvl w:ilvl="1">
      <w:start w:val="1"/>
      <w:numFmt w:val="lowerLetter"/>
      <w:lvlText w:val="%2)"/>
      <w:lvlJc w:val="left"/>
      <w:pPr>
        <w:ind w:left="2139" w:hanging="360"/>
      </w:pPr>
      <w:rPr>
        <w:rFonts w:hint="default"/>
        <w:b w:val="0"/>
        <w:i w:val="0"/>
        <w:color w:val="auto"/>
        <w:sz w:val="22"/>
      </w:rPr>
    </w:lvl>
    <w:lvl w:ilvl="2">
      <w:start w:val="1"/>
      <w:numFmt w:val="lowerRoman"/>
      <w:lvlText w:val="%3)"/>
      <w:lvlJc w:val="left"/>
      <w:pPr>
        <w:ind w:left="2499" w:hanging="360"/>
      </w:pPr>
      <w:rPr>
        <w:rFonts w:hint="default"/>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4)"/>
      <w:lvlJc w:val="left"/>
      <w:pPr>
        <w:ind w:left="2859" w:hanging="360"/>
      </w:pPr>
      <w:rPr>
        <w:rFonts w:hint="default"/>
        <w:b w:val="0"/>
        <w:i w:val="0"/>
        <w:color w:val="auto"/>
      </w:rPr>
    </w:lvl>
    <w:lvl w:ilvl="4">
      <w:start w:val="1"/>
      <w:numFmt w:val="lowerLetter"/>
      <w:lvlText w:val="(%5)"/>
      <w:lvlJc w:val="left"/>
      <w:pPr>
        <w:ind w:left="3219" w:hanging="360"/>
      </w:pPr>
      <w:rPr>
        <w:rFonts w:hint="default"/>
        <w:b w:val="0"/>
        <w:i w:val="0"/>
        <w:color w:val="auto"/>
      </w:rPr>
    </w:lvl>
    <w:lvl w:ilvl="5">
      <w:start w:val="1"/>
      <w:numFmt w:val="lowerRoman"/>
      <w:lvlText w:val="(%6)"/>
      <w:lvlJc w:val="left"/>
      <w:pPr>
        <w:ind w:left="3579" w:hanging="360"/>
      </w:pPr>
      <w:rPr>
        <w:rFonts w:hint="default"/>
      </w:rPr>
    </w:lvl>
    <w:lvl w:ilvl="6">
      <w:start w:val="1"/>
      <w:numFmt w:val="decimal"/>
      <w:lvlText w:val="%7."/>
      <w:lvlJc w:val="left"/>
      <w:pPr>
        <w:ind w:left="3939" w:hanging="360"/>
      </w:pPr>
      <w:rPr>
        <w:rFonts w:hint="default"/>
      </w:rPr>
    </w:lvl>
    <w:lvl w:ilvl="7">
      <w:start w:val="1"/>
      <w:numFmt w:val="lowerLetter"/>
      <w:lvlText w:val="%8."/>
      <w:lvlJc w:val="left"/>
      <w:pPr>
        <w:ind w:left="4299" w:hanging="360"/>
      </w:pPr>
      <w:rPr>
        <w:rFonts w:hint="default"/>
      </w:rPr>
    </w:lvl>
    <w:lvl w:ilvl="8">
      <w:start w:val="1"/>
      <w:numFmt w:val="lowerRoman"/>
      <w:lvlText w:val="%9."/>
      <w:lvlJc w:val="left"/>
      <w:pPr>
        <w:ind w:left="4659" w:hanging="360"/>
      </w:pPr>
      <w:rPr>
        <w:rFonts w:hint="default"/>
      </w:rPr>
    </w:lvl>
  </w:abstractNum>
  <w:abstractNum w:abstractNumId="120" w15:restartNumberingAfterBreak="0">
    <w:nsid w:val="7E2819EC"/>
    <w:multiLevelType w:val="multilevel"/>
    <w:tmpl w:val="1250F310"/>
    <w:lvl w:ilvl="0">
      <w:start w:val="1"/>
      <w:numFmt w:val="bullet"/>
      <w:pStyle w:val="AERbulletlistfirststyle"/>
      <w:lvlText w:val=""/>
      <w:lvlJc w:val="left"/>
      <w:pPr>
        <w:ind w:left="644" w:hanging="360"/>
      </w:pPr>
      <w:rPr>
        <w:rFonts w:ascii="Symbol" w:hAnsi="Symbol"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1" w15:restartNumberingAfterBreak="0">
    <w:nsid w:val="7ED3322D"/>
    <w:multiLevelType w:val="hybridMultilevel"/>
    <w:tmpl w:val="3B047FFC"/>
    <w:name w:val="MyNumbering6223"/>
    <w:lvl w:ilvl="0" w:tplc="BC2EC844">
      <w:start w:val="1"/>
      <w:numFmt w:val="lowerLetter"/>
      <w:lvlText w:val="(%1)"/>
      <w:lvlJc w:val="left"/>
      <w:pPr>
        <w:ind w:left="720" w:hanging="360"/>
      </w:pPr>
      <w:rPr>
        <w:rFonts w:ascii="Arial" w:hAnsi="Arial" w:hint="default"/>
        <w:b w:val="0"/>
        <w:i w:val="0"/>
        <w:sz w:val="22"/>
        <w:szCs w:val="26"/>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num w:numId="1">
    <w:abstractNumId w:val="36"/>
  </w:num>
  <w:num w:numId="2">
    <w:abstractNumId w:val="6"/>
  </w:num>
  <w:num w:numId="3">
    <w:abstractNumId w:val="41"/>
  </w:num>
  <w:num w:numId="4">
    <w:abstractNumId w:val="85"/>
  </w:num>
  <w:num w:numId="5">
    <w:abstractNumId w:val="71"/>
  </w:num>
  <w:num w:numId="6">
    <w:abstractNumId w:val="37"/>
  </w:num>
  <w:num w:numId="7">
    <w:abstractNumId w:val="33"/>
  </w:num>
  <w:num w:numId="8">
    <w:abstractNumId w:val="3"/>
  </w:num>
  <w:num w:numId="9">
    <w:abstractNumId w:val="56"/>
  </w:num>
  <w:num w:numId="10">
    <w:abstractNumId w:val="2"/>
  </w:num>
  <w:num w:numId="11">
    <w:abstractNumId w:val="114"/>
  </w:num>
  <w:num w:numId="12">
    <w:abstractNumId w:val="97"/>
  </w:num>
  <w:num w:numId="13">
    <w:abstractNumId w:val="90"/>
  </w:num>
  <w:num w:numId="14">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0"/>
  </w:num>
  <w:num w:numId="16">
    <w:abstractNumId w:val="73"/>
  </w:num>
  <w:num w:numId="17">
    <w:abstractNumId w:val="53"/>
  </w:num>
  <w:num w:numId="18">
    <w:abstractNumId w:val="108"/>
  </w:num>
  <w:num w:numId="19">
    <w:abstractNumId w:val="26"/>
  </w:num>
  <w:num w:numId="20">
    <w:abstractNumId w:val="72"/>
  </w:num>
  <w:num w:numId="21">
    <w:abstractNumId w:val="104"/>
  </w:num>
  <w:num w:numId="22">
    <w:abstractNumId w:val="101"/>
  </w:num>
  <w:num w:numId="23">
    <w:abstractNumId w:val="95"/>
  </w:num>
  <w:num w:numId="24">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18"/>
  </w:num>
  <w:num w:numId="26">
    <w:abstractNumId w:val="22"/>
  </w:num>
  <w:num w:numId="27">
    <w:abstractNumId w:val="60"/>
  </w:num>
  <w:num w:numId="28">
    <w:abstractNumId w:val="28"/>
  </w:num>
  <w:num w:numId="29">
    <w:abstractNumId w:val="120"/>
  </w:num>
  <w:num w:numId="30">
    <w:abstractNumId w:val="12"/>
  </w:num>
  <w:num w:numId="31">
    <w:abstractNumId w:val="99"/>
  </w:num>
  <w:num w:numId="32">
    <w:abstractNumId w:val="9"/>
  </w:num>
  <w:num w:numId="33">
    <w:abstractNumId w:val="67"/>
  </w:num>
  <w:num w:numId="34">
    <w:abstractNumId w:val="52"/>
  </w:num>
  <w:num w:numId="35">
    <w:abstractNumId w:val="74"/>
  </w:num>
  <w:num w:numId="36">
    <w:abstractNumId w:val="83"/>
  </w:num>
  <w:num w:numId="37">
    <w:abstractNumId w:val="19"/>
  </w:num>
  <w:num w:numId="38">
    <w:abstractNumId w:val="105"/>
  </w:num>
  <w:num w:numId="39">
    <w:abstractNumId w:val="25"/>
  </w:num>
  <w:num w:numId="40">
    <w:abstractNumId w:val="49"/>
  </w:num>
  <w:num w:numId="41">
    <w:abstractNumId w:val="15"/>
  </w:num>
  <w:num w:numId="42">
    <w:abstractNumId w:val="50"/>
  </w:num>
  <w:num w:numId="43">
    <w:abstractNumId w:val="107"/>
  </w:num>
  <w:num w:numId="44">
    <w:abstractNumId w:val="21"/>
  </w:num>
  <w:num w:numId="45">
    <w:abstractNumId w:val="61"/>
  </w:num>
  <w:num w:numId="46">
    <w:abstractNumId w:val="91"/>
  </w:num>
  <w:num w:numId="47">
    <w:abstractNumId w:val="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115"/>
  </w:num>
  <w:num w:numId="49">
    <w:abstractNumId w:val="82"/>
  </w:num>
  <w:num w:numId="50">
    <w:abstractNumId w:val="110"/>
  </w:num>
  <w:num w:numId="51">
    <w:abstractNumId w:val="30"/>
  </w:num>
  <w:num w:numId="52">
    <w:abstractNumId w:val="18"/>
  </w:num>
  <w:num w:numId="53">
    <w:abstractNumId w:val="14"/>
  </w:num>
  <w:num w:numId="54">
    <w:abstractNumId w:val="109"/>
  </w:num>
  <w:num w:numId="55">
    <w:abstractNumId w:val="84"/>
  </w:num>
  <w:num w:numId="56">
    <w:abstractNumId w:val="32"/>
  </w:num>
  <w:num w:numId="57">
    <w:abstractNumId w:val="33"/>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93"/>
  </w:num>
  <w:num w:numId="59">
    <w:abstractNumId w:val="55"/>
  </w:num>
  <w:num w:numId="60">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65"/>
  </w:num>
  <w:num w:numId="62">
    <w:abstractNumId w:val="81"/>
  </w:num>
  <w:num w:numId="63">
    <w:abstractNumId w:val="44"/>
  </w:num>
  <w:num w:numId="64">
    <w:abstractNumId w:val="87"/>
  </w:num>
  <w:num w:numId="65">
    <w:abstractNumId w:val="113"/>
  </w:num>
  <w:num w:numId="66">
    <w:abstractNumId w:val="97"/>
  </w:num>
  <w:num w:numId="67">
    <w:abstractNumId w:val="39"/>
  </w:num>
  <w:num w:numId="68">
    <w:abstractNumId w:val="40"/>
  </w:num>
  <w:num w:numId="69">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102"/>
  </w:num>
  <w:num w:numId="73">
    <w:abstractNumId w:val="79"/>
  </w:num>
  <w:num w:numId="74">
    <w:abstractNumId w:val="117"/>
  </w:num>
  <w:num w:numId="75">
    <w:abstractNumId w:val="24"/>
  </w:num>
  <w:num w:numId="76">
    <w:abstractNumId w:val="8"/>
  </w:num>
  <w:num w:numId="77">
    <w:abstractNumId w:val="10"/>
  </w:num>
  <w:num w:numId="78">
    <w:abstractNumId w:val="30"/>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68"/>
  </w:num>
  <w:num w:numId="80">
    <w:abstractNumId w:val="1"/>
  </w:num>
  <w:num w:numId="81">
    <w:abstractNumId w:val="0"/>
  </w:num>
  <w:num w:numId="82">
    <w:abstractNumId w:val="33"/>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47"/>
  </w:num>
  <w:num w:numId="85">
    <w:abstractNumId w:val="30"/>
  </w:num>
  <w:numIdMacAtCleanup w:val="7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proofState w:spelling="clean" w:grammar="clean"/>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oNotTrackFormatting/>
  <w:defaultTabStop w:val="720"/>
  <w:clickAndTypeStyle w:val="BodyText"/>
  <w:drawingGridHorizontalSpacing w:val="110"/>
  <w:displayHorizontalDrawingGridEvery w:val="2"/>
  <w:characterSpacingControl w:val="doNotCompress"/>
  <w:hdrShapeDefaults>
    <o:shapedefaults v:ext="edit" spidmax="6146"/>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Abbreviations" w:val="False"/>
    <w:docVar w:name="ABN" w:val="ABN 78 006 769 339"/>
    <w:docVar w:name="Address" w:val="Level 27, Ernst &amp; Young Centre ~680 George Street ~Sydney NSW 2000"/>
    <w:docVar w:name="Branch" w:val="Sydney"/>
    <w:docVar w:name="ContentType" w:val="LTR-"/>
    <w:docVar w:name="Country" w:val="Australia"/>
    <w:docVar w:name="CustomTemplates" w:val="True"/>
    <w:docVar w:name="Discipline" w:val="~"/>
    <w:docVar w:name="DOCID" w:val="72499381"/>
    <w:docVar w:name="DocNameType" w:val="ANZ"/>
    <w:docVar w:name="DocNo" w:val="~"/>
    <w:docVar w:name="Entity" w:val="WSP Structures Pty Ltd"/>
    <w:docVar w:name="ExecutiveSummary" w:val="False"/>
    <w:docVar w:name="Fax" w:val="61 2 9272 5101"/>
    <w:docVar w:name="Glossary" w:val="False"/>
    <w:docVar w:name="isReport" w:val="True"/>
    <w:docVar w:name="Para" w:val="_x000d__x000a_"/>
    <w:docVar w:name="Phone" w:val="61 2 9272 5100"/>
    <w:docVar w:name="Postal" w:val="GPO Box 5394 ~Sydney NSW 2001"/>
    <w:docVar w:name="ProjectCode" w:val="~"/>
    <w:docVar w:name="SimpleOurRef" w:val="~"/>
    <w:docVar w:name="TOC" w:val="True"/>
    <w:docVar w:name="TOCImported" w:val="True"/>
    <w:docVar w:name="TOCNew" w:val="True"/>
    <w:docVar w:name="UpdateTheme" w:val="False"/>
    <w:docVar w:name="VERSIONLABEL" w:val="1"/>
    <w:docVar w:name="WSPAuthor" w:val="FD-"/>
    <w:docVar w:name="WSPContentType" w:val=" FD-"/>
    <w:docVar w:name="WSPDiscipline" w:val=" FD-"/>
    <w:docVar w:name="WSPDocDescription" w:val="FDSFSFS"/>
    <w:docVar w:name="WSPDocNamingDate" w:val="151215-"/>
    <w:docVar w:name="WSPDocNo" w:val=" FDS"/>
    <w:docVar w:name="WSPGeneralOurRef" w:val="barfdsa"/>
    <w:docVar w:name="WSPOfficeCode" w:val="FFDSAFSAFS-"/>
    <w:docVar w:name="WSPOurRef" w:val=" FFDA- FD- FD- FDS Rev FD"/>
    <w:docVar w:name="WSPProjectCode" w:val=" FFDA-"/>
    <w:docVar w:name="WSPRevNo" w:val=" FD"/>
    <w:docVar w:name="xAppendixName" w:val="Appendix"/>
    <w:docVar w:name="xTOCApp" w:val="H"/>
    <w:docVar w:name="xTOCFigure" w:val="H"/>
    <w:docVar w:name="xTOCH2" w:val="Y"/>
    <w:docVar w:name="xTOCH3" w:val="Y"/>
    <w:docVar w:name="xTOCPhoto" w:val="S"/>
    <w:docVar w:name="xTOCTable" w:val="H"/>
  </w:docVars>
  <w:rsids>
    <w:rsidRoot w:val="004C69F6"/>
    <w:rsid w:val="00000093"/>
    <w:rsid w:val="00000194"/>
    <w:rsid w:val="0000032A"/>
    <w:rsid w:val="00000333"/>
    <w:rsid w:val="000009F2"/>
    <w:rsid w:val="00000B9A"/>
    <w:rsid w:val="00000E4C"/>
    <w:rsid w:val="00000F1A"/>
    <w:rsid w:val="00001322"/>
    <w:rsid w:val="00001DA2"/>
    <w:rsid w:val="00001DFB"/>
    <w:rsid w:val="000025DD"/>
    <w:rsid w:val="0000290E"/>
    <w:rsid w:val="00002B57"/>
    <w:rsid w:val="00003094"/>
    <w:rsid w:val="000035F6"/>
    <w:rsid w:val="000037E4"/>
    <w:rsid w:val="000038C7"/>
    <w:rsid w:val="00003A67"/>
    <w:rsid w:val="00003E56"/>
    <w:rsid w:val="00004219"/>
    <w:rsid w:val="00004810"/>
    <w:rsid w:val="000049BE"/>
    <w:rsid w:val="00004A68"/>
    <w:rsid w:val="00005627"/>
    <w:rsid w:val="0000577C"/>
    <w:rsid w:val="000057E4"/>
    <w:rsid w:val="00005823"/>
    <w:rsid w:val="0000598E"/>
    <w:rsid w:val="00005A5C"/>
    <w:rsid w:val="00006028"/>
    <w:rsid w:val="0000634A"/>
    <w:rsid w:val="000063C4"/>
    <w:rsid w:val="000068B5"/>
    <w:rsid w:val="00006D53"/>
    <w:rsid w:val="00006DD3"/>
    <w:rsid w:val="00007007"/>
    <w:rsid w:val="000105A9"/>
    <w:rsid w:val="00010618"/>
    <w:rsid w:val="00010C8A"/>
    <w:rsid w:val="00011591"/>
    <w:rsid w:val="00011772"/>
    <w:rsid w:val="00011A64"/>
    <w:rsid w:val="00011EB4"/>
    <w:rsid w:val="00011F39"/>
    <w:rsid w:val="0001201E"/>
    <w:rsid w:val="00012054"/>
    <w:rsid w:val="00012371"/>
    <w:rsid w:val="000125A5"/>
    <w:rsid w:val="00012827"/>
    <w:rsid w:val="0001322B"/>
    <w:rsid w:val="00013597"/>
    <w:rsid w:val="00013700"/>
    <w:rsid w:val="00013D78"/>
    <w:rsid w:val="00013FB3"/>
    <w:rsid w:val="00014071"/>
    <w:rsid w:val="000140CE"/>
    <w:rsid w:val="00014CF8"/>
    <w:rsid w:val="00015CD4"/>
    <w:rsid w:val="0001614C"/>
    <w:rsid w:val="0001631B"/>
    <w:rsid w:val="00016CA2"/>
    <w:rsid w:val="0001718D"/>
    <w:rsid w:val="000171D8"/>
    <w:rsid w:val="000173A1"/>
    <w:rsid w:val="00017884"/>
    <w:rsid w:val="00017BB7"/>
    <w:rsid w:val="00017E18"/>
    <w:rsid w:val="00020425"/>
    <w:rsid w:val="00020547"/>
    <w:rsid w:val="000205FF"/>
    <w:rsid w:val="00020F11"/>
    <w:rsid w:val="00021F13"/>
    <w:rsid w:val="000221B9"/>
    <w:rsid w:val="00022905"/>
    <w:rsid w:val="00022A9D"/>
    <w:rsid w:val="00022B6D"/>
    <w:rsid w:val="00022C5C"/>
    <w:rsid w:val="0002318A"/>
    <w:rsid w:val="000231E0"/>
    <w:rsid w:val="0002337C"/>
    <w:rsid w:val="00023518"/>
    <w:rsid w:val="00023619"/>
    <w:rsid w:val="0002371F"/>
    <w:rsid w:val="00023F61"/>
    <w:rsid w:val="00024007"/>
    <w:rsid w:val="00024931"/>
    <w:rsid w:val="00024AC0"/>
    <w:rsid w:val="00024C3D"/>
    <w:rsid w:val="00024D26"/>
    <w:rsid w:val="00024E5F"/>
    <w:rsid w:val="00024FBE"/>
    <w:rsid w:val="00025161"/>
    <w:rsid w:val="00025438"/>
    <w:rsid w:val="0002642C"/>
    <w:rsid w:val="0002668E"/>
    <w:rsid w:val="00026A90"/>
    <w:rsid w:val="00026ED5"/>
    <w:rsid w:val="00027800"/>
    <w:rsid w:val="00027BC7"/>
    <w:rsid w:val="00027C6C"/>
    <w:rsid w:val="00030349"/>
    <w:rsid w:val="00030444"/>
    <w:rsid w:val="0003062F"/>
    <w:rsid w:val="0003079E"/>
    <w:rsid w:val="00030EA5"/>
    <w:rsid w:val="00031503"/>
    <w:rsid w:val="000318C7"/>
    <w:rsid w:val="00031978"/>
    <w:rsid w:val="00031DD5"/>
    <w:rsid w:val="000323F1"/>
    <w:rsid w:val="0003249B"/>
    <w:rsid w:val="00032806"/>
    <w:rsid w:val="00032892"/>
    <w:rsid w:val="00032A32"/>
    <w:rsid w:val="00032E8F"/>
    <w:rsid w:val="00033520"/>
    <w:rsid w:val="00033625"/>
    <w:rsid w:val="00033C30"/>
    <w:rsid w:val="000343D3"/>
    <w:rsid w:val="00034D96"/>
    <w:rsid w:val="0003553E"/>
    <w:rsid w:val="00035A63"/>
    <w:rsid w:val="000362CA"/>
    <w:rsid w:val="000364F2"/>
    <w:rsid w:val="00036751"/>
    <w:rsid w:val="00036BCF"/>
    <w:rsid w:val="00036C8E"/>
    <w:rsid w:val="00036D45"/>
    <w:rsid w:val="00037286"/>
    <w:rsid w:val="00037486"/>
    <w:rsid w:val="000374E9"/>
    <w:rsid w:val="00040011"/>
    <w:rsid w:val="0004046E"/>
    <w:rsid w:val="00040531"/>
    <w:rsid w:val="000405AB"/>
    <w:rsid w:val="000406EF"/>
    <w:rsid w:val="00040A04"/>
    <w:rsid w:val="00040AF7"/>
    <w:rsid w:val="00040FD1"/>
    <w:rsid w:val="00041130"/>
    <w:rsid w:val="00041613"/>
    <w:rsid w:val="00041B06"/>
    <w:rsid w:val="00041CE0"/>
    <w:rsid w:val="00041D53"/>
    <w:rsid w:val="00042366"/>
    <w:rsid w:val="000425BA"/>
    <w:rsid w:val="0004277C"/>
    <w:rsid w:val="00042C9F"/>
    <w:rsid w:val="00042CAF"/>
    <w:rsid w:val="000431D6"/>
    <w:rsid w:val="000438A1"/>
    <w:rsid w:val="00043AC5"/>
    <w:rsid w:val="00043B16"/>
    <w:rsid w:val="00043B69"/>
    <w:rsid w:val="000443E2"/>
    <w:rsid w:val="000443F1"/>
    <w:rsid w:val="00044DCE"/>
    <w:rsid w:val="00044F8F"/>
    <w:rsid w:val="00044FDB"/>
    <w:rsid w:val="00045471"/>
    <w:rsid w:val="000454A0"/>
    <w:rsid w:val="00045A2E"/>
    <w:rsid w:val="00045D96"/>
    <w:rsid w:val="0004619B"/>
    <w:rsid w:val="000463D7"/>
    <w:rsid w:val="0004747E"/>
    <w:rsid w:val="00047701"/>
    <w:rsid w:val="00047A4F"/>
    <w:rsid w:val="00047C91"/>
    <w:rsid w:val="00050713"/>
    <w:rsid w:val="0005109B"/>
    <w:rsid w:val="000510BB"/>
    <w:rsid w:val="000516BE"/>
    <w:rsid w:val="0005198D"/>
    <w:rsid w:val="00051D5C"/>
    <w:rsid w:val="00051F2B"/>
    <w:rsid w:val="0005213F"/>
    <w:rsid w:val="00052454"/>
    <w:rsid w:val="0005252A"/>
    <w:rsid w:val="000525D6"/>
    <w:rsid w:val="00052756"/>
    <w:rsid w:val="0005283A"/>
    <w:rsid w:val="00052927"/>
    <w:rsid w:val="00052A4B"/>
    <w:rsid w:val="0005399F"/>
    <w:rsid w:val="000539FE"/>
    <w:rsid w:val="00053FEC"/>
    <w:rsid w:val="000540B4"/>
    <w:rsid w:val="000542A1"/>
    <w:rsid w:val="00054BE0"/>
    <w:rsid w:val="00055A15"/>
    <w:rsid w:val="00055FA7"/>
    <w:rsid w:val="00056406"/>
    <w:rsid w:val="0005644F"/>
    <w:rsid w:val="0005669E"/>
    <w:rsid w:val="00056B3B"/>
    <w:rsid w:val="00056D39"/>
    <w:rsid w:val="00056D42"/>
    <w:rsid w:val="0005705F"/>
    <w:rsid w:val="00057226"/>
    <w:rsid w:val="00057416"/>
    <w:rsid w:val="000574CC"/>
    <w:rsid w:val="00057571"/>
    <w:rsid w:val="0005762C"/>
    <w:rsid w:val="00057661"/>
    <w:rsid w:val="00057ACD"/>
    <w:rsid w:val="000603EE"/>
    <w:rsid w:val="0006053E"/>
    <w:rsid w:val="000608FB"/>
    <w:rsid w:val="00060B55"/>
    <w:rsid w:val="00060B9F"/>
    <w:rsid w:val="00060D90"/>
    <w:rsid w:val="00061E0A"/>
    <w:rsid w:val="000622CB"/>
    <w:rsid w:val="00062536"/>
    <w:rsid w:val="000628AA"/>
    <w:rsid w:val="00062F76"/>
    <w:rsid w:val="000634B5"/>
    <w:rsid w:val="000635DA"/>
    <w:rsid w:val="00063820"/>
    <w:rsid w:val="0006386D"/>
    <w:rsid w:val="000642D2"/>
    <w:rsid w:val="00064444"/>
    <w:rsid w:val="000645EA"/>
    <w:rsid w:val="0006590D"/>
    <w:rsid w:val="00065B1F"/>
    <w:rsid w:val="00065CDA"/>
    <w:rsid w:val="00066037"/>
    <w:rsid w:val="0006609B"/>
    <w:rsid w:val="000664A7"/>
    <w:rsid w:val="00066597"/>
    <w:rsid w:val="000665B5"/>
    <w:rsid w:val="00066710"/>
    <w:rsid w:val="000669A6"/>
    <w:rsid w:val="00066A4B"/>
    <w:rsid w:val="00066B18"/>
    <w:rsid w:val="00066CEB"/>
    <w:rsid w:val="00066FB6"/>
    <w:rsid w:val="0006708F"/>
    <w:rsid w:val="000679A1"/>
    <w:rsid w:val="00067A55"/>
    <w:rsid w:val="00067F43"/>
    <w:rsid w:val="00070500"/>
    <w:rsid w:val="000707E8"/>
    <w:rsid w:val="00070897"/>
    <w:rsid w:val="000709D4"/>
    <w:rsid w:val="00071584"/>
    <w:rsid w:val="00071915"/>
    <w:rsid w:val="00071A2F"/>
    <w:rsid w:val="00071F31"/>
    <w:rsid w:val="000727AD"/>
    <w:rsid w:val="00072942"/>
    <w:rsid w:val="00072F5D"/>
    <w:rsid w:val="0007368F"/>
    <w:rsid w:val="000738AF"/>
    <w:rsid w:val="00073C88"/>
    <w:rsid w:val="00073DDA"/>
    <w:rsid w:val="000747C4"/>
    <w:rsid w:val="00074C02"/>
    <w:rsid w:val="00074CCC"/>
    <w:rsid w:val="00074E5F"/>
    <w:rsid w:val="00074EF6"/>
    <w:rsid w:val="00074F01"/>
    <w:rsid w:val="000755B1"/>
    <w:rsid w:val="0007566B"/>
    <w:rsid w:val="00075AB0"/>
    <w:rsid w:val="00075B7F"/>
    <w:rsid w:val="00075D68"/>
    <w:rsid w:val="000764DD"/>
    <w:rsid w:val="00076A72"/>
    <w:rsid w:val="00076A7D"/>
    <w:rsid w:val="00076CEC"/>
    <w:rsid w:val="000773DF"/>
    <w:rsid w:val="00077520"/>
    <w:rsid w:val="0007772F"/>
    <w:rsid w:val="00077CD3"/>
    <w:rsid w:val="000800F0"/>
    <w:rsid w:val="00080188"/>
    <w:rsid w:val="00080774"/>
    <w:rsid w:val="0008215B"/>
    <w:rsid w:val="00082339"/>
    <w:rsid w:val="00082CAC"/>
    <w:rsid w:val="00082CF7"/>
    <w:rsid w:val="00083038"/>
    <w:rsid w:val="000831F0"/>
    <w:rsid w:val="000834AE"/>
    <w:rsid w:val="00083C01"/>
    <w:rsid w:val="00084311"/>
    <w:rsid w:val="00084B10"/>
    <w:rsid w:val="00084BE8"/>
    <w:rsid w:val="00084CAC"/>
    <w:rsid w:val="000851F6"/>
    <w:rsid w:val="0008527D"/>
    <w:rsid w:val="00085314"/>
    <w:rsid w:val="00085393"/>
    <w:rsid w:val="000856C4"/>
    <w:rsid w:val="00085D93"/>
    <w:rsid w:val="00086400"/>
    <w:rsid w:val="000865FA"/>
    <w:rsid w:val="000866EB"/>
    <w:rsid w:val="00086C5B"/>
    <w:rsid w:val="00086CF5"/>
    <w:rsid w:val="000870AB"/>
    <w:rsid w:val="000874AC"/>
    <w:rsid w:val="000874D6"/>
    <w:rsid w:val="00087A2D"/>
    <w:rsid w:val="00087A4B"/>
    <w:rsid w:val="00087AE7"/>
    <w:rsid w:val="00087F6D"/>
    <w:rsid w:val="00087FC5"/>
    <w:rsid w:val="000905D6"/>
    <w:rsid w:val="0009084F"/>
    <w:rsid w:val="0009093C"/>
    <w:rsid w:val="0009097B"/>
    <w:rsid w:val="00090D68"/>
    <w:rsid w:val="00090D84"/>
    <w:rsid w:val="00090E6C"/>
    <w:rsid w:val="0009129D"/>
    <w:rsid w:val="00091B4A"/>
    <w:rsid w:val="00091D20"/>
    <w:rsid w:val="00091E67"/>
    <w:rsid w:val="00091FE2"/>
    <w:rsid w:val="00092080"/>
    <w:rsid w:val="0009208D"/>
    <w:rsid w:val="0009229B"/>
    <w:rsid w:val="00092C7D"/>
    <w:rsid w:val="00092EBC"/>
    <w:rsid w:val="0009364B"/>
    <w:rsid w:val="0009381B"/>
    <w:rsid w:val="00093982"/>
    <w:rsid w:val="00093F0B"/>
    <w:rsid w:val="00093F99"/>
    <w:rsid w:val="00094658"/>
    <w:rsid w:val="000948CB"/>
    <w:rsid w:val="000949A1"/>
    <w:rsid w:val="00094AE6"/>
    <w:rsid w:val="00095314"/>
    <w:rsid w:val="00095B22"/>
    <w:rsid w:val="000964E7"/>
    <w:rsid w:val="000968BE"/>
    <w:rsid w:val="000969DE"/>
    <w:rsid w:val="00096A82"/>
    <w:rsid w:val="00096E00"/>
    <w:rsid w:val="000977C2"/>
    <w:rsid w:val="00097DD0"/>
    <w:rsid w:val="00097FC2"/>
    <w:rsid w:val="000A043A"/>
    <w:rsid w:val="000A04DF"/>
    <w:rsid w:val="000A0D39"/>
    <w:rsid w:val="000A0E4C"/>
    <w:rsid w:val="000A1036"/>
    <w:rsid w:val="000A1058"/>
    <w:rsid w:val="000A115A"/>
    <w:rsid w:val="000A1328"/>
    <w:rsid w:val="000A16D5"/>
    <w:rsid w:val="000A1998"/>
    <w:rsid w:val="000A1A10"/>
    <w:rsid w:val="000A1A4F"/>
    <w:rsid w:val="000A1D36"/>
    <w:rsid w:val="000A1F71"/>
    <w:rsid w:val="000A24D0"/>
    <w:rsid w:val="000A2528"/>
    <w:rsid w:val="000A2A5F"/>
    <w:rsid w:val="000A3069"/>
    <w:rsid w:val="000A3AF8"/>
    <w:rsid w:val="000A3EC1"/>
    <w:rsid w:val="000A4208"/>
    <w:rsid w:val="000A43D8"/>
    <w:rsid w:val="000A47B2"/>
    <w:rsid w:val="000A48AC"/>
    <w:rsid w:val="000A4BD4"/>
    <w:rsid w:val="000A4C4A"/>
    <w:rsid w:val="000A4DDA"/>
    <w:rsid w:val="000A4EB8"/>
    <w:rsid w:val="000A4F73"/>
    <w:rsid w:val="000A50F3"/>
    <w:rsid w:val="000A561E"/>
    <w:rsid w:val="000A5C39"/>
    <w:rsid w:val="000A64D2"/>
    <w:rsid w:val="000A712A"/>
    <w:rsid w:val="000A71FC"/>
    <w:rsid w:val="000A7592"/>
    <w:rsid w:val="000A76C7"/>
    <w:rsid w:val="000A7E9C"/>
    <w:rsid w:val="000A7F5B"/>
    <w:rsid w:val="000B0E84"/>
    <w:rsid w:val="000B111C"/>
    <w:rsid w:val="000B183F"/>
    <w:rsid w:val="000B19B2"/>
    <w:rsid w:val="000B1CB2"/>
    <w:rsid w:val="000B22FB"/>
    <w:rsid w:val="000B2413"/>
    <w:rsid w:val="000B25B0"/>
    <w:rsid w:val="000B26A4"/>
    <w:rsid w:val="000B30E5"/>
    <w:rsid w:val="000B3476"/>
    <w:rsid w:val="000B35F1"/>
    <w:rsid w:val="000B36A7"/>
    <w:rsid w:val="000B389A"/>
    <w:rsid w:val="000B3B9C"/>
    <w:rsid w:val="000B4921"/>
    <w:rsid w:val="000B492A"/>
    <w:rsid w:val="000B49AE"/>
    <w:rsid w:val="000B4AC7"/>
    <w:rsid w:val="000B4FE0"/>
    <w:rsid w:val="000B51C9"/>
    <w:rsid w:val="000B52BE"/>
    <w:rsid w:val="000B5313"/>
    <w:rsid w:val="000B5663"/>
    <w:rsid w:val="000B59CB"/>
    <w:rsid w:val="000B5B79"/>
    <w:rsid w:val="000B646C"/>
    <w:rsid w:val="000B6475"/>
    <w:rsid w:val="000B65EE"/>
    <w:rsid w:val="000B6907"/>
    <w:rsid w:val="000B7039"/>
    <w:rsid w:val="000B756F"/>
    <w:rsid w:val="000B76ED"/>
    <w:rsid w:val="000B7A66"/>
    <w:rsid w:val="000B7C10"/>
    <w:rsid w:val="000C036C"/>
    <w:rsid w:val="000C043D"/>
    <w:rsid w:val="000C059C"/>
    <w:rsid w:val="000C2297"/>
    <w:rsid w:val="000C2607"/>
    <w:rsid w:val="000C269E"/>
    <w:rsid w:val="000C28DF"/>
    <w:rsid w:val="000C2BCB"/>
    <w:rsid w:val="000C321B"/>
    <w:rsid w:val="000C3390"/>
    <w:rsid w:val="000C3784"/>
    <w:rsid w:val="000C381B"/>
    <w:rsid w:val="000C3AA0"/>
    <w:rsid w:val="000C3B23"/>
    <w:rsid w:val="000C3DB5"/>
    <w:rsid w:val="000C4716"/>
    <w:rsid w:val="000C48E8"/>
    <w:rsid w:val="000C4BF1"/>
    <w:rsid w:val="000C4ED6"/>
    <w:rsid w:val="000C5015"/>
    <w:rsid w:val="000C5571"/>
    <w:rsid w:val="000C5778"/>
    <w:rsid w:val="000C5B43"/>
    <w:rsid w:val="000C5BA9"/>
    <w:rsid w:val="000C5F1C"/>
    <w:rsid w:val="000C6237"/>
    <w:rsid w:val="000C68E3"/>
    <w:rsid w:val="000C6D24"/>
    <w:rsid w:val="000C70ED"/>
    <w:rsid w:val="000C76B8"/>
    <w:rsid w:val="000C7788"/>
    <w:rsid w:val="000C7BB4"/>
    <w:rsid w:val="000D01DB"/>
    <w:rsid w:val="000D024E"/>
    <w:rsid w:val="000D1689"/>
    <w:rsid w:val="000D19C5"/>
    <w:rsid w:val="000D1DA0"/>
    <w:rsid w:val="000D2354"/>
    <w:rsid w:val="000D271C"/>
    <w:rsid w:val="000D2CE5"/>
    <w:rsid w:val="000D2F86"/>
    <w:rsid w:val="000D36FC"/>
    <w:rsid w:val="000D3881"/>
    <w:rsid w:val="000D38C3"/>
    <w:rsid w:val="000D3AAE"/>
    <w:rsid w:val="000D3E4A"/>
    <w:rsid w:val="000D4049"/>
    <w:rsid w:val="000D4681"/>
    <w:rsid w:val="000D474C"/>
    <w:rsid w:val="000D4D2E"/>
    <w:rsid w:val="000D5321"/>
    <w:rsid w:val="000D53CD"/>
    <w:rsid w:val="000D57ED"/>
    <w:rsid w:val="000D5967"/>
    <w:rsid w:val="000D5E74"/>
    <w:rsid w:val="000D60E9"/>
    <w:rsid w:val="000D66AF"/>
    <w:rsid w:val="000D6AF6"/>
    <w:rsid w:val="000D6E50"/>
    <w:rsid w:val="000D73BF"/>
    <w:rsid w:val="000D73CA"/>
    <w:rsid w:val="000D7723"/>
    <w:rsid w:val="000D77A2"/>
    <w:rsid w:val="000D77B1"/>
    <w:rsid w:val="000D77EE"/>
    <w:rsid w:val="000D797F"/>
    <w:rsid w:val="000D7B15"/>
    <w:rsid w:val="000D7DC1"/>
    <w:rsid w:val="000D7FE8"/>
    <w:rsid w:val="000E0068"/>
    <w:rsid w:val="000E0775"/>
    <w:rsid w:val="000E0F37"/>
    <w:rsid w:val="000E1102"/>
    <w:rsid w:val="000E1187"/>
    <w:rsid w:val="000E1490"/>
    <w:rsid w:val="000E1770"/>
    <w:rsid w:val="000E1A47"/>
    <w:rsid w:val="000E21F5"/>
    <w:rsid w:val="000E2819"/>
    <w:rsid w:val="000E2A35"/>
    <w:rsid w:val="000E2E35"/>
    <w:rsid w:val="000E2F22"/>
    <w:rsid w:val="000E31CA"/>
    <w:rsid w:val="000E31FF"/>
    <w:rsid w:val="000E326D"/>
    <w:rsid w:val="000E32D8"/>
    <w:rsid w:val="000E3722"/>
    <w:rsid w:val="000E3A3C"/>
    <w:rsid w:val="000E3B79"/>
    <w:rsid w:val="000E3C49"/>
    <w:rsid w:val="000E4043"/>
    <w:rsid w:val="000E4843"/>
    <w:rsid w:val="000E4B5B"/>
    <w:rsid w:val="000E4C86"/>
    <w:rsid w:val="000E51DF"/>
    <w:rsid w:val="000E5431"/>
    <w:rsid w:val="000E5885"/>
    <w:rsid w:val="000E5A00"/>
    <w:rsid w:val="000E5A52"/>
    <w:rsid w:val="000E60DA"/>
    <w:rsid w:val="000E64A9"/>
    <w:rsid w:val="000E6504"/>
    <w:rsid w:val="000E6B5A"/>
    <w:rsid w:val="000E6DF0"/>
    <w:rsid w:val="000E72D4"/>
    <w:rsid w:val="000E7410"/>
    <w:rsid w:val="000E76D9"/>
    <w:rsid w:val="000E7BC0"/>
    <w:rsid w:val="000E7E62"/>
    <w:rsid w:val="000F0B18"/>
    <w:rsid w:val="000F0DA5"/>
    <w:rsid w:val="000F0DAC"/>
    <w:rsid w:val="000F0FCE"/>
    <w:rsid w:val="000F1017"/>
    <w:rsid w:val="000F13E5"/>
    <w:rsid w:val="000F15C6"/>
    <w:rsid w:val="000F1687"/>
    <w:rsid w:val="000F17C0"/>
    <w:rsid w:val="000F1B74"/>
    <w:rsid w:val="000F20C3"/>
    <w:rsid w:val="000F2FC7"/>
    <w:rsid w:val="000F3362"/>
    <w:rsid w:val="000F3396"/>
    <w:rsid w:val="000F3961"/>
    <w:rsid w:val="000F47F5"/>
    <w:rsid w:val="000F4910"/>
    <w:rsid w:val="000F4B72"/>
    <w:rsid w:val="000F4BCB"/>
    <w:rsid w:val="000F4CD8"/>
    <w:rsid w:val="000F4D26"/>
    <w:rsid w:val="000F4FFA"/>
    <w:rsid w:val="000F5351"/>
    <w:rsid w:val="000F5626"/>
    <w:rsid w:val="000F59FB"/>
    <w:rsid w:val="000F5E55"/>
    <w:rsid w:val="000F5EA7"/>
    <w:rsid w:val="000F62C7"/>
    <w:rsid w:val="000F631C"/>
    <w:rsid w:val="000F6433"/>
    <w:rsid w:val="000F656F"/>
    <w:rsid w:val="000F6995"/>
    <w:rsid w:val="000F6CD8"/>
    <w:rsid w:val="000F6CDF"/>
    <w:rsid w:val="000F6F60"/>
    <w:rsid w:val="000F6F9C"/>
    <w:rsid w:val="000F7430"/>
    <w:rsid w:val="000F7466"/>
    <w:rsid w:val="000F7619"/>
    <w:rsid w:val="000F7A0D"/>
    <w:rsid w:val="001008B8"/>
    <w:rsid w:val="001010A2"/>
    <w:rsid w:val="00101883"/>
    <w:rsid w:val="00101EBF"/>
    <w:rsid w:val="00101EDC"/>
    <w:rsid w:val="001022DC"/>
    <w:rsid w:val="0010299D"/>
    <w:rsid w:val="00103077"/>
    <w:rsid w:val="00103449"/>
    <w:rsid w:val="00103624"/>
    <w:rsid w:val="00103964"/>
    <w:rsid w:val="00103B3A"/>
    <w:rsid w:val="00103B85"/>
    <w:rsid w:val="001041CD"/>
    <w:rsid w:val="001042E1"/>
    <w:rsid w:val="001044BF"/>
    <w:rsid w:val="001044FD"/>
    <w:rsid w:val="00104E03"/>
    <w:rsid w:val="00105AB9"/>
    <w:rsid w:val="00105B4C"/>
    <w:rsid w:val="00105C04"/>
    <w:rsid w:val="001065C1"/>
    <w:rsid w:val="001067B2"/>
    <w:rsid w:val="001075A2"/>
    <w:rsid w:val="001078D4"/>
    <w:rsid w:val="00107EE2"/>
    <w:rsid w:val="0011000B"/>
    <w:rsid w:val="0011087C"/>
    <w:rsid w:val="001109A0"/>
    <w:rsid w:val="00110A2C"/>
    <w:rsid w:val="00110A83"/>
    <w:rsid w:val="00110EF0"/>
    <w:rsid w:val="00111BE5"/>
    <w:rsid w:val="001122BF"/>
    <w:rsid w:val="00112941"/>
    <w:rsid w:val="00112A71"/>
    <w:rsid w:val="00112B57"/>
    <w:rsid w:val="001136AD"/>
    <w:rsid w:val="0011371C"/>
    <w:rsid w:val="0011378C"/>
    <w:rsid w:val="00114377"/>
    <w:rsid w:val="001144A5"/>
    <w:rsid w:val="0011526B"/>
    <w:rsid w:val="0011591D"/>
    <w:rsid w:val="00115C53"/>
    <w:rsid w:val="00115DA7"/>
    <w:rsid w:val="00115DD5"/>
    <w:rsid w:val="00116264"/>
    <w:rsid w:val="001162AF"/>
    <w:rsid w:val="001163C1"/>
    <w:rsid w:val="00116683"/>
    <w:rsid w:val="00116B5E"/>
    <w:rsid w:val="00116D89"/>
    <w:rsid w:val="00117629"/>
    <w:rsid w:val="001176AC"/>
    <w:rsid w:val="0011772E"/>
    <w:rsid w:val="00117C80"/>
    <w:rsid w:val="00117FAD"/>
    <w:rsid w:val="00120355"/>
    <w:rsid w:val="001206DB"/>
    <w:rsid w:val="00120702"/>
    <w:rsid w:val="00120706"/>
    <w:rsid w:val="001211ED"/>
    <w:rsid w:val="00121691"/>
    <w:rsid w:val="00121D2C"/>
    <w:rsid w:val="00121D83"/>
    <w:rsid w:val="0012201F"/>
    <w:rsid w:val="00122335"/>
    <w:rsid w:val="001225B3"/>
    <w:rsid w:val="001227AB"/>
    <w:rsid w:val="00122EA0"/>
    <w:rsid w:val="001230A0"/>
    <w:rsid w:val="0012313C"/>
    <w:rsid w:val="00123448"/>
    <w:rsid w:val="0012364F"/>
    <w:rsid w:val="0012390B"/>
    <w:rsid w:val="00123B35"/>
    <w:rsid w:val="00123D46"/>
    <w:rsid w:val="00123E7D"/>
    <w:rsid w:val="00124191"/>
    <w:rsid w:val="0012426E"/>
    <w:rsid w:val="00124CCE"/>
    <w:rsid w:val="00124D6D"/>
    <w:rsid w:val="0012540B"/>
    <w:rsid w:val="001255AA"/>
    <w:rsid w:val="001256E6"/>
    <w:rsid w:val="001258F5"/>
    <w:rsid w:val="00125D09"/>
    <w:rsid w:val="00125DB7"/>
    <w:rsid w:val="00125FCE"/>
    <w:rsid w:val="00126476"/>
    <w:rsid w:val="00126B56"/>
    <w:rsid w:val="00126E13"/>
    <w:rsid w:val="00127A79"/>
    <w:rsid w:val="0013024E"/>
    <w:rsid w:val="00130333"/>
    <w:rsid w:val="0013044E"/>
    <w:rsid w:val="00130493"/>
    <w:rsid w:val="00130909"/>
    <w:rsid w:val="00130BED"/>
    <w:rsid w:val="00131307"/>
    <w:rsid w:val="0013164E"/>
    <w:rsid w:val="00131967"/>
    <w:rsid w:val="001320DB"/>
    <w:rsid w:val="001323B8"/>
    <w:rsid w:val="00132471"/>
    <w:rsid w:val="0013250D"/>
    <w:rsid w:val="001326BD"/>
    <w:rsid w:val="0013272F"/>
    <w:rsid w:val="0013298B"/>
    <w:rsid w:val="0013316E"/>
    <w:rsid w:val="00133305"/>
    <w:rsid w:val="00133412"/>
    <w:rsid w:val="0013370B"/>
    <w:rsid w:val="0013374B"/>
    <w:rsid w:val="00133CEB"/>
    <w:rsid w:val="00134014"/>
    <w:rsid w:val="001353CF"/>
    <w:rsid w:val="00135442"/>
    <w:rsid w:val="001356BB"/>
    <w:rsid w:val="00135753"/>
    <w:rsid w:val="00135948"/>
    <w:rsid w:val="00135974"/>
    <w:rsid w:val="00136292"/>
    <w:rsid w:val="00136465"/>
    <w:rsid w:val="00136750"/>
    <w:rsid w:val="0013725B"/>
    <w:rsid w:val="0013752B"/>
    <w:rsid w:val="00137655"/>
    <w:rsid w:val="00137998"/>
    <w:rsid w:val="00137A08"/>
    <w:rsid w:val="00137A24"/>
    <w:rsid w:val="00137ACF"/>
    <w:rsid w:val="00137B45"/>
    <w:rsid w:val="00137D02"/>
    <w:rsid w:val="00137FAA"/>
    <w:rsid w:val="0014060C"/>
    <w:rsid w:val="0014097B"/>
    <w:rsid w:val="00140CEC"/>
    <w:rsid w:val="001411AF"/>
    <w:rsid w:val="00141D23"/>
    <w:rsid w:val="00141D2C"/>
    <w:rsid w:val="00142351"/>
    <w:rsid w:val="00143F47"/>
    <w:rsid w:val="0014403A"/>
    <w:rsid w:val="0014471B"/>
    <w:rsid w:val="00144A90"/>
    <w:rsid w:val="001451D5"/>
    <w:rsid w:val="0014559D"/>
    <w:rsid w:val="00145982"/>
    <w:rsid w:val="00145D10"/>
    <w:rsid w:val="00145D7D"/>
    <w:rsid w:val="001460B2"/>
    <w:rsid w:val="00146277"/>
    <w:rsid w:val="0014642B"/>
    <w:rsid w:val="0014650E"/>
    <w:rsid w:val="00146643"/>
    <w:rsid w:val="0014667D"/>
    <w:rsid w:val="001466B3"/>
    <w:rsid w:val="0014693E"/>
    <w:rsid w:val="00146947"/>
    <w:rsid w:val="00146A3F"/>
    <w:rsid w:val="00146C74"/>
    <w:rsid w:val="0014710F"/>
    <w:rsid w:val="0014722D"/>
    <w:rsid w:val="001479A5"/>
    <w:rsid w:val="00147BB6"/>
    <w:rsid w:val="00147EA6"/>
    <w:rsid w:val="00150164"/>
    <w:rsid w:val="00150368"/>
    <w:rsid w:val="00150656"/>
    <w:rsid w:val="00150D9F"/>
    <w:rsid w:val="00151633"/>
    <w:rsid w:val="001516A1"/>
    <w:rsid w:val="001516EC"/>
    <w:rsid w:val="00151A17"/>
    <w:rsid w:val="00151C85"/>
    <w:rsid w:val="00151DA3"/>
    <w:rsid w:val="00152358"/>
    <w:rsid w:val="0015260C"/>
    <w:rsid w:val="00152758"/>
    <w:rsid w:val="00153551"/>
    <w:rsid w:val="001536B2"/>
    <w:rsid w:val="00153B23"/>
    <w:rsid w:val="00154325"/>
    <w:rsid w:val="001550C3"/>
    <w:rsid w:val="001555DE"/>
    <w:rsid w:val="00155B41"/>
    <w:rsid w:val="00155D28"/>
    <w:rsid w:val="00156764"/>
    <w:rsid w:val="001568ED"/>
    <w:rsid w:val="00156B5B"/>
    <w:rsid w:val="001571C1"/>
    <w:rsid w:val="00157379"/>
    <w:rsid w:val="001574A5"/>
    <w:rsid w:val="00157D57"/>
    <w:rsid w:val="00157F04"/>
    <w:rsid w:val="001602EF"/>
    <w:rsid w:val="00160DE7"/>
    <w:rsid w:val="00161419"/>
    <w:rsid w:val="00161666"/>
    <w:rsid w:val="001616D6"/>
    <w:rsid w:val="00162508"/>
    <w:rsid w:val="00162678"/>
    <w:rsid w:val="0016271B"/>
    <w:rsid w:val="00162997"/>
    <w:rsid w:val="00162A49"/>
    <w:rsid w:val="001631C0"/>
    <w:rsid w:val="00163259"/>
    <w:rsid w:val="001633DF"/>
    <w:rsid w:val="0016341A"/>
    <w:rsid w:val="0016371D"/>
    <w:rsid w:val="00163A67"/>
    <w:rsid w:val="00163E26"/>
    <w:rsid w:val="001640C8"/>
    <w:rsid w:val="001643AC"/>
    <w:rsid w:val="00164716"/>
    <w:rsid w:val="00164D13"/>
    <w:rsid w:val="00164E25"/>
    <w:rsid w:val="00164F8C"/>
    <w:rsid w:val="001657F2"/>
    <w:rsid w:val="0016580D"/>
    <w:rsid w:val="00165A12"/>
    <w:rsid w:val="00165E30"/>
    <w:rsid w:val="00165F99"/>
    <w:rsid w:val="00166097"/>
    <w:rsid w:val="0016616C"/>
    <w:rsid w:val="00166229"/>
    <w:rsid w:val="00166491"/>
    <w:rsid w:val="001664D3"/>
    <w:rsid w:val="00166A18"/>
    <w:rsid w:val="00166DFD"/>
    <w:rsid w:val="00166E6D"/>
    <w:rsid w:val="00167820"/>
    <w:rsid w:val="00167B65"/>
    <w:rsid w:val="00170058"/>
    <w:rsid w:val="00170068"/>
    <w:rsid w:val="00170080"/>
    <w:rsid w:val="0017085C"/>
    <w:rsid w:val="001708D3"/>
    <w:rsid w:val="001710D5"/>
    <w:rsid w:val="00171873"/>
    <w:rsid w:val="001719B2"/>
    <w:rsid w:val="00171A5E"/>
    <w:rsid w:val="00171D16"/>
    <w:rsid w:val="00171F34"/>
    <w:rsid w:val="00172008"/>
    <w:rsid w:val="0017219E"/>
    <w:rsid w:val="0017251D"/>
    <w:rsid w:val="001726D4"/>
    <w:rsid w:val="00172B6D"/>
    <w:rsid w:val="00172C46"/>
    <w:rsid w:val="001732ED"/>
    <w:rsid w:val="00173326"/>
    <w:rsid w:val="0017356C"/>
    <w:rsid w:val="0017370E"/>
    <w:rsid w:val="0017378D"/>
    <w:rsid w:val="00173C32"/>
    <w:rsid w:val="00173F1F"/>
    <w:rsid w:val="00174203"/>
    <w:rsid w:val="0017473C"/>
    <w:rsid w:val="001750A0"/>
    <w:rsid w:val="001750C5"/>
    <w:rsid w:val="001753D7"/>
    <w:rsid w:val="00175FA7"/>
    <w:rsid w:val="00176269"/>
    <w:rsid w:val="001764BF"/>
    <w:rsid w:val="001769C9"/>
    <w:rsid w:val="00176E07"/>
    <w:rsid w:val="00177B21"/>
    <w:rsid w:val="00177F40"/>
    <w:rsid w:val="001800D4"/>
    <w:rsid w:val="001805F3"/>
    <w:rsid w:val="001817AB"/>
    <w:rsid w:val="00182310"/>
    <w:rsid w:val="001825EE"/>
    <w:rsid w:val="001827CC"/>
    <w:rsid w:val="00182C1A"/>
    <w:rsid w:val="00182E10"/>
    <w:rsid w:val="0018347E"/>
    <w:rsid w:val="00183633"/>
    <w:rsid w:val="0018366A"/>
    <w:rsid w:val="0018426D"/>
    <w:rsid w:val="0018427A"/>
    <w:rsid w:val="00184327"/>
    <w:rsid w:val="001843B1"/>
    <w:rsid w:val="00184490"/>
    <w:rsid w:val="001844C6"/>
    <w:rsid w:val="001845EF"/>
    <w:rsid w:val="001847A9"/>
    <w:rsid w:val="00184AA3"/>
    <w:rsid w:val="00184B22"/>
    <w:rsid w:val="0018549D"/>
    <w:rsid w:val="00185868"/>
    <w:rsid w:val="00185F1D"/>
    <w:rsid w:val="0018615C"/>
    <w:rsid w:val="001863C4"/>
    <w:rsid w:val="00186850"/>
    <w:rsid w:val="00186A36"/>
    <w:rsid w:val="001874D7"/>
    <w:rsid w:val="001874EB"/>
    <w:rsid w:val="00187658"/>
    <w:rsid w:val="00187681"/>
    <w:rsid w:val="0018787D"/>
    <w:rsid w:val="00187905"/>
    <w:rsid w:val="00187D9F"/>
    <w:rsid w:val="00187E2C"/>
    <w:rsid w:val="00187EBF"/>
    <w:rsid w:val="00187F1D"/>
    <w:rsid w:val="001900BE"/>
    <w:rsid w:val="00190145"/>
    <w:rsid w:val="0019042B"/>
    <w:rsid w:val="0019074B"/>
    <w:rsid w:val="001908A8"/>
    <w:rsid w:val="00190B97"/>
    <w:rsid w:val="00190C4D"/>
    <w:rsid w:val="00190CD1"/>
    <w:rsid w:val="00190E12"/>
    <w:rsid w:val="00191841"/>
    <w:rsid w:val="00192407"/>
    <w:rsid w:val="0019286D"/>
    <w:rsid w:val="00193328"/>
    <w:rsid w:val="001933E1"/>
    <w:rsid w:val="00193AD2"/>
    <w:rsid w:val="00193F98"/>
    <w:rsid w:val="0019448E"/>
    <w:rsid w:val="001946AC"/>
    <w:rsid w:val="00194B60"/>
    <w:rsid w:val="00194D51"/>
    <w:rsid w:val="00194DB0"/>
    <w:rsid w:val="0019530F"/>
    <w:rsid w:val="001955D4"/>
    <w:rsid w:val="00195D19"/>
    <w:rsid w:val="001968DC"/>
    <w:rsid w:val="00196958"/>
    <w:rsid w:val="00196D8E"/>
    <w:rsid w:val="0019714F"/>
    <w:rsid w:val="001979A7"/>
    <w:rsid w:val="00197B2E"/>
    <w:rsid w:val="00197B79"/>
    <w:rsid w:val="001A01A2"/>
    <w:rsid w:val="001A0286"/>
    <w:rsid w:val="001A0A05"/>
    <w:rsid w:val="001A137F"/>
    <w:rsid w:val="001A1DEE"/>
    <w:rsid w:val="001A201E"/>
    <w:rsid w:val="001A2DE0"/>
    <w:rsid w:val="001A2DE8"/>
    <w:rsid w:val="001A2F93"/>
    <w:rsid w:val="001A321D"/>
    <w:rsid w:val="001A3352"/>
    <w:rsid w:val="001A3383"/>
    <w:rsid w:val="001A3420"/>
    <w:rsid w:val="001A353D"/>
    <w:rsid w:val="001A3695"/>
    <w:rsid w:val="001A4DF2"/>
    <w:rsid w:val="001A4EBF"/>
    <w:rsid w:val="001A5205"/>
    <w:rsid w:val="001A551E"/>
    <w:rsid w:val="001A55D5"/>
    <w:rsid w:val="001A581E"/>
    <w:rsid w:val="001A5AD3"/>
    <w:rsid w:val="001A6071"/>
    <w:rsid w:val="001A60EA"/>
    <w:rsid w:val="001A6640"/>
    <w:rsid w:val="001A6E48"/>
    <w:rsid w:val="001A729B"/>
    <w:rsid w:val="001A7909"/>
    <w:rsid w:val="001A79E9"/>
    <w:rsid w:val="001A7C6E"/>
    <w:rsid w:val="001B0076"/>
    <w:rsid w:val="001B00AD"/>
    <w:rsid w:val="001B0447"/>
    <w:rsid w:val="001B071A"/>
    <w:rsid w:val="001B07A7"/>
    <w:rsid w:val="001B07E8"/>
    <w:rsid w:val="001B0E44"/>
    <w:rsid w:val="001B13A0"/>
    <w:rsid w:val="001B13C6"/>
    <w:rsid w:val="001B1519"/>
    <w:rsid w:val="001B17B0"/>
    <w:rsid w:val="001B1992"/>
    <w:rsid w:val="001B1A92"/>
    <w:rsid w:val="001B1B2B"/>
    <w:rsid w:val="001B22F9"/>
    <w:rsid w:val="001B2323"/>
    <w:rsid w:val="001B2481"/>
    <w:rsid w:val="001B31DC"/>
    <w:rsid w:val="001B32B4"/>
    <w:rsid w:val="001B3B88"/>
    <w:rsid w:val="001B3FE6"/>
    <w:rsid w:val="001B40A3"/>
    <w:rsid w:val="001B429E"/>
    <w:rsid w:val="001B453A"/>
    <w:rsid w:val="001B4653"/>
    <w:rsid w:val="001B4907"/>
    <w:rsid w:val="001B49B6"/>
    <w:rsid w:val="001B4BA8"/>
    <w:rsid w:val="001B4CCD"/>
    <w:rsid w:val="001B4FC0"/>
    <w:rsid w:val="001B4FDE"/>
    <w:rsid w:val="001B5085"/>
    <w:rsid w:val="001B520A"/>
    <w:rsid w:val="001B53D2"/>
    <w:rsid w:val="001B56DF"/>
    <w:rsid w:val="001B5836"/>
    <w:rsid w:val="001B5D15"/>
    <w:rsid w:val="001B6919"/>
    <w:rsid w:val="001B6BC7"/>
    <w:rsid w:val="001B6CAD"/>
    <w:rsid w:val="001B6D41"/>
    <w:rsid w:val="001B6E81"/>
    <w:rsid w:val="001B702E"/>
    <w:rsid w:val="001B7A26"/>
    <w:rsid w:val="001B7CE2"/>
    <w:rsid w:val="001B7E7C"/>
    <w:rsid w:val="001C097B"/>
    <w:rsid w:val="001C145F"/>
    <w:rsid w:val="001C1C57"/>
    <w:rsid w:val="001C1CFF"/>
    <w:rsid w:val="001C201E"/>
    <w:rsid w:val="001C20BD"/>
    <w:rsid w:val="001C20D9"/>
    <w:rsid w:val="001C2527"/>
    <w:rsid w:val="001C2C24"/>
    <w:rsid w:val="001C2D48"/>
    <w:rsid w:val="001C33AC"/>
    <w:rsid w:val="001C3916"/>
    <w:rsid w:val="001C3968"/>
    <w:rsid w:val="001C3B0B"/>
    <w:rsid w:val="001C3C13"/>
    <w:rsid w:val="001C3C36"/>
    <w:rsid w:val="001C3F15"/>
    <w:rsid w:val="001C3F4E"/>
    <w:rsid w:val="001C4691"/>
    <w:rsid w:val="001C4739"/>
    <w:rsid w:val="001C48E5"/>
    <w:rsid w:val="001C4E1C"/>
    <w:rsid w:val="001C51CF"/>
    <w:rsid w:val="001C6166"/>
    <w:rsid w:val="001C626A"/>
    <w:rsid w:val="001C6C42"/>
    <w:rsid w:val="001C6CEE"/>
    <w:rsid w:val="001C6E63"/>
    <w:rsid w:val="001C729B"/>
    <w:rsid w:val="001D01A9"/>
    <w:rsid w:val="001D05A2"/>
    <w:rsid w:val="001D05DE"/>
    <w:rsid w:val="001D0C43"/>
    <w:rsid w:val="001D1134"/>
    <w:rsid w:val="001D1223"/>
    <w:rsid w:val="001D1500"/>
    <w:rsid w:val="001D1732"/>
    <w:rsid w:val="001D2957"/>
    <w:rsid w:val="001D299E"/>
    <w:rsid w:val="001D2A2F"/>
    <w:rsid w:val="001D2B3A"/>
    <w:rsid w:val="001D30DA"/>
    <w:rsid w:val="001D3169"/>
    <w:rsid w:val="001D39F8"/>
    <w:rsid w:val="001D3B02"/>
    <w:rsid w:val="001D3C3A"/>
    <w:rsid w:val="001D3CCF"/>
    <w:rsid w:val="001D46CE"/>
    <w:rsid w:val="001D4D13"/>
    <w:rsid w:val="001D4DE9"/>
    <w:rsid w:val="001D4F12"/>
    <w:rsid w:val="001D4F49"/>
    <w:rsid w:val="001D5B01"/>
    <w:rsid w:val="001D6229"/>
    <w:rsid w:val="001D6234"/>
    <w:rsid w:val="001D62ED"/>
    <w:rsid w:val="001D63D0"/>
    <w:rsid w:val="001D69E8"/>
    <w:rsid w:val="001D71A2"/>
    <w:rsid w:val="001D71CF"/>
    <w:rsid w:val="001D7362"/>
    <w:rsid w:val="001D73C3"/>
    <w:rsid w:val="001D770E"/>
    <w:rsid w:val="001D7831"/>
    <w:rsid w:val="001D79A7"/>
    <w:rsid w:val="001D7B5F"/>
    <w:rsid w:val="001D7B78"/>
    <w:rsid w:val="001D7C3A"/>
    <w:rsid w:val="001D7CF6"/>
    <w:rsid w:val="001D7D07"/>
    <w:rsid w:val="001D7DBC"/>
    <w:rsid w:val="001E00E9"/>
    <w:rsid w:val="001E04BC"/>
    <w:rsid w:val="001E0720"/>
    <w:rsid w:val="001E0E4B"/>
    <w:rsid w:val="001E11DD"/>
    <w:rsid w:val="001E11E2"/>
    <w:rsid w:val="001E159D"/>
    <w:rsid w:val="001E1D0D"/>
    <w:rsid w:val="001E2129"/>
    <w:rsid w:val="001E2259"/>
    <w:rsid w:val="001E2412"/>
    <w:rsid w:val="001E27B6"/>
    <w:rsid w:val="001E29BC"/>
    <w:rsid w:val="001E2AB6"/>
    <w:rsid w:val="001E2CC1"/>
    <w:rsid w:val="001E2DD7"/>
    <w:rsid w:val="001E2E95"/>
    <w:rsid w:val="001E3159"/>
    <w:rsid w:val="001E3189"/>
    <w:rsid w:val="001E39DD"/>
    <w:rsid w:val="001E3E6C"/>
    <w:rsid w:val="001E426B"/>
    <w:rsid w:val="001E46B3"/>
    <w:rsid w:val="001E477D"/>
    <w:rsid w:val="001E4C31"/>
    <w:rsid w:val="001E5016"/>
    <w:rsid w:val="001E524C"/>
    <w:rsid w:val="001E5ACD"/>
    <w:rsid w:val="001E5BD6"/>
    <w:rsid w:val="001E6421"/>
    <w:rsid w:val="001E6595"/>
    <w:rsid w:val="001E6674"/>
    <w:rsid w:val="001E692E"/>
    <w:rsid w:val="001E6C37"/>
    <w:rsid w:val="001E7273"/>
    <w:rsid w:val="001E7CB8"/>
    <w:rsid w:val="001E7E57"/>
    <w:rsid w:val="001E7F43"/>
    <w:rsid w:val="001E7FD1"/>
    <w:rsid w:val="001F01D7"/>
    <w:rsid w:val="001F034A"/>
    <w:rsid w:val="001F042C"/>
    <w:rsid w:val="001F0748"/>
    <w:rsid w:val="001F0810"/>
    <w:rsid w:val="001F089D"/>
    <w:rsid w:val="001F0B10"/>
    <w:rsid w:val="001F0E2D"/>
    <w:rsid w:val="001F0E3C"/>
    <w:rsid w:val="001F137E"/>
    <w:rsid w:val="001F156E"/>
    <w:rsid w:val="001F1733"/>
    <w:rsid w:val="001F1C13"/>
    <w:rsid w:val="001F204F"/>
    <w:rsid w:val="001F28F7"/>
    <w:rsid w:val="001F2B15"/>
    <w:rsid w:val="001F2D4C"/>
    <w:rsid w:val="001F3275"/>
    <w:rsid w:val="001F3378"/>
    <w:rsid w:val="001F35C2"/>
    <w:rsid w:val="001F44D3"/>
    <w:rsid w:val="001F4755"/>
    <w:rsid w:val="001F47CC"/>
    <w:rsid w:val="001F4D34"/>
    <w:rsid w:val="001F5040"/>
    <w:rsid w:val="001F523F"/>
    <w:rsid w:val="001F5E51"/>
    <w:rsid w:val="001F6112"/>
    <w:rsid w:val="001F6113"/>
    <w:rsid w:val="001F6336"/>
    <w:rsid w:val="001F63DD"/>
    <w:rsid w:val="001F6A93"/>
    <w:rsid w:val="001F6ED8"/>
    <w:rsid w:val="001F7151"/>
    <w:rsid w:val="001F7290"/>
    <w:rsid w:val="001F797E"/>
    <w:rsid w:val="001F79F3"/>
    <w:rsid w:val="0020005A"/>
    <w:rsid w:val="0020006C"/>
    <w:rsid w:val="002004FD"/>
    <w:rsid w:val="00200DCF"/>
    <w:rsid w:val="002012AB"/>
    <w:rsid w:val="0020188A"/>
    <w:rsid w:val="00201DE9"/>
    <w:rsid w:val="00201EF9"/>
    <w:rsid w:val="002021BE"/>
    <w:rsid w:val="00202A0D"/>
    <w:rsid w:val="00202AEF"/>
    <w:rsid w:val="00202C1A"/>
    <w:rsid w:val="00202D57"/>
    <w:rsid w:val="0020374C"/>
    <w:rsid w:val="002038F9"/>
    <w:rsid w:val="00203B4D"/>
    <w:rsid w:val="002043A5"/>
    <w:rsid w:val="00204710"/>
    <w:rsid w:val="0020486D"/>
    <w:rsid w:val="002048E2"/>
    <w:rsid w:val="00204C97"/>
    <w:rsid w:val="00205962"/>
    <w:rsid w:val="00205D13"/>
    <w:rsid w:val="0020602F"/>
    <w:rsid w:val="00206A7F"/>
    <w:rsid w:val="00206FA5"/>
    <w:rsid w:val="002070C8"/>
    <w:rsid w:val="002071C2"/>
    <w:rsid w:val="00207268"/>
    <w:rsid w:val="00207596"/>
    <w:rsid w:val="002077EF"/>
    <w:rsid w:val="00207EA2"/>
    <w:rsid w:val="00210064"/>
    <w:rsid w:val="002103EB"/>
    <w:rsid w:val="002107D3"/>
    <w:rsid w:val="002108C5"/>
    <w:rsid w:val="00210E4E"/>
    <w:rsid w:val="00210E8E"/>
    <w:rsid w:val="002114B9"/>
    <w:rsid w:val="00211830"/>
    <w:rsid w:val="00211B79"/>
    <w:rsid w:val="00211CE6"/>
    <w:rsid w:val="002129A4"/>
    <w:rsid w:val="00212A14"/>
    <w:rsid w:val="0021309A"/>
    <w:rsid w:val="0021323E"/>
    <w:rsid w:val="00213571"/>
    <w:rsid w:val="00213B11"/>
    <w:rsid w:val="00213CBB"/>
    <w:rsid w:val="0021443A"/>
    <w:rsid w:val="002144C1"/>
    <w:rsid w:val="002146AD"/>
    <w:rsid w:val="00214B0D"/>
    <w:rsid w:val="00214B1F"/>
    <w:rsid w:val="00214F01"/>
    <w:rsid w:val="00214FE7"/>
    <w:rsid w:val="00215754"/>
    <w:rsid w:val="00215C18"/>
    <w:rsid w:val="00216207"/>
    <w:rsid w:val="00216466"/>
    <w:rsid w:val="002164EF"/>
    <w:rsid w:val="00216719"/>
    <w:rsid w:val="00216B52"/>
    <w:rsid w:val="00216B82"/>
    <w:rsid w:val="00216CA9"/>
    <w:rsid w:val="00216CEE"/>
    <w:rsid w:val="00217082"/>
    <w:rsid w:val="002171E0"/>
    <w:rsid w:val="002173F2"/>
    <w:rsid w:val="00217ACA"/>
    <w:rsid w:val="00217E26"/>
    <w:rsid w:val="00220056"/>
    <w:rsid w:val="002205A4"/>
    <w:rsid w:val="00220698"/>
    <w:rsid w:val="0022097F"/>
    <w:rsid w:val="00220A07"/>
    <w:rsid w:val="0022152C"/>
    <w:rsid w:val="00221952"/>
    <w:rsid w:val="00221AD1"/>
    <w:rsid w:val="0022290D"/>
    <w:rsid w:val="00222C12"/>
    <w:rsid w:val="00222E2C"/>
    <w:rsid w:val="00222F3A"/>
    <w:rsid w:val="00223252"/>
    <w:rsid w:val="0022372B"/>
    <w:rsid w:val="002239CD"/>
    <w:rsid w:val="00224671"/>
    <w:rsid w:val="00224A4D"/>
    <w:rsid w:val="00225087"/>
    <w:rsid w:val="00225089"/>
    <w:rsid w:val="002251B8"/>
    <w:rsid w:val="00225414"/>
    <w:rsid w:val="00226225"/>
    <w:rsid w:val="0022637A"/>
    <w:rsid w:val="00226459"/>
    <w:rsid w:val="002272DE"/>
    <w:rsid w:val="002274C1"/>
    <w:rsid w:val="002276FF"/>
    <w:rsid w:val="00230209"/>
    <w:rsid w:val="002303F9"/>
    <w:rsid w:val="00230925"/>
    <w:rsid w:val="00230E9E"/>
    <w:rsid w:val="0023109D"/>
    <w:rsid w:val="00231D84"/>
    <w:rsid w:val="002320B0"/>
    <w:rsid w:val="002321B9"/>
    <w:rsid w:val="002323F4"/>
    <w:rsid w:val="00232D3E"/>
    <w:rsid w:val="00232F96"/>
    <w:rsid w:val="00232FA5"/>
    <w:rsid w:val="002331AE"/>
    <w:rsid w:val="00233547"/>
    <w:rsid w:val="00233571"/>
    <w:rsid w:val="00233E18"/>
    <w:rsid w:val="002343EF"/>
    <w:rsid w:val="0023441A"/>
    <w:rsid w:val="002347C4"/>
    <w:rsid w:val="0023503C"/>
    <w:rsid w:val="002355C6"/>
    <w:rsid w:val="0023587F"/>
    <w:rsid w:val="00235905"/>
    <w:rsid w:val="00235BC7"/>
    <w:rsid w:val="0023601B"/>
    <w:rsid w:val="002360FC"/>
    <w:rsid w:val="0023624D"/>
    <w:rsid w:val="002363C2"/>
    <w:rsid w:val="00237339"/>
    <w:rsid w:val="002375C1"/>
    <w:rsid w:val="002375CF"/>
    <w:rsid w:val="00237CF3"/>
    <w:rsid w:val="002405F1"/>
    <w:rsid w:val="00240AF3"/>
    <w:rsid w:val="00240D37"/>
    <w:rsid w:val="00240F6F"/>
    <w:rsid w:val="00241020"/>
    <w:rsid w:val="00241092"/>
    <w:rsid w:val="002412D5"/>
    <w:rsid w:val="002414F5"/>
    <w:rsid w:val="0024154A"/>
    <w:rsid w:val="002419A8"/>
    <w:rsid w:val="00241D64"/>
    <w:rsid w:val="00241E84"/>
    <w:rsid w:val="00242040"/>
    <w:rsid w:val="00242224"/>
    <w:rsid w:val="00242254"/>
    <w:rsid w:val="002422A1"/>
    <w:rsid w:val="00243082"/>
    <w:rsid w:val="00243399"/>
    <w:rsid w:val="002438A7"/>
    <w:rsid w:val="00243C88"/>
    <w:rsid w:val="00243EE2"/>
    <w:rsid w:val="0024464C"/>
    <w:rsid w:val="0024465D"/>
    <w:rsid w:val="002448CB"/>
    <w:rsid w:val="00244AE8"/>
    <w:rsid w:val="00244EF4"/>
    <w:rsid w:val="00244F4A"/>
    <w:rsid w:val="00245558"/>
    <w:rsid w:val="0024643C"/>
    <w:rsid w:val="00246458"/>
    <w:rsid w:val="002464C4"/>
    <w:rsid w:val="002468BD"/>
    <w:rsid w:val="00246A9B"/>
    <w:rsid w:val="00246AA6"/>
    <w:rsid w:val="002471B4"/>
    <w:rsid w:val="0024743C"/>
    <w:rsid w:val="0024795F"/>
    <w:rsid w:val="00247DAF"/>
    <w:rsid w:val="00247DBA"/>
    <w:rsid w:val="00247F99"/>
    <w:rsid w:val="0025073B"/>
    <w:rsid w:val="00250943"/>
    <w:rsid w:val="002509AF"/>
    <w:rsid w:val="00250A88"/>
    <w:rsid w:val="00250CEC"/>
    <w:rsid w:val="00251830"/>
    <w:rsid w:val="00251AE0"/>
    <w:rsid w:val="00251BAB"/>
    <w:rsid w:val="00252137"/>
    <w:rsid w:val="002528E2"/>
    <w:rsid w:val="00252C1C"/>
    <w:rsid w:val="00252C93"/>
    <w:rsid w:val="0025316E"/>
    <w:rsid w:val="0025340F"/>
    <w:rsid w:val="00253A96"/>
    <w:rsid w:val="002541C8"/>
    <w:rsid w:val="00254418"/>
    <w:rsid w:val="002548F2"/>
    <w:rsid w:val="00254F71"/>
    <w:rsid w:val="00255643"/>
    <w:rsid w:val="0025626D"/>
    <w:rsid w:val="00256560"/>
    <w:rsid w:val="00256624"/>
    <w:rsid w:val="00256C87"/>
    <w:rsid w:val="00256DDA"/>
    <w:rsid w:val="00257738"/>
    <w:rsid w:val="00257D9B"/>
    <w:rsid w:val="00257F30"/>
    <w:rsid w:val="00257F46"/>
    <w:rsid w:val="002600AD"/>
    <w:rsid w:val="00260278"/>
    <w:rsid w:val="00260892"/>
    <w:rsid w:val="00260CB3"/>
    <w:rsid w:val="00260FF7"/>
    <w:rsid w:val="00261317"/>
    <w:rsid w:val="00261321"/>
    <w:rsid w:val="00261395"/>
    <w:rsid w:val="002618F0"/>
    <w:rsid w:val="002619E4"/>
    <w:rsid w:val="002620C0"/>
    <w:rsid w:val="002622B1"/>
    <w:rsid w:val="00262683"/>
    <w:rsid w:val="00262ACE"/>
    <w:rsid w:val="00262EDE"/>
    <w:rsid w:val="00263094"/>
    <w:rsid w:val="002630E1"/>
    <w:rsid w:val="002632C9"/>
    <w:rsid w:val="002633E5"/>
    <w:rsid w:val="002634B1"/>
    <w:rsid w:val="00263646"/>
    <w:rsid w:val="0026389C"/>
    <w:rsid w:val="002639D5"/>
    <w:rsid w:val="00264319"/>
    <w:rsid w:val="002647C1"/>
    <w:rsid w:val="00264BC6"/>
    <w:rsid w:val="00264E21"/>
    <w:rsid w:val="00265270"/>
    <w:rsid w:val="002657DD"/>
    <w:rsid w:val="002658BA"/>
    <w:rsid w:val="00265B4D"/>
    <w:rsid w:val="00265BC4"/>
    <w:rsid w:val="00265C0D"/>
    <w:rsid w:val="00265F14"/>
    <w:rsid w:val="002663F1"/>
    <w:rsid w:val="0026655E"/>
    <w:rsid w:val="00266ACC"/>
    <w:rsid w:val="00266CF8"/>
    <w:rsid w:val="00267378"/>
    <w:rsid w:val="0026795F"/>
    <w:rsid w:val="00267C47"/>
    <w:rsid w:val="00267F2B"/>
    <w:rsid w:val="00270096"/>
    <w:rsid w:val="0027009D"/>
    <w:rsid w:val="002707A0"/>
    <w:rsid w:val="00270F05"/>
    <w:rsid w:val="00271211"/>
    <w:rsid w:val="0027144D"/>
    <w:rsid w:val="002714C2"/>
    <w:rsid w:val="00271DE1"/>
    <w:rsid w:val="00272037"/>
    <w:rsid w:val="00272332"/>
    <w:rsid w:val="0027240B"/>
    <w:rsid w:val="00272507"/>
    <w:rsid w:val="00272F24"/>
    <w:rsid w:val="0027324A"/>
    <w:rsid w:val="00273322"/>
    <w:rsid w:val="002738B5"/>
    <w:rsid w:val="00273900"/>
    <w:rsid w:val="002747A2"/>
    <w:rsid w:val="002748A7"/>
    <w:rsid w:val="00274B9A"/>
    <w:rsid w:val="00274DE8"/>
    <w:rsid w:val="00274DED"/>
    <w:rsid w:val="0027536C"/>
    <w:rsid w:val="002758B4"/>
    <w:rsid w:val="0027593C"/>
    <w:rsid w:val="00276040"/>
    <w:rsid w:val="002760EF"/>
    <w:rsid w:val="00276A82"/>
    <w:rsid w:val="00276C54"/>
    <w:rsid w:val="00276FF5"/>
    <w:rsid w:val="00277165"/>
    <w:rsid w:val="00277289"/>
    <w:rsid w:val="002773F6"/>
    <w:rsid w:val="0027759D"/>
    <w:rsid w:val="00277618"/>
    <w:rsid w:val="002778AD"/>
    <w:rsid w:val="00277A2C"/>
    <w:rsid w:val="00280745"/>
    <w:rsid w:val="0028076D"/>
    <w:rsid w:val="00280CB0"/>
    <w:rsid w:val="0028139F"/>
    <w:rsid w:val="002818C0"/>
    <w:rsid w:val="00281D9D"/>
    <w:rsid w:val="002820ED"/>
    <w:rsid w:val="00282660"/>
    <w:rsid w:val="002827FE"/>
    <w:rsid w:val="00282A1D"/>
    <w:rsid w:val="00282E1D"/>
    <w:rsid w:val="0028301E"/>
    <w:rsid w:val="00283444"/>
    <w:rsid w:val="0028351E"/>
    <w:rsid w:val="00283565"/>
    <w:rsid w:val="0028382A"/>
    <w:rsid w:val="002839D3"/>
    <w:rsid w:val="00283A30"/>
    <w:rsid w:val="00283A59"/>
    <w:rsid w:val="00283CB4"/>
    <w:rsid w:val="00283EA9"/>
    <w:rsid w:val="0028415A"/>
    <w:rsid w:val="002841C5"/>
    <w:rsid w:val="00284A0E"/>
    <w:rsid w:val="00284BDB"/>
    <w:rsid w:val="00285107"/>
    <w:rsid w:val="00285129"/>
    <w:rsid w:val="00285493"/>
    <w:rsid w:val="002857D1"/>
    <w:rsid w:val="00285A11"/>
    <w:rsid w:val="00285A96"/>
    <w:rsid w:val="002860F2"/>
    <w:rsid w:val="002864BE"/>
    <w:rsid w:val="00287018"/>
    <w:rsid w:val="00287851"/>
    <w:rsid w:val="00290957"/>
    <w:rsid w:val="00290A20"/>
    <w:rsid w:val="00290C12"/>
    <w:rsid w:val="00290C34"/>
    <w:rsid w:val="0029115F"/>
    <w:rsid w:val="002913E4"/>
    <w:rsid w:val="00291A5F"/>
    <w:rsid w:val="00291D62"/>
    <w:rsid w:val="00291D93"/>
    <w:rsid w:val="00292BF8"/>
    <w:rsid w:val="00292E8C"/>
    <w:rsid w:val="002934E1"/>
    <w:rsid w:val="0029372A"/>
    <w:rsid w:val="00293CCF"/>
    <w:rsid w:val="0029403A"/>
    <w:rsid w:val="00294170"/>
    <w:rsid w:val="0029450C"/>
    <w:rsid w:val="00294589"/>
    <w:rsid w:val="00294804"/>
    <w:rsid w:val="00294BCA"/>
    <w:rsid w:val="00294DCA"/>
    <w:rsid w:val="00295115"/>
    <w:rsid w:val="00295190"/>
    <w:rsid w:val="00295246"/>
    <w:rsid w:val="0029533B"/>
    <w:rsid w:val="002953E2"/>
    <w:rsid w:val="00295A37"/>
    <w:rsid w:val="00295C21"/>
    <w:rsid w:val="00295E80"/>
    <w:rsid w:val="00296065"/>
    <w:rsid w:val="0029619B"/>
    <w:rsid w:val="00296311"/>
    <w:rsid w:val="00296A3C"/>
    <w:rsid w:val="00296A7A"/>
    <w:rsid w:val="0029752D"/>
    <w:rsid w:val="00297C2D"/>
    <w:rsid w:val="002A0474"/>
    <w:rsid w:val="002A0A44"/>
    <w:rsid w:val="002A0C1C"/>
    <w:rsid w:val="002A11B8"/>
    <w:rsid w:val="002A120F"/>
    <w:rsid w:val="002A1336"/>
    <w:rsid w:val="002A1613"/>
    <w:rsid w:val="002A175E"/>
    <w:rsid w:val="002A19B8"/>
    <w:rsid w:val="002A19FA"/>
    <w:rsid w:val="002A2120"/>
    <w:rsid w:val="002A27EC"/>
    <w:rsid w:val="002A28DF"/>
    <w:rsid w:val="002A2BE2"/>
    <w:rsid w:val="002A2E62"/>
    <w:rsid w:val="002A301D"/>
    <w:rsid w:val="002A34B7"/>
    <w:rsid w:val="002A395B"/>
    <w:rsid w:val="002A3B81"/>
    <w:rsid w:val="002A4049"/>
    <w:rsid w:val="002A440A"/>
    <w:rsid w:val="002A4637"/>
    <w:rsid w:val="002A466D"/>
    <w:rsid w:val="002A4AEB"/>
    <w:rsid w:val="002A4B4E"/>
    <w:rsid w:val="002A4FF3"/>
    <w:rsid w:val="002A57C6"/>
    <w:rsid w:val="002A5DB0"/>
    <w:rsid w:val="002A633A"/>
    <w:rsid w:val="002A64C3"/>
    <w:rsid w:val="002A662F"/>
    <w:rsid w:val="002A692B"/>
    <w:rsid w:val="002A6C39"/>
    <w:rsid w:val="002A6FD0"/>
    <w:rsid w:val="002A70F0"/>
    <w:rsid w:val="002A732E"/>
    <w:rsid w:val="002A7606"/>
    <w:rsid w:val="002A7D81"/>
    <w:rsid w:val="002A7E56"/>
    <w:rsid w:val="002B04E3"/>
    <w:rsid w:val="002B118F"/>
    <w:rsid w:val="002B1DBC"/>
    <w:rsid w:val="002B23F8"/>
    <w:rsid w:val="002B289C"/>
    <w:rsid w:val="002B2E9C"/>
    <w:rsid w:val="002B2EB4"/>
    <w:rsid w:val="002B2FDF"/>
    <w:rsid w:val="002B3418"/>
    <w:rsid w:val="002B373F"/>
    <w:rsid w:val="002B42E1"/>
    <w:rsid w:val="002B4428"/>
    <w:rsid w:val="002B44A4"/>
    <w:rsid w:val="002B4A7C"/>
    <w:rsid w:val="002B4B9F"/>
    <w:rsid w:val="002B4D58"/>
    <w:rsid w:val="002B4E6A"/>
    <w:rsid w:val="002B4F61"/>
    <w:rsid w:val="002B4F86"/>
    <w:rsid w:val="002B4F97"/>
    <w:rsid w:val="002B5140"/>
    <w:rsid w:val="002B5FD4"/>
    <w:rsid w:val="002B63BF"/>
    <w:rsid w:val="002B679E"/>
    <w:rsid w:val="002B6B22"/>
    <w:rsid w:val="002B6CB3"/>
    <w:rsid w:val="002B6D00"/>
    <w:rsid w:val="002B706F"/>
    <w:rsid w:val="002B71E0"/>
    <w:rsid w:val="002B742D"/>
    <w:rsid w:val="002B750E"/>
    <w:rsid w:val="002B7B5A"/>
    <w:rsid w:val="002B7D2E"/>
    <w:rsid w:val="002C02B3"/>
    <w:rsid w:val="002C09EB"/>
    <w:rsid w:val="002C0D03"/>
    <w:rsid w:val="002C1717"/>
    <w:rsid w:val="002C1758"/>
    <w:rsid w:val="002C27BE"/>
    <w:rsid w:val="002C2B76"/>
    <w:rsid w:val="002C37A5"/>
    <w:rsid w:val="002C3AB1"/>
    <w:rsid w:val="002C3B36"/>
    <w:rsid w:val="002C4185"/>
    <w:rsid w:val="002C43DB"/>
    <w:rsid w:val="002C4B01"/>
    <w:rsid w:val="002C4DC4"/>
    <w:rsid w:val="002C4F15"/>
    <w:rsid w:val="002C546E"/>
    <w:rsid w:val="002C5CA7"/>
    <w:rsid w:val="002C5D2D"/>
    <w:rsid w:val="002C6755"/>
    <w:rsid w:val="002C6963"/>
    <w:rsid w:val="002C7228"/>
    <w:rsid w:val="002C7471"/>
    <w:rsid w:val="002C7694"/>
    <w:rsid w:val="002D01C6"/>
    <w:rsid w:val="002D0314"/>
    <w:rsid w:val="002D040A"/>
    <w:rsid w:val="002D0781"/>
    <w:rsid w:val="002D079E"/>
    <w:rsid w:val="002D12E0"/>
    <w:rsid w:val="002D1B20"/>
    <w:rsid w:val="002D1BFE"/>
    <w:rsid w:val="002D1CB3"/>
    <w:rsid w:val="002D1CCE"/>
    <w:rsid w:val="002D21C9"/>
    <w:rsid w:val="002D2577"/>
    <w:rsid w:val="002D2A80"/>
    <w:rsid w:val="002D2CBE"/>
    <w:rsid w:val="002D2D1D"/>
    <w:rsid w:val="002D2D90"/>
    <w:rsid w:val="002D2F00"/>
    <w:rsid w:val="002D30F2"/>
    <w:rsid w:val="002D3177"/>
    <w:rsid w:val="002D38A2"/>
    <w:rsid w:val="002D38F3"/>
    <w:rsid w:val="002D4010"/>
    <w:rsid w:val="002D40C2"/>
    <w:rsid w:val="002D4174"/>
    <w:rsid w:val="002D4942"/>
    <w:rsid w:val="002D522E"/>
    <w:rsid w:val="002D52F3"/>
    <w:rsid w:val="002D55FC"/>
    <w:rsid w:val="002D56DB"/>
    <w:rsid w:val="002D5C8A"/>
    <w:rsid w:val="002D621F"/>
    <w:rsid w:val="002D6AAE"/>
    <w:rsid w:val="002D6B21"/>
    <w:rsid w:val="002D6D04"/>
    <w:rsid w:val="002D6E54"/>
    <w:rsid w:val="002D750D"/>
    <w:rsid w:val="002D757C"/>
    <w:rsid w:val="002D7760"/>
    <w:rsid w:val="002D792E"/>
    <w:rsid w:val="002D7AA5"/>
    <w:rsid w:val="002D7E94"/>
    <w:rsid w:val="002E00DA"/>
    <w:rsid w:val="002E0889"/>
    <w:rsid w:val="002E0BA3"/>
    <w:rsid w:val="002E0D48"/>
    <w:rsid w:val="002E0ED2"/>
    <w:rsid w:val="002E0FB3"/>
    <w:rsid w:val="002E1582"/>
    <w:rsid w:val="002E1949"/>
    <w:rsid w:val="002E1BA4"/>
    <w:rsid w:val="002E1C79"/>
    <w:rsid w:val="002E22C2"/>
    <w:rsid w:val="002E2336"/>
    <w:rsid w:val="002E2499"/>
    <w:rsid w:val="002E2C77"/>
    <w:rsid w:val="002E2EA6"/>
    <w:rsid w:val="002E3000"/>
    <w:rsid w:val="002E3165"/>
    <w:rsid w:val="002E31BE"/>
    <w:rsid w:val="002E32D3"/>
    <w:rsid w:val="002E338E"/>
    <w:rsid w:val="002E34C5"/>
    <w:rsid w:val="002E368F"/>
    <w:rsid w:val="002E3829"/>
    <w:rsid w:val="002E3970"/>
    <w:rsid w:val="002E3DA4"/>
    <w:rsid w:val="002E3F4B"/>
    <w:rsid w:val="002E3F60"/>
    <w:rsid w:val="002E4491"/>
    <w:rsid w:val="002E44C4"/>
    <w:rsid w:val="002E4641"/>
    <w:rsid w:val="002E4B07"/>
    <w:rsid w:val="002E4E4D"/>
    <w:rsid w:val="002E5052"/>
    <w:rsid w:val="002E5064"/>
    <w:rsid w:val="002E5E0C"/>
    <w:rsid w:val="002E5E25"/>
    <w:rsid w:val="002E5E2E"/>
    <w:rsid w:val="002E60A8"/>
    <w:rsid w:val="002E6506"/>
    <w:rsid w:val="002E6528"/>
    <w:rsid w:val="002E6550"/>
    <w:rsid w:val="002E6955"/>
    <w:rsid w:val="002E707C"/>
    <w:rsid w:val="002E70BF"/>
    <w:rsid w:val="002E723F"/>
    <w:rsid w:val="002E72DB"/>
    <w:rsid w:val="002E739D"/>
    <w:rsid w:val="002E75A8"/>
    <w:rsid w:val="002E78EB"/>
    <w:rsid w:val="002E7AA3"/>
    <w:rsid w:val="002F01D2"/>
    <w:rsid w:val="002F01F1"/>
    <w:rsid w:val="002F0297"/>
    <w:rsid w:val="002F045C"/>
    <w:rsid w:val="002F0DF6"/>
    <w:rsid w:val="002F0F9F"/>
    <w:rsid w:val="002F150C"/>
    <w:rsid w:val="002F2E67"/>
    <w:rsid w:val="002F2E98"/>
    <w:rsid w:val="002F2ECF"/>
    <w:rsid w:val="002F2F0A"/>
    <w:rsid w:val="002F302D"/>
    <w:rsid w:val="002F3298"/>
    <w:rsid w:val="002F35A4"/>
    <w:rsid w:val="002F3625"/>
    <w:rsid w:val="002F3731"/>
    <w:rsid w:val="002F379A"/>
    <w:rsid w:val="002F4619"/>
    <w:rsid w:val="002F495B"/>
    <w:rsid w:val="002F4F65"/>
    <w:rsid w:val="002F599D"/>
    <w:rsid w:val="002F5B6B"/>
    <w:rsid w:val="002F5BC8"/>
    <w:rsid w:val="002F6102"/>
    <w:rsid w:val="002F6303"/>
    <w:rsid w:val="002F64B9"/>
    <w:rsid w:val="002F64CD"/>
    <w:rsid w:val="002F6809"/>
    <w:rsid w:val="002F6EE0"/>
    <w:rsid w:val="002F7009"/>
    <w:rsid w:val="002F74E3"/>
    <w:rsid w:val="002F74EF"/>
    <w:rsid w:val="002F7531"/>
    <w:rsid w:val="002F7B3B"/>
    <w:rsid w:val="002F7C11"/>
    <w:rsid w:val="002F7DBC"/>
    <w:rsid w:val="002F7E81"/>
    <w:rsid w:val="002F7FE7"/>
    <w:rsid w:val="00300022"/>
    <w:rsid w:val="003002FF"/>
    <w:rsid w:val="00300843"/>
    <w:rsid w:val="00300C1A"/>
    <w:rsid w:val="003011BE"/>
    <w:rsid w:val="00301482"/>
    <w:rsid w:val="00301647"/>
    <w:rsid w:val="003019FB"/>
    <w:rsid w:val="00301E77"/>
    <w:rsid w:val="003022E1"/>
    <w:rsid w:val="0030259D"/>
    <w:rsid w:val="00302894"/>
    <w:rsid w:val="00302943"/>
    <w:rsid w:val="00302CCD"/>
    <w:rsid w:val="003031E2"/>
    <w:rsid w:val="003032AD"/>
    <w:rsid w:val="0030357D"/>
    <w:rsid w:val="00303694"/>
    <w:rsid w:val="00303E9C"/>
    <w:rsid w:val="0030427C"/>
    <w:rsid w:val="003042FF"/>
    <w:rsid w:val="003045FC"/>
    <w:rsid w:val="00304BD4"/>
    <w:rsid w:val="00305176"/>
    <w:rsid w:val="0030521E"/>
    <w:rsid w:val="00305B43"/>
    <w:rsid w:val="00305BB8"/>
    <w:rsid w:val="00305DE1"/>
    <w:rsid w:val="0030613F"/>
    <w:rsid w:val="00306444"/>
    <w:rsid w:val="00306892"/>
    <w:rsid w:val="00306BBB"/>
    <w:rsid w:val="003076F2"/>
    <w:rsid w:val="00307881"/>
    <w:rsid w:val="003101A2"/>
    <w:rsid w:val="00310334"/>
    <w:rsid w:val="00310968"/>
    <w:rsid w:val="00310B88"/>
    <w:rsid w:val="00310B91"/>
    <w:rsid w:val="00310E60"/>
    <w:rsid w:val="00311385"/>
    <w:rsid w:val="0031211F"/>
    <w:rsid w:val="00312218"/>
    <w:rsid w:val="0031270D"/>
    <w:rsid w:val="00313CA4"/>
    <w:rsid w:val="0031429A"/>
    <w:rsid w:val="0031470D"/>
    <w:rsid w:val="00315186"/>
    <w:rsid w:val="00315198"/>
    <w:rsid w:val="0031522A"/>
    <w:rsid w:val="0031545C"/>
    <w:rsid w:val="003157EA"/>
    <w:rsid w:val="00315B52"/>
    <w:rsid w:val="003165F4"/>
    <w:rsid w:val="00317218"/>
    <w:rsid w:val="003172A7"/>
    <w:rsid w:val="00317665"/>
    <w:rsid w:val="00317857"/>
    <w:rsid w:val="00317B7C"/>
    <w:rsid w:val="00317D2D"/>
    <w:rsid w:val="0032017F"/>
    <w:rsid w:val="003201BC"/>
    <w:rsid w:val="00320782"/>
    <w:rsid w:val="003212C2"/>
    <w:rsid w:val="0032138A"/>
    <w:rsid w:val="00321590"/>
    <w:rsid w:val="00321765"/>
    <w:rsid w:val="00321B2F"/>
    <w:rsid w:val="0032239E"/>
    <w:rsid w:val="00322469"/>
    <w:rsid w:val="003225A7"/>
    <w:rsid w:val="00322C60"/>
    <w:rsid w:val="00323279"/>
    <w:rsid w:val="0032337F"/>
    <w:rsid w:val="003237B6"/>
    <w:rsid w:val="0032390B"/>
    <w:rsid w:val="00323D64"/>
    <w:rsid w:val="00323DC1"/>
    <w:rsid w:val="0032452D"/>
    <w:rsid w:val="00324699"/>
    <w:rsid w:val="00324ED9"/>
    <w:rsid w:val="00325018"/>
    <w:rsid w:val="00325069"/>
    <w:rsid w:val="00325136"/>
    <w:rsid w:val="00325572"/>
    <w:rsid w:val="003255DA"/>
    <w:rsid w:val="00325884"/>
    <w:rsid w:val="003258F0"/>
    <w:rsid w:val="00325E0A"/>
    <w:rsid w:val="00326269"/>
    <w:rsid w:val="0032641A"/>
    <w:rsid w:val="00326432"/>
    <w:rsid w:val="003268E7"/>
    <w:rsid w:val="00326B06"/>
    <w:rsid w:val="00326B30"/>
    <w:rsid w:val="00326E4B"/>
    <w:rsid w:val="00326E64"/>
    <w:rsid w:val="003273C1"/>
    <w:rsid w:val="003277C5"/>
    <w:rsid w:val="00327C3B"/>
    <w:rsid w:val="00327C8E"/>
    <w:rsid w:val="00327D0E"/>
    <w:rsid w:val="00330865"/>
    <w:rsid w:val="00330913"/>
    <w:rsid w:val="00330A7A"/>
    <w:rsid w:val="00331233"/>
    <w:rsid w:val="003312AE"/>
    <w:rsid w:val="00331625"/>
    <w:rsid w:val="00331931"/>
    <w:rsid w:val="00331E8A"/>
    <w:rsid w:val="00332060"/>
    <w:rsid w:val="00332132"/>
    <w:rsid w:val="00332ADB"/>
    <w:rsid w:val="00332B93"/>
    <w:rsid w:val="00333218"/>
    <w:rsid w:val="003332DD"/>
    <w:rsid w:val="00333567"/>
    <w:rsid w:val="003335B4"/>
    <w:rsid w:val="003337C6"/>
    <w:rsid w:val="00333A7B"/>
    <w:rsid w:val="00333DA0"/>
    <w:rsid w:val="003347F7"/>
    <w:rsid w:val="0033561D"/>
    <w:rsid w:val="003359D7"/>
    <w:rsid w:val="00335F1C"/>
    <w:rsid w:val="00335F33"/>
    <w:rsid w:val="00336245"/>
    <w:rsid w:val="00337017"/>
    <w:rsid w:val="003371D4"/>
    <w:rsid w:val="00337BE5"/>
    <w:rsid w:val="00337DDB"/>
    <w:rsid w:val="0034071E"/>
    <w:rsid w:val="003409C0"/>
    <w:rsid w:val="00340F88"/>
    <w:rsid w:val="003412B8"/>
    <w:rsid w:val="00341457"/>
    <w:rsid w:val="003419CC"/>
    <w:rsid w:val="00341AAE"/>
    <w:rsid w:val="00341D4C"/>
    <w:rsid w:val="003425C3"/>
    <w:rsid w:val="00342A07"/>
    <w:rsid w:val="00343088"/>
    <w:rsid w:val="00343100"/>
    <w:rsid w:val="003438B3"/>
    <w:rsid w:val="00343914"/>
    <w:rsid w:val="00343DBB"/>
    <w:rsid w:val="00343F71"/>
    <w:rsid w:val="00343F93"/>
    <w:rsid w:val="00344A4A"/>
    <w:rsid w:val="00344DAB"/>
    <w:rsid w:val="00345664"/>
    <w:rsid w:val="003457C5"/>
    <w:rsid w:val="00345BF1"/>
    <w:rsid w:val="00345EA0"/>
    <w:rsid w:val="003465E9"/>
    <w:rsid w:val="003465FA"/>
    <w:rsid w:val="00346ADF"/>
    <w:rsid w:val="0034718F"/>
    <w:rsid w:val="003471A8"/>
    <w:rsid w:val="003474C4"/>
    <w:rsid w:val="00347812"/>
    <w:rsid w:val="00347E5F"/>
    <w:rsid w:val="00347F2B"/>
    <w:rsid w:val="00350E30"/>
    <w:rsid w:val="00350E40"/>
    <w:rsid w:val="003511E3"/>
    <w:rsid w:val="00351341"/>
    <w:rsid w:val="003514A9"/>
    <w:rsid w:val="003516DA"/>
    <w:rsid w:val="00351989"/>
    <w:rsid w:val="0035206E"/>
    <w:rsid w:val="003529C7"/>
    <w:rsid w:val="00352A74"/>
    <w:rsid w:val="003531FF"/>
    <w:rsid w:val="00353BAE"/>
    <w:rsid w:val="00353DF9"/>
    <w:rsid w:val="00353FA1"/>
    <w:rsid w:val="003544A7"/>
    <w:rsid w:val="00354603"/>
    <w:rsid w:val="003547A1"/>
    <w:rsid w:val="003548C6"/>
    <w:rsid w:val="003549D7"/>
    <w:rsid w:val="00354A5A"/>
    <w:rsid w:val="003553BA"/>
    <w:rsid w:val="0035563B"/>
    <w:rsid w:val="0035572D"/>
    <w:rsid w:val="00355E2A"/>
    <w:rsid w:val="00356162"/>
    <w:rsid w:val="003563BB"/>
    <w:rsid w:val="003563BC"/>
    <w:rsid w:val="00356A63"/>
    <w:rsid w:val="00356D89"/>
    <w:rsid w:val="0035727D"/>
    <w:rsid w:val="003601E1"/>
    <w:rsid w:val="003603C1"/>
    <w:rsid w:val="003604E5"/>
    <w:rsid w:val="00360F68"/>
    <w:rsid w:val="003613E3"/>
    <w:rsid w:val="00361ECA"/>
    <w:rsid w:val="00362070"/>
    <w:rsid w:val="00362583"/>
    <w:rsid w:val="0036258B"/>
    <w:rsid w:val="00362A19"/>
    <w:rsid w:val="00362A4A"/>
    <w:rsid w:val="00362B0F"/>
    <w:rsid w:val="00362D0A"/>
    <w:rsid w:val="00362FDF"/>
    <w:rsid w:val="00363254"/>
    <w:rsid w:val="00363448"/>
    <w:rsid w:val="00363B33"/>
    <w:rsid w:val="003649DA"/>
    <w:rsid w:val="00364EC2"/>
    <w:rsid w:val="00365367"/>
    <w:rsid w:val="003654F4"/>
    <w:rsid w:val="003657BB"/>
    <w:rsid w:val="003657C3"/>
    <w:rsid w:val="00365D2A"/>
    <w:rsid w:val="003664C4"/>
    <w:rsid w:val="00366521"/>
    <w:rsid w:val="00366821"/>
    <w:rsid w:val="00366E1B"/>
    <w:rsid w:val="00367497"/>
    <w:rsid w:val="0036774F"/>
    <w:rsid w:val="00370000"/>
    <w:rsid w:val="00370341"/>
    <w:rsid w:val="003717D4"/>
    <w:rsid w:val="00371E13"/>
    <w:rsid w:val="00372030"/>
    <w:rsid w:val="003721CD"/>
    <w:rsid w:val="0037233C"/>
    <w:rsid w:val="003727EE"/>
    <w:rsid w:val="00372CAF"/>
    <w:rsid w:val="00373AA3"/>
    <w:rsid w:val="00373C41"/>
    <w:rsid w:val="00373D42"/>
    <w:rsid w:val="003740F6"/>
    <w:rsid w:val="003742BA"/>
    <w:rsid w:val="00374482"/>
    <w:rsid w:val="00374529"/>
    <w:rsid w:val="00374681"/>
    <w:rsid w:val="003749F4"/>
    <w:rsid w:val="00374D48"/>
    <w:rsid w:val="003752EB"/>
    <w:rsid w:val="003756A1"/>
    <w:rsid w:val="003756C4"/>
    <w:rsid w:val="00375747"/>
    <w:rsid w:val="00375A2D"/>
    <w:rsid w:val="0037614D"/>
    <w:rsid w:val="003763C4"/>
    <w:rsid w:val="00376458"/>
    <w:rsid w:val="00376B38"/>
    <w:rsid w:val="00376D4E"/>
    <w:rsid w:val="00376D8B"/>
    <w:rsid w:val="00376F6B"/>
    <w:rsid w:val="00376F78"/>
    <w:rsid w:val="0037730A"/>
    <w:rsid w:val="0037738A"/>
    <w:rsid w:val="00377C21"/>
    <w:rsid w:val="00377EC4"/>
    <w:rsid w:val="00380138"/>
    <w:rsid w:val="003803CA"/>
    <w:rsid w:val="00380679"/>
    <w:rsid w:val="0038095A"/>
    <w:rsid w:val="003809E8"/>
    <w:rsid w:val="00380B3B"/>
    <w:rsid w:val="0038160D"/>
    <w:rsid w:val="0038161A"/>
    <w:rsid w:val="00381626"/>
    <w:rsid w:val="00381E42"/>
    <w:rsid w:val="00381F41"/>
    <w:rsid w:val="003820A2"/>
    <w:rsid w:val="003824AA"/>
    <w:rsid w:val="003824E2"/>
    <w:rsid w:val="003827E9"/>
    <w:rsid w:val="00383AB0"/>
    <w:rsid w:val="00383E80"/>
    <w:rsid w:val="00384E72"/>
    <w:rsid w:val="00384E82"/>
    <w:rsid w:val="003853A3"/>
    <w:rsid w:val="00385418"/>
    <w:rsid w:val="00385D41"/>
    <w:rsid w:val="00386110"/>
    <w:rsid w:val="003863CD"/>
    <w:rsid w:val="003867F0"/>
    <w:rsid w:val="00386AAD"/>
    <w:rsid w:val="00386B5F"/>
    <w:rsid w:val="00386C9A"/>
    <w:rsid w:val="00387811"/>
    <w:rsid w:val="00390055"/>
    <w:rsid w:val="003906C9"/>
    <w:rsid w:val="00390A82"/>
    <w:rsid w:val="00390FE6"/>
    <w:rsid w:val="003913A4"/>
    <w:rsid w:val="003917A7"/>
    <w:rsid w:val="003917DE"/>
    <w:rsid w:val="00391BDC"/>
    <w:rsid w:val="00392218"/>
    <w:rsid w:val="0039222A"/>
    <w:rsid w:val="00392534"/>
    <w:rsid w:val="00392885"/>
    <w:rsid w:val="00392C30"/>
    <w:rsid w:val="00392F1B"/>
    <w:rsid w:val="003936F9"/>
    <w:rsid w:val="00393AC3"/>
    <w:rsid w:val="00393FB6"/>
    <w:rsid w:val="0039425E"/>
    <w:rsid w:val="0039477E"/>
    <w:rsid w:val="0039484E"/>
    <w:rsid w:val="003948B8"/>
    <w:rsid w:val="00394B7E"/>
    <w:rsid w:val="00394E2D"/>
    <w:rsid w:val="00394F92"/>
    <w:rsid w:val="00395A4B"/>
    <w:rsid w:val="003960ED"/>
    <w:rsid w:val="00396529"/>
    <w:rsid w:val="00396877"/>
    <w:rsid w:val="00396913"/>
    <w:rsid w:val="00396D34"/>
    <w:rsid w:val="00396EC5"/>
    <w:rsid w:val="0039726C"/>
    <w:rsid w:val="003972DF"/>
    <w:rsid w:val="003976B4"/>
    <w:rsid w:val="0039772E"/>
    <w:rsid w:val="00397B30"/>
    <w:rsid w:val="00397DB2"/>
    <w:rsid w:val="00397E74"/>
    <w:rsid w:val="00397ECE"/>
    <w:rsid w:val="00397FA2"/>
    <w:rsid w:val="003A00BE"/>
    <w:rsid w:val="003A014C"/>
    <w:rsid w:val="003A0279"/>
    <w:rsid w:val="003A05D3"/>
    <w:rsid w:val="003A062D"/>
    <w:rsid w:val="003A066D"/>
    <w:rsid w:val="003A076D"/>
    <w:rsid w:val="003A0C77"/>
    <w:rsid w:val="003A11E3"/>
    <w:rsid w:val="003A15BA"/>
    <w:rsid w:val="003A1806"/>
    <w:rsid w:val="003A185A"/>
    <w:rsid w:val="003A18D3"/>
    <w:rsid w:val="003A1D52"/>
    <w:rsid w:val="003A1EFB"/>
    <w:rsid w:val="003A2CCF"/>
    <w:rsid w:val="003A373E"/>
    <w:rsid w:val="003A3A56"/>
    <w:rsid w:val="003A3EDD"/>
    <w:rsid w:val="003A4633"/>
    <w:rsid w:val="003A4666"/>
    <w:rsid w:val="003A4AD1"/>
    <w:rsid w:val="003A5B9E"/>
    <w:rsid w:val="003A5D86"/>
    <w:rsid w:val="003A60CD"/>
    <w:rsid w:val="003A62CF"/>
    <w:rsid w:val="003A66F9"/>
    <w:rsid w:val="003A686F"/>
    <w:rsid w:val="003A690E"/>
    <w:rsid w:val="003A6993"/>
    <w:rsid w:val="003A6BD8"/>
    <w:rsid w:val="003A72F2"/>
    <w:rsid w:val="003A7755"/>
    <w:rsid w:val="003A7785"/>
    <w:rsid w:val="003A7E6D"/>
    <w:rsid w:val="003B0121"/>
    <w:rsid w:val="003B0201"/>
    <w:rsid w:val="003B02F9"/>
    <w:rsid w:val="003B038E"/>
    <w:rsid w:val="003B06D0"/>
    <w:rsid w:val="003B06D8"/>
    <w:rsid w:val="003B0740"/>
    <w:rsid w:val="003B076B"/>
    <w:rsid w:val="003B0C17"/>
    <w:rsid w:val="003B0C84"/>
    <w:rsid w:val="003B101F"/>
    <w:rsid w:val="003B10F6"/>
    <w:rsid w:val="003B18A0"/>
    <w:rsid w:val="003B1932"/>
    <w:rsid w:val="003B1C54"/>
    <w:rsid w:val="003B1D62"/>
    <w:rsid w:val="003B2007"/>
    <w:rsid w:val="003B208D"/>
    <w:rsid w:val="003B21BA"/>
    <w:rsid w:val="003B2B65"/>
    <w:rsid w:val="003B2E0D"/>
    <w:rsid w:val="003B32D3"/>
    <w:rsid w:val="003B3BAA"/>
    <w:rsid w:val="003B3CAC"/>
    <w:rsid w:val="003B3DAA"/>
    <w:rsid w:val="003B401F"/>
    <w:rsid w:val="003B40F9"/>
    <w:rsid w:val="003B41DA"/>
    <w:rsid w:val="003B42D7"/>
    <w:rsid w:val="003B442D"/>
    <w:rsid w:val="003B4604"/>
    <w:rsid w:val="003B4729"/>
    <w:rsid w:val="003B4D3F"/>
    <w:rsid w:val="003B5342"/>
    <w:rsid w:val="003B53BD"/>
    <w:rsid w:val="003B55A9"/>
    <w:rsid w:val="003B56DB"/>
    <w:rsid w:val="003B5806"/>
    <w:rsid w:val="003B5892"/>
    <w:rsid w:val="003B5B17"/>
    <w:rsid w:val="003B5EEF"/>
    <w:rsid w:val="003B5FFE"/>
    <w:rsid w:val="003B6692"/>
    <w:rsid w:val="003B6B57"/>
    <w:rsid w:val="003B6CE2"/>
    <w:rsid w:val="003B6D60"/>
    <w:rsid w:val="003B74BE"/>
    <w:rsid w:val="003B7A23"/>
    <w:rsid w:val="003C00D0"/>
    <w:rsid w:val="003C0BC8"/>
    <w:rsid w:val="003C0C05"/>
    <w:rsid w:val="003C1105"/>
    <w:rsid w:val="003C14B5"/>
    <w:rsid w:val="003C187B"/>
    <w:rsid w:val="003C19C4"/>
    <w:rsid w:val="003C25F9"/>
    <w:rsid w:val="003C27A5"/>
    <w:rsid w:val="003C2968"/>
    <w:rsid w:val="003C2C0D"/>
    <w:rsid w:val="003C2C66"/>
    <w:rsid w:val="003C2DC3"/>
    <w:rsid w:val="003C2F1C"/>
    <w:rsid w:val="003C300B"/>
    <w:rsid w:val="003C3102"/>
    <w:rsid w:val="003C37DD"/>
    <w:rsid w:val="003C391B"/>
    <w:rsid w:val="003C3A8F"/>
    <w:rsid w:val="003C3B57"/>
    <w:rsid w:val="003C3C7D"/>
    <w:rsid w:val="003C49AA"/>
    <w:rsid w:val="003C4A69"/>
    <w:rsid w:val="003C562C"/>
    <w:rsid w:val="003C567D"/>
    <w:rsid w:val="003C5903"/>
    <w:rsid w:val="003C5C66"/>
    <w:rsid w:val="003C673F"/>
    <w:rsid w:val="003C6A4B"/>
    <w:rsid w:val="003C6C8E"/>
    <w:rsid w:val="003C71C0"/>
    <w:rsid w:val="003C757A"/>
    <w:rsid w:val="003C7AF9"/>
    <w:rsid w:val="003C7C59"/>
    <w:rsid w:val="003C7DAD"/>
    <w:rsid w:val="003D03E3"/>
    <w:rsid w:val="003D0CB1"/>
    <w:rsid w:val="003D0F60"/>
    <w:rsid w:val="003D133D"/>
    <w:rsid w:val="003D13D0"/>
    <w:rsid w:val="003D1B6E"/>
    <w:rsid w:val="003D1B95"/>
    <w:rsid w:val="003D2092"/>
    <w:rsid w:val="003D22F2"/>
    <w:rsid w:val="003D2562"/>
    <w:rsid w:val="003D2757"/>
    <w:rsid w:val="003D2777"/>
    <w:rsid w:val="003D2C4A"/>
    <w:rsid w:val="003D2DEC"/>
    <w:rsid w:val="003D306C"/>
    <w:rsid w:val="003D3CF5"/>
    <w:rsid w:val="003D412D"/>
    <w:rsid w:val="003D4747"/>
    <w:rsid w:val="003D48B7"/>
    <w:rsid w:val="003D4DAC"/>
    <w:rsid w:val="003D4E10"/>
    <w:rsid w:val="003D5FC0"/>
    <w:rsid w:val="003D64F6"/>
    <w:rsid w:val="003D661B"/>
    <w:rsid w:val="003D67E8"/>
    <w:rsid w:val="003D70B4"/>
    <w:rsid w:val="003D70C8"/>
    <w:rsid w:val="003D759B"/>
    <w:rsid w:val="003D7CC3"/>
    <w:rsid w:val="003E002F"/>
    <w:rsid w:val="003E05A8"/>
    <w:rsid w:val="003E05CF"/>
    <w:rsid w:val="003E1BAD"/>
    <w:rsid w:val="003E1D34"/>
    <w:rsid w:val="003E20E8"/>
    <w:rsid w:val="003E27BA"/>
    <w:rsid w:val="003E297C"/>
    <w:rsid w:val="003E329A"/>
    <w:rsid w:val="003E329B"/>
    <w:rsid w:val="003E376A"/>
    <w:rsid w:val="003E41DD"/>
    <w:rsid w:val="003E4715"/>
    <w:rsid w:val="003E4809"/>
    <w:rsid w:val="003E5011"/>
    <w:rsid w:val="003E51CD"/>
    <w:rsid w:val="003E55A4"/>
    <w:rsid w:val="003E578C"/>
    <w:rsid w:val="003E5F52"/>
    <w:rsid w:val="003E629A"/>
    <w:rsid w:val="003E6482"/>
    <w:rsid w:val="003E7234"/>
    <w:rsid w:val="003E7504"/>
    <w:rsid w:val="003E752A"/>
    <w:rsid w:val="003E7774"/>
    <w:rsid w:val="003F0473"/>
    <w:rsid w:val="003F093B"/>
    <w:rsid w:val="003F09FF"/>
    <w:rsid w:val="003F0C6C"/>
    <w:rsid w:val="003F0C9C"/>
    <w:rsid w:val="003F0E7A"/>
    <w:rsid w:val="003F10B9"/>
    <w:rsid w:val="003F121E"/>
    <w:rsid w:val="003F1239"/>
    <w:rsid w:val="003F176B"/>
    <w:rsid w:val="003F1930"/>
    <w:rsid w:val="003F1A32"/>
    <w:rsid w:val="003F1A61"/>
    <w:rsid w:val="003F1B96"/>
    <w:rsid w:val="003F1FE5"/>
    <w:rsid w:val="003F2850"/>
    <w:rsid w:val="003F2EA4"/>
    <w:rsid w:val="003F38A2"/>
    <w:rsid w:val="003F41AE"/>
    <w:rsid w:val="003F44C8"/>
    <w:rsid w:val="003F47F1"/>
    <w:rsid w:val="003F49AD"/>
    <w:rsid w:val="003F4E97"/>
    <w:rsid w:val="003F5238"/>
    <w:rsid w:val="003F56D8"/>
    <w:rsid w:val="003F65E7"/>
    <w:rsid w:val="003F6EBE"/>
    <w:rsid w:val="003F705B"/>
    <w:rsid w:val="003F73A2"/>
    <w:rsid w:val="003F782D"/>
    <w:rsid w:val="003F7DDE"/>
    <w:rsid w:val="00400210"/>
    <w:rsid w:val="004006EF"/>
    <w:rsid w:val="00400837"/>
    <w:rsid w:val="00400AC3"/>
    <w:rsid w:val="00400B30"/>
    <w:rsid w:val="00400BA1"/>
    <w:rsid w:val="00400EA2"/>
    <w:rsid w:val="004014D1"/>
    <w:rsid w:val="00401FCB"/>
    <w:rsid w:val="00402105"/>
    <w:rsid w:val="0040292D"/>
    <w:rsid w:val="00402F91"/>
    <w:rsid w:val="00402FAD"/>
    <w:rsid w:val="00403099"/>
    <w:rsid w:val="0040325C"/>
    <w:rsid w:val="00403274"/>
    <w:rsid w:val="00403D55"/>
    <w:rsid w:val="00404230"/>
    <w:rsid w:val="00404659"/>
    <w:rsid w:val="00404BF4"/>
    <w:rsid w:val="00404DB2"/>
    <w:rsid w:val="00404F1E"/>
    <w:rsid w:val="004051C3"/>
    <w:rsid w:val="00405202"/>
    <w:rsid w:val="004052AB"/>
    <w:rsid w:val="004069EF"/>
    <w:rsid w:val="00406AA0"/>
    <w:rsid w:val="00406B39"/>
    <w:rsid w:val="00407016"/>
    <w:rsid w:val="0040743E"/>
    <w:rsid w:val="004076E7"/>
    <w:rsid w:val="00407885"/>
    <w:rsid w:val="00407AFB"/>
    <w:rsid w:val="00410077"/>
    <w:rsid w:val="004100F3"/>
    <w:rsid w:val="0041023F"/>
    <w:rsid w:val="00410766"/>
    <w:rsid w:val="0041093C"/>
    <w:rsid w:val="00411440"/>
    <w:rsid w:val="004114F9"/>
    <w:rsid w:val="004116D9"/>
    <w:rsid w:val="00411F87"/>
    <w:rsid w:val="004126AB"/>
    <w:rsid w:val="00412820"/>
    <w:rsid w:val="00412ABA"/>
    <w:rsid w:val="004134FB"/>
    <w:rsid w:val="0041356A"/>
    <w:rsid w:val="00413A28"/>
    <w:rsid w:val="00413CFC"/>
    <w:rsid w:val="004141F0"/>
    <w:rsid w:val="00414809"/>
    <w:rsid w:val="00414878"/>
    <w:rsid w:val="00414976"/>
    <w:rsid w:val="00414C7D"/>
    <w:rsid w:val="00414F69"/>
    <w:rsid w:val="004151CC"/>
    <w:rsid w:val="004153F7"/>
    <w:rsid w:val="00415648"/>
    <w:rsid w:val="00415846"/>
    <w:rsid w:val="004158D2"/>
    <w:rsid w:val="00415BD4"/>
    <w:rsid w:val="00415D38"/>
    <w:rsid w:val="00415DDD"/>
    <w:rsid w:val="00416B61"/>
    <w:rsid w:val="00416D9C"/>
    <w:rsid w:val="00417333"/>
    <w:rsid w:val="004176B5"/>
    <w:rsid w:val="004178B0"/>
    <w:rsid w:val="00417A53"/>
    <w:rsid w:val="00417AB7"/>
    <w:rsid w:val="00417EBE"/>
    <w:rsid w:val="0042045C"/>
    <w:rsid w:val="004207D1"/>
    <w:rsid w:val="00420EBC"/>
    <w:rsid w:val="004212A3"/>
    <w:rsid w:val="00421450"/>
    <w:rsid w:val="004214BB"/>
    <w:rsid w:val="00421614"/>
    <w:rsid w:val="00421B7A"/>
    <w:rsid w:val="00423901"/>
    <w:rsid w:val="00423F02"/>
    <w:rsid w:val="0042461D"/>
    <w:rsid w:val="00424A4B"/>
    <w:rsid w:val="00424EB0"/>
    <w:rsid w:val="0042545D"/>
    <w:rsid w:val="0042566E"/>
    <w:rsid w:val="0042583F"/>
    <w:rsid w:val="004258EF"/>
    <w:rsid w:val="00425A7C"/>
    <w:rsid w:val="00425D66"/>
    <w:rsid w:val="00425E6B"/>
    <w:rsid w:val="00426268"/>
    <w:rsid w:val="004270D3"/>
    <w:rsid w:val="004276AC"/>
    <w:rsid w:val="00430035"/>
    <w:rsid w:val="004302DE"/>
    <w:rsid w:val="00430335"/>
    <w:rsid w:val="00430AF0"/>
    <w:rsid w:val="00430D04"/>
    <w:rsid w:val="0043127F"/>
    <w:rsid w:val="004318E7"/>
    <w:rsid w:val="0043198C"/>
    <w:rsid w:val="00431B3C"/>
    <w:rsid w:val="00431C3A"/>
    <w:rsid w:val="004325C6"/>
    <w:rsid w:val="00432D12"/>
    <w:rsid w:val="00432D3D"/>
    <w:rsid w:val="00433266"/>
    <w:rsid w:val="004332D1"/>
    <w:rsid w:val="0043336E"/>
    <w:rsid w:val="004335DB"/>
    <w:rsid w:val="00433D0D"/>
    <w:rsid w:val="00433E06"/>
    <w:rsid w:val="00433F43"/>
    <w:rsid w:val="004340F6"/>
    <w:rsid w:val="0043439D"/>
    <w:rsid w:val="00434606"/>
    <w:rsid w:val="004348BF"/>
    <w:rsid w:val="00434F85"/>
    <w:rsid w:val="00435178"/>
    <w:rsid w:val="004354FA"/>
    <w:rsid w:val="0043556F"/>
    <w:rsid w:val="00435C59"/>
    <w:rsid w:val="00435F16"/>
    <w:rsid w:val="00435F45"/>
    <w:rsid w:val="00436175"/>
    <w:rsid w:val="004364F6"/>
    <w:rsid w:val="0043718F"/>
    <w:rsid w:val="00437445"/>
    <w:rsid w:val="004376C7"/>
    <w:rsid w:val="004376D3"/>
    <w:rsid w:val="00437842"/>
    <w:rsid w:val="004378BD"/>
    <w:rsid w:val="00437FF3"/>
    <w:rsid w:val="00440653"/>
    <w:rsid w:val="00440AF0"/>
    <w:rsid w:val="00440C07"/>
    <w:rsid w:val="00440F4B"/>
    <w:rsid w:val="004410F1"/>
    <w:rsid w:val="0044145F"/>
    <w:rsid w:val="00441F48"/>
    <w:rsid w:val="004421CD"/>
    <w:rsid w:val="004421F1"/>
    <w:rsid w:val="004423A6"/>
    <w:rsid w:val="00442419"/>
    <w:rsid w:val="00442495"/>
    <w:rsid w:val="004425B3"/>
    <w:rsid w:val="004425CD"/>
    <w:rsid w:val="004428C5"/>
    <w:rsid w:val="004429BF"/>
    <w:rsid w:val="00442D93"/>
    <w:rsid w:val="00442D9F"/>
    <w:rsid w:val="0044315F"/>
    <w:rsid w:val="00443305"/>
    <w:rsid w:val="004435BE"/>
    <w:rsid w:val="004438E2"/>
    <w:rsid w:val="00443FDA"/>
    <w:rsid w:val="00444185"/>
    <w:rsid w:val="004445FF"/>
    <w:rsid w:val="0044492F"/>
    <w:rsid w:val="00444E5D"/>
    <w:rsid w:val="0044504D"/>
    <w:rsid w:val="0044582B"/>
    <w:rsid w:val="00445A6D"/>
    <w:rsid w:val="00445B59"/>
    <w:rsid w:val="004464F3"/>
    <w:rsid w:val="00446551"/>
    <w:rsid w:val="00446745"/>
    <w:rsid w:val="004467E7"/>
    <w:rsid w:val="0044693C"/>
    <w:rsid w:val="004469F5"/>
    <w:rsid w:val="00446B58"/>
    <w:rsid w:val="00446E25"/>
    <w:rsid w:val="00446F34"/>
    <w:rsid w:val="00447150"/>
    <w:rsid w:val="00447256"/>
    <w:rsid w:val="004476B0"/>
    <w:rsid w:val="004478E0"/>
    <w:rsid w:val="00447941"/>
    <w:rsid w:val="00447FE6"/>
    <w:rsid w:val="0045025E"/>
    <w:rsid w:val="00450324"/>
    <w:rsid w:val="00450486"/>
    <w:rsid w:val="00450DBA"/>
    <w:rsid w:val="00451299"/>
    <w:rsid w:val="00451A01"/>
    <w:rsid w:val="00451AED"/>
    <w:rsid w:val="00451B5A"/>
    <w:rsid w:val="00451E05"/>
    <w:rsid w:val="00452294"/>
    <w:rsid w:val="00452568"/>
    <w:rsid w:val="0045293D"/>
    <w:rsid w:val="00452A1D"/>
    <w:rsid w:val="00452E80"/>
    <w:rsid w:val="00453662"/>
    <w:rsid w:val="00453CBA"/>
    <w:rsid w:val="00453FDC"/>
    <w:rsid w:val="004540F0"/>
    <w:rsid w:val="004543BE"/>
    <w:rsid w:val="004546BE"/>
    <w:rsid w:val="004547DD"/>
    <w:rsid w:val="004548A6"/>
    <w:rsid w:val="00454A8F"/>
    <w:rsid w:val="00454BA1"/>
    <w:rsid w:val="004554BE"/>
    <w:rsid w:val="004556FE"/>
    <w:rsid w:val="004558E4"/>
    <w:rsid w:val="00455994"/>
    <w:rsid w:val="00455C55"/>
    <w:rsid w:val="00456210"/>
    <w:rsid w:val="00456780"/>
    <w:rsid w:val="0045687C"/>
    <w:rsid w:val="00457397"/>
    <w:rsid w:val="0045794A"/>
    <w:rsid w:val="0045796F"/>
    <w:rsid w:val="00457E48"/>
    <w:rsid w:val="00457F6F"/>
    <w:rsid w:val="00457FC4"/>
    <w:rsid w:val="004602AA"/>
    <w:rsid w:val="004603CC"/>
    <w:rsid w:val="00460B70"/>
    <w:rsid w:val="00460DE0"/>
    <w:rsid w:val="0046102E"/>
    <w:rsid w:val="004612C3"/>
    <w:rsid w:val="0046187D"/>
    <w:rsid w:val="00461991"/>
    <w:rsid w:val="004620C7"/>
    <w:rsid w:val="00462210"/>
    <w:rsid w:val="0046221A"/>
    <w:rsid w:val="00462464"/>
    <w:rsid w:val="00462598"/>
    <w:rsid w:val="00462AF0"/>
    <w:rsid w:val="00462BEC"/>
    <w:rsid w:val="0046344D"/>
    <w:rsid w:val="004637DC"/>
    <w:rsid w:val="00463BBC"/>
    <w:rsid w:val="00463E1E"/>
    <w:rsid w:val="004646E4"/>
    <w:rsid w:val="0046474B"/>
    <w:rsid w:val="004649D4"/>
    <w:rsid w:val="00464A85"/>
    <w:rsid w:val="00465134"/>
    <w:rsid w:val="0046529F"/>
    <w:rsid w:val="004652B7"/>
    <w:rsid w:val="00465A2D"/>
    <w:rsid w:val="00465CBD"/>
    <w:rsid w:val="00466199"/>
    <w:rsid w:val="0046621E"/>
    <w:rsid w:val="004664F8"/>
    <w:rsid w:val="00466504"/>
    <w:rsid w:val="00466CDD"/>
    <w:rsid w:val="0046714A"/>
    <w:rsid w:val="004674AD"/>
    <w:rsid w:val="00467742"/>
    <w:rsid w:val="00467DB2"/>
    <w:rsid w:val="00467F25"/>
    <w:rsid w:val="00470069"/>
    <w:rsid w:val="00470926"/>
    <w:rsid w:val="004713FB"/>
    <w:rsid w:val="00472198"/>
    <w:rsid w:val="00472277"/>
    <w:rsid w:val="00472602"/>
    <w:rsid w:val="004726B7"/>
    <w:rsid w:val="004726CE"/>
    <w:rsid w:val="00472E7C"/>
    <w:rsid w:val="00472F38"/>
    <w:rsid w:val="004732D1"/>
    <w:rsid w:val="004735EC"/>
    <w:rsid w:val="00473982"/>
    <w:rsid w:val="00473CD3"/>
    <w:rsid w:val="00473F20"/>
    <w:rsid w:val="0047410F"/>
    <w:rsid w:val="004744DC"/>
    <w:rsid w:val="004745F6"/>
    <w:rsid w:val="00474714"/>
    <w:rsid w:val="00474A0B"/>
    <w:rsid w:val="00474C5F"/>
    <w:rsid w:val="00474DDB"/>
    <w:rsid w:val="00474E91"/>
    <w:rsid w:val="00474F66"/>
    <w:rsid w:val="00475088"/>
    <w:rsid w:val="00475145"/>
    <w:rsid w:val="0047517F"/>
    <w:rsid w:val="00475624"/>
    <w:rsid w:val="00475670"/>
    <w:rsid w:val="00475A7E"/>
    <w:rsid w:val="0047603B"/>
    <w:rsid w:val="00476B9D"/>
    <w:rsid w:val="00476D8D"/>
    <w:rsid w:val="00477263"/>
    <w:rsid w:val="0047727F"/>
    <w:rsid w:val="00477844"/>
    <w:rsid w:val="00477FE9"/>
    <w:rsid w:val="00480149"/>
    <w:rsid w:val="0048036E"/>
    <w:rsid w:val="00480AF1"/>
    <w:rsid w:val="00481240"/>
    <w:rsid w:val="00481819"/>
    <w:rsid w:val="00481855"/>
    <w:rsid w:val="004818F3"/>
    <w:rsid w:val="00481A08"/>
    <w:rsid w:val="00482534"/>
    <w:rsid w:val="0048263F"/>
    <w:rsid w:val="004826B5"/>
    <w:rsid w:val="00482757"/>
    <w:rsid w:val="00482FD6"/>
    <w:rsid w:val="00483025"/>
    <w:rsid w:val="004831EF"/>
    <w:rsid w:val="004833C9"/>
    <w:rsid w:val="004833F1"/>
    <w:rsid w:val="0048370C"/>
    <w:rsid w:val="00483CE2"/>
    <w:rsid w:val="00483D17"/>
    <w:rsid w:val="004845C1"/>
    <w:rsid w:val="00484F7A"/>
    <w:rsid w:val="00485496"/>
    <w:rsid w:val="004854CC"/>
    <w:rsid w:val="00485C23"/>
    <w:rsid w:val="00486499"/>
    <w:rsid w:val="0048667B"/>
    <w:rsid w:val="00486789"/>
    <w:rsid w:val="00486E56"/>
    <w:rsid w:val="00486FE9"/>
    <w:rsid w:val="00487817"/>
    <w:rsid w:val="0048783D"/>
    <w:rsid w:val="004900DF"/>
    <w:rsid w:val="004902B5"/>
    <w:rsid w:val="004902E1"/>
    <w:rsid w:val="0049048D"/>
    <w:rsid w:val="00490510"/>
    <w:rsid w:val="004908FE"/>
    <w:rsid w:val="00490AEC"/>
    <w:rsid w:val="00490D09"/>
    <w:rsid w:val="00490D35"/>
    <w:rsid w:val="00490EBB"/>
    <w:rsid w:val="00491BD0"/>
    <w:rsid w:val="00491BE3"/>
    <w:rsid w:val="00491F57"/>
    <w:rsid w:val="0049219A"/>
    <w:rsid w:val="004926ED"/>
    <w:rsid w:val="0049294B"/>
    <w:rsid w:val="00493080"/>
    <w:rsid w:val="00493297"/>
    <w:rsid w:val="00493401"/>
    <w:rsid w:val="004934EA"/>
    <w:rsid w:val="0049389F"/>
    <w:rsid w:val="00494330"/>
    <w:rsid w:val="00494580"/>
    <w:rsid w:val="0049484B"/>
    <w:rsid w:val="00494B16"/>
    <w:rsid w:val="00494D37"/>
    <w:rsid w:val="004954FE"/>
    <w:rsid w:val="0049570C"/>
    <w:rsid w:val="00495EE8"/>
    <w:rsid w:val="00496481"/>
    <w:rsid w:val="00496D8B"/>
    <w:rsid w:val="0049723A"/>
    <w:rsid w:val="0049733A"/>
    <w:rsid w:val="00497C6C"/>
    <w:rsid w:val="004A0789"/>
    <w:rsid w:val="004A0BEE"/>
    <w:rsid w:val="004A0E3E"/>
    <w:rsid w:val="004A12A0"/>
    <w:rsid w:val="004A1600"/>
    <w:rsid w:val="004A18C6"/>
    <w:rsid w:val="004A19BF"/>
    <w:rsid w:val="004A1ECB"/>
    <w:rsid w:val="004A2220"/>
    <w:rsid w:val="004A25B5"/>
    <w:rsid w:val="004A2ED8"/>
    <w:rsid w:val="004A3610"/>
    <w:rsid w:val="004A386C"/>
    <w:rsid w:val="004A395E"/>
    <w:rsid w:val="004A3AF6"/>
    <w:rsid w:val="004A3CBE"/>
    <w:rsid w:val="004A3ECC"/>
    <w:rsid w:val="004A42A8"/>
    <w:rsid w:val="004A4666"/>
    <w:rsid w:val="004A4B11"/>
    <w:rsid w:val="004A5E24"/>
    <w:rsid w:val="004A5FCD"/>
    <w:rsid w:val="004A61D9"/>
    <w:rsid w:val="004A6593"/>
    <w:rsid w:val="004A6AB5"/>
    <w:rsid w:val="004A6F49"/>
    <w:rsid w:val="004A7033"/>
    <w:rsid w:val="004A752F"/>
    <w:rsid w:val="004A7D3E"/>
    <w:rsid w:val="004A7DBF"/>
    <w:rsid w:val="004A7E74"/>
    <w:rsid w:val="004A7F3E"/>
    <w:rsid w:val="004B0132"/>
    <w:rsid w:val="004B0246"/>
    <w:rsid w:val="004B0722"/>
    <w:rsid w:val="004B0BD0"/>
    <w:rsid w:val="004B0E20"/>
    <w:rsid w:val="004B0FC5"/>
    <w:rsid w:val="004B1217"/>
    <w:rsid w:val="004B1845"/>
    <w:rsid w:val="004B1F0E"/>
    <w:rsid w:val="004B229C"/>
    <w:rsid w:val="004B26E7"/>
    <w:rsid w:val="004B2721"/>
    <w:rsid w:val="004B2C78"/>
    <w:rsid w:val="004B2D99"/>
    <w:rsid w:val="004B2DA1"/>
    <w:rsid w:val="004B308D"/>
    <w:rsid w:val="004B335F"/>
    <w:rsid w:val="004B3A17"/>
    <w:rsid w:val="004B3D51"/>
    <w:rsid w:val="004B3D6E"/>
    <w:rsid w:val="004B3F0E"/>
    <w:rsid w:val="004B40AB"/>
    <w:rsid w:val="004B43A4"/>
    <w:rsid w:val="004B44BF"/>
    <w:rsid w:val="004B4640"/>
    <w:rsid w:val="004B46F1"/>
    <w:rsid w:val="004B4F74"/>
    <w:rsid w:val="004B52B4"/>
    <w:rsid w:val="004B542E"/>
    <w:rsid w:val="004B5875"/>
    <w:rsid w:val="004B5C8D"/>
    <w:rsid w:val="004B60A3"/>
    <w:rsid w:val="004B6232"/>
    <w:rsid w:val="004B668D"/>
    <w:rsid w:val="004B6883"/>
    <w:rsid w:val="004B6C67"/>
    <w:rsid w:val="004B6F02"/>
    <w:rsid w:val="004B6F19"/>
    <w:rsid w:val="004B6F45"/>
    <w:rsid w:val="004B733A"/>
    <w:rsid w:val="004B7485"/>
    <w:rsid w:val="004B772D"/>
    <w:rsid w:val="004B7C73"/>
    <w:rsid w:val="004C00BE"/>
    <w:rsid w:val="004C08A2"/>
    <w:rsid w:val="004C14A6"/>
    <w:rsid w:val="004C1AB9"/>
    <w:rsid w:val="004C1EF9"/>
    <w:rsid w:val="004C20EB"/>
    <w:rsid w:val="004C2263"/>
    <w:rsid w:val="004C23C4"/>
    <w:rsid w:val="004C2A2C"/>
    <w:rsid w:val="004C2EDF"/>
    <w:rsid w:val="004C3117"/>
    <w:rsid w:val="004C313A"/>
    <w:rsid w:val="004C33C0"/>
    <w:rsid w:val="004C3A25"/>
    <w:rsid w:val="004C3BB4"/>
    <w:rsid w:val="004C3FE0"/>
    <w:rsid w:val="004C4381"/>
    <w:rsid w:val="004C4A5D"/>
    <w:rsid w:val="004C4A76"/>
    <w:rsid w:val="004C5A70"/>
    <w:rsid w:val="004C5D8F"/>
    <w:rsid w:val="004C5E2B"/>
    <w:rsid w:val="004C5F06"/>
    <w:rsid w:val="004C6049"/>
    <w:rsid w:val="004C62AE"/>
    <w:rsid w:val="004C667D"/>
    <w:rsid w:val="004C675D"/>
    <w:rsid w:val="004C6941"/>
    <w:rsid w:val="004C69F6"/>
    <w:rsid w:val="004C6B7E"/>
    <w:rsid w:val="004C6CAA"/>
    <w:rsid w:val="004C6DD3"/>
    <w:rsid w:val="004C6E0D"/>
    <w:rsid w:val="004C7499"/>
    <w:rsid w:val="004C7630"/>
    <w:rsid w:val="004D013E"/>
    <w:rsid w:val="004D085E"/>
    <w:rsid w:val="004D1A8C"/>
    <w:rsid w:val="004D1BD5"/>
    <w:rsid w:val="004D1CDF"/>
    <w:rsid w:val="004D1E24"/>
    <w:rsid w:val="004D2328"/>
    <w:rsid w:val="004D24CD"/>
    <w:rsid w:val="004D273F"/>
    <w:rsid w:val="004D2856"/>
    <w:rsid w:val="004D2DAF"/>
    <w:rsid w:val="004D2F50"/>
    <w:rsid w:val="004D3519"/>
    <w:rsid w:val="004D3A69"/>
    <w:rsid w:val="004D4427"/>
    <w:rsid w:val="004D4FAB"/>
    <w:rsid w:val="004D52B4"/>
    <w:rsid w:val="004D52BF"/>
    <w:rsid w:val="004D555A"/>
    <w:rsid w:val="004D5708"/>
    <w:rsid w:val="004D5882"/>
    <w:rsid w:val="004D591C"/>
    <w:rsid w:val="004D5A8C"/>
    <w:rsid w:val="004D5AA8"/>
    <w:rsid w:val="004D6D26"/>
    <w:rsid w:val="004D6D3F"/>
    <w:rsid w:val="004D73D8"/>
    <w:rsid w:val="004D7494"/>
    <w:rsid w:val="004D7652"/>
    <w:rsid w:val="004D7B5A"/>
    <w:rsid w:val="004D7B62"/>
    <w:rsid w:val="004E019B"/>
    <w:rsid w:val="004E063D"/>
    <w:rsid w:val="004E0BB4"/>
    <w:rsid w:val="004E0BD3"/>
    <w:rsid w:val="004E0CBC"/>
    <w:rsid w:val="004E1432"/>
    <w:rsid w:val="004E1FBF"/>
    <w:rsid w:val="004E25AF"/>
    <w:rsid w:val="004E27FC"/>
    <w:rsid w:val="004E2ACA"/>
    <w:rsid w:val="004E2D09"/>
    <w:rsid w:val="004E3524"/>
    <w:rsid w:val="004E36D4"/>
    <w:rsid w:val="004E4494"/>
    <w:rsid w:val="004E4A9A"/>
    <w:rsid w:val="004E4E6D"/>
    <w:rsid w:val="004E50FA"/>
    <w:rsid w:val="004E522A"/>
    <w:rsid w:val="004E5349"/>
    <w:rsid w:val="004E53F9"/>
    <w:rsid w:val="004E598D"/>
    <w:rsid w:val="004E5AC7"/>
    <w:rsid w:val="004E5C06"/>
    <w:rsid w:val="004E5F4C"/>
    <w:rsid w:val="004E60D2"/>
    <w:rsid w:val="004E60F4"/>
    <w:rsid w:val="004E61EA"/>
    <w:rsid w:val="004E61FB"/>
    <w:rsid w:val="004E663A"/>
    <w:rsid w:val="004E68E7"/>
    <w:rsid w:val="004E6C19"/>
    <w:rsid w:val="004E6DF8"/>
    <w:rsid w:val="004E7714"/>
    <w:rsid w:val="004E7751"/>
    <w:rsid w:val="004E78B5"/>
    <w:rsid w:val="004E791B"/>
    <w:rsid w:val="004E7B8F"/>
    <w:rsid w:val="004E7BC5"/>
    <w:rsid w:val="004F00AC"/>
    <w:rsid w:val="004F0137"/>
    <w:rsid w:val="004F03C8"/>
    <w:rsid w:val="004F03F3"/>
    <w:rsid w:val="004F06F2"/>
    <w:rsid w:val="004F22F2"/>
    <w:rsid w:val="004F2815"/>
    <w:rsid w:val="004F28D7"/>
    <w:rsid w:val="004F2942"/>
    <w:rsid w:val="004F2B64"/>
    <w:rsid w:val="004F2C14"/>
    <w:rsid w:val="004F310F"/>
    <w:rsid w:val="004F3189"/>
    <w:rsid w:val="004F356F"/>
    <w:rsid w:val="004F364E"/>
    <w:rsid w:val="004F36FB"/>
    <w:rsid w:val="004F374B"/>
    <w:rsid w:val="004F37D8"/>
    <w:rsid w:val="004F3C0F"/>
    <w:rsid w:val="004F3EAF"/>
    <w:rsid w:val="004F44B4"/>
    <w:rsid w:val="004F4B7F"/>
    <w:rsid w:val="004F4D18"/>
    <w:rsid w:val="004F4DA4"/>
    <w:rsid w:val="004F4ED4"/>
    <w:rsid w:val="004F52B5"/>
    <w:rsid w:val="004F536D"/>
    <w:rsid w:val="004F5412"/>
    <w:rsid w:val="004F575B"/>
    <w:rsid w:val="004F594C"/>
    <w:rsid w:val="004F5B4B"/>
    <w:rsid w:val="004F5C1C"/>
    <w:rsid w:val="004F6DC1"/>
    <w:rsid w:val="004F6E4A"/>
    <w:rsid w:val="004F7A92"/>
    <w:rsid w:val="004F7DE8"/>
    <w:rsid w:val="004F7F03"/>
    <w:rsid w:val="00500192"/>
    <w:rsid w:val="00500318"/>
    <w:rsid w:val="00500458"/>
    <w:rsid w:val="00500589"/>
    <w:rsid w:val="00500689"/>
    <w:rsid w:val="005008CD"/>
    <w:rsid w:val="00500A43"/>
    <w:rsid w:val="00500C6B"/>
    <w:rsid w:val="005010BD"/>
    <w:rsid w:val="005017A2"/>
    <w:rsid w:val="005019B4"/>
    <w:rsid w:val="00501E14"/>
    <w:rsid w:val="00502196"/>
    <w:rsid w:val="005021BD"/>
    <w:rsid w:val="0050246D"/>
    <w:rsid w:val="005026DD"/>
    <w:rsid w:val="00502721"/>
    <w:rsid w:val="0050313D"/>
    <w:rsid w:val="0050349D"/>
    <w:rsid w:val="00503592"/>
    <w:rsid w:val="005035F3"/>
    <w:rsid w:val="00503A1B"/>
    <w:rsid w:val="00503AA3"/>
    <w:rsid w:val="00503F6A"/>
    <w:rsid w:val="00503F8E"/>
    <w:rsid w:val="00503FB6"/>
    <w:rsid w:val="00504037"/>
    <w:rsid w:val="005040D3"/>
    <w:rsid w:val="00504364"/>
    <w:rsid w:val="00504664"/>
    <w:rsid w:val="0050475F"/>
    <w:rsid w:val="005047D7"/>
    <w:rsid w:val="00504AF5"/>
    <w:rsid w:val="00504EEE"/>
    <w:rsid w:val="00505114"/>
    <w:rsid w:val="00505A67"/>
    <w:rsid w:val="00505A9A"/>
    <w:rsid w:val="00505FFB"/>
    <w:rsid w:val="00506569"/>
    <w:rsid w:val="005067E5"/>
    <w:rsid w:val="005069E5"/>
    <w:rsid w:val="0050711A"/>
    <w:rsid w:val="00507206"/>
    <w:rsid w:val="005074FD"/>
    <w:rsid w:val="00507966"/>
    <w:rsid w:val="00507A21"/>
    <w:rsid w:val="0051037F"/>
    <w:rsid w:val="005105D7"/>
    <w:rsid w:val="00510729"/>
    <w:rsid w:val="00511009"/>
    <w:rsid w:val="0051132A"/>
    <w:rsid w:val="00511349"/>
    <w:rsid w:val="005117D3"/>
    <w:rsid w:val="005122AE"/>
    <w:rsid w:val="0051273F"/>
    <w:rsid w:val="00512A5A"/>
    <w:rsid w:val="00512AAF"/>
    <w:rsid w:val="00512D92"/>
    <w:rsid w:val="00513013"/>
    <w:rsid w:val="0051306A"/>
    <w:rsid w:val="005130B5"/>
    <w:rsid w:val="00513153"/>
    <w:rsid w:val="00513214"/>
    <w:rsid w:val="00513886"/>
    <w:rsid w:val="00513898"/>
    <w:rsid w:val="00513B6A"/>
    <w:rsid w:val="00513D22"/>
    <w:rsid w:val="00513D2A"/>
    <w:rsid w:val="00513F07"/>
    <w:rsid w:val="00513FCF"/>
    <w:rsid w:val="005143D4"/>
    <w:rsid w:val="00514861"/>
    <w:rsid w:val="00514900"/>
    <w:rsid w:val="00514A77"/>
    <w:rsid w:val="00514F0B"/>
    <w:rsid w:val="005153BB"/>
    <w:rsid w:val="0051584C"/>
    <w:rsid w:val="0051651B"/>
    <w:rsid w:val="00516AC3"/>
    <w:rsid w:val="00516B48"/>
    <w:rsid w:val="00516BAA"/>
    <w:rsid w:val="00516BE0"/>
    <w:rsid w:val="00516E5B"/>
    <w:rsid w:val="00517431"/>
    <w:rsid w:val="00517449"/>
    <w:rsid w:val="005175A0"/>
    <w:rsid w:val="0052020C"/>
    <w:rsid w:val="00520485"/>
    <w:rsid w:val="00520511"/>
    <w:rsid w:val="0052087B"/>
    <w:rsid w:val="00520EF9"/>
    <w:rsid w:val="005212A2"/>
    <w:rsid w:val="005215A0"/>
    <w:rsid w:val="00521ADD"/>
    <w:rsid w:val="00521AEA"/>
    <w:rsid w:val="0052256A"/>
    <w:rsid w:val="00522628"/>
    <w:rsid w:val="00522D92"/>
    <w:rsid w:val="005234B7"/>
    <w:rsid w:val="00523B6D"/>
    <w:rsid w:val="00523FE8"/>
    <w:rsid w:val="0052436B"/>
    <w:rsid w:val="005243E4"/>
    <w:rsid w:val="00524743"/>
    <w:rsid w:val="00524AB7"/>
    <w:rsid w:val="0052522B"/>
    <w:rsid w:val="005253E2"/>
    <w:rsid w:val="005257FF"/>
    <w:rsid w:val="00526CA4"/>
    <w:rsid w:val="00527417"/>
    <w:rsid w:val="00530153"/>
    <w:rsid w:val="005305D4"/>
    <w:rsid w:val="005307A3"/>
    <w:rsid w:val="005308BB"/>
    <w:rsid w:val="00531510"/>
    <w:rsid w:val="00531539"/>
    <w:rsid w:val="00531BE4"/>
    <w:rsid w:val="00532004"/>
    <w:rsid w:val="00532364"/>
    <w:rsid w:val="005327B9"/>
    <w:rsid w:val="00532D87"/>
    <w:rsid w:val="00532DF3"/>
    <w:rsid w:val="00533113"/>
    <w:rsid w:val="00533C69"/>
    <w:rsid w:val="00533E61"/>
    <w:rsid w:val="0053440D"/>
    <w:rsid w:val="00534453"/>
    <w:rsid w:val="00534F2E"/>
    <w:rsid w:val="005353F0"/>
    <w:rsid w:val="00535A55"/>
    <w:rsid w:val="00535B40"/>
    <w:rsid w:val="00535E63"/>
    <w:rsid w:val="0053671B"/>
    <w:rsid w:val="00536878"/>
    <w:rsid w:val="00536AD2"/>
    <w:rsid w:val="00536AF7"/>
    <w:rsid w:val="00536B92"/>
    <w:rsid w:val="00536D6E"/>
    <w:rsid w:val="0053703D"/>
    <w:rsid w:val="005371E5"/>
    <w:rsid w:val="0053773E"/>
    <w:rsid w:val="00537910"/>
    <w:rsid w:val="00537991"/>
    <w:rsid w:val="00537CCB"/>
    <w:rsid w:val="00540929"/>
    <w:rsid w:val="00540A8B"/>
    <w:rsid w:val="00540F28"/>
    <w:rsid w:val="00541385"/>
    <w:rsid w:val="005416D0"/>
    <w:rsid w:val="00541973"/>
    <w:rsid w:val="00542301"/>
    <w:rsid w:val="005423F5"/>
    <w:rsid w:val="0054259E"/>
    <w:rsid w:val="00542A09"/>
    <w:rsid w:val="005439D6"/>
    <w:rsid w:val="00544143"/>
    <w:rsid w:val="00544662"/>
    <w:rsid w:val="00544D97"/>
    <w:rsid w:val="00544E62"/>
    <w:rsid w:val="00545012"/>
    <w:rsid w:val="00545A90"/>
    <w:rsid w:val="005465C0"/>
    <w:rsid w:val="00546933"/>
    <w:rsid w:val="00546986"/>
    <w:rsid w:val="00547433"/>
    <w:rsid w:val="005476BD"/>
    <w:rsid w:val="005477B5"/>
    <w:rsid w:val="005478DC"/>
    <w:rsid w:val="00547998"/>
    <w:rsid w:val="00547BB6"/>
    <w:rsid w:val="00547C61"/>
    <w:rsid w:val="00550005"/>
    <w:rsid w:val="00550076"/>
    <w:rsid w:val="0055012B"/>
    <w:rsid w:val="00550196"/>
    <w:rsid w:val="0055034B"/>
    <w:rsid w:val="00550705"/>
    <w:rsid w:val="00550FE9"/>
    <w:rsid w:val="00551203"/>
    <w:rsid w:val="0055144A"/>
    <w:rsid w:val="005515AC"/>
    <w:rsid w:val="005516A4"/>
    <w:rsid w:val="00551761"/>
    <w:rsid w:val="00552F3A"/>
    <w:rsid w:val="005535AA"/>
    <w:rsid w:val="005535CA"/>
    <w:rsid w:val="005535F5"/>
    <w:rsid w:val="00553A48"/>
    <w:rsid w:val="00553CC2"/>
    <w:rsid w:val="00553E52"/>
    <w:rsid w:val="00553F2B"/>
    <w:rsid w:val="005542F9"/>
    <w:rsid w:val="00554A12"/>
    <w:rsid w:val="00554D69"/>
    <w:rsid w:val="00555699"/>
    <w:rsid w:val="0055571A"/>
    <w:rsid w:val="0055584D"/>
    <w:rsid w:val="00555E6A"/>
    <w:rsid w:val="00556573"/>
    <w:rsid w:val="005568FF"/>
    <w:rsid w:val="00556CDC"/>
    <w:rsid w:val="00556D96"/>
    <w:rsid w:val="00557E12"/>
    <w:rsid w:val="00560199"/>
    <w:rsid w:val="00560A53"/>
    <w:rsid w:val="00560B95"/>
    <w:rsid w:val="0056126E"/>
    <w:rsid w:val="00561337"/>
    <w:rsid w:val="005614F2"/>
    <w:rsid w:val="005615E7"/>
    <w:rsid w:val="00561B2B"/>
    <w:rsid w:val="00561C3A"/>
    <w:rsid w:val="00562285"/>
    <w:rsid w:val="00562645"/>
    <w:rsid w:val="005627D8"/>
    <w:rsid w:val="00562E1C"/>
    <w:rsid w:val="00563040"/>
    <w:rsid w:val="0056310A"/>
    <w:rsid w:val="00563577"/>
    <w:rsid w:val="00563779"/>
    <w:rsid w:val="00563AA1"/>
    <w:rsid w:val="00563C7C"/>
    <w:rsid w:val="005640B7"/>
    <w:rsid w:val="005641FC"/>
    <w:rsid w:val="00564A3A"/>
    <w:rsid w:val="00564AA6"/>
    <w:rsid w:val="00565168"/>
    <w:rsid w:val="00565462"/>
    <w:rsid w:val="00565979"/>
    <w:rsid w:val="00565AF5"/>
    <w:rsid w:val="00565CA0"/>
    <w:rsid w:val="00565D8F"/>
    <w:rsid w:val="00565DD8"/>
    <w:rsid w:val="005663EA"/>
    <w:rsid w:val="005664B7"/>
    <w:rsid w:val="0056671D"/>
    <w:rsid w:val="00566BA3"/>
    <w:rsid w:val="00566C6B"/>
    <w:rsid w:val="00566E04"/>
    <w:rsid w:val="00566E07"/>
    <w:rsid w:val="00566EED"/>
    <w:rsid w:val="00567180"/>
    <w:rsid w:val="00567453"/>
    <w:rsid w:val="00567529"/>
    <w:rsid w:val="00567FA5"/>
    <w:rsid w:val="005701E6"/>
    <w:rsid w:val="0057020B"/>
    <w:rsid w:val="005702C7"/>
    <w:rsid w:val="005702F0"/>
    <w:rsid w:val="00570893"/>
    <w:rsid w:val="00570A9D"/>
    <w:rsid w:val="00570C9A"/>
    <w:rsid w:val="0057113C"/>
    <w:rsid w:val="0057191E"/>
    <w:rsid w:val="0057197F"/>
    <w:rsid w:val="00572133"/>
    <w:rsid w:val="005724BE"/>
    <w:rsid w:val="00572930"/>
    <w:rsid w:val="00572F4C"/>
    <w:rsid w:val="0057326F"/>
    <w:rsid w:val="00573592"/>
    <w:rsid w:val="00573AA7"/>
    <w:rsid w:val="00573BA2"/>
    <w:rsid w:val="00573BD1"/>
    <w:rsid w:val="00573E71"/>
    <w:rsid w:val="00573F9B"/>
    <w:rsid w:val="0057458D"/>
    <w:rsid w:val="0057466E"/>
    <w:rsid w:val="0057474C"/>
    <w:rsid w:val="0057481F"/>
    <w:rsid w:val="0057498E"/>
    <w:rsid w:val="00574F1B"/>
    <w:rsid w:val="00575020"/>
    <w:rsid w:val="005752C5"/>
    <w:rsid w:val="00575350"/>
    <w:rsid w:val="00575663"/>
    <w:rsid w:val="00575C54"/>
    <w:rsid w:val="00575EEC"/>
    <w:rsid w:val="0057640D"/>
    <w:rsid w:val="0057698C"/>
    <w:rsid w:val="0057787B"/>
    <w:rsid w:val="00577A6A"/>
    <w:rsid w:val="005806D3"/>
    <w:rsid w:val="005808C1"/>
    <w:rsid w:val="00580A62"/>
    <w:rsid w:val="00580F4E"/>
    <w:rsid w:val="00580F89"/>
    <w:rsid w:val="00581033"/>
    <w:rsid w:val="00581037"/>
    <w:rsid w:val="005810FF"/>
    <w:rsid w:val="00581557"/>
    <w:rsid w:val="00581807"/>
    <w:rsid w:val="00581901"/>
    <w:rsid w:val="005820AB"/>
    <w:rsid w:val="00582406"/>
    <w:rsid w:val="005828C5"/>
    <w:rsid w:val="00582B69"/>
    <w:rsid w:val="00582EAD"/>
    <w:rsid w:val="0058379D"/>
    <w:rsid w:val="00583B4D"/>
    <w:rsid w:val="00583B4E"/>
    <w:rsid w:val="00583D9B"/>
    <w:rsid w:val="00583F4C"/>
    <w:rsid w:val="00584219"/>
    <w:rsid w:val="005845E6"/>
    <w:rsid w:val="0058460E"/>
    <w:rsid w:val="00584ED3"/>
    <w:rsid w:val="005854E5"/>
    <w:rsid w:val="00585734"/>
    <w:rsid w:val="00585CFB"/>
    <w:rsid w:val="00585D6E"/>
    <w:rsid w:val="00585E31"/>
    <w:rsid w:val="00585ED8"/>
    <w:rsid w:val="0058654B"/>
    <w:rsid w:val="00586559"/>
    <w:rsid w:val="0058657E"/>
    <w:rsid w:val="005868A8"/>
    <w:rsid w:val="00586EC0"/>
    <w:rsid w:val="0058705F"/>
    <w:rsid w:val="00587167"/>
    <w:rsid w:val="0058786F"/>
    <w:rsid w:val="00587F14"/>
    <w:rsid w:val="00590193"/>
    <w:rsid w:val="00590A64"/>
    <w:rsid w:val="00590C22"/>
    <w:rsid w:val="00590CE5"/>
    <w:rsid w:val="00590E44"/>
    <w:rsid w:val="005918EC"/>
    <w:rsid w:val="0059193B"/>
    <w:rsid w:val="00591DF7"/>
    <w:rsid w:val="0059205E"/>
    <w:rsid w:val="005929B3"/>
    <w:rsid w:val="00592CD2"/>
    <w:rsid w:val="00592D23"/>
    <w:rsid w:val="00592FE3"/>
    <w:rsid w:val="005931D2"/>
    <w:rsid w:val="00593334"/>
    <w:rsid w:val="0059378B"/>
    <w:rsid w:val="00593814"/>
    <w:rsid w:val="00593952"/>
    <w:rsid w:val="00593DC6"/>
    <w:rsid w:val="00593EF8"/>
    <w:rsid w:val="00594844"/>
    <w:rsid w:val="0059489A"/>
    <w:rsid w:val="00594B25"/>
    <w:rsid w:val="00595006"/>
    <w:rsid w:val="005952D3"/>
    <w:rsid w:val="005958FF"/>
    <w:rsid w:val="005962CA"/>
    <w:rsid w:val="00596401"/>
    <w:rsid w:val="0059663C"/>
    <w:rsid w:val="00596FEE"/>
    <w:rsid w:val="00596FF9"/>
    <w:rsid w:val="005974E8"/>
    <w:rsid w:val="005978C0"/>
    <w:rsid w:val="00597BD7"/>
    <w:rsid w:val="005A0196"/>
    <w:rsid w:val="005A047A"/>
    <w:rsid w:val="005A083B"/>
    <w:rsid w:val="005A09FD"/>
    <w:rsid w:val="005A0A0D"/>
    <w:rsid w:val="005A0F86"/>
    <w:rsid w:val="005A1021"/>
    <w:rsid w:val="005A1C45"/>
    <w:rsid w:val="005A21F4"/>
    <w:rsid w:val="005A2289"/>
    <w:rsid w:val="005A2716"/>
    <w:rsid w:val="005A277E"/>
    <w:rsid w:val="005A27CB"/>
    <w:rsid w:val="005A2B15"/>
    <w:rsid w:val="005A2CFF"/>
    <w:rsid w:val="005A39D7"/>
    <w:rsid w:val="005A3A4E"/>
    <w:rsid w:val="005A3B3E"/>
    <w:rsid w:val="005A3DCB"/>
    <w:rsid w:val="005A43C4"/>
    <w:rsid w:val="005A46E2"/>
    <w:rsid w:val="005A4966"/>
    <w:rsid w:val="005A4FB8"/>
    <w:rsid w:val="005A580B"/>
    <w:rsid w:val="005A5964"/>
    <w:rsid w:val="005A62F9"/>
    <w:rsid w:val="005A63A8"/>
    <w:rsid w:val="005A6AB7"/>
    <w:rsid w:val="005A7231"/>
    <w:rsid w:val="005A74AC"/>
    <w:rsid w:val="005A799E"/>
    <w:rsid w:val="005A7BE7"/>
    <w:rsid w:val="005B040B"/>
    <w:rsid w:val="005B07F8"/>
    <w:rsid w:val="005B09EB"/>
    <w:rsid w:val="005B0F57"/>
    <w:rsid w:val="005B159F"/>
    <w:rsid w:val="005B1749"/>
    <w:rsid w:val="005B1992"/>
    <w:rsid w:val="005B1D5F"/>
    <w:rsid w:val="005B1E85"/>
    <w:rsid w:val="005B1FB7"/>
    <w:rsid w:val="005B212A"/>
    <w:rsid w:val="005B2D40"/>
    <w:rsid w:val="005B364C"/>
    <w:rsid w:val="005B3CDB"/>
    <w:rsid w:val="005B47B1"/>
    <w:rsid w:val="005B538F"/>
    <w:rsid w:val="005B542A"/>
    <w:rsid w:val="005B56A8"/>
    <w:rsid w:val="005B56E9"/>
    <w:rsid w:val="005B57B9"/>
    <w:rsid w:val="005B5B33"/>
    <w:rsid w:val="005B5EA5"/>
    <w:rsid w:val="005B64BB"/>
    <w:rsid w:val="005B658E"/>
    <w:rsid w:val="005B6854"/>
    <w:rsid w:val="005B6B04"/>
    <w:rsid w:val="005B6B22"/>
    <w:rsid w:val="005B6E4E"/>
    <w:rsid w:val="005B7093"/>
    <w:rsid w:val="005B71E3"/>
    <w:rsid w:val="005B7B1A"/>
    <w:rsid w:val="005C0DAF"/>
    <w:rsid w:val="005C0F62"/>
    <w:rsid w:val="005C1E38"/>
    <w:rsid w:val="005C1E85"/>
    <w:rsid w:val="005C26E2"/>
    <w:rsid w:val="005C2CD3"/>
    <w:rsid w:val="005C2E04"/>
    <w:rsid w:val="005C2E61"/>
    <w:rsid w:val="005C2FE0"/>
    <w:rsid w:val="005C3386"/>
    <w:rsid w:val="005C3A16"/>
    <w:rsid w:val="005C3BB7"/>
    <w:rsid w:val="005C3EF5"/>
    <w:rsid w:val="005C3F9D"/>
    <w:rsid w:val="005C424B"/>
    <w:rsid w:val="005C437A"/>
    <w:rsid w:val="005C43D5"/>
    <w:rsid w:val="005C4620"/>
    <w:rsid w:val="005C46A4"/>
    <w:rsid w:val="005C4789"/>
    <w:rsid w:val="005C4988"/>
    <w:rsid w:val="005C49EA"/>
    <w:rsid w:val="005C542F"/>
    <w:rsid w:val="005C56EB"/>
    <w:rsid w:val="005C5A2D"/>
    <w:rsid w:val="005C626B"/>
    <w:rsid w:val="005C639B"/>
    <w:rsid w:val="005C63EA"/>
    <w:rsid w:val="005C660B"/>
    <w:rsid w:val="005C66D0"/>
    <w:rsid w:val="005C6CB1"/>
    <w:rsid w:val="005D00BB"/>
    <w:rsid w:val="005D01B3"/>
    <w:rsid w:val="005D02DD"/>
    <w:rsid w:val="005D0C2E"/>
    <w:rsid w:val="005D0D40"/>
    <w:rsid w:val="005D1297"/>
    <w:rsid w:val="005D12CC"/>
    <w:rsid w:val="005D15AB"/>
    <w:rsid w:val="005D1C18"/>
    <w:rsid w:val="005D21B8"/>
    <w:rsid w:val="005D21F6"/>
    <w:rsid w:val="005D2700"/>
    <w:rsid w:val="005D2E74"/>
    <w:rsid w:val="005D313B"/>
    <w:rsid w:val="005D3322"/>
    <w:rsid w:val="005D35DA"/>
    <w:rsid w:val="005D3751"/>
    <w:rsid w:val="005D3BC1"/>
    <w:rsid w:val="005D3BC3"/>
    <w:rsid w:val="005D3C93"/>
    <w:rsid w:val="005D3D8C"/>
    <w:rsid w:val="005D3E04"/>
    <w:rsid w:val="005D44D5"/>
    <w:rsid w:val="005D4AE4"/>
    <w:rsid w:val="005D4B96"/>
    <w:rsid w:val="005D4C02"/>
    <w:rsid w:val="005D51F3"/>
    <w:rsid w:val="005D5588"/>
    <w:rsid w:val="005D59E8"/>
    <w:rsid w:val="005D6218"/>
    <w:rsid w:val="005D71A2"/>
    <w:rsid w:val="005D71D0"/>
    <w:rsid w:val="005E08EA"/>
    <w:rsid w:val="005E0A7E"/>
    <w:rsid w:val="005E0CD4"/>
    <w:rsid w:val="005E0FF0"/>
    <w:rsid w:val="005E172E"/>
    <w:rsid w:val="005E17D5"/>
    <w:rsid w:val="005E188C"/>
    <w:rsid w:val="005E1903"/>
    <w:rsid w:val="005E1A2A"/>
    <w:rsid w:val="005E20BA"/>
    <w:rsid w:val="005E2173"/>
    <w:rsid w:val="005E2460"/>
    <w:rsid w:val="005E2AA8"/>
    <w:rsid w:val="005E304F"/>
    <w:rsid w:val="005E3188"/>
    <w:rsid w:val="005E3347"/>
    <w:rsid w:val="005E371B"/>
    <w:rsid w:val="005E3A99"/>
    <w:rsid w:val="005E3D4E"/>
    <w:rsid w:val="005E3E2D"/>
    <w:rsid w:val="005E412A"/>
    <w:rsid w:val="005E43CB"/>
    <w:rsid w:val="005E46F8"/>
    <w:rsid w:val="005E48D8"/>
    <w:rsid w:val="005E544F"/>
    <w:rsid w:val="005E58FF"/>
    <w:rsid w:val="005E61F5"/>
    <w:rsid w:val="005E625E"/>
    <w:rsid w:val="005E69D4"/>
    <w:rsid w:val="005E72F4"/>
    <w:rsid w:val="005E7358"/>
    <w:rsid w:val="005E77ED"/>
    <w:rsid w:val="005E78A3"/>
    <w:rsid w:val="005E7B94"/>
    <w:rsid w:val="005F0030"/>
    <w:rsid w:val="005F04BD"/>
    <w:rsid w:val="005F04E4"/>
    <w:rsid w:val="005F0649"/>
    <w:rsid w:val="005F1123"/>
    <w:rsid w:val="005F1227"/>
    <w:rsid w:val="005F1263"/>
    <w:rsid w:val="005F1675"/>
    <w:rsid w:val="005F1C89"/>
    <w:rsid w:val="005F242A"/>
    <w:rsid w:val="005F2789"/>
    <w:rsid w:val="005F28F9"/>
    <w:rsid w:val="005F2B09"/>
    <w:rsid w:val="005F2FD2"/>
    <w:rsid w:val="005F30C1"/>
    <w:rsid w:val="005F3471"/>
    <w:rsid w:val="005F37EF"/>
    <w:rsid w:val="005F38C8"/>
    <w:rsid w:val="005F3BFD"/>
    <w:rsid w:val="005F4284"/>
    <w:rsid w:val="005F455E"/>
    <w:rsid w:val="005F4660"/>
    <w:rsid w:val="005F4A5C"/>
    <w:rsid w:val="005F4F76"/>
    <w:rsid w:val="005F4FE9"/>
    <w:rsid w:val="005F545F"/>
    <w:rsid w:val="005F5D78"/>
    <w:rsid w:val="005F61C7"/>
    <w:rsid w:val="005F62F2"/>
    <w:rsid w:val="005F64AA"/>
    <w:rsid w:val="005F672A"/>
    <w:rsid w:val="005F6924"/>
    <w:rsid w:val="005F6BA2"/>
    <w:rsid w:val="005F7365"/>
    <w:rsid w:val="005F73A3"/>
    <w:rsid w:val="005F73D5"/>
    <w:rsid w:val="005F7634"/>
    <w:rsid w:val="005F7760"/>
    <w:rsid w:val="005F7FBB"/>
    <w:rsid w:val="0060001D"/>
    <w:rsid w:val="0060068E"/>
    <w:rsid w:val="006007EC"/>
    <w:rsid w:val="0060081E"/>
    <w:rsid w:val="006008A5"/>
    <w:rsid w:val="006008BD"/>
    <w:rsid w:val="00600A13"/>
    <w:rsid w:val="00600E41"/>
    <w:rsid w:val="00600F0D"/>
    <w:rsid w:val="0060152F"/>
    <w:rsid w:val="006017F8"/>
    <w:rsid w:val="00601890"/>
    <w:rsid w:val="006019F4"/>
    <w:rsid w:val="00601A3F"/>
    <w:rsid w:val="00601E71"/>
    <w:rsid w:val="006026E0"/>
    <w:rsid w:val="006027C0"/>
    <w:rsid w:val="006039AA"/>
    <w:rsid w:val="006039BA"/>
    <w:rsid w:val="006039DD"/>
    <w:rsid w:val="00603CE8"/>
    <w:rsid w:val="00603E8C"/>
    <w:rsid w:val="00603EC6"/>
    <w:rsid w:val="00603F52"/>
    <w:rsid w:val="00604342"/>
    <w:rsid w:val="0060450C"/>
    <w:rsid w:val="00604B4C"/>
    <w:rsid w:val="00604D12"/>
    <w:rsid w:val="006051BF"/>
    <w:rsid w:val="00605A86"/>
    <w:rsid w:val="00605ECF"/>
    <w:rsid w:val="0060670F"/>
    <w:rsid w:val="006067BE"/>
    <w:rsid w:val="00606864"/>
    <w:rsid w:val="00606C29"/>
    <w:rsid w:val="00606E4C"/>
    <w:rsid w:val="00606F9A"/>
    <w:rsid w:val="00607178"/>
    <w:rsid w:val="006077C5"/>
    <w:rsid w:val="0060797D"/>
    <w:rsid w:val="00607B66"/>
    <w:rsid w:val="00607C05"/>
    <w:rsid w:val="00607CF2"/>
    <w:rsid w:val="00607CFE"/>
    <w:rsid w:val="00607DAC"/>
    <w:rsid w:val="006104B2"/>
    <w:rsid w:val="006104EC"/>
    <w:rsid w:val="00610636"/>
    <w:rsid w:val="00610646"/>
    <w:rsid w:val="006107F0"/>
    <w:rsid w:val="00611193"/>
    <w:rsid w:val="006111E1"/>
    <w:rsid w:val="006113A2"/>
    <w:rsid w:val="006114F7"/>
    <w:rsid w:val="00611523"/>
    <w:rsid w:val="00611544"/>
    <w:rsid w:val="0061169F"/>
    <w:rsid w:val="0061177E"/>
    <w:rsid w:val="00611CD7"/>
    <w:rsid w:val="00611D35"/>
    <w:rsid w:val="00611FB4"/>
    <w:rsid w:val="00612169"/>
    <w:rsid w:val="00612A69"/>
    <w:rsid w:val="006130F3"/>
    <w:rsid w:val="0061347C"/>
    <w:rsid w:val="006135E3"/>
    <w:rsid w:val="0061394B"/>
    <w:rsid w:val="00613E2F"/>
    <w:rsid w:val="00613F4D"/>
    <w:rsid w:val="006142DD"/>
    <w:rsid w:val="006155C3"/>
    <w:rsid w:val="00615D11"/>
    <w:rsid w:val="00615D6F"/>
    <w:rsid w:val="00615DA6"/>
    <w:rsid w:val="006163BB"/>
    <w:rsid w:val="00616561"/>
    <w:rsid w:val="00616B0F"/>
    <w:rsid w:val="00616D97"/>
    <w:rsid w:val="00616DE7"/>
    <w:rsid w:val="006177D0"/>
    <w:rsid w:val="00617869"/>
    <w:rsid w:val="006178F2"/>
    <w:rsid w:val="00617A35"/>
    <w:rsid w:val="00617CFB"/>
    <w:rsid w:val="006203F0"/>
    <w:rsid w:val="00620B5C"/>
    <w:rsid w:val="00620E1B"/>
    <w:rsid w:val="00620F20"/>
    <w:rsid w:val="00621D3C"/>
    <w:rsid w:val="00621E6D"/>
    <w:rsid w:val="00622263"/>
    <w:rsid w:val="006222E3"/>
    <w:rsid w:val="00622747"/>
    <w:rsid w:val="0062295E"/>
    <w:rsid w:val="00622A6A"/>
    <w:rsid w:val="00622C6D"/>
    <w:rsid w:val="00622CE8"/>
    <w:rsid w:val="00622F5B"/>
    <w:rsid w:val="00622F6F"/>
    <w:rsid w:val="00623492"/>
    <w:rsid w:val="00623A50"/>
    <w:rsid w:val="00623BA8"/>
    <w:rsid w:val="00624217"/>
    <w:rsid w:val="00624B98"/>
    <w:rsid w:val="006258D4"/>
    <w:rsid w:val="00625F5E"/>
    <w:rsid w:val="00626681"/>
    <w:rsid w:val="0062674A"/>
    <w:rsid w:val="00626A54"/>
    <w:rsid w:val="00626FFB"/>
    <w:rsid w:val="00627729"/>
    <w:rsid w:val="00630287"/>
    <w:rsid w:val="00630554"/>
    <w:rsid w:val="00630A96"/>
    <w:rsid w:val="0063145A"/>
    <w:rsid w:val="006318FD"/>
    <w:rsid w:val="00631CE7"/>
    <w:rsid w:val="00631DAD"/>
    <w:rsid w:val="00631EBC"/>
    <w:rsid w:val="006320C1"/>
    <w:rsid w:val="00632211"/>
    <w:rsid w:val="00632257"/>
    <w:rsid w:val="006324DB"/>
    <w:rsid w:val="00632860"/>
    <w:rsid w:val="00632F20"/>
    <w:rsid w:val="00632F36"/>
    <w:rsid w:val="006334D3"/>
    <w:rsid w:val="006336BF"/>
    <w:rsid w:val="00633828"/>
    <w:rsid w:val="00633B7A"/>
    <w:rsid w:val="0063441A"/>
    <w:rsid w:val="006344FA"/>
    <w:rsid w:val="00635272"/>
    <w:rsid w:val="006356DF"/>
    <w:rsid w:val="006356E3"/>
    <w:rsid w:val="00635742"/>
    <w:rsid w:val="00635881"/>
    <w:rsid w:val="00635A49"/>
    <w:rsid w:val="00635B95"/>
    <w:rsid w:val="00635D18"/>
    <w:rsid w:val="00636043"/>
    <w:rsid w:val="006364F7"/>
    <w:rsid w:val="006369E9"/>
    <w:rsid w:val="00636AC6"/>
    <w:rsid w:val="00636BED"/>
    <w:rsid w:val="00636C0F"/>
    <w:rsid w:val="00636F11"/>
    <w:rsid w:val="00637609"/>
    <w:rsid w:val="00637BBF"/>
    <w:rsid w:val="00637E93"/>
    <w:rsid w:val="0064109B"/>
    <w:rsid w:val="00641114"/>
    <w:rsid w:val="00641511"/>
    <w:rsid w:val="006415B4"/>
    <w:rsid w:val="00641748"/>
    <w:rsid w:val="00641824"/>
    <w:rsid w:val="0064191E"/>
    <w:rsid w:val="006419C0"/>
    <w:rsid w:val="00641C88"/>
    <w:rsid w:val="00641D52"/>
    <w:rsid w:val="00641ED0"/>
    <w:rsid w:val="00642421"/>
    <w:rsid w:val="00642811"/>
    <w:rsid w:val="00642E8E"/>
    <w:rsid w:val="00643282"/>
    <w:rsid w:val="006443E1"/>
    <w:rsid w:val="006445AD"/>
    <w:rsid w:val="006448F4"/>
    <w:rsid w:val="0064507E"/>
    <w:rsid w:val="006451D0"/>
    <w:rsid w:val="00646061"/>
    <w:rsid w:val="006463C3"/>
    <w:rsid w:val="00646736"/>
    <w:rsid w:val="00646F2E"/>
    <w:rsid w:val="00647410"/>
    <w:rsid w:val="0064766D"/>
    <w:rsid w:val="00650308"/>
    <w:rsid w:val="006505A6"/>
    <w:rsid w:val="006506B9"/>
    <w:rsid w:val="00650C5A"/>
    <w:rsid w:val="00650CDB"/>
    <w:rsid w:val="00650F8A"/>
    <w:rsid w:val="00651009"/>
    <w:rsid w:val="00651239"/>
    <w:rsid w:val="0065151A"/>
    <w:rsid w:val="00651D5F"/>
    <w:rsid w:val="00651FE4"/>
    <w:rsid w:val="00652829"/>
    <w:rsid w:val="00652F67"/>
    <w:rsid w:val="006531AA"/>
    <w:rsid w:val="00653B1B"/>
    <w:rsid w:val="00653B99"/>
    <w:rsid w:val="006542F6"/>
    <w:rsid w:val="00654620"/>
    <w:rsid w:val="00655E96"/>
    <w:rsid w:val="00656089"/>
    <w:rsid w:val="006566F5"/>
    <w:rsid w:val="006568DC"/>
    <w:rsid w:val="00656FC1"/>
    <w:rsid w:val="006575A7"/>
    <w:rsid w:val="00657E03"/>
    <w:rsid w:val="00657E9B"/>
    <w:rsid w:val="00657F69"/>
    <w:rsid w:val="0066034F"/>
    <w:rsid w:val="0066072A"/>
    <w:rsid w:val="006608BC"/>
    <w:rsid w:val="00660A56"/>
    <w:rsid w:val="00660F61"/>
    <w:rsid w:val="006610EF"/>
    <w:rsid w:val="00661269"/>
    <w:rsid w:val="006615FB"/>
    <w:rsid w:val="0066174B"/>
    <w:rsid w:val="0066194A"/>
    <w:rsid w:val="006620F9"/>
    <w:rsid w:val="0066236C"/>
    <w:rsid w:val="00662B04"/>
    <w:rsid w:val="00662B32"/>
    <w:rsid w:val="00662CF9"/>
    <w:rsid w:val="0066320B"/>
    <w:rsid w:val="00663AF1"/>
    <w:rsid w:val="00663D4E"/>
    <w:rsid w:val="00664075"/>
    <w:rsid w:val="00664196"/>
    <w:rsid w:val="0066570D"/>
    <w:rsid w:val="006657CA"/>
    <w:rsid w:val="006658F8"/>
    <w:rsid w:val="00665B44"/>
    <w:rsid w:val="00665C8E"/>
    <w:rsid w:val="00665EFC"/>
    <w:rsid w:val="00666162"/>
    <w:rsid w:val="006662CC"/>
    <w:rsid w:val="006664E8"/>
    <w:rsid w:val="00666806"/>
    <w:rsid w:val="00666B52"/>
    <w:rsid w:val="00667016"/>
    <w:rsid w:val="00667343"/>
    <w:rsid w:val="00667458"/>
    <w:rsid w:val="00667669"/>
    <w:rsid w:val="006676B1"/>
    <w:rsid w:val="00667E68"/>
    <w:rsid w:val="00670115"/>
    <w:rsid w:val="006702E4"/>
    <w:rsid w:val="00670D17"/>
    <w:rsid w:val="00670EBB"/>
    <w:rsid w:val="0067129B"/>
    <w:rsid w:val="00671371"/>
    <w:rsid w:val="006720CC"/>
    <w:rsid w:val="006720D8"/>
    <w:rsid w:val="006720EA"/>
    <w:rsid w:val="00672147"/>
    <w:rsid w:val="00672CEF"/>
    <w:rsid w:val="00672F1B"/>
    <w:rsid w:val="006730D3"/>
    <w:rsid w:val="0067325A"/>
    <w:rsid w:val="00673285"/>
    <w:rsid w:val="006736FE"/>
    <w:rsid w:val="006738E0"/>
    <w:rsid w:val="00673C98"/>
    <w:rsid w:val="00673F58"/>
    <w:rsid w:val="006740CC"/>
    <w:rsid w:val="00674584"/>
    <w:rsid w:val="0067478C"/>
    <w:rsid w:val="00674898"/>
    <w:rsid w:val="006749B7"/>
    <w:rsid w:val="00674B94"/>
    <w:rsid w:val="00674C00"/>
    <w:rsid w:val="00674E07"/>
    <w:rsid w:val="00674F2D"/>
    <w:rsid w:val="006757AD"/>
    <w:rsid w:val="00675968"/>
    <w:rsid w:val="00675EC2"/>
    <w:rsid w:val="00675F7A"/>
    <w:rsid w:val="006763CF"/>
    <w:rsid w:val="006768B6"/>
    <w:rsid w:val="00676E6A"/>
    <w:rsid w:val="00677476"/>
    <w:rsid w:val="0067785A"/>
    <w:rsid w:val="00677AAE"/>
    <w:rsid w:val="00677CF9"/>
    <w:rsid w:val="006803BB"/>
    <w:rsid w:val="00680DF3"/>
    <w:rsid w:val="00680E60"/>
    <w:rsid w:val="00680F4D"/>
    <w:rsid w:val="006813DB"/>
    <w:rsid w:val="00681598"/>
    <w:rsid w:val="006819FF"/>
    <w:rsid w:val="00681EC1"/>
    <w:rsid w:val="00681F26"/>
    <w:rsid w:val="006825BA"/>
    <w:rsid w:val="00682A95"/>
    <w:rsid w:val="00682AF3"/>
    <w:rsid w:val="00682CDC"/>
    <w:rsid w:val="00682DED"/>
    <w:rsid w:val="006838F2"/>
    <w:rsid w:val="00684344"/>
    <w:rsid w:val="00684640"/>
    <w:rsid w:val="0068490C"/>
    <w:rsid w:val="00684AB8"/>
    <w:rsid w:val="00684B88"/>
    <w:rsid w:val="00685376"/>
    <w:rsid w:val="006854A5"/>
    <w:rsid w:val="00685797"/>
    <w:rsid w:val="00685855"/>
    <w:rsid w:val="00685CEE"/>
    <w:rsid w:val="00686058"/>
    <w:rsid w:val="0068612D"/>
    <w:rsid w:val="006861CF"/>
    <w:rsid w:val="00686324"/>
    <w:rsid w:val="00686476"/>
    <w:rsid w:val="0068693A"/>
    <w:rsid w:val="00686A0D"/>
    <w:rsid w:val="00686BD6"/>
    <w:rsid w:val="00686CD1"/>
    <w:rsid w:val="0068770A"/>
    <w:rsid w:val="00687B5E"/>
    <w:rsid w:val="0069039B"/>
    <w:rsid w:val="00690683"/>
    <w:rsid w:val="00690990"/>
    <w:rsid w:val="00690A58"/>
    <w:rsid w:val="00690A83"/>
    <w:rsid w:val="00690F74"/>
    <w:rsid w:val="0069115D"/>
    <w:rsid w:val="00691348"/>
    <w:rsid w:val="00691F19"/>
    <w:rsid w:val="00691FAF"/>
    <w:rsid w:val="00692141"/>
    <w:rsid w:val="006922FA"/>
    <w:rsid w:val="00692433"/>
    <w:rsid w:val="00692A2E"/>
    <w:rsid w:val="00693D35"/>
    <w:rsid w:val="00693F5A"/>
    <w:rsid w:val="00693FAD"/>
    <w:rsid w:val="0069409B"/>
    <w:rsid w:val="006944CE"/>
    <w:rsid w:val="0069452D"/>
    <w:rsid w:val="006947E6"/>
    <w:rsid w:val="006948F7"/>
    <w:rsid w:val="00694B6F"/>
    <w:rsid w:val="00694BB5"/>
    <w:rsid w:val="00694F94"/>
    <w:rsid w:val="00695629"/>
    <w:rsid w:val="0069567B"/>
    <w:rsid w:val="006957DC"/>
    <w:rsid w:val="00695B88"/>
    <w:rsid w:val="00695E47"/>
    <w:rsid w:val="006962C8"/>
    <w:rsid w:val="006966AF"/>
    <w:rsid w:val="00696951"/>
    <w:rsid w:val="00697042"/>
    <w:rsid w:val="006973ED"/>
    <w:rsid w:val="0069763A"/>
    <w:rsid w:val="00697923"/>
    <w:rsid w:val="00697ADE"/>
    <w:rsid w:val="006A01E3"/>
    <w:rsid w:val="006A05BC"/>
    <w:rsid w:val="006A0A53"/>
    <w:rsid w:val="006A0A8A"/>
    <w:rsid w:val="006A0EE1"/>
    <w:rsid w:val="006A14B0"/>
    <w:rsid w:val="006A1504"/>
    <w:rsid w:val="006A19A1"/>
    <w:rsid w:val="006A1B96"/>
    <w:rsid w:val="006A1BCD"/>
    <w:rsid w:val="006A1F2D"/>
    <w:rsid w:val="006A2592"/>
    <w:rsid w:val="006A2907"/>
    <w:rsid w:val="006A30E7"/>
    <w:rsid w:val="006A3781"/>
    <w:rsid w:val="006A384C"/>
    <w:rsid w:val="006A3CD2"/>
    <w:rsid w:val="006A4385"/>
    <w:rsid w:val="006A4526"/>
    <w:rsid w:val="006A457C"/>
    <w:rsid w:val="006A48D7"/>
    <w:rsid w:val="006A5094"/>
    <w:rsid w:val="006A5095"/>
    <w:rsid w:val="006A516A"/>
    <w:rsid w:val="006A518F"/>
    <w:rsid w:val="006A5405"/>
    <w:rsid w:val="006A5769"/>
    <w:rsid w:val="006A5795"/>
    <w:rsid w:val="006A5CCD"/>
    <w:rsid w:val="006A5FBF"/>
    <w:rsid w:val="006A608A"/>
    <w:rsid w:val="006A68F8"/>
    <w:rsid w:val="006A6D18"/>
    <w:rsid w:val="006A705E"/>
    <w:rsid w:val="006A70C2"/>
    <w:rsid w:val="006A7CAE"/>
    <w:rsid w:val="006B037A"/>
    <w:rsid w:val="006B0408"/>
    <w:rsid w:val="006B0AFA"/>
    <w:rsid w:val="006B0BD1"/>
    <w:rsid w:val="006B0CFE"/>
    <w:rsid w:val="006B0DE2"/>
    <w:rsid w:val="006B1537"/>
    <w:rsid w:val="006B1A89"/>
    <w:rsid w:val="006B1D5E"/>
    <w:rsid w:val="006B286A"/>
    <w:rsid w:val="006B3437"/>
    <w:rsid w:val="006B3513"/>
    <w:rsid w:val="006B3656"/>
    <w:rsid w:val="006B36B1"/>
    <w:rsid w:val="006B36BE"/>
    <w:rsid w:val="006B37D9"/>
    <w:rsid w:val="006B38E0"/>
    <w:rsid w:val="006B3A87"/>
    <w:rsid w:val="006B3BF1"/>
    <w:rsid w:val="006B4337"/>
    <w:rsid w:val="006B443C"/>
    <w:rsid w:val="006B45FE"/>
    <w:rsid w:val="006B46E3"/>
    <w:rsid w:val="006B488E"/>
    <w:rsid w:val="006B4CED"/>
    <w:rsid w:val="006B4D6B"/>
    <w:rsid w:val="006B5022"/>
    <w:rsid w:val="006B511E"/>
    <w:rsid w:val="006B5193"/>
    <w:rsid w:val="006B56B7"/>
    <w:rsid w:val="006B57A7"/>
    <w:rsid w:val="006B5F5F"/>
    <w:rsid w:val="006B60A3"/>
    <w:rsid w:val="006B6285"/>
    <w:rsid w:val="006B691F"/>
    <w:rsid w:val="006B6A6F"/>
    <w:rsid w:val="006B6CBE"/>
    <w:rsid w:val="006B70E7"/>
    <w:rsid w:val="006B7380"/>
    <w:rsid w:val="006B75DC"/>
    <w:rsid w:val="006B772C"/>
    <w:rsid w:val="006B7FB7"/>
    <w:rsid w:val="006B7FDD"/>
    <w:rsid w:val="006B7FE3"/>
    <w:rsid w:val="006C0989"/>
    <w:rsid w:val="006C0B33"/>
    <w:rsid w:val="006C0C17"/>
    <w:rsid w:val="006C0DCB"/>
    <w:rsid w:val="006C13EC"/>
    <w:rsid w:val="006C155B"/>
    <w:rsid w:val="006C1650"/>
    <w:rsid w:val="006C197E"/>
    <w:rsid w:val="006C20B6"/>
    <w:rsid w:val="006C245E"/>
    <w:rsid w:val="006C287F"/>
    <w:rsid w:val="006C3467"/>
    <w:rsid w:val="006C3638"/>
    <w:rsid w:val="006C38A8"/>
    <w:rsid w:val="006C3D68"/>
    <w:rsid w:val="006C3F38"/>
    <w:rsid w:val="006C3F39"/>
    <w:rsid w:val="006C415F"/>
    <w:rsid w:val="006C4547"/>
    <w:rsid w:val="006C47AB"/>
    <w:rsid w:val="006C49D7"/>
    <w:rsid w:val="006C5030"/>
    <w:rsid w:val="006C5214"/>
    <w:rsid w:val="006C56E6"/>
    <w:rsid w:val="006C5874"/>
    <w:rsid w:val="006C5A16"/>
    <w:rsid w:val="006C5DD2"/>
    <w:rsid w:val="006C5FC0"/>
    <w:rsid w:val="006C6243"/>
    <w:rsid w:val="006C6250"/>
    <w:rsid w:val="006C6315"/>
    <w:rsid w:val="006C651F"/>
    <w:rsid w:val="006C656B"/>
    <w:rsid w:val="006C671A"/>
    <w:rsid w:val="006C6F24"/>
    <w:rsid w:val="006D0193"/>
    <w:rsid w:val="006D01F5"/>
    <w:rsid w:val="006D03E1"/>
    <w:rsid w:val="006D0618"/>
    <w:rsid w:val="006D0973"/>
    <w:rsid w:val="006D0F04"/>
    <w:rsid w:val="006D0FDD"/>
    <w:rsid w:val="006D1319"/>
    <w:rsid w:val="006D147C"/>
    <w:rsid w:val="006D170D"/>
    <w:rsid w:val="006D1AE2"/>
    <w:rsid w:val="006D1BCB"/>
    <w:rsid w:val="006D1E34"/>
    <w:rsid w:val="006D25A3"/>
    <w:rsid w:val="006D2896"/>
    <w:rsid w:val="006D28B1"/>
    <w:rsid w:val="006D2FCD"/>
    <w:rsid w:val="006D306C"/>
    <w:rsid w:val="006D35BD"/>
    <w:rsid w:val="006D35DB"/>
    <w:rsid w:val="006D372D"/>
    <w:rsid w:val="006D37D2"/>
    <w:rsid w:val="006D3A95"/>
    <w:rsid w:val="006D3C31"/>
    <w:rsid w:val="006D3E91"/>
    <w:rsid w:val="006D41D6"/>
    <w:rsid w:val="006D41E9"/>
    <w:rsid w:val="006D44AB"/>
    <w:rsid w:val="006D48B9"/>
    <w:rsid w:val="006D4A88"/>
    <w:rsid w:val="006D4CFD"/>
    <w:rsid w:val="006D4E59"/>
    <w:rsid w:val="006D4ED8"/>
    <w:rsid w:val="006D4F8F"/>
    <w:rsid w:val="006D51BE"/>
    <w:rsid w:val="006D52EA"/>
    <w:rsid w:val="006D52EB"/>
    <w:rsid w:val="006D54DB"/>
    <w:rsid w:val="006D5DAD"/>
    <w:rsid w:val="006D7232"/>
    <w:rsid w:val="006D73DB"/>
    <w:rsid w:val="006D7447"/>
    <w:rsid w:val="006E02E3"/>
    <w:rsid w:val="006E0CF3"/>
    <w:rsid w:val="006E0E36"/>
    <w:rsid w:val="006E0FAB"/>
    <w:rsid w:val="006E11DF"/>
    <w:rsid w:val="006E1708"/>
    <w:rsid w:val="006E1972"/>
    <w:rsid w:val="006E1B5A"/>
    <w:rsid w:val="006E1B78"/>
    <w:rsid w:val="006E1CCE"/>
    <w:rsid w:val="006E1EA3"/>
    <w:rsid w:val="006E1F89"/>
    <w:rsid w:val="006E2604"/>
    <w:rsid w:val="006E2988"/>
    <w:rsid w:val="006E2B0D"/>
    <w:rsid w:val="006E2C81"/>
    <w:rsid w:val="006E2F4F"/>
    <w:rsid w:val="006E363A"/>
    <w:rsid w:val="006E37AA"/>
    <w:rsid w:val="006E3BB1"/>
    <w:rsid w:val="006E4115"/>
    <w:rsid w:val="006E43BB"/>
    <w:rsid w:val="006E4AD4"/>
    <w:rsid w:val="006E4D04"/>
    <w:rsid w:val="006E51A1"/>
    <w:rsid w:val="006E52D3"/>
    <w:rsid w:val="006E53AF"/>
    <w:rsid w:val="006E5608"/>
    <w:rsid w:val="006E57EB"/>
    <w:rsid w:val="006E584A"/>
    <w:rsid w:val="006E5BD3"/>
    <w:rsid w:val="006E6002"/>
    <w:rsid w:val="006E619F"/>
    <w:rsid w:val="006E624D"/>
    <w:rsid w:val="006E6765"/>
    <w:rsid w:val="006E691A"/>
    <w:rsid w:val="006E6A0C"/>
    <w:rsid w:val="006E6A33"/>
    <w:rsid w:val="006E6B48"/>
    <w:rsid w:val="006E6C03"/>
    <w:rsid w:val="006E6D63"/>
    <w:rsid w:val="006E6F2C"/>
    <w:rsid w:val="006E6FF1"/>
    <w:rsid w:val="006E7180"/>
    <w:rsid w:val="006E721F"/>
    <w:rsid w:val="006E72AB"/>
    <w:rsid w:val="006E75F9"/>
    <w:rsid w:val="006E774A"/>
    <w:rsid w:val="006E7B58"/>
    <w:rsid w:val="006E7C93"/>
    <w:rsid w:val="006E7C95"/>
    <w:rsid w:val="006F04BD"/>
    <w:rsid w:val="006F1656"/>
    <w:rsid w:val="006F18B4"/>
    <w:rsid w:val="006F1DED"/>
    <w:rsid w:val="006F250E"/>
    <w:rsid w:val="006F27D9"/>
    <w:rsid w:val="006F27DA"/>
    <w:rsid w:val="006F2A01"/>
    <w:rsid w:val="006F2B35"/>
    <w:rsid w:val="006F2B3C"/>
    <w:rsid w:val="006F2B50"/>
    <w:rsid w:val="006F2D87"/>
    <w:rsid w:val="006F2ECF"/>
    <w:rsid w:val="006F3444"/>
    <w:rsid w:val="006F351E"/>
    <w:rsid w:val="006F354E"/>
    <w:rsid w:val="006F3779"/>
    <w:rsid w:val="006F39C6"/>
    <w:rsid w:val="006F3E5A"/>
    <w:rsid w:val="006F4220"/>
    <w:rsid w:val="006F433B"/>
    <w:rsid w:val="006F46E0"/>
    <w:rsid w:val="006F5054"/>
    <w:rsid w:val="006F5194"/>
    <w:rsid w:val="006F5319"/>
    <w:rsid w:val="006F556F"/>
    <w:rsid w:val="006F55F6"/>
    <w:rsid w:val="006F5B92"/>
    <w:rsid w:val="006F5E29"/>
    <w:rsid w:val="006F65AD"/>
    <w:rsid w:val="006F66D8"/>
    <w:rsid w:val="006F6BD5"/>
    <w:rsid w:val="006F7012"/>
    <w:rsid w:val="006F7104"/>
    <w:rsid w:val="006F7634"/>
    <w:rsid w:val="006F7A5B"/>
    <w:rsid w:val="006F7B71"/>
    <w:rsid w:val="00700020"/>
    <w:rsid w:val="00700040"/>
    <w:rsid w:val="0070090A"/>
    <w:rsid w:val="007009AE"/>
    <w:rsid w:val="00700A0A"/>
    <w:rsid w:val="00700F09"/>
    <w:rsid w:val="00701020"/>
    <w:rsid w:val="007011BA"/>
    <w:rsid w:val="007011CA"/>
    <w:rsid w:val="00701467"/>
    <w:rsid w:val="007019EA"/>
    <w:rsid w:val="00701F3E"/>
    <w:rsid w:val="00701F49"/>
    <w:rsid w:val="007027D3"/>
    <w:rsid w:val="00702F99"/>
    <w:rsid w:val="00702FDF"/>
    <w:rsid w:val="00703455"/>
    <w:rsid w:val="00703CB5"/>
    <w:rsid w:val="007045F2"/>
    <w:rsid w:val="00704849"/>
    <w:rsid w:val="00704BD1"/>
    <w:rsid w:val="00704C1B"/>
    <w:rsid w:val="00704F7F"/>
    <w:rsid w:val="00704F98"/>
    <w:rsid w:val="00704FD2"/>
    <w:rsid w:val="0070517F"/>
    <w:rsid w:val="007052FB"/>
    <w:rsid w:val="00705893"/>
    <w:rsid w:val="007058A5"/>
    <w:rsid w:val="00705B0A"/>
    <w:rsid w:val="00705C48"/>
    <w:rsid w:val="00706286"/>
    <w:rsid w:val="00706656"/>
    <w:rsid w:val="00706D14"/>
    <w:rsid w:val="00706D16"/>
    <w:rsid w:val="00706DFF"/>
    <w:rsid w:val="00707149"/>
    <w:rsid w:val="00707575"/>
    <w:rsid w:val="00707868"/>
    <w:rsid w:val="007079B9"/>
    <w:rsid w:val="00707AAB"/>
    <w:rsid w:val="00707D68"/>
    <w:rsid w:val="007103D3"/>
    <w:rsid w:val="00710719"/>
    <w:rsid w:val="00710CCA"/>
    <w:rsid w:val="0071114F"/>
    <w:rsid w:val="007113CC"/>
    <w:rsid w:val="007113ED"/>
    <w:rsid w:val="00711CA7"/>
    <w:rsid w:val="00711DA3"/>
    <w:rsid w:val="00712277"/>
    <w:rsid w:val="0071228A"/>
    <w:rsid w:val="00712433"/>
    <w:rsid w:val="00712852"/>
    <w:rsid w:val="007128BF"/>
    <w:rsid w:val="00712FEC"/>
    <w:rsid w:val="007133FD"/>
    <w:rsid w:val="00714372"/>
    <w:rsid w:val="007145C1"/>
    <w:rsid w:val="00714635"/>
    <w:rsid w:val="00714715"/>
    <w:rsid w:val="00715639"/>
    <w:rsid w:val="0071579D"/>
    <w:rsid w:val="00715904"/>
    <w:rsid w:val="00715D21"/>
    <w:rsid w:val="00715DF2"/>
    <w:rsid w:val="00715F46"/>
    <w:rsid w:val="007168D3"/>
    <w:rsid w:val="00716B9E"/>
    <w:rsid w:val="007170FF"/>
    <w:rsid w:val="0071713A"/>
    <w:rsid w:val="007173B3"/>
    <w:rsid w:val="00717478"/>
    <w:rsid w:val="0071751B"/>
    <w:rsid w:val="007177BF"/>
    <w:rsid w:val="00717A36"/>
    <w:rsid w:val="00717A64"/>
    <w:rsid w:val="00720E9A"/>
    <w:rsid w:val="00720F52"/>
    <w:rsid w:val="007213D0"/>
    <w:rsid w:val="007215B5"/>
    <w:rsid w:val="007216D2"/>
    <w:rsid w:val="00721BF0"/>
    <w:rsid w:val="00721CA1"/>
    <w:rsid w:val="007220F7"/>
    <w:rsid w:val="0072228E"/>
    <w:rsid w:val="00722328"/>
    <w:rsid w:val="007226E6"/>
    <w:rsid w:val="00722DAE"/>
    <w:rsid w:val="00723200"/>
    <w:rsid w:val="007234AB"/>
    <w:rsid w:val="00723C4D"/>
    <w:rsid w:val="00724044"/>
    <w:rsid w:val="00724339"/>
    <w:rsid w:val="00724623"/>
    <w:rsid w:val="0072483E"/>
    <w:rsid w:val="00724B21"/>
    <w:rsid w:val="00724D9D"/>
    <w:rsid w:val="00724E16"/>
    <w:rsid w:val="007256E5"/>
    <w:rsid w:val="007257E3"/>
    <w:rsid w:val="00725A9A"/>
    <w:rsid w:val="00725E20"/>
    <w:rsid w:val="00726441"/>
    <w:rsid w:val="00726D20"/>
    <w:rsid w:val="00727446"/>
    <w:rsid w:val="00727522"/>
    <w:rsid w:val="00727F09"/>
    <w:rsid w:val="00730093"/>
    <w:rsid w:val="0073050B"/>
    <w:rsid w:val="007308CC"/>
    <w:rsid w:val="007309ED"/>
    <w:rsid w:val="00731437"/>
    <w:rsid w:val="0073144F"/>
    <w:rsid w:val="00731776"/>
    <w:rsid w:val="00731914"/>
    <w:rsid w:val="00731DF4"/>
    <w:rsid w:val="00731F7D"/>
    <w:rsid w:val="00732389"/>
    <w:rsid w:val="00732398"/>
    <w:rsid w:val="00732488"/>
    <w:rsid w:val="00732912"/>
    <w:rsid w:val="00732D9E"/>
    <w:rsid w:val="007332E1"/>
    <w:rsid w:val="00733331"/>
    <w:rsid w:val="00733365"/>
    <w:rsid w:val="007336AA"/>
    <w:rsid w:val="007336F8"/>
    <w:rsid w:val="007339D7"/>
    <w:rsid w:val="00733C00"/>
    <w:rsid w:val="00734391"/>
    <w:rsid w:val="00734F1F"/>
    <w:rsid w:val="00735607"/>
    <w:rsid w:val="007358B2"/>
    <w:rsid w:val="007359B3"/>
    <w:rsid w:val="00735D19"/>
    <w:rsid w:val="00736006"/>
    <w:rsid w:val="00736189"/>
    <w:rsid w:val="0073629D"/>
    <w:rsid w:val="0073663C"/>
    <w:rsid w:val="00736BE5"/>
    <w:rsid w:val="00736BF9"/>
    <w:rsid w:val="007372B2"/>
    <w:rsid w:val="00737BC7"/>
    <w:rsid w:val="00737F14"/>
    <w:rsid w:val="0074001F"/>
    <w:rsid w:val="00740AE3"/>
    <w:rsid w:val="00740DBD"/>
    <w:rsid w:val="00740F8A"/>
    <w:rsid w:val="0074142B"/>
    <w:rsid w:val="00741E10"/>
    <w:rsid w:val="007421C1"/>
    <w:rsid w:val="0074243B"/>
    <w:rsid w:val="0074268D"/>
    <w:rsid w:val="00742868"/>
    <w:rsid w:val="00743042"/>
    <w:rsid w:val="0074307C"/>
    <w:rsid w:val="0074325B"/>
    <w:rsid w:val="00743E8C"/>
    <w:rsid w:val="00744138"/>
    <w:rsid w:val="007447D4"/>
    <w:rsid w:val="00744A3C"/>
    <w:rsid w:val="00744C72"/>
    <w:rsid w:val="00744C85"/>
    <w:rsid w:val="007453B2"/>
    <w:rsid w:val="00745781"/>
    <w:rsid w:val="00745894"/>
    <w:rsid w:val="007458A1"/>
    <w:rsid w:val="00746385"/>
    <w:rsid w:val="007465CD"/>
    <w:rsid w:val="007469B9"/>
    <w:rsid w:val="00746A02"/>
    <w:rsid w:val="00746A65"/>
    <w:rsid w:val="00747095"/>
    <w:rsid w:val="00747173"/>
    <w:rsid w:val="00747286"/>
    <w:rsid w:val="00747296"/>
    <w:rsid w:val="007472D2"/>
    <w:rsid w:val="007474FC"/>
    <w:rsid w:val="007475B7"/>
    <w:rsid w:val="00747643"/>
    <w:rsid w:val="00747CB9"/>
    <w:rsid w:val="00747D8C"/>
    <w:rsid w:val="00747E21"/>
    <w:rsid w:val="00747E43"/>
    <w:rsid w:val="00750067"/>
    <w:rsid w:val="00750192"/>
    <w:rsid w:val="00750254"/>
    <w:rsid w:val="007508B8"/>
    <w:rsid w:val="00750FE3"/>
    <w:rsid w:val="00751660"/>
    <w:rsid w:val="00751956"/>
    <w:rsid w:val="00751A24"/>
    <w:rsid w:val="00751AB8"/>
    <w:rsid w:val="00751EE2"/>
    <w:rsid w:val="00751F02"/>
    <w:rsid w:val="00752700"/>
    <w:rsid w:val="00752799"/>
    <w:rsid w:val="00752804"/>
    <w:rsid w:val="00752B55"/>
    <w:rsid w:val="00752B70"/>
    <w:rsid w:val="00753851"/>
    <w:rsid w:val="00753863"/>
    <w:rsid w:val="00753B20"/>
    <w:rsid w:val="00753CBF"/>
    <w:rsid w:val="007543DC"/>
    <w:rsid w:val="007545E0"/>
    <w:rsid w:val="007546C6"/>
    <w:rsid w:val="00754BDF"/>
    <w:rsid w:val="00754C11"/>
    <w:rsid w:val="00754D80"/>
    <w:rsid w:val="00755053"/>
    <w:rsid w:val="0075649A"/>
    <w:rsid w:val="00756558"/>
    <w:rsid w:val="00756864"/>
    <w:rsid w:val="00756E05"/>
    <w:rsid w:val="007573D4"/>
    <w:rsid w:val="007576D0"/>
    <w:rsid w:val="00757BDE"/>
    <w:rsid w:val="007601A9"/>
    <w:rsid w:val="00760446"/>
    <w:rsid w:val="00760A4E"/>
    <w:rsid w:val="00760D0A"/>
    <w:rsid w:val="00760F2B"/>
    <w:rsid w:val="00761438"/>
    <w:rsid w:val="0076167D"/>
    <w:rsid w:val="00761767"/>
    <w:rsid w:val="007617DF"/>
    <w:rsid w:val="00761861"/>
    <w:rsid w:val="00761BD3"/>
    <w:rsid w:val="00761C1E"/>
    <w:rsid w:val="00762020"/>
    <w:rsid w:val="00762184"/>
    <w:rsid w:val="007624C2"/>
    <w:rsid w:val="00762550"/>
    <w:rsid w:val="0076295B"/>
    <w:rsid w:val="00762CFC"/>
    <w:rsid w:val="00763229"/>
    <w:rsid w:val="0076327E"/>
    <w:rsid w:val="0076330B"/>
    <w:rsid w:val="00763314"/>
    <w:rsid w:val="0076364B"/>
    <w:rsid w:val="007636F5"/>
    <w:rsid w:val="0076370D"/>
    <w:rsid w:val="00763900"/>
    <w:rsid w:val="00763BBB"/>
    <w:rsid w:val="0076405D"/>
    <w:rsid w:val="0076418B"/>
    <w:rsid w:val="00764D97"/>
    <w:rsid w:val="007652D6"/>
    <w:rsid w:val="00765B04"/>
    <w:rsid w:val="007661B9"/>
    <w:rsid w:val="007663EC"/>
    <w:rsid w:val="00766446"/>
    <w:rsid w:val="00766D74"/>
    <w:rsid w:val="00766E5F"/>
    <w:rsid w:val="00767084"/>
    <w:rsid w:val="00767949"/>
    <w:rsid w:val="007702B4"/>
    <w:rsid w:val="007706BC"/>
    <w:rsid w:val="00770716"/>
    <w:rsid w:val="0077077A"/>
    <w:rsid w:val="007709A3"/>
    <w:rsid w:val="007709F0"/>
    <w:rsid w:val="00770A3B"/>
    <w:rsid w:val="00770AC6"/>
    <w:rsid w:val="00770BCE"/>
    <w:rsid w:val="00770CE0"/>
    <w:rsid w:val="00770EBB"/>
    <w:rsid w:val="00770F17"/>
    <w:rsid w:val="007710F6"/>
    <w:rsid w:val="00771301"/>
    <w:rsid w:val="00771584"/>
    <w:rsid w:val="00771B76"/>
    <w:rsid w:val="00771D19"/>
    <w:rsid w:val="00771E33"/>
    <w:rsid w:val="00772840"/>
    <w:rsid w:val="00772E3D"/>
    <w:rsid w:val="00773397"/>
    <w:rsid w:val="007735F1"/>
    <w:rsid w:val="00773CD6"/>
    <w:rsid w:val="00773CFB"/>
    <w:rsid w:val="00773F09"/>
    <w:rsid w:val="007741AF"/>
    <w:rsid w:val="00774723"/>
    <w:rsid w:val="00774992"/>
    <w:rsid w:val="00774F01"/>
    <w:rsid w:val="007752EE"/>
    <w:rsid w:val="00775688"/>
    <w:rsid w:val="00775B3A"/>
    <w:rsid w:val="007767AC"/>
    <w:rsid w:val="00776A53"/>
    <w:rsid w:val="00776C15"/>
    <w:rsid w:val="00776D33"/>
    <w:rsid w:val="00776D4B"/>
    <w:rsid w:val="00777833"/>
    <w:rsid w:val="00777AF9"/>
    <w:rsid w:val="00777B1C"/>
    <w:rsid w:val="00777F22"/>
    <w:rsid w:val="0078053C"/>
    <w:rsid w:val="007805F8"/>
    <w:rsid w:val="00780C31"/>
    <w:rsid w:val="00781783"/>
    <w:rsid w:val="00781974"/>
    <w:rsid w:val="00781B08"/>
    <w:rsid w:val="00781C55"/>
    <w:rsid w:val="00782365"/>
    <w:rsid w:val="0078262D"/>
    <w:rsid w:val="00782783"/>
    <w:rsid w:val="00782A2E"/>
    <w:rsid w:val="00782C42"/>
    <w:rsid w:val="00782E92"/>
    <w:rsid w:val="0078348A"/>
    <w:rsid w:val="007834DB"/>
    <w:rsid w:val="007837DE"/>
    <w:rsid w:val="00783A4B"/>
    <w:rsid w:val="00783A6A"/>
    <w:rsid w:val="00783CA7"/>
    <w:rsid w:val="00784132"/>
    <w:rsid w:val="0078457E"/>
    <w:rsid w:val="0078478A"/>
    <w:rsid w:val="00784A0F"/>
    <w:rsid w:val="00784A4E"/>
    <w:rsid w:val="00784B6A"/>
    <w:rsid w:val="00784E6F"/>
    <w:rsid w:val="0078506A"/>
    <w:rsid w:val="0078567C"/>
    <w:rsid w:val="007858A1"/>
    <w:rsid w:val="0078590E"/>
    <w:rsid w:val="00785AAE"/>
    <w:rsid w:val="00785F2D"/>
    <w:rsid w:val="00785F63"/>
    <w:rsid w:val="0078659A"/>
    <w:rsid w:val="00786810"/>
    <w:rsid w:val="00786D70"/>
    <w:rsid w:val="00787141"/>
    <w:rsid w:val="00787561"/>
    <w:rsid w:val="00787B8A"/>
    <w:rsid w:val="00787BEB"/>
    <w:rsid w:val="00787E09"/>
    <w:rsid w:val="00790518"/>
    <w:rsid w:val="00790573"/>
    <w:rsid w:val="007906A8"/>
    <w:rsid w:val="007907CC"/>
    <w:rsid w:val="007908AC"/>
    <w:rsid w:val="007909A5"/>
    <w:rsid w:val="00790A24"/>
    <w:rsid w:val="00790A8A"/>
    <w:rsid w:val="00791AA5"/>
    <w:rsid w:val="00791B5F"/>
    <w:rsid w:val="007921AF"/>
    <w:rsid w:val="007921BA"/>
    <w:rsid w:val="00792358"/>
    <w:rsid w:val="007925C8"/>
    <w:rsid w:val="00792D28"/>
    <w:rsid w:val="00793657"/>
    <w:rsid w:val="00793A36"/>
    <w:rsid w:val="00793DAC"/>
    <w:rsid w:val="00793E8E"/>
    <w:rsid w:val="00794258"/>
    <w:rsid w:val="007945B4"/>
    <w:rsid w:val="0079481F"/>
    <w:rsid w:val="007948EE"/>
    <w:rsid w:val="00794B0B"/>
    <w:rsid w:val="00794D12"/>
    <w:rsid w:val="00794ECD"/>
    <w:rsid w:val="007950E2"/>
    <w:rsid w:val="00795D26"/>
    <w:rsid w:val="007960BA"/>
    <w:rsid w:val="00796867"/>
    <w:rsid w:val="00796BDA"/>
    <w:rsid w:val="00796FB4"/>
    <w:rsid w:val="007971AF"/>
    <w:rsid w:val="007972BD"/>
    <w:rsid w:val="00797CE1"/>
    <w:rsid w:val="00797DBF"/>
    <w:rsid w:val="00797E66"/>
    <w:rsid w:val="007A018D"/>
    <w:rsid w:val="007A030E"/>
    <w:rsid w:val="007A0391"/>
    <w:rsid w:val="007A0464"/>
    <w:rsid w:val="007A0767"/>
    <w:rsid w:val="007A0E07"/>
    <w:rsid w:val="007A0ED5"/>
    <w:rsid w:val="007A147F"/>
    <w:rsid w:val="007A17DE"/>
    <w:rsid w:val="007A1BAA"/>
    <w:rsid w:val="007A1C19"/>
    <w:rsid w:val="007A2527"/>
    <w:rsid w:val="007A2757"/>
    <w:rsid w:val="007A2CB5"/>
    <w:rsid w:val="007A2D8F"/>
    <w:rsid w:val="007A3740"/>
    <w:rsid w:val="007A3BA7"/>
    <w:rsid w:val="007A3DFE"/>
    <w:rsid w:val="007A41FA"/>
    <w:rsid w:val="007A44CE"/>
    <w:rsid w:val="007A5009"/>
    <w:rsid w:val="007A53EC"/>
    <w:rsid w:val="007A5E90"/>
    <w:rsid w:val="007A5EB0"/>
    <w:rsid w:val="007A60D4"/>
    <w:rsid w:val="007A65AA"/>
    <w:rsid w:val="007A6E62"/>
    <w:rsid w:val="007A76EF"/>
    <w:rsid w:val="007A78DE"/>
    <w:rsid w:val="007A790E"/>
    <w:rsid w:val="007A7944"/>
    <w:rsid w:val="007A7AE8"/>
    <w:rsid w:val="007A7DC8"/>
    <w:rsid w:val="007A7E39"/>
    <w:rsid w:val="007A7E72"/>
    <w:rsid w:val="007B026E"/>
    <w:rsid w:val="007B0A40"/>
    <w:rsid w:val="007B0A4E"/>
    <w:rsid w:val="007B0DC0"/>
    <w:rsid w:val="007B0DE6"/>
    <w:rsid w:val="007B1032"/>
    <w:rsid w:val="007B1285"/>
    <w:rsid w:val="007B16C9"/>
    <w:rsid w:val="007B19CD"/>
    <w:rsid w:val="007B1EFA"/>
    <w:rsid w:val="007B2172"/>
    <w:rsid w:val="007B3554"/>
    <w:rsid w:val="007B3766"/>
    <w:rsid w:val="007B4229"/>
    <w:rsid w:val="007B424D"/>
    <w:rsid w:val="007B4E32"/>
    <w:rsid w:val="007B5104"/>
    <w:rsid w:val="007B51D7"/>
    <w:rsid w:val="007B5A6E"/>
    <w:rsid w:val="007B5DA9"/>
    <w:rsid w:val="007B6391"/>
    <w:rsid w:val="007B63AA"/>
    <w:rsid w:val="007B63DB"/>
    <w:rsid w:val="007B66E1"/>
    <w:rsid w:val="007B6906"/>
    <w:rsid w:val="007B6990"/>
    <w:rsid w:val="007B6CCE"/>
    <w:rsid w:val="007B6F0F"/>
    <w:rsid w:val="007B708B"/>
    <w:rsid w:val="007B71B3"/>
    <w:rsid w:val="007B720C"/>
    <w:rsid w:val="007B724E"/>
    <w:rsid w:val="007B7933"/>
    <w:rsid w:val="007B7F4B"/>
    <w:rsid w:val="007C05A7"/>
    <w:rsid w:val="007C05E1"/>
    <w:rsid w:val="007C06C8"/>
    <w:rsid w:val="007C0A42"/>
    <w:rsid w:val="007C136F"/>
    <w:rsid w:val="007C13ED"/>
    <w:rsid w:val="007C15B0"/>
    <w:rsid w:val="007C164B"/>
    <w:rsid w:val="007C1951"/>
    <w:rsid w:val="007C1A89"/>
    <w:rsid w:val="007C1C66"/>
    <w:rsid w:val="007C22E7"/>
    <w:rsid w:val="007C276D"/>
    <w:rsid w:val="007C27E1"/>
    <w:rsid w:val="007C29AF"/>
    <w:rsid w:val="007C2B48"/>
    <w:rsid w:val="007C2F9D"/>
    <w:rsid w:val="007C36D3"/>
    <w:rsid w:val="007C36EB"/>
    <w:rsid w:val="007C3E48"/>
    <w:rsid w:val="007C42C1"/>
    <w:rsid w:val="007C431A"/>
    <w:rsid w:val="007C4334"/>
    <w:rsid w:val="007C552E"/>
    <w:rsid w:val="007C5646"/>
    <w:rsid w:val="007C5D20"/>
    <w:rsid w:val="007C618B"/>
    <w:rsid w:val="007C6355"/>
    <w:rsid w:val="007C6AB9"/>
    <w:rsid w:val="007C6B51"/>
    <w:rsid w:val="007C6BB9"/>
    <w:rsid w:val="007C6BBA"/>
    <w:rsid w:val="007C6D10"/>
    <w:rsid w:val="007C7079"/>
    <w:rsid w:val="007C71D2"/>
    <w:rsid w:val="007C7752"/>
    <w:rsid w:val="007C7F12"/>
    <w:rsid w:val="007D03EF"/>
    <w:rsid w:val="007D056F"/>
    <w:rsid w:val="007D06E3"/>
    <w:rsid w:val="007D0738"/>
    <w:rsid w:val="007D0924"/>
    <w:rsid w:val="007D11C2"/>
    <w:rsid w:val="007D12BE"/>
    <w:rsid w:val="007D17F2"/>
    <w:rsid w:val="007D20E7"/>
    <w:rsid w:val="007D23DD"/>
    <w:rsid w:val="007D24B4"/>
    <w:rsid w:val="007D251E"/>
    <w:rsid w:val="007D296C"/>
    <w:rsid w:val="007D30AC"/>
    <w:rsid w:val="007D30E1"/>
    <w:rsid w:val="007D3123"/>
    <w:rsid w:val="007D3215"/>
    <w:rsid w:val="007D3270"/>
    <w:rsid w:val="007D34B4"/>
    <w:rsid w:val="007D3BD0"/>
    <w:rsid w:val="007D4115"/>
    <w:rsid w:val="007D497F"/>
    <w:rsid w:val="007D4C49"/>
    <w:rsid w:val="007D51EF"/>
    <w:rsid w:val="007D5653"/>
    <w:rsid w:val="007D571B"/>
    <w:rsid w:val="007D59C9"/>
    <w:rsid w:val="007D59F2"/>
    <w:rsid w:val="007D5FA6"/>
    <w:rsid w:val="007D60A0"/>
    <w:rsid w:val="007D68B7"/>
    <w:rsid w:val="007D6B92"/>
    <w:rsid w:val="007D70D4"/>
    <w:rsid w:val="007D70EA"/>
    <w:rsid w:val="007D768E"/>
    <w:rsid w:val="007D76DB"/>
    <w:rsid w:val="007D7BC2"/>
    <w:rsid w:val="007D7FFC"/>
    <w:rsid w:val="007E02FB"/>
    <w:rsid w:val="007E030D"/>
    <w:rsid w:val="007E0870"/>
    <w:rsid w:val="007E16E5"/>
    <w:rsid w:val="007E1D14"/>
    <w:rsid w:val="007E2878"/>
    <w:rsid w:val="007E2BFF"/>
    <w:rsid w:val="007E33A0"/>
    <w:rsid w:val="007E377A"/>
    <w:rsid w:val="007E399B"/>
    <w:rsid w:val="007E3D89"/>
    <w:rsid w:val="007E3EB7"/>
    <w:rsid w:val="007E47BE"/>
    <w:rsid w:val="007E4B1B"/>
    <w:rsid w:val="007E4BE8"/>
    <w:rsid w:val="007E5062"/>
    <w:rsid w:val="007E5C38"/>
    <w:rsid w:val="007E5C89"/>
    <w:rsid w:val="007E5DD3"/>
    <w:rsid w:val="007E7673"/>
    <w:rsid w:val="007E7A05"/>
    <w:rsid w:val="007E7C3C"/>
    <w:rsid w:val="007E7E9E"/>
    <w:rsid w:val="007F0809"/>
    <w:rsid w:val="007F0B9E"/>
    <w:rsid w:val="007F0D21"/>
    <w:rsid w:val="007F0D36"/>
    <w:rsid w:val="007F0F54"/>
    <w:rsid w:val="007F1526"/>
    <w:rsid w:val="007F17D1"/>
    <w:rsid w:val="007F1A74"/>
    <w:rsid w:val="007F1C50"/>
    <w:rsid w:val="007F1DE6"/>
    <w:rsid w:val="007F2042"/>
    <w:rsid w:val="007F20DB"/>
    <w:rsid w:val="007F22D0"/>
    <w:rsid w:val="007F25F1"/>
    <w:rsid w:val="007F2736"/>
    <w:rsid w:val="007F2AD9"/>
    <w:rsid w:val="007F2BAE"/>
    <w:rsid w:val="007F333B"/>
    <w:rsid w:val="007F360E"/>
    <w:rsid w:val="007F37D0"/>
    <w:rsid w:val="007F3CDA"/>
    <w:rsid w:val="007F3DA0"/>
    <w:rsid w:val="007F3DED"/>
    <w:rsid w:val="007F471D"/>
    <w:rsid w:val="007F4B53"/>
    <w:rsid w:val="007F4BB3"/>
    <w:rsid w:val="007F5886"/>
    <w:rsid w:val="007F5A22"/>
    <w:rsid w:val="007F5C0F"/>
    <w:rsid w:val="007F5CC0"/>
    <w:rsid w:val="007F62CF"/>
    <w:rsid w:val="007F6354"/>
    <w:rsid w:val="007F642D"/>
    <w:rsid w:val="007F657B"/>
    <w:rsid w:val="007F65C0"/>
    <w:rsid w:val="007F6614"/>
    <w:rsid w:val="007F663B"/>
    <w:rsid w:val="007F66BA"/>
    <w:rsid w:val="007F6B14"/>
    <w:rsid w:val="007F6E9A"/>
    <w:rsid w:val="007F71C6"/>
    <w:rsid w:val="007F72B5"/>
    <w:rsid w:val="007F7709"/>
    <w:rsid w:val="007F7744"/>
    <w:rsid w:val="008008C3"/>
    <w:rsid w:val="00801064"/>
    <w:rsid w:val="0080185D"/>
    <w:rsid w:val="00801AEB"/>
    <w:rsid w:val="00801D6C"/>
    <w:rsid w:val="00801D97"/>
    <w:rsid w:val="00801DBE"/>
    <w:rsid w:val="00803466"/>
    <w:rsid w:val="008035D8"/>
    <w:rsid w:val="00803778"/>
    <w:rsid w:val="00803C87"/>
    <w:rsid w:val="00803DFA"/>
    <w:rsid w:val="00804209"/>
    <w:rsid w:val="00804525"/>
    <w:rsid w:val="00804767"/>
    <w:rsid w:val="00804B41"/>
    <w:rsid w:val="00804FF0"/>
    <w:rsid w:val="008059E0"/>
    <w:rsid w:val="00805BCE"/>
    <w:rsid w:val="00806098"/>
    <w:rsid w:val="008066E9"/>
    <w:rsid w:val="00806807"/>
    <w:rsid w:val="00806E33"/>
    <w:rsid w:val="0080702E"/>
    <w:rsid w:val="008071D4"/>
    <w:rsid w:val="00807445"/>
    <w:rsid w:val="008075DA"/>
    <w:rsid w:val="008078A9"/>
    <w:rsid w:val="0081044C"/>
    <w:rsid w:val="0081113C"/>
    <w:rsid w:val="00811165"/>
    <w:rsid w:val="0081129E"/>
    <w:rsid w:val="008118BE"/>
    <w:rsid w:val="00811DF0"/>
    <w:rsid w:val="00811EF1"/>
    <w:rsid w:val="00812376"/>
    <w:rsid w:val="00812883"/>
    <w:rsid w:val="00812C53"/>
    <w:rsid w:val="0081324A"/>
    <w:rsid w:val="00813507"/>
    <w:rsid w:val="00813AB6"/>
    <w:rsid w:val="00813C31"/>
    <w:rsid w:val="008145A3"/>
    <w:rsid w:val="008145DD"/>
    <w:rsid w:val="008147A4"/>
    <w:rsid w:val="00814DCD"/>
    <w:rsid w:val="00814DED"/>
    <w:rsid w:val="0081513E"/>
    <w:rsid w:val="008157CE"/>
    <w:rsid w:val="00815AEE"/>
    <w:rsid w:val="008166D2"/>
    <w:rsid w:val="00816A14"/>
    <w:rsid w:val="0081723A"/>
    <w:rsid w:val="0081738F"/>
    <w:rsid w:val="00817641"/>
    <w:rsid w:val="008177C6"/>
    <w:rsid w:val="00817B01"/>
    <w:rsid w:val="00817D85"/>
    <w:rsid w:val="00817F19"/>
    <w:rsid w:val="0082007F"/>
    <w:rsid w:val="008200C8"/>
    <w:rsid w:val="008203BA"/>
    <w:rsid w:val="008205DF"/>
    <w:rsid w:val="008208DA"/>
    <w:rsid w:val="008208F9"/>
    <w:rsid w:val="00820B05"/>
    <w:rsid w:val="00820C6A"/>
    <w:rsid w:val="00821223"/>
    <w:rsid w:val="00821498"/>
    <w:rsid w:val="00821612"/>
    <w:rsid w:val="008218FB"/>
    <w:rsid w:val="00821D86"/>
    <w:rsid w:val="0082203A"/>
    <w:rsid w:val="00822A20"/>
    <w:rsid w:val="00822EDF"/>
    <w:rsid w:val="00822F90"/>
    <w:rsid w:val="00823223"/>
    <w:rsid w:val="008237A5"/>
    <w:rsid w:val="00823D50"/>
    <w:rsid w:val="00823FB3"/>
    <w:rsid w:val="00823FDF"/>
    <w:rsid w:val="00824915"/>
    <w:rsid w:val="00824A9D"/>
    <w:rsid w:val="00824C66"/>
    <w:rsid w:val="00824E8E"/>
    <w:rsid w:val="008250A6"/>
    <w:rsid w:val="0082512D"/>
    <w:rsid w:val="008251A7"/>
    <w:rsid w:val="00825266"/>
    <w:rsid w:val="00825501"/>
    <w:rsid w:val="008258B5"/>
    <w:rsid w:val="00825B34"/>
    <w:rsid w:val="00825C03"/>
    <w:rsid w:val="00826015"/>
    <w:rsid w:val="008261C9"/>
    <w:rsid w:val="00826491"/>
    <w:rsid w:val="00826583"/>
    <w:rsid w:val="00826798"/>
    <w:rsid w:val="00826F76"/>
    <w:rsid w:val="008273BC"/>
    <w:rsid w:val="00827E49"/>
    <w:rsid w:val="008307FE"/>
    <w:rsid w:val="00830808"/>
    <w:rsid w:val="00830F0B"/>
    <w:rsid w:val="00831220"/>
    <w:rsid w:val="0083163B"/>
    <w:rsid w:val="0083197C"/>
    <w:rsid w:val="00831C65"/>
    <w:rsid w:val="0083211A"/>
    <w:rsid w:val="00832850"/>
    <w:rsid w:val="0083359F"/>
    <w:rsid w:val="0083392D"/>
    <w:rsid w:val="00834167"/>
    <w:rsid w:val="008346EA"/>
    <w:rsid w:val="008352A6"/>
    <w:rsid w:val="008353F8"/>
    <w:rsid w:val="00835527"/>
    <w:rsid w:val="00835B79"/>
    <w:rsid w:val="00835C6A"/>
    <w:rsid w:val="0083640E"/>
    <w:rsid w:val="00836AD5"/>
    <w:rsid w:val="00836BF0"/>
    <w:rsid w:val="0083723C"/>
    <w:rsid w:val="00837490"/>
    <w:rsid w:val="008374E1"/>
    <w:rsid w:val="0083791B"/>
    <w:rsid w:val="00837945"/>
    <w:rsid w:val="00837B88"/>
    <w:rsid w:val="00837F6A"/>
    <w:rsid w:val="00840180"/>
    <w:rsid w:val="00840261"/>
    <w:rsid w:val="008402B2"/>
    <w:rsid w:val="008408FB"/>
    <w:rsid w:val="00840BAF"/>
    <w:rsid w:val="00840D63"/>
    <w:rsid w:val="00840ED1"/>
    <w:rsid w:val="00840F2D"/>
    <w:rsid w:val="00840F7F"/>
    <w:rsid w:val="008420CB"/>
    <w:rsid w:val="0084366D"/>
    <w:rsid w:val="00843B2D"/>
    <w:rsid w:val="00843DAC"/>
    <w:rsid w:val="0084413A"/>
    <w:rsid w:val="008442C3"/>
    <w:rsid w:val="008444F8"/>
    <w:rsid w:val="00844AB7"/>
    <w:rsid w:val="00844BB9"/>
    <w:rsid w:val="00844DE2"/>
    <w:rsid w:val="008457A7"/>
    <w:rsid w:val="00845B97"/>
    <w:rsid w:val="00845E41"/>
    <w:rsid w:val="00846400"/>
    <w:rsid w:val="00846905"/>
    <w:rsid w:val="00846BA2"/>
    <w:rsid w:val="008473E4"/>
    <w:rsid w:val="00847471"/>
    <w:rsid w:val="008475F3"/>
    <w:rsid w:val="0084789B"/>
    <w:rsid w:val="008504D7"/>
    <w:rsid w:val="008505D7"/>
    <w:rsid w:val="00850CA8"/>
    <w:rsid w:val="00850DC1"/>
    <w:rsid w:val="00851292"/>
    <w:rsid w:val="00851301"/>
    <w:rsid w:val="0085145C"/>
    <w:rsid w:val="00851A46"/>
    <w:rsid w:val="00851E5D"/>
    <w:rsid w:val="0085240C"/>
    <w:rsid w:val="0085280F"/>
    <w:rsid w:val="008528D0"/>
    <w:rsid w:val="00852B29"/>
    <w:rsid w:val="00852D2C"/>
    <w:rsid w:val="00852D52"/>
    <w:rsid w:val="00852F2D"/>
    <w:rsid w:val="00853064"/>
    <w:rsid w:val="008539CA"/>
    <w:rsid w:val="00853AD6"/>
    <w:rsid w:val="0085411C"/>
    <w:rsid w:val="0085416D"/>
    <w:rsid w:val="00854182"/>
    <w:rsid w:val="0085423C"/>
    <w:rsid w:val="008544B8"/>
    <w:rsid w:val="00854D9E"/>
    <w:rsid w:val="00855196"/>
    <w:rsid w:val="00855477"/>
    <w:rsid w:val="008554C6"/>
    <w:rsid w:val="008554DA"/>
    <w:rsid w:val="0085572D"/>
    <w:rsid w:val="008557C3"/>
    <w:rsid w:val="0085598F"/>
    <w:rsid w:val="00855D22"/>
    <w:rsid w:val="00855F77"/>
    <w:rsid w:val="008563DB"/>
    <w:rsid w:val="0085671A"/>
    <w:rsid w:val="00856C4E"/>
    <w:rsid w:val="00856F2D"/>
    <w:rsid w:val="008573E8"/>
    <w:rsid w:val="0085767B"/>
    <w:rsid w:val="00857698"/>
    <w:rsid w:val="008576DB"/>
    <w:rsid w:val="008577D3"/>
    <w:rsid w:val="00857CCD"/>
    <w:rsid w:val="00857DFB"/>
    <w:rsid w:val="00857EE4"/>
    <w:rsid w:val="0086013B"/>
    <w:rsid w:val="008601EE"/>
    <w:rsid w:val="008605A4"/>
    <w:rsid w:val="0086086E"/>
    <w:rsid w:val="00860A06"/>
    <w:rsid w:val="00860AEC"/>
    <w:rsid w:val="00860FAE"/>
    <w:rsid w:val="0086102C"/>
    <w:rsid w:val="00861650"/>
    <w:rsid w:val="0086179F"/>
    <w:rsid w:val="00861ABD"/>
    <w:rsid w:val="00861AD4"/>
    <w:rsid w:val="00861D43"/>
    <w:rsid w:val="00861FF4"/>
    <w:rsid w:val="00862443"/>
    <w:rsid w:val="008625C9"/>
    <w:rsid w:val="0086263D"/>
    <w:rsid w:val="00862D31"/>
    <w:rsid w:val="00862EEB"/>
    <w:rsid w:val="00863162"/>
    <w:rsid w:val="00863560"/>
    <w:rsid w:val="00863A3A"/>
    <w:rsid w:val="00863FDD"/>
    <w:rsid w:val="0086454C"/>
    <w:rsid w:val="00864874"/>
    <w:rsid w:val="00864900"/>
    <w:rsid w:val="0086499C"/>
    <w:rsid w:val="00864D16"/>
    <w:rsid w:val="00864FBB"/>
    <w:rsid w:val="00865653"/>
    <w:rsid w:val="00865A39"/>
    <w:rsid w:val="00865BF6"/>
    <w:rsid w:val="00865C94"/>
    <w:rsid w:val="00865CD2"/>
    <w:rsid w:val="00865E5C"/>
    <w:rsid w:val="00865F2A"/>
    <w:rsid w:val="00865F43"/>
    <w:rsid w:val="008660DA"/>
    <w:rsid w:val="0086623A"/>
    <w:rsid w:val="00866564"/>
    <w:rsid w:val="008666F9"/>
    <w:rsid w:val="0086677D"/>
    <w:rsid w:val="0086689C"/>
    <w:rsid w:val="00866B66"/>
    <w:rsid w:val="008676EE"/>
    <w:rsid w:val="00867C88"/>
    <w:rsid w:val="00867D73"/>
    <w:rsid w:val="00867EC6"/>
    <w:rsid w:val="008709AD"/>
    <w:rsid w:val="00870A00"/>
    <w:rsid w:val="00870DFA"/>
    <w:rsid w:val="00870E47"/>
    <w:rsid w:val="00871059"/>
    <w:rsid w:val="008712DB"/>
    <w:rsid w:val="008713F5"/>
    <w:rsid w:val="0087158D"/>
    <w:rsid w:val="008717E0"/>
    <w:rsid w:val="008719A5"/>
    <w:rsid w:val="0087251F"/>
    <w:rsid w:val="00872555"/>
    <w:rsid w:val="00872AF6"/>
    <w:rsid w:val="00872C37"/>
    <w:rsid w:val="00872E98"/>
    <w:rsid w:val="00873389"/>
    <w:rsid w:val="00873796"/>
    <w:rsid w:val="00873815"/>
    <w:rsid w:val="0087382A"/>
    <w:rsid w:val="0087411A"/>
    <w:rsid w:val="00874AA3"/>
    <w:rsid w:val="00874ACC"/>
    <w:rsid w:val="00874B79"/>
    <w:rsid w:val="008751C6"/>
    <w:rsid w:val="008754F3"/>
    <w:rsid w:val="00875986"/>
    <w:rsid w:val="00875E56"/>
    <w:rsid w:val="00875FDF"/>
    <w:rsid w:val="008760EB"/>
    <w:rsid w:val="0087616C"/>
    <w:rsid w:val="0087632D"/>
    <w:rsid w:val="0087751E"/>
    <w:rsid w:val="00877F03"/>
    <w:rsid w:val="008802BE"/>
    <w:rsid w:val="00880549"/>
    <w:rsid w:val="00880764"/>
    <w:rsid w:val="0088098A"/>
    <w:rsid w:val="00880E76"/>
    <w:rsid w:val="00881687"/>
    <w:rsid w:val="008816C9"/>
    <w:rsid w:val="0088170E"/>
    <w:rsid w:val="00881922"/>
    <w:rsid w:val="00881C95"/>
    <w:rsid w:val="008820EE"/>
    <w:rsid w:val="00882153"/>
    <w:rsid w:val="0088219D"/>
    <w:rsid w:val="00882585"/>
    <w:rsid w:val="00882E01"/>
    <w:rsid w:val="0088300B"/>
    <w:rsid w:val="00883217"/>
    <w:rsid w:val="008832F1"/>
    <w:rsid w:val="0088374E"/>
    <w:rsid w:val="008839DA"/>
    <w:rsid w:val="0088440E"/>
    <w:rsid w:val="00884ADE"/>
    <w:rsid w:val="00884C97"/>
    <w:rsid w:val="00885038"/>
    <w:rsid w:val="0088510C"/>
    <w:rsid w:val="00885586"/>
    <w:rsid w:val="008857B7"/>
    <w:rsid w:val="008859D8"/>
    <w:rsid w:val="00885B3E"/>
    <w:rsid w:val="00885E50"/>
    <w:rsid w:val="008860AF"/>
    <w:rsid w:val="0088626B"/>
    <w:rsid w:val="00886434"/>
    <w:rsid w:val="00886E48"/>
    <w:rsid w:val="00887329"/>
    <w:rsid w:val="00887CBF"/>
    <w:rsid w:val="008901A6"/>
    <w:rsid w:val="00890263"/>
    <w:rsid w:val="00890439"/>
    <w:rsid w:val="00890612"/>
    <w:rsid w:val="00890655"/>
    <w:rsid w:val="00890A15"/>
    <w:rsid w:val="00890D69"/>
    <w:rsid w:val="00890DC4"/>
    <w:rsid w:val="00890FA3"/>
    <w:rsid w:val="00890FD5"/>
    <w:rsid w:val="00891758"/>
    <w:rsid w:val="008917C9"/>
    <w:rsid w:val="008918BF"/>
    <w:rsid w:val="008920B4"/>
    <w:rsid w:val="00892128"/>
    <w:rsid w:val="00892812"/>
    <w:rsid w:val="00893470"/>
    <w:rsid w:val="00893B50"/>
    <w:rsid w:val="00893C93"/>
    <w:rsid w:val="00893EC2"/>
    <w:rsid w:val="008943D2"/>
    <w:rsid w:val="00894670"/>
    <w:rsid w:val="00894B58"/>
    <w:rsid w:val="00894DB9"/>
    <w:rsid w:val="00894E61"/>
    <w:rsid w:val="0089568B"/>
    <w:rsid w:val="008956E9"/>
    <w:rsid w:val="00895A4E"/>
    <w:rsid w:val="00895D15"/>
    <w:rsid w:val="0089608D"/>
    <w:rsid w:val="008960D1"/>
    <w:rsid w:val="008961EF"/>
    <w:rsid w:val="0089691D"/>
    <w:rsid w:val="00896A82"/>
    <w:rsid w:val="00896B0E"/>
    <w:rsid w:val="0089703D"/>
    <w:rsid w:val="00897519"/>
    <w:rsid w:val="0089760C"/>
    <w:rsid w:val="00897621"/>
    <w:rsid w:val="00897AA4"/>
    <w:rsid w:val="00897F34"/>
    <w:rsid w:val="008A0166"/>
    <w:rsid w:val="008A0187"/>
    <w:rsid w:val="008A03D7"/>
    <w:rsid w:val="008A04EC"/>
    <w:rsid w:val="008A0940"/>
    <w:rsid w:val="008A0F6E"/>
    <w:rsid w:val="008A10FC"/>
    <w:rsid w:val="008A1232"/>
    <w:rsid w:val="008A1CCF"/>
    <w:rsid w:val="008A24BA"/>
    <w:rsid w:val="008A25BD"/>
    <w:rsid w:val="008A25C0"/>
    <w:rsid w:val="008A2D24"/>
    <w:rsid w:val="008A4212"/>
    <w:rsid w:val="008A4AC1"/>
    <w:rsid w:val="008A4B37"/>
    <w:rsid w:val="008A4B49"/>
    <w:rsid w:val="008A5124"/>
    <w:rsid w:val="008A5943"/>
    <w:rsid w:val="008A6399"/>
    <w:rsid w:val="008A67A7"/>
    <w:rsid w:val="008A68AA"/>
    <w:rsid w:val="008A6DD8"/>
    <w:rsid w:val="008A7210"/>
    <w:rsid w:val="008A7252"/>
    <w:rsid w:val="008A736C"/>
    <w:rsid w:val="008A76EF"/>
    <w:rsid w:val="008A7CEC"/>
    <w:rsid w:val="008A7EC1"/>
    <w:rsid w:val="008B04CC"/>
    <w:rsid w:val="008B0627"/>
    <w:rsid w:val="008B06F6"/>
    <w:rsid w:val="008B0B84"/>
    <w:rsid w:val="008B0CF1"/>
    <w:rsid w:val="008B10A3"/>
    <w:rsid w:val="008B1247"/>
    <w:rsid w:val="008B12C4"/>
    <w:rsid w:val="008B1846"/>
    <w:rsid w:val="008B19FC"/>
    <w:rsid w:val="008B1A36"/>
    <w:rsid w:val="008B1F1B"/>
    <w:rsid w:val="008B1F7B"/>
    <w:rsid w:val="008B2145"/>
    <w:rsid w:val="008B237F"/>
    <w:rsid w:val="008B2939"/>
    <w:rsid w:val="008B2D57"/>
    <w:rsid w:val="008B3180"/>
    <w:rsid w:val="008B34BA"/>
    <w:rsid w:val="008B34DD"/>
    <w:rsid w:val="008B37B4"/>
    <w:rsid w:val="008B3812"/>
    <w:rsid w:val="008B3A09"/>
    <w:rsid w:val="008B4508"/>
    <w:rsid w:val="008B4D5D"/>
    <w:rsid w:val="008B5897"/>
    <w:rsid w:val="008B5A88"/>
    <w:rsid w:val="008B5F9D"/>
    <w:rsid w:val="008B6155"/>
    <w:rsid w:val="008B6374"/>
    <w:rsid w:val="008B6C3B"/>
    <w:rsid w:val="008B6C73"/>
    <w:rsid w:val="008B6D4F"/>
    <w:rsid w:val="008B6EC2"/>
    <w:rsid w:val="008B7E7F"/>
    <w:rsid w:val="008B7ECC"/>
    <w:rsid w:val="008C015F"/>
    <w:rsid w:val="008C04BE"/>
    <w:rsid w:val="008C0606"/>
    <w:rsid w:val="008C0BA5"/>
    <w:rsid w:val="008C0CCB"/>
    <w:rsid w:val="008C0DE3"/>
    <w:rsid w:val="008C0ED3"/>
    <w:rsid w:val="008C1007"/>
    <w:rsid w:val="008C11EB"/>
    <w:rsid w:val="008C152B"/>
    <w:rsid w:val="008C18E7"/>
    <w:rsid w:val="008C1AAA"/>
    <w:rsid w:val="008C2216"/>
    <w:rsid w:val="008C2659"/>
    <w:rsid w:val="008C275E"/>
    <w:rsid w:val="008C27E8"/>
    <w:rsid w:val="008C28EE"/>
    <w:rsid w:val="008C291C"/>
    <w:rsid w:val="008C2A3B"/>
    <w:rsid w:val="008C3BF7"/>
    <w:rsid w:val="008C3CF9"/>
    <w:rsid w:val="008C3EDA"/>
    <w:rsid w:val="008C47AC"/>
    <w:rsid w:val="008C47C4"/>
    <w:rsid w:val="008C4AEE"/>
    <w:rsid w:val="008C4D94"/>
    <w:rsid w:val="008C4EDA"/>
    <w:rsid w:val="008C52F2"/>
    <w:rsid w:val="008C568B"/>
    <w:rsid w:val="008C5AF5"/>
    <w:rsid w:val="008C64DC"/>
    <w:rsid w:val="008C6615"/>
    <w:rsid w:val="008C696C"/>
    <w:rsid w:val="008C6A5C"/>
    <w:rsid w:val="008C6C61"/>
    <w:rsid w:val="008C7627"/>
    <w:rsid w:val="008C7B18"/>
    <w:rsid w:val="008C7D8D"/>
    <w:rsid w:val="008D0650"/>
    <w:rsid w:val="008D06E2"/>
    <w:rsid w:val="008D0EA9"/>
    <w:rsid w:val="008D0F84"/>
    <w:rsid w:val="008D110D"/>
    <w:rsid w:val="008D1136"/>
    <w:rsid w:val="008D118E"/>
    <w:rsid w:val="008D16A4"/>
    <w:rsid w:val="008D1E56"/>
    <w:rsid w:val="008D21FB"/>
    <w:rsid w:val="008D278A"/>
    <w:rsid w:val="008D2838"/>
    <w:rsid w:val="008D2A7D"/>
    <w:rsid w:val="008D2B75"/>
    <w:rsid w:val="008D31A7"/>
    <w:rsid w:val="008D3A09"/>
    <w:rsid w:val="008D53CB"/>
    <w:rsid w:val="008D5604"/>
    <w:rsid w:val="008D5739"/>
    <w:rsid w:val="008D5A38"/>
    <w:rsid w:val="008D5CEA"/>
    <w:rsid w:val="008D5F47"/>
    <w:rsid w:val="008D6485"/>
    <w:rsid w:val="008D6CEE"/>
    <w:rsid w:val="008D6E89"/>
    <w:rsid w:val="008D7108"/>
    <w:rsid w:val="008D7714"/>
    <w:rsid w:val="008D781C"/>
    <w:rsid w:val="008D7AFA"/>
    <w:rsid w:val="008D7F25"/>
    <w:rsid w:val="008E0065"/>
    <w:rsid w:val="008E0515"/>
    <w:rsid w:val="008E056E"/>
    <w:rsid w:val="008E05C4"/>
    <w:rsid w:val="008E06B6"/>
    <w:rsid w:val="008E0AAD"/>
    <w:rsid w:val="008E0BFB"/>
    <w:rsid w:val="008E0C94"/>
    <w:rsid w:val="008E0E58"/>
    <w:rsid w:val="008E0FA5"/>
    <w:rsid w:val="008E136C"/>
    <w:rsid w:val="008E141E"/>
    <w:rsid w:val="008E1714"/>
    <w:rsid w:val="008E183F"/>
    <w:rsid w:val="008E189C"/>
    <w:rsid w:val="008E1A05"/>
    <w:rsid w:val="008E1CD7"/>
    <w:rsid w:val="008E1D27"/>
    <w:rsid w:val="008E2712"/>
    <w:rsid w:val="008E276A"/>
    <w:rsid w:val="008E2AE8"/>
    <w:rsid w:val="008E2B4B"/>
    <w:rsid w:val="008E2D1C"/>
    <w:rsid w:val="008E3701"/>
    <w:rsid w:val="008E3B34"/>
    <w:rsid w:val="008E3B77"/>
    <w:rsid w:val="008E3D3F"/>
    <w:rsid w:val="008E3F88"/>
    <w:rsid w:val="008E3FDF"/>
    <w:rsid w:val="008E43C6"/>
    <w:rsid w:val="008E47CE"/>
    <w:rsid w:val="008E4978"/>
    <w:rsid w:val="008E4B5F"/>
    <w:rsid w:val="008E4C45"/>
    <w:rsid w:val="008E4F0D"/>
    <w:rsid w:val="008E4F32"/>
    <w:rsid w:val="008E4F7C"/>
    <w:rsid w:val="008E513B"/>
    <w:rsid w:val="008E53A6"/>
    <w:rsid w:val="008E5B72"/>
    <w:rsid w:val="008E5D49"/>
    <w:rsid w:val="008E624D"/>
    <w:rsid w:val="008E6505"/>
    <w:rsid w:val="008E65B0"/>
    <w:rsid w:val="008E6956"/>
    <w:rsid w:val="008E6B3D"/>
    <w:rsid w:val="008E6DB5"/>
    <w:rsid w:val="008E726C"/>
    <w:rsid w:val="008E74A4"/>
    <w:rsid w:val="008E75A8"/>
    <w:rsid w:val="008E78BE"/>
    <w:rsid w:val="008E7B51"/>
    <w:rsid w:val="008E7E66"/>
    <w:rsid w:val="008F0250"/>
    <w:rsid w:val="008F02F2"/>
    <w:rsid w:val="008F0899"/>
    <w:rsid w:val="008F0A4A"/>
    <w:rsid w:val="008F1421"/>
    <w:rsid w:val="008F1B21"/>
    <w:rsid w:val="008F1BD6"/>
    <w:rsid w:val="008F1C76"/>
    <w:rsid w:val="008F2377"/>
    <w:rsid w:val="008F24BD"/>
    <w:rsid w:val="008F26AE"/>
    <w:rsid w:val="008F292D"/>
    <w:rsid w:val="008F2B26"/>
    <w:rsid w:val="008F2EA9"/>
    <w:rsid w:val="008F2FB5"/>
    <w:rsid w:val="008F2FF0"/>
    <w:rsid w:val="008F3486"/>
    <w:rsid w:val="008F3A37"/>
    <w:rsid w:val="008F3B0E"/>
    <w:rsid w:val="008F3D86"/>
    <w:rsid w:val="008F4044"/>
    <w:rsid w:val="008F421D"/>
    <w:rsid w:val="008F43C7"/>
    <w:rsid w:val="008F4786"/>
    <w:rsid w:val="008F47EB"/>
    <w:rsid w:val="008F5724"/>
    <w:rsid w:val="008F5D39"/>
    <w:rsid w:val="008F5E63"/>
    <w:rsid w:val="008F6168"/>
    <w:rsid w:val="008F6317"/>
    <w:rsid w:val="008F66DA"/>
    <w:rsid w:val="008F705C"/>
    <w:rsid w:val="008F72B2"/>
    <w:rsid w:val="008F7BF2"/>
    <w:rsid w:val="00900233"/>
    <w:rsid w:val="009004C0"/>
    <w:rsid w:val="00900B52"/>
    <w:rsid w:val="00900C0C"/>
    <w:rsid w:val="00901056"/>
    <w:rsid w:val="00901489"/>
    <w:rsid w:val="0090175F"/>
    <w:rsid w:val="009024F2"/>
    <w:rsid w:val="00902C41"/>
    <w:rsid w:val="00902D2A"/>
    <w:rsid w:val="0090315A"/>
    <w:rsid w:val="00903421"/>
    <w:rsid w:val="0090364D"/>
    <w:rsid w:val="0090464D"/>
    <w:rsid w:val="00904AF0"/>
    <w:rsid w:val="00904FBE"/>
    <w:rsid w:val="009057F7"/>
    <w:rsid w:val="009058D7"/>
    <w:rsid w:val="00905BF6"/>
    <w:rsid w:val="00905EC4"/>
    <w:rsid w:val="009065AC"/>
    <w:rsid w:val="009065F8"/>
    <w:rsid w:val="009069F0"/>
    <w:rsid w:val="00906A08"/>
    <w:rsid w:val="00906B58"/>
    <w:rsid w:val="00906BDF"/>
    <w:rsid w:val="009075A0"/>
    <w:rsid w:val="009078EE"/>
    <w:rsid w:val="00907F21"/>
    <w:rsid w:val="009105BF"/>
    <w:rsid w:val="0091073A"/>
    <w:rsid w:val="00910879"/>
    <w:rsid w:val="00910B1C"/>
    <w:rsid w:val="00910D99"/>
    <w:rsid w:val="0091135B"/>
    <w:rsid w:val="0091147B"/>
    <w:rsid w:val="0091181D"/>
    <w:rsid w:val="00911E3E"/>
    <w:rsid w:val="00911E8C"/>
    <w:rsid w:val="00911EAF"/>
    <w:rsid w:val="00911EF8"/>
    <w:rsid w:val="00912521"/>
    <w:rsid w:val="00912579"/>
    <w:rsid w:val="00912E7B"/>
    <w:rsid w:val="00912EA2"/>
    <w:rsid w:val="009132C0"/>
    <w:rsid w:val="009134D7"/>
    <w:rsid w:val="00913D10"/>
    <w:rsid w:val="00913FD3"/>
    <w:rsid w:val="009145C1"/>
    <w:rsid w:val="0091473D"/>
    <w:rsid w:val="00914AA0"/>
    <w:rsid w:val="00914C1F"/>
    <w:rsid w:val="00914F1D"/>
    <w:rsid w:val="0091536A"/>
    <w:rsid w:val="009153D9"/>
    <w:rsid w:val="00915822"/>
    <w:rsid w:val="00915A98"/>
    <w:rsid w:val="009166C2"/>
    <w:rsid w:val="009167DD"/>
    <w:rsid w:val="00916864"/>
    <w:rsid w:val="00916B98"/>
    <w:rsid w:val="00916D9F"/>
    <w:rsid w:val="009172E0"/>
    <w:rsid w:val="00917890"/>
    <w:rsid w:val="00917BC7"/>
    <w:rsid w:val="00917FC4"/>
    <w:rsid w:val="00920029"/>
    <w:rsid w:val="00920045"/>
    <w:rsid w:val="00920056"/>
    <w:rsid w:val="0092092F"/>
    <w:rsid w:val="00920ECD"/>
    <w:rsid w:val="00921708"/>
    <w:rsid w:val="00921846"/>
    <w:rsid w:val="0092266C"/>
    <w:rsid w:val="00922A0F"/>
    <w:rsid w:val="00922BC8"/>
    <w:rsid w:val="009232A6"/>
    <w:rsid w:val="00923608"/>
    <w:rsid w:val="00923EA6"/>
    <w:rsid w:val="00923F4E"/>
    <w:rsid w:val="0092410A"/>
    <w:rsid w:val="00924E75"/>
    <w:rsid w:val="00924FE3"/>
    <w:rsid w:val="0092562A"/>
    <w:rsid w:val="0092582A"/>
    <w:rsid w:val="009259A6"/>
    <w:rsid w:val="00925C53"/>
    <w:rsid w:val="00925F68"/>
    <w:rsid w:val="0092610B"/>
    <w:rsid w:val="00926391"/>
    <w:rsid w:val="009268FC"/>
    <w:rsid w:val="0092696A"/>
    <w:rsid w:val="00927397"/>
    <w:rsid w:val="009279B5"/>
    <w:rsid w:val="00927ACA"/>
    <w:rsid w:val="009300C5"/>
    <w:rsid w:val="00930368"/>
    <w:rsid w:val="0093040E"/>
    <w:rsid w:val="0093099A"/>
    <w:rsid w:val="00930E09"/>
    <w:rsid w:val="009310BE"/>
    <w:rsid w:val="00931227"/>
    <w:rsid w:val="009314CD"/>
    <w:rsid w:val="00931DEF"/>
    <w:rsid w:val="00932645"/>
    <w:rsid w:val="009326E7"/>
    <w:rsid w:val="0093292E"/>
    <w:rsid w:val="00932CC7"/>
    <w:rsid w:val="00932CD7"/>
    <w:rsid w:val="009330FA"/>
    <w:rsid w:val="0093313E"/>
    <w:rsid w:val="0093315B"/>
    <w:rsid w:val="0093326F"/>
    <w:rsid w:val="00933737"/>
    <w:rsid w:val="00933745"/>
    <w:rsid w:val="009337AC"/>
    <w:rsid w:val="00933967"/>
    <w:rsid w:val="00933A5A"/>
    <w:rsid w:val="00933B9E"/>
    <w:rsid w:val="009341F4"/>
    <w:rsid w:val="0093467E"/>
    <w:rsid w:val="00934885"/>
    <w:rsid w:val="00934A63"/>
    <w:rsid w:val="00934C71"/>
    <w:rsid w:val="00934DAA"/>
    <w:rsid w:val="00934DE8"/>
    <w:rsid w:val="0093576A"/>
    <w:rsid w:val="00935B50"/>
    <w:rsid w:val="009365D4"/>
    <w:rsid w:val="009366A7"/>
    <w:rsid w:val="00936C9E"/>
    <w:rsid w:val="0093701F"/>
    <w:rsid w:val="009372EC"/>
    <w:rsid w:val="009377A2"/>
    <w:rsid w:val="00937B72"/>
    <w:rsid w:val="00937CFC"/>
    <w:rsid w:val="00937DD6"/>
    <w:rsid w:val="00937F03"/>
    <w:rsid w:val="009400CE"/>
    <w:rsid w:val="00940261"/>
    <w:rsid w:val="009405F1"/>
    <w:rsid w:val="00940A90"/>
    <w:rsid w:val="00940B1D"/>
    <w:rsid w:val="00940DA2"/>
    <w:rsid w:val="0094109D"/>
    <w:rsid w:val="00941413"/>
    <w:rsid w:val="009417A7"/>
    <w:rsid w:val="0094195B"/>
    <w:rsid w:val="00941D91"/>
    <w:rsid w:val="00941E66"/>
    <w:rsid w:val="00941F1A"/>
    <w:rsid w:val="009427F0"/>
    <w:rsid w:val="009435EC"/>
    <w:rsid w:val="00943D1A"/>
    <w:rsid w:val="00944746"/>
    <w:rsid w:val="00944DEA"/>
    <w:rsid w:val="009452F9"/>
    <w:rsid w:val="0094550E"/>
    <w:rsid w:val="00945C4A"/>
    <w:rsid w:val="00945F61"/>
    <w:rsid w:val="00946277"/>
    <w:rsid w:val="0094658C"/>
    <w:rsid w:val="00946694"/>
    <w:rsid w:val="009466E7"/>
    <w:rsid w:val="009467E3"/>
    <w:rsid w:val="00947034"/>
    <w:rsid w:val="00947154"/>
    <w:rsid w:val="009474D1"/>
    <w:rsid w:val="009475B2"/>
    <w:rsid w:val="00947707"/>
    <w:rsid w:val="00947D37"/>
    <w:rsid w:val="00947DC2"/>
    <w:rsid w:val="00950034"/>
    <w:rsid w:val="009504E2"/>
    <w:rsid w:val="009504EA"/>
    <w:rsid w:val="00950729"/>
    <w:rsid w:val="00951124"/>
    <w:rsid w:val="009516CE"/>
    <w:rsid w:val="009517D7"/>
    <w:rsid w:val="00951B22"/>
    <w:rsid w:val="00951C04"/>
    <w:rsid w:val="00951C06"/>
    <w:rsid w:val="00952061"/>
    <w:rsid w:val="0095222E"/>
    <w:rsid w:val="00952665"/>
    <w:rsid w:val="009528AC"/>
    <w:rsid w:val="00952E11"/>
    <w:rsid w:val="00952E24"/>
    <w:rsid w:val="00952EF3"/>
    <w:rsid w:val="00952F3F"/>
    <w:rsid w:val="00952FC1"/>
    <w:rsid w:val="00952FF2"/>
    <w:rsid w:val="009531BE"/>
    <w:rsid w:val="00953333"/>
    <w:rsid w:val="00954163"/>
    <w:rsid w:val="00954994"/>
    <w:rsid w:val="009551A8"/>
    <w:rsid w:val="009551D6"/>
    <w:rsid w:val="0095565F"/>
    <w:rsid w:val="00955676"/>
    <w:rsid w:val="009557BA"/>
    <w:rsid w:val="00955BAE"/>
    <w:rsid w:val="009560F9"/>
    <w:rsid w:val="00956430"/>
    <w:rsid w:val="00956D18"/>
    <w:rsid w:val="00956FF7"/>
    <w:rsid w:val="00957679"/>
    <w:rsid w:val="00957746"/>
    <w:rsid w:val="0095777D"/>
    <w:rsid w:val="009578AF"/>
    <w:rsid w:val="00957D95"/>
    <w:rsid w:val="00960021"/>
    <w:rsid w:val="00960266"/>
    <w:rsid w:val="00960473"/>
    <w:rsid w:val="00960486"/>
    <w:rsid w:val="00960687"/>
    <w:rsid w:val="00960773"/>
    <w:rsid w:val="00960A54"/>
    <w:rsid w:val="00960B08"/>
    <w:rsid w:val="009612B6"/>
    <w:rsid w:val="009617FB"/>
    <w:rsid w:val="00961A70"/>
    <w:rsid w:val="009621E6"/>
    <w:rsid w:val="00962394"/>
    <w:rsid w:val="00962439"/>
    <w:rsid w:val="009627B5"/>
    <w:rsid w:val="00962E85"/>
    <w:rsid w:val="0096311D"/>
    <w:rsid w:val="00963309"/>
    <w:rsid w:val="009633BB"/>
    <w:rsid w:val="009634F0"/>
    <w:rsid w:val="00963A83"/>
    <w:rsid w:val="0096415A"/>
    <w:rsid w:val="009647AF"/>
    <w:rsid w:val="00964840"/>
    <w:rsid w:val="0096488D"/>
    <w:rsid w:val="009649A5"/>
    <w:rsid w:val="00964BBF"/>
    <w:rsid w:val="00964E76"/>
    <w:rsid w:val="00964F57"/>
    <w:rsid w:val="00965A38"/>
    <w:rsid w:val="00965A5D"/>
    <w:rsid w:val="00965A70"/>
    <w:rsid w:val="00965B4D"/>
    <w:rsid w:val="00966008"/>
    <w:rsid w:val="009665F7"/>
    <w:rsid w:val="009667D3"/>
    <w:rsid w:val="00966DE4"/>
    <w:rsid w:val="00966E86"/>
    <w:rsid w:val="00967069"/>
    <w:rsid w:val="00970331"/>
    <w:rsid w:val="00970390"/>
    <w:rsid w:val="00970F41"/>
    <w:rsid w:val="00971624"/>
    <w:rsid w:val="00971B5F"/>
    <w:rsid w:val="0097213C"/>
    <w:rsid w:val="0097248E"/>
    <w:rsid w:val="009732D3"/>
    <w:rsid w:val="009734B7"/>
    <w:rsid w:val="00973659"/>
    <w:rsid w:val="0097369A"/>
    <w:rsid w:val="00973701"/>
    <w:rsid w:val="00973EB7"/>
    <w:rsid w:val="009749F0"/>
    <w:rsid w:val="00974B09"/>
    <w:rsid w:val="009763EE"/>
    <w:rsid w:val="0097651A"/>
    <w:rsid w:val="00976EBE"/>
    <w:rsid w:val="00977293"/>
    <w:rsid w:val="009773C9"/>
    <w:rsid w:val="00977591"/>
    <w:rsid w:val="00977AB7"/>
    <w:rsid w:val="00977B76"/>
    <w:rsid w:val="00977D3C"/>
    <w:rsid w:val="0098022E"/>
    <w:rsid w:val="00980284"/>
    <w:rsid w:val="00980559"/>
    <w:rsid w:val="009811C1"/>
    <w:rsid w:val="009813EB"/>
    <w:rsid w:val="0098175A"/>
    <w:rsid w:val="00981C0F"/>
    <w:rsid w:val="009826B1"/>
    <w:rsid w:val="00982785"/>
    <w:rsid w:val="00982A7A"/>
    <w:rsid w:val="00982F4F"/>
    <w:rsid w:val="009831AA"/>
    <w:rsid w:val="009832DC"/>
    <w:rsid w:val="00983431"/>
    <w:rsid w:val="009838A7"/>
    <w:rsid w:val="00983BA9"/>
    <w:rsid w:val="009840C0"/>
    <w:rsid w:val="00984118"/>
    <w:rsid w:val="00984322"/>
    <w:rsid w:val="009848DE"/>
    <w:rsid w:val="009849E3"/>
    <w:rsid w:val="00984A91"/>
    <w:rsid w:val="00984B1B"/>
    <w:rsid w:val="00984CF1"/>
    <w:rsid w:val="00984F99"/>
    <w:rsid w:val="009851B1"/>
    <w:rsid w:val="0098537C"/>
    <w:rsid w:val="00985889"/>
    <w:rsid w:val="00985A75"/>
    <w:rsid w:val="00985B69"/>
    <w:rsid w:val="00985D85"/>
    <w:rsid w:val="00986BD9"/>
    <w:rsid w:val="0098709E"/>
    <w:rsid w:val="00987412"/>
    <w:rsid w:val="00987583"/>
    <w:rsid w:val="00987877"/>
    <w:rsid w:val="00987DB9"/>
    <w:rsid w:val="00990105"/>
    <w:rsid w:val="0099056D"/>
    <w:rsid w:val="00990AAF"/>
    <w:rsid w:val="00990B69"/>
    <w:rsid w:val="00990C3D"/>
    <w:rsid w:val="00990EE2"/>
    <w:rsid w:val="00990F13"/>
    <w:rsid w:val="009919C9"/>
    <w:rsid w:val="00991C36"/>
    <w:rsid w:val="00991D70"/>
    <w:rsid w:val="0099207F"/>
    <w:rsid w:val="009927BA"/>
    <w:rsid w:val="00992E8C"/>
    <w:rsid w:val="00992F1F"/>
    <w:rsid w:val="009932F0"/>
    <w:rsid w:val="009938E8"/>
    <w:rsid w:val="0099390B"/>
    <w:rsid w:val="00993A3C"/>
    <w:rsid w:val="00993BCF"/>
    <w:rsid w:val="00993EF6"/>
    <w:rsid w:val="0099409A"/>
    <w:rsid w:val="00994201"/>
    <w:rsid w:val="009942E8"/>
    <w:rsid w:val="0099437F"/>
    <w:rsid w:val="0099445D"/>
    <w:rsid w:val="00994623"/>
    <w:rsid w:val="00994806"/>
    <w:rsid w:val="00994BE2"/>
    <w:rsid w:val="009950F3"/>
    <w:rsid w:val="00995274"/>
    <w:rsid w:val="00995E64"/>
    <w:rsid w:val="00995F5B"/>
    <w:rsid w:val="00995F5D"/>
    <w:rsid w:val="00996004"/>
    <w:rsid w:val="009966C3"/>
    <w:rsid w:val="009969B0"/>
    <w:rsid w:val="00996A46"/>
    <w:rsid w:val="00997315"/>
    <w:rsid w:val="00997430"/>
    <w:rsid w:val="0099747D"/>
    <w:rsid w:val="009975A1"/>
    <w:rsid w:val="009975BE"/>
    <w:rsid w:val="009A00F2"/>
    <w:rsid w:val="009A0172"/>
    <w:rsid w:val="009A02E8"/>
    <w:rsid w:val="009A0469"/>
    <w:rsid w:val="009A047A"/>
    <w:rsid w:val="009A065A"/>
    <w:rsid w:val="009A0E59"/>
    <w:rsid w:val="009A1444"/>
    <w:rsid w:val="009A1553"/>
    <w:rsid w:val="009A1B69"/>
    <w:rsid w:val="009A1D3E"/>
    <w:rsid w:val="009A1E7D"/>
    <w:rsid w:val="009A23C6"/>
    <w:rsid w:val="009A2469"/>
    <w:rsid w:val="009A271D"/>
    <w:rsid w:val="009A2C7E"/>
    <w:rsid w:val="009A32C0"/>
    <w:rsid w:val="009A3C42"/>
    <w:rsid w:val="009A4141"/>
    <w:rsid w:val="009A4175"/>
    <w:rsid w:val="009A44E9"/>
    <w:rsid w:val="009A4954"/>
    <w:rsid w:val="009A4BC8"/>
    <w:rsid w:val="009A5630"/>
    <w:rsid w:val="009A5A0E"/>
    <w:rsid w:val="009A5EA1"/>
    <w:rsid w:val="009A6192"/>
    <w:rsid w:val="009A62B8"/>
    <w:rsid w:val="009A6502"/>
    <w:rsid w:val="009A661A"/>
    <w:rsid w:val="009A7007"/>
    <w:rsid w:val="009A718E"/>
    <w:rsid w:val="009A7701"/>
    <w:rsid w:val="009A78D4"/>
    <w:rsid w:val="009A7C1B"/>
    <w:rsid w:val="009B079C"/>
    <w:rsid w:val="009B0D31"/>
    <w:rsid w:val="009B0FBD"/>
    <w:rsid w:val="009B18E7"/>
    <w:rsid w:val="009B1AEC"/>
    <w:rsid w:val="009B1BA7"/>
    <w:rsid w:val="009B1F74"/>
    <w:rsid w:val="009B244F"/>
    <w:rsid w:val="009B2608"/>
    <w:rsid w:val="009B2A04"/>
    <w:rsid w:val="009B3A3A"/>
    <w:rsid w:val="009B3A56"/>
    <w:rsid w:val="009B3B6E"/>
    <w:rsid w:val="009B3C9F"/>
    <w:rsid w:val="009B3D56"/>
    <w:rsid w:val="009B3DD2"/>
    <w:rsid w:val="009B44EF"/>
    <w:rsid w:val="009B47E6"/>
    <w:rsid w:val="009B48AA"/>
    <w:rsid w:val="009B4FC2"/>
    <w:rsid w:val="009B51C4"/>
    <w:rsid w:val="009B5226"/>
    <w:rsid w:val="009B5474"/>
    <w:rsid w:val="009B577D"/>
    <w:rsid w:val="009B5FA3"/>
    <w:rsid w:val="009B62F0"/>
    <w:rsid w:val="009B6723"/>
    <w:rsid w:val="009B681E"/>
    <w:rsid w:val="009B6B53"/>
    <w:rsid w:val="009B6E3D"/>
    <w:rsid w:val="009B6EBF"/>
    <w:rsid w:val="009B7069"/>
    <w:rsid w:val="009B7DBB"/>
    <w:rsid w:val="009C058E"/>
    <w:rsid w:val="009C08C6"/>
    <w:rsid w:val="009C0BA1"/>
    <w:rsid w:val="009C0C21"/>
    <w:rsid w:val="009C0D74"/>
    <w:rsid w:val="009C0E19"/>
    <w:rsid w:val="009C118A"/>
    <w:rsid w:val="009C1305"/>
    <w:rsid w:val="009C1501"/>
    <w:rsid w:val="009C207D"/>
    <w:rsid w:val="009C22F8"/>
    <w:rsid w:val="009C2352"/>
    <w:rsid w:val="009C27D3"/>
    <w:rsid w:val="009C32AE"/>
    <w:rsid w:val="009C331B"/>
    <w:rsid w:val="009C3484"/>
    <w:rsid w:val="009C362D"/>
    <w:rsid w:val="009C3A08"/>
    <w:rsid w:val="009C3AE6"/>
    <w:rsid w:val="009C450E"/>
    <w:rsid w:val="009C45E4"/>
    <w:rsid w:val="009C4681"/>
    <w:rsid w:val="009C4DB7"/>
    <w:rsid w:val="009C53F3"/>
    <w:rsid w:val="009C580C"/>
    <w:rsid w:val="009C58D1"/>
    <w:rsid w:val="009C5E4D"/>
    <w:rsid w:val="009C6635"/>
    <w:rsid w:val="009C76BC"/>
    <w:rsid w:val="009D015C"/>
    <w:rsid w:val="009D01DD"/>
    <w:rsid w:val="009D02E6"/>
    <w:rsid w:val="009D087C"/>
    <w:rsid w:val="009D0CDC"/>
    <w:rsid w:val="009D0FDC"/>
    <w:rsid w:val="009D1627"/>
    <w:rsid w:val="009D17D4"/>
    <w:rsid w:val="009D1C1B"/>
    <w:rsid w:val="009D1CE0"/>
    <w:rsid w:val="009D246B"/>
    <w:rsid w:val="009D260B"/>
    <w:rsid w:val="009D27EE"/>
    <w:rsid w:val="009D2AE1"/>
    <w:rsid w:val="009D2E80"/>
    <w:rsid w:val="009D316D"/>
    <w:rsid w:val="009D355F"/>
    <w:rsid w:val="009D37FF"/>
    <w:rsid w:val="009D3C23"/>
    <w:rsid w:val="009D4052"/>
    <w:rsid w:val="009D4400"/>
    <w:rsid w:val="009D467D"/>
    <w:rsid w:val="009D46A2"/>
    <w:rsid w:val="009D46A6"/>
    <w:rsid w:val="009D4706"/>
    <w:rsid w:val="009D48D6"/>
    <w:rsid w:val="009D4C05"/>
    <w:rsid w:val="009D4F77"/>
    <w:rsid w:val="009D51D5"/>
    <w:rsid w:val="009D52F9"/>
    <w:rsid w:val="009D5366"/>
    <w:rsid w:val="009D5429"/>
    <w:rsid w:val="009D56E8"/>
    <w:rsid w:val="009D65F1"/>
    <w:rsid w:val="009D6931"/>
    <w:rsid w:val="009D69D0"/>
    <w:rsid w:val="009D71B0"/>
    <w:rsid w:val="009D7324"/>
    <w:rsid w:val="009D75DC"/>
    <w:rsid w:val="009D7972"/>
    <w:rsid w:val="009D79D6"/>
    <w:rsid w:val="009D7B81"/>
    <w:rsid w:val="009D7F85"/>
    <w:rsid w:val="009E033E"/>
    <w:rsid w:val="009E0352"/>
    <w:rsid w:val="009E0460"/>
    <w:rsid w:val="009E0531"/>
    <w:rsid w:val="009E0991"/>
    <w:rsid w:val="009E0ABE"/>
    <w:rsid w:val="009E0BC2"/>
    <w:rsid w:val="009E0CA4"/>
    <w:rsid w:val="009E0E65"/>
    <w:rsid w:val="009E1601"/>
    <w:rsid w:val="009E1675"/>
    <w:rsid w:val="009E1889"/>
    <w:rsid w:val="009E1AD0"/>
    <w:rsid w:val="009E1F75"/>
    <w:rsid w:val="009E2010"/>
    <w:rsid w:val="009E25D8"/>
    <w:rsid w:val="009E2677"/>
    <w:rsid w:val="009E2EA2"/>
    <w:rsid w:val="009E2F92"/>
    <w:rsid w:val="009E3249"/>
    <w:rsid w:val="009E340D"/>
    <w:rsid w:val="009E3650"/>
    <w:rsid w:val="009E3675"/>
    <w:rsid w:val="009E373B"/>
    <w:rsid w:val="009E379C"/>
    <w:rsid w:val="009E3CEF"/>
    <w:rsid w:val="009E3FEC"/>
    <w:rsid w:val="009E401F"/>
    <w:rsid w:val="009E4419"/>
    <w:rsid w:val="009E46D8"/>
    <w:rsid w:val="009E4838"/>
    <w:rsid w:val="009E4C3B"/>
    <w:rsid w:val="009E51E9"/>
    <w:rsid w:val="009E53D2"/>
    <w:rsid w:val="009E6310"/>
    <w:rsid w:val="009E64FB"/>
    <w:rsid w:val="009E6B22"/>
    <w:rsid w:val="009E6E7B"/>
    <w:rsid w:val="009E6F06"/>
    <w:rsid w:val="009E726A"/>
    <w:rsid w:val="009E7348"/>
    <w:rsid w:val="009E7480"/>
    <w:rsid w:val="009E7BFB"/>
    <w:rsid w:val="009F0025"/>
    <w:rsid w:val="009F06A9"/>
    <w:rsid w:val="009F0C86"/>
    <w:rsid w:val="009F1145"/>
    <w:rsid w:val="009F1641"/>
    <w:rsid w:val="009F1D8A"/>
    <w:rsid w:val="009F1EBB"/>
    <w:rsid w:val="009F200E"/>
    <w:rsid w:val="009F2356"/>
    <w:rsid w:val="009F24E4"/>
    <w:rsid w:val="009F28C7"/>
    <w:rsid w:val="009F2909"/>
    <w:rsid w:val="009F2C5C"/>
    <w:rsid w:val="009F2EFC"/>
    <w:rsid w:val="009F3366"/>
    <w:rsid w:val="009F357E"/>
    <w:rsid w:val="009F3899"/>
    <w:rsid w:val="009F4EFA"/>
    <w:rsid w:val="009F56B2"/>
    <w:rsid w:val="009F57E0"/>
    <w:rsid w:val="009F5893"/>
    <w:rsid w:val="009F5C79"/>
    <w:rsid w:val="009F6118"/>
    <w:rsid w:val="009F624B"/>
    <w:rsid w:val="009F671A"/>
    <w:rsid w:val="009F6AD5"/>
    <w:rsid w:val="009F6B0E"/>
    <w:rsid w:val="009F705E"/>
    <w:rsid w:val="009F70A9"/>
    <w:rsid w:val="009F7249"/>
    <w:rsid w:val="009F77E6"/>
    <w:rsid w:val="009F7843"/>
    <w:rsid w:val="009F7C14"/>
    <w:rsid w:val="009F7F58"/>
    <w:rsid w:val="00A004B6"/>
    <w:rsid w:val="00A00AA6"/>
    <w:rsid w:val="00A00D8D"/>
    <w:rsid w:val="00A00F74"/>
    <w:rsid w:val="00A01009"/>
    <w:rsid w:val="00A010AB"/>
    <w:rsid w:val="00A0111F"/>
    <w:rsid w:val="00A014E2"/>
    <w:rsid w:val="00A01546"/>
    <w:rsid w:val="00A015FE"/>
    <w:rsid w:val="00A01730"/>
    <w:rsid w:val="00A020DB"/>
    <w:rsid w:val="00A02180"/>
    <w:rsid w:val="00A022D5"/>
    <w:rsid w:val="00A02329"/>
    <w:rsid w:val="00A025C3"/>
    <w:rsid w:val="00A0262C"/>
    <w:rsid w:val="00A033DB"/>
    <w:rsid w:val="00A0352B"/>
    <w:rsid w:val="00A037E2"/>
    <w:rsid w:val="00A040D9"/>
    <w:rsid w:val="00A042B0"/>
    <w:rsid w:val="00A048BA"/>
    <w:rsid w:val="00A049A7"/>
    <w:rsid w:val="00A049AB"/>
    <w:rsid w:val="00A04B35"/>
    <w:rsid w:val="00A04CEF"/>
    <w:rsid w:val="00A04E2B"/>
    <w:rsid w:val="00A04F4A"/>
    <w:rsid w:val="00A04F7B"/>
    <w:rsid w:val="00A05270"/>
    <w:rsid w:val="00A053C9"/>
    <w:rsid w:val="00A057CA"/>
    <w:rsid w:val="00A05B0B"/>
    <w:rsid w:val="00A05DA9"/>
    <w:rsid w:val="00A05DD5"/>
    <w:rsid w:val="00A05FDC"/>
    <w:rsid w:val="00A0600D"/>
    <w:rsid w:val="00A06DBE"/>
    <w:rsid w:val="00A0751D"/>
    <w:rsid w:val="00A076ED"/>
    <w:rsid w:val="00A079FD"/>
    <w:rsid w:val="00A07B98"/>
    <w:rsid w:val="00A1067E"/>
    <w:rsid w:val="00A10E1A"/>
    <w:rsid w:val="00A110ED"/>
    <w:rsid w:val="00A1138E"/>
    <w:rsid w:val="00A11A74"/>
    <w:rsid w:val="00A11B64"/>
    <w:rsid w:val="00A1216D"/>
    <w:rsid w:val="00A12B6E"/>
    <w:rsid w:val="00A12FB8"/>
    <w:rsid w:val="00A1391C"/>
    <w:rsid w:val="00A1398C"/>
    <w:rsid w:val="00A13A74"/>
    <w:rsid w:val="00A13BA1"/>
    <w:rsid w:val="00A146C2"/>
    <w:rsid w:val="00A14733"/>
    <w:rsid w:val="00A147CA"/>
    <w:rsid w:val="00A147FE"/>
    <w:rsid w:val="00A14C0D"/>
    <w:rsid w:val="00A156CD"/>
    <w:rsid w:val="00A158EC"/>
    <w:rsid w:val="00A15A88"/>
    <w:rsid w:val="00A15B9F"/>
    <w:rsid w:val="00A15DAA"/>
    <w:rsid w:val="00A16054"/>
    <w:rsid w:val="00A16361"/>
    <w:rsid w:val="00A16F51"/>
    <w:rsid w:val="00A1720F"/>
    <w:rsid w:val="00A176B6"/>
    <w:rsid w:val="00A20266"/>
    <w:rsid w:val="00A202CA"/>
    <w:rsid w:val="00A20879"/>
    <w:rsid w:val="00A20C41"/>
    <w:rsid w:val="00A20D7A"/>
    <w:rsid w:val="00A2129C"/>
    <w:rsid w:val="00A21C3C"/>
    <w:rsid w:val="00A21E58"/>
    <w:rsid w:val="00A224B6"/>
    <w:rsid w:val="00A22AE2"/>
    <w:rsid w:val="00A22B67"/>
    <w:rsid w:val="00A22C2E"/>
    <w:rsid w:val="00A22D3C"/>
    <w:rsid w:val="00A23A5B"/>
    <w:rsid w:val="00A244CB"/>
    <w:rsid w:val="00A245A9"/>
    <w:rsid w:val="00A2464A"/>
    <w:rsid w:val="00A2482F"/>
    <w:rsid w:val="00A2489A"/>
    <w:rsid w:val="00A24BC1"/>
    <w:rsid w:val="00A24C5F"/>
    <w:rsid w:val="00A24F51"/>
    <w:rsid w:val="00A2533B"/>
    <w:rsid w:val="00A2568B"/>
    <w:rsid w:val="00A257F9"/>
    <w:rsid w:val="00A2587F"/>
    <w:rsid w:val="00A25E4B"/>
    <w:rsid w:val="00A2691D"/>
    <w:rsid w:val="00A272A7"/>
    <w:rsid w:val="00A273E8"/>
    <w:rsid w:val="00A27466"/>
    <w:rsid w:val="00A274E7"/>
    <w:rsid w:val="00A275C2"/>
    <w:rsid w:val="00A303B9"/>
    <w:rsid w:val="00A30C5B"/>
    <w:rsid w:val="00A312D2"/>
    <w:rsid w:val="00A314D8"/>
    <w:rsid w:val="00A31807"/>
    <w:rsid w:val="00A31879"/>
    <w:rsid w:val="00A323DF"/>
    <w:rsid w:val="00A32C09"/>
    <w:rsid w:val="00A3350E"/>
    <w:rsid w:val="00A33520"/>
    <w:rsid w:val="00A338AD"/>
    <w:rsid w:val="00A33B79"/>
    <w:rsid w:val="00A33C5B"/>
    <w:rsid w:val="00A33CE1"/>
    <w:rsid w:val="00A33D3E"/>
    <w:rsid w:val="00A33ECF"/>
    <w:rsid w:val="00A34081"/>
    <w:rsid w:val="00A34A87"/>
    <w:rsid w:val="00A34B05"/>
    <w:rsid w:val="00A352EA"/>
    <w:rsid w:val="00A35392"/>
    <w:rsid w:val="00A35817"/>
    <w:rsid w:val="00A35CCA"/>
    <w:rsid w:val="00A35D0A"/>
    <w:rsid w:val="00A3606E"/>
    <w:rsid w:val="00A368B5"/>
    <w:rsid w:val="00A36C05"/>
    <w:rsid w:val="00A36FE9"/>
    <w:rsid w:val="00A37472"/>
    <w:rsid w:val="00A375FB"/>
    <w:rsid w:val="00A37925"/>
    <w:rsid w:val="00A37B98"/>
    <w:rsid w:val="00A37E39"/>
    <w:rsid w:val="00A37F22"/>
    <w:rsid w:val="00A41752"/>
    <w:rsid w:val="00A41ECC"/>
    <w:rsid w:val="00A422BD"/>
    <w:rsid w:val="00A423DA"/>
    <w:rsid w:val="00A42481"/>
    <w:rsid w:val="00A42504"/>
    <w:rsid w:val="00A42651"/>
    <w:rsid w:val="00A426C7"/>
    <w:rsid w:val="00A429E7"/>
    <w:rsid w:val="00A42A78"/>
    <w:rsid w:val="00A42AAF"/>
    <w:rsid w:val="00A42B29"/>
    <w:rsid w:val="00A43259"/>
    <w:rsid w:val="00A43A4F"/>
    <w:rsid w:val="00A44132"/>
    <w:rsid w:val="00A450E9"/>
    <w:rsid w:val="00A451A2"/>
    <w:rsid w:val="00A45310"/>
    <w:rsid w:val="00A45571"/>
    <w:rsid w:val="00A45719"/>
    <w:rsid w:val="00A45803"/>
    <w:rsid w:val="00A46307"/>
    <w:rsid w:val="00A46A71"/>
    <w:rsid w:val="00A46ADD"/>
    <w:rsid w:val="00A46F6D"/>
    <w:rsid w:val="00A46F81"/>
    <w:rsid w:val="00A476E4"/>
    <w:rsid w:val="00A478A9"/>
    <w:rsid w:val="00A478FB"/>
    <w:rsid w:val="00A479BC"/>
    <w:rsid w:val="00A47CED"/>
    <w:rsid w:val="00A50282"/>
    <w:rsid w:val="00A50B8E"/>
    <w:rsid w:val="00A50E40"/>
    <w:rsid w:val="00A510F0"/>
    <w:rsid w:val="00A5177C"/>
    <w:rsid w:val="00A51A13"/>
    <w:rsid w:val="00A51E0F"/>
    <w:rsid w:val="00A51E51"/>
    <w:rsid w:val="00A51F19"/>
    <w:rsid w:val="00A52672"/>
    <w:rsid w:val="00A52CDA"/>
    <w:rsid w:val="00A52DBD"/>
    <w:rsid w:val="00A5376B"/>
    <w:rsid w:val="00A5378B"/>
    <w:rsid w:val="00A53818"/>
    <w:rsid w:val="00A5458F"/>
    <w:rsid w:val="00A547B3"/>
    <w:rsid w:val="00A54D64"/>
    <w:rsid w:val="00A54E31"/>
    <w:rsid w:val="00A55205"/>
    <w:rsid w:val="00A55543"/>
    <w:rsid w:val="00A5575A"/>
    <w:rsid w:val="00A55765"/>
    <w:rsid w:val="00A56174"/>
    <w:rsid w:val="00A5684F"/>
    <w:rsid w:val="00A56CAE"/>
    <w:rsid w:val="00A57955"/>
    <w:rsid w:val="00A579CA"/>
    <w:rsid w:val="00A57CF2"/>
    <w:rsid w:val="00A60BE2"/>
    <w:rsid w:val="00A61499"/>
    <w:rsid w:val="00A614B0"/>
    <w:rsid w:val="00A61A2B"/>
    <w:rsid w:val="00A6200F"/>
    <w:rsid w:val="00A62983"/>
    <w:rsid w:val="00A62989"/>
    <w:rsid w:val="00A62B9A"/>
    <w:rsid w:val="00A62D71"/>
    <w:rsid w:val="00A6307F"/>
    <w:rsid w:val="00A63094"/>
    <w:rsid w:val="00A63225"/>
    <w:rsid w:val="00A6324E"/>
    <w:rsid w:val="00A6371A"/>
    <w:rsid w:val="00A63BFD"/>
    <w:rsid w:val="00A63D6D"/>
    <w:rsid w:val="00A64556"/>
    <w:rsid w:val="00A645E8"/>
    <w:rsid w:val="00A648A0"/>
    <w:rsid w:val="00A648C7"/>
    <w:rsid w:val="00A64A28"/>
    <w:rsid w:val="00A6517D"/>
    <w:rsid w:val="00A65B8F"/>
    <w:rsid w:val="00A65DC5"/>
    <w:rsid w:val="00A65EF9"/>
    <w:rsid w:val="00A65F18"/>
    <w:rsid w:val="00A661FB"/>
    <w:rsid w:val="00A662DD"/>
    <w:rsid w:val="00A663F1"/>
    <w:rsid w:val="00A66404"/>
    <w:rsid w:val="00A6646E"/>
    <w:rsid w:val="00A6695F"/>
    <w:rsid w:val="00A66DEF"/>
    <w:rsid w:val="00A66F4D"/>
    <w:rsid w:val="00A6707E"/>
    <w:rsid w:val="00A67724"/>
    <w:rsid w:val="00A677D1"/>
    <w:rsid w:val="00A67A2C"/>
    <w:rsid w:val="00A67BDE"/>
    <w:rsid w:val="00A70076"/>
    <w:rsid w:val="00A70EFF"/>
    <w:rsid w:val="00A71249"/>
    <w:rsid w:val="00A71D1D"/>
    <w:rsid w:val="00A72B5B"/>
    <w:rsid w:val="00A72C9B"/>
    <w:rsid w:val="00A72CF2"/>
    <w:rsid w:val="00A72D26"/>
    <w:rsid w:val="00A72D4C"/>
    <w:rsid w:val="00A72E8E"/>
    <w:rsid w:val="00A72F04"/>
    <w:rsid w:val="00A73032"/>
    <w:rsid w:val="00A73435"/>
    <w:rsid w:val="00A735E6"/>
    <w:rsid w:val="00A73715"/>
    <w:rsid w:val="00A73A30"/>
    <w:rsid w:val="00A73AA4"/>
    <w:rsid w:val="00A73B37"/>
    <w:rsid w:val="00A73CD8"/>
    <w:rsid w:val="00A73DB5"/>
    <w:rsid w:val="00A7414A"/>
    <w:rsid w:val="00A741EC"/>
    <w:rsid w:val="00A74ACD"/>
    <w:rsid w:val="00A74BFD"/>
    <w:rsid w:val="00A74F85"/>
    <w:rsid w:val="00A74F97"/>
    <w:rsid w:val="00A75AF6"/>
    <w:rsid w:val="00A75C09"/>
    <w:rsid w:val="00A7650D"/>
    <w:rsid w:val="00A76776"/>
    <w:rsid w:val="00A769E9"/>
    <w:rsid w:val="00A76AB5"/>
    <w:rsid w:val="00A76CEC"/>
    <w:rsid w:val="00A76F5F"/>
    <w:rsid w:val="00A77788"/>
    <w:rsid w:val="00A802F6"/>
    <w:rsid w:val="00A8054C"/>
    <w:rsid w:val="00A809F7"/>
    <w:rsid w:val="00A813D0"/>
    <w:rsid w:val="00A814E9"/>
    <w:rsid w:val="00A817E4"/>
    <w:rsid w:val="00A818D9"/>
    <w:rsid w:val="00A81A99"/>
    <w:rsid w:val="00A81BB7"/>
    <w:rsid w:val="00A81EC5"/>
    <w:rsid w:val="00A81F09"/>
    <w:rsid w:val="00A8205D"/>
    <w:rsid w:val="00A82316"/>
    <w:rsid w:val="00A82787"/>
    <w:rsid w:val="00A82DC0"/>
    <w:rsid w:val="00A83069"/>
    <w:rsid w:val="00A83148"/>
    <w:rsid w:val="00A8318E"/>
    <w:rsid w:val="00A8325E"/>
    <w:rsid w:val="00A8326B"/>
    <w:rsid w:val="00A838C3"/>
    <w:rsid w:val="00A839BE"/>
    <w:rsid w:val="00A83BF8"/>
    <w:rsid w:val="00A83DDB"/>
    <w:rsid w:val="00A83DF9"/>
    <w:rsid w:val="00A83FAB"/>
    <w:rsid w:val="00A841D6"/>
    <w:rsid w:val="00A845A2"/>
    <w:rsid w:val="00A84859"/>
    <w:rsid w:val="00A849AE"/>
    <w:rsid w:val="00A84B1B"/>
    <w:rsid w:val="00A84B22"/>
    <w:rsid w:val="00A84B61"/>
    <w:rsid w:val="00A85619"/>
    <w:rsid w:val="00A85F7C"/>
    <w:rsid w:val="00A8615F"/>
    <w:rsid w:val="00A861EE"/>
    <w:rsid w:val="00A86211"/>
    <w:rsid w:val="00A8626F"/>
    <w:rsid w:val="00A86288"/>
    <w:rsid w:val="00A8699D"/>
    <w:rsid w:val="00A869A6"/>
    <w:rsid w:val="00A86D5D"/>
    <w:rsid w:val="00A8719E"/>
    <w:rsid w:val="00A874AB"/>
    <w:rsid w:val="00A87C9D"/>
    <w:rsid w:val="00A9031D"/>
    <w:rsid w:val="00A906FE"/>
    <w:rsid w:val="00A90982"/>
    <w:rsid w:val="00A90CF7"/>
    <w:rsid w:val="00A910F1"/>
    <w:rsid w:val="00A91763"/>
    <w:rsid w:val="00A91CEB"/>
    <w:rsid w:val="00A91EF9"/>
    <w:rsid w:val="00A91F0B"/>
    <w:rsid w:val="00A92455"/>
    <w:rsid w:val="00A92586"/>
    <w:rsid w:val="00A9376C"/>
    <w:rsid w:val="00A93ED8"/>
    <w:rsid w:val="00A9425D"/>
    <w:rsid w:val="00A94631"/>
    <w:rsid w:val="00A94A6D"/>
    <w:rsid w:val="00A95183"/>
    <w:rsid w:val="00A951DF"/>
    <w:rsid w:val="00A95398"/>
    <w:rsid w:val="00A9584B"/>
    <w:rsid w:val="00A958A0"/>
    <w:rsid w:val="00A95B27"/>
    <w:rsid w:val="00A95E39"/>
    <w:rsid w:val="00A95EF5"/>
    <w:rsid w:val="00A967D4"/>
    <w:rsid w:val="00A97340"/>
    <w:rsid w:val="00A97491"/>
    <w:rsid w:val="00A9775A"/>
    <w:rsid w:val="00A97CAA"/>
    <w:rsid w:val="00AA02F9"/>
    <w:rsid w:val="00AA0861"/>
    <w:rsid w:val="00AA0D87"/>
    <w:rsid w:val="00AA0E63"/>
    <w:rsid w:val="00AA1002"/>
    <w:rsid w:val="00AA1795"/>
    <w:rsid w:val="00AA17FC"/>
    <w:rsid w:val="00AA18D4"/>
    <w:rsid w:val="00AA2000"/>
    <w:rsid w:val="00AA2906"/>
    <w:rsid w:val="00AA3026"/>
    <w:rsid w:val="00AA318A"/>
    <w:rsid w:val="00AA3B47"/>
    <w:rsid w:val="00AA3F07"/>
    <w:rsid w:val="00AA4014"/>
    <w:rsid w:val="00AA411B"/>
    <w:rsid w:val="00AA4210"/>
    <w:rsid w:val="00AA4404"/>
    <w:rsid w:val="00AA44E6"/>
    <w:rsid w:val="00AA48D4"/>
    <w:rsid w:val="00AA4D61"/>
    <w:rsid w:val="00AA54E2"/>
    <w:rsid w:val="00AA559A"/>
    <w:rsid w:val="00AA582B"/>
    <w:rsid w:val="00AA5BA7"/>
    <w:rsid w:val="00AA6640"/>
    <w:rsid w:val="00AA7054"/>
    <w:rsid w:val="00AA7482"/>
    <w:rsid w:val="00AA7846"/>
    <w:rsid w:val="00AA7976"/>
    <w:rsid w:val="00AA7A69"/>
    <w:rsid w:val="00AA7BA2"/>
    <w:rsid w:val="00AA7CDC"/>
    <w:rsid w:val="00AA7F28"/>
    <w:rsid w:val="00AB01E0"/>
    <w:rsid w:val="00AB0254"/>
    <w:rsid w:val="00AB0F99"/>
    <w:rsid w:val="00AB1302"/>
    <w:rsid w:val="00AB239C"/>
    <w:rsid w:val="00AB275F"/>
    <w:rsid w:val="00AB32B0"/>
    <w:rsid w:val="00AB36A1"/>
    <w:rsid w:val="00AB386B"/>
    <w:rsid w:val="00AB38CF"/>
    <w:rsid w:val="00AB3D21"/>
    <w:rsid w:val="00AB3D46"/>
    <w:rsid w:val="00AB41AB"/>
    <w:rsid w:val="00AB438B"/>
    <w:rsid w:val="00AB4411"/>
    <w:rsid w:val="00AB4830"/>
    <w:rsid w:val="00AB496F"/>
    <w:rsid w:val="00AB4D0F"/>
    <w:rsid w:val="00AB4E30"/>
    <w:rsid w:val="00AB4EC0"/>
    <w:rsid w:val="00AB587B"/>
    <w:rsid w:val="00AB5E0F"/>
    <w:rsid w:val="00AB6514"/>
    <w:rsid w:val="00AB6B67"/>
    <w:rsid w:val="00AB6CFA"/>
    <w:rsid w:val="00AB6FF9"/>
    <w:rsid w:val="00AB716D"/>
    <w:rsid w:val="00AB764D"/>
    <w:rsid w:val="00AB7C11"/>
    <w:rsid w:val="00AB7F3D"/>
    <w:rsid w:val="00AB7FD1"/>
    <w:rsid w:val="00AC001C"/>
    <w:rsid w:val="00AC058D"/>
    <w:rsid w:val="00AC07D9"/>
    <w:rsid w:val="00AC0B44"/>
    <w:rsid w:val="00AC1FFC"/>
    <w:rsid w:val="00AC2222"/>
    <w:rsid w:val="00AC2633"/>
    <w:rsid w:val="00AC277F"/>
    <w:rsid w:val="00AC2917"/>
    <w:rsid w:val="00AC298B"/>
    <w:rsid w:val="00AC2C62"/>
    <w:rsid w:val="00AC2E12"/>
    <w:rsid w:val="00AC3350"/>
    <w:rsid w:val="00AC385F"/>
    <w:rsid w:val="00AC394F"/>
    <w:rsid w:val="00AC3B9D"/>
    <w:rsid w:val="00AC3BBB"/>
    <w:rsid w:val="00AC40A1"/>
    <w:rsid w:val="00AC4245"/>
    <w:rsid w:val="00AC449E"/>
    <w:rsid w:val="00AC459D"/>
    <w:rsid w:val="00AC4740"/>
    <w:rsid w:val="00AC48D8"/>
    <w:rsid w:val="00AC5F3F"/>
    <w:rsid w:val="00AC5F92"/>
    <w:rsid w:val="00AC6489"/>
    <w:rsid w:val="00AC6A9B"/>
    <w:rsid w:val="00AC6CB0"/>
    <w:rsid w:val="00AC70E2"/>
    <w:rsid w:val="00AC71CA"/>
    <w:rsid w:val="00AC7467"/>
    <w:rsid w:val="00AD099A"/>
    <w:rsid w:val="00AD09AB"/>
    <w:rsid w:val="00AD0AE5"/>
    <w:rsid w:val="00AD0BF2"/>
    <w:rsid w:val="00AD0D11"/>
    <w:rsid w:val="00AD1A27"/>
    <w:rsid w:val="00AD1AC6"/>
    <w:rsid w:val="00AD1B5F"/>
    <w:rsid w:val="00AD1CA9"/>
    <w:rsid w:val="00AD1CF5"/>
    <w:rsid w:val="00AD1E7E"/>
    <w:rsid w:val="00AD2483"/>
    <w:rsid w:val="00AD275F"/>
    <w:rsid w:val="00AD28F7"/>
    <w:rsid w:val="00AD2E53"/>
    <w:rsid w:val="00AD3168"/>
    <w:rsid w:val="00AD3C95"/>
    <w:rsid w:val="00AD3E50"/>
    <w:rsid w:val="00AD4021"/>
    <w:rsid w:val="00AD4503"/>
    <w:rsid w:val="00AD45B2"/>
    <w:rsid w:val="00AD4843"/>
    <w:rsid w:val="00AD520B"/>
    <w:rsid w:val="00AD52DE"/>
    <w:rsid w:val="00AD5316"/>
    <w:rsid w:val="00AD57A8"/>
    <w:rsid w:val="00AD59D1"/>
    <w:rsid w:val="00AD5DA4"/>
    <w:rsid w:val="00AD617B"/>
    <w:rsid w:val="00AD643C"/>
    <w:rsid w:val="00AD65CB"/>
    <w:rsid w:val="00AD6695"/>
    <w:rsid w:val="00AD68F9"/>
    <w:rsid w:val="00AD69E1"/>
    <w:rsid w:val="00AD7BFF"/>
    <w:rsid w:val="00AD7E84"/>
    <w:rsid w:val="00AE0052"/>
    <w:rsid w:val="00AE04DC"/>
    <w:rsid w:val="00AE09BF"/>
    <w:rsid w:val="00AE0EA3"/>
    <w:rsid w:val="00AE1158"/>
    <w:rsid w:val="00AE11FA"/>
    <w:rsid w:val="00AE1642"/>
    <w:rsid w:val="00AE1838"/>
    <w:rsid w:val="00AE1B03"/>
    <w:rsid w:val="00AE21E5"/>
    <w:rsid w:val="00AE22C7"/>
    <w:rsid w:val="00AE25F9"/>
    <w:rsid w:val="00AE2857"/>
    <w:rsid w:val="00AE2F1D"/>
    <w:rsid w:val="00AE38A7"/>
    <w:rsid w:val="00AE4305"/>
    <w:rsid w:val="00AE43A4"/>
    <w:rsid w:val="00AE4638"/>
    <w:rsid w:val="00AE46D2"/>
    <w:rsid w:val="00AE47D2"/>
    <w:rsid w:val="00AE4A68"/>
    <w:rsid w:val="00AE4ABE"/>
    <w:rsid w:val="00AE4D23"/>
    <w:rsid w:val="00AE4E1D"/>
    <w:rsid w:val="00AE53CB"/>
    <w:rsid w:val="00AE551C"/>
    <w:rsid w:val="00AE5749"/>
    <w:rsid w:val="00AE58A2"/>
    <w:rsid w:val="00AE5B8B"/>
    <w:rsid w:val="00AE5D71"/>
    <w:rsid w:val="00AE5F8F"/>
    <w:rsid w:val="00AE60A1"/>
    <w:rsid w:val="00AE63BE"/>
    <w:rsid w:val="00AE6682"/>
    <w:rsid w:val="00AE6834"/>
    <w:rsid w:val="00AE6A22"/>
    <w:rsid w:val="00AE6A5B"/>
    <w:rsid w:val="00AE6AA3"/>
    <w:rsid w:val="00AE6CFD"/>
    <w:rsid w:val="00AE6FD4"/>
    <w:rsid w:val="00AE708C"/>
    <w:rsid w:val="00AE752E"/>
    <w:rsid w:val="00AE754A"/>
    <w:rsid w:val="00AE7A92"/>
    <w:rsid w:val="00AE7AC6"/>
    <w:rsid w:val="00AE7FCE"/>
    <w:rsid w:val="00AF01FE"/>
    <w:rsid w:val="00AF0236"/>
    <w:rsid w:val="00AF0888"/>
    <w:rsid w:val="00AF0EEF"/>
    <w:rsid w:val="00AF0F45"/>
    <w:rsid w:val="00AF1064"/>
    <w:rsid w:val="00AF1084"/>
    <w:rsid w:val="00AF154C"/>
    <w:rsid w:val="00AF1887"/>
    <w:rsid w:val="00AF1AD1"/>
    <w:rsid w:val="00AF1E3A"/>
    <w:rsid w:val="00AF1F43"/>
    <w:rsid w:val="00AF28CA"/>
    <w:rsid w:val="00AF2BDD"/>
    <w:rsid w:val="00AF2D47"/>
    <w:rsid w:val="00AF344A"/>
    <w:rsid w:val="00AF35E2"/>
    <w:rsid w:val="00AF3A52"/>
    <w:rsid w:val="00AF3ED6"/>
    <w:rsid w:val="00AF4C61"/>
    <w:rsid w:val="00AF4CA7"/>
    <w:rsid w:val="00AF5110"/>
    <w:rsid w:val="00AF5442"/>
    <w:rsid w:val="00AF5770"/>
    <w:rsid w:val="00AF5D5E"/>
    <w:rsid w:val="00AF5F5E"/>
    <w:rsid w:val="00AF621E"/>
    <w:rsid w:val="00AF63E2"/>
    <w:rsid w:val="00AF665D"/>
    <w:rsid w:val="00AF69A7"/>
    <w:rsid w:val="00AF7687"/>
    <w:rsid w:val="00AF7778"/>
    <w:rsid w:val="00AF7D27"/>
    <w:rsid w:val="00B0008C"/>
    <w:rsid w:val="00B0032A"/>
    <w:rsid w:val="00B00330"/>
    <w:rsid w:val="00B00884"/>
    <w:rsid w:val="00B00AFE"/>
    <w:rsid w:val="00B00BAC"/>
    <w:rsid w:val="00B00F1E"/>
    <w:rsid w:val="00B01060"/>
    <w:rsid w:val="00B0138D"/>
    <w:rsid w:val="00B01604"/>
    <w:rsid w:val="00B01BA9"/>
    <w:rsid w:val="00B01C00"/>
    <w:rsid w:val="00B01D36"/>
    <w:rsid w:val="00B01D66"/>
    <w:rsid w:val="00B01ECB"/>
    <w:rsid w:val="00B0201E"/>
    <w:rsid w:val="00B027CE"/>
    <w:rsid w:val="00B02BD7"/>
    <w:rsid w:val="00B02EA9"/>
    <w:rsid w:val="00B02FF1"/>
    <w:rsid w:val="00B0317A"/>
    <w:rsid w:val="00B03AF7"/>
    <w:rsid w:val="00B03E7C"/>
    <w:rsid w:val="00B04342"/>
    <w:rsid w:val="00B043A6"/>
    <w:rsid w:val="00B04502"/>
    <w:rsid w:val="00B04647"/>
    <w:rsid w:val="00B0483A"/>
    <w:rsid w:val="00B049AF"/>
    <w:rsid w:val="00B04AAC"/>
    <w:rsid w:val="00B056CF"/>
    <w:rsid w:val="00B05879"/>
    <w:rsid w:val="00B065DE"/>
    <w:rsid w:val="00B0663D"/>
    <w:rsid w:val="00B068E0"/>
    <w:rsid w:val="00B06B2C"/>
    <w:rsid w:val="00B06BCF"/>
    <w:rsid w:val="00B07034"/>
    <w:rsid w:val="00B07218"/>
    <w:rsid w:val="00B07309"/>
    <w:rsid w:val="00B07EC8"/>
    <w:rsid w:val="00B07F59"/>
    <w:rsid w:val="00B101F7"/>
    <w:rsid w:val="00B1074C"/>
    <w:rsid w:val="00B10BFA"/>
    <w:rsid w:val="00B10FD6"/>
    <w:rsid w:val="00B1130B"/>
    <w:rsid w:val="00B11874"/>
    <w:rsid w:val="00B118DB"/>
    <w:rsid w:val="00B119D0"/>
    <w:rsid w:val="00B119D7"/>
    <w:rsid w:val="00B11FDD"/>
    <w:rsid w:val="00B12B89"/>
    <w:rsid w:val="00B13C64"/>
    <w:rsid w:val="00B13F44"/>
    <w:rsid w:val="00B1436A"/>
    <w:rsid w:val="00B145C7"/>
    <w:rsid w:val="00B147FD"/>
    <w:rsid w:val="00B149D2"/>
    <w:rsid w:val="00B15630"/>
    <w:rsid w:val="00B1567B"/>
    <w:rsid w:val="00B15919"/>
    <w:rsid w:val="00B15B69"/>
    <w:rsid w:val="00B15C15"/>
    <w:rsid w:val="00B1691C"/>
    <w:rsid w:val="00B16AEE"/>
    <w:rsid w:val="00B16D88"/>
    <w:rsid w:val="00B16E6E"/>
    <w:rsid w:val="00B170D7"/>
    <w:rsid w:val="00B1712D"/>
    <w:rsid w:val="00B1738A"/>
    <w:rsid w:val="00B1744A"/>
    <w:rsid w:val="00B17977"/>
    <w:rsid w:val="00B17A6E"/>
    <w:rsid w:val="00B17B30"/>
    <w:rsid w:val="00B17B88"/>
    <w:rsid w:val="00B17E68"/>
    <w:rsid w:val="00B17ED4"/>
    <w:rsid w:val="00B202A1"/>
    <w:rsid w:val="00B202C6"/>
    <w:rsid w:val="00B205A8"/>
    <w:rsid w:val="00B20837"/>
    <w:rsid w:val="00B20FB4"/>
    <w:rsid w:val="00B213F2"/>
    <w:rsid w:val="00B2153F"/>
    <w:rsid w:val="00B21576"/>
    <w:rsid w:val="00B21801"/>
    <w:rsid w:val="00B2198E"/>
    <w:rsid w:val="00B219B9"/>
    <w:rsid w:val="00B21AEE"/>
    <w:rsid w:val="00B21CCE"/>
    <w:rsid w:val="00B21E5E"/>
    <w:rsid w:val="00B21E66"/>
    <w:rsid w:val="00B21F39"/>
    <w:rsid w:val="00B22C56"/>
    <w:rsid w:val="00B22CF5"/>
    <w:rsid w:val="00B2307F"/>
    <w:rsid w:val="00B23907"/>
    <w:rsid w:val="00B2409C"/>
    <w:rsid w:val="00B246A8"/>
    <w:rsid w:val="00B24AD0"/>
    <w:rsid w:val="00B24EEF"/>
    <w:rsid w:val="00B25684"/>
    <w:rsid w:val="00B25883"/>
    <w:rsid w:val="00B25A6A"/>
    <w:rsid w:val="00B25E56"/>
    <w:rsid w:val="00B26540"/>
    <w:rsid w:val="00B2660E"/>
    <w:rsid w:val="00B26AFE"/>
    <w:rsid w:val="00B26D3A"/>
    <w:rsid w:val="00B2704D"/>
    <w:rsid w:val="00B273A2"/>
    <w:rsid w:val="00B27546"/>
    <w:rsid w:val="00B275D8"/>
    <w:rsid w:val="00B27B16"/>
    <w:rsid w:val="00B30014"/>
    <w:rsid w:val="00B303CD"/>
    <w:rsid w:val="00B30B56"/>
    <w:rsid w:val="00B3169C"/>
    <w:rsid w:val="00B316A1"/>
    <w:rsid w:val="00B318B7"/>
    <w:rsid w:val="00B31F6D"/>
    <w:rsid w:val="00B322D2"/>
    <w:rsid w:val="00B32458"/>
    <w:rsid w:val="00B32624"/>
    <w:rsid w:val="00B32886"/>
    <w:rsid w:val="00B33233"/>
    <w:rsid w:val="00B337D3"/>
    <w:rsid w:val="00B33A86"/>
    <w:rsid w:val="00B33AD5"/>
    <w:rsid w:val="00B33B65"/>
    <w:rsid w:val="00B341BD"/>
    <w:rsid w:val="00B34327"/>
    <w:rsid w:val="00B34BBF"/>
    <w:rsid w:val="00B34DD2"/>
    <w:rsid w:val="00B34F72"/>
    <w:rsid w:val="00B34FE0"/>
    <w:rsid w:val="00B35496"/>
    <w:rsid w:val="00B35B06"/>
    <w:rsid w:val="00B36220"/>
    <w:rsid w:val="00B36586"/>
    <w:rsid w:val="00B365E9"/>
    <w:rsid w:val="00B36772"/>
    <w:rsid w:val="00B36899"/>
    <w:rsid w:val="00B36966"/>
    <w:rsid w:val="00B36F34"/>
    <w:rsid w:val="00B37056"/>
    <w:rsid w:val="00B37969"/>
    <w:rsid w:val="00B40111"/>
    <w:rsid w:val="00B40860"/>
    <w:rsid w:val="00B40AFE"/>
    <w:rsid w:val="00B4106B"/>
    <w:rsid w:val="00B41323"/>
    <w:rsid w:val="00B417B9"/>
    <w:rsid w:val="00B419DB"/>
    <w:rsid w:val="00B41EAF"/>
    <w:rsid w:val="00B421BB"/>
    <w:rsid w:val="00B424A8"/>
    <w:rsid w:val="00B42561"/>
    <w:rsid w:val="00B4269D"/>
    <w:rsid w:val="00B4280D"/>
    <w:rsid w:val="00B429E6"/>
    <w:rsid w:val="00B4324F"/>
    <w:rsid w:val="00B4327C"/>
    <w:rsid w:val="00B432E1"/>
    <w:rsid w:val="00B43659"/>
    <w:rsid w:val="00B43ABD"/>
    <w:rsid w:val="00B43DCB"/>
    <w:rsid w:val="00B440A5"/>
    <w:rsid w:val="00B44AF1"/>
    <w:rsid w:val="00B44D97"/>
    <w:rsid w:val="00B45B76"/>
    <w:rsid w:val="00B46020"/>
    <w:rsid w:val="00B46405"/>
    <w:rsid w:val="00B46483"/>
    <w:rsid w:val="00B464E5"/>
    <w:rsid w:val="00B46BFD"/>
    <w:rsid w:val="00B4714D"/>
    <w:rsid w:val="00B4745A"/>
    <w:rsid w:val="00B47508"/>
    <w:rsid w:val="00B47A83"/>
    <w:rsid w:val="00B47BA2"/>
    <w:rsid w:val="00B47D6F"/>
    <w:rsid w:val="00B500F6"/>
    <w:rsid w:val="00B502C3"/>
    <w:rsid w:val="00B5040D"/>
    <w:rsid w:val="00B50654"/>
    <w:rsid w:val="00B508CD"/>
    <w:rsid w:val="00B50A8F"/>
    <w:rsid w:val="00B50B42"/>
    <w:rsid w:val="00B50BCD"/>
    <w:rsid w:val="00B50F08"/>
    <w:rsid w:val="00B51236"/>
    <w:rsid w:val="00B51789"/>
    <w:rsid w:val="00B518D4"/>
    <w:rsid w:val="00B51DB1"/>
    <w:rsid w:val="00B51E7B"/>
    <w:rsid w:val="00B52747"/>
    <w:rsid w:val="00B52A44"/>
    <w:rsid w:val="00B52C50"/>
    <w:rsid w:val="00B531EB"/>
    <w:rsid w:val="00B5335F"/>
    <w:rsid w:val="00B53C8E"/>
    <w:rsid w:val="00B53D29"/>
    <w:rsid w:val="00B54320"/>
    <w:rsid w:val="00B543A9"/>
    <w:rsid w:val="00B54BA4"/>
    <w:rsid w:val="00B54DEE"/>
    <w:rsid w:val="00B553D9"/>
    <w:rsid w:val="00B5545F"/>
    <w:rsid w:val="00B5578E"/>
    <w:rsid w:val="00B5597E"/>
    <w:rsid w:val="00B55F79"/>
    <w:rsid w:val="00B56037"/>
    <w:rsid w:val="00B56A58"/>
    <w:rsid w:val="00B56D89"/>
    <w:rsid w:val="00B56EFD"/>
    <w:rsid w:val="00B57104"/>
    <w:rsid w:val="00B5725D"/>
    <w:rsid w:val="00B576E8"/>
    <w:rsid w:val="00B57763"/>
    <w:rsid w:val="00B57880"/>
    <w:rsid w:val="00B57985"/>
    <w:rsid w:val="00B57A0C"/>
    <w:rsid w:val="00B57ACE"/>
    <w:rsid w:val="00B57B6E"/>
    <w:rsid w:val="00B60235"/>
    <w:rsid w:val="00B602A9"/>
    <w:rsid w:val="00B606A0"/>
    <w:rsid w:val="00B6094E"/>
    <w:rsid w:val="00B60C9E"/>
    <w:rsid w:val="00B60D6C"/>
    <w:rsid w:val="00B60E79"/>
    <w:rsid w:val="00B612D2"/>
    <w:rsid w:val="00B6147C"/>
    <w:rsid w:val="00B616CD"/>
    <w:rsid w:val="00B617FF"/>
    <w:rsid w:val="00B61DD5"/>
    <w:rsid w:val="00B620F0"/>
    <w:rsid w:val="00B623A8"/>
    <w:rsid w:val="00B628AA"/>
    <w:rsid w:val="00B629DC"/>
    <w:rsid w:val="00B62B01"/>
    <w:rsid w:val="00B630C0"/>
    <w:rsid w:val="00B63533"/>
    <w:rsid w:val="00B636AE"/>
    <w:rsid w:val="00B638E5"/>
    <w:rsid w:val="00B638FE"/>
    <w:rsid w:val="00B63C05"/>
    <w:rsid w:val="00B63EF2"/>
    <w:rsid w:val="00B63F5E"/>
    <w:rsid w:val="00B64477"/>
    <w:rsid w:val="00B6466E"/>
    <w:rsid w:val="00B647AF"/>
    <w:rsid w:val="00B64A2C"/>
    <w:rsid w:val="00B64F42"/>
    <w:rsid w:val="00B65026"/>
    <w:rsid w:val="00B651D5"/>
    <w:rsid w:val="00B655D6"/>
    <w:rsid w:val="00B65B86"/>
    <w:rsid w:val="00B65B8A"/>
    <w:rsid w:val="00B65F2D"/>
    <w:rsid w:val="00B66144"/>
    <w:rsid w:val="00B664A7"/>
    <w:rsid w:val="00B66B79"/>
    <w:rsid w:val="00B66B9E"/>
    <w:rsid w:val="00B66FF4"/>
    <w:rsid w:val="00B6768B"/>
    <w:rsid w:val="00B6778A"/>
    <w:rsid w:val="00B679A2"/>
    <w:rsid w:val="00B7034D"/>
    <w:rsid w:val="00B70854"/>
    <w:rsid w:val="00B70B77"/>
    <w:rsid w:val="00B70C13"/>
    <w:rsid w:val="00B70CBF"/>
    <w:rsid w:val="00B70F81"/>
    <w:rsid w:val="00B713CB"/>
    <w:rsid w:val="00B7179C"/>
    <w:rsid w:val="00B717D8"/>
    <w:rsid w:val="00B71861"/>
    <w:rsid w:val="00B71976"/>
    <w:rsid w:val="00B7215D"/>
    <w:rsid w:val="00B72882"/>
    <w:rsid w:val="00B73295"/>
    <w:rsid w:val="00B7347A"/>
    <w:rsid w:val="00B7362D"/>
    <w:rsid w:val="00B73860"/>
    <w:rsid w:val="00B73EB7"/>
    <w:rsid w:val="00B747CF"/>
    <w:rsid w:val="00B74941"/>
    <w:rsid w:val="00B74959"/>
    <w:rsid w:val="00B74FD9"/>
    <w:rsid w:val="00B75152"/>
    <w:rsid w:val="00B7527A"/>
    <w:rsid w:val="00B7543E"/>
    <w:rsid w:val="00B75890"/>
    <w:rsid w:val="00B7599B"/>
    <w:rsid w:val="00B75E00"/>
    <w:rsid w:val="00B75E3B"/>
    <w:rsid w:val="00B769D8"/>
    <w:rsid w:val="00B76BE2"/>
    <w:rsid w:val="00B77182"/>
    <w:rsid w:val="00B7721F"/>
    <w:rsid w:val="00B77E7C"/>
    <w:rsid w:val="00B803CA"/>
    <w:rsid w:val="00B80DAD"/>
    <w:rsid w:val="00B80DEC"/>
    <w:rsid w:val="00B81367"/>
    <w:rsid w:val="00B819DB"/>
    <w:rsid w:val="00B81BF2"/>
    <w:rsid w:val="00B81F26"/>
    <w:rsid w:val="00B824E4"/>
    <w:rsid w:val="00B82616"/>
    <w:rsid w:val="00B82629"/>
    <w:rsid w:val="00B826A7"/>
    <w:rsid w:val="00B82A97"/>
    <w:rsid w:val="00B82DC2"/>
    <w:rsid w:val="00B82ECF"/>
    <w:rsid w:val="00B836C8"/>
    <w:rsid w:val="00B83744"/>
    <w:rsid w:val="00B83F00"/>
    <w:rsid w:val="00B84272"/>
    <w:rsid w:val="00B84282"/>
    <w:rsid w:val="00B84D29"/>
    <w:rsid w:val="00B84FDB"/>
    <w:rsid w:val="00B8512B"/>
    <w:rsid w:val="00B85707"/>
    <w:rsid w:val="00B85A44"/>
    <w:rsid w:val="00B85B75"/>
    <w:rsid w:val="00B85F57"/>
    <w:rsid w:val="00B860C8"/>
    <w:rsid w:val="00B86389"/>
    <w:rsid w:val="00B866C5"/>
    <w:rsid w:val="00B87A21"/>
    <w:rsid w:val="00B87AC6"/>
    <w:rsid w:val="00B87E1B"/>
    <w:rsid w:val="00B906D3"/>
    <w:rsid w:val="00B90C7D"/>
    <w:rsid w:val="00B90E71"/>
    <w:rsid w:val="00B91623"/>
    <w:rsid w:val="00B9173B"/>
    <w:rsid w:val="00B91D37"/>
    <w:rsid w:val="00B92157"/>
    <w:rsid w:val="00B923C2"/>
    <w:rsid w:val="00B92A32"/>
    <w:rsid w:val="00B92E5F"/>
    <w:rsid w:val="00B93130"/>
    <w:rsid w:val="00B93653"/>
    <w:rsid w:val="00B936B4"/>
    <w:rsid w:val="00B938F8"/>
    <w:rsid w:val="00B93ADF"/>
    <w:rsid w:val="00B93BCD"/>
    <w:rsid w:val="00B93DAB"/>
    <w:rsid w:val="00B93DE3"/>
    <w:rsid w:val="00B9402A"/>
    <w:rsid w:val="00B94298"/>
    <w:rsid w:val="00B949E8"/>
    <w:rsid w:val="00B94A36"/>
    <w:rsid w:val="00B94C9D"/>
    <w:rsid w:val="00B94EF3"/>
    <w:rsid w:val="00B95349"/>
    <w:rsid w:val="00B9577E"/>
    <w:rsid w:val="00B9613F"/>
    <w:rsid w:val="00B96362"/>
    <w:rsid w:val="00B96851"/>
    <w:rsid w:val="00B96973"/>
    <w:rsid w:val="00B969CD"/>
    <w:rsid w:val="00B96A61"/>
    <w:rsid w:val="00B96F59"/>
    <w:rsid w:val="00B9727A"/>
    <w:rsid w:val="00B9740E"/>
    <w:rsid w:val="00BA0532"/>
    <w:rsid w:val="00BA070E"/>
    <w:rsid w:val="00BA10EC"/>
    <w:rsid w:val="00BA1296"/>
    <w:rsid w:val="00BA1355"/>
    <w:rsid w:val="00BA13FF"/>
    <w:rsid w:val="00BA14CB"/>
    <w:rsid w:val="00BA1BB4"/>
    <w:rsid w:val="00BA2073"/>
    <w:rsid w:val="00BA2314"/>
    <w:rsid w:val="00BA23F8"/>
    <w:rsid w:val="00BA2766"/>
    <w:rsid w:val="00BA2FFA"/>
    <w:rsid w:val="00BA327E"/>
    <w:rsid w:val="00BA396F"/>
    <w:rsid w:val="00BA40D4"/>
    <w:rsid w:val="00BA412C"/>
    <w:rsid w:val="00BA46C9"/>
    <w:rsid w:val="00BA4CE1"/>
    <w:rsid w:val="00BA4E57"/>
    <w:rsid w:val="00BA4ED5"/>
    <w:rsid w:val="00BA5785"/>
    <w:rsid w:val="00BA5833"/>
    <w:rsid w:val="00BA6525"/>
    <w:rsid w:val="00BA66EA"/>
    <w:rsid w:val="00BA6CF1"/>
    <w:rsid w:val="00BA70B3"/>
    <w:rsid w:val="00BA7C90"/>
    <w:rsid w:val="00BA7FF7"/>
    <w:rsid w:val="00BB0225"/>
    <w:rsid w:val="00BB1294"/>
    <w:rsid w:val="00BB1B3A"/>
    <w:rsid w:val="00BB241E"/>
    <w:rsid w:val="00BB2658"/>
    <w:rsid w:val="00BB2B03"/>
    <w:rsid w:val="00BB2B28"/>
    <w:rsid w:val="00BB3296"/>
    <w:rsid w:val="00BB3689"/>
    <w:rsid w:val="00BB36A4"/>
    <w:rsid w:val="00BB38CA"/>
    <w:rsid w:val="00BB3C99"/>
    <w:rsid w:val="00BB3C9C"/>
    <w:rsid w:val="00BB3ECB"/>
    <w:rsid w:val="00BB42E0"/>
    <w:rsid w:val="00BB47AD"/>
    <w:rsid w:val="00BB4EC9"/>
    <w:rsid w:val="00BB5129"/>
    <w:rsid w:val="00BB5182"/>
    <w:rsid w:val="00BB51B9"/>
    <w:rsid w:val="00BB556C"/>
    <w:rsid w:val="00BB5C82"/>
    <w:rsid w:val="00BB5D49"/>
    <w:rsid w:val="00BB6C53"/>
    <w:rsid w:val="00BB720B"/>
    <w:rsid w:val="00BB7282"/>
    <w:rsid w:val="00BB7306"/>
    <w:rsid w:val="00BB75D1"/>
    <w:rsid w:val="00BB78B1"/>
    <w:rsid w:val="00BB7F70"/>
    <w:rsid w:val="00BC04CE"/>
    <w:rsid w:val="00BC06D9"/>
    <w:rsid w:val="00BC078F"/>
    <w:rsid w:val="00BC08F4"/>
    <w:rsid w:val="00BC090A"/>
    <w:rsid w:val="00BC0977"/>
    <w:rsid w:val="00BC0B78"/>
    <w:rsid w:val="00BC10DC"/>
    <w:rsid w:val="00BC148D"/>
    <w:rsid w:val="00BC1595"/>
    <w:rsid w:val="00BC1B43"/>
    <w:rsid w:val="00BC1F16"/>
    <w:rsid w:val="00BC2442"/>
    <w:rsid w:val="00BC2751"/>
    <w:rsid w:val="00BC276F"/>
    <w:rsid w:val="00BC3459"/>
    <w:rsid w:val="00BC3466"/>
    <w:rsid w:val="00BC3A68"/>
    <w:rsid w:val="00BC3D81"/>
    <w:rsid w:val="00BC3D85"/>
    <w:rsid w:val="00BC3FBD"/>
    <w:rsid w:val="00BC4409"/>
    <w:rsid w:val="00BC4470"/>
    <w:rsid w:val="00BC488F"/>
    <w:rsid w:val="00BC4B04"/>
    <w:rsid w:val="00BC5275"/>
    <w:rsid w:val="00BC5397"/>
    <w:rsid w:val="00BC542F"/>
    <w:rsid w:val="00BC56DD"/>
    <w:rsid w:val="00BC57BA"/>
    <w:rsid w:val="00BC5A63"/>
    <w:rsid w:val="00BC5CA6"/>
    <w:rsid w:val="00BC63BF"/>
    <w:rsid w:val="00BC674F"/>
    <w:rsid w:val="00BC69FC"/>
    <w:rsid w:val="00BC6A50"/>
    <w:rsid w:val="00BC6BB6"/>
    <w:rsid w:val="00BC6D91"/>
    <w:rsid w:val="00BC7188"/>
    <w:rsid w:val="00BC7286"/>
    <w:rsid w:val="00BC7417"/>
    <w:rsid w:val="00BC7A22"/>
    <w:rsid w:val="00BD0988"/>
    <w:rsid w:val="00BD17E8"/>
    <w:rsid w:val="00BD18E4"/>
    <w:rsid w:val="00BD1AE2"/>
    <w:rsid w:val="00BD1CDF"/>
    <w:rsid w:val="00BD2215"/>
    <w:rsid w:val="00BD2B37"/>
    <w:rsid w:val="00BD3225"/>
    <w:rsid w:val="00BD37FD"/>
    <w:rsid w:val="00BD4162"/>
    <w:rsid w:val="00BD416F"/>
    <w:rsid w:val="00BD4303"/>
    <w:rsid w:val="00BD4379"/>
    <w:rsid w:val="00BD4721"/>
    <w:rsid w:val="00BD48EC"/>
    <w:rsid w:val="00BD4B25"/>
    <w:rsid w:val="00BD51B5"/>
    <w:rsid w:val="00BD56E4"/>
    <w:rsid w:val="00BD5AE9"/>
    <w:rsid w:val="00BD5D50"/>
    <w:rsid w:val="00BD609B"/>
    <w:rsid w:val="00BD62BB"/>
    <w:rsid w:val="00BD62E6"/>
    <w:rsid w:val="00BD6394"/>
    <w:rsid w:val="00BD64BE"/>
    <w:rsid w:val="00BD64C0"/>
    <w:rsid w:val="00BD65B5"/>
    <w:rsid w:val="00BD67F3"/>
    <w:rsid w:val="00BD6E47"/>
    <w:rsid w:val="00BD7311"/>
    <w:rsid w:val="00BD749B"/>
    <w:rsid w:val="00BD74FE"/>
    <w:rsid w:val="00BD76DA"/>
    <w:rsid w:val="00BD7D39"/>
    <w:rsid w:val="00BD7DBD"/>
    <w:rsid w:val="00BD7FC2"/>
    <w:rsid w:val="00BE0875"/>
    <w:rsid w:val="00BE0AB0"/>
    <w:rsid w:val="00BE0E04"/>
    <w:rsid w:val="00BE0FDE"/>
    <w:rsid w:val="00BE1088"/>
    <w:rsid w:val="00BE174A"/>
    <w:rsid w:val="00BE1BCD"/>
    <w:rsid w:val="00BE2300"/>
    <w:rsid w:val="00BE2334"/>
    <w:rsid w:val="00BE2600"/>
    <w:rsid w:val="00BE265A"/>
    <w:rsid w:val="00BE2BB9"/>
    <w:rsid w:val="00BE2EB7"/>
    <w:rsid w:val="00BE301F"/>
    <w:rsid w:val="00BE34DC"/>
    <w:rsid w:val="00BE38A3"/>
    <w:rsid w:val="00BE406A"/>
    <w:rsid w:val="00BE4267"/>
    <w:rsid w:val="00BE461A"/>
    <w:rsid w:val="00BE489A"/>
    <w:rsid w:val="00BE58EE"/>
    <w:rsid w:val="00BE5933"/>
    <w:rsid w:val="00BE5951"/>
    <w:rsid w:val="00BE5A63"/>
    <w:rsid w:val="00BE61DF"/>
    <w:rsid w:val="00BE6680"/>
    <w:rsid w:val="00BE6942"/>
    <w:rsid w:val="00BE69FC"/>
    <w:rsid w:val="00BE6EFF"/>
    <w:rsid w:val="00BE73FF"/>
    <w:rsid w:val="00BE7753"/>
    <w:rsid w:val="00BE7777"/>
    <w:rsid w:val="00BE7822"/>
    <w:rsid w:val="00BE7907"/>
    <w:rsid w:val="00BE7AAC"/>
    <w:rsid w:val="00BE7AE0"/>
    <w:rsid w:val="00BE7B15"/>
    <w:rsid w:val="00BF0301"/>
    <w:rsid w:val="00BF0BFA"/>
    <w:rsid w:val="00BF0C84"/>
    <w:rsid w:val="00BF0D06"/>
    <w:rsid w:val="00BF0D7B"/>
    <w:rsid w:val="00BF1635"/>
    <w:rsid w:val="00BF1669"/>
    <w:rsid w:val="00BF1DF3"/>
    <w:rsid w:val="00BF1F6B"/>
    <w:rsid w:val="00BF243C"/>
    <w:rsid w:val="00BF288E"/>
    <w:rsid w:val="00BF290F"/>
    <w:rsid w:val="00BF2A30"/>
    <w:rsid w:val="00BF307E"/>
    <w:rsid w:val="00BF315D"/>
    <w:rsid w:val="00BF3908"/>
    <w:rsid w:val="00BF3984"/>
    <w:rsid w:val="00BF3AE0"/>
    <w:rsid w:val="00BF4427"/>
    <w:rsid w:val="00BF478A"/>
    <w:rsid w:val="00BF4CF0"/>
    <w:rsid w:val="00BF4EC1"/>
    <w:rsid w:val="00BF52F2"/>
    <w:rsid w:val="00BF56F0"/>
    <w:rsid w:val="00BF5CBB"/>
    <w:rsid w:val="00BF5E5D"/>
    <w:rsid w:val="00BF65B6"/>
    <w:rsid w:val="00BF687B"/>
    <w:rsid w:val="00BF689B"/>
    <w:rsid w:val="00BF6B7F"/>
    <w:rsid w:val="00BF6D19"/>
    <w:rsid w:val="00BF6F84"/>
    <w:rsid w:val="00BF706A"/>
    <w:rsid w:val="00BF7541"/>
    <w:rsid w:val="00BF7673"/>
    <w:rsid w:val="00BF7A91"/>
    <w:rsid w:val="00BF7E14"/>
    <w:rsid w:val="00C00D62"/>
    <w:rsid w:val="00C00E2C"/>
    <w:rsid w:val="00C00F8F"/>
    <w:rsid w:val="00C017CC"/>
    <w:rsid w:val="00C0182F"/>
    <w:rsid w:val="00C018EA"/>
    <w:rsid w:val="00C02609"/>
    <w:rsid w:val="00C027E8"/>
    <w:rsid w:val="00C02BE5"/>
    <w:rsid w:val="00C02F28"/>
    <w:rsid w:val="00C03452"/>
    <w:rsid w:val="00C03F3D"/>
    <w:rsid w:val="00C04536"/>
    <w:rsid w:val="00C04BBA"/>
    <w:rsid w:val="00C05478"/>
    <w:rsid w:val="00C055B5"/>
    <w:rsid w:val="00C055B7"/>
    <w:rsid w:val="00C05659"/>
    <w:rsid w:val="00C05811"/>
    <w:rsid w:val="00C058EB"/>
    <w:rsid w:val="00C05A16"/>
    <w:rsid w:val="00C05A25"/>
    <w:rsid w:val="00C063E1"/>
    <w:rsid w:val="00C06464"/>
    <w:rsid w:val="00C06791"/>
    <w:rsid w:val="00C06892"/>
    <w:rsid w:val="00C06AAF"/>
    <w:rsid w:val="00C06C28"/>
    <w:rsid w:val="00C07040"/>
    <w:rsid w:val="00C0770C"/>
    <w:rsid w:val="00C07805"/>
    <w:rsid w:val="00C07C59"/>
    <w:rsid w:val="00C07E5A"/>
    <w:rsid w:val="00C07FB7"/>
    <w:rsid w:val="00C1014A"/>
    <w:rsid w:val="00C102EA"/>
    <w:rsid w:val="00C1038D"/>
    <w:rsid w:val="00C103BC"/>
    <w:rsid w:val="00C110EE"/>
    <w:rsid w:val="00C111A9"/>
    <w:rsid w:val="00C111C0"/>
    <w:rsid w:val="00C116EB"/>
    <w:rsid w:val="00C11726"/>
    <w:rsid w:val="00C119D3"/>
    <w:rsid w:val="00C11DF4"/>
    <w:rsid w:val="00C11F23"/>
    <w:rsid w:val="00C12DDA"/>
    <w:rsid w:val="00C12E7E"/>
    <w:rsid w:val="00C13514"/>
    <w:rsid w:val="00C1382C"/>
    <w:rsid w:val="00C13A14"/>
    <w:rsid w:val="00C13AC7"/>
    <w:rsid w:val="00C14BBC"/>
    <w:rsid w:val="00C14FFB"/>
    <w:rsid w:val="00C15147"/>
    <w:rsid w:val="00C15549"/>
    <w:rsid w:val="00C15665"/>
    <w:rsid w:val="00C1575C"/>
    <w:rsid w:val="00C15C6A"/>
    <w:rsid w:val="00C162DB"/>
    <w:rsid w:val="00C1654B"/>
    <w:rsid w:val="00C166D5"/>
    <w:rsid w:val="00C16896"/>
    <w:rsid w:val="00C17052"/>
    <w:rsid w:val="00C1706C"/>
    <w:rsid w:val="00C17419"/>
    <w:rsid w:val="00C1762F"/>
    <w:rsid w:val="00C179BA"/>
    <w:rsid w:val="00C20335"/>
    <w:rsid w:val="00C203FF"/>
    <w:rsid w:val="00C2098C"/>
    <w:rsid w:val="00C20DFF"/>
    <w:rsid w:val="00C20EA2"/>
    <w:rsid w:val="00C20EC3"/>
    <w:rsid w:val="00C21474"/>
    <w:rsid w:val="00C223CB"/>
    <w:rsid w:val="00C22B0C"/>
    <w:rsid w:val="00C22B98"/>
    <w:rsid w:val="00C22C10"/>
    <w:rsid w:val="00C23299"/>
    <w:rsid w:val="00C23881"/>
    <w:rsid w:val="00C23920"/>
    <w:rsid w:val="00C23AD0"/>
    <w:rsid w:val="00C23E50"/>
    <w:rsid w:val="00C24550"/>
    <w:rsid w:val="00C24BE8"/>
    <w:rsid w:val="00C24EC4"/>
    <w:rsid w:val="00C2525A"/>
    <w:rsid w:val="00C256E6"/>
    <w:rsid w:val="00C256F2"/>
    <w:rsid w:val="00C2594F"/>
    <w:rsid w:val="00C25AA7"/>
    <w:rsid w:val="00C25E9D"/>
    <w:rsid w:val="00C25EC4"/>
    <w:rsid w:val="00C26412"/>
    <w:rsid w:val="00C265D7"/>
    <w:rsid w:val="00C266C1"/>
    <w:rsid w:val="00C267C1"/>
    <w:rsid w:val="00C26A04"/>
    <w:rsid w:val="00C26BA5"/>
    <w:rsid w:val="00C26D60"/>
    <w:rsid w:val="00C26EE5"/>
    <w:rsid w:val="00C26F3D"/>
    <w:rsid w:val="00C2764A"/>
    <w:rsid w:val="00C27679"/>
    <w:rsid w:val="00C27926"/>
    <w:rsid w:val="00C27AF7"/>
    <w:rsid w:val="00C27E35"/>
    <w:rsid w:val="00C303EE"/>
    <w:rsid w:val="00C30827"/>
    <w:rsid w:val="00C308F7"/>
    <w:rsid w:val="00C30B6D"/>
    <w:rsid w:val="00C31448"/>
    <w:rsid w:val="00C317C6"/>
    <w:rsid w:val="00C31D1B"/>
    <w:rsid w:val="00C31F8C"/>
    <w:rsid w:val="00C31FA5"/>
    <w:rsid w:val="00C32839"/>
    <w:rsid w:val="00C32CE2"/>
    <w:rsid w:val="00C32E76"/>
    <w:rsid w:val="00C32F65"/>
    <w:rsid w:val="00C32FA7"/>
    <w:rsid w:val="00C33139"/>
    <w:rsid w:val="00C333C5"/>
    <w:rsid w:val="00C33620"/>
    <w:rsid w:val="00C339C7"/>
    <w:rsid w:val="00C33BBA"/>
    <w:rsid w:val="00C340D2"/>
    <w:rsid w:val="00C34E9D"/>
    <w:rsid w:val="00C35029"/>
    <w:rsid w:val="00C3516C"/>
    <w:rsid w:val="00C3546F"/>
    <w:rsid w:val="00C354B1"/>
    <w:rsid w:val="00C3570B"/>
    <w:rsid w:val="00C35AC3"/>
    <w:rsid w:val="00C367D9"/>
    <w:rsid w:val="00C36D65"/>
    <w:rsid w:val="00C37A09"/>
    <w:rsid w:val="00C37A69"/>
    <w:rsid w:val="00C37DCF"/>
    <w:rsid w:val="00C40445"/>
    <w:rsid w:val="00C41205"/>
    <w:rsid w:val="00C4188E"/>
    <w:rsid w:val="00C41B45"/>
    <w:rsid w:val="00C42019"/>
    <w:rsid w:val="00C42965"/>
    <w:rsid w:val="00C42B52"/>
    <w:rsid w:val="00C432B1"/>
    <w:rsid w:val="00C434A8"/>
    <w:rsid w:val="00C43706"/>
    <w:rsid w:val="00C43B1B"/>
    <w:rsid w:val="00C43C02"/>
    <w:rsid w:val="00C446FD"/>
    <w:rsid w:val="00C44908"/>
    <w:rsid w:val="00C44F84"/>
    <w:rsid w:val="00C45BA3"/>
    <w:rsid w:val="00C46426"/>
    <w:rsid w:val="00C464A3"/>
    <w:rsid w:val="00C464F4"/>
    <w:rsid w:val="00C46AC8"/>
    <w:rsid w:val="00C46BBC"/>
    <w:rsid w:val="00C46F9C"/>
    <w:rsid w:val="00C470B0"/>
    <w:rsid w:val="00C47974"/>
    <w:rsid w:val="00C50229"/>
    <w:rsid w:val="00C50355"/>
    <w:rsid w:val="00C50F2F"/>
    <w:rsid w:val="00C51111"/>
    <w:rsid w:val="00C5138C"/>
    <w:rsid w:val="00C519AB"/>
    <w:rsid w:val="00C52135"/>
    <w:rsid w:val="00C5262E"/>
    <w:rsid w:val="00C526C5"/>
    <w:rsid w:val="00C52B4F"/>
    <w:rsid w:val="00C52D1C"/>
    <w:rsid w:val="00C52E77"/>
    <w:rsid w:val="00C5374D"/>
    <w:rsid w:val="00C53766"/>
    <w:rsid w:val="00C54C09"/>
    <w:rsid w:val="00C54E66"/>
    <w:rsid w:val="00C5505C"/>
    <w:rsid w:val="00C550B7"/>
    <w:rsid w:val="00C55251"/>
    <w:rsid w:val="00C55340"/>
    <w:rsid w:val="00C5547B"/>
    <w:rsid w:val="00C554B5"/>
    <w:rsid w:val="00C554E7"/>
    <w:rsid w:val="00C55946"/>
    <w:rsid w:val="00C55948"/>
    <w:rsid w:val="00C563E6"/>
    <w:rsid w:val="00C56432"/>
    <w:rsid w:val="00C56AF0"/>
    <w:rsid w:val="00C56E61"/>
    <w:rsid w:val="00C5715F"/>
    <w:rsid w:val="00C5718F"/>
    <w:rsid w:val="00C57964"/>
    <w:rsid w:val="00C57A6E"/>
    <w:rsid w:val="00C57A78"/>
    <w:rsid w:val="00C57ED0"/>
    <w:rsid w:val="00C57FAE"/>
    <w:rsid w:val="00C602AA"/>
    <w:rsid w:val="00C605D2"/>
    <w:rsid w:val="00C60783"/>
    <w:rsid w:val="00C6084A"/>
    <w:rsid w:val="00C6118F"/>
    <w:rsid w:val="00C611D4"/>
    <w:rsid w:val="00C611F1"/>
    <w:rsid w:val="00C612C0"/>
    <w:rsid w:val="00C615E0"/>
    <w:rsid w:val="00C616AE"/>
    <w:rsid w:val="00C61A13"/>
    <w:rsid w:val="00C61E1F"/>
    <w:rsid w:val="00C62227"/>
    <w:rsid w:val="00C629A1"/>
    <w:rsid w:val="00C62EE7"/>
    <w:rsid w:val="00C633C1"/>
    <w:rsid w:val="00C63C41"/>
    <w:rsid w:val="00C63E7A"/>
    <w:rsid w:val="00C640B1"/>
    <w:rsid w:val="00C646D3"/>
    <w:rsid w:val="00C646F0"/>
    <w:rsid w:val="00C64740"/>
    <w:rsid w:val="00C64890"/>
    <w:rsid w:val="00C6535E"/>
    <w:rsid w:val="00C6552F"/>
    <w:rsid w:val="00C65654"/>
    <w:rsid w:val="00C6582C"/>
    <w:rsid w:val="00C659B4"/>
    <w:rsid w:val="00C659ED"/>
    <w:rsid w:val="00C65A09"/>
    <w:rsid w:val="00C65C60"/>
    <w:rsid w:val="00C665B4"/>
    <w:rsid w:val="00C66942"/>
    <w:rsid w:val="00C66D85"/>
    <w:rsid w:val="00C67227"/>
    <w:rsid w:val="00C6744F"/>
    <w:rsid w:val="00C67963"/>
    <w:rsid w:val="00C67ED5"/>
    <w:rsid w:val="00C705EB"/>
    <w:rsid w:val="00C7065A"/>
    <w:rsid w:val="00C70886"/>
    <w:rsid w:val="00C70F76"/>
    <w:rsid w:val="00C71C9E"/>
    <w:rsid w:val="00C72465"/>
    <w:rsid w:val="00C725CF"/>
    <w:rsid w:val="00C72881"/>
    <w:rsid w:val="00C73155"/>
    <w:rsid w:val="00C7357E"/>
    <w:rsid w:val="00C73BE6"/>
    <w:rsid w:val="00C74214"/>
    <w:rsid w:val="00C74225"/>
    <w:rsid w:val="00C743EE"/>
    <w:rsid w:val="00C74888"/>
    <w:rsid w:val="00C74954"/>
    <w:rsid w:val="00C751A7"/>
    <w:rsid w:val="00C75317"/>
    <w:rsid w:val="00C755BA"/>
    <w:rsid w:val="00C75A98"/>
    <w:rsid w:val="00C76364"/>
    <w:rsid w:val="00C764BE"/>
    <w:rsid w:val="00C76541"/>
    <w:rsid w:val="00C76609"/>
    <w:rsid w:val="00C766E5"/>
    <w:rsid w:val="00C76D90"/>
    <w:rsid w:val="00C77E45"/>
    <w:rsid w:val="00C801CC"/>
    <w:rsid w:val="00C8043D"/>
    <w:rsid w:val="00C80570"/>
    <w:rsid w:val="00C80910"/>
    <w:rsid w:val="00C80953"/>
    <w:rsid w:val="00C80D85"/>
    <w:rsid w:val="00C81B62"/>
    <w:rsid w:val="00C81BD4"/>
    <w:rsid w:val="00C8295F"/>
    <w:rsid w:val="00C82B99"/>
    <w:rsid w:val="00C82D8F"/>
    <w:rsid w:val="00C835D3"/>
    <w:rsid w:val="00C8384F"/>
    <w:rsid w:val="00C83A42"/>
    <w:rsid w:val="00C83B84"/>
    <w:rsid w:val="00C83DF9"/>
    <w:rsid w:val="00C83EBB"/>
    <w:rsid w:val="00C84479"/>
    <w:rsid w:val="00C84519"/>
    <w:rsid w:val="00C847FA"/>
    <w:rsid w:val="00C84E0D"/>
    <w:rsid w:val="00C8573E"/>
    <w:rsid w:val="00C85847"/>
    <w:rsid w:val="00C8647A"/>
    <w:rsid w:val="00C864B3"/>
    <w:rsid w:val="00C86516"/>
    <w:rsid w:val="00C86754"/>
    <w:rsid w:val="00C8761C"/>
    <w:rsid w:val="00C87820"/>
    <w:rsid w:val="00C87913"/>
    <w:rsid w:val="00C87F46"/>
    <w:rsid w:val="00C900A9"/>
    <w:rsid w:val="00C90341"/>
    <w:rsid w:val="00C90431"/>
    <w:rsid w:val="00C90768"/>
    <w:rsid w:val="00C9198F"/>
    <w:rsid w:val="00C92683"/>
    <w:rsid w:val="00C9314E"/>
    <w:rsid w:val="00C93708"/>
    <w:rsid w:val="00C93D30"/>
    <w:rsid w:val="00C94492"/>
    <w:rsid w:val="00C94844"/>
    <w:rsid w:val="00C94E4A"/>
    <w:rsid w:val="00C95035"/>
    <w:rsid w:val="00C951A9"/>
    <w:rsid w:val="00C95503"/>
    <w:rsid w:val="00C956DA"/>
    <w:rsid w:val="00C95B18"/>
    <w:rsid w:val="00C95D31"/>
    <w:rsid w:val="00C95E8D"/>
    <w:rsid w:val="00C95F8B"/>
    <w:rsid w:val="00C960F0"/>
    <w:rsid w:val="00C96443"/>
    <w:rsid w:val="00C96809"/>
    <w:rsid w:val="00C96B45"/>
    <w:rsid w:val="00C96CD2"/>
    <w:rsid w:val="00C96D91"/>
    <w:rsid w:val="00C96FF1"/>
    <w:rsid w:val="00C97076"/>
    <w:rsid w:val="00C973BE"/>
    <w:rsid w:val="00C978DE"/>
    <w:rsid w:val="00C979AD"/>
    <w:rsid w:val="00C97DB0"/>
    <w:rsid w:val="00CA0885"/>
    <w:rsid w:val="00CA09BA"/>
    <w:rsid w:val="00CA0D69"/>
    <w:rsid w:val="00CA121D"/>
    <w:rsid w:val="00CA1244"/>
    <w:rsid w:val="00CA128A"/>
    <w:rsid w:val="00CA16E9"/>
    <w:rsid w:val="00CA17A2"/>
    <w:rsid w:val="00CA1B13"/>
    <w:rsid w:val="00CA1B8E"/>
    <w:rsid w:val="00CA1EBA"/>
    <w:rsid w:val="00CA2379"/>
    <w:rsid w:val="00CA246F"/>
    <w:rsid w:val="00CA249A"/>
    <w:rsid w:val="00CA2515"/>
    <w:rsid w:val="00CA2545"/>
    <w:rsid w:val="00CA280C"/>
    <w:rsid w:val="00CA2F44"/>
    <w:rsid w:val="00CA2FB1"/>
    <w:rsid w:val="00CA2FD4"/>
    <w:rsid w:val="00CA34C0"/>
    <w:rsid w:val="00CA359A"/>
    <w:rsid w:val="00CA3AD9"/>
    <w:rsid w:val="00CA3EEE"/>
    <w:rsid w:val="00CA44E4"/>
    <w:rsid w:val="00CA453C"/>
    <w:rsid w:val="00CA470F"/>
    <w:rsid w:val="00CA474B"/>
    <w:rsid w:val="00CA4994"/>
    <w:rsid w:val="00CA4B34"/>
    <w:rsid w:val="00CA4F7C"/>
    <w:rsid w:val="00CA5990"/>
    <w:rsid w:val="00CA5A1D"/>
    <w:rsid w:val="00CA5CA3"/>
    <w:rsid w:val="00CA6044"/>
    <w:rsid w:val="00CA6130"/>
    <w:rsid w:val="00CA621C"/>
    <w:rsid w:val="00CA684B"/>
    <w:rsid w:val="00CA6E32"/>
    <w:rsid w:val="00CA72D0"/>
    <w:rsid w:val="00CA74E0"/>
    <w:rsid w:val="00CA7B39"/>
    <w:rsid w:val="00CB0CA5"/>
    <w:rsid w:val="00CB0D59"/>
    <w:rsid w:val="00CB0DE0"/>
    <w:rsid w:val="00CB10E1"/>
    <w:rsid w:val="00CB1211"/>
    <w:rsid w:val="00CB16DA"/>
    <w:rsid w:val="00CB17DB"/>
    <w:rsid w:val="00CB1B46"/>
    <w:rsid w:val="00CB1F28"/>
    <w:rsid w:val="00CB223A"/>
    <w:rsid w:val="00CB24DB"/>
    <w:rsid w:val="00CB26F3"/>
    <w:rsid w:val="00CB2937"/>
    <w:rsid w:val="00CB2F0A"/>
    <w:rsid w:val="00CB3B8F"/>
    <w:rsid w:val="00CB3C25"/>
    <w:rsid w:val="00CB3E76"/>
    <w:rsid w:val="00CB3F43"/>
    <w:rsid w:val="00CB40D7"/>
    <w:rsid w:val="00CB459D"/>
    <w:rsid w:val="00CB4A9D"/>
    <w:rsid w:val="00CB4D41"/>
    <w:rsid w:val="00CB4F72"/>
    <w:rsid w:val="00CB54A0"/>
    <w:rsid w:val="00CB585D"/>
    <w:rsid w:val="00CB63E8"/>
    <w:rsid w:val="00CB6885"/>
    <w:rsid w:val="00CB75B8"/>
    <w:rsid w:val="00CB7C25"/>
    <w:rsid w:val="00CB7E26"/>
    <w:rsid w:val="00CB7E96"/>
    <w:rsid w:val="00CC0050"/>
    <w:rsid w:val="00CC006A"/>
    <w:rsid w:val="00CC0235"/>
    <w:rsid w:val="00CC045A"/>
    <w:rsid w:val="00CC09FD"/>
    <w:rsid w:val="00CC0B68"/>
    <w:rsid w:val="00CC0B85"/>
    <w:rsid w:val="00CC16A4"/>
    <w:rsid w:val="00CC1D8B"/>
    <w:rsid w:val="00CC2039"/>
    <w:rsid w:val="00CC2438"/>
    <w:rsid w:val="00CC26BB"/>
    <w:rsid w:val="00CC30F1"/>
    <w:rsid w:val="00CC3550"/>
    <w:rsid w:val="00CC374B"/>
    <w:rsid w:val="00CC3792"/>
    <w:rsid w:val="00CC3C68"/>
    <w:rsid w:val="00CC4626"/>
    <w:rsid w:val="00CC47F7"/>
    <w:rsid w:val="00CC4C0F"/>
    <w:rsid w:val="00CC4D70"/>
    <w:rsid w:val="00CC4DA9"/>
    <w:rsid w:val="00CC51BA"/>
    <w:rsid w:val="00CC5546"/>
    <w:rsid w:val="00CC5633"/>
    <w:rsid w:val="00CC5C5E"/>
    <w:rsid w:val="00CC639F"/>
    <w:rsid w:val="00CC6662"/>
    <w:rsid w:val="00CC6734"/>
    <w:rsid w:val="00CC773E"/>
    <w:rsid w:val="00CC7A28"/>
    <w:rsid w:val="00CC7CF5"/>
    <w:rsid w:val="00CD0161"/>
    <w:rsid w:val="00CD097E"/>
    <w:rsid w:val="00CD1567"/>
    <w:rsid w:val="00CD1D1A"/>
    <w:rsid w:val="00CD2BF8"/>
    <w:rsid w:val="00CD2E5A"/>
    <w:rsid w:val="00CD32B4"/>
    <w:rsid w:val="00CD3486"/>
    <w:rsid w:val="00CD3547"/>
    <w:rsid w:val="00CD37BB"/>
    <w:rsid w:val="00CD3A85"/>
    <w:rsid w:val="00CD3F5C"/>
    <w:rsid w:val="00CD3F9A"/>
    <w:rsid w:val="00CD4039"/>
    <w:rsid w:val="00CD4402"/>
    <w:rsid w:val="00CD473C"/>
    <w:rsid w:val="00CD4807"/>
    <w:rsid w:val="00CD4B81"/>
    <w:rsid w:val="00CD4D98"/>
    <w:rsid w:val="00CD59B9"/>
    <w:rsid w:val="00CD61EC"/>
    <w:rsid w:val="00CD6538"/>
    <w:rsid w:val="00CD65B4"/>
    <w:rsid w:val="00CD6682"/>
    <w:rsid w:val="00CD6988"/>
    <w:rsid w:val="00CD742C"/>
    <w:rsid w:val="00CD74AB"/>
    <w:rsid w:val="00CD7B07"/>
    <w:rsid w:val="00CD7CEA"/>
    <w:rsid w:val="00CD7E51"/>
    <w:rsid w:val="00CE0268"/>
    <w:rsid w:val="00CE0671"/>
    <w:rsid w:val="00CE06DF"/>
    <w:rsid w:val="00CE07DB"/>
    <w:rsid w:val="00CE0C16"/>
    <w:rsid w:val="00CE0E1C"/>
    <w:rsid w:val="00CE0F95"/>
    <w:rsid w:val="00CE12E4"/>
    <w:rsid w:val="00CE156E"/>
    <w:rsid w:val="00CE1750"/>
    <w:rsid w:val="00CE17F8"/>
    <w:rsid w:val="00CE18CC"/>
    <w:rsid w:val="00CE1BC2"/>
    <w:rsid w:val="00CE1EFA"/>
    <w:rsid w:val="00CE1F2A"/>
    <w:rsid w:val="00CE2035"/>
    <w:rsid w:val="00CE20FF"/>
    <w:rsid w:val="00CE2370"/>
    <w:rsid w:val="00CE2375"/>
    <w:rsid w:val="00CE2908"/>
    <w:rsid w:val="00CE2B8F"/>
    <w:rsid w:val="00CE2BB8"/>
    <w:rsid w:val="00CE2CE1"/>
    <w:rsid w:val="00CE389A"/>
    <w:rsid w:val="00CE3C65"/>
    <w:rsid w:val="00CE44D9"/>
    <w:rsid w:val="00CE4C6C"/>
    <w:rsid w:val="00CE4DD7"/>
    <w:rsid w:val="00CE5C84"/>
    <w:rsid w:val="00CE5EC7"/>
    <w:rsid w:val="00CE5FEF"/>
    <w:rsid w:val="00CE64AC"/>
    <w:rsid w:val="00CE69EC"/>
    <w:rsid w:val="00CE6D81"/>
    <w:rsid w:val="00CE75B2"/>
    <w:rsid w:val="00CE7870"/>
    <w:rsid w:val="00CE7A4F"/>
    <w:rsid w:val="00CE7C6B"/>
    <w:rsid w:val="00CE7EF7"/>
    <w:rsid w:val="00CF00EB"/>
    <w:rsid w:val="00CF1252"/>
    <w:rsid w:val="00CF15C2"/>
    <w:rsid w:val="00CF252E"/>
    <w:rsid w:val="00CF28EE"/>
    <w:rsid w:val="00CF2EB3"/>
    <w:rsid w:val="00CF2EDC"/>
    <w:rsid w:val="00CF2F3B"/>
    <w:rsid w:val="00CF32E7"/>
    <w:rsid w:val="00CF393E"/>
    <w:rsid w:val="00CF4594"/>
    <w:rsid w:val="00CF466F"/>
    <w:rsid w:val="00CF46AF"/>
    <w:rsid w:val="00CF53D4"/>
    <w:rsid w:val="00CF5495"/>
    <w:rsid w:val="00CF56FA"/>
    <w:rsid w:val="00CF58FE"/>
    <w:rsid w:val="00CF5AE0"/>
    <w:rsid w:val="00CF5E17"/>
    <w:rsid w:val="00CF6281"/>
    <w:rsid w:val="00CF6373"/>
    <w:rsid w:val="00CF67C6"/>
    <w:rsid w:val="00CF6A86"/>
    <w:rsid w:val="00CF6C98"/>
    <w:rsid w:val="00CF6CC7"/>
    <w:rsid w:val="00CF6D69"/>
    <w:rsid w:val="00CF776C"/>
    <w:rsid w:val="00CF785C"/>
    <w:rsid w:val="00CF7960"/>
    <w:rsid w:val="00CF7B78"/>
    <w:rsid w:val="00CF7D4D"/>
    <w:rsid w:val="00D0038F"/>
    <w:rsid w:val="00D00560"/>
    <w:rsid w:val="00D009A9"/>
    <w:rsid w:val="00D00B76"/>
    <w:rsid w:val="00D00DED"/>
    <w:rsid w:val="00D00E4C"/>
    <w:rsid w:val="00D010E7"/>
    <w:rsid w:val="00D01350"/>
    <w:rsid w:val="00D01646"/>
    <w:rsid w:val="00D01BE0"/>
    <w:rsid w:val="00D01C38"/>
    <w:rsid w:val="00D01F48"/>
    <w:rsid w:val="00D0206E"/>
    <w:rsid w:val="00D02203"/>
    <w:rsid w:val="00D03926"/>
    <w:rsid w:val="00D03E79"/>
    <w:rsid w:val="00D04112"/>
    <w:rsid w:val="00D046CC"/>
    <w:rsid w:val="00D04AA7"/>
    <w:rsid w:val="00D04B7D"/>
    <w:rsid w:val="00D04BA7"/>
    <w:rsid w:val="00D05169"/>
    <w:rsid w:val="00D05BBE"/>
    <w:rsid w:val="00D062F7"/>
    <w:rsid w:val="00D0642D"/>
    <w:rsid w:val="00D06726"/>
    <w:rsid w:val="00D06D1A"/>
    <w:rsid w:val="00D06DAF"/>
    <w:rsid w:val="00D06E98"/>
    <w:rsid w:val="00D06EA8"/>
    <w:rsid w:val="00D06F6C"/>
    <w:rsid w:val="00D06F91"/>
    <w:rsid w:val="00D07010"/>
    <w:rsid w:val="00D0772C"/>
    <w:rsid w:val="00D07B90"/>
    <w:rsid w:val="00D1006B"/>
    <w:rsid w:val="00D10214"/>
    <w:rsid w:val="00D10631"/>
    <w:rsid w:val="00D1099C"/>
    <w:rsid w:val="00D10BF3"/>
    <w:rsid w:val="00D10CCF"/>
    <w:rsid w:val="00D11297"/>
    <w:rsid w:val="00D1145F"/>
    <w:rsid w:val="00D11B7A"/>
    <w:rsid w:val="00D1260D"/>
    <w:rsid w:val="00D128A9"/>
    <w:rsid w:val="00D12A80"/>
    <w:rsid w:val="00D12C6B"/>
    <w:rsid w:val="00D12D36"/>
    <w:rsid w:val="00D13148"/>
    <w:rsid w:val="00D132AC"/>
    <w:rsid w:val="00D13573"/>
    <w:rsid w:val="00D13948"/>
    <w:rsid w:val="00D13B54"/>
    <w:rsid w:val="00D14568"/>
    <w:rsid w:val="00D146BC"/>
    <w:rsid w:val="00D14CF9"/>
    <w:rsid w:val="00D14DFC"/>
    <w:rsid w:val="00D156E1"/>
    <w:rsid w:val="00D15798"/>
    <w:rsid w:val="00D15927"/>
    <w:rsid w:val="00D15E8D"/>
    <w:rsid w:val="00D15EDC"/>
    <w:rsid w:val="00D15FE3"/>
    <w:rsid w:val="00D16526"/>
    <w:rsid w:val="00D1674E"/>
    <w:rsid w:val="00D16994"/>
    <w:rsid w:val="00D16F53"/>
    <w:rsid w:val="00D1703E"/>
    <w:rsid w:val="00D17349"/>
    <w:rsid w:val="00D1782E"/>
    <w:rsid w:val="00D17F59"/>
    <w:rsid w:val="00D201D8"/>
    <w:rsid w:val="00D20506"/>
    <w:rsid w:val="00D205BD"/>
    <w:rsid w:val="00D20F1B"/>
    <w:rsid w:val="00D213A5"/>
    <w:rsid w:val="00D21666"/>
    <w:rsid w:val="00D2185F"/>
    <w:rsid w:val="00D21993"/>
    <w:rsid w:val="00D21C48"/>
    <w:rsid w:val="00D21F35"/>
    <w:rsid w:val="00D22028"/>
    <w:rsid w:val="00D22507"/>
    <w:rsid w:val="00D22581"/>
    <w:rsid w:val="00D225B6"/>
    <w:rsid w:val="00D22BDD"/>
    <w:rsid w:val="00D22BFB"/>
    <w:rsid w:val="00D22C17"/>
    <w:rsid w:val="00D22D37"/>
    <w:rsid w:val="00D22E4F"/>
    <w:rsid w:val="00D2321D"/>
    <w:rsid w:val="00D232E5"/>
    <w:rsid w:val="00D233F7"/>
    <w:rsid w:val="00D2427A"/>
    <w:rsid w:val="00D2461A"/>
    <w:rsid w:val="00D25448"/>
    <w:rsid w:val="00D2585B"/>
    <w:rsid w:val="00D25BEA"/>
    <w:rsid w:val="00D26275"/>
    <w:rsid w:val="00D26590"/>
    <w:rsid w:val="00D2685B"/>
    <w:rsid w:val="00D2687A"/>
    <w:rsid w:val="00D27650"/>
    <w:rsid w:val="00D27718"/>
    <w:rsid w:val="00D3026D"/>
    <w:rsid w:val="00D305F4"/>
    <w:rsid w:val="00D30A8A"/>
    <w:rsid w:val="00D30C9E"/>
    <w:rsid w:val="00D30E18"/>
    <w:rsid w:val="00D30EB7"/>
    <w:rsid w:val="00D310D4"/>
    <w:rsid w:val="00D31120"/>
    <w:rsid w:val="00D31293"/>
    <w:rsid w:val="00D31299"/>
    <w:rsid w:val="00D31696"/>
    <w:rsid w:val="00D31742"/>
    <w:rsid w:val="00D3234D"/>
    <w:rsid w:val="00D3269E"/>
    <w:rsid w:val="00D327FA"/>
    <w:rsid w:val="00D32833"/>
    <w:rsid w:val="00D328FC"/>
    <w:rsid w:val="00D3295B"/>
    <w:rsid w:val="00D329B4"/>
    <w:rsid w:val="00D32E7F"/>
    <w:rsid w:val="00D32EA5"/>
    <w:rsid w:val="00D333B0"/>
    <w:rsid w:val="00D33449"/>
    <w:rsid w:val="00D33937"/>
    <w:rsid w:val="00D33D2C"/>
    <w:rsid w:val="00D345BA"/>
    <w:rsid w:val="00D3485E"/>
    <w:rsid w:val="00D34ADF"/>
    <w:rsid w:val="00D34BD6"/>
    <w:rsid w:val="00D35518"/>
    <w:rsid w:val="00D359F7"/>
    <w:rsid w:val="00D361DB"/>
    <w:rsid w:val="00D36644"/>
    <w:rsid w:val="00D3669C"/>
    <w:rsid w:val="00D36F45"/>
    <w:rsid w:val="00D37A36"/>
    <w:rsid w:val="00D37B48"/>
    <w:rsid w:val="00D37DD6"/>
    <w:rsid w:val="00D403EA"/>
    <w:rsid w:val="00D40935"/>
    <w:rsid w:val="00D40E72"/>
    <w:rsid w:val="00D40EE7"/>
    <w:rsid w:val="00D40FE7"/>
    <w:rsid w:val="00D4161C"/>
    <w:rsid w:val="00D43639"/>
    <w:rsid w:val="00D437EF"/>
    <w:rsid w:val="00D43AEC"/>
    <w:rsid w:val="00D43D10"/>
    <w:rsid w:val="00D43E3B"/>
    <w:rsid w:val="00D43F58"/>
    <w:rsid w:val="00D43F6F"/>
    <w:rsid w:val="00D44164"/>
    <w:rsid w:val="00D44622"/>
    <w:rsid w:val="00D4503D"/>
    <w:rsid w:val="00D4505C"/>
    <w:rsid w:val="00D451FB"/>
    <w:rsid w:val="00D45217"/>
    <w:rsid w:val="00D452CE"/>
    <w:rsid w:val="00D454BF"/>
    <w:rsid w:val="00D4559E"/>
    <w:rsid w:val="00D45668"/>
    <w:rsid w:val="00D458F5"/>
    <w:rsid w:val="00D4624E"/>
    <w:rsid w:val="00D46A29"/>
    <w:rsid w:val="00D46AAA"/>
    <w:rsid w:val="00D46ABF"/>
    <w:rsid w:val="00D46E32"/>
    <w:rsid w:val="00D4707E"/>
    <w:rsid w:val="00D4710B"/>
    <w:rsid w:val="00D4786D"/>
    <w:rsid w:val="00D50145"/>
    <w:rsid w:val="00D507A8"/>
    <w:rsid w:val="00D50DBB"/>
    <w:rsid w:val="00D50E0F"/>
    <w:rsid w:val="00D511E3"/>
    <w:rsid w:val="00D5151F"/>
    <w:rsid w:val="00D5184A"/>
    <w:rsid w:val="00D5189A"/>
    <w:rsid w:val="00D5189E"/>
    <w:rsid w:val="00D51E2C"/>
    <w:rsid w:val="00D51E5B"/>
    <w:rsid w:val="00D523F4"/>
    <w:rsid w:val="00D5242A"/>
    <w:rsid w:val="00D52494"/>
    <w:rsid w:val="00D5351E"/>
    <w:rsid w:val="00D5384A"/>
    <w:rsid w:val="00D53A61"/>
    <w:rsid w:val="00D53D82"/>
    <w:rsid w:val="00D5425B"/>
    <w:rsid w:val="00D5470A"/>
    <w:rsid w:val="00D54A9E"/>
    <w:rsid w:val="00D55055"/>
    <w:rsid w:val="00D5538E"/>
    <w:rsid w:val="00D5552D"/>
    <w:rsid w:val="00D55721"/>
    <w:rsid w:val="00D557DD"/>
    <w:rsid w:val="00D55B95"/>
    <w:rsid w:val="00D56491"/>
    <w:rsid w:val="00D564FD"/>
    <w:rsid w:val="00D56562"/>
    <w:rsid w:val="00D56621"/>
    <w:rsid w:val="00D5680A"/>
    <w:rsid w:val="00D56A17"/>
    <w:rsid w:val="00D56BA0"/>
    <w:rsid w:val="00D56EBA"/>
    <w:rsid w:val="00D570AD"/>
    <w:rsid w:val="00D572CC"/>
    <w:rsid w:val="00D5772F"/>
    <w:rsid w:val="00D577AB"/>
    <w:rsid w:val="00D57924"/>
    <w:rsid w:val="00D579D2"/>
    <w:rsid w:val="00D57C07"/>
    <w:rsid w:val="00D57C84"/>
    <w:rsid w:val="00D57DDF"/>
    <w:rsid w:val="00D603A3"/>
    <w:rsid w:val="00D6042D"/>
    <w:rsid w:val="00D604A6"/>
    <w:rsid w:val="00D60C4E"/>
    <w:rsid w:val="00D60DDC"/>
    <w:rsid w:val="00D60FE3"/>
    <w:rsid w:val="00D611BE"/>
    <w:rsid w:val="00D61B03"/>
    <w:rsid w:val="00D61B45"/>
    <w:rsid w:val="00D62144"/>
    <w:rsid w:val="00D6248A"/>
    <w:rsid w:val="00D626B8"/>
    <w:rsid w:val="00D626CC"/>
    <w:rsid w:val="00D62EC2"/>
    <w:rsid w:val="00D62F7A"/>
    <w:rsid w:val="00D6384F"/>
    <w:rsid w:val="00D63DB2"/>
    <w:rsid w:val="00D640A6"/>
    <w:rsid w:val="00D6459E"/>
    <w:rsid w:val="00D64B6E"/>
    <w:rsid w:val="00D64EA1"/>
    <w:rsid w:val="00D64FD6"/>
    <w:rsid w:val="00D65BA7"/>
    <w:rsid w:val="00D65BBF"/>
    <w:rsid w:val="00D65BD7"/>
    <w:rsid w:val="00D66028"/>
    <w:rsid w:val="00D661EA"/>
    <w:rsid w:val="00D666B2"/>
    <w:rsid w:val="00D66850"/>
    <w:rsid w:val="00D671B3"/>
    <w:rsid w:val="00D672F5"/>
    <w:rsid w:val="00D6757B"/>
    <w:rsid w:val="00D6794C"/>
    <w:rsid w:val="00D701C3"/>
    <w:rsid w:val="00D70503"/>
    <w:rsid w:val="00D70728"/>
    <w:rsid w:val="00D70EDD"/>
    <w:rsid w:val="00D712CE"/>
    <w:rsid w:val="00D7212C"/>
    <w:rsid w:val="00D72B01"/>
    <w:rsid w:val="00D72DAB"/>
    <w:rsid w:val="00D72EE4"/>
    <w:rsid w:val="00D72F4B"/>
    <w:rsid w:val="00D73503"/>
    <w:rsid w:val="00D73505"/>
    <w:rsid w:val="00D73A9D"/>
    <w:rsid w:val="00D73BBB"/>
    <w:rsid w:val="00D73CE9"/>
    <w:rsid w:val="00D73D6E"/>
    <w:rsid w:val="00D741AC"/>
    <w:rsid w:val="00D741BC"/>
    <w:rsid w:val="00D748A8"/>
    <w:rsid w:val="00D74A5C"/>
    <w:rsid w:val="00D74B60"/>
    <w:rsid w:val="00D74E82"/>
    <w:rsid w:val="00D74FC3"/>
    <w:rsid w:val="00D7527F"/>
    <w:rsid w:val="00D758B1"/>
    <w:rsid w:val="00D7607A"/>
    <w:rsid w:val="00D764DE"/>
    <w:rsid w:val="00D76919"/>
    <w:rsid w:val="00D76D62"/>
    <w:rsid w:val="00D77D65"/>
    <w:rsid w:val="00D8005D"/>
    <w:rsid w:val="00D808FD"/>
    <w:rsid w:val="00D809F8"/>
    <w:rsid w:val="00D80CB1"/>
    <w:rsid w:val="00D81274"/>
    <w:rsid w:val="00D8195F"/>
    <w:rsid w:val="00D81BFB"/>
    <w:rsid w:val="00D81DEC"/>
    <w:rsid w:val="00D81F8D"/>
    <w:rsid w:val="00D82299"/>
    <w:rsid w:val="00D82472"/>
    <w:rsid w:val="00D8256C"/>
    <w:rsid w:val="00D82B5A"/>
    <w:rsid w:val="00D8387E"/>
    <w:rsid w:val="00D83ABC"/>
    <w:rsid w:val="00D83FA3"/>
    <w:rsid w:val="00D84290"/>
    <w:rsid w:val="00D8498A"/>
    <w:rsid w:val="00D852FF"/>
    <w:rsid w:val="00D8584F"/>
    <w:rsid w:val="00D85863"/>
    <w:rsid w:val="00D85895"/>
    <w:rsid w:val="00D8598F"/>
    <w:rsid w:val="00D85B09"/>
    <w:rsid w:val="00D85CFD"/>
    <w:rsid w:val="00D866FA"/>
    <w:rsid w:val="00D86815"/>
    <w:rsid w:val="00D86CA4"/>
    <w:rsid w:val="00D870B7"/>
    <w:rsid w:val="00D870E4"/>
    <w:rsid w:val="00D874C1"/>
    <w:rsid w:val="00D877A6"/>
    <w:rsid w:val="00D87A0F"/>
    <w:rsid w:val="00D90988"/>
    <w:rsid w:val="00D90D86"/>
    <w:rsid w:val="00D9145B"/>
    <w:rsid w:val="00D914EE"/>
    <w:rsid w:val="00D9169D"/>
    <w:rsid w:val="00D9170C"/>
    <w:rsid w:val="00D917B5"/>
    <w:rsid w:val="00D919B3"/>
    <w:rsid w:val="00D91A9D"/>
    <w:rsid w:val="00D91B74"/>
    <w:rsid w:val="00D92207"/>
    <w:rsid w:val="00D924E4"/>
    <w:rsid w:val="00D92783"/>
    <w:rsid w:val="00D92883"/>
    <w:rsid w:val="00D92963"/>
    <w:rsid w:val="00D93977"/>
    <w:rsid w:val="00D93B3E"/>
    <w:rsid w:val="00D93B53"/>
    <w:rsid w:val="00D93F54"/>
    <w:rsid w:val="00D94560"/>
    <w:rsid w:val="00D94692"/>
    <w:rsid w:val="00D94B0D"/>
    <w:rsid w:val="00D94CF4"/>
    <w:rsid w:val="00D950A3"/>
    <w:rsid w:val="00D95543"/>
    <w:rsid w:val="00D95585"/>
    <w:rsid w:val="00D9594C"/>
    <w:rsid w:val="00D95B18"/>
    <w:rsid w:val="00D95BB9"/>
    <w:rsid w:val="00D95BF2"/>
    <w:rsid w:val="00D95D01"/>
    <w:rsid w:val="00D95EA5"/>
    <w:rsid w:val="00D95F5B"/>
    <w:rsid w:val="00D966A8"/>
    <w:rsid w:val="00D96B71"/>
    <w:rsid w:val="00D96CA1"/>
    <w:rsid w:val="00D96D40"/>
    <w:rsid w:val="00D970F2"/>
    <w:rsid w:val="00D97417"/>
    <w:rsid w:val="00D97BBC"/>
    <w:rsid w:val="00D97F67"/>
    <w:rsid w:val="00DA02D5"/>
    <w:rsid w:val="00DA034F"/>
    <w:rsid w:val="00DA0443"/>
    <w:rsid w:val="00DA0B8F"/>
    <w:rsid w:val="00DA0C39"/>
    <w:rsid w:val="00DA1F6E"/>
    <w:rsid w:val="00DA2302"/>
    <w:rsid w:val="00DA2379"/>
    <w:rsid w:val="00DA25AE"/>
    <w:rsid w:val="00DA2736"/>
    <w:rsid w:val="00DA3422"/>
    <w:rsid w:val="00DA36FB"/>
    <w:rsid w:val="00DA37E0"/>
    <w:rsid w:val="00DA3F35"/>
    <w:rsid w:val="00DA4061"/>
    <w:rsid w:val="00DA50A3"/>
    <w:rsid w:val="00DA51B8"/>
    <w:rsid w:val="00DA5223"/>
    <w:rsid w:val="00DA527A"/>
    <w:rsid w:val="00DA57FF"/>
    <w:rsid w:val="00DA5918"/>
    <w:rsid w:val="00DA5957"/>
    <w:rsid w:val="00DA6B67"/>
    <w:rsid w:val="00DA6F39"/>
    <w:rsid w:val="00DA70CF"/>
    <w:rsid w:val="00DA737F"/>
    <w:rsid w:val="00DA74CB"/>
    <w:rsid w:val="00DA779A"/>
    <w:rsid w:val="00DA77FB"/>
    <w:rsid w:val="00DA7A8C"/>
    <w:rsid w:val="00DA7C31"/>
    <w:rsid w:val="00DA7C43"/>
    <w:rsid w:val="00DA7FB6"/>
    <w:rsid w:val="00DB01CA"/>
    <w:rsid w:val="00DB02F7"/>
    <w:rsid w:val="00DB095C"/>
    <w:rsid w:val="00DB0EEF"/>
    <w:rsid w:val="00DB0F63"/>
    <w:rsid w:val="00DB1377"/>
    <w:rsid w:val="00DB1B79"/>
    <w:rsid w:val="00DB1FD1"/>
    <w:rsid w:val="00DB2048"/>
    <w:rsid w:val="00DB2065"/>
    <w:rsid w:val="00DB228D"/>
    <w:rsid w:val="00DB2490"/>
    <w:rsid w:val="00DB2519"/>
    <w:rsid w:val="00DB2754"/>
    <w:rsid w:val="00DB2BC3"/>
    <w:rsid w:val="00DB2E3E"/>
    <w:rsid w:val="00DB3104"/>
    <w:rsid w:val="00DB3D1A"/>
    <w:rsid w:val="00DB414B"/>
    <w:rsid w:val="00DB4376"/>
    <w:rsid w:val="00DB506A"/>
    <w:rsid w:val="00DB527B"/>
    <w:rsid w:val="00DB5388"/>
    <w:rsid w:val="00DB591B"/>
    <w:rsid w:val="00DB5E38"/>
    <w:rsid w:val="00DB61AA"/>
    <w:rsid w:val="00DB65BF"/>
    <w:rsid w:val="00DB6672"/>
    <w:rsid w:val="00DB66D2"/>
    <w:rsid w:val="00DB6F49"/>
    <w:rsid w:val="00DB7106"/>
    <w:rsid w:val="00DB7516"/>
    <w:rsid w:val="00DB7637"/>
    <w:rsid w:val="00DB7655"/>
    <w:rsid w:val="00DB76FD"/>
    <w:rsid w:val="00DB77D9"/>
    <w:rsid w:val="00DB7894"/>
    <w:rsid w:val="00DB7954"/>
    <w:rsid w:val="00DB7E3A"/>
    <w:rsid w:val="00DC006B"/>
    <w:rsid w:val="00DC02E2"/>
    <w:rsid w:val="00DC054C"/>
    <w:rsid w:val="00DC08CA"/>
    <w:rsid w:val="00DC0A5A"/>
    <w:rsid w:val="00DC0AB7"/>
    <w:rsid w:val="00DC0ACB"/>
    <w:rsid w:val="00DC0F43"/>
    <w:rsid w:val="00DC11B2"/>
    <w:rsid w:val="00DC1223"/>
    <w:rsid w:val="00DC1E52"/>
    <w:rsid w:val="00DC1E5D"/>
    <w:rsid w:val="00DC1E5F"/>
    <w:rsid w:val="00DC20AD"/>
    <w:rsid w:val="00DC22CB"/>
    <w:rsid w:val="00DC268D"/>
    <w:rsid w:val="00DC2DAE"/>
    <w:rsid w:val="00DC2E22"/>
    <w:rsid w:val="00DC3071"/>
    <w:rsid w:val="00DC33C6"/>
    <w:rsid w:val="00DC391C"/>
    <w:rsid w:val="00DC3A8C"/>
    <w:rsid w:val="00DC4132"/>
    <w:rsid w:val="00DC44BF"/>
    <w:rsid w:val="00DC44FB"/>
    <w:rsid w:val="00DC4592"/>
    <w:rsid w:val="00DC46AF"/>
    <w:rsid w:val="00DC48D1"/>
    <w:rsid w:val="00DC4DCB"/>
    <w:rsid w:val="00DC4FAC"/>
    <w:rsid w:val="00DC540E"/>
    <w:rsid w:val="00DC55ED"/>
    <w:rsid w:val="00DC56EB"/>
    <w:rsid w:val="00DC62E4"/>
    <w:rsid w:val="00DC63E2"/>
    <w:rsid w:val="00DC67E8"/>
    <w:rsid w:val="00DC6DA2"/>
    <w:rsid w:val="00DC6F21"/>
    <w:rsid w:val="00DC7035"/>
    <w:rsid w:val="00DC72AE"/>
    <w:rsid w:val="00DC7879"/>
    <w:rsid w:val="00DC78DC"/>
    <w:rsid w:val="00DC7A72"/>
    <w:rsid w:val="00DC7B26"/>
    <w:rsid w:val="00DD00A1"/>
    <w:rsid w:val="00DD00DE"/>
    <w:rsid w:val="00DD08D8"/>
    <w:rsid w:val="00DD0AA3"/>
    <w:rsid w:val="00DD1159"/>
    <w:rsid w:val="00DD1227"/>
    <w:rsid w:val="00DD1354"/>
    <w:rsid w:val="00DD152C"/>
    <w:rsid w:val="00DD15FF"/>
    <w:rsid w:val="00DD1603"/>
    <w:rsid w:val="00DD187E"/>
    <w:rsid w:val="00DD19F5"/>
    <w:rsid w:val="00DD22F7"/>
    <w:rsid w:val="00DD24C5"/>
    <w:rsid w:val="00DD26C2"/>
    <w:rsid w:val="00DD2ACA"/>
    <w:rsid w:val="00DD2C05"/>
    <w:rsid w:val="00DD2C71"/>
    <w:rsid w:val="00DD3340"/>
    <w:rsid w:val="00DD33FF"/>
    <w:rsid w:val="00DD444B"/>
    <w:rsid w:val="00DD493E"/>
    <w:rsid w:val="00DD540C"/>
    <w:rsid w:val="00DD55F4"/>
    <w:rsid w:val="00DD5779"/>
    <w:rsid w:val="00DD6589"/>
    <w:rsid w:val="00DD68B6"/>
    <w:rsid w:val="00DD69DA"/>
    <w:rsid w:val="00DD6C13"/>
    <w:rsid w:val="00DD6E6A"/>
    <w:rsid w:val="00DD7045"/>
    <w:rsid w:val="00DD7311"/>
    <w:rsid w:val="00DD74BB"/>
    <w:rsid w:val="00DD764D"/>
    <w:rsid w:val="00DD791E"/>
    <w:rsid w:val="00DE015B"/>
    <w:rsid w:val="00DE0813"/>
    <w:rsid w:val="00DE0A87"/>
    <w:rsid w:val="00DE0C92"/>
    <w:rsid w:val="00DE1431"/>
    <w:rsid w:val="00DE15F9"/>
    <w:rsid w:val="00DE161F"/>
    <w:rsid w:val="00DE1622"/>
    <w:rsid w:val="00DE170D"/>
    <w:rsid w:val="00DE189B"/>
    <w:rsid w:val="00DE1B9B"/>
    <w:rsid w:val="00DE2084"/>
    <w:rsid w:val="00DE20E8"/>
    <w:rsid w:val="00DE23D8"/>
    <w:rsid w:val="00DE29F9"/>
    <w:rsid w:val="00DE2A18"/>
    <w:rsid w:val="00DE2D0F"/>
    <w:rsid w:val="00DE2D91"/>
    <w:rsid w:val="00DE2E5A"/>
    <w:rsid w:val="00DE30B9"/>
    <w:rsid w:val="00DE3403"/>
    <w:rsid w:val="00DE39B5"/>
    <w:rsid w:val="00DE3C95"/>
    <w:rsid w:val="00DE3CA7"/>
    <w:rsid w:val="00DE3E27"/>
    <w:rsid w:val="00DE4070"/>
    <w:rsid w:val="00DE4285"/>
    <w:rsid w:val="00DE46E5"/>
    <w:rsid w:val="00DE4943"/>
    <w:rsid w:val="00DE52D2"/>
    <w:rsid w:val="00DE55D9"/>
    <w:rsid w:val="00DE5D45"/>
    <w:rsid w:val="00DE6948"/>
    <w:rsid w:val="00DE69C0"/>
    <w:rsid w:val="00DE76CB"/>
    <w:rsid w:val="00DE7B20"/>
    <w:rsid w:val="00DF01DA"/>
    <w:rsid w:val="00DF0551"/>
    <w:rsid w:val="00DF0770"/>
    <w:rsid w:val="00DF091A"/>
    <w:rsid w:val="00DF09C5"/>
    <w:rsid w:val="00DF1080"/>
    <w:rsid w:val="00DF12E0"/>
    <w:rsid w:val="00DF1424"/>
    <w:rsid w:val="00DF18C9"/>
    <w:rsid w:val="00DF197D"/>
    <w:rsid w:val="00DF1AF1"/>
    <w:rsid w:val="00DF1B61"/>
    <w:rsid w:val="00DF2510"/>
    <w:rsid w:val="00DF2654"/>
    <w:rsid w:val="00DF279E"/>
    <w:rsid w:val="00DF27DB"/>
    <w:rsid w:val="00DF2A19"/>
    <w:rsid w:val="00DF2E48"/>
    <w:rsid w:val="00DF313A"/>
    <w:rsid w:val="00DF39C3"/>
    <w:rsid w:val="00DF3A4A"/>
    <w:rsid w:val="00DF3C44"/>
    <w:rsid w:val="00DF4491"/>
    <w:rsid w:val="00DF4F52"/>
    <w:rsid w:val="00DF5422"/>
    <w:rsid w:val="00DF56D0"/>
    <w:rsid w:val="00DF57E8"/>
    <w:rsid w:val="00DF5876"/>
    <w:rsid w:val="00DF5913"/>
    <w:rsid w:val="00DF5D61"/>
    <w:rsid w:val="00DF5E62"/>
    <w:rsid w:val="00DF5EAA"/>
    <w:rsid w:val="00DF6A62"/>
    <w:rsid w:val="00DF6F93"/>
    <w:rsid w:val="00DF7620"/>
    <w:rsid w:val="00DF7888"/>
    <w:rsid w:val="00E00248"/>
    <w:rsid w:val="00E0067C"/>
    <w:rsid w:val="00E009CB"/>
    <w:rsid w:val="00E00A78"/>
    <w:rsid w:val="00E00B7D"/>
    <w:rsid w:val="00E00CFC"/>
    <w:rsid w:val="00E00D3E"/>
    <w:rsid w:val="00E011C5"/>
    <w:rsid w:val="00E01506"/>
    <w:rsid w:val="00E01564"/>
    <w:rsid w:val="00E015AC"/>
    <w:rsid w:val="00E0189F"/>
    <w:rsid w:val="00E018C5"/>
    <w:rsid w:val="00E0193F"/>
    <w:rsid w:val="00E01B8C"/>
    <w:rsid w:val="00E021B8"/>
    <w:rsid w:val="00E02326"/>
    <w:rsid w:val="00E02553"/>
    <w:rsid w:val="00E029DB"/>
    <w:rsid w:val="00E02DCA"/>
    <w:rsid w:val="00E03180"/>
    <w:rsid w:val="00E0334E"/>
    <w:rsid w:val="00E036D7"/>
    <w:rsid w:val="00E0434F"/>
    <w:rsid w:val="00E04B94"/>
    <w:rsid w:val="00E05331"/>
    <w:rsid w:val="00E05B8B"/>
    <w:rsid w:val="00E05CB2"/>
    <w:rsid w:val="00E064AC"/>
    <w:rsid w:val="00E06A34"/>
    <w:rsid w:val="00E06BFB"/>
    <w:rsid w:val="00E06D6F"/>
    <w:rsid w:val="00E06E78"/>
    <w:rsid w:val="00E06F56"/>
    <w:rsid w:val="00E06F95"/>
    <w:rsid w:val="00E07481"/>
    <w:rsid w:val="00E0749A"/>
    <w:rsid w:val="00E10130"/>
    <w:rsid w:val="00E1033C"/>
    <w:rsid w:val="00E10DDE"/>
    <w:rsid w:val="00E10E51"/>
    <w:rsid w:val="00E1124E"/>
    <w:rsid w:val="00E113D5"/>
    <w:rsid w:val="00E11693"/>
    <w:rsid w:val="00E11928"/>
    <w:rsid w:val="00E121A9"/>
    <w:rsid w:val="00E12649"/>
    <w:rsid w:val="00E1268A"/>
    <w:rsid w:val="00E126F7"/>
    <w:rsid w:val="00E12F2F"/>
    <w:rsid w:val="00E1326C"/>
    <w:rsid w:val="00E13664"/>
    <w:rsid w:val="00E13A68"/>
    <w:rsid w:val="00E13E0A"/>
    <w:rsid w:val="00E13E43"/>
    <w:rsid w:val="00E140EA"/>
    <w:rsid w:val="00E14297"/>
    <w:rsid w:val="00E143A8"/>
    <w:rsid w:val="00E14F2A"/>
    <w:rsid w:val="00E14F8D"/>
    <w:rsid w:val="00E15222"/>
    <w:rsid w:val="00E1545B"/>
    <w:rsid w:val="00E154D1"/>
    <w:rsid w:val="00E15611"/>
    <w:rsid w:val="00E15BED"/>
    <w:rsid w:val="00E15C33"/>
    <w:rsid w:val="00E15F2E"/>
    <w:rsid w:val="00E163DE"/>
    <w:rsid w:val="00E164A7"/>
    <w:rsid w:val="00E165CF"/>
    <w:rsid w:val="00E16FB5"/>
    <w:rsid w:val="00E17BA5"/>
    <w:rsid w:val="00E17C11"/>
    <w:rsid w:val="00E17DD0"/>
    <w:rsid w:val="00E20745"/>
    <w:rsid w:val="00E211DD"/>
    <w:rsid w:val="00E2148A"/>
    <w:rsid w:val="00E2150B"/>
    <w:rsid w:val="00E2161E"/>
    <w:rsid w:val="00E21889"/>
    <w:rsid w:val="00E21C3D"/>
    <w:rsid w:val="00E21EA5"/>
    <w:rsid w:val="00E22696"/>
    <w:rsid w:val="00E22A31"/>
    <w:rsid w:val="00E231AC"/>
    <w:rsid w:val="00E232A5"/>
    <w:rsid w:val="00E236B2"/>
    <w:rsid w:val="00E23715"/>
    <w:rsid w:val="00E237DC"/>
    <w:rsid w:val="00E24265"/>
    <w:rsid w:val="00E24465"/>
    <w:rsid w:val="00E244C3"/>
    <w:rsid w:val="00E247E1"/>
    <w:rsid w:val="00E25319"/>
    <w:rsid w:val="00E25828"/>
    <w:rsid w:val="00E25C62"/>
    <w:rsid w:val="00E25D6E"/>
    <w:rsid w:val="00E26215"/>
    <w:rsid w:val="00E2634B"/>
    <w:rsid w:val="00E2663A"/>
    <w:rsid w:val="00E26735"/>
    <w:rsid w:val="00E2697A"/>
    <w:rsid w:val="00E26C20"/>
    <w:rsid w:val="00E26D52"/>
    <w:rsid w:val="00E26DDF"/>
    <w:rsid w:val="00E26F75"/>
    <w:rsid w:val="00E270D2"/>
    <w:rsid w:val="00E27672"/>
    <w:rsid w:val="00E27A2A"/>
    <w:rsid w:val="00E27AC7"/>
    <w:rsid w:val="00E27C53"/>
    <w:rsid w:val="00E307CA"/>
    <w:rsid w:val="00E3089E"/>
    <w:rsid w:val="00E30AEE"/>
    <w:rsid w:val="00E30CEB"/>
    <w:rsid w:val="00E30F93"/>
    <w:rsid w:val="00E30FFE"/>
    <w:rsid w:val="00E3101D"/>
    <w:rsid w:val="00E31051"/>
    <w:rsid w:val="00E3153C"/>
    <w:rsid w:val="00E316D8"/>
    <w:rsid w:val="00E3198A"/>
    <w:rsid w:val="00E31DDF"/>
    <w:rsid w:val="00E32190"/>
    <w:rsid w:val="00E32366"/>
    <w:rsid w:val="00E32380"/>
    <w:rsid w:val="00E32738"/>
    <w:rsid w:val="00E32E84"/>
    <w:rsid w:val="00E32F07"/>
    <w:rsid w:val="00E33752"/>
    <w:rsid w:val="00E337D3"/>
    <w:rsid w:val="00E33ACA"/>
    <w:rsid w:val="00E33ADB"/>
    <w:rsid w:val="00E33E6A"/>
    <w:rsid w:val="00E3439E"/>
    <w:rsid w:val="00E3461E"/>
    <w:rsid w:val="00E34D78"/>
    <w:rsid w:val="00E34E62"/>
    <w:rsid w:val="00E35099"/>
    <w:rsid w:val="00E353EB"/>
    <w:rsid w:val="00E358CF"/>
    <w:rsid w:val="00E35A55"/>
    <w:rsid w:val="00E35BAD"/>
    <w:rsid w:val="00E35BC5"/>
    <w:rsid w:val="00E3654A"/>
    <w:rsid w:val="00E36C27"/>
    <w:rsid w:val="00E36FD2"/>
    <w:rsid w:val="00E37172"/>
    <w:rsid w:val="00E37F87"/>
    <w:rsid w:val="00E40341"/>
    <w:rsid w:val="00E406FA"/>
    <w:rsid w:val="00E41A75"/>
    <w:rsid w:val="00E425BB"/>
    <w:rsid w:val="00E43406"/>
    <w:rsid w:val="00E434B2"/>
    <w:rsid w:val="00E439A9"/>
    <w:rsid w:val="00E43E0A"/>
    <w:rsid w:val="00E43ED8"/>
    <w:rsid w:val="00E444FB"/>
    <w:rsid w:val="00E449A9"/>
    <w:rsid w:val="00E44D87"/>
    <w:rsid w:val="00E4509C"/>
    <w:rsid w:val="00E45488"/>
    <w:rsid w:val="00E45866"/>
    <w:rsid w:val="00E45DDA"/>
    <w:rsid w:val="00E45DDD"/>
    <w:rsid w:val="00E45F41"/>
    <w:rsid w:val="00E461F6"/>
    <w:rsid w:val="00E4625B"/>
    <w:rsid w:val="00E4640B"/>
    <w:rsid w:val="00E464FD"/>
    <w:rsid w:val="00E4675C"/>
    <w:rsid w:val="00E46FB2"/>
    <w:rsid w:val="00E47683"/>
    <w:rsid w:val="00E476D7"/>
    <w:rsid w:val="00E47714"/>
    <w:rsid w:val="00E47E7E"/>
    <w:rsid w:val="00E50195"/>
    <w:rsid w:val="00E50643"/>
    <w:rsid w:val="00E50D61"/>
    <w:rsid w:val="00E50E25"/>
    <w:rsid w:val="00E50FC4"/>
    <w:rsid w:val="00E51B99"/>
    <w:rsid w:val="00E51CC6"/>
    <w:rsid w:val="00E52016"/>
    <w:rsid w:val="00E5268E"/>
    <w:rsid w:val="00E52A6C"/>
    <w:rsid w:val="00E52EDC"/>
    <w:rsid w:val="00E52FEB"/>
    <w:rsid w:val="00E5311C"/>
    <w:rsid w:val="00E53FFB"/>
    <w:rsid w:val="00E54038"/>
    <w:rsid w:val="00E5409A"/>
    <w:rsid w:val="00E544AF"/>
    <w:rsid w:val="00E547A4"/>
    <w:rsid w:val="00E54A16"/>
    <w:rsid w:val="00E55060"/>
    <w:rsid w:val="00E552DB"/>
    <w:rsid w:val="00E555AF"/>
    <w:rsid w:val="00E55E8A"/>
    <w:rsid w:val="00E56455"/>
    <w:rsid w:val="00E564B4"/>
    <w:rsid w:val="00E5691D"/>
    <w:rsid w:val="00E56D1B"/>
    <w:rsid w:val="00E56D2E"/>
    <w:rsid w:val="00E56D44"/>
    <w:rsid w:val="00E56EC3"/>
    <w:rsid w:val="00E573DB"/>
    <w:rsid w:val="00E60017"/>
    <w:rsid w:val="00E60332"/>
    <w:rsid w:val="00E609F8"/>
    <w:rsid w:val="00E60DD6"/>
    <w:rsid w:val="00E61124"/>
    <w:rsid w:val="00E61173"/>
    <w:rsid w:val="00E61A45"/>
    <w:rsid w:val="00E61AEC"/>
    <w:rsid w:val="00E61E8C"/>
    <w:rsid w:val="00E62174"/>
    <w:rsid w:val="00E62358"/>
    <w:rsid w:val="00E63C96"/>
    <w:rsid w:val="00E63D14"/>
    <w:rsid w:val="00E64A11"/>
    <w:rsid w:val="00E651AB"/>
    <w:rsid w:val="00E65291"/>
    <w:rsid w:val="00E6565C"/>
    <w:rsid w:val="00E656CC"/>
    <w:rsid w:val="00E65977"/>
    <w:rsid w:val="00E65D1E"/>
    <w:rsid w:val="00E65F71"/>
    <w:rsid w:val="00E660DB"/>
    <w:rsid w:val="00E6619D"/>
    <w:rsid w:val="00E66264"/>
    <w:rsid w:val="00E66A4B"/>
    <w:rsid w:val="00E66C34"/>
    <w:rsid w:val="00E66DDE"/>
    <w:rsid w:val="00E6700D"/>
    <w:rsid w:val="00E67390"/>
    <w:rsid w:val="00E673F7"/>
    <w:rsid w:val="00E67805"/>
    <w:rsid w:val="00E678ED"/>
    <w:rsid w:val="00E679B9"/>
    <w:rsid w:val="00E67BF3"/>
    <w:rsid w:val="00E7013C"/>
    <w:rsid w:val="00E705CC"/>
    <w:rsid w:val="00E7088F"/>
    <w:rsid w:val="00E709E9"/>
    <w:rsid w:val="00E70A51"/>
    <w:rsid w:val="00E70B58"/>
    <w:rsid w:val="00E70C08"/>
    <w:rsid w:val="00E710BE"/>
    <w:rsid w:val="00E711C6"/>
    <w:rsid w:val="00E7152B"/>
    <w:rsid w:val="00E71718"/>
    <w:rsid w:val="00E717C4"/>
    <w:rsid w:val="00E71A4A"/>
    <w:rsid w:val="00E71D26"/>
    <w:rsid w:val="00E71F57"/>
    <w:rsid w:val="00E71FC9"/>
    <w:rsid w:val="00E722AC"/>
    <w:rsid w:val="00E72516"/>
    <w:rsid w:val="00E727F1"/>
    <w:rsid w:val="00E72905"/>
    <w:rsid w:val="00E7309F"/>
    <w:rsid w:val="00E732BA"/>
    <w:rsid w:val="00E73E19"/>
    <w:rsid w:val="00E73F96"/>
    <w:rsid w:val="00E746FF"/>
    <w:rsid w:val="00E74A99"/>
    <w:rsid w:val="00E74FB7"/>
    <w:rsid w:val="00E7523F"/>
    <w:rsid w:val="00E75319"/>
    <w:rsid w:val="00E75724"/>
    <w:rsid w:val="00E759CA"/>
    <w:rsid w:val="00E75B47"/>
    <w:rsid w:val="00E76492"/>
    <w:rsid w:val="00E769AD"/>
    <w:rsid w:val="00E76A80"/>
    <w:rsid w:val="00E76E63"/>
    <w:rsid w:val="00E76EC6"/>
    <w:rsid w:val="00E77C2E"/>
    <w:rsid w:val="00E800AA"/>
    <w:rsid w:val="00E802D6"/>
    <w:rsid w:val="00E80982"/>
    <w:rsid w:val="00E80AB0"/>
    <w:rsid w:val="00E80D04"/>
    <w:rsid w:val="00E80FD3"/>
    <w:rsid w:val="00E81455"/>
    <w:rsid w:val="00E8158B"/>
    <w:rsid w:val="00E8183F"/>
    <w:rsid w:val="00E81E5F"/>
    <w:rsid w:val="00E82662"/>
    <w:rsid w:val="00E82F1C"/>
    <w:rsid w:val="00E83221"/>
    <w:rsid w:val="00E8337C"/>
    <w:rsid w:val="00E833A2"/>
    <w:rsid w:val="00E836FA"/>
    <w:rsid w:val="00E837A1"/>
    <w:rsid w:val="00E838B3"/>
    <w:rsid w:val="00E83A64"/>
    <w:rsid w:val="00E83DD1"/>
    <w:rsid w:val="00E84157"/>
    <w:rsid w:val="00E841AD"/>
    <w:rsid w:val="00E843E2"/>
    <w:rsid w:val="00E84988"/>
    <w:rsid w:val="00E84AAD"/>
    <w:rsid w:val="00E84EC7"/>
    <w:rsid w:val="00E851CD"/>
    <w:rsid w:val="00E85292"/>
    <w:rsid w:val="00E85D8A"/>
    <w:rsid w:val="00E86A01"/>
    <w:rsid w:val="00E86BB7"/>
    <w:rsid w:val="00E86DB2"/>
    <w:rsid w:val="00E86FF5"/>
    <w:rsid w:val="00E8722F"/>
    <w:rsid w:val="00E87773"/>
    <w:rsid w:val="00E90437"/>
    <w:rsid w:val="00E90D30"/>
    <w:rsid w:val="00E91240"/>
    <w:rsid w:val="00E91867"/>
    <w:rsid w:val="00E91883"/>
    <w:rsid w:val="00E91CE7"/>
    <w:rsid w:val="00E91E01"/>
    <w:rsid w:val="00E92118"/>
    <w:rsid w:val="00E926FF"/>
    <w:rsid w:val="00E92B79"/>
    <w:rsid w:val="00E92F0D"/>
    <w:rsid w:val="00E9311B"/>
    <w:rsid w:val="00E93125"/>
    <w:rsid w:val="00E93A25"/>
    <w:rsid w:val="00E93BCF"/>
    <w:rsid w:val="00E93BE1"/>
    <w:rsid w:val="00E944EF"/>
    <w:rsid w:val="00E949A5"/>
    <w:rsid w:val="00E94E48"/>
    <w:rsid w:val="00E9500D"/>
    <w:rsid w:val="00E9509C"/>
    <w:rsid w:val="00E951BF"/>
    <w:rsid w:val="00E9584D"/>
    <w:rsid w:val="00E95A5A"/>
    <w:rsid w:val="00E95A7E"/>
    <w:rsid w:val="00E95F44"/>
    <w:rsid w:val="00E96066"/>
    <w:rsid w:val="00E9640B"/>
    <w:rsid w:val="00E96AF8"/>
    <w:rsid w:val="00E96B00"/>
    <w:rsid w:val="00E96E54"/>
    <w:rsid w:val="00E96F2F"/>
    <w:rsid w:val="00E978F3"/>
    <w:rsid w:val="00E97C78"/>
    <w:rsid w:val="00E97D93"/>
    <w:rsid w:val="00E97F0B"/>
    <w:rsid w:val="00EA0725"/>
    <w:rsid w:val="00EA0737"/>
    <w:rsid w:val="00EA0812"/>
    <w:rsid w:val="00EA0D2C"/>
    <w:rsid w:val="00EA116F"/>
    <w:rsid w:val="00EA14CC"/>
    <w:rsid w:val="00EA17CD"/>
    <w:rsid w:val="00EA1C22"/>
    <w:rsid w:val="00EA1E83"/>
    <w:rsid w:val="00EA2529"/>
    <w:rsid w:val="00EA2835"/>
    <w:rsid w:val="00EA2F7F"/>
    <w:rsid w:val="00EA3234"/>
    <w:rsid w:val="00EA3422"/>
    <w:rsid w:val="00EA3508"/>
    <w:rsid w:val="00EA373C"/>
    <w:rsid w:val="00EA4549"/>
    <w:rsid w:val="00EA4931"/>
    <w:rsid w:val="00EA4E8F"/>
    <w:rsid w:val="00EA506F"/>
    <w:rsid w:val="00EA5410"/>
    <w:rsid w:val="00EA5933"/>
    <w:rsid w:val="00EA5995"/>
    <w:rsid w:val="00EA6045"/>
    <w:rsid w:val="00EA607A"/>
    <w:rsid w:val="00EA6498"/>
    <w:rsid w:val="00EA7046"/>
    <w:rsid w:val="00EA713B"/>
    <w:rsid w:val="00EA7404"/>
    <w:rsid w:val="00EA7435"/>
    <w:rsid w:val="00EA7979"/>
    <w:rsid w:val="00EA7B05"/>
    <w:rsid w:val="00EA7EC5"/>
    <w:rsid w:val="00EA7F16"/>
    <w:rsid w:val="00EB049D"/>
    <w:rsid w:val="00EB0B94"/>
    <w:rsid w:val="00EB11C8"/>
    <w:rsid w:val="00EB11FE"/>
    <w:rsid w:val="00EB1292"/>
    <w:rsid w:val="00EB141A"/>
    <w:rsid w:val="00EB149F"/>
    <w:rsid w:val="00EB1DEF"/>
    <w:rsid w:val="00EB2037"/>
    <w:rsid w:val="00EB2716"/>
    <w:rsid w:val="00EB2A7F"/>
    <w:rsid w:val="00EB307E"/>
    <w:rsid w:val="00EB3477"/>
    <w:rsid w:val="00EB35AE"/>
    <w:rsid w:val="00EB361D"/>
    <w:rsid w:val="00EB397E"/>
    <w:rsid w:val="00EB39FF"/>
    <w:rsid w:val="00EB3CBD"/>
    <w:rsid w:val="00EB3F14"/>
    <w:rsid w:val="00EB431B"/>
    <w:rsid w:val="00EB4739"/>
    <w:rsid w:val="00EB4BCE"/>
    <w:rsid w:val="00EB5597"/>
    <w:rsid w:val="00EB55A7"/>
    <w:rsid w:val="00EB5753"/>
    <w:rsid w:val="00EB5C43"/>
    <w:rsid w:val="00EB5ECF"/>
    <w:rsid w:val="00EB5F79"/>
    <w:rsid w:val="00EB60BD"/>
    <w:rsid w:val="00EB6716"/>
    <w:rsid w:val="00EB6B9B"/>
    <w:rsid w:val="00EB7098"/>
    <w:rsid w:val="00EB7368"/>
    <w:rsid w:val="00EC0475"/>
    <w:rsid w:val="00EC0A9D"/>
    <w:rsid w:val="00EC0CA7"/>
    <w:rsid w:val="00EC123D"/>
    <w:rsid w:val="00EC1488"/>
    <w:rsid w:val="00EC1759"/>
    <w:rsid w:val="00EC1BAD"/>
    <w:rsid w:val="00EC1FA5"/>
    <w:rsid w:val="00EC288E"/>
    <w:rsid w:val="00EC28FE"/>
    <w:rsid w:val="00EC2E68"/>
    <w:rsid w:val="00EC2F5D"/>
    <w:rsid w:val="00EC3334"/>
    <w:rsid w:val="00EC3630"/>
    <w:rsid w:val="00EC3D45"/>
    <w:rsid w:val="00EC3D9D"/>
    <w:rsid w:val="00EC439D"/>
    <w:rsid w:val="00EC43FD"/>
    <w:rsid w:val="00EC4753"/>
    <w:rsid w:val="00EC49A0"/>
    <w:rsid w:val="00EC54C4"/>
    <w:rsid w:val="00EC57F9"/>
    <w:rsid w:val="00EC591E"/>
    <w:rsid w:val="00EC5D80"/>
    <w:rsid w:val="00EC669A"/>
    <w:rsid w:val="00EC6929"/>
    <w:rsid w:val="00EC69D4"/>
    <w:rsid w:val="00EC75C1"/>
    <w:rsid w:val="00EC773B"/>
    <w:rsid w:val="00EC7DFE"/>
    <w:rsid w:val="00EC7E71"/>
    <w:rsid w:val="00ED02BA"/>
    <w:rsid w:val="00ED071F"/>
    <w:rsid w:val="00ED077C"/>
    <w:rsid w:val="00ED0905"/>
    <w:rsid w:val="00ED0A84"/>
    <w:rsid w:val="00ED1166"/>
    <w:rsid w:val="00ED1444"/>
    <w:rsid w:val="00ED16F5"/>
    <w:rsid w:val="00ED1737"/>
    <w:rsid w:val="00ED1B79"/>
    <w:rsid w:val="00ED1D17"/>
    <w:rsid w:val="00ED1F3D"/>
    <w:rsid w:val="00ED22B6"/>
    <w:rsid w:val="00ED28E6"/>
    <w:rsid w:val="00ED315B"/>
    <w:rsid w:val="00ED326C"/>
    <w:rsid w:val="00ED33C0"/>
    <w:rsid w:val="00ED399F"/>
    <w:rsid w:val="00ED3B93"/>
    <w:rsid w:val="00ED3D39"/>
    <w:rsid w:val="00ED3D71"/>
    <w:rsid w:val="00ED3F6C"/>
    <w:rsid w:val="00ED480A"/>
    <w:rsid w:val="00ED52F9"/>
    <w:rsid w:val="00ED55AD"/>
    <w:rsid w:val="00ED563E"/>
    <w:rsid w:val="00ED5A98"/>
    <w:rsid w:val="00ED5E22"/>
    <w:rsid w:val="00ED5F63"/>
    <w:rsid w:val="00ED6179"/>
    <w:rsid w:val="00ED6275"/>
    <w:rsid w:val="00ED631D"/>
    <w:rsid w:val="00ED64B6"/>
    <w:rsid w:val="00ED65E0"/>
    <w:rsid w:val="00ED6610"/>
    <w:rsid w:val="00ED6A9D"/>
    <w:rsid w:val="00ED713F"/>
    <w:rsid w:val="00ED72F0"/>
    <w:rsid w:val="00ED75B2"/>
    <w:rsid w:val="00ED7B8A"/>
    <w:rsid w:val="00ED7BB2"/>
    <w:rsid w:val="00ED7D5F"/>
    <w:rsid w:val="00EE01DD"/>
    <w:rsid w:val="00EE020C"/>
    <w:rsid w:val="00EE1138"/>
    <w:rsid w:val="00EE1142"/>
    <w:rsid w:val="00EE1594"/>
    <w:rsid w:val="00EE17E1"/>
    <w:rsid w:val="00EE1F81"/>
    <w:rsid w:val="00EE1FAA"/>
    <w:rsid w:val="00EE21A2"/>
    <w:rsid w:val="00EE21E8"/>
    <w:rsid w:val="00EE24D3"/>
    <w:rsid w:val="00EE2672"/>
    <w:rsid w:val="00EE2C15"/>
    <w:rsid w:val="00EE2CC0"/>
    <w:rsid w:val="00EE3327"/>
    <w:rsid w:val="00EE348F"/>
    <w:rsid w:val="00EE36AF"/>
    <w:rsid w:val="00EE36C6"/>
    <w:rsid w:val="00EE3925"/>
    <w:rsid w:val="00EE3A00"/>
    <w:rsid w:val="00EE3AB0"/>
    <w:rsid w:val="00EE402B"/>
    <w:rsid w:val="00EE406D"/>
    <w:rsid w:val="00EE47B3"/>
    <w:rsid w:val="00EE4CF0"/>
    <w:rsid w:val="00EE502F"/>
    <w:rsid w:val="00EE50A4"/>
    <w:rsid w:val="00EE521D"/>
    <w:rsid w:val="00EE61CA"/>
    <w:rsid w:val="00EE6276"/>
    <w:rsid w:val="00EE6632"/>
    <w:rsid w:val="00EE6669"/>
    <w:rsid w:val="00EE6AA1"/>
    <w:rsid w:val="00EE7836"/>
    <w:rsid w:val="00EE7F2E"/>
    <w:rsid w:val="00EF017E"/>
    <w:rsid w:val="00EF01CE"/>
    <w:rsid w:val="00EF028F"/>
    <w:rsid w:val="00EF04C4"/>
    <w:rsid w:val="00EF061D"/>
    <w:rsid w:val="00EF081E"/>
    <w:rsid w:val="00EF119F"/>
    <w:rsid w:val="00EF1282"/>
    <w:rsid w:val="00EF146E"/>
    <w:rsid w:val="00EF1621"/>
    <w:rsid w:val="00EF199D"/>
    <w:rsid w:val="00EF1B03"/>
    <w:rsid w:val="00EF1EB5"/>
    <w:rsid w:val="00EF203E"/>
    <w:rsid w:val="00EF2125"/>
    <w:rsid w:val="00EF29BD"/>
    <w:rsid w:val="00EF2DB4"/>
    <w:rsid w:val="00EF2E4C"/>
    <w:rsid w:val="00EF2FA3"/>
    <w:rsid w:val="00EF3118"/>
    <w:rsid w:val="00EF32DC"/>
    <w:rsid w:val="00EF330C"/>
    <w:rsid w:val="00EF36DA"/>
    <w:rsid w:val="00EF39D4"/>
    <w:rsid w:val="00EF3AA0"/>
    <w:rsid w:val="00EF3F0B"/>
    <w:rsid w:val="00EF46D8"/>
    <w:rsid w:val="00EF4E6A"/>
    <w:rsid w:val="00EF5142"/>
    <w:rsid w:val="00EF51E7"/>
    <w:rsid w:val="00EF5221"/>
    <w:rsid w:val="00EF54D1"/>
    <w:rsid w:val="00EF56CF"/>
    <w:rsid w:val="00EF57D3"/>
    <w:rsid w:val="00EF5F56"/>
    <w:rsid w:val="00EF603D"/>
    <w:rsid w:val="00EF6221"/>
    <w:rsid w:val="00EF62F7"/>
    <w:rsid w:val="00EF635B"/>
    <w:rsid w:val="00EF6437"/>
    <w:rsid w:val="00EF66D7"/>
    <w:rsid w:val="00EF6CEE"/>
    <w:rsid w:val="00EF6FCB"/>
    <w:rsid w:val="00EF77FB"/>
    <w:rsid w:val="00EF7932"/>
    <w:rsid w:val="00EF7B63"/>
    <w:rsid w:val="00EF7C1C"/>
    <w:rsid w:val="00F00409"/>
    <w:rsid w:val="00F004AC"/>
    <w:rsid w:val="00F00C2C"/>
    <w:rsid w:val="00F01112"/>
    <w:rsid w:val="00F0142A"/>
    <w:rsid w:val="00F01E48"/>
    <w:rsid w:val="00F01E5B"/>
    <w:rsid w:val="00F0216B"/>
    <w:rsid w:val="00F022D8"/>
    <w:rsid w:val="00F02349"/>
    <w:rsid w:val="00F02476"/>
    <w:rsid w:val="00F028AB"/>
    <w:rsid w:val="00F02CD0"/>
    <w:rsid w:val="00F02E1F"/>
    <w:rsid w:val="00F03016"/>
    <w:rsid w:val="00F030AF"/>
    <w:rsid w:val="00F03474"/>
    <w:rsid w:val="00F03BEE"/>
    <w:rsid w:val="00F03C8C"/>
    <w:rsid w:val="00F03E13"/>
    <w:rsid w:val="00F03F17"/>
    <w:rsid w:val="00F0427F"/>
    <w:rsid w:val="00F0450A"/>
    <w:rsid w:val="00F04CC5"/>
    <w:rsid w:val="00F05068"/>
    <w:rsid w:val="00F053AC"/>
    <w:rsid w:val="00F05D0E"/>
    <w:rsid w:val="00F06659"/>
    <w:rsid w:val="00F0670E"/>
    <w:rsid w:val="00F0671C"/>
    <w:rsid w:val="00F0680F"/>
    <w:rsid w:val="00F06B41"/>
    <w:rsid w:val="00F06C8F"/>
    <w:rsid w:val="00F06E64"/>
    <w:rsid w:val="00F06F26"/>
    <w:rsid w:val="00F071CB"/>
    <w:rsid w:val="00F074C1"/>
    <w:rsid w:val="00F07674"/>
    <w:rsid w:val="00F07991"/>
    <w:rsid w:val="00F10146"/>
    <w:rsid w:val="00F1044D"/>
    <w:rsid w:val="00F10541"/>
    <w:rsid w:val="00F107E9"/>
    <w:rsid w:val="00F10A7B"/>
    <w:rsid w:val="00F10BE4"/>
    <w:rsid w:val="00F10C1A"/>
    <w:rsid w:val="00F10D2E"/>
    <w:rsid w:val="00F10D6E"/>
    <w:rsid w:val="00F11881"/>
    <w:rsid w:val="00F119E8"/>
    <w:rsid w:val="00F1208E"/>
    <w:rsid w:val="00F12536"/>
    <w:rsid w:val="00F12D1A"/>
    <w:rsid w:val="00F12FB4"/>
    <w:rsid w:val="00F13244"/>
    <w:rsid w:val="00F1331D"/>
    <w:rsid w:val="00F136E0"/>
    <w:rsid w:val="00F13B4A"/>
    <w:rsid w:val="00F14A8E"/>
    <w:rsid w:val="00F14B21"/>
    <w:rsid w:val="00F14F09"/>
    <w:rsid w:val="00F150B3"/>
    <w:rsid w:val="00F15207"/>
    <w:rsid w:val="00F15648"/>
    <w:rsid w:val="00F15745"/>
    <w:rsid w:val="00F15751"/>
    <w:rsid w:val="00F15A3A"/>
    <w:rsid w:val="00F15D3F"/>
    <w:rsid w:val="00F16377"/>
    <w:rsid w:val="00F163EC"/>
    <w:rsid w:val="00F164C9"/>
    <w:rsid w:val="00F16871"/>
    <w:rsid w:val="00F16D54"/>
    <w:rsid w:val="00F16F23"/>
    <w:rsid w:val="00F1705D"/>
    <w:rsid w:val="00F1710A"/>
    <w:rsid w:val="00F172EB"/>
    <w:rsid w:val="00F1765F"/>
    <w:rsid w:val="00F17ABD"/>
    <w:rsid w:val="00F17B19"/>
    <w:rsid w:val="00F17F8E"/>
    <w:rsid w:val="00F21272"/>
    <w:rsid w:val="00F22104"/>
    <w:rsid w:val="00F2223E"/>
    <w:rsid w:val="00F22279"/>
    <w:rsid w:val="00F22909"/>
    <w:rsid w:val="00F22AF4"/>
    <w:rsid w:val="00F22BEB"/>
    <w:rsid w:val="00F232EA"/>
    <w:rsid w:val="00F23690"/>
    <w:rsid w:val="00F2378E"/>
    <w:rsid w:val="00F23E45"/>
    <w:rsid w:val="00F243A1"/>
    <w:rsid w:val="00F243E5"/>
    <w:rsid w:val="00F244BA"/>
    <w:rsid w:val="00F2482F"/>
    <w:rsid w:val="00F24A44"/>
    <w:rsid w:val="00F2503E"/>
    <w:rsid w:val="00F25543"/>
    <w:rsid w:val="00F25682"/>
    <w:rsid w:val="00F25A5A"/>
    <w:rsid w:val="00F25EA4"/>
    <w:rsid w:val="00F263F0"/>
    <w:rsid w:val="00F2646B"/>
    <w:rsid w:val="00F26890"/>
    <w:rsid w:val="00F26ACA"/>
    <w:rsid w:val="00F270C5"/>
    <w:rsid w:val="00F2783B"/>
    <w:rsid w:val="00F30C47"/>
    <w:rsid w:val="00F31417"/>
    <w:rsid w:val="00F31664"/>
    <w:rsid w:val="00F31BCB"/>
    <w:rsid w:val="00F32319"/>
    <w:rsid w:val="00F3330B"/>
    <w:rsid w:val="00F33891"/>
    <w:rsid w:val="00F338AC"/>
    <w:rsid w:val="00F33F12"/>
    <w:rsid w:val="00F34728"/>
    <w:rsid w:val="00F348D8"/>
    <w:rsid w:val="00F34B19"/>
    <w:rsid w:val="00F34EF8"/>
    <w:rsid w:val="00F3573D"/>
    <w:rsid w:val="00F3580C"/>
    <w:rsid w:val="00F35FC6"/>
    <w:rsid w:val="00F362BE"/>
    <w:rsid w:val="00F363C3"/>
    <w:rsid w:val="00F367C2"/>
    <w:rsid w:val="00F36881"/>
    <w:rsid w:val="00F372D4"/>
    <w:rsid w:val="00F3735A"/>
    <w:rsid w:val="00F376C6"/>
    <w:rsid w:val="00F37AD5"/>
    <w:rsid w:val="00F37CE1"/>
    <w:rsid w:val="00F37E50"/>
    <w:rsid w:val="00F4057A"/>
    <w:rsid w:val="00F40A9C"/>
    <w:rsid w:val="00F40B51"/>
    <w:rsid w:val="00F410CB"/>
    <w:rsid w:val="00F41130"/>
    <w:rsid w:val="00F4156D"/>
    <w:rsid w:val="00F417AC"/>
    <w:rsid w:val="00F41AE7"/>
    <w:rsid w:val="00F41F2C"/>
    <w:rsid w:val="00F424A6"/>
    <w:rsid w:val="00F42509"/>
    <w:rsid w:val="00F425AB"/>
    <w:rsid w:val="00F4269D"/>
    <w:rsid w:val="00F42B92"/>
    <w:rsid w:val="00F42C15"/>
    <w:rsid w:val="00F42F9A"/>
    <w:rsid w:val="00F4357C"/>
    <w:rsid w:val="00F43995"/>
    <w:rsid w:val="00F43B42"/>
    <w:rsid w:val="00F43C13"/>
    <w:rsid w:val="00F43EC5"/>
    <w:rsid w:val="00F44965"/>
    <w:rsid w:val="00F44BBB"/>
    <w:rsid w:val="00F453C6"/>
    <w:rsid w:val="00F45C2B"/>
    <w:rsid w:val="00F460C9"/>
    <w:rsid w:val="00F46181"/>
    <w:rsid w:val="00F461C9"/>
    <w:rsid w:val="00F46494"/>
    <w:rsid w:val="00F46779"/>
    <w:rsid w:val="00F46855"/>
    <w:rsid w:val="00F47116"/>
    <w:rsid w:val="00F47359"/>
    <w:rsid w:val="00F474FB"/>
    <w:rsid w:val="00F475B1"/>
    <w:rsid w:val="00F477F0"/>
    <w:rsid w:val="00F47870"/>
    <w:rsid w:val="00F47F85"/>
    <w:rsid w:val="00F50197"/>
    <w:rsid w:val="00F5135D"/>
    <w:rsid w:val="00F51C1E"/>
    <w:rsid w:val="00F51C40"/>
    <w:rsid w:val="00F522DF"/>
    <w:rsid w:val="00F52A3F"/>
    <w:rsid w:val="00F52A93"/>
    <w:rsid w:val="00F5338D"/>
    <w:rsid w:val="00F533FF"/>
    <w:rsid w:val="00F53561"/>
    <w:rsid w:val="00F5362D"/>
    <w:rsid w:val="00F538A3"/>
    <w:rsid w:val="00F53EAC"/>
    <w:rsid w:val="00F53FF2"/>
    <w:rsid w:val="00F54178"/>
    <w:rsid w:val="00F54286"/>
    <w:rsid w:val="00F543AE"/>
    <w:rsid w:val="00F5466A"/>
    <w:rsid w:val="00F549BC"/>
    <w:rsid w:val="00F54E9D"/>
    <w:rsid w:val="00F5526A"/>
    <w:rsid w:val="00F55354"/>
    <w:rsid w:val="00F5536A"/>
    <w:rsid w:val="00F558EC"/>
    <w:rsid w:val="00F55BA1"/>
    <w:rsid w:val="00F55D76"/>
    <w:rsid w:val="00F56923"/>
    <w:rsid w:val="00F56A7E"/>
    <w:rsid w:val="00F56AB2"/>
    <w:rsid w:val="00F5773E"/>
    <w:rsid w:val="00F6060C"/>
    <w:rsid w:val="00F60952"/>
    <w:rsid w:val="00F6132C"/>
    <w:rsid w:val="00F613AF"/>
    <w:rsid w:val="00F618EF"/>
    <w:rsid w:val="00F619B1"/>
    <w:rsid w:val="00F61A6F"/>
    <w:rsid w:val="00F61E4D"/>
    <w:rsid w:val="00F626E0"/>
    <w:rsid w:val="00F627F4"/>
    <w:rsid w:val="00F63149"/>
    <w:rsid w:val="00F638F1"/>
    <w:rsid w:val="00F64279"/>
    <w:rsid w:val="00F64339"/>
    <w:rsid w:val="00F64719"/>
    <w:rsid w:val="00F649C1"/>
    <w:rsid w:val="00F650CB"/>
    <w:rsid w:val="00F65451"/>
    <w:rsid w:val="00F65713"/>
    <w:rsid w:val="00F65823"/>
    <w:rsid w:val="00F65926"/>
    <w:rsid w:val="00F659E7"/>
    <w:rsid w:val="00F65A13"/>
    <w:rsid w:val="00F65E30"/>
    <w:rsid w:val="00F66402"/>
    <w:rsid w:val="00F671D6"/>
    <w:rsid w:val="00F67279"/>
    <w:rsid w:val="00F673B1"/>
    <w:rsid w:val="00F67797"/>
    <w:rsid w:val="00F677D4"/>
    <w:rsid w:val="00F677FD"/>
    <w:rsid w:val="00F678B2"/>
    <w:rsid w:val="00F67E07"/>
    <w:rsid w:val="00F67FA3"/>
    <w:rsid w:val="00F7059A"/>
    <w:rsid w:val="00F70890"/>
    <w:rsid w:val="00F70AAD"/>
    <w:rsid w:val="00F70B9F"/>
    <w:rsid w:val="00F70CA9"/>
    <w:rsid w:val="00F70D55"/>
    <w:rsid w:val="00F7102D"/>
    <w:rsid w:val="00F7148A"/>
    <w:rsid w:val="00F716A3"/>
    <w:rsid w:val="00F718F3"/>
    <w:rsid w:val="00F719FE"/>
    <w:rsid w:val="00F720DA"/>
    <w:rsid w:val="00F72412"/>
    <w:rsid w:val="00F72F17"/>
    <w:rsid w:val="00F73184"/>
    <w:rsid w:val="00F73485"/>
    <w:rsid w:val="00F73766"/>
    <w:rsid w:val="00F73768"/>
    <w:rsid w:val="00F738C9"/>
    <w:rsid w:val="00F73D57"/>
    <w:rsid w:val="00F7415E"/>
    <w:rsid w:val="00F74886"/>
    <w:rsid w:val="00F7499C"/>
    <w:rsid w:val="00F74B10"/>
    <w:rsid w:val="00F74D89"/>
    <w:rsid w:val="00F74E25"/>
    <w:rsid w:val="00F7540F"/>
    <w:rsid w:val="00F7572C"/>
    <w:rsid w:val="00F75A64"/>
    <w:rsid w:val="00F75E99"/>
    <w:rsid w:val="00F75F29"/>
    <w:rsid w:val="00F76193"/>
    <w:rsid w:val="00F76A13"/>
    <w:rsid w:val="00F76A30"/>
    <w:rsid w:val="00F76DBE"/>
    <w:rsid w:val="00F7735F"/>
    <w:rsid w:val="00F77449"/>
    <w:rsid w:val="00F77A77"/>
    <w:rsid w:val="00F77B27"/>
    <w:rsid w:val="00F805A9"/>
    <w:rsid w:val="00F8061F"/>
    <w:rsid w:val="00F8070D"/>
    <w:rsid w:val="00F80A43"/>
    <w:rsid w:val="00F80E39"/>
    <w:rsid w:val="00F81266"/>
    <w:rsid w:val="00F8137D"/>
    <w:rsid w:val="00F814AF"/>
    <w:rsid w:val="00F816A5"/>
    <w:rsid w:val="00F81B4E"/>
    <w:rsid w:val="00F822C5"/>
    <w:rsid w:val="00F82B38"/>
    <w:rsid w:val="00F831E0"/>
    <w:rsid w:val="00F83458"/>
    <w:rsid w:val="00F83668"/>
    <w:rsid w:val="00F83A08"/>
    <w:rsid w:val="00F83CF7"/>
    <w:rsid w:val="00F83E3E"/>
    <w:rsid w:val="00F84030"/>
    <w:rsid w:val="00F84039"/>
    <w:rsid w:val="00F84068"/>
    <w:rsid w:val="00F84124"/>
    <w:rsid w:val="00F851EF"/>
    <w:rsid w:val="00F85769"/>
    <w:rsid w:val="00F85AC2"/>
    <w:rsid w:val="00F85AC6"/>
    <w:rsid w:val="00F85DA2"/>
    <w:rsid w:val="00F85F7D"/>
    <w:rsid w:val="00F85FCE"/>
    <w:rsid w:val="00F86123"/>
    <w:rsid w:val="00F8674E"/>
    <w:rsid w:val="00F86A83"/>
    <w:rsid w:val="00F86A88"/>
    <w:rsid w:val="00F87169"/>
    <w:rsid w:val="00F8721F"/>
    <w:rsid w:val="00F90378"/>
    <w:rsid w:val="00F90BAA"/>
    <w:rsid w:val="00F910DD"/>
    <w:rsid w:val="00F914ED"/>
    <w:rsid w:val="00F915AE"/>
    <w:rsid w:val="00F92490"/>
    <w:rsid w:val="00F927D4"/>
    <w:rsid w:val="00F92829"/>
    <w:rsid w:val="00F92BC1"/>
    <w:rsid w:val="00F93289"/>
    <w:rsid w:val="00F939F8"/>
    <w:rsid w:val="00F93BDC"/>
    <w:rsid w:val="00F94643"/>
    <w:rsid w:val="00F94751"/>
    <w:rsid w:val="00F94CA6"/>
    <w:rsid w:val="00F94D63"/>
    <w:rsid w:val="00F95080"/>
    <w:rsid w:val="00F9532E"/>
    <w:rsid w:val="00F959D7"/>
    <w:rsid w:val="00F95CF8"/>
    <w:rsid w:val="00F9615E"/>
    <w:rsid w:val="00F964A6"/>
    <w:rsid w:val="00F9673D"/>
    <w:rsid w:val="00F96775"/>
    <w:rsid w:val="00F96917"/>
    <w:rsid w:val="00F96CCF"/>
    <w:rsid w:val="00F96D86"/>
    <w:rsid w:val="00F970A7"/>
    <w:rsid w:val="00F97FBB"/>
    <w:rsid w:val="00FA08D7"/>
    <w:rsid w:val="00FA0B4F"/>
    <w:rsid w:val="00FA0D59"/>
    <w:rsid w:val="00FA0D61"/>
    <w:rsid w:val="00FA10C8"/>
    <w:rsid w:val="00FA1276"/>
    <w:rsid w:val="00FA1277"/>
    <w:rsid w:val="00FA197F"/>
    <w:rsid w:val="00FA1C78"/>
    <w:rsid w:val="00FA2159"/>
    <w:rsid w:val="00FA27A8"/>
    <w:rsid w:val="00FA2DB5"/>
    <w:rsid w:val="00FA32C0"/>
    <w:rsid w:val="00FA354A"/>
    <w:rsid w:val="00FA3667"/>
    <w:rsid w:val="00FA3F23"/>
    <w:rsid w:val="00FA3F60"/>
    <w:rsid w:val="00FA4029"/>
    <w:rsid w:val="00FA416B"/>
    <w:rsid w:val="00FA4C55"/>
    <w:rsid w:val="00FA4E7E"/>
    <w:rsid w:val="00FA54AB"/>
    <w:rsid w:val="00FA55DD"/>
    <w:rsid w:val="00FA5965"/>
    <w:rsid w:val="00FA5ADB"/>
    <w:rsid w:val="00FA5F77"/>
    <w:rsid w:val="00FA6216"/>
    <w:rsid w:val="00FA688C"/>
    <w:rsid w:val="00FA708B"/>
    <w:rsid w:val="00FA7759"/>
    <w:rsid w:val="00FA7801"/>
    <w:rsid w:val="00FA79E5"/>
    <w:rsid w:val="00FA7EAB"/>
    <w:rsid w:val="00FA7F0A"/>
    <w:rsid w:val="00FA7FB0"/>
    <w:rsid w:val="00FB04F3"/>
    <w:rsid w:val="00FB0586"/>
    <w:rsid w:val="00FB0682"/>
    <w:rsid w:val="00FB0886"/>
    <w:rsid w:val="00FB08A2"/>
    <w:rsid w:val="00FB0D9F"/>
    <w:rsid w:val="00FB0DB5"/>
    <w:rsid w:val="00FB10A0"/>
    <w:rsid w:val="00FB17D7"/>
    <w:rsid w:val="00FB1AE1"/>
    <w:rsid w:val="00FB1B64"/>
    <w:rsid w:val="00FB1E04"/>
    <w:rsid w:val="00FB2113"/>
    <w:rsid w:val="00FB2155"/>
    <w:rsid w:val="00FB2379"/>
    <w:rsid w:val="00FB2458"/>
    <w:rsid w:val="00FB2F80"/>
    <w:rsid w:val="00FB30EC"/>
    <w:rsid w:val="00FB3783"/>
    <w:rsid w:val="00FB41C7"/>
    <w:rsid w:val="00FB47E3"/>
    <w:rsid w:val="00FB495D"/>
    <w:rsid w:val="00FB4A5A"/>
    <w:rsid w:val="00FB4ACC"/>
    <w:rsid w:val="00FB4B75"/>
    <w:rsid w:val="00FB4BA3"/>
    <w:rsid w:val="00FB4DC6"/>
    <w:rsid w:val="00FB5735"/>
    <w:rsid w:val="00FB5F56"/>
    <w:rsid w:val="00FB5FB6"/>
    <w:rsid w:val="00FB61E3"/>
    <w:rsid w:val="00FB62B9"/>
    <w:rsid w:val="00FB6321"/>
    <w:rsid w:val="00FB637A"/>
    <w:rsid w:val="00FB6BDD"/>
    <w:rsid w:val="00FB6C63"/>
    <w:rsid w:val="00FB6CC5"/>
    <w:rsid w:val="00FB6D0C"/>
    <w:rsid w:val="00FB7131"/>
    <w:rsid w:val="00FB71FB"/>
    <w:rsid w:val="00FB7307"/>
    <w:rsid w:val="00FB7D08"/>
    <w:rsid w:val="00FB7ECE"/>
    <w:rsid w:val="00FC04C5"/>
    <w:rsid w:val="00FC09AB"/>
    <w:rsid w:val="00FC1391"/>
    <w:rsid w:val="00FC1B03"/>
    <w:rsid w:val="00FC1C79"/>
    <w:rsid w:val="00FC1EC1"/>
    <w:rsid w:val="00FC2047"/>
    <w:rsid w:val="00FC2970"/>
    <w:rsid w:val="00FC2A3A"/>
    <w:rsid w:val="00FC333B"/>
    <w:rsid w:val="00FC3530"/>
    <w:rsid w:val="00FC3A48"/>
    <w:rsid w:val="00FC3ABC"/>
    <w:rsid w:val="00FC3DFA"/>
    <w:rsid w:val="00FC3F98"/>
    <w:rsid w:val="00FC44C0"/>
    <w:rsid w:val="00FC46A3"/>
    <w:rsid w:val="00FC476E"/>
    <w:rsid w:val="00FC4A9D"/>
    <w:rsid w:val="00FC4E2E"/>
    <w:rsid w:val="00FC4FD9"/>
    <w:rsid w:val="00FC5D46"/>
    <w:rsid w:val="00FC6028"/>
    <w:rsid w:val="00FC637A"/>
    <w:rsid w:val="00FC65E9"/>
    <w:rsid w:val="00FC68F9"/>
    <w:rsid w:val="00FC6A57"/>
    <w:rsid w:val="00FC7856"/>
    <w:rsid w:val="00FD01BE"/>
    <w:rsid w:val="00FD0C62"/>
    <w:rsid w:val="00FD0FF7"/>
    <w:rsid w:val="00FD127D"/>
    <w:rsid w:val="00FD154E"/>
    <w:rsid w:val="00FD1757"/>
    <w:rsid w:val="00FD19BE"/>
    <w:rsid w:val="00FD1BD4"/>
    <w:rsid w:val="00FD1BEE"/>
    <w:rsid w:val="00FD1CE8"/>
    <w:rsid w:val="00FD2044"/>
    <w:rsid w:val="00FD215F"/>
    <w:rsid w:val="00FD21D1"/>
    <w:rsid w:val="00FD21E5"/>
    <w:rsid w:val="00FD223E"/>
    <w:rsid w:val="00FD2D66"/>
    <w:rsid w:val="00FD30A3"/>
    <w:rsid w:val="00FD32C6"/>
    <w:rsid w:val="00FD33FF"/>
    <w:rsid w:val="00FD362C"/>
    <w:rsid w:val="00FD3721"/>
    <w:rsid w:val="00FD3A31"/>
    <w:rsid w:val="00FD3D7E"/>
    <w:rsid w:val="00FD4425"/>
    <w:rsid w:val="00FD4869"/>
    <w:rsid w:val="00FD4CF8"/>
    <w:rsid w:val="00FD5146"/>
    <w:rsid w:val="00FD521B"/>
    <w:rsid w:val="00FD52A0"/>
    <w:rsid w:val="00FD583D"/>
    <w:rsid w:val="00FD5997"/>
    <w:rsid w:val="00FD6703"/>
    <w:rsid w:val="00FD68DF"/>
    <w:rsid w:val="00FD6AD9"/>
    <w:rsid w:val="00FD6F38"/>
    <w:rsid w:val="00FD7A42"/>
    <w:rsid w:val="00FD7C9B"/>
    <w:rsid w:val="00FE00E0"/>
    <w:rsid w:val="00FE0315"/>
    <w:rsid w:val="00FE05AD"/>
    <w:rsid w:val="00FE07FC"/>
    <w:rsid w:val="00FE088E"/>
    <w:rsid w:val="00FE0C9C"/>
    <w:rsid w:val="00FE1500"/>
    <w:rsid w:val="00FE1590"/>
    <w:rsid w:val="00FE15ED"/>
    <w:rsid w:val="00FE1630"/>
    <w:rsid w:val="00FE19EE"/>
    <w:rsid w:val="00FE1CAE"/>
    <w:rsid w:val="00FE1CEE"/>
    <w:rsid w:val="00FE202E"/>
    <w:rsid w:val="00FE21C1"/>
    <w:rsid w:val="00FE22B3"/>
    <w:rsid w:val="00FE257E"/>
    <w:rsid w:val="00FE2900"/>
    <w:rsid w:val="00FE2C08"/>
    <w:rsid w:val="00FE2E67"/>
    <w:rsid w:val="00FE2F05"/>
    <w:rsid w:val="00FE31C6"/>
    <w:rsid w:val="00FE31CB"/>
    <w:rsid w:val="00FE3550"/>
    <w:rsid w:val="00FE37A9"/>
    <w:rsid w:val="00FE3974"/>
    <w:rsid w:val="00FE4256"/>
    <w:rsid w:val="00FE437C"/>
    <w:rsid w:val="00FE44B8"/>
    <w:rsid w:val="00FE47C2"/>
    <w:rsid w:val="00FE482B"/>
    <w:rsid w:val="00FE4986"/>
    <w:rsid w:val="00FE49EF"/>
    <w:rsid w:val="00FE4F60"/>
    <w:rsid w:val="00FE5121"/>
    <w:rsid w:val="00FE52E8"/>
    <w:rsid w:val="00FE5C5B"/>
    <w:rsid w:val="00FE6127"/>
    <w:rsid w:val="00FE6349"/>
    <w:rsid w:val="00FE67B6"/>
    <w:rsid w:val="00FE67E3"/>
    <w:rsid w:val="00FE6A61"/>
    <w:rsid w:val="00FE6D52"/>
    <w:rsid w:val="00FE6EA7"/>
    <w:rsid w:val="00FE74E7"/>
    <w:rsid w:val="00FE7768"/>
    <w:rsid w:val="00FE7CE1"/>
    <w:rsid w:val="00FF03D0"/>
    <w:rsid w:val="00FF0487"/>
    <w:rsid w:val="00FF07B0"/>
    <w:rsid w:val="00FF0989"/>
    <w:rsid w:val="00FF09C3"/>
    <w:rsid w:val="00FF1409"/>
    <w:rsid w:val="00FF176A"/>
    <w:rsid w:val="00FF1804"/>
    <w:rsid w:val="00FF1A2D"/>
    <w:rsid w:val="00FF2136"/>
    <w:rsid w:val="00FF214E"/>
    <w:rsid w:val="00FF24BF"/>
    <w:rsid w:val="00FF26F0"/>
    <w:rsid w:val="00FF275A"/>
    <w:rsid w:val="00FF2C14"/>
    <w:rsid w:val="00FF2DE7"/>
    <w:rsid w:val="00FF2DF8"/>
    <w:rsid w:val="00FF367C"/>
    <w:rsid w:val="00FF3693"/>
    <w:rsid w:val="00FF3814"/>
    <w:rsid w:val="00FF394B"/>
    <w:rsid w:val="00FF3963"/>
    <w:rsid w:val="00FF3A7D"/>
    <w:rsid w:val="00FF3AFF"/>
    <w:rsid w:val="00FF3BF1"/>
    <w:rsid w:val="00FF3C13"/>
    <w:rsid w:val="00FF3C32"/>
    <w:rsid w:val="00FF3F26"/>
    <w:rsid w:val="00FF43AD"/>
    <w:rsid w:val="00FF4667"/>
    <w:rsid w:val="00FF4703"/>
    <w:rsid w:val="00FF4FC6"/>
    <w:rsid w:val="00FF5365"/>
    <w:rsid w:val="00FF5445"/>
    <w:rsid w:val="00FF54CE"/>
    <w:rsid w:val="00FF55C1"/>
    <w:rsid w:val="00FF5932"/>
    <w:rsid w:val="00FF59D9"/>
    <w:rsid w:val="00FF5D5F"/>
    <w:rsid w:val="00FF60B0"/>
    <w:rsid w:val="00FF6179"/>
    <w:rsid w:val="00FF623A"/>
    <w:rsid w:val="00FF7534"/>
    <w:rsid w:val="00FF7966"/>
    <w:rsid w:val="00FF7D1F"/>
    <w:rsid w:val="00FF7D5A"/>
    <w:rsid w:val="00FF7D96"/>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6"/>
    <o:shapelayout v:ext="edit">
      <o:idmap v:ext="edit" data="1"/>
    </o:shapelayout>
  </w:shapeDefaults>
  <w:decimalSymbol w:val="."/>
  <w:listSeparator w:val=","/>
  <w14:docId w14:val="6364863B"/>
  <w15:docId w15:val="{B3FCB1CA-9471-4B8D-8F51-60D4540D70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imes New Roman" w:hAnsiTheme="minorHAnsi" w:cs="Times New Roman"/>
        <w:sz w:val="22"/>
        <w:szCs w:val="22"/>
        <w:lang w:val="en-AU" w:eastAsia="en-AU" w:bidi="ar-SA"/>
      </w:rPr>
    </w:rPrDefault>
    <w:pPrDefault>
      <w:pPr>
        <w:spacing w:line="264" w:lineRule="auto"/>
      </w:pPr>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annotation text" w:semiHidden="1" w:uiPriority="99"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qFormat="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iPriority="39" w:unhideWhenUsed="1"/>
    <w:lsdException w:name="Plain Text" w:semiHidden="1" w:uiPriority="3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3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D6695"/>
    <w:rPr>
      <w:rFonts w:ascii="Arial" w:hAnsi="Arial"/>
    </w:rPr>
  </w:style>
  <w:style w:type="paragraph" w:styleId="Heading1">
    <w:name w:val="heading 1"/>
    <w:basedOn w:val="Normal"/>
    <w:next w:val="BodyText"/>
    <w:link w:val="Heading1Char"/>
    <w:qFormat/>
    <w:rsid w:val="00DE2084"/>
    <w:pPr>
      <w:keepNext/>
      <w:keepLines/>
      <w:numPr>
        <w:numId w:val="9"/>
      </w:numPr>
      <w:spacing w:before="480" w:after="240"/>
      <w:ind w:left="624"/>
      <w:outlineLvl w:val="0"/>
    </w:pPr>
    <w:rPr>
      <w:rFonts w:asciiTheme="majorHAnsi" w:eastAsiaTheme="minorEastAsia" w:hAnsiTheme="majorHAnsi" w:cstheme="majorBidi"/>
      <w:b/>
      <w:bCs/>
      <w:color w:val="007BC1"/>
      <w:sz w:val="32"/>
      <w:szCs w:val="32"/>
    </w:rPr>
  </w:style>
  <w:style w:type="paragraph" w:styleId="Heading2">
    <w:name w:val="heading 2"/>
    <w:basedOn w:val="Normal"/>
    <w:next w:val="BodyText"/>
    <w:link w:val="Heading2Char"/>
    <w:qFormat/>
    <w:rsid w:val="00912579"/>
    <w:pPr>
      <w:keepNext/>
      <w:keepLines/>
      <w:numPr>
        <w:ilvl w:val="1"/>
        <w:numId w:val="9"/>
      </w:numPr>
      <w:spacing w:before="360" w:after="240"/>
      <w:ind w:left="624"/>
      <w:outlineLvl w:val="1"/>
    </w:pPr>
    <w:rPr>
      <w:rFonts w:asciiTheme="majorHAnsi" w:eastAsiaTheme="majorEastAsia" w:hAnsiTheme="majorHAnsi" w:cstheme="majorBidi"/>
      <w:b/>
      <w:bCs/>
      <w:color w:val="007BC1"/>
      <w:sz w:val="28"/>
      <w:szCs w:val="26"/>
    </w:rPr>
  </w:style>
  <w:style w:type="paragraph" w:styleId="Heading3">
    <w:name w:val="heading 3"/>
    <w:basedOn w:val="Normal"/>
    <w:next w:val="BodyText"/>
    <w:link w:val="Heading3Char"/>
    <w:qFormat/>
    <w:rsid w:val="00697ADE"/>
    <w:pPr>
      <w:keepNext/>
      <w:keepLines/>
      <w:numPr>
        <w:ilvl w:val="2"/>
        <w:numId w:val="9"/>
      </w:numPr>
      <w:spacing w:before="360" w:after="240"/>
      <w:contextualSpacing/>
      <w:outlineLvl w:val="2"/>
    </w:pPr>
    <w:rPr>
      <w:rFonts w:asciiTheme="majorHAnsi" w:eastAsiaTheme="majorEastAsia" w:hAnsiTheme="majorHAnsi" w:cstheme="majorBidi"/>
      <w:b/>
      <w:bCs/>
      <w:color w:val="007BC1"/>
      <w:sz w:val="24"/>
    </w:rPr>
  </w:style>
  <w:style w:type="paragraph" w:styleId="Heading4">
    <w:name w:val="heading 4"/>
    <w:basedOn w:val="Normal"/>
    <w:next w:val="BodyText"/>
    <w:link w:val="Heading4Char"/>
    <w:qFormat/>
    <w:rsid w:val="00DE2084"/>
    <w:pPr>
      <w:keepNext/>
      <w:keepLines/>
      <w:numPr>
        <w:ilvl w:val="3"/>
        <w:numId w:val="9"/>
      </w:numPr>
      <w:spacing w:before="360" w:after="240"/>
      <w:outlineLvl w:val="3"/>
    </w:pPr>
    <w:rPr>
      <w:rFonts w:asciiTheme="majorHAnsi" w:eastAsiaTheme="majorEastAsia" w:hAnsiTheme="majorHAnsi" w:cstheme="majorBidi"/>
      <w:b/>
      <w:bCs/>
      <w:i/>
      <w:iCs/>
      <w:color w:val="007BC1"/>
    </w:rPr>
  </w:style>
  <w:style w:type="paragraph" w:styleId="Heading5">
    <w:name w:val="heading 5"/>
    <w:basedOn w:val="Normal"/>
    <w:next w:val="Normal"/>
    <w:link w:val="Heading5Char"/>
    <w:qFormat/>
    <w:rsid w:val="00A014E2"/>
    <w:pPr>
      <w:keepNext/>
      <w:keepLines/>
      <w:numPr>
        <w:ilvl w:val="4"/>
        <w:numId w:val="9"/>
      </w:numPr>
      <w:spacing w:before="360" w:after="240"/>
      <w:outlineLvl w:val="4"/>
    </w:pPr>
    <w:rPr>
      <w:rFonts w:asciiTheme="majorHAnsi" w:eastAsiaTheme="majorEastAsia" w:hAnsiTheme="majorHAnsi" w:cstheme="majorBidi"/>
      <w:i/>
      <w:color w:val="214C90" w:themeColor="text2"/>
    </w:rPr>
  </w:style>
  <w:style w:type="paragraph" w:styleId="Heading6">
    <w:name w:val="heading 6"/>
    <w:basedOn w:val="Normal"/>
    <w:next w:val="BodyText"/>
    <w:link w:val="Heading6Char"/>
    <w:qFormat/>
    <w:rsid w:val="00A014E2"/>
    <w:pPr>
      <w:keepNext/>
      <w:keepLines/>
      <w:spacing w:before="240" w:after="120"/>
      <w:outlineLvl w:val="5"/>
    </w:pPr>
    <w:rPr>
      <w:rFonts w:asciiTheme="majorHAnsi" w:eastAsiaTheme="majorEastAsia" w:hAnsiTheme="majorHAnsi" w:cstheme="majorBidi"/>
      <w:b/>
      <w:iCs/>
      <w:color w:val="214C90" w:themeColor="text2"/>
      <w:lang w:eastAsia="en-US"/>
    </w:rPr>
  </w:style>
  <w:style w:type="paragraph" w:styleId="Heading7">
    <w:name w:val="heading 7"/>
    <w:basedOn w:val="Normal"/>
    <w:next w:val="BodyText"/>
    <w:link w:val="Heading7Char"/>
    <w:semiHidden/>
    <w:qFormat/>
    <w:rsid w:val="00D31696"/>
    <w:pPr>
      <w:keepNext/>
      <w:keepLines/>
      <w:pageBreakBefore/>
      <w:spacing w:before="120" w:after="120"/>
      <w:outlineLvl w:val="6"/>
    </w:pPr>
    <w:rPr>
      <w:rFonts w:asciiTheme="majorHAnsi" w:eastAsiaTheme="majorEastAsia" w:hAnsiTheme="majorHAnsi" w:cstheme="majorBidi"/>
      <w:b/>
      <w:iCs/>
      <w:color w:val="214C90" w:themeColor="text2"/>
    </w:rPr>
  </w:style>
  <w:style w:type="paragraph" w:styleId="Heading8">
    <w:name w:val="heading 8"/>
    <w:basedOn w:val="Normal"/>
    <w:next w:val="BodyText"/>
    <w:link w:val="Heading8Char"/>
    <w:semiHidden/>
    <w:qFormat/>
    <w:rsid w:val="00FB10A0"/>
    <w:pPr>
      <w:keepNext/>
      <w:keepLines/>
      <w:pageBreakBefore/>
      <w:tabs>
        <w:tab w:val="right" w:pos="9639"/>
      </w:tabs>
      <w:spacing w:after="120"/>
      <w:outlineLvl w:val="7"/>
    </w:pPr>
    <w:rPr>
      <w:rFonts w:asciiTheme="majorHAnsi" w:eastAsiaTheme="majorEastAsia" w:hAnsiTheme="majorHAnsi" w:cstheme="majorBidi"/>
      <w:caps/>
      <w:color w:val="214C90" w:themeColor="text2"/>
      <w:sz w:val="28"/>
      <w:lang w:eastAsia="en-US"/>
    </w:rPr>
  </w:style>
  <w:style w:type="paragraph" w:styleId="Heading9">
    <w:name w:val="heading 9"/>
    <w:aliases w:val="Appendix Heading 1"/>
    <w:basedOn w:val="Normal"/>
    <w:next w:val="BodyText"/>
    <w:link w:val="Heading9Char"/>
    <w:rsid w:val="007D7FFC"/>
    <w:pPr>
      <w:keepNext/>
      <w:keepLines/>
      <w:pageBreakBefore/>
      <w:numPr>
        <w:numId w:val="5"/>
      </w:numPr>
      <w:spacing w:before="240" w:after="240"/>
      <w:outlineLvl w:val="8"/>
    </w:pPr>
    <w:rPr>
      <w:rFonts w:asciiTheme="majorHAnsi" w:eastAsiaTheme="minorEastAsia" w:hAnsiTheme="majorHAnsi" w:cs="Arial"/>
      <w:b/>
      <w:color w:val="007BC1"/>
      <w:sz w:val="32"/>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oldHeading">
    <w:name w:val="Bold Heading"/>
    <w:basedOn w:val="Normal"/>
    <w:rsid w:val="00782365"/>
    <w:pPr>
      <w:spacing w:before="240" w:after="120"/>
    </w:pPr>
    <w:rPr>
      <w:b/>
    </w:rPr>
  </w:style>
  <w:style w:type="paragraph" w:customStyle="1" w:styleId="Image">
    <w:name w:val="Image"/>
    <w:basedOn w:val="Normal"/>
    <w:next w:val="BodyText"/>
    <w:rsid w:val="00965A70"/>
    <w:pPr>
      <w:keepNext/>
    </w:pPr>
  </w:style>
  <w:style w:type="paragraph" w:styleId="BodyText">
    <w:name w:val="Body Text"/>
    <w:basedOn w:val="Normal"/>
    <w:link w:val="BodyTextChar"/>
    <w:qFormat/>
    <w:rsid w:val="00AD6695"/>
    <w:pPr>
      <w:tabs>
        <w:tab w:val="left" w:pos="2268"/>
        <w:tab w:val="left" w:pos="4536"/>
        <w:tab w:val="left" w:pos="6804"/>
        <w:tab w:val="right" w:pos="9638"/>
      </w:tabs>
      <w:spacing w:before="240" w:after="120"/>
    </w:pPr>
  </w:style>
  <w:style w:type="character" w:customStyle="1" w:styleId="BodyTextChar">
    <w:name w:val="Body Text Char"/>
    <w:basedOn w:val="DefaultParagraphFont"/>
    <w:link w:val="BodyText"/>
    <w:rsid w:val="00AD6695"/>
    <w:rPr>
      <w:rFonts w:ascii="Arial" w:hAnsi="Arial"/>
    </w:rPr>
  </w:style>
  <w:style w:type="paragraph" w:styleId="BlockText">
    <w:name w:val="Block Text"/>
    <w:basedOn w:val="BodyText"/>
    <w:semiHidden/>
    <w:unhideWhenUsed/>
    <w:rsid w:val="00EF3AA0"/>
    <w:rPr>
      <w:rFonts w:eastAsiaTheme="minorEastAsia" w:cstheme="minorBidi"/>
      <w:iCs/>
    </w:rPr>
  </w:style>
  <w:style w:type="paragraph" w:styleId="Caption">
    <w:name w:val="caption"/>
    <w:basedOn w:val="Normal"/>
    <w:next w:val="BodyText"/>
    <w:link w:val="CaptionChar"/>
    <w:qFormat/>
    <w:rsid w:val="0013752B"/>
    <w:pPr>
      <w:keepNext/>
      <w:keepLines/>
      <w:spacing w:before="240" w:after="120"/>
    </w:pPr>
    <w:rPr>
      <w:rFonts w:eastAsiaTheme="minorHAnsi" w:cstheme="minorBidi"/>
      <w:b/>
      <w:bCs/>
      <w:lang w:eastAsia="fr-CA"/>
    </w:rPr>
  </w:style>
  <w:style w:type="paragraph" w:styleId="BalloonText">
    <w:name w:val="Balloon Text"/>
    <w:basedOn w:val="Normal"/>
    <w:link w:val="BalloonTextChar"/>
    <w:uiPriority w:val="99"/>
    <w:semiHidden/>
    <w:unhideWhenUsed/>
    <w:rsid w:val="005542F9"/>
    <w:rPr>
      <w:rFonts w:ascii="Tahoma" w:hAnsi="Tahoma" w:cs="Tahoma"/>
      <w:sz w:val="16"/>
      <w:szCs w:val="16"/>
    </w:rPr>
  </w:style>
  <w:style w:type="paragraph" w:styleId="TOCHeading">
    <w:name w:val="TOC Heading"/>
    <w:next w:val="Normal"/>
    <w:uiPriority w:val="39"/>
    <w:unhideWhenUsed/>
    <w:qFormat/>
    <w:rsid w:val="00DE2084"/>
    <w:pPr>
      <w:pageBreakBefore/>
      <w:spacing w:after="600" w:line="240" w:lineRule="auto"/>
      <w:outlineLvl w:val="3"/>
    </w:pPr>
    <w:rPr>
      <w:rFonts w:asciiTheme="majorHAnsi" w:eastAsiaTheme="minorEastAsia" w:hAnsiTheme="majorHAnsi" w:cstheme="majorBidi"/>
      <w:b/>
      <w:bCs/>
      <w:color w:val="007BC1"/>
      <w:sz w:val="32"/>
      <w:szCs w:val="28"/>
    </w:rPr>
  </w:style>
  <w:style w:type="character" w:customStyle="1" w:styleId="BalloonTextChar">
    <w:name w:val="Balloon Text Char"/>
    <w:basedOn w:val="DefaultParagraphFont"/>
    <w:link w:val="BalloonText"/>
    <w:uiPriority w:val="99"/>
    <w:semiHidden/>
    <w:rsid w:val="00475145"/>
    <w:rPr>
      <w:rFonts w:ascii="Tahoma" w:hAnsi="Tahoma" w:cs="Tahoma"/>
      <w:color w:val="000000" w:themeColor="text1"/>
      <w:sz w:val="16"/>
      <w:szCs w:val="16"/>
    </w:rPr>
  </w:style>
  <w:style w:type="paragraph" w:styleId="Footer">
    <w:name w:val="footer"/>
    <w:basedOn w:val="Normal"/>
    <w:link w:val="FooterChar"/>
    <w:rsid w:val="003B6692"/>
    <w:pPr>
      <w:tabs>
        <w:tab w:val="left" w:pos="1077"/>
        <w:tab w:val="center" w:pos="4320"/>
        <w:tab w:val="right" w:pos="8640"/>
      </w:tabs>
      <w:jc w:val="center"/>
    </w:pPr>
    <w:rPr>
      <w:rFonts w:eastAsia="Cambria" w:cstheme="minorBidi"/>
      <w:sz w:val="18"/>
      <w:lang w:eastAsia="en-US"/>
    </w:rPr>
  </w:style>
  <w:style w:type="character" w:customStyle="1" w:styleId="FooterChar">
    <w:name w:val="Footer Char"/>
    <w:basedOn w:val="DefaultParagraphFont"/>
    <w:link w:val="Footer"/>
    <w:uiPriority w:val="99"/>
    <w:rsid w:val="003B6692"/>
    <w:rPr>
      <w:rFonts w:eastAsia="Cambria" w:cstheme="minorBidi"/>
      <w:sz w:val="18"/>
      <w:lang w:eastAsia="en-US"/>
    </w:rPr>
  </w:style>
  <w:style w:type="numbering" w:customStyle="1" w:styleId="HangingList">
    <w:name w:val="HangingList"/>
    <w:uiPriority w:val="99"/>
    <w:rsid w:val="00DD7311"/>
    <w:pPr>
      <w:numPr>
        <w:numId w:val="1"/>
      </w:numPr>
    </w:pPr>
  </w:style>
  <w:style w:type="paragraph" w:styleId="Header">
    <w:name w:val="header"/>
    <w:basedOn w:val="Normal"/>
    <w:link w:val="HeaderChar"/>
    <w:uiPriority w:val="99"/>
    <w:rsid w:val="00294804"/>
    <w:pPr>
      <w:tabs>
        <w:tab w:val="left" w:pos="7796"/>
      </w:tabs>
    </w:pPr>
    <w:rPr>
      <w:rFonts w:eastAsiaTheme="minorHAnsi" w:cstheme="minorBidi"/>
      <w:sz w:val="18"/>
      <w:lang w:eastAsia="fr-CA"/>
    </w:rPr>
  </w:style>
  <w:style w:type="character" w:customStyle="1" w:styleId="HeaderChar">
    <w:name w:val="Header Char"/>
    <w:basedOn w:val="DefaultParagraphFont"/>
    <w:link w:val="Header"/>
    <w:uiPriority w:val="99"/>
    <w:rsid w:val="00294804"/>
    <w:rPr>
      <w:rFonts w:eastAsiaTheme="minorHAnsi" w:cstheme="minorBidi"/>
      <w:sz w:val="18"/>
      <w:lang w:eastAsia="fr-CA"/>
    </w:rPr>
  </w:style>
  <w:style w:type="paragraph" w:customStyle="1" w:styleId="AppendixHeading2">
    <w:name w:val="Appendix Heading 2"/>
    <w:basedOn w:val="Normal"/>
    <w:next w:val="BodyText"/>
    <w:uiPriority w:val="4"/>
    <w:rsid w:val="007D7FFC"/>
    <w:pPr>
      <w:keepNext/>
      <w:numPr>
        <w:ilvl w:val="1"/>
        <w:numId w:val="5"/>
      </w:numPr>
      <w:spacing w:before="360" w:after="240"/>
    </w:pPr>
    <w:rPr>
      <w:rFonts w:asciiTheme="majorHAnsi" w:eastAsiaTheme="minorEastAsia" w:hAnsiTheme="majorHAnsi"/>
      <w:b/>
      <w:color w:val="007BC1"/>
      <w:sz w:val="28"/>
      <w:lang w:eastAsia="en-US"/>
    </w:rPr>
  </w:style>
  <w:style w:type="paragraph" w:customStyle="1" w:styleId="AppendixHeading3">
    <w:name w:val="Appendix Heading 3"/>
    <w:basedOn w:val="Normal"/>
    <w:next w:val="BodyText"/>
    <w:uiPriority w:val="4"/>
    <w:rsid w:val="007D7FFC"/>
    <w:pPr>
      <w:keepNext/>
      <w:numPr>
        <w:ilvl w:val="2"/>
        <w:numId w:val="5"/>
      </w:numPr>
      <w:tabs>
        <w:tab w:val="left" w:pos="1559"/>
        <w:tab w:val="left" w:pos="1843"/>
        <w:tab w:val="left" w:pos="2126"/>
        <w:tab w:val="left" w:pos="2410"/>
        <w:tab w:val="left" w:pos="6804"/>
        <w:tab w:val="right" w:pos="9639"/>
      </w:tabs>
      <w:spacing w:before="360" w:after="240"/>
    </w:pPr>
    <w:rPr>
      <w:rFonts w:asciiTheme="majorHAnsi" w:hAnsiTheme="majorHAnsi"/>
      <w:b/>
      <w:color w:val="007BC1"/>
      <w:lang w:eastAsia="en-US"/>
    </w:rPr>
  </w:style>
  <w:style w:type="character" w:customStyle="1" w:styleId="Italics">
    <w:name w:val="Italics"/>
    <w:uiPriority w:val="1"/>
    <w:rsid w:val="00C34E9D"/>
    <w:rPr>
      <w:i/>
      <w:lang w:eastAsia="en-US"/>
    </w:rPr>
  </w:style>
  <w:style w:type="character" w:customStyle="1" w:styleId="Heading1Char">
    <w:name w:val="Heading 1 Char"/>
    <w:basedOn w:val="DefaultParagraphFont"/>
    <w:link w:val="Heading1"/>
    <w:rsid w:val="00DE2084"/>
    <w:rPr>
      <w:rFonts w:asciiTheme="majorHAnsi" w:eastAsiaTheme="minorEastAsia" w:hAnsiTheme="majorHAnsi" w:cstheme="majorBidi"/>
      <w:b/>
      <w:bCs/>
      <w:color w:val="007BC1"/>
      <w:sz w:val="32"/>
      <w:szCs w:val="32"/>
    </w:rPr>
  </w:style>
  <w:style w:type="character" w:customStyle="1" w:styleId="Heading2Char">
    <w:name w:val="Heading 2 Char"/>
    <w:basedOn w:val="DefaultParagraphFont"/>
    <w:link w:val="Heading2"/>
    <w:rsid w:val="00912579"/>
    <w:rPr>
      <w:rFonts w:asciiTheme="majorHAnsi" w:eastAsiaTheme="majorEastAsia" w:hAnsiTheme="majorHAnsi" w:cstheme="majorBidi"/>
      <w:b/>
      <w:bCs/>
      <w:color w:val="007BC1"/>
      <w:sz w:val="28"/>
      <w:szCs w:val="26"/>
    </w:rPr>
  </w:style>
  <w:style w:type="character" w:customStyle="1" w:styleId="Heading3Char">
    <w:name w:val="Heading 3 Char"/>
    <w:basedOn w:val="DefaultParagraphFont"/>
    <w:link w:val="Heading3"/>
    <w:rsid w:val="00697ADE"/>
    <w:rPr>
      <w:rFonts w:asciiTheme="majorHAnsi" w:eastAsiaTheme="majorEastAsia" w:hAnsiTheme="majorHAnsi" w:cstheme="majorBidi"/>
      <w:b/>
      <w:bCs/>
      <w:color w:val="007BC1"/>
      <w:sz w:val="24"/>
    </w:rPr>
  </w:style>
  <w:style w:type="character" w:customStyle="1" w:styleId="Heading4Char">
    <w:name w:val="Heading 4 Char"/>
    <w:basedOn w:val="DefaultParagraphFont"/>
    <w:link w:val="Heading4"/>
    <w:rsid w:val="00DE2084"/>
    <w:rPr>
      <w:rFonts w:asciiTheme="majorHAnsi" w:eastAsiaTheme="majorEastAsia" w:hAnsiTheme="majorHAnsi" w:cstheme="majorBidi"/>
      <w:b/>
      <w:bCs/>
      <w:i/>
      <w:iCs/>
      <w:color w:val="007BC1"/>
    </w:rPr>
  </w:style>
  <w:style w:type="character" w:customStyle="1" w:styleId="Heading7Char">
    <w:name w:val="Heading 7 Char"/>
    <w:basedOn w:val="DefaultParagraphFont"/>
    <w:link w:val="Heading7"/>
    <w:semiHidden/>
    <w:rsid w:val="000D5E74"/>
    <w:rPr>
      <w:rFonts w:asciiTheme="majorHAnsi" w:eastAsiaTheme="majorEastAsia" w:hAnsiTheme="majorHAnsi" w:cstheme="majorBidi"/>
      <w:b/>
      <w:iCs/>
      <w:color w:val="214C90" w:themeColor="text2"/>
    </w:rPr>
  </w:style>
  <w:style w:type="character" w:customStyle="1" w:styleId="Heading8Char">
    <w:name w:val="Heading 8 Char"/>
    <w:basedOn w:val="DefaultParagraphFont"/>
    <w:link w:val="Heading8"/>
    <w:semiHidden/>
    <w:rsid w:val="000D5E74"/>
    <w:rPr>
      <w:rFonts w:asciiTheme="majorHAnsi" w:eastAsiaTheme="majorEastAsia" w:hAnsiTheme="majorHAnsi" w:cstheme="majorBidi"/>
      <w:caps/>
      <w:color w:val="214C90" w:themeColor="text2"/>
      <w:sz w:val="28"/>
      <w:lang w:eastAsia="en-US"/>
    </w:rPr>
  </w:style>
  <w:style w:type="character" w:customStyle="1" w:styleId="Heading9Char">
    <w:name w:val="Heading 9 Char"/>
    <w:aliases w:val="Appendix Heading 1 Char"/>
    <w:basedOn w:val="DefaultParagraphFont"/>
    <w:link w:val="Heading9"/>
    <w:rsid w:val="007D7FFC"/>
    <w:rPr>
      <w:rFonts w:asciiTheme="majorHAnsi" w:eastAsiaTheme="minorEastAsia" w:hAnsiTheme="majorHAnsi" w:cs="Arial"/>
      <w:b/>
      <w:color w:val="007BC1"/>
      <w:sz w:val="32"/>
      <w:lang w:eastAsia="en-US"/>
    </w:rPr>
  </w:style>
  <w:style w:type="character" w:styleId="Hyperlink">
    <w:name w:val="Hyperlink"/>
    <w:basedOn w:val="DefaultParagraphFont"/>
    <w:uiPriority w:val="99"/>
    <w:unhideWhenUsed/>
    <w:rsid w:val="002778AD"/>
    <w:rPr>
      <w:color w:val="000000" w:themeColor="text1"/>
      <w:u w:val="single"/>
    </w:rPr>
  </w:style>
  <w:style w:type="character" w:styleId="FollowedHyperlink">
    <w:name w:val="FollowedHyperlink"/>
    <w:basedOn w:val="DefaultParagraphFont"/>
    <w:uiPriority w:val="99"/>
    <w:rsid w:val="002778AD"/>
    <w:rPr>
      <w:color w:val="000000" w:themeColor="text1"/>
      <w:u w:val="single"/>
    </w:rPr>
  </w:style>
  <w:style w:type="paragraph" w:styleId="ListBullet">
    <w:name w:val="List Bullet"/>
    <w:basedOn w:val="BodyText"/>
    <w:link w:val="ListBulletChar"/>
    <w:qFormat/>
    <w:rsid w:val="00B21AEE"/>
    <w:pPr>
      <w:numPr>
        <w:numId w:val="12"/>
      </w:numPr>
      <w:tabs>
        <w:tab w:val="clear" w:pos="2268"/>
        <w:tab w:val="clear" w:pos="4536"/>
        <w:tab w:val="clear" w:pos="6804"/>
        <w:tab w:val="clear" w:pos="9638"/>
      </w:tabs>
      <w:spacing w:before="120"/>
      <w:ind w:left="357" w:hanging="357"/>
    </w:pPr>
  </w:style>
  <w:style w:type="paragraph" w:styleId="ListBullet2">
    <w:name w:val="List Bullet 2"/>
    <w:basedOn w:val="ListBullet"/>
    <w:link w:val="ListBullet2Char"/>
    <w:rsid w:val="002276FF"/>
    <w:pPr>
      <w:numPr>
        <w:numId w:val="13"/>
      </w:numPr>
      <w:ind w:left="714" w:hanging="357"/>
    </w:pPr>
  </w:style>
  <w:style w:type="paragraph" w:styleId="ListBullet3">
    <w:name w:val="List Bullet 3"/>
    <w:basedOn w:val="ListBullet2"/>
    <w:rsid w:val="000709D4"/>
  </w:style>
  <w:style w:type="paragraph" w:styleId="ListContinue">
    <w:name w:val="List Continue"/>
    <w:basedOn w:val="Normal"/>
    <w:rsid w:val="0013752B"/>
    <w:pPr>
      <w:spacing w:before="120" w:after="120"/>
      <w:ind w:left="357"/>
    </w:pPr>
    <w:rPr>
      <w:rFonts w:eastAsiaTheme="minorEastAsia"/>
    </w:rPr>
  </w:style>
  <w:style w:type="paragraph" w:styleId="ListNumber">
    <w:name w:val="List Number"/>
    <w:basedOn w:val="BodyText"/>
    <w:unhideWhenUsed/>
    <w:qFormat/>
    <w:rsid w:val="00E50195"/>
    <w:pPr>
      <w:numPr>
        <w:numId w:val="51"/>
      </w:numPr>
      <w:tabs>
        <w:tab w:val="clear" w:pos="2268"/>
        <w:tab w:val="clear" w:pos="4536"/>
        <w:tab w:val="clear" w:pos="6804"/>
        <w:tab w:val="clear" w:pos="9638"/>
      </w:tabs>
      <w:spacing w:before="120"/>
    </w:pPr>
  </w:style>
  <w:style w:type="paragraph" w:styleId="ListNumber2">
    <w:name w:val="List Number 2"/>
    <w:basedOn w:val="ListNumber"/>
    <w:unhideWhenUsed/>
    <w:rsid w:val="002E0889"/>
    <w:pPr>
      <w:numPr>
        <w:ilvl w:val="1"/>
      </w:numPr>
    </w:pPr>
  </w:style>
  <w:style w:type="paragraph" w:styleId="ListNumber3">
    <w:name w:val="List Number 3"/>
    <w:basedOn w:val="ListNumber2"/>
    <w:unhideWhenUsed/>
    <w:rsid w:val="00D33D2C"/>
    <w:pPr>
      <w:numPr>
        <w:ilvl w:val="2"/>
      </w:numPr>
    </w:pPr>
  </w:style>
  <w:style w:type="numbering" w:customStyle="1" w:styleId="MyListNumbering">
    <w:name w:val="MyListNumbering"/>
    <w:uiPriority w:val="99"/>
    <w:rsid w:val="000C70ED"/>
    <w:pPr>
      <w:numPr>
        <w:numId w:val="2"/>
      </w:numPr>
    </w:pPr>
  </w:style>
  <w:style w:type="character" w:styleId="PlaceholderText">
    <w:name w:val="Placeholder Text"/>
    <w:basedOn w:val="DefaultParagraphFont"/>
    <w:uiPriority w:val="99"/>
    <w:semiHidden/>
    <w:rsid w:val="00DD7311"/>
    <w:rPr>
      <w:color w:val="808080"/>
    </w:rPr>
  </w:style>
  <w:style w:type="paragraph" w:customStyle="1" w:styleId="TableBodyText">
    <w:name w:val="Table Body Text"/>
    <w:basedOn w:val="Normal"/>
    <w:qFormat/>
    <w:rsid w:val="0013752B"/>
    <w:pPr>
      <w:spacing w:before="60" w:after="60"/>
      <w:ind w:left="85" w:right="85"/>
    </w:pPr>
    <w:rPr>
      <w:rFonts w:cs="Arial"/>
      <w:sz w:val="18"/>
    </w:rPr>
  </w:style>
  <w:style w:type="paragraph" w:customStyle="1" w:styleId="TableBodyTextBold">
    <w:name w:val="Table Body Text Bold"/>
    <w:basedOn w:val="TableBodyText"/>
    <w:rsid w:val="0013752B"/>
    <w:rPr>
      <w:b/>
    </w:rPr>
  </w:style>
  <w:style w:type="table" w:styleId="TableGrid">
    <w:name w:val="Table Grid"/>
    <w:basedOn w:val="TableNormal"/>
    <w:uiPriority w:val="59"/>
    <w:rsid w:val="004A7E74"/>
    <w:pPr>
      <w:spacing w:before="60" w:after="60"/>
      <w:ind w:left="85" w:right="85"/>
    </w:pPr>
    <w:rPr>
      <w:sz w:val="18"/>
    </w:rPr>
    <w:tblPr>
      <w:tblStyleRowBandSize w:val="1"/>
      <w:tblBorders>
        <w:top w:val="single" w:sz="4" w:space="0" w:color="auto"/>
        <w:bottom w:val="single" w:sz="4" w:space="0" w:color="auto"/>
        <w:insideH w:val="single" w:sz="4" w:space="0" w:color="auto"/>
        <w:insideV w:val="single" w:sz="4" w:space="0" w:color="auto"/>
      </w:tblBorders>
      <w:tblCellMar>
        <w:left w:w="0" w:type="dxa"/>
        <w:right w:w="0" w:type="dxa"/>
      </w:tblCellMar>
    </w:tblPr>
    <w:tblStylePr w:type="firstRow">
      <w:rPr>
        <w:b/>
        <w:color w:val="FFFFFF"/>
      </w:rPr>
      <w:tblPr/>
      <w:tcPr>
        <w:shd w:val="clear" w:color="auto" w:fill="214C90" w:themeFill="text2"/>
      </w:tcPr>
    </w:tblStylePr>
    <w:tblStylePr w:type="band2Horz">
      <w:tblPr/>
      <w:tcPr>
        <w:shd w:val="clear" w:color="auto" w:fill="E1E2E7" w:themeFill="background2"/>
      </w:tcPr>
    </w:tblStylePr>
  </w:style>
  <w:style w:type="paragraph" w:customStyle="1" w:styleId="TableHeading">
    <w:name w:val="Table Heading"/>
    <w:basedOn w:val="TableBodyText"/>
    <w:qFormat/>
    <w:rsid w:val="0013752B"/>
    <w:rPr>
      <w:color w:val="FFFFFF"/>
    </w:rPr>
  </w:style>
  <w:style w:type="paragraph" w:customStyle="1" w:styleId="TableBullet1">
    <w:name w:val="Table Bullet 1"/>
    <w:basedOn w:val="TableBodyText"/>
    <w:qFormat/>
    <w:rsid w:val="0013752B"/>
    <w:pPr>
      <w:numPr>
        <w:numId w:val="7"/>
      </w:numPr>
    </w:pPr>
  </w:style>
  <w:style w:type="paragraph" w:customStyle="1" w:styleId="TableBullet2">
    <w:name w:val="Table Bullet 2"/>
    <w:basedOn w:val="TableBullet1"/>
    <w:qFormat/>
    <w:rsid w:val="0013752B"/>
    <w:pPr>
      <w:numPr>
        <w:ilvl w:val="1"/>
      </w:numPr>
    </w:pPr>
  </w:style>
  <w:style w:type="paragraph" w:customStyle="1" w:styleId="TableBullet3">
    <w:name w:val="Table Bullet 3"/>
    <w:basedOn w:val="TableBullet2"/>
    <w:qFormat/>
    <w:rsid w:val="0013752B"/>
    <w:pPr>
      <w:numPr>
        <w:ilvl w:val="2"/>
      </w:numPr>
    </w:pPr>
  </w:style>
  <w:style w:type="paragraph" w:customStyle="1" w:styleId="TableListNumber">
    <w:name w:val="Table List Number"/>
    <w:basedOn w:val="TableBodyText"/>
    <w:qFormat/>
    <w:rsid w:val="0013752B"/>
    <w:pPr>
      <w:ind w:left="0"/>
    </w:pPr>
    <w:rPr>
      <w:rFonts w:eastAsiaTheme="minorEastAsia"/>
    </w:rPr>
  </w:style>
  <w:style w:type="paragraph" w:customStyle="1" w:styleId="TableListNumber2">
    <w:name w:val="Table List Number 2"/>
    <w:basedOn w:val="TableListNumber"/>
    <w:qFormat/>
    <w:rsid w:val="0013752B"/>
    <w:pPr>
      <w:numPr>
        <w:ilvl w:val="1"/>
      </w:numPr>
    </w:pPr>
  </w:style>
  <w:style w:type="paragraph" w:customStyle="1" w:styleId="TableListNumber3">
    <w:name w:val="Table List Number 3"/>
    <w:basedOn w:val="TableListNumber2"/>
    <w:qFormat/>
    <w:rsid w:val="0013752B"/>
    <w:pPr>
      <w:numPr>
        <w:ilvl w:val="2"/>
      </w:numPr>
    </w:pPr>
  </w:style>
  <w:style w:type="paragraph" w:styleId="TableofFigures">
    <w:name w:val="table of figures"/>
    <w:basedOn w:val="Normal"/>
    <w:next w:val="Normal"/>
    <w:uiPriority w:val="99"/>
    <w:rsid w:val="00844AB7"/>
    <w:pPr>
      <w:tabs>
        <w:tab w:val="right" w:leader="dot" w:pos="8165"/>
      </w:tabs>
      <w:spacing w:before="120" w:after="60"/>
      <w:ind w:left="1134" w:right="737" w:hanging="1134"/>
    </w:pPr>
    <w:rPr>
      <w:rFonts w:eastAsiaTheme="minorHAnsi" w:cstheme="minorBidi"/>
      <w:noProof/>
      <w:lang w:eastAsia="fr-CA"/>
    </w:rPr>
  </w:style>
  <w:style w:type="paragraph" w:customStyle="1" w:styleId="Source">
    <w:name w:val="Source"/>
    <w:basedOn w:val="Normal"/>
    <w:next w:val="BodyText"/>
    <w:rsid w:val="0013752B"/>
    <w:pPr>
      <w:spacing w:before="60" w:after="120" w:line="180" w:lineRule="atLeast"/>
    </w:pPr>
    <w:rPr>
      <w:rFonts w:cs="Arial"/>
      <w:sz w:val="18"/>
      <w:szCs w:val="18"/>
      <w:lang w:eastAsia="fr-CA"/>
    </w:rPr>
  </w:style>
  <w:style w:type="numbering" w:customStyle="1" w:styleId="TableBullets">
    <w:name w:val="TableBullets"/>
    <w:uiPriority w:val="99"/>
    <w:rsid w:val="00DD7311"/>
    <w:pPr>
      <w:numPr>
        <w:numId w:val="3"/>
      </w:numPr>
    </w:pPr>
  </w:style>
  <w:style w:type="numbering" w:customStyle="1" w:styleId="TableFootnotes">
    <w:name w:val="TableFootnotes"/>
    <w:uiPriority w:val="99"/>
    <w:rsid w:val="00DD7311"/>
    <w:pPr>
      <w:numPr>
        <w:numId w:val="4"/>
      </w:numPr>
    </w:pPr>
  </w:style>
  <w:style w:type="paragraph" w:styleId="Title">
    <w:name w:val="Title"/>
    <w:basedOn w:val="Normal"/>
    <w:link w:val="TitleChar"/>
    <w:uiPriority w:val="1"/>
    <w:rsid w:val="00D32EA5"/>
    <w:pPr>
      <w:spacing w:before="120" w:after="500" w:line="620" w:lineRule="exact"/>
      <w:ind w:left="227" w:right="1134"/>
    </w:pPr>
    <w:rPr>
      <w:rFonts w:asciiTheme="majorHAnsi" w:eastAsiaTheme="minorEastAsia" w:hAnsiTheme="majorHAnsi"/>
      <w:b/>
      <w:color w:val="214C90" w:themeColor="text2"/>
      <w:sz w:val="56"/>
      <w:szCs w:val="48"/>
    </w:rPr>
  </w:style>
  <w:style w:type="character" w:customStyle="1" w:styleId="TitleChar">
    <w:name w:val="Title Char"/>
    <w:basedOn w:val="DefaultParagraphFont"/>
    <w:link w:val="Title"/>
    <w:uiPriority w:val="1"/>
    <w:rsid w:val="00D32EA5"/>
    <w:rPr>
      <w:rFonts w:asciiTheme="majorHAnsi" w:eastAsiaTheme="minorEastAsia" w:hAnsiTheme="majorHAnsi"/>
      <w:b/>
      <w:color w:val="214C90" w:themeColor="text2"/>
      <w:sz w:val="56"/>
      <w:szCs w:val="48"/>
    </w:rPr>
  </w:style>
  <w:style w:type="paragraph" w:styleId="Subtitle">
    <w:name w:val="Subtitle"/>
    <w:basedOn w:val="Title"/>
    <w:next w:val="Normal"/>
    <w:link w:val="SubtitleChar"/>
    <w:uiPriority w:val="1"/>
    <w:rsid w:val="00D32EA5"/>
    <w:pPr>
      <w:spacing w:before="0" w:after="720" w:line="400" w:lineRule="exact"/>
      <w:contextualSpacing/>
    </w:pPr>
    <w:rPr>
      <w:rFonts w:asciiTheme="minorHAnsi" w:hAnsiTheme="minorHAnsi"/>
      <w:b w:val="0"/>
      <w:color w:val="5D89B4" w:themeColor="accent3"/>
      <w:spacing w:val="4"/>
      <w:sz w:val="40"/>
    </w:rPr>
  </w:style>
  <w:style w:type="paragraph" w:styleId="TOC1">
    <w:name w:val="toc 1"/>
    <w:basedOn w:val="Normal"/>
    <w:next w:val="Normal"/>
    <w:autoRedefine/>
    <w:uiPriority w:val="39"/>
    <w:rsid w:val="00717A36"/>
    <w:pPr>
      <w:tabs>
        <w:tab w:val="left" w:pos="851"/>
        <w:tab w:val="right" w:pos="8505"/>
      </w:tabs>
      <w:spacing w:before="240" w:after="60"/>
      <w:ind w:left="851" w:right="737" w:hanging="851"/>
    </w:pPr>
    <w:rPr>
      <w:rFonts w:eastAsiaTheme="minorHAnsi" w:cstheme="minorBidi"/>
      <w:b/>
      <w:noProof/>
      <w:lang w:eastAsia="en-US"/>
    </w:rPr>
  </w:style>
  <w:style w:type="paragraph" w:styleId="TOC2">
    <w:name w:val="toc 2"/>
    <w:basedOn w:val="Normal"/>
    <w:next w:val="Normal"/>
    <w:autoRedefine/>
    <w:uiPriority w:val="39"/>
    <w:rsid w:val="00717A36"/>
    <w:pPr>
      <w:tabs>
        <w:tab w:val="right" w:pos="8505"/>
      </w:tabs>
      <w:spacing w:before="120" w:after="60"/>
      <w:ind w:left="851" w:right="737" w:hanging="851"/>
    </w:pPr>
    <w:rPr>
      <w:rFonts w:eastAsiaTheme="minorHAnsi" w:cstheme="minorBidi"/>
      <w:noProof/>
      <w:lang w:eastAsia="fr-CA"/>
    </w:rPr>
  </w:style>
  <w:style w:type="paragraph" w:styleId="TOC3">
    <w:name w:val="toc 3"/>
    <w:basedOn w:val="Normal"/>
    <w:next w:val="Normal"/>
    <w:autoRedefine/>
    <w:rsid w:val="00717A36"/>
    <w:pPr>
      <w:tabs>
        <w:tab w:val="left" w:pos="851"/>
        <w:tab w:val="right" w:leader="dot" w:pos="8165"/>
      </w:tabs>
      <w:spacing w:before="120" w:after="60"/>
      <w:ind w:left="851" w:right="737" w:hanging="851"/>
    </w:pPr>
    <w:rPr>
      <w:rFonts w:eastAsiaTheme="minorHAnsi" w:cstheme="minorBidi"/>
      <w:noProof/>
      <w:szCs w:val="18"/>
      <w:lang w:eastAsia="fr-CA"/>
    </w:rPr>
  </w:style>
  <w:style w:type="character" w:customStyle="1" w:styleId="SubtitleChar">
    <w:name w:val="Subtitle Char"/>
    <w:basedOn w:val="DefaultParagraphFont"/>
    <w:link w:val="Subtitle"/>
    <w:uiPriority w:val="1"/>
    <w:rsid w:val="00D32EA5"/>
    <w:rPr>
      <w:rFonts w:eastAsiaTheme="minorEastAsia"/>
      <w:color w:val="5D89B4" w:themeColor="accent3"/>
      <w:spacing w:val="4"/>
      <w:sz w:val="40"/>
      <w:szCs w:val="48"/>
    </w:rPr>
  </w:style>
  <w:style w:type="paragraph" w:styleId="NormalWeb">
    <w:name w:val="Normal (Web)"/>
    <w:basedOn w:val="Normal"/>
    <w:uiPriority w:val="99"/>
    <w:rsid w:val="003255DA"/>
    <w:rPr>
      <w:szCs w:val="24"/>
    </w:rPr>
  </w:style>
  <w:style w:type="paragraph" w:styleId="ListContinue2">
    <w:name w:val="List Continue 2"/>
    <w:basedOn w:val="Normal"/>
    <w:rsid w:val="0013752B"/>
    <w:pPr>
      <w:spacing w:before="120" w:after="120"/>
      <w:ind w:left="714"/>
    </w:pPr>
    <w:rPr>
      <w:rFonts w:eastAsiaTheme="minorEastAsia"/>
    </w:rPr>
  </w:style>
  <w:style w:type="paragraph" w:styleId="ListContinue3">
    <w:name w:val="List Continue 3"/>
    <w:basedOn w:val="Normal"/>
    <w:rsid w:val="0013752B"/>
    <w:pPr>
      <w:spacing w:before="120" w:after="120"/>
      <w:ind w:left="1072"/>
    </w:pPr>
    <w:rPr>
      <w:rFonts w:eastAsiaTheme="minorEastAsia"/>
    </w:rPr>
  </w:style>
  <w:style w:type="paragraph" w:styleId="NoSpacing">
    <w:name w:val="No Spacing"/>
    <w:next w:val="BodyText"/>
    <w:rsid w:val="00B85B75"/>
    <w:pPr>
      <w:spacing w:line="240" w:lineRule="auto"/>
    </w:pPr>
  </w:style>
  <w:style w:type="paragraph" w:customStyle="1" w:styleId="TableofFiguresHeading">
    <w:name w:val="Table of Figures Heading"/>
    <w:basedOn w:val="Normal"/>
    <w:rsid w:val="006E2604"/>
    <w:pPr>
      <w:spacing w:before="120" w:after="120"/>
    </w:pPr>
    <w:rPr>
      <w:rFonts w:asciiTheme="majorHAnsi" w:eastAsiaTheme="minorEastAsia" w:hAnsiTheme="majorHAnsi"/>
      <w:b/>
      <w:bCs/>
      <w:color w:val="214C90" w:themeColor="text2"/>
    </w:rPr>
  </w:style>
  <w:style w:type="paragraph" w:customStyle="1" w:styleId="SideNote">
    <w:name w:val="Side Note"/>
    <w:basedOn w:val="BodyText"/>
    <w:qFormat/>
    <w:rsid w:val="00B651D5"/>
    <w:pPr>
      <w:framePr w:w="1418" w:h="397" w:wrap="around" w:vAnchor="text" w:hAnchor="page" w:x="568" w:y="143"/>
      <w:spacing w:before="0" w:line="247" w:lineRule="auto"/>
    </w:pPr>
    <w:rPr>
      <w:i/>
      <w:sz w:val="20"/>
    </w:rPr>
  </w:style>
  <w:style w:type="paragraph" w:customStyle="1" w:styleId="Address">
    <w:name w:val="Address"/>
    <w:basedOn w:val="Normal"/>
    <w:rsid w:val="00C6084A"/>
    <w:pPr>
      <w:framePr w:hSpace="181" w:wrap="around" w:vAnchor="page" w:hAnchor="page" w:xAlign="right" w:yAlign="bottom"/>
      <w:tabs>
        <w:tab w:val="left" w:pos="227"/>
      </w:tabs>
      <w:spacing w:line="220" w:lineRule="atLeast"/>
      <w:suppressOverlap/>
    </w:pPr>
    <w:rPr>
      <w:noProof/>
      <w:color w:val="FFFFFF"/>
    </w:rPr>
  </w:style>
  <w:style w:type="character" w:customStyle="1" w:styleId="Heading5Char">
    <w:name w:val="Heading 5 Char"/>
    <w:basedOn w:val="DefaultParagraphFont"/>
    <w:link w:val="Heading5"/>
    <w:rsid w:val="00A014E2"/>
    <w:rPr>
      <w:rFonts w:asciiTheme="majorHAnsi" w:eastAsiaTheme="majorEastAsia" w:hAnsiTheme="majorHAnsi" w:cstheme="majorBidi"/>
      <w:i/>
      <w:color w:val="214C90" w:themeColor="text2"/>
    </w:rPr>
  </w:style>
  <w:style w:type="character" w:customStyle="1" w:styleId="Heading6Char">
    <w:name w:val="Heading 6 Char"/>
    <w:basedOn w:val="DefaultParagraphFont"/>
    <w:link w:val="Heading6"/>
    <w:semiHidden/>
    <w:rsid w:val="00A014E2"/>
    <w:rPr>
      <w:rFonts w:asciiTheme="majorHAnsi" w:eastAsiaTheme="majorEastAsia" w:hAnsiTheme="majorHAnsi" w:cstheme="majorBidi"/>
      <w:b/>
      <w:iCs/>
      <w:color w:val="214C90" w:themeColor="text2"/>
      <w:lang w:eastAsia="en-US"/>
    </w:rPr>
  </w:style>
  <w:style w:type="paragraph" w:styleId="Revision">
    <w:name w:val="Revision"/>
    <w:hidden/>
    <w:uiPriority w:val="99"/>
    <w:semiHidden/>
    <w:rsid w:val="009E7348"/>
    <w:rPr>
      <w:rFonts w:ascii="Calibri" w:eastAsia="Calibri" w:hAnsi="Calibri"/>
      <w:lang w:eastAsia="en-US"/>
    </w:rPr>
  </w:style>
  <w:style w:type="table" w:customStyle="1" w:styleId="TablePlaceholder">
    <w:name w:val="Table Placeholder"/>
    <w:basedOn w:val="TableNormal"/>
    <w:uiPriority w:val="99"/>
    <w:rsid w:val="00480149"/>
    <w:pPr>
      <w:spacing w:line="240" w:lineRule="auto"/>
    </w:pPr>
    <w:tblPr>
      <w:tblCellMar>
        <w:left w:w="45" w:type="dxa"/>
        <w:right w:w="45" w:type="dxa"/>
      </w:tblCellMar>
    </w:tblPr>
  </w:style>
  <w:style w:type="paragraph" w:styleId="Quote">
    <w:name w:val="Quote"/>
    <w:basedOn w:val="Normal"/>
    <w:next w:val="Normal"/>
    <w:link w:val="QuoteChar"/>
    <w:qFormat/>
    <w:rsid w:val="002778AD"/>
    <w:pPr>
      <w:spacing w:before="200" w:after="160"/>
      <w:ind w:left="357" w:right="357"/>
    </w:pPr>
    <w:rPr>
      <w:i/>
      <w:iCs/>
      <w:sz w:val="20"/>
    </w:rPr>
  </w:style>
  <w:style w:type="character" w:customStyle="1" w:styleId="QuoteChar">
    <w:name w:val="Quote Char"/>
    <w:basedOn w:val="DefaultParagraphFont"/>
    <w:link w:val="Quote"/>
    <w:rsid w:val="002778AD"/>
    <w:rPr>
      <w:i/>
      <w:iCs/>
      <w:sz w:val="20"/>
    </w:rPr>
  </w:style>
  <w:style w:type="paragraph" w:customStyle="1" w:styleId="PullOutBoxBodyText">
    <w:name w:val="Pull Out Box Body Text"/>
    <w:basedOn w:val="Normal"/>
    <w:rsid w:val="00782365"/>
    <w:pPr>
      <w:spacing w:before="120"/>
    </w:pPr>
    <w:rPr>
      <w:rFonts w:eastAsiaTheme="minorEastAsia" w:cstheme="minorBidi"/>
      <w:lang w:eastAsia="fr-CA"/>
    </w:rPr>
  </w:style>
  <w:style w:type="paragraph" w:customStyle="1" w:styleId="PullOutBoxHeading">
    <w:name w:val="Pull Out Box Heading"/>
    <w:basedOn w:val="Normal"/>
    <w:next w:val="PullOutBoxBodyText"/>
    <w:rsid w:val="00782365"/>
    <w:pPr>
      <w:spacing w:before="120"/>
    </w:pPr>
    <w:rPr>
      <w:rFonts w:eastAsiaTheme="minorHAnsi" w:cstheme="minorBidi"/>
      <w:b/>
      <w:color w:val="214C90" w:themeColor="text2"/>
      <w:szCs w:val="24"/>
      <w:lang w:eastAsia="fr-CA"/>
    </w:rPr>
  </w:style>
  <w:style w:type="table" w:customStyle="1" w:styleId="PullOutBoxTable">
    <w:name w:val="Pull Out Box Table"/>
    <w:basedOn w:val="TableNormal"/>
    <w:uiPriority w:val="99"/>
    <w:rsid w:val="004B3F0E"/>
    <w:pPr>
      <w:spacing w:line="240" w:lineRule="auto"/>
    </w:pPr>
    <w:tblPr>
      <w:tblCellMar>
        <w:top w:w="142" w:type="dxa"/>
        <w:left w:w="170" w:type="dxa"/>
        <w:bottom w:w="142" w:type="dxa"/>
        <w:right w:w="170" w:type="dxa"/>
      </w:tblCellMar>
    </w:tblPr>
    <w:tcPr>
      <w:shd w:val="clear" w:color="auto" w:fill="E1E2E7" w:themeFill="background2"/>
    </w:tcPr>
  </w:style>
  <w:style w:type="character" w:customStyle="1" w:styleId="Bold">
    <w:name w:val="Bold"/>
    <w:uiPriority w:val="99"/>
    <w:rsid w:val="00C34E9D"/>
    <w:rPr>
      <w:rFonts w:eastAsiaTheme="minorEastAsia"/>
      <w:b/>
      <w:i w:val="0"/>
      <w:strike w:val="0"/>
      <w:vertAlign w:val="baseline"/>
    </w:rPr>
  </w:style>
  <w:style w:type="character" w:customStyle="1" w:styleId="BoldAndItalics">
    <w:name w:val="Bold And Italics"/>
    <w:uiPriority w:val="99"/>
    <w:rsid w:val="00C34E9D"/>
    <w:rPr>
      <w:rFonts w:eastAsiaTheme="minorEastAsia"/>
      <w:b/>
      <w:i/>
      <w:strike w:val="0"/>
      <w:vertAlign w:val="baseline"/>
    </w:rPr>
  </w:style>
  <w:style w:type="paragraph" w:customStyle="1" w:styleId="TableHeadingBold">
    <w:name w:val="Table Heading Bold"/>
    <w:basedOn w:val="TableHeading"/>
    <w:rsid w:val="0013752B"/>
    <w:rPr>
      <w:b/>
    </w:rPr>
  </w:style>
  <w:style w:type="paragraph" w:customStyle="1" w:styleId="AppendixHeading4">
    <w:name w:val="Appendix Heading 4"/>
    <w:basedOn w:val="Normal"/>
    <w:next w:val="BodyText"/>
    <w:uiPriority w:val="4"/>
    <w:rsid w:val="007D7FFC"/>
    <w:pPr>
      <w:keepNext/>
      <w:numPr>
        <w:ilvl w:val="3"/>
        <w:numId w:val="5"/>
      </w:numPr>
      <w:spacing w:before="360" w:after="240"/>
    </w:pPr>
    <w:rPr>
      <w:rFonts w:asciiTheme="majorHAnsi" w:eastAsiaTheme="minorEastAsia" w:hAnsiTheme="majorHAnsi"/>
      <w:b/>
      <w:i/>
      <w:color w:val="007BC1"/>
      <w:lang w:eastAsia="en-US"/>
    </w:rPr>
  </w:style>
  <w:style w:type="paragraph" w:customStyle="1" w:styleId="xPageNumberHeading">
    <w:name w:val="xPage Number Heading"/>
    <w:basedOn w:val="Normal"/>
    <w:next w:val="BodyText"/>
    <w:rsid w:val="002778AD"/>
    <w:pPr>
      <w:keepNext/>
      <w:keepLines/>
      <w:tabs>
        <w:tab w:val="right" w:pos="9639"/>
      </w:tabs>
      <w:spacing w:after="360"/>
      <w:jc w:val="right"/>
    </w:pPr>
    <w:rPr>
      <w:lang w:eastAsia="en-US"/>
    </w:rPr>
  </w:style>
  <w:style w:type="paragraph" w:customStyle="1" w:styleId="Notes">
    <w:name w:val="Notes"/>
    <w:basedOn w:val="Normal"/>
    <w:rsid w:val="00782365"/>
    <w:pPr>
      <w:spacing w:before="120" w:after="120"/>
    </w:pPr>
    <w:rPr>
      <w:rFonts w:cs="Arial"/>
      <w:sz w:val="18"/>
    </w:rPr>
  </w:style>
  <w:style w:type="paragraph" w:styleId="Date">
    <w:name w:val="Date"/>
    <w:basedOn w:val="Normal"/>
    <w:next w:val="Normal"/>
    <w:link w:val="DateChar"/>
    <w:rsid w:val="007F2042"/>
    <w:pPr>
      <w:ind w:left="227"/>
    </w:pPr>
    <w:rPr>
      <w:rFonts w:eastAsiaTheme="minorEastAsia"/>
      <w:sz w:val="32"/>
    </w:rPr>
  </w:style>
  <w:style w:type="character" w:customStyle="1" w:styleId="DateChar">
    <w:name w:val="Date Char"/>
    <w:basedOn w:val="DefaultParagraphFont"/>
    <w:link w:val="Date"/>
    <w:rsid w:val="007F2042"/>
    <w:rPr>
      <w:rFonts w:eastAsiaTheme="minorEastAsia"/>
      <w:sz w:val="32"/>
    </w:rPr>
  </w:style>
  <w:style w:type="paragraph" w:customStyle="1" w:styleId="NotesNumbered">
    <w:name w:val="Notes Numbered"/>
    <w:basedOn w:val="Normal"/>
    <w:qFormat/>
    <w:rsid w:val="00323279"/>
    <w:pPr>
      <w:numPr>
        <w:numId w:val="6"/>
      </w:numPr>
      <w:spacing w:before="120" w:after="240" w:line="240" w:lineRule="auto"/>
      <w:contextualSpacing/>
    </w:pPr>
    <w:rPr>
      <w:sz w:val="18"/>
      <w:szCs w:val="20"/>
      <w:lang w:eastAsia="fr-CA"/>
    </w:rPr>
  </w:style>
  <w:style w:type="paragraph" w:styleId="FootnoteText">
    <w:name w:val="footnote text"/>
    <w:aliases w:val="BG Footnote Text,TBG Style"/>
    <w:basedOn w:val="Normal"/>
    <w:link w:val="FootnoteTextChar"/>
    <w:rsid w:val="003042FF"/>
    <w:pPr>
      <w:tabs>
        <w:tab w:val="left" w:pos="340"/>
      </w:tabs>
      <w:spacing w:before="60" w:after="60" w:line="240" w:lineRule="auto"/>
      <w:ind w:left="340" w:hanging="340"/>
    </w:pPr>
    <w:rPr>
      <w:sz w:val="16"/>
      <w:szCs w:val="20"/>
    </w:rPr>
  </w:style>
  <w:style w:type="character" w:customStyle="1" w:styleId="FootnoteTextChar">
    <w:name w:val="Footnote Text Char"/>
    <w:aliases w:val="BG Footnote Text Char,TBG Style Char"/>
    <w:basedOn w:val="DefaultParagraphFont"/>
    <w:link w:val="FootnoteText"/>
    <w:rsid w:val="003042FF"/>
    <w:rPr>
      <w:rFonts w:ascii="Arial" w:hAnsi="Arial"/>
      <w:sz w:val="16"/>
      <w:szCs w:val="20"/>
    </w:rPr>
  </w:style>
  <w:style w:type="character" w:styleId="FootnoteReference">
    <w:name w:val="footnote reference"/>
    <w:aliases w:val="(NECG) Footnote Reference,fr,o,Style 6 + 12 pt"/>
    <w:basedOn w:val="DefaultParagraphFont"/>
    <w:unhideWhenUsed/>
    <w:rsid w:val="00A176B6"/>
    <w:rPr>
      <w:vertAlign w:val="superscript"/>
    </w:rPr>
  </w:style>
  <w:style w:type="paragraph" w:styleId="ListNumber4">
    <w:name w:val="List Number 4"/>
    <w:basedOn w:val="Normal"/>
    <w:unhideWhenUsed/>
    <w:rsid w:val="00D33D2C"/>
    <w:pPr>
      <w:numPr>
        <w:ilvl w:val="3"/>
        <w:numId w:val="51"/>
      </w:numPr>
      <w:spacing w:before="120" w:after="120"/>
    </w:pPr>
  </w:style>
  <w:style w:type="paragraph" w:styleId="ListNumber5">
    <w:name w:val="List Number 5"/>
    <w:basedOn w:val="Normal"/>
    <w:unhideWhenUsed/>
    <w:rsid w:val="00D33D2C"/>
    <w:pPr>
      <w:numPr>
        <w:ilvl w:val="4"/>
        <w:numId w:val="51"/>
      </w:numPr>
      <w:spacing w:before="120" w:after="120"/>
    </w:pPr>
  </w:style>
  <w:style w:type="paragraph" w:styleId="ListBullet4">
    <w:name w:val="List Bullet 4"/>
    <w:basedOn w:val="Normal"/>
    <w:unhideWhenUsed/>
    <w:rsid w:val="001122BF"/>
    <w:pPr>
      <w:spacing w:before="120" w:after="120"/>
    </w:pPr>
  </w:style>
  <w:style w:type="paragraph" w:styleId="ListBullet5">
    <w:name w:val="List Bullet 5"/>
    <w:basedOn w:val="Normal"/>
    <w:unhideWhenUsed/>
    <w:rsid w:val="001122BF"/>
    <w:pPr>
      <w:contextualSpacing/>
    </w:pPr>
  </w:style>
  <w:style w:type="paragraph" w:customStyle="1" w:styleId="PageNumberinFrame">
    <w:name w:val="Page Number in Frame"/>
    <w:basedOn w:val="Normal"/>
    <w:qFormat/>
    <w:rsid w:val="00A13A74"/>
    <w:pPr>
      <w:framePr w:w="1701" w:h="1701" w:hRule="exact" w:wrap="around" w:vAnchor="text" w:hAnchor="margin" w:xAlign="right" w:y="1"/>
      <w:jc w:val="center"/>
    </w:pPr>
    <w:rPr>
      <w:sz w:val="18"/>
    </w:rPr>
  </w:style>
  <w:style w:type="paragraph" w:customStyle="1" w:styleId="BodyTextSmall">
    <w:name w:val="Body Text Small"/>
    <w:basedOn w:val="Normal"/>
    <w:qFormat/>
    <w:rsid w:val="00AD6695"/>
    <w:pPr>
      <w:spacing w:before="240" w:after="120"/>
    </w:pPr>
    <w:rPr>
      <w:sz w:val="18"/>
    </w:rPr>
  </w:style>
  <w:style w:type="paragraph" w:styleId="ListContinue4">
    <w:name w:val="List Continue 4"/>
    <w:basedOn w:val="Normal"/>
    <w:semiHidden/>
    <w:unhideWhenUsed/>
    <w:rsid w:val="0013752B"/>
    <w:pPr>
      <w:spacing w:before="120" w:after="120"/>
      <w:ind w:left="1429"/>
    </w:pPr>
  </w:style>
  <w:style w:type="paragraph" w:styleId="ListContinue5">
    <w:name w:val="List Continue 5"/>
    <w:basedOn w:val="Normal"/>
    <w:semiHidden/>
    <w:unhideWhenUsed/>
    <w:rsid w:val="0013752B"/>
    <w:pPr>
      <w:spacing w:before="120" w:after="120"/>
      <w:ind w:left="1786"/>
    </w:pPr>
  </w:style>
  <w:style w:type="paragraph" w:customStyle="1" w:styleId="ExecSummHeading1">
    <w:name w:val="Exec Summ Heading 1"/>
    <w:basedOn w:val="Normal"/>
    <w:next w:val="BodyText"/>
    <w:qFormat/>
    <w:rsid w:val="00DE2084"/>
    <w:pPr>
      <w:pageBreakBefore/>
      <w:spacing w:after="240"/>
      <w:ind w:left="851" w:hanging="851"/>
      <w:outlineLvl w:val="0"/>
    </w:pPr>
    <w:rPr>
      <w:rFonts w:asciiTheme="majorHAnsi" w:hAnsiTheme="majorHAnsi"/>
      <w:b/>
      <w:color w:val="007BC1"/>
      <w:sz w:val="32"/>
    </w:rPr>
  </w:style>
  <w:style w:type="paragraph" w:customStyle="1" w:styleId="ExecSummHeading2">
    <w:name w:val="Exec Summ Heading 2"/>
    <w:basedOn w:val="ExecSummHeading1"/>
    <w:next w:val="BodyText"/>
    <w:qFormat/>
    <w:rsid w:val="00DE2084"/>
    <w:pPr>
      <w:pageBreakBefore w:val="0"/>
      <w:spacing w:before="360"/>
      <w:outlineLvl w:val="9"/>
    </w:pPr>
    <w:rPr>
      <w:sz w:val="28"/>
    </w:rPr>
  </w:style>
  <w:style w:type="paragraph" w:customStyle="1" w:styleId="ExecSummHeading3">
    <w:name w:val="Exec Summ Heading 3"/>
    <w:basedOn w:val="ExecSummHeading2"/>
    <w:next w:val="BodyText"/>
    <w:qFormat/>
    <w:rsid w:val="00FF2DF8"/>
    <w:rPr>
      <w:sz w:val="22"/>
    </w:rPr>
  </w:style>
  <w:style w:type="paragraph" w:customStyle="1" w:styleId="ExecSummBodyText">
    <w:name w:val="Exec Summ Body Text"/>
    <w:basedOn w:val="Normal"/>
    <w:qFormat/>
    <w:rsid w:val="004B4F74"/>
    <w:pPr>
      <w:spacing w:before="240" w:after="120"/>
    </w:pPr>
  </w:style>
  <w:style w:type="paragraph" w:styleId="TOC4">
    <w:name w:val="toc 4"/>
    <w:basedOn w:val="Normal"/>
    <w:next w:val="Normal"/>
    <w:autoRedefine/>
    <w:unhideWhenUsed/>
    <w:rsid w:val="00774723"/>
    <w:pPr>
      <w:tabs>
        <w:tab w:val="right" w:leader="dot" w:pos="8165"/>
      </w:tabs>
      <w:spacing w:before="120" w:after="60"/>
      <w:ind w:right="737"/>
    </w:pPr>
  </w:style>
  <w:style w:type="character" w:customStyle="1" w:styleId="MyUnderlineStrikethrough">
    <w:name w:val="MyUnderline&amp;Strikethrough"/>
    <w:semiHidden/>
    <w:rsid w:val="00C34E9D"/>
    <w:rPr>
      <w:b w:val="0"/>
      <w:i w:val="0"/>
      <w:strike/>
      <w:dstrike w:val="0"/>
      <w:u w:val="single"/>
      <w:vertAlign w:val="baseline"/>
    </w:rPr>
  </w:style>
  <w:style w:type="character" w:customStyle="1" w:styleId="MyStrikethrough">
    <w:name w:val="MyStrikethrough"/>
    <w:semiHidden/>
    <w:rsid w:val="00C34E9D"/>
    <w:rPr>
      <w:b w:val="0"/>
      <w:i w:val="0"/>
      <w:strike/>
      <w:dstrike w:val="0"/>
      <w:vertAlign w:val="baseline"/>
    </w:rPr>
  </w:style>
  <w:style w:type="character" w:customStyle="1" w:styleId="MySuperscriptItalics">
    <w:name w:val="MySuperscript&amp;Italics"/>
    <w:semiHidden/>
    <w:rsid w:val="00C34E9D"/>
    <w:rPr>
      <w:b w:val="0"/>
      <w:i/>
      <w:strike w:val="0"/>
      <w:vertAlign w:val="superscript"/>
    </w:rPr>
  </w:style>
  <w:style w:type="character" w:customStyle="1" w:styleId="MySubscriptItalics">
    <w:name w:val="MySubscript&amp;Italics"/>
    <w:semiHidden/>
    <w:rsid w:val="00C34E9D"/>
    <w:rPr>
      <w:b w:val="0"/>
      <w:i/>
      <w:strike w:val="0"/>
      <w:vertAlign w:val="subscript"/>
    </w:rPr>
  </w:style>
  <w:style w:type="character" w:customStyle="1" w:styleId="MySuperscript">
    <w:name w:val="MySuperscript"/>
    <w:semiHidden/>
    <w:rsid w:val="00C34E9D"/>
    <w:rPr>
      <w:b w:val="0"/>
      <w:i w:val="0"/>
      <w:strike w:val="0"/>
      <w:vertAlign w:val="superscript"/>
    </w:rPr>
  </w:style>
  <w:style w:type="character" w:customStyle="1" w:styleId="MySubscript">
    <w:name w:val="MySubscript"/>
    <w:semiHidden/>
    <w:rsid w:val="00C34E9D"/>
    <w:rPr>
      <w:b w:val="0"/>
      <w:i w:val="0"/>
      <w:strike w:val="0"/>
      <w:vertAlign w:val="subscript"/>
    </w:rPr>
  </w:style>
  <w:style w:type="character" w:customStyle="1" w:styleId="MyBoldItalicsUnderline">
    <w:name w:val="MyBoldItalicsUnderline"/>
    <w:semiHidden/>
    <w:rsid w:val="00C34E9D"/>
    <w:rPr>
      <w:b/>
      <w:i/>
      <w:strike w:val="0"/>
      <w:u w:val="single"/>
      <w:vertAlign w:val="baseline"/>
    </w:rPr>
  </w:style>
  <w:style w:type="character" w:customStyle="1" w:styleId="MyBoldUnderline">
    <w:name w:val="MyBoldUnderline"/>
    <w:semiHidden/>
    <w:rsid w:val="00C34E9D"/>
    <w:rPr>
      <w:b/>
      <w:i/>
      <w:strike w:val="0"/>
      <w:u w:val="single"/>
      <w:vertAlign w:val="baseline"/>
    </w:rPr>
  </w:style>
  <w:style w:type="character" w:customStyle="1" w:styleId="MyItalicsUnderline">
    <w:name w:val="MyItalicsUnderline"/>
    <w:semiHidden/>
    <w:rsid w:val="00C34E9D"/>
    <w:rPr>
      <w:b/>
      <w:i/>
      <w:strike w:val="0"/>
      <w:u w:val="single"/>
      <w:vertAlign w:val="baseline"/>
    </w:rPr>
  </w:style>
  <w:style w:type="character" w:customStyle="1" w:styleId="MyUnderline">
    <w:name w:val="MyUnderline"/>
    <w:semiHidden/>
    <w:rsid w:val="00C34E9D"/>
    <w:rPr>
      <w:b w:val="0"/>
      <w:i w:val="0"/>
      <w:strike w:val="0"/>
      <w:u w:val="single"/>
      <w:vertAlign w:val="baseline"/>
    </w:rPr>
  </w:style>
  <w:style w:type="paragraph" w:styleId="CommentText">
    <w:name w:val="annotation text"/>
    <w:basedOn w:val="Normal"/>
    <w:link w:val="CommentTextChar"/>
    <w:uiPriority w:val="99"/>
    <w:unhideWhenUsed/>
    <w:rsid w:val="00130333"/>
    <w:pPr>
      <w:spacing w:after="160" w:line="240" w:lineRule="auto"/>
    </w:pPr>
    <w:rPr>
      <w:rFonts w:asciiTheme="minorHAnsi" w:eastAsiaTheme="minorHAnsi" w:hAnsiTheme="minorHAnsi" w:cstheme="minorBidi"/>
      <w:sz w:val="20"/>
      <w:szCs w:val="20"/>
      <w:lang w:eastAsia="en-US"/>
    </w:rPr>
  </w:style>
  <w:style w:type="character" w:customStyle="1" w:styleId="CommentTextChar">
    <w:name w:val="Comment Text Char"/>
    <w:basedOn w:val="DefaultParagraphFont"/>
    <w:link w:val="CommentText"/>
    <w:uiPriority w:val="99"/>
    <w:rsid w:val="00130333"/>
    <w:rPr>
      <w:rFonts w:eastAsiaTheme="minorHAnsi" w:cstheme="minorBidi"/>
      <w:sz w:val="20"/>
      <w:szCs w:val="20"/>
      <w:lang w:eastAsia="en-US"/>
    </w:rPr>
  </w:style>
  <w:style w:type="character" w:customStyle="1" w:styleId="ListParagraphChar">
    <w:name w:val="List Paragraph Char"/>
    <w:aliases w:val="List Paragraph11 Char,Recommendation Char,List Paragraph1 Char,Bullet point Char,1 heading Char,Dot point 1.5 line spacing Char,L Char,List Paragraph - bullets Char,NFP GP Bulleted List Char,bullet point list Char,LP-DO NOT USE Char"/>
    <w:basedOn w:val="DefaultParagraphFont"/>
    <w:link w:val="ListParagraph"/>
    <w:uiPriority w:val="34"/>
    <w:locked/>
    <w:rsid w:val="00130333"/>
  </w:style>
  <w:style w:type="paragraph" w:styleId="ListParagraph">
    <w:name w:val="List Paragraph"/>
    <w:aliases w:val="List Paragraph11,Recommendation,List Paragraph1,Bullet point,1 heading,Dot point 1.5 line spacing,L,List Paragraph - bullets,NFP GP Bulleted List,bullet point list,LP-DO NOT USE,Bulleted Para,CV text,Dot pt,F5 List Paragraph,FooterText"/>
    <w:basedOn w:val="Normal"/>
    <w:link w:val="ListParagraphChar"/>
    <w:uiPriority w:val="34"/>
    <w:qFormat/>
    <w:rsid w:val="00130333"/>
    <w:pPr>
      <w:spacing w:after="160" w:line="256" w:lineRule="auto"/>
      <w:ind w:left="720"/>
      <w:contextualSpacing/>
    </w:pPr>
    <w:rPr>
      <w:rFonts w:asciiTheme="minorHAnsi" w:hAnsiTheme="minorHAnsi"/>
    </w:rPr>
  </w:style>
  <w:style w:type="paragraph" w:customStyle="1" w:styleId="Default">
    <w:name w:val="Default"/>
    <w:rsid w:val="00130333"/>
    <w:pPr>
      <w:autoSpaceDE w:val="0"/>
      <w:autoSpaceDN w:val="0"/>
      <w:adjustRightInd w:val="0"/>
      <w:spacing w:line="240" w:lineRule="auto"/>
    </w:pPr>
    <w:rPr>
      <w:rFonts w:ascii="Arial" w:eastAsia="Calibri" w:hAnsi="Arial" w:cs="Arial"/>
      <w:color w:val="000000"/>
      <w:sz w:val="24"/>
      <w:szCs w:val="24"/>
    </w:rPr>
  </w:style>
  <w:style w:type="character" w:styleId="CommentReference">
    <w:name w:val="annotation reference"/>
    <w:basedOn w:val="DefaultParagraphFont"/>
    <w:uiPriority w:val="99"/>
    <w:semiHidden/>
    <w:unhideWhenUsed/>
    <w:rsid w:val="00130333"/>
    <w:rPr>
      <w:sz w:val="16"/>
      <w:szCs w:val="16"/>
    </w:rPr>
  </w:style>
  <w:style w:type="numbering" w:customStyle="1" w:styleId="BulletList">
    <w:name w:val="Bullet List"/>
    <w:uiPriority w:val="99"/>
    <w:rsid w:val="00130333"/>
    <w:pPr>
      <w:numPr>
        <w:numId w:val="10"/>
      </w:numPr>
    </w:pPr>
  </w:style>
  <w:style w:type="paragraph" w:customStyle="1" w:styleId="Pa9">
    <w:name w:val="Pa9"/>
    <w:basedOn w:val="Default"/>
    <w:next w:val="Default"/>
    <w:uiPriority w:val="99"/>
    <w:rsid w:val="00CE1750"/>
    <w:pPr>
      <w:spacing w:line="201" w:lineRule="atLeast"/>
    </w:pPr>
    <w:rPr>
      <w:rFonts w:ascii="Gotham Light" w:eastAsia="Times New Roman" w:hAnsi="Gotham Light" w:cs="Times New Roman"/>
      <w:color w:val="auto"/>
    </w:rPr>
  </w:style>
  <w:style w:type="character" w:customStyle="1" w:styleId="A8">
    <w:name w:val="A8"/>
    <w:uiPriority w:val="99"/>
    <w:rsid w:val="00CE1750"/>
    <w:rPr>
      <w:rFonts w:cs="Gotham Light"/>
      <w:color w:val="000000"/>
      <w:sz w:val="11"/>
      <w:szCs w:val="11"/>
    </w:rPr>
  </w:style>
  <w:style w:type="character" w:customStyle="1" w:styleId="Mention1">
    <w:name w:val="Mention1"/>
    <w:basedOn w:val="DefaultParagraphFont"/>
    <w:uiPriority w:val="99"/>
    <w:semiHidden/>
    <w:unhideWhenUsed/>
    <w:rsid w:val="00823FB3"/>
    <w:rPr>
      <w:color w:val="2B579A"/>
      <w:shd w:val="clear" w:color="auto" w:fill="E6E6E6"/>
    </w:rPr>
  </w:style>
  <w:style w:type="paragraph" w:styleId="PlainText">
    <w:name w:val="Plain Text"/>
    <w:basedOn w:val="Normal"/>
    <w:link w:val="PlainTextChar"/>
    <w:uiPriority w:val="39"/>
    <w:semiHidden/>
    <w:unhideWhenUsed/>
    <w:rsid w:val="007617DF"/>
    <w:pPr>
      <w:spacing w:line="240" w:lineRule="auto"/>
    </w:pPr>
    <w:rPr>
      <w:rFonts w:ascii="Calibri" w:hAnsi="Calibri"/>
      <w:szCs w:val="21"/>
    </w:rPr>
  </w:style>
  <w:style w:type="character" w:customStyle="1" w:styleId="PlainTextChar">
    <w:name w:val="Plain Text Char"/>
    <w:basedOn w:val="DefaultParagraphFont"/>
    <w:link w:val="PlainText"/>
    <w:uiPriority w:val="39"/>
    <w:semiHidden/>
    <w:rsid w:val="007617DF"/>
    <w:rPr>
      <w:rFonts w:ascii="Calibri" w:hAnsi="Calibri"/>
      <w:szCs w:val="21"/>
    </w:rPr>
  </w:style>
  <w:style w:type="paragraph" w:styleId="CommentSubject">
    <w:name w:val="annotation subject"/>
    <w:basedOn w:val="CommentText"/>
    <w:next w:val="CommentText"/>
    <w:link w:val="CommentSubjectChar"/>
    <w:uiPriority w:val="39"/>
    <w:semiHidden/>
    <w:unhideWhenUsed/>
    <w:rsid w:val="0023587F"/>
    <w:pPr>
      <w:spacing w:after="0"/>
    </w:pPr>
    <w:rPr>
      <w:rFonts w:ascii="Arial" w:eastAsia="Times New Roman" w:hAnsi="Arial" w:cs="Times New Roman"/>
      <w:b/>
      <w:bCs/>
      <w:lang w:eastAsia="en-AU"/>
    </w:rPr>
  </w:style>
  <w:style w:type="character" w:customStyle="1" w:styleId="CommentSubjectChar">
    <w:name w:val="Comment Subject Char"/>
    <w:basedOn w:val="CommentTextChar"/>
    <w:link w:val="CommentSubject"/>
    <w:uiPriority w:val="39"/>
    <w:semiHidden/>
    <w:rsid w:val="0023587F"/>
    <w:rPr>
      <w:rFonts w:ascii="Arial" w:eastAsiaTheme="minorHAnsi" w:hAnsi="Arial" w:cstheme="minorBidi"/>
      <w:b/>
      <w:bCs/>
      <w:sz w:val="20"/>
      <w:szCs w:val="20"/>
      <w:lang w:eastAsia="en-US"/>
    </w:rPr>
  </w:style>
  <w:style w:type="paragraph" w:customStyle="1" w:styleId="Bullet2a">
    <w:name w:val="Bullet2a"/>
    <w:basedOn w:val="ListBullet2"/>
    <w:link w:val="Bullet2aChar"/>
    <w:rsid w:val="005B1992"/>
  </w:style>
  <w:style w:type="paragraph" w:customStyle="1" w:styleId="Bullet2b">
    <w:name w:val="Bullet2b"/>
    <w:basedOn w:val="ListBullet2"/>
    <w:link w:val="Bullet2bChar"/>
    <w:rsid w:val="005B1992"/>
  </w:style>
  <w:style w:type="character" w:customStyle="1" w:styleId="ListBulletChar">
    <w:name w:val="List Bullet Char"/>
    <w:basedOn w:val="BodyTextChar"/>
    <w:link w:val="ListBullet"/>
    <w:rsid w:val="00B21AEE"/>
    <w:rPr>
      <w:rFonts w:ascii="Arial" w:hAnsi="Arial"/>
    </w:rPr>
  </w:style>
  <w:style w:type="character" w:customStyle="1" w:styleId="ListBullet2Char">
    <w:name w:val="List Bullet 2 Char"/>
    <w:basedOn w:val="ListBulletChar"/>
    <w:link w:val="ListBullet2"/>
    <w:rsid w:val="002276FF"/>
    <w:rPr>
      <w:rFonts w:ascii="Arial" w:hAnsi="Arial"/>
    </w:rPr>
  </w:style>
  <w:style w:type="character" w:customStyle="1" w:styleId="Bullet2aChar">
    <w:name w:val="Bullet2a Char"/>
    <w:basedOn w:val="ListBullet2Char"/>
    <w:link w:val="Bullet2a"/>
    <w:rsid w:val="005B1992"/>
    <w:rPr>
      <w:rFonts w:ascii="Arial" w:hAnsi="Arial"/>
    </w:rPr>
  </w:style>
  <w:style w:type="character" w:customStyle="1" w:styleId="Bullet2bChar">
    <w:name w:val="Bullet2b Char"/>
    <w:basedOn w:val="ListBullet2Char"/>
    <w:link w:val="Bullet2b"/>
    <w:rsid w:val="005B1992"/>
    <w:rPr>
      <w:rFonts w:ascii="Arial" w:hAnsi="Arial"/>
    </w:rPr>
  </w:style>
  <w:style w:type="paragraph" w:customStyle="1" w:styleId="text">
    <w:name w:val="text"/>
    <w:basedOn w:val="Normal"/>
    <w:uiPriority w:val="99"/>
    <w:rsid w:val="008E05C4"/>
    <w:pPr>
      <w:widowControl w:val="0"/>
      <w:suppressAutoHyphens/>
      <w:autoSpaceDE w:val="0"/>
      <w:autoSpaceDN w:val="0"/>
      <w:adjustRightInd w:val="0"/>
      <w:spacing w:after="170" w:line="210" w:lineRule="atLeast"/>
      <w:textAlignment w:val="center"/>
    </w:pPr>
    <w:rPr>
      <w:rFonts w:ascii="ArialMT" w:eastAsia="Cambria" w:hAnsi="ArialMT" w:cs="ArialMT"/>
      <w:color w:val="000000"/>
      <w:sz w:val="17"/>
      <w:szCs w:val="17"/>
      <w:lang w:val="en-GB" w:eastAsia="en-US"/>
    </w:rPr>
  </w:style>
  <w:style w:type="character" w:styleId="Emphasis">
    <w:name w:val="Emphasis"/>
    <w:uiPriority w:val="20"/>
    <w:qFormat/>
    <w:rsid w:val="00E164A7"/>
    <w:rPr>
      <w:i/>
    </w:rPr>
  </w:style>
  <w:style w:type="character" w:styleId="Strong">
    <w:name w:val="Strong"/>
    <w:aliases w:val="AER text bold"/>
    <w:basedOn w:val="DefaultParagraphFont"/>
    <w:uiPriority w:val="22"/>
    <w:qFormat/>
    <w:rsid w:val="00057416"/>
    <w:rPr>
      <w:b/>
      <w:bCs/>
    </w:rPr>
  </w:style>
  <w:style w:type="character" w:customStyle="1" w:styleId="caps1">
    <w:name w:val="caps1"/>
    <w:basedOn w:val="DefaultParagraphFont"/>
    <w:rsid w:val="00057416"/>
    <w:rPr>
      <w:sz w:val="22"/>
      <w:szCs w:val="22"/>
    </w:rPr>
  </w:style>
  <w:style w:type="character" w:customStyle="1" w:styleId="tgc">
    <w:name w:val="_tgc"/>
    <w:basedOn w:val="DefaultParagraphFont"/>
    <w:rsid w:val="00057416"/>
  </w:style>
  <w:style w:type="table" w:styleId="ListTable4-Accent1">
    <w:name w:val="List Table 4 Accent 1"/>
    <w:basedOn w:val="TableNormal"/>
    <w:uiPriority w:val="49"/>
    <w:rsid w:val="00742868"/>
    <w:pPr>
      <w:spacing w:line="240" w:lineRule="auto"/>
    </w:pPr>
    <w:rPr>
      <w:rFonts w:eastAsiaTheme="minorHAnsi" w:cstheme="minorBidi"/>
      <w:lang w:eastAsia="en-US"/>
    </w:rPr>
    <w:tblPr>
      <w:tblStyleRowBandSize w:val="1"/>
      <w:tblStyleColBandSize w:val="1"/>
      <w:tblInd w:w="0" w:type="nil"/>
      <w:tblBorders>
        <w:top w:val="single" w:sz="4" w:space="0" w:color="5C8CD9" w:themeColor="accent1" w:themeTint="99"/>
        <w:left w:val="single" w:sz="4" w:space="0" w:color="5C8CD9" w:themeColor="accent1" w:themeTint="99"/>
        <w:bottom w:val="single" w:sz="4" w:space="0" w:color="5C8CD9" w:themeColor="accent1" w:themeTint="99"/>
        <w:right w:val="single" w:sz="4" w:space="0" w:color="5C8CD9" w:themeColor="accent1" w:themeTint="99"/>
        <w:insideH w:val="single" w:sz="4" w:space="0" w:color="5C8CD9" w:themeColor="accent1" w:themeTint="99"/>
      </w:tblBorders>
    </w:tblPr>
    <w:tblStylePr w:type="firstRow">
      <w:rPr>
        <w:b/>
        <w:bCs/>
        <w:color w:val="FFFFFF" w:themeColor="background1"/>
      </w:rPr>
      <w:tblPr/>
      <w:tcPr>
        <w:tcBorders>
          <w:top w:val="single" w:sz="4" w:space="0" w:color="214C90" w:themeColor="accent1"/>
          <w:left w:val="single" w:sz="4" w:space="0" w:color="214C90" w:themeColor="accent1"/>
          <w:bottom w:val="single" w:sz="4" w:space="0" w:color="214C90" w:themeColor="accent1"/>
          <w:right w:val="single" w:sz="4" w:space="0" w:color="214C90" w:themeColor="accent1"/>
          <w:insideH w:val="nil"/>
        </w:tcBorders>
        <w:shd w:val="clear" w:color="auto" w:fill="214C90" w:themeFill="accent1"/>
      </w:tcPr>
    </w:tblStylePr>
    <w:tblStylePr w:type="lastRow">
      <w:rPr>
        <w:b/>
        <w:bCs/>
      </w:rPr>
      <w:tblPr/>
      <w:tcPr>
        <w:tcBorders>
          <w:top w:val="double" w:sz="4" w:space="0" w:color="5C8CD9" w:themeColor="accent1" w:themeTint="99"/>
        </w:tcBorders>
      </w:tcPr>
    </w:tblStylePr>
    <w:tblStylePr w:type="firstCol">
      <w:rPr>
        <w:b/>
        <w:bCs/>
      </w:rPr>
    </w:tblStylePr>
    <w:tblStylePr w:type="lastCol">
      <w:rPr>
        <w:b/>
        <w:bCs/>
      </w:rPr>
    </w:tblStylePr>
    <w:tblStylePr w:type="band1Vert">
      <w:tblPr/>
      <w:tcPr>
        <w:shd w:val="clear" w:color="auto" w:fill="C8D8F2" w:themeFill="accent1" w:themeFillTint="33"/>
      </w:tcPr>
    </w:tblStylePr>
    <w:tblStylePr w:type="band1Horz">
      <w:tblPr/>
      <w:tcPr>
        <w:shd w:val="clear" w:color="auto" w:fill="C8D8F2" w:themeFill="accent1" w:themeFillTint="33"/>
      </w:tcPr>
    </w:tblStylePr>
  </w:style>
  <w:style w:type="character" w:customStyle="1" w:styleId="med11">
    <w:name w:val="med11"/>
    <w:basedOn w:val="DefaultParagraphFont"/>
    <w:rsid w:val="00742868"/>
    <w:rPr>
      <w:sz w:val="18"/>
      <w:szCs w:val="18"/>
    </w:rPr>
  </w:style>
  <w:style w:type="paragraph" w:customStyle="1" w:styleId="paragraph">
    <w:name w:val="paragraph"/>
    <w:basedOn w:val="Normal"/>
    <w:rsid w:val="00797E66"/>
    <w:pPr>
      <w:spacing w:before="100" w:beforeAutospacing="1" w:after="100" w:afterAutospacing="1" w:line="240" w:lineRule="auto"/>
    </w:pPr>
    <w:rPr>
      <w:rFonts w:ascii="Times New Roman" w:hAnsi="Times New Roman"/>
      <w:sz w:val="24"/>
      <w:szCs w:val="24"/>
    </w:rPr>
  </w:style>
  <w:style w:type="paragraph" w:customStyle="1" w:styleId="paragraphsub">
    <w:name w:val="paragraphsub"/>
    <w:basedOn w:val="Normal"/>
    <w:rsid w:val="00797E66"/>
    <w:pPr>
      <w:spacing w:before="100" w:beforeAutospacing="1" w:after="100" w:afterAutospacing="1" w:line="240" w:lineRule="auto"/>
    </w:pPr>
    <w:rPr>
      <w:rFonts w:ascii="Times New Roman" w:hAnsi="Times New Roman"/>
      <w:sz w:val="24"/>
      <w:szCs w:val="24"/>
    </w:rPr>
  </w:style>
  <w:style w:type="paragraph" w:customStyle="1" w:styleId="subsection">
    <w:name w:val="subsection"/>
    <w:basedOn w:val="Normal"/>
    <w:rsid w:val="006F250E"/>
    <w:pPr>
      <w:spacing w:before="100" w:beforeAutospacing="1" w:after="100" w:afterAutospacing="1" w:line="240" w:lineRule="auto"/>
    </w:pPr>
    <w:rPr>
      <w:rFonts w:ascii="Times New Roman" w:hAnsi="Times New Roman"/>
      <w:sz w:val="24"/>
      <w:szCs w:val="24"/>
    </w:rPr>
  </w:style>
  <w:style w:type="numbering" w:customStyle="1" w:styleId="KeyPoints">
    <w:name w:val="Key Points"/>
    <w:basedOn w:val="NoList"/>
    <w:uiPriority w:val="99"/>
    <w:rsid w:val="006F250E"/>
    <w:pPr>
      <w:numPr>
        <w:numId w:val="11"/>
      </w:numPr>
    </w:pPr>
  </w:style>
  <w:style w:type="paragraph" w:customStyle="1" w:styleId="subsectionhead">
    <w:name w:val="subsectionhead"/>
    <w:basedOn w:val="Normal"/>
    <w:rsid w:val="00153551"/>
    <w:pPr>
      <w:spacing w:before="100" w:beforeAutospacing="1" w:after="100" w:afterAutospacing="1" w:line="240" w:lineRule="auto"/>
    </w:pPr>
    <w:rPr>
      <w:rFonts w:ascii="Times New Roman" w:hAnsi="Times New Roman"/>
      <w:sz w:val="24"/>
      <w:szCs w:val="24"/>
    </w:rPr>
  </w:style>
  <w:style w:type="paragraph" w:customStyle="1" w:styleId="indenta-p">
    <w:name w:val="indenta-p"/>
    <w:basedOn w:val="Normal"/>
    <w:rsid w:val="00153551"/>
    <w:pPr>
      <w:spacing w:before="100" w:beforeAutospacing="1" w:after="100" w:afterAutospacing="1" w:line="240" w:lineRule="auto"/>
    </w:pPr>
    <w:rPr>
      <w:rFonts w:ascii="Times New Roman" w:eastAsiaTheme="minorHAnsi" w:hAnsi="Times New Roman"/>
      <w:sz w:val="24"/>
      <w:szCs w:val="24"/>
    </w:rPr>
  </w:style>
  <w:style w:type="character" w:customStyle="1" w:styleId="indenta-h">
    <w:name w:val="indenta-h"/>
    <w:basedOn w:val="DefaultParagraphFont"/>
    <w:rsid w:val="00153551"/>
  </w:style>
  <w:style w:type="character" w:customStyle="1" w:styleId="charsectno">
    <w:name w:val="charsectno"/>
    <w:basedOn w:val="DefaultParagraphFont"/>
    <w:rsid w:val="00DC48D1"/>
  </w:style>
  <w:style w:type="paragraph" w:customStyle="1" w:styleId="acthead5">
    <w:name w:val="acthead5"/>
    <w:basedOn w:val="Normal"/>
    <w:rsid w:val="00DC48D1"/>
    <w:pPr>
      <w:spacing w:before="100" w:beforeAutospacing="1" w:after="100" w:afterAutospacing="1" w:line="240" w:lineRule="auto"/>
    </w:pPr>
    <w:rPr>
      <w:rFonts w:ascii="Times New Roman" w:hAnsi="Times New Roman"/>
      <w:sz w:val="24"/>
      <w:szCs w:val="24"/>
    </w:rPr>
  </w:style>
  <w:style w:type="character" w:customStyle="1" w:styleId="sectionlabel">
    <w:name w:val="sectionlabel"/>
    <w:basedOn w:val="DefaultParagraphFont"/>
    <w:rsid w:val="007E1D14"/>
    <w:rPr>
      <w:b/>
      <w:bCs/>
      <w:color w:val="000000"/>
    </w:rPr>
  </w:style>
  <w:style w:type="character" w:customStyle="1" w:styleId="lawlabel2">
    <w:name w:val="lawlabel2"/>
    <w:basedOn w:val="DefaultParagraphFont"/>
    <w:rsid w:val="007E1D14"/>
    <w:rPr>
      <w:b/>
      <w:bCs/>
      <w:color w:val="000000"/>
    </w:rPr>
  </w:style>
  <w:style w:type="paragraph" w:customStyle="1" w:styleId="CM3">
    <w:name w:val="CM3"/>
    <w:basedOn w:val="Default"/>
    <w:next w:val="Default"/>
    <w:uiPriority w:val="99"/>
    <w:rsid w:val="003258F0"/>
    <w:pPr>
      <w:spacing w:line="280" w:lineRule="atLeast"/>
    </w:pPr>
    <w:rPr>
      <w:rFonts w:ascii="Myriad Pro" w:eastAsia="Times New Roman" w:hAnsi="Myriad Pro" w:cs="Times New Roman"/>
      <w:color w:val="auto"/>
    </w:rPr>
  </w:style>
  <w:style w:type="paragraph" w:customStyle="1" w:styleId="Footerclassification">
    <w:name w:val="Footer classification"/>
    <w:basedOn w:val="Normal"/>
    <w:rsid w:val="00D5384A"/>
    <w:pPr>
      <w:tabs>
        <w:tab w:val="center" w:pos="4536"/>
        <w:tab w:val="center" w:pos="4819"/>
        <w:tab w:val="right" w:pos="9356"/>
      </w:tabs>
      <w:spacing w:before="240" w:line="276" w:lineRule="auto"/>
      <w:jc w:val="center"/>
    </w:pPr>
    <w:rPr>
      <w:rFonts w:cs="Arial"/>
      <w:color w:val="FF0000"/>
      <w:sz w:val="28"/>
      <w:szCs w:val="28"/>
    </w:rPr>
  </w:style>
  <w:style w:type="paragraph" w:customStyle="1" w:styleId="Tabletext">
    <w:name w:val="Table text"/>
    <w:basedOn w:val="Normal"/>
    <w:uiPriority w:val="9"/>
    <w:qFormat/>
    <w:rsid w:val="00D5384A"/>
    <w:pPr>
      <w:spacing w:line="276" w:lineRule="auto"/>
    </w:pPr>
    <w:rPr>
      <w:rFonts w:eastAsia="Calibri"/>
      <w:lang w:eastAsia="en-US"/>
    </w:rPr>
  </w:style>
  <w:style w:type="paragraph" w:customStyle="1" w:styleId="Classificationsensitivity">
    <w:name w:val="Classification sensitivity"/>
    <w:basedOn w:val="Normal"/>
    <w:rsid w:val="00D5384A"/>
    <w:pPr>
      <w:tabs>
        <w:tab w:val="center" w:pos="4536"/>
        <w:tab w:val="center" w:pos="4819"/>
        <w:tab w:val="right" w:pos="9356"/>
      </w:tabs>
      <w:spacing w:after="240" w:line="276" w:lineRule="auto"/>
      <w:jc w:val="center"/>
    </w:pPr>
    <w:rPr>
      <w:rFonts w:cs="Arial"/>
      <w:color w:val="FF0000"/>
      <w:szCs w:val="28"/>
    </w:rPr>
  </w:style>
  <w:style w:type="character" w:customStyle="1" w:styleId="Numbered1Char">
    <w:name w:val="Numbered 1 Char"/>
    <w:basedOn w:val="DefaultParagraphFont"/>
    <w:link w:val="Numbered1"/>
    <w:locked/>
    <w:rsid w:val="00BE301F"/>
    <w:rPr>
      <w:sz w:val="24"/>
      <w:szCs w:val="24"/>
    </w:rPr>
  </w:style>
  <w:style w:type="paragraph" w:customStyle="1" w:styleId="Numbered1">
    <w:name w:val="Numbered 1"/>
    <w:basedOn w:val="Normal"/>
    <w:link w:val="Numbered1Char"/>
    <w:qFormat/>
    <w:rsid w:val="00BE301F"/>
    <w:pPr>
      <w:spacing w:after="200" w:line="276" w:lineRule="auto"/>
    </w:pPr>
    <w:rPr>
      <w:rFonts w:asciiTheme="minorHAnsi" w:hAnsiTheme="minorHAnsi"/>
      <w:sz w:val="24"/>
      <w:szCs w:val="24"/>
    </w:rPr>
  </w:style>
  <w:style w:type="paragraph" w:customStyle="1" w:styleId="Footnote">
    <w:name w:val="Footnote"/>
    <w:basedOn w:val="FootnoteText"/>
    <w:link w:val="FootnoteChar"/>
    <w:qFormat/>
    <w:rsid w:val="002634B1"/>
    <w:pPr>
      <w:tabs>
        <w:tab w:val="left" w:pos="720"/>
        <w:tab w:val="left" w:pos="1077"/>
      </w:tabs>
      <w:spacing w:before="0" w:after="0"/>
      <w:ind w:left="720" w:hanging="720"/>
    </w:pPr>
    <w:rPr>
      <w:rFonts w:ascii="Times New Roman" w:eastAsia="MS Mincho" w:hAnsi="Times New Roman" w:cstheme="minorBidi"/>
      <w:sz w:val="20"/>
      <w:lang w:eastAsia="en-US"/>
    </w:rPr>
  </w:style>
  <w:style w:type="character" w:customStyle="1" w:styleId="FootnoteChar">
    <w:name w:val="Footnote Char"/>
    <w:basedOn w:val="FootnoteTextChar"/>
    <w:link w:val="Footnote"/>
    <w:rsid w:val="002634B1"/>
    <w:rPr>
      <w:rFonts w:ascii="Times New Roman" w:eastAsia="MS Mincho" w:hAnsi="Times New Roman" w:cstheme="minorBidi"/>
      <w:sz w:val="20"/>
      <w:szCs w:val="20"/>
      <w:lang w:eastAsia="en-US"/>
    </w:rPr>
  </w:style>
  <w:style w:type="paragraph" w:customStyle="1" w:styleId="AppendixLevel1">
    <w:name w:val="Appendix Level 1"/>
    <w:basedOn w:val="Heading1"/>
    <w:next w:val="Normal"/>
    <w:rsid w:val="007D7FFC"/>
    <w:pPr>
      <w:pageBreakBefore/>
      <w:numPr>
        <w:numId w:val="14"/>
      </w:numPr>
      <w:tabs>
        <w:tab w:val="num" w:pos="360"/>
      </w:tabs>
      <w:spacing w:before="240" w:line="256" w:lineRule="auto"/>
      <w:ind w:left="0" w:right="1134" w:firstLine="0"/>
    </w:pPr>
    <w:rPr>
      <w:rFonts w:ascii="Franklin Gothic Demi Cond" w:eastAsiaTheme="majorEastAsia" w:hAnsi="Franklin Gothic Demi Cond"/>
      <w:b w:val="0"/>
      <w:bCs w:val="0"/>
      <w:color w:val="1C376B"/>
      <w:lang w:eastAsia="en-US"/>
    </w:rPr>
  </w:style>
  <w:style w:type="paragraph" w:customStyle="1" w:styleId="AppendixLevel2">
    <w:name w:val="Appendix Level 2"/>
    <w:basedOn w:val="Heading1"/>
    <w:next w:val="Normal"/>
    <w:rsid w:val="007D7FFC"/>
    <w:pPr>
      <w:numPr>
        <w:ilvl w:val="1"/>
        <w:numId w:val="14"/>
      </w:numPr>
      <w:tabs>
        <w:tab w:val="num" w:pos="360"/>
      </w:tabs>
      <w:spacing w:before="240" w:line="256" w:lineRule="auto"/>
      <w:ind w:left="0" w:firstLine="0"/>
    </w:pPr>
    <w:rPr>
      <w:rFonts w:ascii="Franklin Gothic Demi Cond" w:eastAsiaTheme="majorEastAsia" w:hAnsi="Franklin Gothic Demi Cond"/>
      <w:b w:val="0"/>
      <w:bCs w:val="0"/>
      <w:color w:val="1C376B"/>
      <w:lang w:eastAsia="en-US"/>
    </w:rPr>
  </w:style>
  <w:style w:type="paragraph" w:customStyle="1" w:styleId="AppendixLevel3">
    <w:name w:val="Appendix Level 3"/>
    <w:basedOn w:val="AppendixLevel2"/>
    <w:next w:val="Normal"/>
    <w:qFormat/>
    <w:rsid w:val="007D7FFC"/>
    <w:pPr>
      <w:numPr>
        <w:ilvl w:val="2"/>
      </w:numPr>
      <w:tabs>
        <w:tab w:val="num" w:pos="360"/>
      </w:tabs>
    </w:pPr>
  </w:style>
  <w:style w:type="character" w:customStyle="1" w:styleId="Mention2">
    <w:name w:val="Mention2"/>
    <w:basedOn w:val="DefaultParagraphFont"/>
    <w:uiPriority w:val="99"/>
    <w:semiHidden/>
    <w:unhideWhenUsed/>
    <w:rsid w:val="00C76364"/>
    <w:rPr>
      <w:color w:val="2B579A"/>
      <w:shd w:val="clear" w:color="auto" w:fill="E6E6E6"/>
    </w:rPr>
  </w:style>
  <w:style w:type="paragraph" w:customStyle="1" w:styleId="Pa4">
    <w:name w:val="Pa4"/>
    <w:basedOn w:val="Default"/>
    <w:next w:val="Default"/>
    <w:uiPriority w:val="99"/>
    <w:rsid w:val="006B1D5E"/>
    <w:pPr>
      <w:spacing w:line="161" w:lineRule="atLeast"/>
    </w:pPr>
    <w:rPr>
      <w:rFonts w:ascii="Myriad Pro" w:eastAsia="Times New Roman" w:hAnsi="Myriad Pro" w:cs="Times New Roman"/>
      <w:color w:val="auto"/>
    </w:rPr>
  </w:style>
  <w:style w:type="character" w:customStyle="1" w:styleId="Mention3">
    <w:name w:val="Mention3"/>
    <w:basedOn w:val="DefaultParagraphFont"/>
    <w:uiPriority w:val="99"/>
    <w:semiHidden/>
    <w:unhideWhenUsed/>
    <w:rsid w:val="00581557"/>
    <w:rPr>
      <w:color w:val="2B579A"/>
      <w:shd w:val="clear" w:color="auto" w:fill="E6E6E6"/>
    </w:rPr>
  </w:style>
  <w:style w:type="table" w:customStyle="1" w:styleId="AxiomAgendaMinutes">
    <w:name w:val="Axiom Agenda/Minutes"/>
    <w:basedOn w:val="TableNormal"/>
    <w:uiPriority w:val="99"/>
    <w:rsid w:val="00906A08"/>
    <w:pPr>
      <w:spacing w:line="240" w:lineRule="auto"/>
    </w:pPr>
    <w:tblPr>
      <w:tblBorders>
        <w:top w:val="single" w:sz="4" w:space="0" w:color="auto"/>
        <w:bottom w:val="single" w:sz="4" w:space="0" w:color="auto"/>
        <w:insideV w:val="single" w:sz="4" w:space="0" w:color="auto"/>
      </w:tblBorders>
      <w:tblCellMar>
        <w:top w:w="57" w:type="dxa"/>
        <w:left w:w="45" w:type="dxa"/>
        <w:bottom w:w="57" w:type="dxa"/>
        <w:right w:w="45" w:type="dxa"/>
      </w:tblCellMar>
    </w:tblPr>
    <w:tblStylePr w:type="firstRow">
      <w:tblPr/>
      <w:trPr>
        <w:cantSplit/>
        <w:tblHeader/>
      </w:trPr>
      <w:tcPr>
        <w:tcBorders>
          <w:top w:val="single" w:sz="4" w:space="0" w:color="auto"/>
          <w:left w:val="nil"/>
          <w:bottom w:val="single" w:sz="4" w:space="0" w:color="auto"/>
          <w:right w:val="nil"/>
          <w:insideH w:val="nil"/>
          <w:insideV w:val="single" w:sz="4" w:space="0" w:color="auto"/>
          <w:tl2br w:val="nil"/>
          <w:tr2bl w:val="nil"/>
        </w:tcBorders>
      </w:tcPr>
    </w:tblStylePr>
  </w:style>
  <w:style w:type="paragraph" w:customStyle="1" w:styleId="Bullet1a">
    <w:name w:val="Bullet 1a"/>
    <w:basedOn w:val="ListBullet"/>
    <w:link w:val="Bullet1aChar"/>
    <w:qFormat/>
    <w:rsid w:val="00A82787"/>
    <w:pPr>
      <w:numPr>
        <w:numId w:val="0"/>
      </w:numPr>
      <w:ind w:left="2268" w:hanging="2268"/>
    </w:pPr>
    <w:rPr>
      <w:rFonts w:cs="Arial"/>
    </w:rPr>
  </w:style>
  <w:style w:type="character" w:customStyle="1" w:styleId="Bullet1aChar">
    <w:name w:val="Bullet 1a Char"/>
    <w:basedOn w:val="ListBulletChar"/>
    <w:link w:val="Bullet1a"/>
    <w:rsid w:val="00A82787"/>
    <w:rPr>
      <w:rFonts w:ascii="Arial" w:hAnsi="Arial" w:cs="Arial"/>
    </w:rPr>
  </w:style>
  <w:style w:type="paragraph" w:customStyle="1" w:styleId="Bullet2a0">
    <w:name w:val="Bullet 2a"/>
    <w:basedOn w:val="ListBullet2"/>
    <w:link w:val="Bullet2aChar0"/>
    <w:qFormat/>
    <w:rsid w:val="009E1889"/>
    <w:pPr>
      <w:numPr>
        <w:numId w:val="0"/>
      </w:numPr>
      <w:ind w:left="851" w:hanging="851"/>
    </w:pPr>
    <w:rPr>
      <w:rFonts w:cs="Arial"/>
    </w:rPr>
  </w:style>
  <w:style w:type="character" w:customStyle="1" w:styleId="Bullet2aChar0">
    <w:name w:val="Bullet 2a Char"/>
    <w:basedOn w:val="DefaultParagraphFont"/>
    <w:link w:val="Bullet2a0"/>
    <w:rsid w:val="009E1889"/>
    <w:rPr>
      <w:rFonts w:ascii="Arial" w:hAnsi="Arial" w:cs="Arial"/>
    </w:rPr>
  </w:style>
  <w:style w:type="character" w:customStyle="1" w:styleId="UnresolvedMention1">
    <w:name w:val="Unresolved Mention1"/>
    <w:basedOn w:val="DefaultParagraphFont"/>
    <w:uiPriority w:val="99"/>
    <w:semiHidden/>
    <w:unhideWhenUsed/>
    <w:rsid w:val="00616B0F"/>
    <w:rPr>
      <w:color w:val="808080"/>
      <w:shd w:val="clear" w:color="auto" w:fill="E6E6E6"/>
    </w:rPr>
  </w:style>
  <w:style w:type="paragraph" w:customStyle="1" w:styleId="AERbulletlistfirststyle">
    <w:name w:val="AER bullet list (first style)"/>
    <w:basedOn w:val="ListBullet"/>
    <w:uiPriority w:val="99"/>
    <w:qFormat/>
    <w:rsid w:val="00D128A9"/>
    <w:pPr>
      <w:numPr>
        <w:numId w:val="29"/>
      </w:numPr>
      <w:tabs>
        <w:tab w:val="left" w:pos="340"/>
      </w:tabs>
      <w:spacing w:after="0" w:line="276" w:lineRule="auto"/>
      <w:ind w:left="357" w:hanging="357"/>
    </w:pPr>
    <w:rPr>
      <w:rFonts w:eastAsiaTheme="minorHAnsi"/>
      <w:lang w:eastAsia="en-US"/>
    </w:rPr>
  </w:style>
  <w:style w:type="character" w:customStyle="1" w:styleId="None">
    <w:name w:val="None"/>
    <w:rsid w:val="00BB42E0"/>
  </w:style>
  <w:style w:type="paragraph" w:customStyle="1" w:styleId="Bullet2b0">
    <w:name w:val="Bullet 2b"/>
    <w:basedOn w:val="ListBullet2"/>
    <w:link w:val="Bullet2bChar0"/>
    <w:qFormat/>
    <w:rsid w:val="00B13F44"/>
    <w:pPr>
      <w:spacing w:line="240" w:lineRule="auto"/>
    </w:pPr>
    <w:rPr>
      <w:rFonts w:eastAsiaTheme="majorEastAsia"/>
      <w:sz w:val="21"/>
      <w:szCs w:val="21"/>
    </w:rPr>
  </w:style>
  <w:style w:type="character" w:customStyle="1" w:styleId="Bullet2bChar0">
    <w:name w:val="Bullet 2b Char"/>
    <w:basedOn w:val="ListBullet2Char"/>
    <w:link w:val="Bullet2b0"/>
    <w:rsid w:val="00B13F44"/>
    <w:rPr>
      <w:rFonts w:ascii="Arial" w:eastAsiaTheme="majorEastAsia" w:hAnsi="Arial"/>
      <w:sz w:val="21"/>
      <w:szCs w:val="21"/>
    </w:rPr>
  </w:style>
  <w:style w:type="paragraph" w:customStyle="1" w:styleId="Footnotes">
    <w:name w:val="Footnotes"/>
    <w:basedOn w:val="Normal"/>
    <w:rsid w:val="00C34E9D"/>
    <w:pPr>
      <w:tabs>
        <w:tab w:val="num" w:pos="425"/>
      </w:tabs>
      <w:spacing w:before="180" w:after="180" w:line="240" w:lineRule="auto"/>
      <w:ind w:left="425" w:hanging="425"/>
      <w:contextualSpacing/>
    </w:pPr>
    <w:rPr>
      <w:rFonts w:cs="Arial"/>
      <w:sz w:val="18"/>
      <w:szCs w:val="20"/>
    </w:rPr>
  </w:style>
  <w:style w:type="paragraph" w:styleId="TOC5">
    <w:name w:val="toc 5"/>
    <w:basedOn w:val="Normal"/>
    <w:next w:val="Normal"/>
    <w:autoRedefine/>
    <w:semiHidden/>
    <w:unhideWhenUsed/>
    <w:rsid w:val="00C34E9D"/>
    <w:pPr>
      <w:tabs>
        <w:tab w:val="right" w:leader="dot" w:pos="9015"/>
      </w:tabs>
      <w:spacing w:before="120" w:after="80"/>
    </w:pPr>
    <w:rPr>
      <w:rFonts w:asciiTheme="minorHAnsi" w:hAnsiTheme="minorHAnsi"/>
    </w:rPr>
  </w:style>
  <w:style w:type="paragraph" w:styleId="NoteHeading">
    <w:name w:val="Note Heading"/>
    <w:basedOn w:val="Normal"/>
    <w:next w:val="Normal"/>
    <w:link w:val="NoteHeadingChar"/>
    <w:semiHidden/>
    <w:unhideWhenUsed/>
    <w:rsid w:val="00C34E9D"/>
    <w:pPr>
      <w:spacing w:line="240" w:lineRule="auto"/>
    </w:pPr>
    <w:rPr>
      <w:rFonts w:asciiTheme="minorHAnsi" w:hAnsiTheme="minorHAnsi"/>
    </w:rPr>
  </w:style>
  <w:style w:type="character" w:customStyle="1" w:styleId="NoteHeadingChar">
    <w:name w:val="Note Heading Char"/>
    <w:basedOn w:val="DefaultParagraphFont"/>
    <w:link w:val="NoteHeading"/>
    <w:semiHidden/>
    <w:rsid w:val="00C34E9D"/>
  </w:style>
  <w:style w:type="paragraph" w:styleId="DocumentMap">
    <w:name w:val="Document Map"/>
    <w:basedOn w:val="Normal"/>
    <w:link w:val="DocumentMapChar"/>
    <w:uiPriority w:val="39"/>
    <w:semiHidden/>
    <w:unhideWhenUsed/>
    <w:rsid w:val="00C34E9D"/>
    <w:pPr>
      <w:spacing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39"/>
    <w:semiHidden/>
    <w:rsid w:val="00C34E9D"/>
    <w:rPr>
      <w:rFonts w:ascii="Segoe UI" w:hAnsi="Segoe UI" w:cs="Segoe UI"/>
      <w:sz w:val="16"/>
      <w:szCs w:val="16"/>
    </w:rPr>
  </w:style>
  <w:style w:type="character" w:customStyle="1" w:styleId="CaptionChar">
    <w:name w:val="Caption Char"/>
    <w:basedOn w:val="DefaultParagraphFont"/>
    <w:link w:val="Caption"/>
    <w:rsid w:val="001E27B6"/>
    <w:rPr>
      <w:rFonts w:ascii="Arial" w:eastAsiaTheme="minorHAnsi" w:hAnsi="Arial" w:cstheme="minorBidi"/>
      <w:b/>
      <w:bCs/>
      <w:lang w:eastAsia="fr-CA"/>
    </w:rPr>
  </w:style>
  <w:style w:type="paragraph" w:customStyle="1" w:styleId="ListBullets">
    <w:name w:val="List Bullets"/>
    <w:basedOn w:val="List"/>
    <w:link w:val="ListBulletsChar"/>
    <w:rsid w:val="001E27B6"/>
    <w:pPr>
      <w:widowControl w:val="0"/>
      <w:numPr>
        <w:numId w:val="49"/>
      </w:numPr>
      <w:autoSpaceDE w:val="0"/>
      <w:autoSpaceDN w:val="0"/>
      <w:adjustRightInd w:val="0"/>
      <w:spacing w:after="240" w:line="240" w:lineRule="auto"/>
      <w:contextualSpacing w:val="0"/>
      <w:textboxTightWrap w:val="allLines"/>
    </w:pPr>
    <w:rPr>
      <w:rFonts w:ascii="Times New Roman" w:hAnsi="Times New Roman"/>
      <w:sz w:val="24"/>
      <w:szCs w:val="24"/>
      <w:lang w:eastAsia="en-US"/>
    </w:rPr>
  </w:style>
  <w:style w:type="character" w:customStyle="1" w:styleId="ListBulletsChar">
    <w:name w:val="List Bullets Char"/>
    <w:basedOn w:val="DefaultParagraphFont"/>
    <w:link w:val="ListBullets"/>
    <w:rsid w:val="001E27B6"/>
    <w:rPr>
      <w:rFonts w:ascii="Times New Roman" w:hAnsi="Times New Roman"/>
      <w:sz w:val="24"/>
      <w:szCs w:val="24"/>
      <w:lang w:eastAsia="en-US"/>
    </w:rPr>
  </w:style>
  <w:style w:type="paragraph" w:styleId="List">
    <w:name w:val="List"/>
    <w:basedOn w:val="Normal"/>
    <w:semiHidden/>
    <w:unhideWhenUsed/>
    <w:rsid w:val="001E27B6"/>
    <w:pPr>
      <w:ind w:left="283" w:hanging="283"/>
      <w:contextualSpacing/>
    </w:pPr>
  </w:style>
  <w:style w:type="table" w:customStyle="1" w:styleId="TableGrid1">
    <w:name w:val="Table Grid1"/>
    <w:basedOn w:val="TableNormal"/>
    <w:uiPriority w:val="59"/>
    <w:rsid w:val="00FF2136"/>
    <w:pPr>
      <w:spacing w:before="60" w:after="60"/>
      <w:ind w:left="85" w:right="85"/>
    </w:pPr>
    <w:rPr>
      <w:sz w:val="18"/>
      <w:lang w:eastAsia="en-US"/>
    </w:rPr>
    <w:tblPr>
      <w:tblStyleRowBandSize w:val="1"/>
      <w:tblInd w:w="0" w:type="nil"/>
      <w:tblBorders>
        <w:top w:val="single" w:sz="4" w:space="0" w:color="auto"/>
        <w:bottom w:val="single" w:sz="4" w:space="0" w:color="auto"/>
        <w:insideH w:val="single" w:sz="4" w:space="0" w:color="auto"/>
        <w:insideV w:val="single" w:sz="4" w:space="0" w:color="auto"/>
      </w:tblBorders>
      <w:tblCellMar>
        <w:left w:w="0" w:type="dxa"/>
        <w:right w:w="0" w:type="dxa"/>
      </w:tblCellMar>
    </w:tblPr>
    <w:tblStylePr w:type="firstRow">
      <w:rPr>
        <w:b/>
        <w:color w:val="FFFFFF"/>
      </w:rPr>
      <w:tblPr/>
      <w:tcPr>
        <w:shd w:val="clear" w:color="auto" w:fill="214C90"/>
      </w:tcPr>
    </w:tblStylePr>
    <w:tblStylePr w:type="band2Horz">
      <w:tblPr/>
      <w:tcPr>
        <w:shd w:val="clear" w:color="auto" w:fill="E1E2E7"/>
      </w:tcPr>
    </w:tblStylePr>
  </w:style>
  <w:style w:type="table" w:customStyle="1" w:styleId="TableGrid2">
    <w:name w:val="Table Grid2"/>
    <w:basedOn w:val="TableNormal"/>
    <w:uiPriority w:val="59"/>
    <w:rsid w:val="00FF2136"/>
    <w:pPr>
      <w:spacing w:before="60" w:after="60"/>
      <w:ind w:left="85" w:right="85"/>
    </w:pPr>
    <w:rPr>
      <w:sz w:val="18"/>
      <w:lang w:eastAsia="en-US"/>
    </w:rPr>
    <w:tblPr>
      <w:tblStyleRowBandSize w:val="1"/>
      <w:tblInd w:w="0" w:type="nil"/>
      <w:tblBorders>
        <w:top w:val="single" w:sz="4" w:space="0" w:color="auto"/>
        <w:bottom w:val="single" w:sz="4" w:space="0" w:color="auto"/>
        <w:insideH w:val="single" w:sz="4" w:space="0" w:color="auto"/>
        <w:insideV w:val="single" w:sz="4" w:space="0" w:color="auto"/>
      </w:tblBorders>
      <w:tblCellMar>
        <w:left w:w="0" w:type="dxa"/>
        <w:right w:w="0" w:type="dxa"/>
      </w:tblCellMar>
    </w:tblPr>
    <w:tblStylePr w:type="firstRow">
      <w:rPr>
        <w:b/>
        <w:color w:val="FFFFFF"/>
      </w:rPr>
      <w:tblPr/>
      <w:tcPr>
        <w:shd w:val="clear" w:color="auto" w:fill="214C90"/>
      </w:tcPr>
    </w:tblStylePr>
    <w:tblStylePr w:type="band2Horz">
      <w:tblPr/>
      <w:tcPr>
        <w:shd w:val="clear" w:color="auto" w:fill="E1E2E7"/>
      </w:tcPr>
    </w:tblStylePr>
  </w:style>
  <w:style w:type="table" w:customStyle="1" w:styleId="TableGrid3">
    <w:name w:val="Table Grid3"/>
    <w:basedOn w:val="TableNormal"/>
    <w:uiPriority w:val="59"/>
    <w:rsid w:val="00FF2136"/>
    <w:pPr>
      <w:spacing w:before="60" w:after="60"/>
      <w:ind w:left="85" w:right="85"/>
    </w:pPr>
    <w:rPr>
      <w:sz w:val="18"/>
      <w:lang w:eastAsia="en-US"/>
    </w:rPr>
    <w:tblPr>
      <w:tblStyleRowBandSize w:val="1"/>
      <w:tblInd w:w="0" w:type="nil"/>
      <w:tblBorders>
        <w:top w:val="single" w:sz="4" w:space="0" w:color="auto"/>
        <w:bottom w:val="single" w:sz="4" w:space="0" w:color="auto"/>
        <w:insideH w:val="single" w:sz="4" w:space="0" w:color="auto"/>
        <w:insideV w:val="single" w:sz="4" w:space="0" w:color="auto"/>
      </w:tblBorders>
      <w:tblCellMar>
        <w:left w:w="0" w:type="dxa"/>
        <w:right w:w="0" w:type="dxa"/>
      </w:tblCellMar>
    </w:tblPr>
    <w:tblStylePr w:type="firstRow">
      <w:rPr>
        <w:b/>
        <w:color w:val="FFFFFF"/>
      </w:rPr>
      <w:tblPr/>
      <w:tcPr>
        <w:shd w:val="clear" w:color="auto" w:fill="214C90"/>
      </w:tcPr>
    </w:tblStylePr>
    <w:tblStylePr w:type="band2Horz">
      <w:tblPr/>
      <w:tcPr>
        <w:shd w:val="clear" w:color="auto" w:fill="E1E2E7"/>
      </w:tcPr>
    </w:tblStylePr>
  </w:style>
  <w:style w:type="character" w:customStyle="1" w:styleId="UnresolvedMention2">
    <w:name w:val="Unresolved Mention2"/>
    <w:basedOn w:val="DefaultParagraphFont"/>
    <w:uiPriority w:val="99"/>
    <w:semiHidden/>
    <w:unhideWhenUsed/>
    <w:rsid w:val="00863162"/>
    <w:rPr>
      <w:color w:val="808080"/>
      <w:shd w:val="clear" w:color="auto" w:fill="E6E6E6"/>
    </w:rPr>
  </w:style>
  <w:style w:type="table" w:customStyle="1" w:styleId="TableGrid5">
    <w:name w:val="Table Grid5"/>
    <w:basedOn w:val="TableNormal"/>
    <w:uiPriority w:val="59"/>
    <w:rsid w:val="00CF4594"/>
    <w:pPr>
      <w:spacing w:before="60" w:after="60"/>
      <w:ind w:left="85" w:right="85"/>
    </w:pPr>
    <w:rPr>
      <w:sz w:val="18"/>
    </w:rPr>
    <w:tblPr>
      <w:tblStyleRowBandSize w:val="1"/>
      <w:tblInd w:w="0" w:type="nil"/>
      <w:tblBorders>
        <w:top w:val="single" w:sz="4" w:space="0" w:color="auto"/>
        <w:bottom w:val="single" w:sz="4" w:space="0" w:color="auto"/>
        <w:insideH w:val="single" w:sz="4" w:space="0" w:color="auto"/>
        <w:insideV w:val="single" w:sz="4" w:space="0" w:color="auto"/>
      </w:tblBorders>
      <w:tblCellMar>
        <w:left w:w="0" w:type="dxa"/>
        <w:right w:w="0" w:type="dxa"/>
      </w:tblCellMar>
    </w:tblPr>
    <w:tblStylePr w:type="firstRow">
      <w:rPr>
        <w:b/>
        <w:color w:val="FFFFFF"/>
      </w:rPr>
      <w:tblPr/>
      <w:tcPr>
        <w:shd w:val="clear" w:color="auto" w:fill="214C90" w:themeFill="text2"/>
      </w:tcPr>
    </w:tblStylePr>
    <w:tblStylePr w:type="band2Horz">
      <w:tblPr/>
      <w:tcPr>
        <w:shd w:val="clear" w:color="auto" w:fill="E1E2E7" w:themeFill="background2"/>
      </w:tcPr>
    </w:tblStylePr>
  </w:style>
  <w:style w:type="table" w:customStyle="1" w:styleId="TableGrid6">
    <w:name w:val="Table Grid6"/>
    <w:basedOn w:val="TableNormal"/>
    <w:next w:val="TableGrid"/>
    <w:uiPriority w:val="59"/>
    <w:rsid w:val="00CF4594"/>
    <w:pPr>
      <w:spacing w:before="60" w:after="60"/>
      <w:ind w:left="85" w:right="85"/>
    </w:pPr>
    <w:rPr>
      <w:sz w:val="18"/>
    </w:rPr>
    <w:tblPr>
      <w:tblStyleRowBandSize w:val="1"/>
      <w:tblBorders>
        <w:top w:val="single" w:sz="4" w:space="0" w:color="auto"/>
        <w:bottom w:val="single" w:sz="4" w:space="0" w:color="auto"/>
        <w:insideH w:val="single" w:sz="4" w:space="0" w:color="auto"/>
        <w:insideV w:val="single" w:sz="4" w:space="0" w:color="auto"/>
      </w:tblBorders>
      <w:tblCellMar>
        <w:left w:w="0" w:type="dxa"/>
        <w:right w:w="0" w:type="dxa"/>
      </w:tblCellMar>
    </w:tblPr>
    <w:tblStylePr w:type="firstRow">
      <w:rPr>
        <w:b/>
        <w:color w:val="FFFFFF"/>
      </w:rPr>
      <w:tblPr/>
      <w:tcPr>
        <w:shd w:val="clear" w:color="auto" w:fill="214C90" w:themeFill="text2"/>
      </w:tcPr>
    </w:tblStylePr>
    <w:tblStylePr w:type="band2Horz">
      <w:tblPr/>
      <w:tcPr>
        <w:shd w:val="clear" w:color="auto" w:fill="E1E2E7" w:themeFill="background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603572">
      <w:bodyDiv w:val="1"/>
      <w:marLeft w:val="0"/>
      <w:marRight w:val="0"/>
      <w:marTop w:val="0"/>
      <w:marBottom w:val="0"/>
      <w:divBdr>
        <w:top w:val="none" w:sz="0" w:space="0" w:color="auto"/>
        <w:left w:val="none" w:sz="0" w:space="0" w:color="auto"/>
        <w:bottom w:val="none" w:sz="0" w:space="0" w:color="auto"/>
        <w:right w:val="none" w:sz="0" w:space="0" w:color="auto"/>
      </w:divBdr>
      <w:divsChild>
        <w:div w:id="1574465123">
          <w:marLeft w:val="0"/>
          <w:marRight w:val="0"/>
          <w:marTop w:val="0"/>
          <w:marBottom w:val="0"/>
          <w:divBdr>
            <w:top w:val="none" w:sz="0" w:space="0" w:color="auto"/>
            <w:left w:val="none" w:sz="0" w:space="0" w:color="auto"/>
            <w:bottom w:val="none" w:sz="0" w:space="0" w:color="auto"/>
            <w:right w:val="none" w:sz="0" w:space="0" w:color="auto"/>
          </w:divBdr>
          <w:divsChild>
            <w:div w:id="1446270511">
              <w:marLeft w:val="-225"/>
              <w:marRight w:val="-225"/>
              <w:marTop w:val="0"/>
              <w:marBottom w:val="0"/>
              <w:divBdr>
                <w:top w:val="none" w:sz="0" w:space="0" w:color="auto"/>
                <w:left w:val="none" w:sz="0" w:space="0" w:color="auto"/>
                <w:bottom w:val="none" w:sz="0" w:space="0" w:color="auto"/>
                <w:right w:val="none" w:sz="0" w:space="0" w:color="auto"/>
              </w:divBdr>
            </w:div>
          </w:divsChild>
        </w:div>
      </w:divsChild>
    </w:div>
    <w:div w:id="73284176">
      <w:bodyDiv w:val="1"/>
      <w:marLeft w:val="0"/>
      <w:marRight w:val="0"/>
      <w:marTop w:val="0"/>
      <w:marBottom w:val="0"/>
      <w:divBdr>
        <w:top w:val="none" w:sz="0" w:space="0" w:color="auto"/>
        <w:left w:val="none" w:sz="0" w:space="0" w:color="auto"/>
        <w:bottom w:val="none" w:sz="0" w:space="0" w:color="auto"/>
        <w:right w:val="none" w:sz="0" w:space="0" w:color="auto"/>
      </w:divBdr>
    </w:div>
    <w:div w:id="82846156">
      <w:bodyDiv w:val="1"/>
      <w:marLeft w:val="0"/>
      <w:marRight w:val="0"/>
      <w:marTop w:val="0"/>
      <w:marBottom w:val="0"/>
      <w:divBdr>
        <w:top w:val="none" w:sz="0" w:space="0" w:color="auto"/>
        <w:left w:val="none" w:sz="0" w:space="0" w:color="auto"/>
        <w:bottom w:val="none" w:sz="0" w:space="0" w:color="auto"/>
        <w:right w:val="none" w:sz="0" w:space="0" w:color="auto"/>
      </w:divBdr>
    </w:div>
    <w:div w:id="108211038">
      <w:bodyDiv w:val="1"/>
      <w:marLeft w:val="0"/>
      <w:marRight w:val="0"/>
      <w:marTop w:val="0"/>
      <w:marBottom w:val="0"/>
      <w:divBdr>
        <w:top w:val="none" w:sz="0" w:space="0" w:color="auto"/>
        <w:left w:val="none" w:sz="0" w:space="0" w:color="auto"/>
        <w:bottom w:val="none" w:sz="0" w:space="0" w:color="auto"/>
        <w:right w:val="none" w:sz="0" w:space="0" w:color="auto"/>
      </w:divBdr>
    </w:div>
    <w:div w:id="108933404">
      <w:bodyDiv w:val="1"/>
      <w:marLeft w:val="0"/>
      <w:marRight w:val="0"/>
      <w:marTop w:val="0"/>
      <w:marBottom w:val="0"/>
      <w:divBdr>
        <w:top w:val="none" w:sz="0" w:space="0" w:color="auto"/>
        <w:left w:val="none" w:sz="0" w:space="0" w:color="auto"/>
        <w:bottom w:val="none" w:sz="0" w:space="0" w:color="auto"/>
        <w:right w:val="none" w:sz="0" w:space="0" w:color="auto"/>
      </w:divBdr>
    </w:div>
    <w:div w:id="149255328">
      <w:bodyDiv w:val="1"/>
      <w:marLeft w:val="0"/>
      <w:marRight w:val="0"/>
      <w:marTop w:val="0"/>
      <w:marBottom w:val="0"/>
      <w:divBdr>
        <w:top w:val="none" w:sz="0" w:space="0" w:color="auto"/>
        <w:left w:val="none" w:sz="0" w:space="0" w:color="auto"/>
        <w:bottom w:val="none" w:sz="0" w:space="0" w:color="auto"/>
        <w:right w:val="none" w:sz="0" w:space="0" w:color="auto"/>
      </w:divBdr>
    </w:div>
    <w:div w:id="171145230">
      <w:bodyDiv w:val="1"/>
      <w:marLeft w:val="0"/>
      <w:marRight w:val="0"/>
      <w:marTop w:val="0"/>
      <w:marBottom w:val="0"/>
      <w:divBdr>
        <w:top w:val="none" w:sz="0" w:space="0" w:color="auto"/>
        <w:left w:val="none" w:sz="0" w:space="0" w:color="auto"/>
        <w:bottom w:val="none" w:sz="0" w:space="0" w:color="auto"/>
        <w:right w:val="none" w:sz="0" w:space="0" w:color="auto"/>
      </w:divBdr>
    </w:div>
    <w:div w:id="211621905">
      <w:bodyDiv w:val="1"/>
      <w:marLeft w:val="0"/>
      <w:marRight w:val="0"/>
      <w:marTop w:val="0"/>
      <w:marBottom w:val="0"/>
      <w:divBdr>
        <w:top w:val="none" w:sz="0" w:space="0" w:color="auto"/>
        <w:left w:val="none" w:sz="0" w:space="0" w:color="auto"/>
        <w:bottom w:val="none" w:sz="0" w:space="0" w:color="auto"/>
        <w:right w:val="none" w:sz="0" w:space="0" w:color="auto"/>
      </w:divBdr>
    </w:div>
    <w:div w:id="245505233">
      <w:bodyDiv w:val="1"/>
      <w:marLeft w:val="0"/>
      <w:marRight w:val="0"/>
      <w:marTop w:val="0"/>
      <w:marBottom w:val="0"/>
      <w:divBdr>
        <w:top w:val="none" w:sz="0" w:space="0" w:color="auto"/>
        <w:left w:val="none" w:sz="0" w:space="0" w:color="auto"/>
        <w:bottom w:val="none" w:sz="0" w:space="0" w:color="auto"/>
        <w:right w:val="none" w:sz="0" w:space="0" w:color="auto"/>
      </w:divBdr>
    </w:div>
    <w:div w:id="254674782">
      <w:bodyDiv w:val="1"/>
      <w:marLeft w:val="0"/>
      <w:marRight w:val="0"/>
      <w:marTop w:val="0"/>
      <w:marBottom w:val="0"/>
      <w:divBdr>
        <w:top w:val="none" w:sz="0" w:space="0" w:color="auto"/>
        <w:left w:val="none" w:sz="0" w:space="0" w:color="auto"/>
        <w:bottom w:val="none" w:sz="0" w:space="0" w:color="auto"/>
        <w:right w:val="none" w:sz="0" w:space="0" w:color="auto"/>
      </w:divBdr>
    </w:div>
    <w:div w:id="257762071">
      <w:bodyDiv w:val="1"/>
      <w:marLeft w:val="0"/>
      <w:marRight w:val="0"/>
      <w:marTop w:val="0"/>
      <w:marBottom w:val="0"/>
      <w:divBdr>
        <w:top w:val="none" w:sz="0" w:space="0" w:color="auto"/>
        <w:left w:val="none" w:sz="0" w:space="0" w:color="auto"/>
        <w:bottom w:val="none" w:sz="0" w:space="0" w:color="auto"/>
        <w:right w:val="none" w:sz="0" w:space="0" w:color="auto"/>
      </w:divBdr>
    </w:div>
    <w:div w:id="263197748">
      <w:bodyDiv w:val="1"/>
      <w:marLeft w:val="0"/>
      <w:marRight w:val="0"/>
      <w:marTop w:val="0"/>
      <w:marBottom w:val="0"/>
      <w:divBdr>
        <w:top w:val="none" w:sz="0" w:space="0" w:color="auto"/>
        <w:left w:val="none" w:sz="0" w:space="0" w:color="auto"/>
        <w:bottom w:val="none" w:sz="0" w:space="0" w:color="auto"/>
        <w:right w:val="none" w:sz="0" w:space="0" w:color="auto"/>
      </w:divBdr>
    </w:div>
    <w:div w:id="294725872">
      <w:bodyDiv w:val="1"/>
      <w:marLeft w:val="0"/>
      <w:marRight w:val="0"/>
      <w:marTop w:val="0"/>
      <w:marBottom w:val="0"/>
      <w:divBdr>
        <w:top w:val="none" w:sz="0" w:space="0" w:color="auto"/>
        <w:left w:val="none" w:sz="0" w:space="0" w:color="auto"/>
        <w:bottom w:val="none" w:sz="0" w:space="0" w:color="auto"/>
        <w:right w:val="none" w:sz="0" w:space="0" w:color="auto"/>
      </w:divBdr>
    </w:div>
    <w:div w:id="311563272">
      <w:bodyDiv w:val="1"/>
      <w:marLeft w:val="0"/>
      <w:marRight w:val="0"/>
      <w:marTop w:val="0"/>
      <w:marBottom w:val="0"/>
      <w:divBdr>
        <w:top w:val="none" w:sz="0" w:space="0" w:color="auto"/>
        <w:left w:val="none" w:sz="0" w:space="0" w:color="auto"/>
        <w:bottom w:val="none" w:sz="0" w:space="0" w:color="auto"/>
        <w:right w:val="none" w:sz="0" w:space="0" w:color="auto"/>
      </w:divBdr>
    </w:div>
    <w:div w:id="322588373">
      <w:bodyDiv w:val="1"/>
      <w:marLeft w:val="0"/>
      <w:marRight w:val="0"/>
      <w:marTop w:val="0"/>
      <w:marBottom w:val="0"/>
      <w:divBdr>
        <w:top w:val="none" w:sz="0" w:space="0" w:color="auto"/>
        <w:left w:val="none" w:sz="0" w:space="0" w:color="auto"/>
        <w:bottom w:val="none" w:sz="0" w:space="0" w:color="auto"/>
        <w:right w:val="none" w:sz="0" w:space="0" w:color="auto"/>
      </w:divBdr>
    </w:div>
    <w:div w:id="421492480">
      <w:bodyDiv w:val="1"/>
      <w:marLeft w:val="0"/>
      <w:marRight w:val="0"/>
      <w:marTop w:val="0"/>
      <w:marBottom w:val="0"/>
      <w:divBdr>
        <w:top w:val="none" w:sz="0" w:space="0" w:color="auto"/>
        <w:left w:val="none" w:sz="0" w:space="0" w:color="auto"/>
        <w:bottom w:val="none" w:sz="0" w:space="0" w:color="auto"/>
        <w:right w:val="none" w:sz="0" w:space="0" w:color="auto"/>
      </w:divBdr>
    </w:div>
    <w:div w:id="431633048">
      <w:bodyDiv w:val="1"/>
      <w:marLeft w:val="0"/>
      <w:marRight w:val="0"/>
      <w:marTop w:val="0"/>
      <w:marBottom w:val="0"/>
      <w:divBdr>
        <w:top w:val="none" w:sz="0" w:space="0" w:color="auto"/>
        <w:left w:val="none" w:sz="0" w:space="0" w:color="auto"/>
        <w:bottom w:val="none" w:sz="0" w:space="0" w:color="auto"/>
        <w:right w:val="none" w:sz="0" w:space="0" w:color="auto"/>
      </w:divBdr>
    </w:div>
    <w:div w:id="432239340">
      <w:bodyDiv w:val="1"/>
      <w:marLeft w:val="0"/>
      <w:marRight w:val="0"/>
      <w:marTop w:val="0"/>
      <w:marBottom w:val="0"/>
      <w:divBdr>
        <w:top w:val="none" w:sz="0" w:space="0" w:color="auto"/>
        <w:left w:val="none" w:sz="0" w:space="0" w:color="auto"/>
        <w:bottom w:val="none" w:sz="0" w:space="0" w:color="auto"/>
        <w:right w:val="none" w:sz="0" w:space="0" w:color="auto"/>
      </w:divBdr>
      <w:divsChild>
        <w:div w:id="1491100996">
          <w:marLeft w:val="0"/>
          <w:marRight w:val="0"/>
          <w:marTop w:val="180"/>
          <w:marBottom w:val="180"/>
          <w:divBdr>
            <w:top w:val="none" w:sz="0" w:space="0" w:color="auto"/>
            <w:left w:val="none" w:sz="0" w:space="0" w:color="auto"/>
            <w:bottom w:val="none" w:sz="0" w:space="0" w:color="auto"/>
            <w:right w:val="none" w:sz="0" w:space="0" w:color="auto"/>
          </w:divBdr>
          <w:divsChild>
            <w:div w:id="696081580">
              <w:marLeft w:val="-225"/>
              <w:marRight w:val="-225"/>
              <w:marTop w:val="0"/>
              <w:marBottom w:val="0"/>
              <w:divBdr>
                <w:top w:val="none" w:sz="0" w:space="0" w:color="auto"/>
                <w:left w:val="none" w:sz="0" w:space="0" w:color="auto"/>
                <w:bottom w:val="none" w:sz="0" w:space="0" w:color="auto"/>
                <w:right w:val="none" w:sz="0" w:space="0" w:color="auto"/>
              </w:divBdr>
              <w:divsChild>
                <w:div w:id="1273434157">
                  <w:marLeft w:val="0"/>
                  <w:marRight w:val="0"/>
                  <w:marTop w:val="0"/>
                  <w:marBottom w:val="0"/>
                  <w:divBdr>
                    <w:top w:val="none" w:sz="0" w:space="0" w:color="auto"/>
                    <w:left w:val="none" w:sz="0" w:space="0" w:color="auto"/>
                    <w:bottom w:val="none" w:sz="0" w:space="0" w:color="auto"/>
                    <w:right w:val="none" w:sz="0" w:space="0" w:color="auto"/>
                  </w:divBdr>
                  <w:divsChild>
                    <w:div w:id="1661808245">
                      <w:marLeft w:val="-225"/>
                      <w:marRight w:val="-225"/>
                      <w:marTop w:val="0"/>
                      <w:marBottom w:val="0"/>
                      <w:divBdr>
                        <w:top w:val="none" w:sz="0" w:space="0" w:color="auto"/>
                        <w:left w:val="none" w:sz="0" w:space="0" w:color="auto"/>
                        <w:bottom w:val="none" w:sz="0" w:space="0" w:color="auto"/>
                        <w:right w:val="none" w:sz="0" w:space="0" w:color="auto"/>
                      </w:divBdr>
                      <w:divsChild>
                        <w:div w:id="2135518722">
                          <w:marLeft w:val="0"/>
                          <w:marRight w:val="0"/>
                          <w:marTop w:val="0"/>
                          <w:marBottom w:val="0"/>
                          <w:divBdr>
                            <w:top w:val="none" w:sz="0" w:space="0" w:color="auto"/>
                            <w:left w:val="none" w:sz="0" w:space="0" w:color="auto"/>
                            <w:bottom w:val="none" w:sz="0" w:space="0" w:color="auto"/>
                            <w:right w:val="none" w:sz="0" w:space="0" w:color="auto"/>
                          </w:divBdr>
                          <w:divsChild>
                            <w:div w:id="437801079">
                              <w:marLeft w:val="0"/>
                              <w:marRight w:val="0"/>
                              <w:marTop w:val="0"/>
                              <w:marBottom w:val="0"/>
                              <w:divBdr>
                                <w:top w:val="none" w:sz="0" w:space="0" w:color="auto"/>
                                <w:left w:val="none" w:sz="0" w:space="0" w:color="auto"/>
                                <w:bottom w:val="none" w:sz="0" w:space="0" w:color="auto"/>
                                <w:right w:val="none" w:sz="0" w:space="0" w:color="auto"/>
                              </w:divBdr>
                              <w:divsChild>
                                <w:div w:id="1834174159">
                                  <w:marLeft w:val="0"/>
                                  <w:marRight w:val="0"/>
                                  <w:marTop w:val="0"/>
                                  <w:marBottom w:val="0"/>
                                  <w:divBdr>
                                    <w:top w:val="none" w:sz="0" w:space="0" w:color="auto"/>
                                    <w:left w:val="none" w:sz="0" w:space="0" w:color="auto"/>
                                    <w:bottom w:val="none" w:sz="0" w:space="0" w:color="auto"/>
                                    <w:right w:val="none" w:sz="0" w:space="0" w:color="auto"/>
                                  </w:divBdr>
                                  <w:divsChild>
                                    <w:div w:id="1711106365">
                                      <w:marLeft w:val="0"/>
                                      <w:marRight w:val="0"/>
                                      <w:marTop w:val="0"/>
                                      <w:marBottom w:val="0"/>
                                      <w:divBdr>
                                        <w:top w:val="none" w:sz="0" w:space="0" w:color="auto"/>
                                        <w:left w:val="none" w:sz="0" w:space="0" w:color="auto"/>
                                        <w:bottom w:val="none" w:sz="0" w:space="0" w:color="auto"/>
                                        <w:right w:val="none" w:sz="0" w:space="0" w:color="auto"/>
                                      </w:divBdr>
                                      <w:divsChild>
                                        <w:div w:id="1059979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435634065">
      <w:bodyDiv w:val="1"/>
      <w:marLeft w:val="0"/>
      <w:marRight w:val="0"/>
      <w:marTop w:val="0"/>
      <w:marBottom w:val="0"/>
      <w:divBdr>
        <w:top w:val="none" w:sz="0" w:space="0" w:color="auto"/>
        <w:left w:val="none" w:sz="0" w:space="0" w:color="auto"/>
        <w:bottom w:val="none" w:sz="0" w:space="0" w:color="auto"/>
        <w:right w:val="none" w:sz="0" w:space="0" w:color="auto"/>
      </w:divBdr>
    </w:div>
    <w:div w:id="460264841">
      <w:bodyDiv w:val="1"/>
      <w:marLeft w:val="0"/>
      <w:marRight w:val="0"/>
      <w:marTop w:val="0"/>
      <w:marBottom w:val="0"/>
      <w:divBdr>
        <w:top w:val="none" w:sz="0" w:space="0" w:color="auto"/>
        <w:left w:val="none" w:sz="0" w:space="0" w:color="auto"/>
        <w:bottom w:val="none" w:sz="0" w:space="0" w:color="auto"/>
        <w:right w:val="none" w:sz="0" w:space="0" w:color="auto"/>
      </w:divBdr>
      <w:divsChild>
        <w:div w:id="111675102">
          <w:marLeft w:val="360"/>
          <w:marRight w:val="0"/>
          <w:marTop w:val="0"/>
          <w:marBottom w:val="0"/>
          <w:divBdr>
            <w:top w:val="none" w:sz="0" w:space="0" w:color="auto"/>
            <w:left w:val="none" w:sz="0" w:space="0" w:color="auto"/>
            <w:bottom w:val="none" w:sz="0" w:space="0" w:color="auto"/>
            <w:right w:val="none" w:sz="0" w:space="0" w:color="auto"/>
          </w:divBdr>
        </w:div>
        <w:div w:id="118107942">
          <w:marLeft w:val="360"/>
          <w:marRight w:val="0"/>
          <w:marTop w:val="0"/>
          <w:marBottom w:val="0"/>
          <w:divBdr>
            <w:top w:val="none" w:sz="0" w:space="0" w:color="auto"/>
            <w:left w:val="none" w:sz="0" w:space="0" w:color="auto"/>
            <w:bottom w:val="none" w:sz="0" w:space="0" w:color="auto"/>
            <w:right w:val="none" w:sz="0" w:space="0" w:color="auto"/>
          </w:divBdr>
        </w:div>
        <w:div w:id="212615695">
          <w:marLeft w:val="360"/>
          <w:marRight w:val="0"/>
          <w:marTop w:val="0"/>
          <w:marBottom w:val="0"/>
          <w:divBdr>
            <w:top w:val="none" w:sz="0" w:space="0" w:color="auto"/>
            <w:left w:val="none" w:sz="0" w:space="0" w:color="auto"/>
            <w:bottom w:val="none" w:sz="0" w:space="0" w:color="auto"/>
            <w:right w:val="none" w:sz="0" w:space="0" w:color="auto"/>
          </w:divBdr>
        </w:div>
        <w:div w:id="354964663">
          <w:marLeft w:val="360"/>
          <w:marRight w:val="0"/>
          <w:marTop w:val="0"/>
          <w:marBottom w:val="0"/>
          <w:divBdr>
            <w:top w:val="none" w:sz="0" w:space="0" w:color="auto"/>
            <w:left w:val="none" w:sz="0" w:space="0" w:color="auto"/>
            <w:bottom w:val="none" w:sz="0" w:space="0" w:color="auto"/>
            <w:right w:val="none" w:sz="0" w:space="0" w:color="auto"/>
          </w:divBdr>
        </w:div>
        <w:div w:id="626200425">
          <w:marLeft w:val="360"/>
          <w:marRight w:val="0"/>
          <w:marTop w:val="0"/>
          <w:marBottom w:val="0"/>
          <w:divBdr>
            <w:top w:val="none" w:sz="0" w:space="0" w:color="auto"/>
            <w:left w:val="none" w:sz="0" w:space="0" w:color="auto"/>
            <w:bottom w:val="none" w:sz="0" w:space="0" w:color="auto"/>
            <w:right w:val="none" w:sz="0" w:space="0" w:color="auto"/>
          </w:divBdr>
        </w:div>
        <w:div w:id="1273977521">
          <w:marLeft w:val="360"/>
          <w:marRight w:val="0"/>
          <w:marTop w:val="0"/>
          <w:marBottom w:val="0"/>
          <w:divBdr>
            <w:top w:val="none" w:sz="0" w:space="0" w:color="auto"/>
            <w:left w:val="none" w:sz="0" w:space="0" w:color="auto"/>
            <w:bottom w:val="none" w:sz="0" w:space="0" w:color="auto"/>
            <w:right w:val="none" w:sz="0" w:space="0" w:color="auto"/>
          </w:divBdr>
        </w:div>
        <w:div w:id="1635797364">
          <w:marLeft w:val="360"/>
          <w:marRight w:val="0"/>
          <w:marTop w:val="0"/>
          <w:marBottom w:val="0"/>
          <w:divBdr>
            <w:top w:val="none" w:sz="0" w:space="0" w:color="auto"/>
            <w:left w:val="none" w:sz="0" w:space="0" w:color="auto"/>
            <w:bottom w:val="none" w:sz="0" w:space="0" w:color="auto"/>
            <w:right w:val="none" w:sz="0" w:space="0" w:color="auto"/>
          </w:divBdr>
        </w:div>
        <w:div w:id="1712342361">
          <w:marLeft w:val="360"/>
          <w:marRight w:val="0"/>
          <w:marTop w:val="0"/>
          <w:marBottom w:val="0"/>
          <w:divBdr>
            <w:top w:val="none" w:sz="0" w:space="0" w:color="auto"/>
            <w:left w:val="none" w:sz="0" w:space="0" w:color="auto"/>
            <w:bottom w:val="none" w:sz="0" w:space="0" w:color="auto"/>
            <w:right w:val="none" w:sz="0" w:space="0" w:color="auto"/>
          </w:divBdr>
        </w:div>
        <w:div w:id="1757172473">
          <w:marLeft w:val="360"/>
          <w:marRight w:val="0"/>
          <w:marTop w:val="0"/>
          <w:marBottom w:val="0"/>
          <w:divBdr>
            <w:top w:val="none" w:sz="0" w:space="0" w:color="auto"/>
            <w:left w:val="none" w:sz="0" w:space="0" w:color="auto"/>
            <w:bottom w:val="none" w:sz="0" w:space="0" w:color="auto"/>
            <w:right w:val="none" w:sz="0" w:space="0" w:color="auto"/>
          </w:divBdr>
        </w:div>
        <w:div w:id="2019386956">
          <w:marLeft w:val="360"/>
          <w:marRight w:val="0"/>
          <w:marTop w:val="0"/>
          <w:marBottom w:val="0"/>
          <w:divBdr>
            <w:top w:val="none" w:sz="0" w:space="0" w:color="auto"/>
            <w:left w:val="none" w:sz="0" w:space="0" w:color="auto"/>
            <w:bottom w:val="none" w:sz="0" w:space="0" w:color="auto"/>
            <w:right w:val="none" w:sz="0" w:space="0" w:color="auto"/>
          </w:divBdr>
        </w:div>
      </w:divsChild>
    </w:div>
    <w:div w:id="496573682">
      <w:bodyDiv w:val="1"/>
      <w:marLeft w:val="0"/>
      <w:marRight w:val="0"/>
      <w:marTop w:val="0"/>
      <w:marBottom w:val="0"/>
      <w:divBdr>
        <w:top w:val="none" w:sz="0" w:space="0" w:color="auto"/>
        <w:left w:val="none" w:sz="0" w:space="0" w:color="auto"/>
        <w:bottom w:val="none" w:sz="0" w:space="0" w:color="auto"/>
        <w:right w:val="none" w:sz="0" w:space="0" w:color="auto"/>
      </w:divBdr>
    </w:div>
    <w:div w:id="498887471">
      <w:bodyDiv w:val="1"/>
      <w:marLeft w:val="0"/>
      <w:marRight w:val="0"/>
      <w:marTop w:val="0"/>
      <w:marBottom w:val="0"/>
      <w:divBdr>
        <w:top w:val="none" w:sz="0" w:space="0" w:color="auto"/>
        <w:left w:val="none" w:sz="0" w:space="0" w:color="auto"/>
        <w:bottom w:val="none" w:sz="0" w:space="0" w:color="auto"/>
        <w:right w:val="none" w:sz="0" w:space="0" w:color="auto"/>
      </w:divBdr>
    </w:div>
    <w:div w:id="504367595">
      <w:bodyDiv w:val="1"/>
      <w:marLeft w:val="0"/>
      <w:marRight w:val="0"/>
      <w:marTop w:val="0"/>
      <w:marBottom w:val="0"/>
      <w:divBdr>
        <w:top w:val="none" w:sz="0" w:space="0" w:color="auto"/>
        <w:left w:val="none" w:sz="0" w:space="0" w:color="auto"/>
        <w:bottom w:val="none" w:sz="0" w:space="0" w:color="auto"/>
        <w:right w:val="none" w:sz="0" w:space="0" w:color="auto"/>
      </w:divBdr>
    </w:div>
    <w:div w:id="523250720">
      <w:bodyDiv w:val="1"/>
      <w:marLeft w:val="0"/>
      <w:marRight w:val="0"/>
      <w:marTop w:val="0"/>
      <w:marBottom w:val="0"/>
      <w:divBdr>
        <w:top w:val="none" w:sz="0" w:space="0" w:color="auto"/>
        <w:left w:val="none" w:sz="0" w:space="0" w:color="auto"/>
        <w:bottom w:val="none" w:sz="0" w:space="0" w:color="auto"/>
        <w:right w:val="none" w:sz="0" w:space="0" w:color="auto"/>
      </w:divBdr>
    </w:div>
    <w:div w:id="531311674">
      <w:bodyDiv w:val="1"/>
      <w:marLeft w:val="0"/>
      <w:marRight w:val="0"/>
      <w:marTop w:val="0"/>
      <w:marBottom w:val="0"/>
      <w:divBdr>
        <w:top w:val="none" w:sz="0" w:space="0" w:color="auto"/>
        <w:left w:val="none" w:sz="0" w:space="0" w:color="auto"/>
        <w:bottom w:val="none" w:sz="0" w:space="0" w:color="auto"/>
        <w:right w:val="none" w:sz="0" w:space="0" w:color="auto"/>
      </w:divBdr>
    </w:div>
    <w:div w:id="539364512">
      <w:bodyDiv w:val="1"/>
      <w:marLeft w:val="0"/>
      <w:marRight w:val="0"/>
      <w:marTop w:val="0"/>
      <w:marBottom w:val="0"/>
      <w:divBdr>
        <w:top w:val="none" w:sz="0" w:space="0" w:color="auto"/>
        <w:left w:val="none" w:sz="0" w:space="0" w:color="auto"/>
        <w:bottom w:val="none" w:sz="0" w:space="0" w:color="auto"/>
        <w:right w:val="none" w:sz="0" w:space="0" w:color="auto"/>
      </w:divBdr>
      <w:divsChild>
        <w:div w:id="322315265">
          <w:marLeft w:val="547"/>
          <w:marRight w:val="0"/>
          <w:marTop w:val="180"/>
          <w:marBottom w:val="0"/>
          <w:divBdr>
            <w:top w:val="none" w:sz="0" w:space="0" w:color="auto"/>
            <w:left w:val="none" w:sz="0" w:space="0" w:color="auto"/>
            <w:bottom w:val="none" w:sz="0" w:space="0" w:color="auto"/>
            <w:right w:val="none" w:sz="0" w:space="0" w:color="auto"/>
          </w:divBdr>
        </w:div>
        <w:div w:id="1246694050">
          <w:marLeft w:val="547"/>
          <w:marRight w:val="0"/>
          <w:marTop w:val="180"/>
          <w:marBottom w:val="0"/>
          <w:divBdr>
            <w:top w:val="none" w:sz="0" w:space="0" w:color="auto"/>
            <w:left w:val="none" w:sz="0" w:space="0" w:color="auto"/>
            <w:bottom w:val="none" w:sz="0" w:space="0" w:color="auto"/>
            <w:right w:val="none" w:sz="0" w:space="0" w:color="auto"/>
          </w:divBdr>
        </w:div>
        <w:div w:id="1351029936">
          <w:marLeft w:val="547"/>
          <w:marRight w:val="0"/>
          <w:marTop w:val="180"/>
          <w:marBottom w:val="0"/>
          <w:divBdr>
            <w:top w:val="none" w:sz="0" w:space="0" w:color="auto"/>
            <w:left w:val="none" w:sz="0" w:space="0" w:color="auto"/>
            <w:bottom w:val="none" w:sz="0" w:space="0" w:color="auto"/>
            <w:right w:val="none" w:sz="0" w:space="0" w:color="auto"/>
          </w:divBdr>
        </w:div>
      </w:divsChild>
    </w:div>
    <w:div w:id="561791160">
      <w:bodyDiv w:val="1"/>
      <w:marLeft w:val="0"/>
      <w:marRight w:val="0"/>
      <w:marTop w:val="0"/>
      <w:marBottom w:val="0"/>
      <w:divBdr>
        <w:top w:val="none" w:sz="0" w:space="0" w:color="auto"/>
        <w:left w:val="none" w:sz="0" w:space="0" w:color="auto"/>
        <w:bottom w:val="none" w:sz="0" w:space="0" w:color="auto"/>
        <w:right w:val="none" w:sz="0" w:space="0" w:color="auto"/>
      </w:divBdr>
    </w:div>
    <w:div w:id="568734595">
      <w:bodyDiv w:val="1"/>
      <w:marLeft w:val="0"/>
      <w:marRight w:val="0"/>
      <w:marTop w:val="0"/>
      <w:marBottom w:val="0"/>
      <w:divBdr>
        <w:top w:val="none" w:sz="0" w:space="0" w:color="auto"/>
        <w:left w:val="none" w:sz="0" w:space="0" w:color="auto"/>
        <w:bottom w:val="none" w:sz="0" w:space="0" w:color="auto"/>
        <w:right w:val="none" w:sz="0" w:space="0" w:color="auto"/>
      </w:divBdr>
    </w:div>
    <w:div w:id="571768777">
      <w:bodyDiv w:val="1"/>
      <w:marLeft w:val="0"/>
      <w:marRight w:val="0"/>
      <w:marTop w:val="0"/>
      <w:marBottom w:val="0"/>
      <w:divBdr>
        <w:top w:val="none" w:sz="0" w:space="0" w:color="auto"/>
        <w:left w:val="none" w:sz="0" w:space="0" w:color="auto"/>
        <w:bottom w:val="none" w:sz="0" w:space="0" w:color="auto"/>
        <w:right w:val="none" w:sz="0" w:space="0" w:color="auto"/>
      </w:divBdr>
    </w:div>
    <w:div w:id="595675077">
      <w:bodyDiv w:val="1"/>
      <w:marLeft w:val="0"/>
      <w:marRight w:val="0"/>
      <w:marTop w:val="0"/>
      <w:marBottom w:val="0"/>
      <w:divBdr>
        <w:top w:val="none" w:sz="0" w:space="0" w:color="auto"/>
        <w:left w:val="none" w:sz="0" w:space="0" w:color="auto"/>
        <w:bottom w:val="none" w:sz="0" w:space="0" w:color="auto"/>
        <w:right w:val="none" w:sz="0" w:space="0" w:color="auto"/>
      </w:divBdr>
    </w:div>
    <w:div w:id="602152196">
      <w:bodyDiv w:val="1"/>
      <w:marLeft w:val="0"/>
      <w:marRight w:val="0"/>
      <w:marTop w:val="0"/>
      <w:marBottom w:val="0"/>
      <w:divBdr>
        <w:top w:val="none" w:sz="0" w:space="0" w:color="auto"/>
        <w:left w:val="none" w:sz="0" w:space="0" w:color="auto"/>
        <w:bottom w:val="none" w:sz="0" w:space="0" w:color="auto"/>
        <w:right w:val="none" w:sz="0" w:space="0" w:color="auto"/>
      </w:divBdr>
    </w:div>
    <w:div w:id="618150967">
      <w:bodyDiv w:val="1"/>
      <w:marLeft w:val="0"/>
      <w:marRight w:val="0"/>
      <w:marTop w:val="0"/>
      <w:marBottom w:val="0"/>
      <w:divBdr>
        <w:top w:val="none" w:sz="0" w:space="0" w:color="auto"/>
        <w:left w:val="none" w:sz="0" w:space="0" w:color="auto"/>
        <w:bottom w:val="none" w:sz="0" w:space="0" w:color="auto"/>
        <w:right w:val="none" w:sz="0" w:space="0" w:color="auto"/>
      </w:divBdr>
    </w:div>
    <w:div w:id="639698129">
      <w:bodyDiv w:val="1"/>
      <w:marLeft w:val="0"/>
      <w:marRight w:val="0"/>
      <w:marTop w:val="0"/>
      <w:marBottom w:val="0"/>
      <w:divBdr>
        <w:top w:val="none" w:sz="0" w:space="0" w:color="auto"/>
        <w:left w:val="none" w:sz="0" w:space="0" w:color="auto"/>
        <w:bottom w:val="none" w:sz="0" w:space="0" w:color="auto"/>
        <w:right w:val="none" w:sz="0" w:space="0" w:color="auto"/>
      </w:divBdr>
      <w:divsChild>
        <w:div w:id="536117246">
          <w:marLeft w:val="850"/>
          <w:marRight w:val="0"/>
          <w:marTop w:val="180"/>
          <w:marBottom w:val="0"/>
          <w:divBdr>
            <w:top w:val="none" w:sz="0" w:space="0" w:color="auto"/>
            <w:left w:val="none" w:sz="0" w:space="0" w:color="auto"/>
            <w:bottom w:val="none" w:sz="0" w:space="0" w:color="auto"/>
            <w:right w:val="none" w:sz="0" w:space="0" w:color="auto"/>
          </w:divBdr>
        </w:div>
        <w:div w:id="1407531565">
          <w:marLeft w:val="850"/>
          <w:marRight w:val="0"/>
          <w:marTop w:val="180"/>
          <w:marBottom w:val="0"/>
          <w:divBdr>
            <w:top w:val="none" w:sz="0" w:space="0" w:color="auto"/>
            <w:left w:val="none" w:sz="0" w:space="0" w:color="auto"/>
            <w:bottom w:val="none" w:sz="0" w:space="0" w:color="auto"/>
            <w:right w:val="none" w:sz="0" w:space="0" w:color="auto"/>
          </w:divBdr>
        </w:div>
        <w:div w:id="1531801222">
          <w:marLeft w:val="446"/>
          <w:marRight w:val="0"/>
          <w:marTop w:val="180"/>
          <w:marBottom w:val="0"/>
          <w:divBdr>
            <w:top w:val="none" w:sz="0" w:space="0" w:color="auto"/>
            <w:left w:val="none" w:sz="0" w:space="0" w:color="auto"/>
            <w:bottom w:val="none" w:sz="0" w:space="0" w:color="auto"/>
            <w:right w:val="none" w:sz="0" w:space="0" w:color="auto"/>
          </w:divBdr>
        </w:div>
        <w:div w:id="2083944437">
          <w:marLeft w:val="446"/>
          <w:marRight w:val="0"/>
          <w:marTop w:val="180"/>
          <w:marBottom w:val="0"/>
          <w:divBdr>
            <w:top w:val="none" w:sz="0" w:space="0" w:color="auto"/>
            <w:left w:val="none" w:sz="0" w:space="0" w:color="auto"/>
            <w:bottom w:val="none" w:sz="0" w:space="0" w:color="auto"/>
            <w:right w:val="none" w:sz="0" w:space="0" w:color="auto"/>
          </w:divBdr>
        </w:div>
      </w:divsChild>
    </w:div>
    <w:div w:id="640039007">
      <w:bodyDiv w:val="1"/>
      <w:marLeft w:val="0"/>
      <w:marRight w:val="0"/>
      <w:marTop w:val="0"/>
      <w:marBottom w:val="0"/>
      <w:divBdr>
        <w:top w:val="none" w:sz="0" w:space="0" w:color="auto"/>
        <w:left w:val="none" w:sz="0" w:space="0" w:color="auto"/>
        <w:bottom w:val="none" w:sz="0" w:space="0" w:color="auto"/>
        <w:right w:val="none" w:sz="0" w:space="0" w:color="auto"/>
      </w:divBdr>
      <w:divsChild>
        <w:div w:id="44180876">
          <w:marLeft w:val="446"/>
          <w:marRight w:val="0"/>
          <w:marTop w:val="120"/>
          <w:marBottom w:val="40"/>
          <w:divBdr>
            <w:top w:val="none" w:sz="0" w:space="0" w:color="auto"/>
            <w:left w:val="none" w:sz="0" w:space="0" w:color="auto"/>
            <w:bottom w:val="none" w:sz="0" w:space="0" w:color="auto"/>
            <w:right w:val="none" w:sz="0" w:space="0" w:color="auto"/>
          </w:divBdr>
        </w:div>
        <w:div w:id="327174997">
          <w:marLeft w:val="446"/>
          <w:marRight w:val="0"/>
          <w:marTop w:val="120"/>
          <w:marBottom w:val="40"/>
          <w:divBdr>
            <w:top w:val="none" w:sz="0" w:space="0" w:color="auto"/>
            <w:left w:val="none" w:sz="0" w:space="0" w:color="auto"/>
            <w:bottom w:val="none" w:sz="0" w:space="0" w:color="auto"/>
            <w:right w:val="none" w:sz="0" w:space="0" w:color="auto"/>
          </w:divBdr>
        </w:div>
        <w:div w:id="525757292">
          <w:marLeft w:val="446"/>
          <w:marRight w:val="0"/>
          <w:marTop w:val="120"/>
          <w:marBottom w:val="160"/>
          <w:divBdr>
            <w:top w:val="none" w:sz="0" w:space="0" w:color="auto"/>
            <w:left w:val="none" w:sz="0" w:space="0" w:color="auto"/>
            <w:bottom w:val="none" w:sz="0" w:space="0" w:color="auto"/>
            <w:right w:val="none" w:sz="0" w:space="0" w:color="auto"/>
          </w:divBdr>
        </w:div>
        <w:div w:id="595359874">
          <w:marLeft w:val="446"/>
          <w:marRight w:val="0"/>
          <w:marTop w:val="120"/>
          <w:marBottom w:val="40"/>
          <w:divBdr>
            <w:top w:val="none" w:sz="0" w:space="0" w:color="auto"/>
            <w:left w:val="none" w:sz="0" w:space="0" w:color="auto"/>
            <w:bottom w:val="none" w:sz="0" w:space="0" w:color="auto"/>
            <w:right w:val="none" w:sz="0" w:space="0" w:color="auto"/>
          </w:divBdr>
        </w:div>
        <w:div w:id="1364550895">
          <w:marLeft w:val="446"/>
          <w:marRight w:val="0"/>
          <w:marTop w:val="120"/>
          <w:marBottom w:val="40"/>
          <w:divBdr>
            <w:top w:val="none" w:sz="0" w:space="0" w:color="auto"/>
            <w:left w:val="none" w:sz="0" w:space="0" w:color="auto"/>
            <w:bottom w:val="none" w:sz="0" w:space="0" w:color="auto"/>
            <w:right w:val="none" w:sz="0" w:space="0" w:color="auto"/>
          </w:divBdr>
        </w:div>
      </w:divsChild>
    </w:div>
    <w:div w:id="682979609">
      <w:bodyDiv w:val="1"/>
      <w:marLeft w:val="0"/>
      <w:marRight w:val="0"/>
      <w:marTop w:val="0"/>
      <w:marBottom w:val="0"/>
      <w:divBdr>
        <w:top w:val="none" w:sz="0" w:space="0" w:color="auto"/>
        <w:left w:val="none" w:sz="0" w:space="0" w:color="auto"/>
        <w:bottom w:val="none" w:sz="0" w:space="0" w:color="auto"/>
        <w:right w:val="none" w:sz="0" w:space="0" w:color="auto"/>
      </w:divBdr>
    </w:div>
    <w:div w:id="700135624">
      <w:bodyDiv w:val="1"/>
      <w:marLeft w:val="0"/>
      <w:marRight w:val="0"/>
      <w:marTop w:val="0"/>
      <w:marBottom w:val="0"/>
      <w:divBdr>
        <w:top w:val="none" w:sz="0" w:space="0" w:color="auto"/>
        <w:left w:val="none" w:sz="0" w:space="0" w:color="auto"/>
        <w:bottom w:val="none" w:sz="0" w:space="0" w:color="auto"/>
        <w:right w:val="none" w:sz="0" w:space="0" w:color="auto"/>
      </w:divBdr>
    </w:div>
    <w:div w:id="704871404">
      <w:bodyDiv w:val="1"/>
      <w:marLeft w:val="0"/>
      <w:marRight w:val="0"/>
      <w:marTop w:val="0"/>
      <w:marBottom w:val="0"/>
      <w:divBdr>
        <w:top w:val="none" w:sz="0" w:space="0" w:color="auto"/>
        <w:left w:val="none" w:sz="0" w:space="0" w:color="auto"/>
        <w:bottom w:val="none" w:sz="0" w:space="0" w:color="auto"/>
        <w:right w:val="none" w:sz="0" w:space="0" w:color="auto"/>
      </w:divBdr>
    </w:div>
    <w:div w:id="724062736">
      <w:bodyDiv w:val="1"/>
      <w:marLeft w:val="0"/>
      <w:marRight w:val="0"/>
      <w:marTop w:val="0"/>
      <w:marBottom w:val="0"/>
      <w:divBdr>
        <w:top w:val="none" w:sz="0" w:space="0" w:color="auto"/>
        <w:left w:val="none" w:sz="0" w:space="0" w:color="auto"/>
        <w:bottom w:val="none" w:sz="0" w:space="0" w:color="auto"/>
        <w:right w:val="none" w:sz="0" w:space="0" w:color="auto"/>
      </w:divBdr>
    </w:div>
    <w:div w:id="739715477">
      <w:bodyDiv w:val="1"/>
      <w:marLeft w:val="0"/>
      <w:marRight w:val="0"/>
      <w:marTop w:val="0"/>
      <w:marBottom w:val="0"/>
      <w:divBdr>
        <w:top w:val="none" w:sz="0" w:space="0" w:color="auto"/>
        <w:left w:val="none" w:sz="0" w:space="0" w:color="auto"/>
        <w:bottom w:val="none" w:sz="0" w:space="0" w:color="auto"/>
        <w:right w:val="none" w:sz="0" w:space="0" w:color="auto"/>
      </w:divBdr>
      <w:divsChild>
        <w:div w:id="103892044">
          <w:marLeft w:val="446"/>
          <w:marRight w:val="0"/>
          <w:marTop w:val="180"/>
          <w:marBottom w:val="0"/>
          <w:divBdr>
            <w:top w:val="none" w:sz="0" w:space="0" w:color="auto"/>
            <w:left w:val="none" w:sz="0" w:space="0" w:color="auto"/>
            <w:bottom w:val="none" w:sz="0" w:space="0" w:color="auto"/>
            <w:right w:val="none" w:sz="0" w:space="0" w:color="auto"/>
          </w:divBdr>
        </w:div>
        <w:div w:id="348022161">
          <w:marLeft w:val="792"/>
          <w:marRight w:val="0"/>
          <w:marTop w:val="180"/>
          <w:marBottom w:val="0"/>
          <w:divBdr>
            <w:top w:val="none" w:sz="0" w:space="0" w:color="auto"/>
            <w:left w:val="none" w:sz="0" w:space="0" w:color="auto"/>
            <w:bottom w:val="none" w:sz="0" w:space="0" w:color="auto"/>
            <w:right w:val="none" w:sz="0" w:space="0" w:color="auto"/>
          </w:divBdr>
        </w:div>
        <w:div w:id="658310355">
          <w:marLeft w:val="792"/>
          <w:marRight w:val="0"/>
          <w:marTop w:val="180"/>
          <w:marBottom w:val="0"/>
          <w:divBdr>
            <w:top w:val="none" w:sz="0" w:space="0" w:color="auto"/>
            <w:left w:val="none" w:sz="0" w:space="0" w:color="auto"/>
            <w:bottom w:val="none" w:sz="0" w:space="0" w:color="auto"/>
            <w:right w:val="none" w:sz="0" w:space="0" w:color="auto"/>
          </w:divBdr>
        </w:div>
        <w:div w:id="856432096">
          <w:marLeft w:val="792"/>
          <w:marRight w:val="0"/>
          <w:marTop w:val="180"/>
          <w:marBottom w:val="0"/>
          <w:divBdr>
            <w:top w:val="none" w:sz="0" w:space="0" w:color="auto"/>
            <w:left w:val="none" w:sz="0" w:space="0" w:color="auto"/>
            <w:bottom w:val="none" w:sz="0" w:space="0" w:color="auto"/>
            <w:right w:val="none" w:sz="0" w:space="0" w:color="auto"/>
          </w:divBdr>
        </w:div>
      </w:divsChild>
    </w:div>
    <w:div w:id="805270791">
      <w:bodyDiv w:val="1"/>
      <w:marLeft w:val="0"/>
      <w:marRight w:val="0"/>
      <w:marTop w:val="0"/>
      <w:marBottom w:val="0"/>
      <w:divBdr>
        <w:top w:val="none" w:sz="0" w:space="0" w:color="auto"/>
        <w:left w:val="none" w:sz="0" w:space="0" w:color="auto"/>
        <w:bottom w:val="none" w:sz="0" w:space="0" w:color="auto"/>
        <w:right w:val="none" w:sz="0" w:space="0" w:color="auto"/>
      </w:divBdr>
    </w:div>
    <w:div w:id="819229603">
      <w:bodyDiv w:val="1"/>
      <w:marLeft w:val="0"/>
      <w:marRight w:val="0"/>
      <w:marTop w:val="0"/>
      <w:marBottom w:val="0"/>
      <w:divBdr>
        <w:top w:val="none" w:sz="0" w:space="0" w:color="auto"/>
        <w:left w:val="none" w:sz="0" w:space="0" w:color="auto"/>
        <w:bottom w:val="none" w:sz="0" w:space="0" w:color="auto"/>
        <w:right w:val="none" w:sz="0" w:space="0" w:color="auto"/>
      </w:divBdr>
    </w:div>
    <w:div w:id="821039709">
      <w:bodyDiv w:val="1"/>
      <w:marLeft w:val="0"/>
      <w:marRight w:val="0"/>
      <w:marTop w:val="0"/>
      <w:marBottom w:val="0"/>
      <w:divBdr>
        <w:top w:val="none" w:sz="0" w:space="0" w:color="auto"/>
        <w:left w:val="none" w:sz="0" w:space="0" w:color="auto"/>
        <w:bottom w:val="none" w:sz="0" w:space="0" w:color="auto"/>
        <w:right w:val="none" w:sz="0" w:space="0" w:color="auto"/>
      </w:divBdr>
      <w:divsChild>
        <w:div w:id="1999651810">
          <w:marLeft w:val="547"/>
          <w:marRight w:val="0"/>
          <w:marTop w:val="180"/>
          <w:marBottom w:val="0"/>
          <w:divBdr>
            <w:top w:val="none" w:sz="0" w:space="0" w:color="auto"/>
            <w:left w:val="none" w:sz="0" w:space="0" w:color="auto"/>
            <w:bottom w:val="none" w:sz="0" w:space="0" w:color="auto"/>
            <w:right w:val="none" w:sz="0" w:space="0" w:color="auto"/>
          </w:divBdr>
        </w:div>
        <w:div w:id="2093428874">
          <w:marLeft w:val="547"/>
          <w:marRight w:val="0"/>
          <w:marTop w:val="180"/>
          <w:marBottom w:val="0"/>
          <w:divBdr>
            <w:top w:val="none" w:sz="0" w:space="0" w:color="auto"/>
            <w:left w:val="none" w:sz="0" w:space="0" w:color="auto"/>
            <w:bottom w:val="none" w:sz="0" w:space="0" w:color="auto"/>
            <w:right w:val="none" w:sz="0" w:space="0" w:color="auto"/>
          </w:divBdr>
        </w:div>
      </w:divsChild>
    </w:div>
    <w:div w:id="822700466">
      <w:bodyDiv w:val="1"/>
      <w:marLeft w:val="0"/>
      <w:marRight w:val="0"/>
      <w:marTop w:val="0"/>
      <w:marBottom w:val="0"/>
      <w:divBdr>
        <w:top w:val="none" w:sz="0" w:space="0" w:color="auto"/>
        <w:left w:val="none" w:sz="0" w:space="0" w:color="auto"/>
        <w:bottom w:val="none" w:sz="0" w:space="0" w:color="auto"/>
        <w:right w:val="none" w:sz="0" w:space="0" w:color="auto"/>
      </w:divBdr>
      <w:divsChild>
        <w:div w:id="341595036">
          <w:marLeft w:val="274"/>
          <w:marRight w:val="0"/>
          <w:marTop w:val="180"/>
          <w:marBottom w:val="0"/>
          <w:divBdr>
            <w:top w:val="none" w:sz="0" w:space="0" w:color="auto"/>
            <w:left w:val="none" w:sz="0" w:space="0" w:color="auto"/>
            <w:bottom w:val="none" w:sz="0" w:space="0" w:color="auto"/>
            <w:right w:val="none" w:sz="0" w:space="0" w:color="auto"/>
          </w:divBdr>
        </w:div>
        <w:div w:id="438179248">
          <w:marLeft w:val="274"/>
          <w:marRight w:val="0"/>
          <w:marTop w:val="180"/>
          <w:marBottom w:val="0"/>
          <w:divBdr>
            <w:top w:val="none" w:sz="0" w:space="0" w:color="auto"/>
            <w:left w:val="none" w:sz="0" w:space="0" w:color="auto"/>
            <w:bottom w:val="none" w:sz="0" w:space="0" w:color="auto"/>
            <w:right w:val="none" w:sz="0" w:space="0" w:color="auto"/>
          </w:divBdr>
        </w:div>
        <w:div w:id="958415966">
          <w:marLeft w:val="274"/>
          <w:marRight w:val="0"/>
          <w:marTop w:val="180"/>
          <w:marBottom w:val="0"/>
          <w:divBdr>
            <w:top w:val="none" w:sz="0" w:space="0" w:color="auto"/>
            <w:left w:val="none" w:sz="0" w:space="0" w:color="auto"/>
            <w:bottom w:val="none" w:sz="0" w:space="0" w:color="auto"/>
            <w:right w:val="none" w:sz="0" w:space="0" w:color="auto"/>
          </w:divBdr>
        </w:div>
        <w:div w:id="1297297328">
          <w:marLeft w:val="274"/>
          <w:marRight w:val="0"/>
          <w:marTop w:val="180"/>
          <w:marBottom w:val="0"/>
          <w:divBdr>
            <w:top w:val="none" w:sz="0" w:space="0" w:color="auto"/>
            <w:left w:val="none" w:sz="0" w:space="0" w:color="auto"/>
            <w:bottom w:val="none" w:sz="0" w:space="0" w:color="auto"/>
            <w:right w:val="none" w:sz="0" w:space="0" w:color="auto"/>
          </w:divBdr>
        </w:div>
      </w:divsChild>
    </w:div>
    <w:div w:id="848250044">
      <w:bodyDiv w:val="1"/>
      <w:marLeft w:val="0"/>
      <w:marRight w:val="0"/>
      <w:marTop w:val="0"/>
      <w:marBottom w:val="0"/>
      <w:divBdr>
        <w:top w:val="none" w:sz="0" w:space="0" w:color="auto"/>
        <w:left w:val="none" w:sz="0" w:space="0" w:color="auto"/>
        <w:bottom w:val="none" w:sz="0" w:space="0" w:color="auto"/>
        <w:right w:val="none" w:sz="0" w:space="0" w:color="auto"/>
      </w:divBdr>
    </w:div>
    <w:div w:id="864951816">
      <w:bodyDiv w:val="1"/>
      <w:marLeft w:val="0"/>
      <w:marRight w:val="0"/>
      <w:marTop w:val="0"/>
      <w:marBottom w:val="0"/>
      <w:divBdr>
        <w:top w:val="none" w:sz="0" w:space="0" w:color="auto"/>
        <w:left w:val="none" w:sz="0" w:space="0" w:color="auto"/>
        <w:bottom w:val="none" w:sz="0" w:space="0" w:color="auto"/>
        <w:right w:val="none" w:sz="0" w:space="0" w:color="auto"/>
      </w:divBdr>
    </w:div>
    <w:div w:id="904146266">
      <w:bodyDiv w:val="1"/>
      <w:marLeft w:val="0"/>
      <w:marRight w:val="0"/>
      <w:marTop w:val="0"/>
      <w:marBottom w:val="0"/>
      <w:divBdr>
        <w:top w:val="none" w:sz="0" w:space="0" w:color="auto"/>
        <w:left w:val="none" w:sz="0" w:space="0" w:color="auto"/>
        <w:bottom w:val="none" w:sz="0" w:space="0" w:color="auto"/>
        <w:right w:val="none" w:sz="0" w:space="0" w:color="auto"/>
      </w:divBdr>
      <w:divsChild>
        <w:div w:id="582568793">
          <w:marLeft w:val="547"/>
          <w:marRight w:val="0"/>
          <w:marTop w:val="180"/>
          <w:marBottom w:val="0"/>
          <w:divBdr>
            <w:top w:val="none" w:sz="0" w:space="0" w:color="auto"/>
            <w:left w:val="none" w:sz="0" w:space="0" w:color="auto"/>
            <w:bottom w:val="none" w:sz="0" w:space="0" w:color="auto"/>
            <w:right w:val="none" w:sz="0" w:space="0" w:color="auto"/>
          </w:divBdr>
        </w:div>
      </w:divsChild>
    </w:div>
    <w:div w:id="945694869">
      <w:bodyDiv w:val="1"/>
      <w:marLeft w:val="0"/>
      <w:marRight w:val="0"/>
      <w:marTop w:val="0"/>
      <w:marBottom w:val="0"/>
      <w:divBdr>
        <w:top w:val="none" w:sz="0" w:space="0" w:color="auto"/>
        <w:left w:val="none" w:sz="0" w:space="0" w:color="auto"/>
        <w:bottom w:val="none" w:sz="0" w:space="0" w:color="auto"/>
        <w:right w:val="none" w:sz="0" w:space="0" w:color="auto"/>
      </w:divBdr>
    </w:div>
    <w:div w:id="951400430">
      <w:bodyDiv w:val="1"/>
      <w:marLeft w:val="0"/>
      <w:marRight w:val="0"/>
      <w:marTop w:val="0"/>
      <w:marBottom w:val="0"/>
      <w:divBdr>
        <w:top w:val="none" w:sz="0" w:space="0" w:color="auto"/>
        <w:left w:val="none" w:sz="0" w:space="0" w:color="auto"/>
        <w:bottom w:val="none" w:sz="0" w:space="0" w:color="auto"/>
        <w:right w:val="none" w:sz="0" w:space="0" w:color="auto"/>
      </w:divBdr>
      <w:divsChild>
        <w:div w:id="869605576">
          <w:marLeft w:val="446"/>
          <w:marRight w:val="0"/>
          <w:marTop w:val="180"/>
          <w:marBottom w:val="0"/>
          <w:divBdr>
            <w:top w:val="none" w:sz="0" w:space="0" w:color="auto"/>
            <w:left w:val="none" w:sz="0" w:space="0" w:color="auto"/>
            <w:bottom w:val="none" w:sz="0" w:space="0" w:color="auto"/>
            <w:right w:val="none" w:sz="0" w:space="0" w:color="auto"/>
          </w:divBdr>
        </w:div>
        <w:div w:id="1962686439">
          <w:marLeft w:val="446"/>
          <w:marRight w:val="0"/>
          <w:marTop w:val="180"/>
          <w:marBottom w:val="0"/>
          <w:divBdr>
            <w:top w:val="none" w:sz="0" w:space="0" w:color="auto"/>
            <w:left w:val="none" w:sz="0" w:space="0" w:color="auto"/>
            <w:bottom w:val="none" w:sz="0" w:space="0" w:color="auto"/>
            <w:right w:val="none" w:sz="0" w:space="0" w:color="auto"/>
          </w:divBdr>
        </w:div>
      </w:divsChild>
    </w:div>
    <w:div w:id="959532131">
      <w:bodyDiv w:val="1"/>
      <w:marLeft w:val="0"/>
      <w:marRight w:val="0"/>
      <w:marTop w:val="0"/>
      <w:marBottom w:val="0"/>
      <w:divBdr>
        <w:top w:val="none" w:sz="0" w:space="0" w:color="auto"/>
        <w:left w:val="none" w:sz="0" w:space="0" w:color="auto"/>
        <w:bottom w:val="none" w:sz="0" w:space="0" w:color="auto"/>
        <w:right w:val="none" w:sz="0" w:space="0" w:color="auto"/>
      </w:divBdr>
    </w:div>
    <w:div w:id="1024097335">
      <w:bodyDiv w:val="1"/>
      <w:marLeft w:val="0"/>
      <w:marRight w:val="0"/>
      <w:marTop w:val="0"/>
      <w:marBottom w:val="0"/>
      <w:divBdr>
        <w:top w:val="none" w:sz="0" w:space="0" w:color="auto"/>
        <w:left w:val="none" w:sz="0" w:space="0" w:color="auto"/>
        <w:bottom w:val="none" w:sz="0" w:space="0" w:color="auto"/>
        <w:right w:val="none" w:sz="0" w:space="0" w:color="auto"/>
      </w:divBdr>
    </w:div>
    <w:div w:id="1088117647">
      <w:bodyDiv w:val="1"/>
      <w:marLeft w:val="0"/>
      <w:marRight w:val="0"/>
      <w:marTop w:val="0"/>
      <w:marBottom w:val="0"/>
      <w:divBdr>
        <w:top w:val="none" w:sz="0" w:space="0" w:color="auto"/>
        <w:left w:val="none" w:sz="0" w:space="0" w:color="auto"/>
        <w:bottom w:val="none" w:sz="0" w:space="0" w:color="auto"/>
        <w:right w:val="none" w:sz="0" w:space="0" w:color="auto"/>
      </w:divBdr>
    </w:div>
    <w:div w:id="1112166480">
      <w:bodyDiv w:val="1"/>
      <w:marLeft w:val="0"/>
      <w:marRight w:val="0"/>
      <w:marTop w:val="0"/>
      <w:marBottom w:val="0"/>
      <w:divBdr>
        <w:top w:val="none" w:sz="0" w:space="0" w:color="auto"/>
        <w:left w:val="none" w:sz="0" w:space="0" w:color="auto"/>
        <w:bottom w:val="none" w:sz="0" w:space="0" w:color="auto"/>
        <w:right w:val="none" w:sz="0" w:space="0" w:color="auto"/>
      </w:divBdr>
    </w:div>
    <w:div w:id="1126512193">
      <w:bodyDiv w:val="1"/>
      <w:marLeft w:val="0"/>
      <w:marRight w:val="0"/>
      <w:marTop w:val="0"/>
      <w:marBottom w:val="0"/>
      <w:divBdr>
        <w:top w:val="none" w:sz="0" w:space="0" w:color="auto"/>
        <w:left w:val="none" w:sz="0" w:space="0" w:color="auto"/>
        <w:bottom w:val="none" w:sz="0" w:space="0" w:color="auto"/>
        <w:right w:val="none" w:sz="0" w:space="0" w:color="auto"/>
      </w:divBdr>
    </w:div>
    <w:div w:id="1151143047">
      <w:bodyDiv w:val="1"/>
      <w:marLeft w:val="0"/>
      <w:marRight w:val="0"/>
      <w:marTop w:val="0"/>
      <w:marBottom w:val="0"/>
      <w:divBdr>
        <w:top w:val="none" w:sz="0" w:space="0" w:color="auto"/>
        <w:left w:val="none" w:sz="0" w:space="0" w:color="auto"/>
        <w:bottom w:val="none" w:sz="0" w:space="0" w:color="auto"/>
        <w:right w:val="none" w:sz="0" w:space="0" w:color="auto"/>
      </w:divBdr>
    </w:div>
    <w:div w:id="1178613862">
      <w:bodyDiv w:val="1"/>
      <w:marLeft w:val="0"/>
      <w:marRight w:val="0"/>
      <w:marTop w:val="0"/>
      <w:marBottom w:val="0"/>
      <w:divBdr>
        <w:top w:val="none" w:sz="0" w:space="0" w:color="auto"/>
        <w:left w:val="none" w:sz="0" w:space="0" w:color="auto"/>
        <w:bottom w:val="none" w:sz="0" w:space="0" w:color="auto"/>
        <w:right w:val="none" w:sz="0" w:space="0" w:color="auto"/>
      </w:divBdr>
    </w:div>
    <w:div w:id="1190559184">
      <w:bodyDiv w:val="1"/>
      <w:marLeft w:val="0"/>
      <w:marRight w:val="0"/>
      <w:marTop w:val="0"/>
      <w:marBottom w:val="0"/>
      <w:divBdr>
        <w:top w:val="none" w:sz="0" w:space="0" w:color="auto"/>
        <w:left w:val="none" w:sz="0" w:space="0" w:color="auto"/>
        <w:bottom w:val="none" w:sz="0" w:space="0" w:color="auto"/>
        <w:right w:val="none" w:sz="0" w:space="0" w:color="auto"/>
      </w:divBdr>
    </w:div>
    <w:div w:id="1226335016">
      <w:bodyDiv w:val="1"/>
      <w:marLeft w:val="0"/>
      <w:marRight w:val="0"/>
      <w:marTop w:val="0"/>
      <w:marBottom w:val="0"/>
      <w:divBdr>
        <w:top w:val="none" w:sz="0" w:space="0" w:color="auto"/>
        <w:left w:val="none" w:sz="0" w:space="0" w:color="auto"/>
        <w:bottom w:val="none" w:sz="0" w:space="0" w:color="auto"/>
        <w:right w:val="none" w:sz="0" w:space="0" w:color="auto"/>
      </w:divBdr>
    </w:div>
    <w:div w:id="1264335977">
      <w:bodyDiv w:val="1"/>
      <w:marLeft w:val="0"/>
      <w:marRight w:val="0"/>
      <w:marTop w:val="0"/>
      <w:marBottom w:val="0"/>
      <w:divBdr>
        <w:top w:val="none" w:sz="0" w:space="0" w:color="auto"/>
        <w:left w:val="none" w:sz="0" w:space="0" w:color="auto"/>
        <w:bottom w:val="none" w:sz="0" w:space="0" w:color="auto"/>
        <w:right w:val="none" w:sz="0" w:space="0" w:color="auto"/>
      </w:divBdr>
    </w:div>
    <w:div w:id="1284729993">
      <w:bodyDiv w:val="1"/>
      <w:marLeft w:val="0"/>
      <w:marRight w:val="0"/>
      <w:marTop w:val="0"/>
      <w:marBottom w:val="0"/>
      <w:divBdr>
        <w:top w:val="none" w:sz="0" w:space="0" w:color="auto"/>
        <w:left w:val="none" w:sz="0" w:space="0" w:color="auto"/>
        <w:bottom w:val="none" w:sz="0" w:space="0" w:color="auto"/>
        <w:right w:val="none" w:sz="0" w:space="0" w:color="auto"/>
      </w:divBdr>
    </w:div>
    <w:div w:id="1294630130">
      <w:bodyDiv w:val="1"/>
      <w:marLeft w:val="0"/>
      <w:marRight w:val="0"/>
      <w:marTop w:val="0"/>
      <w:marBottom w:val="0"/>
      <w:divBdr>
        <w:top w:val="none" w:sz="0" w:space="0" w:color="auto"/>
        <w:left w:val="none" w:sz="0" w:space="0" w:color="auto"/>
        <w:bottom w:val="none" w:sz="0" w:space="0" w:color="auto"/>
        <w:right w:val="none" w:sz="0" w:space="0" w:color="auto"/>
      </w:divBdr>
    </w:div>
    <w:div w:id="1295869906">
      <w:bodyDiv w:val="1"/>
      <w:marLeft w:val="0"/>
      <w:marRight w:val="0"/>
      <w:marTop w:val="0"/>
      <w:marBottom w:val="0"/>
      <w:divBdr>
        <w:top w:val="none" w:sz="0" w:space="0" w:color="auto"/>
        <w:left w:val="none" w:sz="0" w:space="0" w:color="auto"/>
        <w:bottom w:val="none" w:sz="0" w:space="0" w:color="auto"/>
        <w:right w:val="none" w:sz="0" w:space="0" w:color="auto"/>
      </w:divBdr>
    </w:div>
    <w:div w:id="1295988370">
      <w:bodyDiv w:val="1"/>
      <w:marLeft w:val="0"/>
      <w:marRight w:val="0"/>
      <w:marTop w:val="0"/>
      <w:marBottom w:val="0"/>
      <w:divBdr>
        <w:top w:val="none" w:sz="0" w:space="0" w:color="auto"/>
        <w:left w:val="none" w:sz="0" w:space="0" w:color="auto"/>
        <w:bottom w:val="none" w:sz="0" w:space="0" w:color="auto"/>
        <w:right w:val="none" w:sz="0" w:space="0" w:color="auto"/>
      </w:divBdr>
    </w:div>
    <w:div w:id="1308361619">
      <w:bodyDiv w:val="1"/>
      <w:marLeft w:val="0"/>
      <w:marRight w:val="0"/>
      <w:marTop w:val="0"/>
      <w:marBottom w:val="0"/>
      <w:divBdr>
        <w:top w:val="none" w:sz="0" w:space="0" w:color="auto"/>
        <w:left w:val="none" w:sz="0" w:space="0" w:color="auto"/>
        <w:bottom w:val="none" w:sz="0" w:space="0" w:color="auto"/>
        <w:right w:val="none" w:sz="0" w:space="0" w:color="auto"/>
      </w:divBdr>
    </w:div>
    <w:div w:id="1319185860">
      <w:bodyDiv w:val="1"/>
      <w:marLeft w:val="0"/>
      <w:marRight w:val="0"/>
      <w:marTop w:val="0"/>
      <w:marBottom w:val="0"/>
      <w:divBdr>
        <w:top w:val="none" w:sz="0" w:space="0" w:color="auto"/>
        <w:left w:val="none" w:sz="0" w:space="0" w:color="auto"/>
        <w:bottom w:val="none" w:sz="0" w:space="0" w:color="auto"/>
        <w:right w:val="none" w:sz="0" w:space="0" w:color="auto"/>
      </w:divBdr>
    </w:div>
    <w:div w:id="1329289588">
      <w:bodyDiv w:val="1"/>
      <w:marLeft w:val="0"/>
      <w:marRight w:val="0"/>
      <w:marTop w:val="0"/>
      <w:marBottom w:val="0"/>
      <w:divBdr>
        <w:top w:val="none" w:sz="0" w:space="0" w:color="auto"/>
        <w:left w:val="none" w:sz="0" w:space="0" w:color="auto"/>
        <w:bottom w:val="none" w:sz="0" w:space="0" w:color="auto"/>
        <w:right w:val="none" w:sz="0" w:space="0" w:color="auto"/>
      </w:divBdr>
    </w:div>
    <w:div w:id="1346397611">
      <w:bodyDiv w:val="1"/>
      <w:marLeft w:val="0"/>
      <w:marRight w:val="0"/>
      <w:marTop w:val="0"/>
      <w:marBottom w:val="0"/>
      <w:divBdr>
        <w:top w:val="none" w:sz="0" w:space="0" w:color="auto"/>
        <w:left w:val="none" w:sz="0" w:space="0" w:color="auto"/>
        <w:bottom w:val="none" w:sz="0" w:space="0" w:color="auto"/>
        <w:right w:val="none" w:sz="0" w:space="0" w:color="auto"/>
      </w:divBdr>
    </w:div>
    <w:div w:id="1408576459">
      <w:bodyDiv w:val="1"/>
      <w:marLeft w:val="0"/>
      <w:marRight w:val="0"/>
      <w:marTop w:val="0"/>
      <w:marBottom w:val="0"/>
      <w:divBdr>
        <w:top w:val="none" w:sz="0" w:space="0" w:color="auto"/>
        <w:left w:val="none" w:sz="0" w:space="0" w:color="auto"/>
        <w:bottom w:val="none" w:sz="0" w:space="0" w:color="auto"/>
        <w:right w:val="none" w:sz="0" w:space="0" w:color="auto"/>
      </w:divBdr>
    </w:div>
    <w:div w:id="1417437498">
      <w:bodyDiv w:val="1"/>
      <w:marLeft w:val="0"/>
      <w:marRight w:val="0"/>
      <w:marTop w:val="0"/>
      <w:marBottom w:val="0"/>
      <w:divBdr>
        <w:top w:val="none" w:sz="0" w:space="0" w:color="auto"/>
        <w:left w:val="none" w:sz="0" w:space="0" w:color="auto"/>
        <w:bottom w:val="none" w:sz="0" w:space="0" w:color="auto"/>
        <w:right w:val="none" w:sz="0" w:space="0" w:color="auto"/>
      </w:divBdr>
    </w:div>
    <w:div w:id="1431583484">
      <w:bodyDiv w:val="1"/>
      <w:marLeft w:val="0"/>
      <w:marRight w:val="0"/>
      <w:marTop w:val="0"/>
      <w:marBottom w:val="0"/>
      <w:divBdr>
        <w:top w:val="none" w:sz="0" w:space="0" w:color="auto"/>
        <w:left w:val="none" w:sz="0" w:space="0" w:color="auto"/>
        <w:bottom w:val="none" w:sz="0" w:space="0" w:color="auto"/>
        <w:right w:val="none" w:sz="0" w:space="0" w:color="auto"/>
      </w:divBdr>
    </w:div>
    <w:div w:id="1498381950">
      <w:bodyDiv w:val="1"/>
      <w:marLeft w:val="0"/>
      <w:marRight w:val="0"/>
      <w:marTop w:val="0"/>
      <w:marBottom w:val="0"/>
      <w:divBdr>
        <w:top w:val="none" w:sz="0" w:space="0" w:color="auto"/>
        <w:left w:val="none" w:sz="0" w:space="0" w:color="auto"/>
        <w:bottom w:val="none" w:sz="0" w:space="0" w:color="auto"/>
        <w:right w:val="none" w:sz="0" w:space="0" w:color="auto"/>
      </w:divBdr>
      <w:divsChild>
        <w:div w:id="46492877">
          <w:marLeft w:val="1469"/>
          <w:marRight w:val="0"/>
          <w:marTop w:val="240"/>
          <w:marBottom w:val="0"/>
          <w:divBdr>
            <w:top w:val="none" w:sz="0" w:space="0" w:color="auto"/>
            <w:left w:val="none" w:sz="0" w:space="0" w:color="auto"/>
            <w:bottom w:val="none" w:sz="0" w:space="0" w:color="auto"/>
            <w:right w:val="none" w:sz="0" w:space="0" w:color="auto"/>
          </w:divBdr>
        </w:div>
        <w:div w:id="289363511">
          <w:marLeft w:val="1224"/>
          <w:marRight w:val="0"/>
          <w:marTop w:val="240"/>
          <w:marBottom w:val="0"/>
          <w:divBdr>
            <w:top w:val="none" w:sz="0" w:space="0" w:color="auto"/>
            <w:left w:val="none" w:sz="0" w:space="0" w:color="auto"/>
            <w:bottom w:val="none" w:sz="0" w:space="0" w:color="auto"/>
            <w:right w:val="none" w:sz="0" w:space="0" w:color="auto"/>
          </w:divBdr>
        </w:div>
        <w:div w:id="674456366">
          <w:marLeft w:val="1555"/>
          <w:marRight w:val="0"/>
          <w:marTop w:val="240"/>
          <w:marBottom w:val="0"/>
          <w:divBdr>
            <w:top w:val="none" w:sz="0" w:space="0" w:color="auto"/>
            <w:left w:val="none" w:sz="0" w:space="0" w:color="auto"/>
            <w:bottom w:val="none" w:sz="0" w:space="0" w:color="auto"/>
            <w:right w:val="none" w:sz="0" w:space="0" w:color="auto"/>
          </w:divBdr>
        </w:div>
        <w:div w:id="1004818082">
          <w:marLeft w:val="1469"/>
          <w:marRight w:val="0"/>
          <w:marTop w:val="240"/>
          <w:marBottom w:val="0"/>
          <w:divBdr>
            <w:top w:val="none" w:sz="0" w:space="0" w:color="auto"/>
            <w:left w:val="none" w:sz="0" w:space="0" w:color="auto"/>
            <w:bottom w:val="none" w:sz="0" w:space="0" w:color="auto"/>
            <w:right w:val="none" w:sz="0" w:space="0" w:color="auto"/>
          </w:divBdr>
        </w:div>
        <w:div w:id="1021052987">
          <w:marLeft w:val="1224"/>
          <w:marRight w:val="0"/>
          <w:marTop w:val="240"/>
          <w:marBottom w:val="0"/>
          <w:divBdr>
            <w:top w:val="none" w:sz="0" w:space="0" w:color="auto"/>
            <w:left w:val="none" w:sz="0" w:space="0" w:color="auto"/>
            <w:bottom w:val="none" w:sz="0" w:space="0" w:color="auto"/>
            <w:right w:val="none" w:sz="0" w:space="0" w:color="auto"/>
          </w:divBdr>
        </w:div>
        <w:div w:id="1301569873">
          <w:marLeft w:val="547"/>
          <w:marRight w:val="0"/>
          <w:marTop w:val="180"/>
          <w:marBottom w:val="0"/>
          <w:divBdr>
            <w:top w:val="none" w:sz="0" w:space="0" w:color="auto"/>
            <w:left w:val="none" w:sz="0" w:space="0" w:color="auto"/>
            <w:bottom w:val="none" w:sz="0" w:space="0" w:color="auto"/>
            <w:right w:val="none" w:sz="0" w:space="0" w:color="auto"/>
          </w:divBdr>
        </w:div>
        <w:div w:id="1576545230">
          <w:marLeft w:val="547"/>
          <w:marRight w:val="0"/>
          <w:marTop w:val="180"/>
          <w:marBottom w:val="0"/>
          <w:divBdr>
            <w:top w:val="none" w:sz="0" w:space="0" w:color="auto"/>
            <w:left w:val="none" w:sz="0" w:space="0" w:color="auto"/>
            <w:bottom w:val="none" w:sz="0" w:space="0" w:color="auto"/>
            <w:right w:val="none" w:sz="0" w:space="0" w:color="auto"/>
          </w:divBdr>
        </w:div>
        <w:div w:id="1812012576">
          <w:marLeft w:val="1224"/>
          <w:marRight w:val="0"/>
          <w:marTop w:val="240"/>
          <w:marBottom w:val="0"/>
          <w:divBdr>
            <w:top w:val="none" w:sz="0" w:space="0" w:color="auto"/>
            <w:left w:val="none" w:sz="0" w:space="0" w:color="auto"/>
            <w:bottom w:val="none" w:sz="0" w:space="0" w:color="auto"/>
            <w:right w:val="none" w:sz="0" w:space="0" w:color="auto"/>
          </w:divBdr>
        </w:div>
        <w:div w:id="2095857987">
          <w:marLeft w:val="547"/>
          <w:marRight w:val="0"/>
          <w:marTop w:val="180"/>
          <w:marBottom w:val="0"/>
          <w:divBdr>
            <w:top w:val="none" w:sz="0" w:space="0" w:color="auto"/>
            <w:left w:val="none" w:sz="0" w:space="0" w:color="auto"/>
            <w:bottom w:val="none" w:sz="0" w:space="0" w:color="auto"/>
            <w:right w:val="none" w:sz="0" w:space="0" w:color="auto"/>
          </w:divBdr>
        </w:div>
      </w:divsChild>
    </w:div>
    <w:div w:id="1500776798">
      <w:bodyDiv w:val="1"/>
      <w:marLeft w:val="0"/>
      <w:marRight w:val="0"/>
      <w:marTop w:val="0"/>
      <w:marBottom w:val="0"/>
      <w:divBdr>
        <w:top w:val="none" w:sz="0" w:space="0" w:color="auto"/>
        <w:left w:val="none" w:sz="0" w:space="0" w:color="auto"/>
        <w:bottom w:val="none" w:sz="0" w:space="0" w:color="auto"/>
        <w:right w:val="none" w:sz="0" w:space="0" w:color="auto"/>
      </w:divBdr>
    </w:div>
    <w:div w:id="1520392550">
      <w:bodyDiv w:val="1"/>
      <w:marLeft w:val="0"/>
      <w:marRight w:val="0"/>
      <w:marTop w:val="0"/>
      <w:marBottom w:val="0"/>
      <w:divBdr>
        <w:top w:val="none" w:sz="0" w:space="0" w:color="auto"/>
        <w:left w:val="none" w:sz="0" w:space="0" w:color="auto"/>
        <w:bottom w:val="none" w:sz="0" w:space="0" w:color="auto"/>
        <w:right w:val="none" w:sz="0" w:space="0" w:color="auto"/>
      </w:divBdr>
    </w:div>
    <w:div w:id="1583416454">
      <w:bodyDiv w:val="1"/>
      <w:marLeft w:val="0"/>
      <w:marRight w:val="0"/>
      <w:marTop w:val="0"/>
      <w:marBottom w:val="0"/>
      <w:divBdr>
        <w:top w:val="none" w:sz="0" w:space="0" w:color="auto"/>
        <w:left w:val="none" w:sz="0" w:space="0" w:color="auto"/>
        <w:bottom w:val="none" w:sz="0" w:space="0" w:color="auto"/>
        <w:right w:val="none" w:sz="0" w:space="0" w:color="auto"/>
      </w:divBdr>
      <w:divsChild>
        <w:div w:id="2008633162">
          <w:marLeft w:val="0"/>
          <w:marRight w:val="0"/>
          <w:marTop w:val="180"/>
          <w:marBottom w:val="180"/>
          <w:divBdr>
            <w:top w:val="none" w:sz="0" w:space="0" w:color="auto"/>
            <w:left w:val="none" w:sz="0" w:space="0" w:color="auto"/>
            <w:bottom w:val="none" w:sz="0" w:space="0" w:color="auto"/>
            <w:right w:val="none" w:sz="0" w:space="0" w:color="auto"/>
          </w:divBdr>
          <w:divsChild>
            <w:div w:id="1584802605">
              <w:marLeft w:val="-225"/>
              <w:marRight w:val="-225"/>
              <w:marTop w:val="0"/>
              <w:marBottom w:val="0"/>
              <w:divBdr>
                <w:top w:val="none" w:sz="0" w:space="0" w:color="auto"/>
                <w:left w:val="none" w:sz="0" w:space="0" w:color="auto"/>
                <w:bottom w:val="none" w:sz="0" w:space="0" w:color="auto"/>
                <w:right w:val="none" w:sz="0" w:space="0" w:color="auto"/>
              </w:divBdr>
              <w:divsChild>
                <w:div w:id="1984505778">
                  <w:marLeft w:val="0"/>
                  <w:marRight w:val="0"/>
                  <w:marTop w:val="0"/>
                  <w:marBottom w:val="0"/>
                  <w:divBdr>
                    <w:top w:val="none" w:sz="0" w:space="0" w:color="auto"/>
                    <w:left w:val="none" w:sz="0" w:space="0" w:color="auto"/>
                    <w:bottom w:val="none" w:sz="0" w:space="0" w:color="auto"/>
                    <w:right w:val="none" w:sz="0" w:space="0" w:color="auto"/>
                  </w:divBdr>
                  <w:divsChild>
                    <w:div w:id="110899673">
                      <w:marLeft w:val="-225"/>
                      <w:marRight w:val="-225"/>
                      <w:marTop w:val="0"/>
                      <w:marBottom w:val="0"/>
                      <w:divBdr>
                        <w:top w:val="none" w:sz="0" w:space="0" w:color="auto"/>
                        <w:left w:val="none" w:sz="0" w:space="0" w:color="auto"/>
                        <w:bottom w:val="none" w:sz="0" w:space="0" w:color="auto"/>
                        <w:right w:val="none" w:sz="0" w:space="0" w:color="auto"/>
                      </w:divBdr>
                      <w:divsChild>
                        <w:div w:id="2126344320">
                          <w:marLeft w:val="0"/>
                          <w:marRight w:val="0"/>
                          <w:marTop w:val="0"/>
                          <w:marBottom w:val="0"/>
                          <w:divBdr>
                            <w:top w:val="none" w:sz="0" w:space="0" w:color="auto"/>
                            <w:left w:val="none" w:sz="0" w:space="0" w:color="auto"/>
                            <w:bottom w:val="none" w:sz="0" w:space="0" w:color="auto"/>
                            <w:right w:val="none" w:sz="0" w:space="0" w:color="auto"/>
                          </w:divBdr>
                          <w:divsChild>
                            <w:div w:id="1420710697">
                              <w:marLeft w:val="0"/>
                              <w:marRight w:val="0"/>
                              <w:marTop w:val="0"/>
                              <w:marBottom w:val="0"/>
                              <w:divBdr>
                                <w:top w:val="none" w:sz="0" w:space="0" w:color="auto"/>
                                <w:left w:val="none" w:sz="0" w:space="0" w:color="auto"/>
                                <w:bottom w:val="none" w:sz="0" w:space="0" w:color="auto"/>
                                <w:right w:val="none" w:sz="0" w:space="0" w:color="auto"/>
                              </w:divBdr>
                              <w:divsChild>
                                <w:div w:id="1447431097">
                                  <w:marLeft w:val="0"/>
                                  <w:marRight w:val="0"/>
                                  <w:marTop w:val="0"/>
                                  <w:marBottom w:val="0"/>
                                  <w:divBdr>
                                    <w:top w:val="none" w:sz="0" w:space="0" w:color="auto"/>
                                    <w:left w:val="none" w:sz="0" w:space="0" w:color="auto"/>
                                    <w:bottom w:val="none" w:sz="0" w:space="0" w:color="auto"/>
                                    <w:right w:val="none" w:sz="0" w:space="0" w:color="auto"/>
                                  </w:divBdr>
                                  <w:divsChild>
                                    <w:div w:id="2086419072">
                                      <w:marLeft w:val="0"/>
                                      <w:marRight w:val="0"/>
                                      <w:marTop w:val="0"/>
                                      <w:marBottom w:val="0"/>
                                      <w:divBdr>
                                        <w:top w:val="none" w:sz="0" w:space="0" w:color="auto"/>
                                        <w:left w:val="none" w:sz="0" w:space="0" w:color="auto"/>
                                        <w:bottom w:val="none" w:sz="0" w:space="0" w:color="auto"/>
                                        <w:right w:val="none" w:sz="0" w:space="0" w:color="auto"/>
                                      </w:divBdr>
                                      <w:divsChild>
                                        <w:div w:id="2112242793">
                                          <w:marLeft w:val="0"/>
                                          <w:marRight w:val="0"/>
                                          <w:marTop w:val="0"/>
                                          <w:marBottom w:val="0"/>
                                          <w:divBdr>
                                            <w:top w:val="none" w:sz="0" w:space="0" w:color="auto"/>
                                            <w:left w:val="none" w:sz="0" w:space="0" w:color="auto"/>
                                            <w:bottom w:val="none" w:sz="0" w:space="0" w:color="auto"/>
                                            <w:right w:val="none" w:sz="0" w:space="0" w:color="auto"/>
                                          </w:divBdr>
                                          <w:divsChild>
                                            <w:div w:id="1828551158">
                                              <w:marLeft w:val="0"/>
                                              <w:marRight w:val="0"/>
                                              <w:marTop w:val="0"/>
                                              <w:marBottom w:val="0"/>
                                              <w:divBdr>
                                                <w:top w:val="none" w:sz="0" w:space="0" w:color="auto"/>
                                                <w:left w:val="none" w:sz="0" w:space="0" w:color="auto"/>
                                                <w:bottom w:val="none" w:sz="0" w:space="0" w:color="auto"/>
                                                <w:right w:val="none" w:sz="0" w:space="0" w:color="auto"/>
                                              </w:divBdr>
                                              <w:divsChild>
                                                <w:div w:id="613100396">
                                                  <w:marLeft w:val="0"/>
                                                  <w:marRight w:val="0"/>
                                                  <w:marTop w:val="0"/>
                                                  <w:marBottom w:val="0"/>
                                                  <w:divBdr>
                                                    <w:top w:val="none" w:sz="0" w:space="0" w:color="auto"/>
                                                    <w:left w:val="none" w:sz="0" w:space="0" w:color="auto"/>
                                                    <w:bottom w:val="none" w:sz="0" w:space="0" w:color="auto"/>
                                                    <w:right w:val="none" w:sz="0" w:space="0" w:color="auto"/>
                                                  </w:divBdr>
                                                  <w:divsChild>
                                                    <w:div w:id="9042681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588422897">
      <w:bodyDiv w:val="1"/>
      <w:marLeft w:val="0"/>
      <w:marRight w:val="0"/>
      <w:marTop w:val="0"/>
      <w:marBottom w:val="0"/>
      <w:divBdr>
        <w:top w:val="none" w:sz="0" w:space="0" w:color="auto"/>
        <w:left w:val="none" w:sz="0" w:space="0" w:color="auto"/>
        <w:bottom w:val="none" w:sz="0" w:space="0" w:color="auto"/>
        <w:right w:val="none" w:sz="0" w:space="0" w:color="auto"/>
      </w:divBdr>
    </w:div>
    <w:div w:id="1590769666">
      <w:bodyDiv w:val="1"/>
      <w:marLeft w:val="0"/>
      <w:marRight w:val="0"/>
      <w:marTop w:val="0"/>
      <w:marBottom w:val="0"/>
      <w:divBdr>
        <w:top w:val="none" w:sz="0" w:space="0" w:color="auto"/>
        <w:left w:val="none" w:sz="0" w:space="0" w:color="auto"/>
        <w:bottom w:val="none" w:sz="0" w:space="0" w:color="auto"/>
        <w:right w:val="none" w:sz="0" w:space="0" w:color="auto"/>
      </w:divBdr>
    </w:div>
    <w:div w:id="1640065814">
      <w:bodyDiv w:val="1"/>
      <w:marLeft w:val="0"/>
      <w:marRight w:val="0"/>
      <w:marTop w:val="0"/>
      <w:marBottom w:val="0"/>
      <w:divBdr>
        <w:top w:val="none" w:sz="0" w:space="0" w:color="auto"/>
        <w:left w:val="none" w:sz="0" w:space="0" w:color="auto"/>
        <w:bottom w:val="none" w:sz="0" w:space="0" w:color="auto"/>
        <w:right w:val="none" w:sz="0" w:space="0" w:color="auto"/>
      </w:divBdr>
    </w:div>
    <w:div w:id="1640066491">
      <w:bodyDiv w:val="1"/>
      <w:marLeft w:val="0"/>
      <w:marRight w:val="0"/>
      <w:marTop w:val="0"/>
      <w:marBottom w:val="0"/>
      <w:divBdr>
        <w:top w:val="none" w:sz="0" w:space="0" w:color="auto"/>
        <w:left w:val="none" w:sz="0" w:space="0" w:color="auto"/>
        <w:bottom w:val="none" w:sz="0" w:space="0" w:color="auto"/>
        <w:right w:val="none" w:sz="0" w:space="0" w:color="auto"/>
      </w:divBdr>
    </w:div>
    <w:div w:id="1641881971">
      <w:bodyDiv w:val="1"/>
      <w:marLeft w:val="0"/>
      <w:marRight w:val="0"/>
      <w:marTop w:val="0"/>
      <w:marBottom w:val="0"/>
      <w:divBdr>
        <w:top w:val="none" w:sz="0" w:space="0" w:color="auto"/>
        <w:left w:val="none" w:sz="0" w:space="0" w:color="auto"/>
        <w:bottom w:val="none" w:sz="0" w:space="0" w:color="auto"/>
        <w:right w:val="none" w:sz="0" w:space="0" w:color="auto"/>
      </w:divBdr>
    </w:div>
    <w:div w:id="1672021840">
      <w:bodyDiv w:val="1"/>
      <w:marLeft w:val="0"/>
      <w:marRight w:val="0"/>
      <w:marTop w:val="0"/>
      <w:marBottom w:val="0"/>
      <w:divBdr>
        <w:top w:val="none" w:sz="0" w:space="0" w:color="auto"/>
        <w:left w:val="none" w:sz="0" w:space="0" w:color="auto"/>
        <w:bottom w:val="none" w:sz="0" w:space="0" w:color="auto"/>
        <w:right w:val="none" w:sz="0" w:space="0" w:color="auto"/>
      </w:divBdr>
    </w:div>
    <w:div w:id="1677269500">
      <w:bodyDiv w:val="1"/>
      <w:marLeft w:val="0"/>
      <w:marRight w:val="0"/>
      <w:marTop w:val="0"/>
      <w:marBottom w:val="0"/>
      <w:divBdr>
        <w:top w:val="none" w:sz="0" w:space="0" w:color="auto"/>
        <w:left w:val="none" w:sz="0" w:space="0" w:color="auto"/>
        <w:bottom w:val="none" w:sz="0" w:space="0" w:color="auto"/>
        <w:right w:val="none" w:sz="0" w:space="0" w:color="auto"/>
      </w:divBdr>
      <w:divsChild>
        <w:div w:id="126049069">
          <w:marLeft w:val="446"/>
          <w:marRight w:val="0"/>
          <w:marTop w:val="180"/>
          <w:marBottom w:val="0"/>
          <w:divBdr>
            <w:top w:val="none" w:sz="0" w:space="0" w:color="auto"/>
            <w:left w:val="none" w:sz="0" w:space="0" w:color="auto"/>
            <w:bottom w:val="none" w:sz="0" w:space="0" w:color="auto"/>
            <w:right w:val="none" w:sz="0" w:space="0" w:color="auto"/>
          </w:divBdr>
        </w:div>
        <w:div w:id="468088579">
          <w:marLeft w:val="446"/>
          <w:marRight w:val="0"/>
          <w:marTop w:val="180"/>
          <w:marBottom w:val="0"/>
          <w:divBdr>
            <w:top w:val="none" w:sz="0" w:space="0" w:color="auto"/>
            <w:left w:val="none" w:sz="0" w:space="0" w:color="auto"/>
            <w:bottom w:val="none" w:sz="0" w:space="0" w:color="auto"/>
            <w:right w:val="none" w:sz="0" w:space="0" w:color="auto"/>
          </w:divBdr>
        </w:div>
        <w:div w:id="898319180">
          <w:marLeft w:val="346"/>
          <w:marRight w:val="0"/>
          <w:marTop w:val="180"/>
          <w:marBottom w:val="0"/>
          <w:divBdr>
            <w:top w:val="none" w:sz="0" w:space="0" w:color="auto"/>
            <w:left w:val="none" w:sz="0" w:space="0" w:color="auto"/>
            <w:bottom w:val="none" w:sz="0" w:space="0" w:color="auto"/>
            <w:right w:val="none" w:sz="0" w:space="0" w:color="auto"/>
          </w:divBdr>
        </w:div>
        <w:div w:id="1184171969">
          <w:marLeft w:val="446"/>
          <w:marRight w:val="0"/>
          <w:marTop w:val="180"/>
          <w:marBottom w:val="0"/>
          <w:divBdr>
            <w:top w:val="none" w:sz="0" w:space="0" w:color="auto"/>
            <w:left w:val="none" w:sz="0" w:space="0" w:color="auto"/>
            <w:bottom w:val="none" w:sz="0" w:space="0" w:color="auto"/>
            <w:right w:val="none" w:sz="0" w:space="0" w:color="auto"/>
          </w:divBdr>
        </w:div>
        <w:div w:id="1414668543">
          <w:marLeft w:val="346"/>
          <w:marRight w:val="0"/>
          <w:marTop w:val="180"/>
          <w:marBottom w:val="0"/>
          <w:divBdr>
            <w:top w:val="none" w:sz="0" w:space="0" w:color="auto"/>
            <w:left w:val="none" w:sz="0" w:space="0" w:color="auto"/>
            <w:bottom w:val="none" w:sz="0" w:space="0" w:color="auto"/>
            <w:right w:val="none" w:sz="0" w:space="0" w:color="auto"/>
          </w:divBdr>
        </w:div>
        <w:div w:id="1537966003">
          <w:marLeft w:val="446"/>
          <w:marRight w:val="0"/>
          <w:marTop w:val="180"/>
          <w:marBottom w:val="0"/>
          <w:divBdr>
            <w:top w:val="none" w:sz="0" w:space="0" w:color="auto"/>
            <w:left w:val="none" w:sz="0" w:space="0" w:color="auto"/>
            <w:bottom w:val="none" w:sz="0" w:space="0" w:color="auto"/>
            <w:right w:val="none" w:sz="0" w:space="0" w:color="auto"/>
          </w:divBdr>
        </w:div>
        <w:div w:id="1869684483">
          <w:marLeft w:val="446"/>
          <w:marRight w:val="0"/>
          <w:marTop w:val="180"/>
          <w:marBottom w:val="0"/>
          <w:divBdr>
            <w:top w:val="none" w:sz="0" w:space="0" w:color="auto"/>
            <w:left w:val="none" w:sz="0" w:space="0" w:color="auto"/>
            <w:bottom w:val="none" w:sz="0" w:space="0" w:color="auto"/>
            <w:right w:val="none" w:sz="0" w:space="0" w:color="auto"/>
          </w:divBdr>
        </w:div>
        <w:div w:id="1995335895">
          <w:marLeft w:val="446"/>
          <w:marRight w:val="0"/>
          <w:marTop w:val="180"/>
          <w:marBottom w:val="0"/>
          <w:divBdr>
            <w:top w:val="none" w:sz="0" w:space="0" w:color="auto"/>
            <w:left w:val="none" w:sz="0" w:space="0" w:color="auto"/>
            <w:bottom w:val="none" w:sz="0" w:space="0" w:color="auto"/>
            <w:right w:val="none" w:sz="0" w:space="0" w:color="auto"/>
          </w:divBdr>
        </w:div>
        <w:div w:id="2064672884">
          <w:marLeft w:val="446"/>
          <w:marRight w:val="0"/>
          <w:marTop w:val="180"/>
          <w:marBottom w:val="0"/>
          <w:divBdr>
            <w:top w:val="none" w:sz="0" w:space="0" w:color="auto"/>
            <w:left w:val="none" w:sz="0" w:space="0" w:color="auto"/>
            <w:bottom w:val="none" w:sz="0" w:space="0" w:color="auto"/>
            <w:right w:val="none" w:sz="0" w:space="0" w:color="auto"/>
          </w:divBdr>
        </w:div>
      </w:divsChild>
    </w:div>
    <w:div w:id="1678461942">
      <w:bodyDiv w:val="1"/>
      <w:marLeft w:val="0"/>
      <w:marRight w:val="0"/>
      <w:marTop w:val="0"/>
      <w:marBottom w:val="0"/>
      <w:divBdr>
        <w:top w:val="none" w:sz="0" w:space="0" w:color="auto"/>
        <w:left w:val="none" w:sz="0" w:space="0" w:color="auto"/>
        <w:bottom w:val="none" w:sz="0" w:space="0" w:color="auto"/>
        <w:right w:val="none" w:sz="0" w:space="0" w:color="auto"/>
      </w:divBdr>
      <w:divsChild>
        <w:div w:id="106316082">
          <w:marLeft w:val="446"/>
          <w:marRight w:val="0"/>
          <w:marTop w:val="180"/>
          <w:marBottom w:val="0"/>
          <w:divBdr>
            <w:top w:val="none" w:sz="0" w:space="0" w:color="auto"/>
            <w:left w:val="none" w:sz="0" w:space="0" w:color="auto"/>
            <w:bottom w:val="none" w:sz="0" w:space="0" w:color="auto"/>
            <w:right w:val="none" w:sz="0" w:space="0" w:color="auto"/>
          </w:divBdr>
        </w:div>
        <w:div w:id="516314080">
          <w:marLeft w:val="792"/>
          <w:marRight w:val="0"/>
          <w:marTop w:val="180"/>
          <w:marBottom w:val="0"/>
          <w:divBdr>
            <w:top w:val="none" w:sz="0" w:space="0" w:color="auto"/>
            <w:left w:val="none" w:sz="0" w:space="0" w:color="auto"/>
            <w:bottom w:val="none" w:sz="0" w:space="0" w:color="auto"/>
            <w:right w:val="none" w:sz="0" w:space="0" w:color="auto"/>
          </w:divBdr>
        </w:div>
        <w:div w:id="611202905">
          <w:marLeft w:val="792"/>
          <w:marRight w:val="0"/>
          <w:marTop w:val="180"/>
          <w:marBottom w:val="0"/>
          <w:divBdr>
            <w:top w:val="none" w:sz="0" w:space="0" w:color="auto"/>
            <w:left w:val="none" w:sz="0" w:space="0" w:color="auto"/>
            <w:bottom w:val="none" w:sz="0" w:space="0" w:color="auto"/>
            <w:right w:val="none" w:sz="0" w:space="0" w:color="auto"/>
          </w:divBdr>
        </w:div>
        <w:div w:id="872420409">
          <w:marLeft w:val="446"/>
          <w:marRight w:val="0"/>
          <w:marTop w:val="180"/>
          <w:marBottom w:val="0"/>
          <w:divBdr>
            <w:top w:val="none" w:sz="0" w:space="0" w:color="auto"/>
            <w:left w:val="none" w:sz="0" w:space="0" w:color="auto"/>
            <w:bottom w:val="none" w:sz="0" w:space="0" w:color="auto"/>
            <w:right w:val="none" w:sz="0" w:space="0" w:color="auto"/>
          </w:divBdr>
        </w:div>
        <w:div w:id="1087652140">
          <w:marLeft w:val="446"/>
          <w:marRight w:val="0"/>
          <w:marTop w:val="180"/>
          <w:marBottom w:val="0"/>
          <w:divBdr>
            <w:top w:val="none" w:sz="0" w:space="0" w:color="auto"/>
            <w:left w:val="none" w:sz="0" w:space="0" w:color="auto"/>
            <w:bottom w:val="none" w:sz="0" w:space="0" w:color="auto"/>
            <w:right w:val="none" w:sz="0" w:space="0" w:color="auto"/>
          </w:divBdr>
        </w:div>
        <w:div w:id="1987125663">
          <w:marLeft w:val="792"/>
          <w:marRight w:val="0"/>
          <w:marTop w:val="180"/>
          <w:marBottom w:val="0"/>
          <w:divBdr>
            <w:top w:val="none" w:sz="0" w:space="0" w:color="auto"/>
            <w:left w:val="none" w:sz="0" w:space="0" w:color="auto"/>
            <w:bottom w:val="none" w:sz="0" w:space="0" w:color="auto"/>
            <w:right w:val="none" w:sz="0" w:space="0" w:color="auto"/>
          </w:divBdr>
        </w:div>
      </w:divsChild>
    </w:div>
    <w:div w:id="1694839396">
      <w:bodyDiv w:val="1"/>
      <w:marLeft w:val="0"/>
      <w:marRight w:val="0"/>
      <w:marTop w:val="0"/>
      <w:marBottom w:val="0"/>
      <w:divBdr>
        <w:top w:val="none" w:sz="0" w:space="0" w:color="auto"/>
        <w:left w:val="none" w:sz="0" w:space="0" w:color="auto"/>
        <w:bottom w:val="none" w:sz="0" w:space="0" w:color="auto"/>
        <w:right w:val="none" w:sz="0" w:space="0" w:color="auto"/>
      </w:divBdr>
    </w:div>
    <w:div w:id="1746418759">
      <w:bodyDiv w:val="1"/>
      <w:marLeft w:val="0"/>
      <w:marRight w:val="0"/>
      <w:marTop w:val="0"/>
      <w:marBottom w:val="0"/>
      <w:divBdr>
        <w:top w:val="none" w:sz="0" w:space="0" w:color="auto"/>
        <w:left w:val="none" w:sz="0" w:space="0" w:color="auto"/>
        <w:bottom w:val="none" w:sz="0" w:space="0" w:color="auto"/>
        <w:right w:val="none" w:sz="0" w:space="0" w:color="auto"/>
      </w:divBdr>
    </w:div>
    <w:div w:id="1790777974">
      <w:bodyDiv w:val="1"/>
      <w:marLeft w:val="0"/>
      <w:marRight w:val="0"/>
      <w:marTop w:val="0"/>
      <w:marBottom w:val="0"/>
      <w:divBdr>
        <w:top w:val="none" w:sz="0" w:space="0" w:color="auto"/>
        <w:left w:val="none" w:sz="0" w:space="0" w:color="auto"/>
        <w:bottom w:val="none" w:sz="0" w:space="0" w:color="auto"/>
        <w:right w:val="none" w:sz="0" w:space="0" w:color="auto"/>
      </w:divBdr>
      <w:divsChild>
        <w:div w:id="1706129636">
          <w:marLeft w:val="0"/>
          <w:marRight w:val="0"/>
          <w:marTop w:val="0"/>
          <w:marBottom w:val="0"/>
          <w:divBdr>
            <w:top w:val="none" w:sz="0" w:space="0" w:color="auto"/>
            <w:left w:val="none" w:sz="0" w:space="0" w:color="auto"/>
            <w:bottom w:val="none" w:sz="0" w:space="0" w:color="auto"/>
            <w:right w:val="none" w:sz="0" w:space="0" w:color="auto"/>
          </w:divBdr>
          <w:divsChild>
            <w:div w:id="1665040035">
              <w:marLeft w:val="-225"/>
              <w:marRight w:val="-225"/>
              <w:marTop w:val="0"/>
              <w:marBottom w:val="0"/>
              <w:divBdr>
                <w:top w:val="none" w:sz="0" w:space="0" w:color="auto"/>
                <w:left w:val="none" w:sz="0" w:space="0" w:color="auto"/>
                <w:bottom w:val="none" w:sz="0" w:space="0" w:color="auto"/>
                <w:right w:val="none" w:sz="0" w:space="0" w:color="auto"/>
              </w:divBdr>
              <w:divsChild>
                <w:div w:id="1936400846">
                  <w:marLeft w:val="0"/>
                  <w:marRight w:val="0"/>
                  <w:marTop w:val="0"/>
                  <w:marBottom w:val="0"/>
                  <w:divBdr>
                    <w:top w:val="none" w:sz="0" w:space="0" w:color="auto"/>
                    <w:left w:val="none" w:sz="0" w:space="0" w:color="auto"/>
                    <w:bottom w:val="none" w:sz="0" w:space="0" w:color="auto"/>
                    <w:right w:val="none" w:sz="0" w:space="0" w:color="auto"/>
                  </w:divBdr>
                  <w:divsChild>
                    <w:div w:id="290868162">
                      <w:marLeft w:val="0"/>
                      <w:marRight w:val="0"/>
                      <w:marTop w:val="0"/>
                      <w:marBottom w:val="225"/>
                      <w:divBdr>
                        <w:top w:val="none" w:sz="0" w:space="0" w:color="auto"/>
                        <w:left w:val="none" w:sz="0" w:space="0" w:color="auto"/>
                        <w:bottom w:val="none" w:sz="0" w:space="0" w:color="auto"/>
                        <w:right w:val="none" w:sz="0" w:space="0" w:color="auto"/>
                      </w:divBdr>
                      <w:divsChild>
                        <w:div w:id="1634603410">
                          <w:marLeft w:val="0"/>
                          <w:marRight w:val="0"/>
                          <w:marTop w:val="0"/>
                          <w:marBottom w:val="0"/>
                          <w:divBdr>
                            <w:top w:val="none" w:sz="0" w:space="0" w:color="auto"/>
                            <w:left w:val="none" w:sz="0" w:space="0" w:color="auto"/>
                            <w:bottom w:val="none" w:sz="0" w:space="0" w:color="auto"/>
                            <w:right w:val="none" w:sz="0" w:space="0" w:color="auto"/>
                          </w:divBdr>
                          <w:divsChild>
                            <w:div w:id="1980914003">
                              <w:marLeft w:val="0"/>
                              <w:marRight w:val="0"/>
                              <w:marTop w:val="0"/>
                              <w:marBottom w:val="0"/>
                              <w:divBdr>
                                <w:top w:val="none" w:sz="0" w:space="0" w:color="auto"/>
                                <w:left w:val="none" w:sz="0" w:space="0" w:color="auto"/>
                                <w:bottom w:val="none" w:sz="0" w:space="0" w:color="auto"/>
                                <w:right w:val="none" w:sz="0" w:space="0" w:color="auto"/>
                              </w:divBdr>
                              <w:divsChild>
                                <w:div w:id="442308713">
                                  <w:marLeft w:val="0"/>
                                  <w:marRight w:val="0"/>
                                  <w:marTop w:val="0"/>
                                  <w:marBottom w:val="0"/>
                                  <w:divBdr>
                                    <w:top w:val="none" w:sz="0" w:space="0" w:color="auto"/>
                                    <w:left w:val="none" w:sz="0" w:space="0" w:color="auto"/>
                                    <w:bottom w:val="none" w:sz="0" w:space="0" w:color="auto"/>
                                    <w:right w:val="none" w:sz="0" w:space="0" w:color="auto"/>
                                  </w:divBdr>
                                  <w:divsChild>
                                    <w:div w:id="499854453">
                                      <w:marLeft w:val="0"/>
                                      <w:marRight w:val="0"/>
                                      <w:marTop w:val="0"/>
                                      <w:marBottom w:val="0"/>
                                      <w:divBdr>
                                        <w:top w:val="none" w:sz="0" w:space="0" w:color="auto"/>
                                        <w:left w:val="none" w:sz="0" w:space="0" w:color="auto"/>
                                        <w:bottom w:val="none" w:sz="0" w:space="0" w:color="auto"/>
                                        <w:right w:val="none" w:sz="0" w:space="0" w:color="auto"/>
                                      </w:divBdr>
                                      <w:divsChild>
                                        <w:div w:id="948312627">
                                          <w:marLeft w:val="0"/>
                                          <w:marRight w:val="0"/>
                                          <w:marTop w:val="0"/>
                                          <w:marBottom w:val="0"/>
                                          <w:divBdr>
                                            <w:top w:val="none" w:sz="0" w:space="0" w:color="auto"/>
                                            <w:left w:val="none" w:sz="0" w:space="0" w:color="auto"/>
                                            <w:bottom w:val="none" w:sz="0" w:space="0" w:color="auto"/>
                                            <w:right w:val="none" w:sz="0" w:space="0" w:color="auto"/>
                                          </w:divBdr>
                                          <w:divsChild>
                                            <w:div w:id="607929881">
                                              <w:marLeft w:val="0"/>
                                              <w:marRight w:val="0"/>
                                              <w:marTop w:val="0"/>
                                              <w:marBottom w:val="0"/>
                                              <w:divBdr>
                                                <w:top w:val="none" w:sz="0" w:space="0" w:color="auto"/>
                                                <w:left w:val="none" w:sz="0" w:space="0" w:color="auto"/>
                                                <w:bottom w:val="none" w:sz="0" w:space="0" w:color="auto"/>
                                                <w:right w:val="none" w:sz="0" w:space="0" w:color="auto"/>
                                              </w:divBdr>
                                              <w:divsChild>
                                                <w:div w:id="1239553820">
                                                  <w:marLeft w:val="0"/>
                                                  <w:marRight w:val="0"/>
                                                  <w:marTop w:val="0"/>
                                                  <w:marBottom w:val="0"/>
                                                  <w:divBdr>
                                                    <w:top w:val="none" w:sz="0" w:space="0" w:color="auto"/>
                                                    <w:left w:val="none" w:sz="0" w:space="0" w:color="auto"/>
                                                    <w:bottom w:val="none" w:sz="0" w:space="0" w:color="auto"/>
                                                    <w:right w:val="none" w:sz="0" w:space="0" w:color="auto"/>
                                                  </w:divBdr>
                                                  <w:divsChild>
                                                    <w:div w:id="17377833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802310262">
      <w:bodyDiv w:val="1"/>
      <w:marLeft w:val="0"/>
      <w:marRight w:val="0"/>
      <w:marTop w:val="0"/>
      <w:marBottom w:val="0"/>
      <w:divBdr>
        <w:top w:val="none" w:sz="0" w:space="0" w:color="auto"/>
        <w:left w:val="none" w:sz="0" w:space="0" w:color="auto"/>
        <w:bottom w:val="none" w:sz="0" w:space="0" w:color="auto"/>
        <w:right w:val="none" w:sz="0" w:space="0" w:color="auto"/>
      </w:divBdr>
    </w:div>
    <w:div w:id="1805075798">
      <w:bodyDiv w:val="1"/>
      <w:marLeft w:val="0"/>
      <w:marRight w:val="0"/>
      <w:marTop w:val="0"/>
      <w:marBottom w:val="0"/>
      <w:divBdr>
        <w:top w:val="none" w:sz="0" w:space="0" w:color="auto"/>
        <w:left w:val="none" w:sz="0" w:space="0" w:color="auto"/>
        <w:bottom w:val="none" w:sz="0" w:space="0" w:color="auto"/>
        <w:right w:val="none" w:sz="0" w:space="0" w:color="auto"/>
      </w:divBdr>
      <w:divsChild>
        <w:div w:id="99959514">
          <w:marLeft w:val="547"/>
          <w:marRight w:val="0"/>
          <w:marTop w:val="180"/>
          <w:marBottom w:val="0"/>
          <w:divBdr>
            <w:top w:val="none" w:sz="0" w:space="0" w:color="auto"/>
            <w:left w:val="none" w:sz="0" w:space="0" w:color="auto"/>
            <w:bottom w:val="none" w:sz="0" w:space="0" w:color="auto"/>
            <w:right w:val="none" w:sz="0" w:space="0" w:color="auto"/>
          </w:divBdr>
        </w:div>
        <w:div w:id="286206944">
          <w:marLeft w:val="547"/>
          <w:marRight w:val="0"/>
          <w:marTop w:val="180"/>
          <w:marBottom w:val="0"/>
          <w:divBdr>
            <w:top w:val="none" w:sz="0" w:space="0" w:color="auto"/>
            <w:left w:val="none" w:sz="0" w:space="0" w:color="auto"/>
            <w:bottom w:val="none" w:sz="0" w:space="0" w:color="auto"/>
            <w:right w:val="none" w:sz="0" w:space="0" w:color="auto"/>
          </w:divBdr>
        </w:div>
        <w:div w:id="1072704174">
          <w:marLeft w:val="547"/>
          <w:marRight w:val="0"/>
          <w:marTop w:val="180"/>
          <w:marBottom w:val="0"/>
          <w:divBdr>
            <w:top w:val="none" w:sz="0" w:space="0" w:color="auto"/>
            <w:left w:val="none" w:sz="0" w:space="0" w:color="auto"/>
            <w:bottom w:val="none" w:sz="0" w:space="0" w:color="auto"/>
            <w:right w:val="none" w:sz="0" w:space="0" w:color="auto"/>
          </w:divBdr>
        </w:div>
        <w:div w:id="1129783082">
          <w:marLeft w:val="547"/>
          <w:marRight w:val="0"/>
          <w:marTop w:val="180"/>
          <w:marBottom w:val="0"/>
          <w:divBdr>
            <w:top w:val="none" w:sz="0" w:space="0" w:color="auto"/>
            <w:left w:val="none" w:sz="0" w:space="0" w:color="auto"/>
            <w:bottom w:val="none" w:sz="0" w:space="0" w:color="auto"/>
            <w:right w:val="none" w:sz="0" w:space="0" w:color="auto"/>
          </w:divBdr>
        </w:div>
        <w:div w:id="1962835227">
          <w:marLeft w:val="547"/>
          <w:marRight w:val="0"/>
          <w:marTop w:val="180"/>
          <w:marBottom w:val="0"/>
          <w:divBdr>
            <w:top w:val="none" w:sz="0" w:space="0" w:color="auto"/>
            <w:left w:val="none" w:sz="0" w:space="0" w:color="auto"/>
            <w:bottom w:val="none" w:sz="0" w:space="0" w:color="auto"/>
            <w:right w:val="none" w:sz="0" w:space="0" w:color="auto"/>
          </w:divBdr>
        </w:div>
        <w:div w:id="2056074961">
          <w:marLeft w:val="547"/>
          <w:marRight w:val="0"/>
          <w:marTop w:val="180"/>
          <w:marBottom w:val="0"/>
          <w:divBdr>
            <w:top w:val="none" w:sz="0" w:space="0" w:color="auto"/>
            <w:left w:val="none" w:sz="0" w:space="0" w:color="auto"/>
            <w:bottom w:val="none" w:sz="0" w:space="0" w:color="auto"/>
            <w:right w:val="none" w:sz="0" w:space="0" w:color="auto"/>
          </w:divBdr>
        </w:div>
      </w:divsChild>
    </w:div>
    <w:div w:id="1817794441">
      <w:bodyDiv w:val="1"/>
      <w:marLeft w:val="0"/>
      <w:marRight w:val="0"/>
      <w:marTop w:val="0"/>
      <w:marBottom w:val="0"/>
      <w:divBdr>
        <w:top w:val="none" w:sz="0" w:space="0" w:color="auto"/>
        <w:left w:val="none" w:sz="0" w:space="0" w:color="auto"/>
        <w:bottom w:val="none" w:sz="0" w:space="0" w:color="auto"/>
        <w:right w:val="none" w:sz="0" w:space="0" w:color="auto"/>
      </w:divBdr>
    </w:div>
    <w:div w:id="1821075435">
      <w:bodyDiv w:val="1"/>
      <w:marLeft w:val="0"/>
      <w:marRight w:val="0"/>
      <w:marTop w:val="0"/>
      <w:marBottom w:val="0"/>
      <w:divBdr>
        <w:top w:val="none" w:sz="0" w:space="0" w:color="auto"/>
        <w:left w:val="none" w:sz="0" w:space="0" w:color="auto"/>
        <w:bottom w:val="none" w:sz="0" w:space="0" w:color="auto"/>
        <w:right w:val="none" w:sz="0" w:space="0" w:color="auto"/>
      </w:divBdr>
    </w:div>
    <w:div w:id="1831746330">
      <w:bodyDiv w:val="1"/>
      <w:marLeft w:val="0"/>
      <w:marRight w:val="0"/>
      <w:marTop w:val="0"/>
      <w:marBottom w:val="0"/>
      <w:divBdr>
        <w:top w:val="none" w:sz="0" w:space="0" w:color="auto"/>
        <w:left w:val="none" w:sz="0" w:space="0" w:color="auto"/>
        <w:bottom w:val="none" w:sz="0" w:space="0" w:color="auto"/>
        <w:right w:val="none" w:sz="0" w:space="0" w:color="auto"/>
      </w:divBdr>
    </w:div>
    <w:div w:id="1836804270">
      <w:bodyDiv w:val="1"/>
      <w:marLeft w:val="0"/>
      <w:marRight w:val="0"/>
      <w:marTop w:val="0"/>
      <w:marBottom w:val="0"/>
      <w:divBdr>
        <w:top w:val="none" w:sz="0" w:space="0" w:color="auto"/>
        <w:left w:val="none" w:sz="0" w:space="0" w:color="auto"/>
        <w:bottom w:val="none" w:sz="0" w:space="0" w:color="auto"/>
        <w:right w:val="none" w:sz="0" w:space="0" w:color="auto"/>
      </w:divBdr>
    </w:div>
    <w:div w:id="1847667106">
      <w:bodyDiv w:val="1"/>
      <w:marLeft w:val="0"/>
      <w:marRight w:val="0"/>
      <w:marTop w:val="0"/>
      <w:marBottom w:val="0"/>
      <w:divBdr>
        <w:top w:val="none" w:sz="0" w:space="0" w:color="auto"/>
        <w:left w:val="none" w:sz="0" w:space="0" w:color="auto"/>
        <w:bottom w:val="none" w:sz="0" w:space="0" w:color="auto"/>
        <w:right w:val="none" w:sz="0" w:space="0" w:color="auto"/>
      </w:divBdr>
    </w:div>
    <w:div w:id="1859998212">
      <w:bodyDiv w:val="1"/>
      <w:marLeft w:val="0"/>
      <w:marRight w:val="0"/>
      <w:marTop w:val="0"/>
      <w:marBottom w:val="0"/>
      <w:divBdr>
        <w:top w:val="none" w:sz="0" w:space="0" w:color="auto"/>
        <w:left w:val="none" w:sz="0" w:space="0" w:color="auto"/>
        <w:bottom w:val="none" w:sz="0" w:space="0" w:color="auto"/>
        <w:right w:val="none" w:sz="0" w:space="0" w:color="auto"/>
      </w:divBdr>
      <w:divsChild>
        <w:div w:id="842399817">
          <w:marLeft w:val="547"/>
          <w:marRight w:val="0"/>
          <w:marTop w:val="180"/>
          <w:marBottom w:val="0"/>
          <w:divBdr>
            <w:top w:val="none" w:sz="0" w:space="0" w:color="auto"/>
            <w:left w:val="none" w:sz="0" w:space="0" w:color="auto"/>
            <w:bottom w:val="none" w:sz="0" w:space="0" w:color="auto"/>
            <w:right w:val="none" w:sz="0" w:space="0" w:color="auto"/>
          </w:divBdr>
        </w:div>
      </w:divsChild>
    </w:div>
    <w:div w:id="1871533328">
      <w:bodyDiv w:val="1"/>
      <w:marLeft w:val="0"/>
      <w:marRight w:val="0"/>
      <w:marTop w:val="0"/>
      <w:marBottom w:val="0"/>
      <w:divBdr>
        <w:top w:val="none" w:sz="0" w:space="0" w:color="auto"/>
        <w:left w:val="none" w:sz="0" w:space="0" w:color="auto"/>
        <w:bottom w:val="none" w:sz="0" w:space="0" w:color="auto"/>
        <w:right w:val="none" w:sz="0" w:space="0" w:color="auto"/>
      </w:divBdr>
    </w:div>
    <w:div w:id="1916936080">
      <w:bodyDiv w:val="1"/>
      <w:marLeft w:val="0"/>
      <w:marRight w:val="0"/>
      <w:marTop w:val="0"/>
      <w:marBottom w:val="0"/>
      <w:divBdr>
        <w:top w:val="none" w:sz="0" w:space="0" w:color="auto"/>
        <w:left w:val="none" w:sz="0" w:space="0" w:color="auto"/>
        <w:bottom w:val="none" w:sz="0" w:space="0" w:color="auto"/>
        <w:right w:val="none" w:sz="0" w:space="0" w:color="auto"/>
      </w:divBdr>
    </w:div>
    <w:div w:id="1919443071">
      <w:bodyDiv w:val="1"/>
      <w:marLeft w:val="0"/>
      <w:marRight w:val="0"/>
      <w:marTop w:val="0"/>
      <w:marBottom w:val="0"/>
      <w:divBdr>
        <w:top w:val="none" w:sz="0" w:space="0" w:color="auto"/>
        <w:left w:val="none" w:sz="0" w:space="0" w:color="auto"/>
        <w:bottom w:val="none" w:sz="0" w:space="0" w:color="auto"/>
        <w:right w:val="none" w:sz="0" w:space="0" w:color="auto"/>
      </w:divBdr>
    </w:div>
    <w:div w:id="1961448950">
      <w:bodyDiv w:val="1"/>
      <w:marLeft w:val="0"/>
      <w:marRight w:val="0"/>
      <w:marTop w:val="0"/>
      <w:marBottom w:val="0"/>
      <w:divBdr>
        <w:top w:val="none" w:sz="0" w:space="0" w:color="auto"/>
        <w:left w:val="none" w:sz="0" w:space="0" w:color="auto"/>
        <w:bottom w:val="none" w:sz="0" w:space="0" w:color="auto"/>
        <w:right w:val="none" w:sz="0" w:space="0" w:color="auto"/>
      </w:divBdr>
    </w:div>
    <w:div w:id="1963538496">
      <w:bodyDiv w:val="1"/>
      <w:marLeft w:val="0"/>
      <w:marRight w:val="0"/>
      <w:marTop w:val="0"/>
      <w:marBottom w:val="0"/>
      <w:divBdr>
        <w:top w:val="none" w:sz="0" w:space="0" w:color="auto"/>
        <w:left w:val="none" w:sz="0" w:space="0" w:color="auto"/>
        <w:bottom w:val="none" w:sz="0" w:space="0" w:color="auto"/>
        <w:right w:val="none" w:sz="0" w:space="0" w:color="auto"/>
      </w:divBdr>
    </w:div>
    <w:div w:id="1994024555">
      <w:bodyDiv w:val="1"/>
      <w:marLeft w:val="0"/>
      <w:marRight w:val="0"/>
      <w:marTop w:val="0"/>
      <w:marBottom w:val="0"/>
      <w:divBdr>
        <w:top w:val="none" w:sz="0" w:space="0" w:color="auto"/>
        <w:left w:val="none" w:sz="0" w:space="0" w:color="auto"/>
        <w:bottom w:val="none" w:sz="0" w:space="0" w:color="auto"/>
        <w:right w:val="none" w:sz="0" w:space="0" w:color="auto"/>
      </w:divBdr>
      <w:divsChild>
        <w:div w:id="132917691">
          <w:marLeft w:val="0"/>
          <w:marRight w:val="0"/>
          <w:marTop w:val="0"/>
          <w:marBottom w:val="0"/>
          <w:divBdr>
            <w:top w:val="none" w:sz="0" w:space="0" w:color="auto"/>
            <w:left w:val="none" w:sz="0" w:space="0" w:color="auto"/>
            <w:bottom w:val="none" w:sz="0" w:space="0" w:color="auto"/>
            <w:right w:val="none" w:sz="0" w:space="0" w:color="auto"/>
          </w:divBdr>
          <w:divsChild>
            <w:div w:id="589387979">
              <w:marLeft w:val="-225"/>
              <w:marRight w:val="-225"/>
              <w:marTop w:val="0"/>
              <w:marBottom w:val="0"/>
              <w:divBdr>
                <w:top w:val="none" w:sz="0" w:space="0" w:color="auto"/>
                <w:left w:val="none" w:sz="0" w:space="0" w:color="auto"/>
                <w:bottom w:val="none" w:sz="0" w:space="0" w:color="auto"/>
                <w:right w:val="none" w:sz="0" w:space="0" w:color="auto"/>
              </w:divBdr>
              <w:divsChild>
                <w:div w:id="1499687681">
                  <w:marLeft w:val="0"/>
                  <w:marRight w:val="0"/>
                  <w:marTop w:val="0"/>
                  <w:marBottom w:val="0"/>
                  <w:divBdr>
                    <w:top w:val="none" w:sz="0" w:space="0" w:color="auto"/>
                    <w:left w:val="none" w:sz="0" w:space="0" w:color="auto"/>
                    <w:bottom w:val="none" w:sz="0" w:space="0" w:color="auto"/>
                    <w:right w:val="none" w:sz="0" w:space="0" w:color="auto"/>
                  </w:divBdr>
                  <w:divsChild>
                    <w:div w:id="636836389">
                      <w:marLeft w:val="0"/>
                      <w:marRight w:val="0"/>
                      <w:marTop w:val="0"/>
                      <w:marBottom w:val="225"/>
                      <w:divBdr>
                        <w:top w:val="none" w:sz="0" w:space="0" w:color="auto"/>
                        <w:left w:val="none" w:sz="0" w:space="0" w:color="auto"/>
                        <w:bottom w:val="none" w:sz="0" w:space="0" w:color="auto"/>
                        <w:right w:val="none" w:sz="0" w:space="0" w:color="auto"/>
                      </w:divBdr>
                      <w:divsChild>
                        <w:div w:id="1090587379">
                          <w:marLeft w:val="0"/>
                          <w:marRight w:val="0"/>
                          <w:marTop w:val="0"/>
                          <w:marBottom w:val="0"/>
                          <w:divBdr>
                            <w:top w:val="none" w:sz="0" w:space="0" w:color="auto"/>
                            <w:left w:val="none" w:sz="0" w:space="0" w:color="auto"/>
                            <w:bottom w:val="none" w:sz="0" w:space="0" w:color="auto"/>
                            <w:right w:val="none" w:sz="0" w:space="0" w:color="auto"/>
                          </w:divBdr>
                          <w:divsChild>
                            <w:div w:id="981498480">
                              <w:marLeft w:val="0"/>
                              <w:marRight w:val="0"/>
                              <w:marTop w:val="0"/>
                              <w:marBottom w:val="0"/>
                              <w:divBdr>
                                <w:top w:val="none" w:sz="0" w:space="0" w:color="auto"/>
                                <w:left w:val="none" w:sz="0" w:space="0" w:color="auto"/>
                                <w:bottom w:val="none" w:sz="0" w:space="0" w:color="auto"/>
                                <w:right w:val="none" w:sz="0" w:space="0" w:color="auto"/>
                              </w:divBdr>
                              <w:divsChild>
                                <w:div w:id="1884975924">
                                  <w:marLeft w:val="0"/>
                                  <w:marRight w:val="0"/>
                                  <w:marTop w:val="0"/>
                                  <w:marBottom w:val="0"/>
                                  <w:divBdr>
                                    <w:top w:val="none" w:sz="0" w:space="0" w:color="auto"/>
                                    <w:left w:val="none" w:sz="0" w:space="0" w:color="auto"/>
                                    <w:bottom w:val="none" w:sz="0" w:space="0" w:color="auto"/>
                                    <w:right w:val="none" w:sz="0" w:space="0" w:color="auto"/>
                                  </w:divBdr>
                                  <w:divsChild>
                                    <w:div w:id="222644389">
                                      <w:marLeft w:val="0"/>
                                      <w:marRight w:val="0"/>
                                      <w:marTop w:val="0"/>
                                      <w:marBottom w:val="0"/>
                                      <w:divBdr>
                                        <w:top w:val="none" w:sz="0" w:space="0" w:color="auto"/>
                                        <w:left w:val="none" w:sz="0" w:space="0" w:color="auto"/>
                                        <w:bottom w:val="none" w:sz="0" w:space="0" w:color="auto"/>
                                        <w:right w:val="none" w:sz="0" w:space="0" w:color="auto"/>
                                      </w:divBdr>
                                      <w:divsChild>
                                        <w:div w:id="1559433704">
                                          <w:marLeft w:val="0"/>
                                          <w:marRight w:val="0"/>
                                          <w:marTop w:val="0"/>
                                          <w:marBottom w:val="0"/>
                                          <w:divBdr>
                                            <w:top w:val="none" w:sz="0" w:space="0" w:color="auto"/>
                                            <w:left w:val="none" w:sz="0" w:space="0" w:color="auto"/>
                                            <w:bottom w:val="none" w:sz="0" w:space="0" w:color="auto"/>
                                            <w:right w:val="none" w:sz="0" w:space="0" w:color="auto"/>
                                          </w:divBdr>
                                          <w:divsChild>
                                            <w:div w:id="920866480">
                                              <w:marLeft w:val="0"/>
                                              <w:marRight w:val="0"/>
                                              <w:marTop w:val="0"/>
                                              <w:marBottom w:val="0"/>
                                              <w:divBdr>
                                                <w:top w:val="none" w:sz="0" w:space="0" w:color="auto"/>
                                                <w:left w:val="none" w:sz="0" w:space="0" w:color="auto"/>
                                                <w:bottom w:val="none" w:sz="0" w:space="0" w:color="auto"/>
                                                <w:right w:val="none" w:sz="0" w:space="0" w:color="auto"/>
                                              </w:divBdr>
                                              <w:divsChild>
                                                <w:div w:id="834882593">
                                                  <w:marLeft w:val="0"/>
                                                  <w:marRight w:val="0"/>
                                                  <w:marTop w:val="0"/>
                                                  <w:marBottom w:val="0"/>
                                                  <w:divBdr>
                                                    <w:top w:val="none" w:sz="0" w:space="0" w:color="auto"/>
                                                    <w:left w:val="none" w:sz="0" w:space="0" w:color="auto"/>
                                                    <w:bottom w:val="none" w:sz="0" w:space="0" w:color="auto"/>
                                                    <w:right w:val="none" w:sz="0" w:space="0" w:color="auto"/>
                                                  </w:divBdr>
                                                  <w:divsChild>
                                                    <w:div w:id="1780367693">
                                                      <w:marLeft w:val="0"/>
                                                      <w:marRight w:val="0"/>
                                                      <w:marTop w:val="0"/>
                                                      <w:marBottom w:val="0"/>
                                                      <w:divBdr>
                                                        <w:top w:val="none" w:sz="0" w:space="0" w:color="auto"/>
                                                        <w:left w:val="none" w:sz="0" w:space="0" w:color="auto"/>
                                                        <w:bottom w:val="none" w:sz="0" w:space="0" w:color="auto"/>
                                                        <w:right w:val="none" w:sz="0" w:space="0" w:color="auto"/>
                                                      </w:divBdr>
                                                      <w:divsChild>
                                                        <w:div w:id="766274020">
                                                          <w:marLeft w:val="-225"/>
                                                          <w:marRight w:val="-225"/>
                                                          <w:marTop w:val="0"/>
                                                          <w:marBottom w:val="0"/>
                                                          <w:divBdr>
                                                            <w:top w:val="none" w:sz="0" w:space="0" w:color="auto"/>
                                                            <w:left w:val="none" w:sz="0" w:space="0" w:color="auto"/>
                                                            <w:bottom w:val="none" w:sz="0" w:space="0" w:color="auto"/>
                                                            <w:right w:val="none" w:sz="0" w:space="0" w:color="auto"/>
                                                          </w:divBdr>
                                                          <w:divsChild>
                                                            <w:div w:id="1017972127">
                                                              <w:marLeft w:val="0"/>
                                                              <w:marRight w:val="0"/>
                                                              <w:marTop w:val="0"/>
                                                              <w:marBottom w:val="0"/>
                                                              <w:divBdr>
                                                                <w:top w:val="none" w:sz="0" w:space="0" w:color="auto"/>
                                                                <w:left w:val="none" w:sz="0" w:space="0" w:color="auto"/>
                                                                <w:bottom w:val="none" w:sz="0" w:space="0" w:color="auto"/>
                                                                <w:right w:val="none" w:sz="0" w:space="0" w:color="auto"/>
                                                              </w:divBdr>
                                                            </w:div>
                                                          </w:divsChild>
                                                        </w:div>
                                                        <w:div w:id="984625264">
                                                          <w:marLeft w:val="-225"/>
                                                          <w:marRight w:val="-225"/>
                                                          <w:marTop w:val="0"/>
                                                          <w:marBottom w:val="0"/>
                                                          <w:divBdr>
                                                            <w:top w:val="none" w:sz="0" w:space="0" w:color="auto"/>
                                                            <w:left w:val="none" w:sz="0" w:space="0" w:color="auto"/>
                                                            <w:bottom w:val="none" w:sz="0" w:space="0" w:color="auto"/>
                                                            <w:right w:val="none" w:sz="0" w:space="0" w:color="auto"/>
                                                          </w:divBdr>
                                                          <w:divsChild>
                                                            <w:div w:id="1731657743">
                                                              <w:marLeft w:val="0"/>
                                                              <w:marRight w:val="0"/>
                                                              <w:marTop w:val="0"/>
                                                              <w:marBottom w:val="0"/>
                                                              <w:divBdr>
                                                                <w:top w:val="none" w:sz="0" w:space="0" w:color="auto"/>
                                                                <w:left w:val="none" w:sz="0" w:space="0" w:color="auto"/>
                                                                <w:bottom w:val="none" w:sz="0" w:space="0" w:color="auto"/>
                                                                <w:right w:val="none" w:sz="0" w:space="0" w:color="auto"/>
                                                              </w:divBdr>
                                                            </w:div>
                                                          </w:divsChild>
                                                        </w:div>
                                                        <w:div w:id="993415310">
                                                          <w:marLeft w:val="-225"/>
                                                          <w:marRight w:val="-225"/>
                                                          <w:marTop w:val="0"/>
                                                          <w:marBottom w:val="0"/>
                                                          <w:divBdr>
                                                            <w:top w:val="none" w:sz="0" w:space="0" w:color="auto"/>
                                                            <w:left w:val="none" w:sz="0" w:space="0" w:color="auto"/>
                                                            <w:bottom w:val="none" w:sz="0" w:space="0" w:color="auto"/>
                                                            <w:right w:val="none" w:sz="0" w:space="0" w:color="auto"/>
                                                          </w:divBdr>
                                                          <w:divsChild>
                                                            <w:div w:id="50806770">
                                                              <w:marLeft w:val="0"/>
                                                              <w:marRight w:val="0"/>
                                                              <w:marTop w:val="0"/>
                                                              <w:marBottom w:val="0"/>
                                                              <w:divBdr>
                                                                <w:top w:val="none" w:sz="0" w:space="0" w:color="auto"/>
                                                                <w:left w:val="none" w:sz="0" w:space="0" w:color="auto"/>
                                                                <w:bottom w:val="none" w:sz="0" w:space="0" w:color="auto"/>
                                                                <w:right w:val="none" w:sz="0" w:space="0" w:color="auto"/>
                                                              </w:divBdr>
                                                            </w:div>
                                                          </w:divsChild>
                                                        </w:div>
                                                        <w:div w:id="1784566654">
                                                          <w:marLeft w:val="-225"/>
                                                          <w:marRight w:val="-225"/>
                                                          <w:marTop w:val="0"/>
                                                          <w:marBottom w:val="0"/>
                                                          <w:divBdr>
                                                            <w:top w:val="none" w:sz="0" w:space="0" w:color="auto"/>
                                                            <w:left w:val="none" w:sz="0" w:space="0" w:color="auto"/>
                                                            <w:bottom w:val="none" w:sz="0" w:space="0" w:color="auto"/>
                                                            <w:right w:val="none" w:sz="0" w:space="0" w:color="auto"/>
                                                          </w:divBdr>
                                                          <w:divsChild>
                                                            <w:div w:id="17898144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2001276489">
      <w:bodyDiv w:val="1"/>
      <w:marLeft w:val="0"/>
      <w:marRight w:val="0"/>
      <w:marTop w:val="0"/>
      <w:marBottom w:val="0"/>
      <w:divBdr>
        <w:top w:val="none" w:sz="0" w:space="0" w:color="auto"/>
        <w:left w:val="none" w:sz="0" w:space="0" w:color="auto"/>
        <w:bottom w:val="none" w:sz="0" w:space="0" w:color="auto"/>
        <w:right w:val="none" w:sz="0" w:space="0" w:color="auto"/>
      </w:divBdr>
    </w:div>
    <w:div w:id="2014067252">
      <w:bodyDiv w:val="1"/>
      <w:marLeft w:val="0"/>
      <w:marRight w:val="0"/>
      <w:marTop w:val="0"/>
      <w:marBottom w:val="0"/>
      <w:divBdr>
        <w:top w:val="none" w:sz="0" w:space="0" w:color="auto"/>
        <w:left w:val="none" w:sz="0" w:space="0" w:color="auto"/>
        <w:bottom w:val="none" w:sz="0" w:space="0" w:color="auto"/>
        <w:right w:val="none" w:sz="0" w:space="0" w:color="auto"/>
      </w:divBdr>
    </w:div>
    <w:div w:id="2014646020">
      <w:bodyDiv w:val="1"/>
      <w:marLeft w:val="0"/>
      <w:marRight w:val="0"/>
      <w:marTop w:val="0"/>
      <w:marBottom w:val="0"/>
      <w:divBdr>
        <w:top w:val="none" w:sz="0" w:space="0" w:color="auto"/>
        <w:left w:val="none" w:sz="0" w:space="0" w:color="auto"/>
        <w:bottom w:val="none" w:sz="0" w:space="0" w:color="auto"/>
        <w:right w:val="none" w:sz="0" w:space="0" w:color="auto"/>
      </w:divBdr>
    </w:div>
    <w:div w:id="2026444689">
      <w:bodyDiv w:val="1"/>
      <w:marLeft w:val="0"/>
      <w:marRight w:val="0"/>
      <w:marTop w:val="0"/>
      <w:marBottom w:val="0"/>
      <w:divBdr>
        <w:top w:val="none" w:sz="0" w:space="0" w:color="auto"/>
        <w:left w:val="none" w:sz="0" w:space="0" w:color="auto"/>
        <w:bottom w:val="none" w:sz="0" w:space="0" w:color="auto"/>
        <w:right w:val="none" w:sz="0" w:space="0" w:color="auto"/>
      </w:divBdr>
    </w:div>
    <w:div w:id="2034264183">
      <w:bodyDiv w:val="1"/>
      <w:marLeft w:val="0"/>
      <w:marRight w:val="0"/>
      <w:marTop w:val="0"/>
      <w:marBottom w:val="0"/>
      <w:divBdr>
        <w:top w:val="none" w:sz="0" w:space="0" w:color="auto"/>
        <w:left w:val="none" w:sz="0" w:space="0" w:color="auto"/>
        <w:bottom w:val="none" w:sz="0" w:space="0" w:color="auto"/>
        <w:right w:val="none" w:sz="0" w:space="0" w:color="auto"/>
      </w:divBdr>
    </w:div>
    <w:div w:id="2045591460">
      <w:bodyDiv w:val="1"/>
      <w:marLeft w:val="0"/>
      <w:marRight w:val="0"/>
      <w:marTop w:val="0"/>
      <w:marBottom w:val="0"/>
      <w:divBdr>
        <w:top w:val="none" w:sz="0" w:space="0" w:color="auto"/>
        <w:left w:val="none" w:sz="0" w:space="0" w:color="auto"/>
        <w:bottom w:val="none" w:sz="0" w:space="0" w:color="auto"/>
        <w:right w:val="none" w:sz="0" w:space="0" w:color="auto"/>
      </w:divBdr>
    </w:div>
    <w:div w:id="2110084330">
      <w:bodyDiv w:val="1"/>
      <w:marLeft w:val="0"/>
      <w:marRight w:val="0"/>
      <w:marTop w:val="0"/>
      <w:marBottom w:val="0"/>
      <w:divBdr>
        <w:top w:val="none" w:sz="0" w:space="0" w:color="auto"/>
        <w:left w:val="none" w:sz="0" w:space="0" w:color="auto"/>
        <w:bottom w:val="none" w:sz="0" w:space="0" w:color="auto"/>
        <w:right w:val="none" w:sz="0" w:space="0" w:color="auto"/>
      </w:divBdr>
    </w:div>
    <w:div w:id="21107390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footer" Target="footer3.xml"/><Relationship Id="rId26" Type="http://schemas.openxmlformats.org/officeDocument/2006/relationships/footer" Target="footer5.xml"/><Relationship Id="rId39" Type="http://schemas.openxmlformats.org/officeDocument/2006/relationships/header" Target="header20.xml"/><Relationship Id="rId21" Type="http://schemas.openxmlformats.org/officeDocument/2006/relationships/header" Target="header7.xml"/><Relationship Id="rId34" Type="http://schemas.openxmlformats.org/officeDocument/2006/relationships/footer" Target="footer7.xml"/><Relationship Id="rId42" Type="http://schemas.openxmlformats.org/officeDocument/2006/relationships/header" Target="header22.xml"/><Relationship Id="rId47" Type="http://schemas.openxmlformats.org/officeDocument/2006/relationships/footer" Target="footer10.xml"/><Relationship Id="rId50" Type="http://schemas.openxmlformats.org/officeDocument/2006/relationships/image" Target="media/image6.PNG"/><Relationship Id="rId55" Type="http://schemas.openxmlformats.org/officeDocument/2006/relationships/footer" Target="footer11.xml"/><Relationship Id="rId63" Type="http://schemas.openxmlformats.org/officeDocument/2006/relationships/header" Target="header35.xml"/><Relationship Id="rId68" Type="http://schemas.openxmlformats.org/officeDocument/2006/relationships/image" Target="media/image9.png"/><Relationship Id="rId76" Type="http://schemas.openxmlformats.org/officeDocument/2006/relationships/header" Target="header43.xml"/><Relationship Id="rId84" Type="http://schemas.openxmlformats.org/officeDocument/2006/relationships/image" Target="media/image13.PNG"/><Relationship Id="rId7" Type="http://schemas.openxmlformats.org/officeDocument/2006/relationships/settings" Target="settings.xml"/><Relationship Id="rId71" Type="http://schemas.openxmlformats.org/officeDocument/2006/relationships/header" Target="header39.xml"/><Relationship Id="rId2" Type="http://schemas.openxmlformats.org/officeDocument/2006/relationships/customXml" Target="../customXml/item2.xml"/><Relationship Id="rId16" Type="http://schemas.openxmlformats.org/officeDocument/2006/relationships/header" Target="header3.xml"/><Relationship Id="rId29" Type="http://schemas.openxmlformats.org/officeDocument/2006/relationships/header" Target="header13.xml"/><Relationship Id="rId11" Type="http://schemas.openxmlformats.org/officeDocument/2006/relationships/header" Target="header1.xml"/><Relationship Id="rId24" Type="http://schemas.openxmlformats.org/officeDocument/2006/relationships/header" Target="header9.xml"/><Relationship Id="rId32" Type="http://schemas.openxmlformats.org/officeDocument/2006/relationships/header" Target="header15.xml"/><Relationship Id="rId37" Type="http://schemas.openxmlformats.org/officeDocument/2006/relationships/header" Target="header19.xml"/><Relationship Id="rId40" Type="http://schemas.openxmlformats.org/officeDocument/2006/relationships/image" Target="media/image4.png"/><Relationship Id="rId45" Type="http://schemas.openxmlformats.org/officeDocument/2006/relationships/header" Target="header24.xml"/><Relationship Id="rId53" Type="http://schemas.openxmlformats.org/officeDocument/2006/relationships/header" Target="header27.xml"/><Relationship Id="rId58" Type="http://schemas.openxmlformats.org/officeDocument/2006/relationships/header" Target="header31.xml"/><Relationship Id="rId66" Type="http://schemas.openxmlformats.org/officeDocument/2006/relationships/footer" Target="footer13.xml"/><Relationship Id="rId74" Type="http://schemas.openxmlformats.org/officeDocument/2006/relationships/header" Target="header41.xml"/><Relationship Id="rId79" Type="http://schemas.openxmlformats.org/officeDocument/2006/relationships/header" Target="header45.xml"/><Relationship Id="rId5" Type="http://schemas.openxmlformats.org/officeDocument/2006/relationships/numbering" Target="numbering.xml"/><Relationship Id="rId61" Type="http://schemas.openxmlformats.org/officeDocument/2006/relationships/header" Target="header33.xml"/><Relationship Id="rId82" Type="http://schemas.openxmlformats.org/officeDocument/2006/relationships/header" Target="header47.xml"/><Relationship Id="rId19" Type="http://schemas.openxmlformats.org/officeDocument/2006/relationships/header" Target="header5.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footer" Target="footer4.xml"/><Relationship Id="rId27" Type="http://schemas.openxmlformats.org/officeDocument/2006/relationships/header" Target="header11.xml"/><Relationship Id="rId30" Type="http://schemas.openxmlformats.org/officeDocument/2006/relationships/footer" Target="footer6.xml"/><Relationship Id="rId35" Type="http://schemas.openxmlformats.org/officeDocument/2006/relationships/header" Target="header17.xml"/><Relationship Id="rId43" Type="http://schemas.openxmlformats.org/officeDocument/2006/relationships/footer" Target="footer9.xml"/><Relationship Id="rId48" Type="http://schemas.openxmlformats.org/officeDocument/2006/relationships/header" Target="header26.xml"/><Relationship Id="rId56" Type="http://schemas.openxmlformats.org/officeDocument/2006/relationships/header" Target="header29.xml"/><Relationship Id="rId64" Type="http://schemas.openxmlformats.org/officeDocument/2006/relationships/header" Target="header36.xml"/><Relationship Id="rId69" Type="http://schemas.openxmlformats.org/officeDocument/2006/relationships/image" Target="media/image10.png"/><Relationship Id="rId77" Type="http://schemas.openxmlformats.org/officeDocument/2006/relationships/footer" Target="footer15.xml"/><Relationship Id="rId8" Type="http://schemas.openxmlformats.org/officeDocument/2006/relationships/webSettings" Target="webSettings.xml"/><Relationship Id="rId51" Type="http://schemas.openxmlformats.org/officeDocument/2006/relationships/image" Target="media/image7.PNG"/><Relationship Id="rId72" Type="http://schemas.openxmlformats.org/officeDocument/2006/relationships/header" Target="header40.xml"/><Relationship Id="rId80" Type="http://schemas.openxmlformats.org/officeDocument/2006/relationships/header" Target="header46.xml"/><Relationship Id="rId85"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header" Target="header4.xml"/><Relationship Id="rId25" Type="http://schemas.openxmlformats.org/officeDocument/2006/relationships/header" Target="header10.xml"/><Relationship Id="rId33" Type="http://schemas.openxmlformats.org/officeDocument/2006/relationships/header" Target="header16.xml"/><Relationship Id="rId38" Type="http://schemas.openxmlformats.org/officeDocument/2006/relationships/footer" Target="footer8.xml"/><Relationship Id="rId46" Type="http://schemas.openxmlformats.org/officeDocument/2006/relationships/header" Target="header25.xml"/><Relationship Id="rId59" Type="http://schemas.openxmlformats.org/officeDocument/2006/relationships/footer" Target="footer12.xml"/><Relationship Id="rId67" Type="http://schemas.openxmlformats.org/officeDocument/2006/relationships/header" Target="header38.xml"/><Relationship Id="rId20" Type="http://schemas.openxmlformats.org/officeDocument/2006/relationships/header" Target="header6.xml"/><Relationship Id="rId41" Type="http://schemas.openxmlformats.org/officeDocument/2006/relationships/header" Target="header21.xml"/><Relationship Id="rId54" Type="http://schemas.openxmlformats.org/officeDocument/2006/relationships/header" Target="header28.xml"/><Relationship Id="rId62" Type="http://schemas.openxmlformats.org/officeDocument/2006/relationships/header" Target="header34.xml"/><Relationship Id="rId70" Type="http://schemas.openxmlformats.org/officeDocument/2006/relationships/image" Target="media/image11.png"/><Relationship Id="rId75" Type="http://schemas.openxmlformats.org/officeDocument/2006/relationships/header" Target="header42.xml"/><Relationship Id="rId83"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2.jpeg"/><Relationship Id="rId23" Type="http://schemas.openxmlformats.org/officeDocument/2006/relationships/header" Target="header8.xml"/><Relationship Id="rId28" Type="http://schemas.openxmlformats.org/officeDocument/2006/relationships/header" Target="header12.xml"/><Relationship Id="rId36" Type="http://schemas.openxmlformats.org/officeDocument/2006/relationships/header" Target="header18.xml"/><Relationship Id="rId49" Type="http://schemas.openxmlformats.org/officeDocument/2006/relationships/image" Target="media/image5.png"/><Relationship Id="rId57" Type="http://schemas.openxmlformats.org/officeDocument/2006/relationships/header" Target="header30.xml"/><Relationship Id="rId10" Type="http://schemas.openxmlformats.org/officeDocument/2006/relationships/endnotes" Target="endnotes.xml"/><Relationship Id="rId31" Type="http://schemas.openxmlformats.org/officeDocument/2006/relationships/header" Target="header14.xml"/><Relationship Id="rId44" Type="http://schemas.openxmlformats.org/officeDocument/2006/relationships/header" Target="header23.xml"/><Relationship Id="rId52" Type="http://schemas.openxmlformats.org/officeDocument/2006/relationships/image" Target="media/image8.emf"/><Relationship Id="rId60" Type="http://schemas.openxmlformats.org/officeDocument/2006/relationships/header" Target="header32.xml"/><Relationship Id="rId65" Type="http://schemas.openxmlformats.org/officeDocument/2006/relationships/header" Target="header37.xml"/><Relationship Id="rId73" Type="http://schemas.openxmlformats.org/officeDocument/2006/relationships/footer" Target="footer14.xml"/><Relationship Id="rId78" Type="http://schemas.openxmlformats.org/officeDocument/2006/relationships/header" Target="header44.xml"/><Relationship Id="rId81" Type="http://schemas.openxmlformats.org/officeDocument/2006/relationships/footer" Target="footer16.xml"/><Relationship Id="rId86" Type="http://schemas.openxmlformats.org/officeDocument/2006/relationships/theme" Target="theme/theme1.xml"/></Relationships>
</file>

<file path=word/_rels/footnotes.xml.rels><?xml version="1.0" encoding="UTF-8" standalone="yes"?>
<Relationships xmlns="http://schemas.openxmlformats.org/package/2006/relationships"><Relationship Id="rId3" Type="http://schemas.openxmlformats.org/officeDocument/2006/relationships/hyperlink" Target="https://www.aemo.com.au/Gas/Gas-Supply-Hubs/Participant-information/How-to-register" TargetMode="External"/><Relationship Id="rId2" Type="http://schemas.openxmlformats.org/officeDocument/2006/relationships/hyperlink" Target="https://www.aemo.com.au/Gas/Gas-Supply-Hubs/Market-operations" TargetMode="External"/><Relationship Id="rId1" Type="http://schemas.openxmlformats.org/officeDocument/2006/relationships/hyperlink" Target="http://gmrg.coagenergycouncil.gov.au/publications/day-ahead-auction-contracted-un-nominated-capacity-and-reporting-framework"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10.xml.rels><?xml version="1.0" encoding="UTF-8" standalone="yes"?>
<Relationships xmlns="http://schemas.openxmlformats.org/package/2006/relationships"><Relationship Id="rId1" Type="http://schemas.openxmlformats.org/officeDocument/2006/relationships/image" Target="media/image3.jpeg"/></Relationships>
</file>

<file path=word/_rels/header13.xml.rels><?xml version="1.0" encoding="UTF-8" standalone="yes"?>
<Relationships xmlns="http://schemas.openxmlformats.org/package/2006/relationships"><Relationship Id="rId1" Type="http://schemas.openxmlformats.org/officeDocument/2006/relationships/image" Target="media/image3.jpeg"/></Relationships>
</file>

<file path=word/_rels/header16.xml.rels><?xml version="1.0" encoding="UTF-8" standalone="yes"?>
<Relationships xmlns="http://schemas.openxmlformats.org/package/2006/relationships"><Relationship Id="rId1" Type="http://schemas.openxmlformats.org/officeDocument/2006/relationships/image" Target="media/image3.jpeg"/></Relationships>
</file>

<file path=word/_rels/header19.xml.rels><?xml version="1.0" encoding="UTF-8" standalone="yes"?>
<Relationships xmlns="http://schemas.openxmlformats.org/package/2006/relationships"><Relationship Id="rId1" Type="http://schemas.openxmlformats.org/officeDocument/2006/relationships/image" Target="media/image3.jpeg"/></Relationships>
</file>

<file path=word/_rels/header22.xml.rels><?xml version="1.0" encoding="UTF-8" standalone="yes"?>
<Relationships xmlns="http://schemas.openxmlformats.org/package/2006/relationships"><Relationship Id="rId1" Type="http://schemas.openxmlformats.org/officeDocument/2006/relationships/image" Target="media/image3.jpeg"/></Relationships>
</file>

<file path=word/_rels/header25.xml.rels><?xml version="1.0" encoding="UTF-8" standalone="yes"?>
<Relationships xmlns="http://schemas.openxmlformats.org/package/2006/relationships"><Relationship Id="rId1" Type="http://schemas.openxmlformats.org/officeDocument/2006/relationships/image" Target="media/image3.jpeg"/></Relationships>
</file>

<file path=word/_rels/header28.xml.rels><?xml version="1.0" encoding="UTF-8" standalone="yes"?>
<Relationships xmlns="http://schemas.openxmlformats.org/package/2006/relationships"><Relationship Id="rId1" Type="http://schemas.openxmlformats.org/officeDocument/2006/relationships/image" Target="media/image3.jpeg"/></Relationships>
</file>

<file path=word/_rels/header31.xml.rels><?xml version="1.0" encoding="UTF-8" standalone="yes"?>
<Relationships xmlns="http://schemas.openxmlformats.org/package/2006/relationships"><Relationship Id="rId1" Type="http://schemas.openxmlformats.org/officeDocument/2006/relationships/image" Target="media/image3.jpeg"/></Relationships>
</file>

<file path=word/_rels/header34.xml.rels><?xml version="1.0" encoding="UTF-8" standalone="yes"?>
<Relationships xmlns="http://schemas.openxmlformats.org/package/2006/relationships"><Relationship Id="rId1" Type="http://schemas.openxmlformats.org/officeDocument/2006/relationships/image" Target="media/image3.jpeg"/></Relationships>
</file>

<file path=word/_rels/header37.xml.rels><?xml version="1.0" encoding="UTF-8" standalone="yes"?>
<Relationships xmlns="http://schemas.openxmlformats.org/package/2006/relationships"><Relationship Id="rId1" Type="http://schemas.openxmlformats.org/officeDocument/2006/relationships/image" Target="media/image3.jpeg"/></Relationships>
</file>

<file path=word/_rels/header4.xml.rels><?xml version="1.0" encoding="UTF-8" standalone="yes"?>
<Relationships xmlns="http://schemas.openxmlformats.org/package/2006/relationships"><Relationship Id="rId1" Type="http://schemas.openxmlformats.org/officeDocument/2006/relationships/image" Target="media/image3.jpeg"/></Relationships>
</file>

<file path=word/_rels/header40.xml.rels><?xml version="1.0" encoding="UTF-8" standalone="yes"?>
<Relationships xmlns="http://schemas.openxmlformats.org/package/2006/relationships"><Relationship Id="rId1" Type="http://schemas.openxmlformats.org/officeDocument/2006/relationships/image" Target="media/image3.jpeg"/></Relationships>
</file>

<file path=word/_rels/header43.xml.rels><?xml version="1.0" encoding="UTF-8" standalone="yes"?>
<Relationships xmlns="http://schemas.openxmlformats.org/package/2006/relationships"><Relationship Id="rId1" Type="http://schemas.openxmlformats.org/officeDocument/2006/relationships/image" Target="media/image3.jpeg"/></Relationships>
</file>

<file path=word/_rels/header46.xml.rels><?xml version="1.0" encoding="UTF-8" standalone="yes"?>
<Relationships xmlns="http://schemas.openxmlformats.org/package/2006/relationships"><Relationship Id="rId1" Type="http://schemas.openxmlformats.org/officeDocument/2006/relationships/image" Target="media/image3.jpeg"/></Relationships>
</file>

<file path=word/_rels/header7.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SFS">
  <a:themeElements>
    <a:clrScheme name="Axiom With Burgundy">
      <a:dk1>
        <a:sysClr val="windowText" lastClr="000000"/>
      </a:dk1>
      <a:lt1>
        <a:srgbClr val="FFFFFF"/>
      </a:lt1>
      <a:dk2>
        <a:srgbClr val="214C90"/>
      </a:dk2>
      <a:lt2>
        <a:srgbClr val="E1E2E7"/>
      </a:lt2>
      <a:accent1>
        <a:srgbClr val="214C90"/>
      </a:accent1>
      <a:accent2>
        <a:srgbClr val="46A6A9"/>
      </a:accent2>
      <a:accent3>
        <a:srgbClr val="5D89B4"/>
      </a:accent3>
      <a:accent4>
        <a:srgbClr val="A9A8A9"/>
      </a:accent4>
      <a:accent5>
        <a:srgbClr val="990033"/>
      </a:accent5>
      <a:accent6>
        <a:srgbClr val="800080"/>
      </a:accent6>
      <a:hlink>
        <a:srgbClr val="214C90"/>
      </a:hlink>
      <a:folHlink>
        <a:srgbClr val="46A6A9"/>
      </a:folHlink>
    </a:clrScheme>
    <a:fontScheme name="Axiom Arial and Book Antiqua">
      <a:majorFont>
        <a:latin typeface="Arial"/>
        <a:ea typeface=""/>
        <a:cs typeface=""/>
      </a:majorFont>
      <a:minorFont>
        <a:latin typeface="Book Antiqua"/>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2E8C1A015F23C4FBB98617DE4247464" ma:contentTypeVersion="4" ma:contentTypeDescription="Create a new document." ma:contentTypeScope="" ma:versionID="a0806ceb8048e201d52ef4e037bce857">
  <xsd:schema xmlns:xsd="http://www.w3.org/2001/XMLSchema" xmlns:xs="http://www.w3.org/2001/XMLSchema" xmlns:p="http://schemas.microsoft.com/office/2006/metadata/properties" xmlns:ns2="b36f0a4f-5506-4329-9a4e-301ad29d175f" xmlns:ns3="4a9afdaf-ab64-48c3-9c8c-735e54f00f2f" targetNamespace="http://schemas.microsoft.com/office/2006/metadata/properties" ma:root="true" ma:fieldsID="78ee5fae77b9423cdd17821d23ad321b" ns2:_="" ns3:_="">
    <xsd:import namespace="b36f0a4f-5506-4329-9a4e-301ad29d175f"/>
    <xsd:import namespace="4a9afdaf-ab64-48c3-9c8c-735e54f00f2f"/>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36f0a4f-5506-4329-9a4e-301ad29d175f"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a9afdaf-ab64-48c3-9c8c-735e54f00f2f" elementFormDefault="qualified">
    <xsd:import namespace="http://schemas.microsoft.com/office/2006/documentManagement/types"/>
    <xsd:import namespace="http://schemas.microsoft.com/office/infopath/2007/PartnerControls"/>
    <xsd:element name="MediaServiceMetadata" ma:index="10" nillable="true" ma:displayName="MediaServiceMetadata" ma:description="" ma:hidden="true" ma:internalName="MediaServiceMetadata" ma:readOnly="true">
      <xsd:simpleType>
        <xsd:restriction base="dms:Note"/>
      </xsd:simpleType>
    </xsd:element>
    <xsd:element name="MediaServiceFastMetadata" ma:index="11" nillable="true" ma:displayName="MediaServiceFastMetadata" ma:description=""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4B233F9-DB68-41BE-AACE-57E46EDA943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36f0a4f-5506-4329-9a4e-301ad29d175f"/>
    <ds:schemaRef ds:uri="4a9afdaf-ab64-48c3-9c8c-735e54f00f2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8255001-7064-495A-8898-F50D10692B50}">
  <ds:schemaRefs>
    <ds:schemaRef ds:uri="4a9afdaf-ab64-48c3-9c8c-735e54f00f2f"/>
    <ds:schemaRef ds:uri="http://www.w3.org/XML/1998/namespace"/>
    <ds:schemaRef ds:uri="http://purl.org/dc/dcmitype/"/>
    <ds:schemaRef ds:uri="http://purl.org/dc/elements/1.1/"/>
    <ds:schemaRef ds:uri="http://schemas.microsoft.com/office/2006/documentManagement/types"/>
    <ds:schemaRef ds:uri="http://purl.org/dc/terms/"/>
    <ds:schemaRef ds:uri="http://schemas.openxmlformats.org/package/2006/metadata/core-properties"/>
    <ds:schemaRef ds:uri="b36f0a4f-5506-4329-9a4e-301ad29d175f"/>
    <ds:schemaRef ds:uri="http://schemas.microsoft.com/office/infopath/2007/PartnerControls"/>
    <ds:schemaRef ds:uri="http://schemas.microsoft.com/office/2006/metadata/properties"/>
  </ds:schemaRefs>
</ds:datastoreItem>
</file>

<file path=customXml/itemProps3.xml><?xml version="1.0" encoding="utf-8"?>
<ds:datastoreItem xmlns:ds="http://schemas.openxmlformats.org/officeDocument/2006/customXml" ds:itemID="{88956E52-22A0-4F14-8D8D-C1433A664DFF}">
  <ds:schemaRefs>
    <ds:schemaRef ds:uri="http://schemas.microsoft.com/sharepoint/v3/contenttype/forms"/>
  </ds:schemaRefs>
</ds:datastoreItem>
</file>

<file path=customXml/itemProps4.xml><?xml version="1.0" encoding="utf-8"?>
<ds:datastoreItem xmlns:ds="http://schemas.openxmlformats.org/officeDocument/2006/customXml" ds:itemID="{206FB154-2140-493D-A257-65BAFDED23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EEE07A77.dotm</Template>
  <TotalTime>56</TotalTime>
  <Pages>164</Pages>
  <Words>70973</Words>
  <Characters>380190</Characters>
  <Application>Microsoft Office Word</Application>
  <DocSecurity>0</DocSecurity>
  <Lines>3168</Lines>
  <Paragraphs>900</Paragraphs>
  <ScaleCrop>false</ScaleCrop>
  <HeadingPairs>
    <vt:vector size="2" baseType="variant">
      <vt:variant>
        <vt:lpstr>Title</vt:lpstr>
      </vt:variant>
      <vt:variant>
        <vt:i4>1</vt:i4>
      </vt:variant>
    </vt:vector>
  </HeadingPairs>
  <TitlesOfParts>
    <vt:vector size="1" baseType="lpstr">
      <vt:lpstr>Capacity Trading Reform Package Final Recommendatons</vt:lpstr>
    </vt:vector>
  </TitlesOfParts>
  <Company/>
  <LinksUpToDate>false</LinksUpToDate>
  <CharactersWithSpaces>450263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Capacity Trading Reform Package Final Recommendatons</dc:title>
  <dc:subject/>
  <dc:creator>GMRG</dc:creator>
  <cp:keywords/>
  <dc:description/>
  <cp:lastModifiedBy>Murphy, Erin</cp:lastModifiedBy>
  <cp:revision>3</cp:revision>
  <cp:lastPrinted>2017-11-27T00:09:00Z</cp:lastPrinted>
  <dcterms:created xsi:type="dcterms:W3CDTF">2018-02-06T01:05:00Z</dcterms:created>
  <dcterms:modified xsi:type="dcterms:W3CDTF">2018-02-06T02:01:00Z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0x01010052E8C1A015F23C4FBB98617DE4247464</vt:lpwstr>
  </property>
</Properties>
</file>