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3F21EF" w14:textId="77777777" w:rsidR="00674572" w:rsidRPr="00674572" w:rsidRDefault="00674572" w:rsidP="00AE60C2">
      <w:pPr>
        <w:spacing w:after="400"/>
        <w:ind w:left="-142" w:right="-1"/>
        <w:rPr>
          <w:b/>
          <w:color w:val="007BC1"/>
          <w:sz w:val="344"/>
          <w:szCs w:val="344"/>
        </w:rPr>
      </w:pPr>
    </w:p>
    <w:p w14:paraId="063A1088" w14:textId="77777777" w:rsidR="00493401" w:rsidRPr="00AE60C2" w:rsidRDefault="00AE60C2" w:rsidP="00AE60C2">
      <w:pPr>
        <w:spacing w:after="400"/>
        <w:ind w:left="-142" w:right="-1"/>
        <w:rPr>
          <w:b/>
          <w:color w:val="007BC1"/>
          <w:sz w:val="52"/>
          <w:szCs w:val="52"/>
        </w:rPr>
      </w:pPr>
      <w:r w:rsidRPr="00AE60C2">
        <w:rPr>
          <w:b/>
          <w:color w:val="007BC1"/>
          <w:sz w:val="52"/>
          <w:szCs w:val="52"/>
        </w:rPr>
        <w:t>Capacity Trading Reform Package</w:t>
      </w:r>
      <w:r>
        <w:rPr>
          <w:b/>
          <w:color w:val="007BC1"/>
          <w:sz w:val="52"/>
          <w:szCs w:val="52"/>
        </w:rPr>
        <w:t>:</w:t>
      </w:r>
      <w:r>
        <w:rPr>
          <w:b/>
          <w:color w:val="007BC1"/>
          <w:sz w:val="52"/>
          <w:szCs w:val="52"/>
        </w:rPr>
        <w:br/>
      </w:r>
      <w:r w:rsidRPr="00AE60C2">
        <w:rPr>
          <w:b/>
          <w:color w:val="007BC1"/>
          <w:sz w:val="48"/>
          <w:szCs w:val="48"/>
        </w:rPr>
        <w:t xml:space="preserve">Draft </w:t>
      </w:r>
      <w:r w:rsidR="00BE1E07" w:rsidRPr="00AE60C2">
        <w:rPr>
          <w:b/>
          <w:color w:val="007BC1"/>
          <w:sz w:val="48"/>
          <w:szCs w:val="48"/>
        </w:rPr>
        <w:t xml:space="preserve">legal and regulatory </w:t>
      </w:r>
      <w:r w:rsidR="00BB59A5">
        <w:rPr>
          <w:b/>
          <w:color w:val="007BC1"/>
          <w:sz w:val="48"/>
          <w:szCs w:val="48"/>
        </w:rPr>
        <w:t>framework</w:t>
      </w:r>
      <w:r w:rsidR="00777F01" w:rsidRPr="00AE60C2">
        <w:rPr>
          <w:b/>
          <w:color w:val="007BC1"/>
          <w:sz w:val="48"/>
          <w:szCs w:val="48"/>
        </w:rPr>
        <w:t xml:space="preserve"> </w:t>
      </w:r>
      <w:r w:rsidR="00777F01" w:rsidRPr="00AE60C2">
        <w:rPr>
          <w:color w:val="007BC1"/>
          <w:sz w:val="48"/>
          <w:szCs w:val="48"/>
        </w:rPr>
        <w:br/>
      </w:r>
      <w:r w:rsidR="00BE1E07" w:rsidRPr="00777F01">
        <w:rPr>
          <w:color w:val="007BC1"/>
          <w:sz w:val="30"/>
          <w:szCs w:val="30"/>
        </w:rPr>
        <w:t>(</w:t>
      </w:r>
      <w:r w:rsidR="00816037" w:rsidRPr="00777F01">
        <w:rPr>
          <w:color w:val="007BC1"/>
          <w:sz w:val="30"/>
          <w:szCs w:val="30"/>
        </w:rPr>
        <w:t xml:space="preserve">National Gas Law, </w:t>
      </w:r>
      <w:r w:rsidR="00BE1E07" w:rsidRPr="00777F01">
        <w:rPr>
          <w:color w:val="007BC1"/>
          <w:sz w:val="30"/>
          <w:szCs w:val="30"/>
        </w:rPr>
        <w:t xml:space="preserve">National Gas Rules, </w:t>
      </w:r>
      <w:r w:rsidR="00816037" w:rsidRPr="00777F01">
        <w:rPr>
          <w:color w:val="007BC1"/>
          <w:sz w:val="30"/>
          <w:szCs w:val="30"/>
        </w:rPr>
        <w:t xml:space="preserve">Regulations </w:t>
      </w:r>
      <w:r w:rsidR="00BE1E07" w:rsidRPr="00777F01">
        <w:rPr>
          <w:color w:val="007BC1"/>
          <w:sz w:val="30"/>
          <w:szCs w:val="30"/>
        </w:rPr>
        <w:t>and Code)</w:t>
      </w:r>
    </w:p>
    <w:p w14:paraId="7C98E567" w14:textId="77777777" w:rsidR="00493401" w:rsidRPr="00613E2F" w:rsidRDefault="002E5E25" w:rsidP="00FB0886">
      <w:pPr>
        <w:pStyle w:val="Subtitle"/>
        <w:ind w:left="-142" w:right="709"/>
        <w:rPr>
          <w:rFonts w:asciiTheme="majorHAnsi" w:hAnsiTheme="majorHAnsi" w:cstheme="majorHAnsi"/>
          <w:b/>
          <w:color w:val="auto"/>
          <w:sz w:val="36"/>
          <w:szCs w:val="36"/>
        </w:rPr>
      </w:pPr>
      <w:bookmarkStart w:id="0" w:name="_Hlk487713733"/>
      <w:r w:rsidRPr="00613E2F">
        <w:rPr>
          <w:rFonts w:asciiTheme="majorHAnsi" w:hAnsiTheme="majorHAnsi" w:cstheme="majorHAnsi"/>
          <w:b/>
          <w:color w:val="auto"/>
          <w:sz w:val="36"/>
          <w:szCs w:val="36"/>
        </w:rPr>
        <w:t xml:space="preserve">Consultation </w:t>
      </w:r>
      <w:r w:rsidR="00B15604">
        <w:rPr>
          <w:rFonts w:asciiTheme="majorHAnsi" w:hAnsiTheme="majorHAnsi" w:cstheme="majorHAnsi"/>
          <w:b/>
          <w:color w:val="auto"/>
          <w:sz w:val="36"/>
          <w:szCs w:val="36"/>
        </w:rPr>
        <w:t>Paper</w:t>
      </w:r>
    </w:p>
    <w:p w14:paraId="0D59554F" w14:textId="1FCC5F71" w:rsidR="00493401" w:rsidRDefault="00FB636A" w:rsidP="00674572">
      <w:pPr>
        <w:pStyle w:val="Date"/>
        <w:ind w:left="-142"/>
      </w:pPr>
      <w:r w:rsidRPr="009A0A3F">
        <w:rPr>
          <w:sz w:val="28"/>
          <w:szCs w:val="28"/>
        </w:rPr>
        <w:t xml:space="preserve">19 </w:t>
      </w:r>
      <w:r w:rsidR="00777F01" w:rsidRPr="009A0A3F">
        <w:rPr>
          <w:sz w:val="28"/>
          <w:szCs w:val="28"/>
        </w:rPr>
        <w:t>March</w:t>
      </w:r>
      <w:r w:rsidR="00493401" w:rsidRPr="009A0A3F">
        <w:rPr>
          <w:sz w:val="28"/>
          <w:szCs w:val="28"/>
        </w:rPr>
        <w:t xml:space="preserve"> 201</w:t>
      </w:r>
      <w:r w:rsidR="00777F01" w:rsidRPr="009A0A3F">
        <w:rPr>
          <w:sz w:val="28"/>
          <w:szCs w:val="28"/>
        </w:rPr>
        <w:t>8</w:t>
      </w:r>
      <w:bookmarkEnd w:id="0"/>
    </w:p>
    <w:p w14:paraId="03BADA2F" w14:textId="77777777" w:rsidR="00493401" w:rsidRPr="00674572" w:rsidRDefault="00493401" w:rsidP="00493401">
      <w:pPr>
        <w:rPr>
          <w:sz w:val="320"/>
          <w:szCs w:val="320"/>
        </w:rPr>
      </w:pPr>
    </w:p>
    <w:p w14:paraId="3250F259" w14:textId="77777777" w:rsidR="00570893" w:rsidRDefault="00493401">
      <w:pPr>
        <w:rPr>
          <w:rFonts w:eastAsiaTheme="minorEastAsia"/>
        </w:rPr>
        <w:sectPr w:rsidR="00570893" w:rsidSect="00436621">
          <w:headerReference w:type="even" r:id="rId11"/>
          <w:headerReference w:type="default" r:id="rId12"/>
          <w:footerReference w:type="even" r:id="rId13"/>
          <w:headerReference w:type="first" r:id="rId14"/>
          <w:footerReference w:type="first" r:id="rId15"/>
          <w:type w:val="continuous"/>
          <w:pgSz w:w="11907" w:h="16840" w:code="9"/>
          <w:pgMar w:top="1361" w:right="1418" w:bottom="992" w:left="1701" w:header="567" w:footer="397" w:gutter="0"/>
          <w:pgNumType w:fmt="lowerRoman"/>
          <w:cols w:space="708"/>
          <w:titlePg/>
          <w:docGrid w:linePitch="360"/>
        </w:sectPr>
      </w:pPr>
      <w:r>
        <w:rPr>
          <w:noProof/>
        </w:rPr>
        <w:drawing>
          <wp:inline distT="0" distB="0" distL="0" distR="0" wp14:anchorId="5B10C8CB" wp14:editId="0A1F618B">
            <wp:extent cx="2857500" cy="838200"/>
            <wp:effectExtent l="0" t="0" r="0" b="0"/>
            <wp:docPr id="1" name="Picture 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therine Lowe\AppData\Local\Microsoft\Windows\INetCacheContent.Word\GMRG-logo-small.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838200"/>
                    </a:xfrm>
                    <a:prstGeom prst="rect">
                      <a:avLst/>
                    </a:prstGeom>
                    <a:noFill/>
                    <a:ln>
                      <a:noFill/>
                    </a:ln>
                  </pic:spPr>
                </pic:pic>
              </a:graphicData>
            </a:graphic>
          </wp:inline>
        </w:drawing>
      </w:r>
    </w:p>
    <w:p w14:paraId="666E1FCA" w14:textId="77777777" w:rsidR="00570893" w:rsidRPr="00844DE2" w:rsidRDefault="00570893" w:rsidP="00570893">
      <w:pPr>
        <w:pageBreakBefore/>
        <w:spacing w:after="600" w:line="240" w:lineRule="auto"/>
        <w:outlineLvl w:val="3"/>
        <w:rPr>
          <w:rFonts w:asciiTheme="majorHAnsi" w:eastAsiaTheme="minorEastAsia" w:hAnsiTheme="majorHAnsi" w:cstheme="majorBidi"/>
          <w:b/>
          <w:bCs/>
          <w:color w:val="0099CC"/>
          <w:sz w:val="32"/>
          <w:szCs w:val="28"/>
        </w:rPr>
      </w:pPr>
      <w:r w:rsidRPr="00844DE2">
        <w:rPr>
          <w:rFonts w:asciiTheme="majorHAnsi" w:eastAsiaTheme="minorEastAsia" w:hAnsiTheme="majorHAnsi" w:cstheme="majorBidi"/>
          <w:b/>
          <w:bCs/>
          <w:color w:val="0099CC"/>
          <w:sz w:val="32"/>
          <w:szCs w:val="28"/>
        </w:rPr>
        <w:lastRenderedPageBreak/>
        <w:t>Submissions</w:t>
      </w:r>
    </w:p>
    <w:p w14:paraId="29C671F5" w14:textId="77777777" w:rsidR="00570893" w:rsidRDefault="00570893" w:rsidP="00AE60C2">
      <w:pPr>
        <w:spacing w:before="240" w:after="240"/>
      </w:pPr>
      <w:bookmarkStart w:id="31" w:name="_Hlk487648237"/>
      <w:r w:rsidRPr="00144CFC">
        <w:t xml:space="preserve">Stakeholders are encouraged to make submissions in response to this </w:t>
      </w:r>
      <w:r w:rsidR="00AE60C2">
        <w:t>c</w:t>
      </w:r>
      <w:r w:rsidR="0083640E" w:rsidRPr="00144CFC">
        <w:t xml:space="preserve">onsultation </w:t>
      </w:r>
      <w:r w:rsidR="00AE60C2">
        <w:t xml:space="preserve">process </w:t>
      </w:r>
      <w:r w:rsidRPr="00144CFC">
        <w:t xml:space="preserve">by </w:t>
      </w:r>
      <w:r w:rsidRPr="00144CFC">
        <w:rPr>
          <w:b/>
        </w:rPr>
        <w:t>5pm (AEST)</w:t>
      </w:r>
      <w:r w:rsidRPr="00144CFC">
        <w:t xml:space="preserve"> </w:t>
      </w:r>
      <w:r w:rsidR="00F502AD" w:rsidRPr="00F502AD">
        <w:rPr>
          <w:b/>
        </w:rPr>
        <w:t>Friday</w:t>
      </w:r>
      <w:r w:rsidR="00F502AD">
        <w:t xml:space="preserve"> </w:t>
      </w:r>
      <w:r w:rsidR="00B85A2D">
        <w:rPr>
          <w:b/>
        </w:rPr>
        <w:t>27</w:t>
      </w:r>
      <w:r w:rsidR="001B7CE2" w:rsidRPr="00144CFC">
        <w:rPr>
          <w:b/>
        </w:rPr>
        <w:t xml:space="preserve"> </w:t>
      </w:r>
      <w:r w:rsidR="00B85A2D">
        <w:rPr>
          <w:b/>
        </w:rPr>
        <w:t xml:space="preserve">April </w:t>
      </w:r>
      <w:r w:rsidRPr="00144CFC">
        <w:rPr>
          <w:b/>
        </w:rPr>
        <w:t>201</w:t>
      </w:r>
      <w:r w:rsidR="00B85A2D">
        <w:rPr>
          <w:b/>
        </w:rPr>
        <w:t>8</w:t>
      </w:r>
      <w:r w:rsidR="00AE60C2">
        <w:rPr>
          <w:b/>
        </w:rPr>
        <w:t xml:space="preserve"> </w:t>
      </w:r>
      <w:r w:rsidR="00AE60C2" w:rsidRPr="00AE60C2">
        <w:t xml:space="preserve">using the template set out in Attachment </w:t>
      </w:r>
      <w:r w:rsidR="00F502AD">
        <w:t>2</w:t>
      </w:r>
      <w:r w:rsidRPr="00144CFC">
        <w:t>.</w:t>
      </w:r>
      <w:bookmarkStart w:id="32" w:name="_GoBack"/>
      <w:bookmarkEnd w:id="32"/>
    </w:p>
    <w:bookmarkEnd w:id="31"/>
    <w:p w14:paraId="3D0E9B39" w14:textId="77777777" w:rsidR="00570893" w:rsidRPr="00FC2047" w:rsidRDefault="00570893" w:rsidP="00AE60C2">
      <w:pPr>
        <w:spacing w:before="240" w:after="240"/>
      </w:pPr>
      <w:r w:rsidRPr="00FC2047">
        <w:t xml:space="preserve">Electronic submissions are preferred and can be sent via e-mail addressed to the Gas Market Reform Group (GMRG) at </w:t>
      </w:r>
      <w:hyperlink r:id="rId17" w:history="1">
        <w:r w:rsidR="00581557" w:rsidRPr="001D2A44">
          <w:rPr>
            <w:rStyle w:val="Hyperlink"/>
            <w:rFonts w:cs="Arial"/>
          </w:rPr>
          <w:t>enquiries@gmrg.coagenergycouncil.gov.au</w:t>
        </w:r>
      </w:hyperlink>
    </w:p>
    <w:p w14:paraId="74659DAA" w14:textId="77777777" w:rsidR="00570893" w:rsidRPr="00FC2047" w:rsidRDefault="00570893" w:rsidP="00AE60C2">
      <w:pPr>
        <w:widowControl w:val="0"/>
        <w:suppressAutoHyphens/>
        <w:autoSpaceDE w:val="0"/>
        <w:autoSpaceDN w:val="0"/>
        <w:adjustRightInd w:val="0"/>
        <w:spacing w:before="240" w:after="240"/>
        <w:textAlignment w:val="center"/>
        <w:rPr>
          <w:lang w:eastAsia="en-US"/>
        </w:rPr>
      </w:pPr>
      <w:r w:rsidRPr="00FC2047">
        <w:rPr>
          <w:lang w:eastAsia="en-US"/>
        </w:rPr>
        <w:t>Stakeholders who wish to provide hard copies by post may do so by addressing their submissions to:</w:t>
      </w:r>
    </w:p>
    <w:p w14:paraId="795E794B" w14:textId="77777777" w:rsidR="00570893" w:rsidRPr="00E257D9" w:rsidRDefault="00570893" w:rsidP="00AE60C2">
      <w:pPr>
        <w:widowControl w:val="0"/>
        <w:suppressAutoHyphens/>
        <w:autoSpaceDE w:val="0"/>
        <w:autoSpaceDN w:val="0"/>
        <w:adjustRightInd w:val="0"/>
        <w:spacing w:after="60" w:line="240" w:lineRule="auto"/>
        <w:ind w:left="851"/>
        <w:textAlignment w:val="center"/>
        <w:rPr>
          <w:rFonts w:eastAsia="Cambria" w:cs="Arial"/>
          <w:lang w:val="en-GB" w:eastAsia="en-US"/>
        </w:rPr>
      </w:pPr>
      <w:r w:rsidRPr="00E257D9">
        <w:rPr>
          <w:rFonts w:eastAsia="Cambria" w:cs="Arial"/>
          <w:lang w:val="en-GB" w:eastAsia="en-US"/>
        </w:rPr>
        <w:t>Gas Market Reform Group</w:t>
      </w:r>
    </w:p>
    <w:p w14:paraId="386019DF" w14:textId="77777777" w:rsidR="00570893" w:rsidRPr="00E257D9" w:rsidRDefault="00A429E7" w:rsidP="00AE60C2">
      <w:pPr>
        <w:widowControl w:val="0"/>
        <w:suppressAutoHyphens/>
        <w:autoSpaceDE w:val="0"/>
        <w:autoSpaceDN w:val="0"/>
        <w:adjustRightInd w:val="0"/>
        <w:spacing w:after="60" w:line="240" w:lineRule="auto"/>
        <w:ind w:left="851"/>
        <w:textAlignment w:val="center"/>
        <w:rPr>
          <w:rFonts w:eastAsia="Cambria" w:cs="Arial"/>
          <w:lang w:val="en-GB" w:eastAsia="en-US"/>
        </w:rPr>
      </w:pPr>
      <w:r w:rsidRPr="00E257D9">
        <w:rPr>
          <w:rFonts w:eastAsia="Cambria" w:cs="Arial"/>
          <w:lang w:val="en-GB" w:eastAsia="en-US"/>
        </w:rPr>
        <w:t>c/o Australian Energy Market Commission</w:t>
      </w:r>
    </w:p>
    <w:p w14:paraId="59CD61F1" w14:textId="77777777" w:rsidR="00A429E7" w:rsidRPr="00E257D9" w:rsidRDefault="00A429E7" w:rsidP="00AE60C2">
      <w:pPr>
        <w:widowControl w:val="0"/>
        <w:suppressAutoHyphens/>
        <w:autoSpaceDE w:val="0"/>
        <w:autoSpaceDN w:val="0"/>
        <w:adjustRightInd w:val="0"/>
        <w:spacing w:after="60" w:line="240" w:lineRule="auto"/>
        <w:ind w:left="851"/>
        <w:textAlignment w:val="center"/>
        <w:rPr>
          <w:rFonts w:eastAsia="Cambria" w:cs="Arial"/>
          <w:lang w:val="en-GB" w:eastAsia="en-US"/>
        </w:rPr>
      </w:pPr>
      <w:r w:rsidRPr="00E257D9">
        <w:rPr>
          <w:rFonts w:eastAsia="Cambria" w:cs="Arial"/>
          <w:lang w:val="en-GB" w:eastAsia="en-US"/>
        </w:rPr>
        <w:t>PO Box A2449</w:t>
      </w:r>
    </w:p>
    <w:p w14:paraId="373343E7" w14:textId="77777777" w:rsidR="00570893" w:rsidRPr="00E257D9" w:rsidRDefault="00A429E7" w:rsidP="00AE60C2">
      <w:pPr>
        <w:widowControl w:val="0"/>
        <w:suppressAutoHyphens/>
        <w:autoSpaceDE w:val="0"/>
        <w:autoSpaceDN w:val="0"/>
        <w:adjustRightInd w:val="0"/>
        <w:spacing w:after="240" w:line="240" w:lineRule="auto"/>
        <w:ind w:left="851"/>
        <w:textAlignment w:val="center"/>
        <w:rPr>
          <w:rFonts w:eastAsia="Cambria" w:cs="Arial"/>
          <w:lang w:val="en-GB" w:eastAsia="en-US"/>
        </w:rPr>
      </w:pPr>
      <w:r w:rsidRPr="00E257D9">
        <w:rPr>
          <w:rFonts w:eastAsia="Cambria" w:cs="Arial"/>
          <w:lang w:val="en-GB" w:eastAsia="en-US"/>
        </w:rPr>
        <w:t xml:space="preserve">Sydney </w:t>
      </w:r>
      <w:r w:rsidR="008C4D94" w:rsidRPr="00E257D9">
        <w:rPr>
          <w:rFonts w:eastAsia="Cambria" w:cs="Arial"/>
          <w:lang w:val="en-GB" w:eastAsia="en-US"/>
        </w:rPr>
        <w:t>South NSW</w:t>
      </w:r>
      <w:r w:rsidR="007D03EF" w:rsidRPr="00E257D9">
        <w:rPr>
          <w:rFonts w:eastAsia="Cambria" w:cs="Arial"/>
          <w:lang w:val="en-GB" w:eastAsia="en-US"/>
        </w:rPr>
        <w:t xml:space="preserve"> </w:t>
      </w:r>
      <w:r w:rsidRPr="00E257D9">
        <w:rPr>
          <w:rFonts w:eastAsia="Cambria" w:cs="Arial"/>
          <w:lang w:val="en-GB" w:eastAsia="en-US"/>
        </w:rPr>
        <w:t>1235</w:t>
      </w:r>
    </w:p>
    <w:p w14:paraId="44C0B73B" w14:textId="77777777" w:rsidR="00570893" w:rsidRDefault="00570893" w:rsidP="00AE60C2">
      <w:pPr>
        <w:spacing w:before="240" w:after="240"/>
      </w:pPr>
      <w:r w:rsidRPr="00570893">
        <w:t xml:space="preserve">The GMRG has a strong preference for public submissions to generate full and frank debate. </w:t>
      </w:r>
      <w:r w:rsidRPr="00570893">
        <w:rPr>
          <w:rFonts w:cs="Arial"/>
          <w:lang w:val="en"/>
        </w:rPr>
        <w:t xml:space="preserve">All stakeholder submissions will be published on the </w:t>
      </w:r>
      <w:r w:rsidR="00C23AD0">
        <w:rPr>
          <w:rFonts w:cs="Arial"/>
          <w:lang w:val="en"/>
        </w:rPr>
        <w:t xml:space="preserve">GMRG’s </w:t>
      </w:r>
      <w:r w:rsidRPr="00570893">
        <w:rPr>
          <w:rFonts w:cs="Arial"/>
          <w:lang w:val="en"/>
        </w:rPr>
        <w:t xml:space="preserve">website </w:t>
      </w:r>
      <w:r w:rsidRPr="00570893">
        <w:t>at</w:t>
      </w:r>
      <w:r w:rsidR="008C4D94">
        <w:t xml:space="preserve"> </w:t>
      </w:r>
      <w:hyperlink r:id="rId18" w:history="1">
        <w:r w:rsidR="00956FF7" w:rsidRPr="002D482F">
          <w:rPr>
            <w:rStyle w:val="Hyperlink"/>
          </w:rPr>
          <w:t>http://gmrg.coagenergycouncil.gov.au/</w:t>
        </w:r>
      </w:hyperlink>
      <w:r w:rsidR="00956FF7">
        <w:t xml:space="preserve"> </w:t>
      </w:r>
      <w:r w:rsidRPr="00570893">
        <w:rPr>
          <w:rFonts w:cs="Arial"/>
          <w:color w:val="000000"/>
          <w:lang w:val="en"/>
        </w:rPr>
        <w:t>unless stakeholders have clearly indicated that a submission should remain confidential, either in whole or in part.</w:t>
      </w:r>
      <w:r w:rsidRPr="00570893">
        <w:t xml:space="preserve"> </w:t>
      </w:r>
    </w:p>
    <w:p w14:paraId="304222C2" w14:textId="77777777" w:rsidR="00CE7C87" w:rsidRPr="00992C7D" w:rsidRDefault="00CE7C87" w:rsidP="00AE60C2">
      <w:pPr>
        <w:pStyle w:val="BodyText"/>
        <w:spacing w:after="240" w:line="252" w:lineRule="auto"/>
      </w:pPr>
      <w:r w:rsidRPr="00144CFC">
        <w:t xml:space="preserve">In addition to providing a written submission, stakeholders will have an opportunity to attend a public forum, which will be held in Melbourne on </w:t>
      </w:r>
      <w:r w:rsidR="00B85A2D">
        <w:rPr>
          <w:b/>
        </w:rPr>
        <w:t>22</w:t>
      </w:r>
      <w:r w:rsidRPr="00144CFC">
        <w:rPr>
          <w:b/>
        </w:rPr>
        <w:t xml:space="preserve"> </w:t>
      </w:r>
      <w:r w:rsidR="00B85A2D">
        <w:rPr>
          <w:b/>
        </w:rPr>
        <w:t xml:space="preserve">March </w:t>
      </w:r>
      <w:r w:rsidRPr="00144CFC">
        <w:rPr>
          <w:b/>
        </w:rPr>
        <w:t>201</w:t>
      </w:r>
      <w:r w:rsidR="00B85A2D">
        <w:rPr>
          <w:b/>
        </w:rPr>
        <w:t>8</w:t>
      </w:r>
      <w:r w:rsidRPr="00144CFC">
        <w:t xml:space="preserve">. Stakeholders are encouraged to express their interest in attending this forum by emailing </w:t>
      </w:r>
      <w:hyperlink r:id="rId19" w:history="1">
        <w:r w:rsidRPr="00144CFC">
          <w:rPr>
            <w:rStyle w:val="Hyperlink"/>
            <w:rFonts w:cs="Arial"/>
          </w:rPr>
          <w:t>enquiries@gmrg.coagenergycouncil.gov.au</w:t>
        </w:r>
      </w:hyperlink>
      <w:r w:rsidRPr="00144CFC">
        <w:t>.</w:t>
      </w:r>
    </w:p>
    <w:p w14:paraId="743C3B86" w14:textId="77777777" w:rsidR="00DB7EF3" w:rsidRDefault="00DB7EF3" w:rsidP="00AE60C2">
      <w:pPr>
        <w:spacing w:before="240" w:after="240"/>
      </w:pPr>
      <w:r>
        <w:rPr>
          <w:rFonts w:cs="Arial"/>
        </w:rPr>
        <w:t>For further information on</w:t>
      </w:r>
      <w:r w:rsidRPr="008C4D94">
        <w:rPr>
          <w:rFonts w:cs="Arial"/>
        </w:rPr>
        <w:t xml:space="preserve"> making a submission, please contact the GMRG via email at </w:t>
      </w:r>
      <w:hyperlink r:id="rId20" w:history="1">
        <w:r w:rsidRPr="004D0CA5">
          <w:rPr>
            <w:rStyle w:val="Hyperlink"/>
          </w:rPr>
          <w:t>enquiries@gmrg.coagenergycouncil.gov.au</w:t>
        </w:r>
      </w:hyperlink>
      <w:r w:rsidRPr="008C4D94">
        <w:t>.</w:t>
      </w:r>
    </w:p>
    <w:p w14:paraId="45C475B8" w14:textId="77777777" w:rsidR="002E5E25" w:rsidRDefault="002E5E25" w:rsidP="00FC2047">
      <w:pPr>
        <w:pStyle w:val="Pa4"/>
        <w:spacing w:before="240" w:after="120" w:line="264" w:lineRule="auto"/>
        <w:rPr>
          <w:rFonts w:asciiTheme="majorHAnsi" w:hAnsiTheme="majorHAnsi" w:cstheme="majorHAnsi"/>
          <w:color w:val="000000"/>
          <w:sz w:val="22"/>
          <w:szCs w:val="22"/>
        </w:rPr>
      </w:pPr>
    </w:p>
    <w:p w14:paraId="1CE4FF5E" w14:textId="77777777" w:rsidR="002E5E25" w:rsidRDefault="002E5E25" w:rsidP="00FC2047">
      <w:pPr>
        <w:pStyle w:val="Pa4"/>
        <w:spacing w:before="240" w:after="120" w:line="264" w:lineRule="auto"/>
        <w:rPr>
          <w:rFonts w:asciiTheme="majorHAnsi" w:hAnsiTheme="majorHAnsi" w:cstheme="majorHAnsi"/>
          <w:color w:val="000000"/>
          <w:sz w:val="22"/>
          <w:szCs w:val="22"/>
        </w:rPr>
      </w:pPr>
    </w:p>
    <w:p w14:paraId="64824EA6" w14:textId="77777777" w:rsidR="00570893" w:rsidRDefault="00570893">
      <w:pPr>
        <w:rPr>
          <w:rFonts w:eastAsiaTheme="minorEastAsia"/>
        </w:rPr>
        <w:sectPr w:rsidR="00570893" w:rsidSect="00436621">
          <w:headerReference w:type="first" r:id="rId21"/>
          <w:footerReference w:type="first" r:id="rId22"/>
          <w:pgSz w:w="11907" w:h="16840" w:code="9"/>
          <w:pgMar w:top="1361" w:right="1418" w:bottom="992" w:left="1701" w:header="567" w:footer="397" w:gutter="0"/>
          <w:pgNumType w:fmt="lowerRoman" w:start="1"/>
          <w:cols w:space="708"/>
          <w:titlePg/>
          <w:docGrid w:linePitch="360"/>
        </w:sectPr>
      </w:pPr>
    </w:p>
    <w:p w14:paraId="761031EF" w14:textId="77777777" w:rsidR="00AA3026" w:rsidRPr="00DE2084" w:rsidRDefault="00AA3026" w:rsidP="00E2663A">
      <w:pPr>
        <w:pStyle w:val="TOCHeading"/>
        <w:spacing w:after="240"/>
      </w:pPr>
      <w:r w:rsidRPr="00DE2084">
        <w:lastRenderedPageBreak/>
        <w:t>Contents</w:t>
      </w:r>
    </w:p>
    <w:p w14:paraId="665892C9" w14:textId="77777777" w:rsidR="00830BE4" w:rsidRDefault="00CC006A">
      <w:pPr>
        <w:pStyle w:val="TOC1"/>
        <w:rPr>
          <w:rFonts w:asciiTheme="minorHAnsi" w:eastAsiaTheme="minorEastAsia" w:hAnsiTheme="minorHAnsi"/>
          <w:b w:val="0"/>
          <w:lang w:eastAsia="en-AU"/>
        </w:rPr>
      </w:pPr>
      <w:r>
        <w:rPr>
          <w:rFonts w:eastAsiaTheme="minorEastAsia"/>
          <w:b w:val="0"/>
        </w:rPr>
        <w:fldChar w:fldCharType="begin"/>
      </w:r>
      <w:r>
        <w:rPr>
          <w:rFonts w:eastAsiaTheme="minorEastAsia"/>
          <w:b w:val="0"/>
        </w:rPr>
        <w:instrText xml:space="preserve"> TOC \o "1-2" \h \z \u </w:instrText>
      </w:r>
      <w:r>
        <w:rPr>
          <w:rFonts w:eastAsiaTheme="minorEastAsia"/>
          <w:b w:val="0"/>
        </w:rPr>
        <w:fldChar w:fldCharType="separate"/>
      </w:r>
      <w:hyperlink w:anchor="_Toc509239414" w:history="1">
        <w:r w:rsidR="00830BE4" w:rsidRPr="00F205AA">
          <w:rPr>
            <w:rStyle w:val="Hyperlink"/>
          </w:rPr>
          <w:t>Abbreviations</w:t>
        </w:r>
        <w:r w:rsidR="00830BE4">
          <w:rPr>
            <w:webHidden/>
          </w:rPr>
          <w:tab/>
        </w:r>
        <w:r w:rsidR="00830BE4">
          <w:rPr>
            <w:webHidden/>
          </w:rPr>
          <w:fldChar w:fldCharType="begin"/>
        </w:r>
        <w:r w:rsidR="00830BE4">
          <w:rPr>
            <w:webHidden/>
          </w:rPr>
          <w:instrText xml:space="preserve"> PAGEREF _Toc509239414 \h </w:instrText>
        </w:r>
        <w:r w:rsidR="00830BE4">
          <w:rPr>
            <w:webHidden/>
          </w:rPr>
        </w:r>
        <w:r w:rsidR="00830BE4">
          <w:rPr>
            <w:webHidden/>
          </w:rPr>
          <w:fldChar w:fldCharType="separate"/>
        </w:r>
        <w:r w:rsidR="00830BE4">
          <w:rPr>
            <w:webHidden/>
          </w:rPr>
          <w:t>iii</w:t>
        </w:r>
        <w:r w:rsidR="00830BE4">
          <w:rPr>
            <w:webHidden/>
          </w:rPr>
          <w:fldChar w:fldCharType="end"/>
        </w:r>
      </w:hyperlink>
    </w:p>
    <w:p w14:paraId="6F0417B0" w14:textId="77777777" w:rsidR="00830BE4" w:rsidRDefault="003B3634">
      <w:pPr>
        <w:pStyle w:val="TOC1"/>
        <w:rPr>
          <w:rFonts w:asciiTheme="minorHAnsi" w:eastAsiaTheme="minorEastAsia" w:hAnsiTheme="minorHAnsi"/>
          <w:b w:val="0"/>
          <w:lang w:eastAsia="en-AU"/>
        </w:rPr>
      </w:pPr>
      <w:hyperlink w:anchor="_Toc509239415" w:history="1">
        <w:r w:rsidR="00830BE4" w:rsidRPr="00F205AA">
          <w:rPr>
            <w:rStyle w:val="Hyperlink"/>
          </w:rPr>
          <w:t>Key terms used in legal and regulatory framework</w:t>
        </w:r>
        <w:r w:rsidR="00830BE4">
          <w:rPr>
            <w:webHidden/>
          </w:rPr>
          <w:tab/>
        </w:r>
        <w:r w:rsidR="00830BE4">
          <w:rPr>
            <w:webHidden/>
          </w:rPr>
          <w:fldChar w:fldCharType="begin"/>
        </w:r>
        <w:r w:rsidR="00830BE4">
          <w:rPr>
            <w:webHidden/>
          </w:rPr>
          <w:instrText xml:space="preserve"> PAGEREF _Toc509239415 \h </w:instrText>
        </w:r>
        <w:r w:rsidR="00830BE4">
          <w:rPr>
            <w:webHidden/>
          </w:rPr>
        </w:r>
        <w:r w:rsidR="00830BE4">
          <w:rPr>
            <w:webHidden/>
          </w:rPr>
          <w:fldChar w:fldCharType="separate"/>
        </w:r>
        <w:r w:rsidR="00830BE4">
          <w:rPr>
            <w:webHidden/>
          </w:rPr>
          <w:t>iv</w:t>
        </w:r>
        <w:r w:rsidR="00830BE4">
          <w:rPr>
            <w:webHidden/>
          </w:rPr>
          <w:fldChar w:fldCharType="end"/>
        </w:r>
      </w:hyperlink>
    </w:p>
    <w:p w14:paraId="0B0D9FA5" w14:textId="77777777" w:rsidR="00830BE4" w:rsidRDefault="003B3634">
      <w:pPr>
        <w:pStyle w:val="TOC1"/>
        <w:rPr>
          <w:rFonts w:asciiTheme="minorHAnsi" w:eastAsiaTheme="minorEastAsia" w:hAnsiTheme="minorHAnsi"/>
          <w:b w:val="0"/>
          <w:lang w:eastAsia="en-AU"/>
        </w:rPr>
      </w:pPr>
      <w:hyperlink w:anchor="_Toc509239416" w:history="1">
        <w:r w:rsidR="00830BE4" w:rsidRPr="00F205AA">
          <w:rPr>
            <w:rStyle w:val="Hyperlink"/>
          </w:rPr>
          <w:t>1.</w:t>
        </w:r>
        <w:r w:rsidR="00830BE4">
          <w:rPr>
            <w:rFonts w:asciiTheme="minorHAnsi" w:eastAsiaTheme="minorEastAsia" w:hAnsiTheme="minorHAnsi"/>
            <w:b w:val="0"/>
            <w:lang w:eastAsia="en-AU"/>
          </w:rPr>
          <w:tab/>
        </w:r>
        <w:r w:rsidR="00830BE4" w:rsidRPr="00F205AA">
          <w:rPr>
            <w:rStyle w:val="Hyperlink"/>
          </w:rPr>
          <w:t>Introduction</w:t>
        </w:r>
        <w:r w:rsidR="00830BE4">
          <w:rPr>
            <w:webHidden/>
          </w:rPr>
          <w:tab/>
        </w:r>
        <w:r w:rsidR="00830BE4">
          <w:rPr>
            <w:webHidden/>
          </w:rPr>
          <w:fldChar w:fldCharType="begin"/>
        </w:r>
        <w:r w:rsidR="00830BE4">
          <w:rPr>
            <w:webHidden/>
          </w:rPr>
          <w:instrText xml:space="preserve"> PAGEREF _Toc509239416 \h </w:instrText>
        </w:r>
        <w:r w:rsidR="00830BE4">
          <w:rPr>
            <w:webHidden/>
          </w:rPr>
        </w:r>
        <w:r w:rsidR="00830BE4">
          <w:rPr>
            <w:webHidden/>
          </w:rPr>
          <w:fldChar w:fldCharType="separate"/>
        </w:r>
        <w:r w:rsidR="00830BE4">
          <w:rPr>
            <w:webHidden/>
          </w:rPr>
          <w:t>7</w:t>
        </w:r>
        <w:r w:rsidR="00830BE4">
          <w:rPr>
            <w:webHidden/>
          </w:rPr>
          <w:fldChar w:fldCharType="end"/>
        </w:r>
      </w:hyperlink>
    </w:p>
    <w:p w14:paraId="24B23537" w14:textId="77777777" w:rsidR="00830BE4" w:rsidRDefault="003B3634">
      <w:pPr>
        <w:pStyle w:val="TOC2"/>
        <w:rPr>
          <w:rFonts w:asciiTheme="minorHAnsi" w:eastAsiaTheme="minorEastAsia" w:hAnsiTheme="minorHAnsi"/>
          <w:lang w:eastAsia="en-AU"/>
        </w:rPr>
      </w:pPr>
      <w:hyperlink w:anchor="_Toc509239417" w:history="1">
        <w:r w:rsidR="00830BE4" w:rsidRPr="00F205AA">
          <w:rPr>
            <w:rStyle w:val="Hyperlink"/>
          </w:rPr>
          <w:t>1.1</w:t>
        </w:r>
        <w:r w:rsidR="00830BE4">
          <w:rPr>
            <w:rFonts w:asciiTheme="minorHAnsi" w:eastAsiaTheme="minorEastAsia" w:hAnsiTheme="minorHAnsi"/>
            <w:lang w:eastAsia="en-AU"/>
          </w:rPr>
          <w:tab/>
        </w:r>
        <w:r w:rsidR="00830BE4" w:rsidRPr="00F205AA">
          <w:rPr>
            <w:rStyle w:val="Hyperlink"/>
          </w:rPr>
          <w:t>Progression of the capacity trading reform package</w:t>
        </w:r>
        <w:r w:rsidR="00830BE4">
          <w:rPr>
            <w:webHidden/>
          </w:rPr>
          <w:tab/>
        </w:r>
        <w:r w:rsidR="00830BE4">
          <w:rPr>
            <w:webHidden/>
          </w:rPr>
          <w:fldChar w:fldCharType="begin"/>
        </w:r>
        <w:r w:rsidR="00830BE4">
          <w:rPr>
            <w:webHidden/>
          </w:rPr>
          <w:instrText xml:space="preserve"> PAGEREF _Toc509239417 \h </w:instrText>
        </w:r>
        <w:r w:rsidR="00830BE4">
          <w:rPr>
            <w:webHidden/>
          </w:rPr>
        </w:r>
        <w:r w:rsidR="00830BE4">
          <w:rPr>
            <w:webHidden/>
          </w:rPr>
          <w:fldChar w:fldCharType="separate"/>
        </w:r>
        <w:r w:rsidR="00830BE4">
          <w:rPr>
            <w:webHidden/>
          </w:rPr>
          <w:t>8</w:t>
        </w:r>
        <w:r w:rsidR="00830BE4">
          <w:rPr>
            <w:webHidden/>
          </w:rPr>
          <w:fldChar w:fldCharType="end"/>
        </w:r>
      </w:hyperlink>
    </w:p>
    <w:p w14:paraId="63B04244" w14:textId="77777777" w:rsidR="00830BE4" w:rsidRDefault="003B3634">
      <w:pPr>
        <w:pStyle w:val="TOC2"/>
        <w:rPr>
          <w:rFonts w:asciiTheme="minorHAnsi" w:eastAsiaTheme="minorEastAsia" w:hAnsiTheme="minorHAnsi"/>
          <w:lang w:eastAsia="en-AU"/>
        </w:rPr>
      </w:pPr>
      <w:hyperlink w:anchor="_Toc509239418" w:history="1">
        <w:r w:rsidR="00830BE4" w:rsidRPr="00F205AA">
          <w:rPr>
            <w:rStyle w:val="Hyperlink"/>
          </w:rPr>
          <w:t>1.2</w:t>
        </w:r>
        <w:r w:rsidR="00830BE4">
          <w:rPr>
            <w:rFonts w:asciiTheme="minorHAnsi" w:eastAsiaTheme="minorEastAsia" w:hAnsiTheme="minorHAnsi"/>
            <w:lang w:eastAsia="en-AU"/>
          </w:rPr>
          <w:tab/>
        </w:r>
        <w:r w:rsidR="00830BE4" w:rsidRPr="00F205AA">
          <w:rPr>
            <w:rStyle w:val="Hyperlink"/>
          </w:rPr>
          <w:t>Jurisdictional application of the reforms</w:t>
        </w:r>
        <w:r w:rsidR="00830BE4">
          <w:rPr>
            <w:webHidden/>
          </w:rPr>
          <w:tab/>
        </w:r>
        <w:r w:rsidR="00830BE4">
          <w:rPr>
            <w:webHidden/>
          </w:rPr>
          <w:fldChar w:fldCharType="begin"/>
        </w:r>
        <w:r w:rsidR="00830BE4">
          <w:rPr>
            <w:webHidden/>
          </w:rPr>
          <w:instrText xml:space="preserve"> PAGEREF _Toc509239418 \h </w:instrText>
        </w:r>
        <w:r w:rsidR="00830BE4">
          <w:rPr>
            <w:webHidden/>
          </w:rPr>
        </w:r>
        <w:r w:rsidR="00830BE4">
          <w:rPr>
            <w:webHidden/>
          </w:rPr>
          <w:fldChar w:fldCharType="separate"/>
        </w:r>
        <w:r w:rsidR="00830BE4">
          <w:rPr>
            <w:webHidden/>
          </w:rPr>
          <w:t>9</w:t>
        </w:r>
        <w:r w:rsidR="00830BE4">
          <w:rPr>
            <w:webHidden/>
          </w:rPr>
          <w:fldChar w:fldCharType="end"/>
        </w:r>
      </w:hyperlink>
    </w:p>
    <w:p w14:paraId="7BEB08E2" w14:textId="77777777" w:rsidR="00830BE4" w:rsidRDefault="003B3634">
      <w:pPr>
        <w:pStyle w:val="TOC2"/>
        <w:rPr>
          <w:rFonts w:asciiTheme="minorHAnsi" w:eastAsiaTheme="minorEastAsia" w:hAnsiTheme="minorHAnsi"/>
          <w:lang w:eastAsia="en-AU"/>
        </w:rPr>
      </w:pPr>
      <w:hyperlink w:anchor="_Toc509239419" w:history="1">
        <w:r w:rsidR="00830BE4" w:rsidRPr="00F205AA">
          <w:rPr>
            <w:rStyle w:val="Hyperlink"/>
          </w:rPr>
          <w:t>1.3</w:t>
        </w:r>
        <w:r w:rsidR="00830BE4">
          <w:rPr>
            <w:rFonts w:asciiTheme="minorHAnsi" w:eastAsiaTheme="minorEastAsia" w:hAnsiTheme="minorHAnsi"/>
            <w:lang w:eastAsia="en-AU"/>
          </w:rPr>
          <w:tab/>
        </w:r>
        <w:r w:rsidR="00830BE4" w:rsidRPr="00F205AA">
          <w:rPr>
            <w:rStyle w:val="Hyperlink"/>
          </w:rPr>
          <w:t>Implementation process</w:t>
        </w:r>
        <w:r w:rsidR="00830BE4">
          <w:rPr>
            <w:webHidden/>
          </w:rPr>
          <w:tab/>
        </w:r>
        <w:r w:rsidR="00830BE4">
          <w:rPr>
            <w:webHidden/>
          </w:rPr>
          <w:fldChar w:fldCharType="begin"/>
        </w:r>
        <w:r w:rsidR="00830BE4">
          <w:rPr>
            <w:webHidden/>
          </w:rPr>
          <w:instrText xml:space="preserve"> PAGEREF _Toc509239419 \h </w:instrText>
        </w:r>
        <w:r w:rsidR="00830BE4">
          <w:rPr>
            <w:webHidden/>
          </w:rPr>
        </w:r>
        <w:r w:rsidR="00830BE4">
          <w:rPr>
            <w:webHidden/>
          </w:rPr>
          <w:fldChar w:fldCharType="separate"/>
        </w:r>
        <w:r w:rsidR="00830BE4">
          <w:rPr>
            <w:webHidden/>
          </w:rPr>
          <w:t>9</w:t>
        </w:r>
        <w:r w:rsidR="00830BE4">
          <w:rPr>
            <w:webHidden/>
          </w:rPr>
          <w:fldChar w:fldCharType="end"/>
        </w:r>
      </w:hyperlink>
    </w:p>
    <w:p w14:paraId="02C0D2AC" w14:textId="77777777" w:rsidR="00830BE4" w:rsidRDefault="003B3634">
      <w:pPr>
        <w:pStyle w:val="TOC2"/>
        <w:rPr>
          <w:rFonts w:asciiTheme="minorHAnsi" w:eastAsiaTheme="minorEastAsia" w:hAnsiTheme="minorHAnsi"/>
          <w:lang w:eastAsia="en-AU"/>
        </w:rPr>
      </w:pPr>
      <w:hyperlink w:anchor="_Toc509239420" w:history="1">
        <w:r w:rsidR="00830BE4" w:rsidRPr="00F205AA">
          <w:rPr>
            <w:rStyle w:val="Hyperlink"/>
          </w:rPr>
          <w:t>1.4</w:t>
        </w:r>
        <w:r w:rsidR="00830BE4">
          <w:rPr>
            <w:rFonts w:asciiTheme="minorHAnsi" w:eastAsiaTheme="minorEastAsia" w:hAnsiTheme="minorHAnsi"/>
            <w:lang w:eastAsia="en-AU"/>
          </w:rPr>
          <w:tab/>
        </w:r>
        <w:r w:rsidR="00830BE4" w:rsidRPr="00F205AA">
          <w:rPr>
            <w:rStyle w:val="Hyperlink"/>
          </w:rPr>
          <w:t>Consultation on the NGL, Regulations, NGR and Code</w:t>
        </w:r>
        <w:r w:rsidR="00830BE4">
          <w:rPr>
            <w:webHidden/>
          </w:rPr>
          <w:tab/>
        </w:r>
        <w:r w:rsidR="00830BE4">
          <w:rPr>
            <w:webHidden/>
          </w:rPr>
          <w:fldChar w:fldCharType="begin"/>
        </w:r>
        <w:r w:rsidR="00830BE4">
          <w:rPr>
            <w:webHidden/>
          </w:rPr>
          <w:instrText xml:space="preserve"> PAGEREF _Toc509239420 \h </w:instrText>
        </w:r>
        <w:r w:rsidR="00830BE4">
          <w:rPr>
            <w:webHidden/>
          </w:rPr>
        </w:r>
        <w:r w:rsidR="00830BE4">
          <w:rPr>
            <w:webHidden/>
          </w:rPr>
          <w:fldChar w:fldCharType="separate"/>
        </w:r>
        <w:r w:rsidR="00830BE4">
          <w:rPr>
            <w:webHidden/>
          </w:rPr>
          <w:t>12</w:t>
        </w:r>
        <w:r w:rsidR="00830BE4">
          <w:rPr>
            <w:webHidden/>
          </w:rPr>
          <w:fldChar w:fldCharType="end"/>
        </w:r>
      </w:hyperlink>
    </w:p>
    <w:p w14:paraId="3A5EBAAB" w14:textId="77777777" w:rsidR="00830BE4" w:rsidRDefault="003B3634">
      <w:pPr>
        <w:pStyle w:val="TOC2"/>
        <w:rPr>
          <w:rFonts w:asciiTheme="minorHAnsi" w:eastAsiaTheme="minorEastAsia" w:hAnsiTheme="minorHAnsi"/>
          <w:lang w:eastAsia="en-AU"/>
        </w:rPr>
      </w:pPr>
      <w:hyperlink w:anchor="_Toc509239421" w:history="1">
        <w:r w:rsidR="00830BE4" w:rsidRPr="00F205AA">
          <w:rPr>
            <w:rStyle w:val="Hyperlink"/>
          </w:rPr>
          <w:t>1.5</w:t>
        </w:r>
        <w:r w:rsidR="00830BE4">
          <w:rPr>
            <w:rFonts w:asciiTheme="minorHAnsi" w:eastAsiaTheme="minorEastAsia" w:hAnsiTheme="minorHAnsi"/>
            <w:lang w:eastAsia="en-AU"/>
          </w:rPr>
          <w:tab/>
        </w:r>
        <w:r w:rsidR="00830BE4" w:rsidRPr="00F205AA">
          <w:rPr>
            <w:rStyle w:val="Hyperlink"/>
          </w:rPr>
          <w:t>Next steps</w:t>
        </w:r>
        <w:r w:rsidR="00830BE4">
          <w:rPr>
            <w:webHidden/>
          </w:rPr>
          <w:tab/>
        </w:r>
        <w:r w:rsidR="00830BE4">
          <w:rPr>
            <w:webHidden/>
          </w:rPr>
          <w:fldChar w:fldCharType="begin"/>
        </w:r>
        <w:r w:rsidR="00830BE4">
          <w:rPr>
            <w:webHidden/>
          </w:rPr>
          <w:instrText xml:space="preserve"> PAGEREF _Toc509239421 \h </w:instrText>
        </w:r>
        <w:r w:rsidR="00830BE4">
          <w:rPr>
            <w:webHidden/>
          </w:rPr>
        </w:r>
        <w:r w:rsidR="00830BE4">
          <w:rPr>
            <w:webHidden/>
          </w:rPr>
          <w:fldChar w:fldCharType="separate"/>
        </w:r>
        <w:r w:rsidR="00830BE4">
          <w:rPr>
            <w:webHidden/>
          </w:rPr>
          <w:t>13</w:t>
        </w:r>
        <w:r w:rsidR="00830BE4">
          <w:rPr>
            <w:webHidden/>
          </w:rPr>
          <w:fldChar w:fldCharType="end"/>
        </w:r>
      </w:hyperlink>
    </w:p>
    <w:p w14:paraId="5F2C1614" w14:textId="77777777" w:rsidR="00830BE4" w:rsidRDefault="003B3634">
      <w:pPr>
        <w:pStyle w:val="TOC2"/>
        <w:rPr>
          <w:rFonts w:asciiTheme="minorHAnsi" w:eastAsiaTheme="minorEastAsia" w:hAnsiTheme="minorHAnsi"/>
          <w:lang w:eastAsia="en-AU"/>
        </w:rPr>
      </w:pPr>
      <w:hyperlink w:anchor="_Toc509239422" w:history="1">
        <w:r w:rsidR="00830BE4" w:rsidRPr="00F205AA">
          <w:rPr>
            <w:rStyle w:val="Hyperlink"/>
          </w:rPr>
          <w:t>1.6</w:t>
        </w:r>
        <w:r w:rsidR="00830BE4">
          <w:rPr>
            <w:rFonts w:asciiTheme="minorHAnsi" w:eastAsiaTheme="minorEastAsia" w:hAnsiTheme="minorHAnsi"/>
            <w:lang w:eastAsia="en-AU"/>
          </w:rPr>
          <w:tab/>
        </w:r>
        <w:r w:rsidR="00830BE4" w:rsidRPr="00F205AA">
          <w:rPr>
            <w:rStyle w:val="Hyperlink"/>
          </w:rPr>
          <w:t>Structure of this Consultation Paper</w:t>
        </w:r>
        <w:r w:rsidR="00830BE4">
          <w:rPr>
            <w:webHidden/>
          </w:rPr>
          <w:tab/>
        </w:r>
        <w:r w:rsidR="00830BE4">
          <w:rPr>
            <w:webHidden/>
          </w:rPr>
          <w:fldChar w:fldCharType="begin"/>
        </w:r>
        <w:r w:rsidR="00830BE4">
          <w:rPr>
            <w:webHidden/>
          </w:rPr>
          <w:instrText xml:space="preserve"> PAGEREF _Toc509239422 \h </w:instrText>
        </w:r>
        <w:r w:rsidR="00830BE4">
          <w:rPr>
            <w:webHidden/>
          </w:rPr>
        </w:r>
        <w:r w:rsidR="00830BE4">
          <w:rPr>
            <w:webHidden/>
          </w:rPr>
          <w:fldChar w:fldCharType="separate"/>
        </w:r>
        <w:r w:rsidR="00830BE4">
          <w:rPr>
            <w:webHidden/>
          </w:rPr>
          <w:t>14</w:t>
        </w:r>
        <w:r w:rsidR="00830BE4">
          <w:rPr>
            <w:webHidden/>
          </w:rPr>
          <w:fldChar w:fldCharType="end"/>
        </w:r>
      </w:hyperlink>
    </w:p>
    <w:p w14:paraId="3957D395" w14:textId="77777777" w:rsidR="00830BE4" w:rsidRDefault="003B3634">
      <w:pPr>
        <w:pStyle w:val="TOC1"/>
        <w:rPr>
          <w:rFonts w:asciiTheme="minorHAnsi" w:eastAsiaTheme="minorEastAsia" w:hAnsiTheme="minorHAnsi"/>
          <w:b w:val="0"/>
          <w:lang w:eastAsia="en-AU"/>
        </w:rPr>
      </w:pPr>
      <w:hyperlink w:anchor="_Toc509239423" w:history="1">
        <w:r w:rsidR="00830BE4" w:rsidRPr="00F205AA">
          <w:rPr>
            <w:rStyle w:val="Hyperlink"/>
          </w:rPr>
          <w:t>2.</w:t>
        </w:r>
        <w:r w:rsidR="00830BE4">
          <w:rPr>
            <w:rFonts w:asciiTheme="minorHAnsi" w:eastAsiaTheme="minorEastAsia" w:hAnsiTheme="minorHAnsi"/>
            <w:b w:val="0"/>
            <w:lang w:eastAsia="en-AU"/>
          </w:rPr>
          <w:tab/>
        </w:r>
        <w:r w:rsidR="00830BE4" w:rsidRPr="00F205AA">
          <w:rPr>
            <w:rStyle w:val="Hyperlink"/>
          </w:rPr>
          <w:t>Capacity trading reform package</w:t>
        </w:r>
        <w:r w:rsidR="00830BE4">
          <w:rPr>
            <w:webHidden/>
          </w:rPr>
          <w:tab/>
        </w:r>
        <w:r w:rsidR="00830BE4">
          <w:rPr>
            <w:webHidden/>
          </w:rPr>
          <w:fldChar w:fldCharType="begin"/>
        </w:r>
        <w:r w:rsidR="00830BE4">
          <w:rPr>
            <w:webHidden/>
          </w:rPr>
          <w:instrText xml:space="preserve"> PAGEREF _Toc509239423 \h </w:instrText>
        </w:r>
        <w:r w:rsidR="00830BE4">
          <w:rPr>
            <w:webHidden/>
          </w:rPr>
        </w:r>
        <w:r w:rsidR="00830BE4">
          <w:rPr>
            <w:webHidden/>
          </w:rPr>
          <w:fldChar w:fldCharType="separate"/>
        </w:r>
        <w:r w:rsidR="00830BE4">
          <w:rPr>
            <w:webHidden/>
          </w:rPr>
          <w:t>15</w:t>
        </w:r>
        <w:r w:rsidR="00830BE4">
          <w:rPr>
            <w:webHidden/>
          </w:rPr>
          <w:fldChar w:fldCharType="end"/>
        </w:r>
      </w:hyperlink>
    </w:p>
    <w:p w14:paraId="795CDE8E" w14:textId="77777777" w:rsidR="00830BE4" w:rsidRDefault="003B3634">
      <w:pPr>
        <w:pStyle w:val="TOC2"/>
        <w:rPr>
          <w:rFonts w:asciiTheme="minorHAnsi" w:eastAsiaTheme="minorEastAsia" w:hAnsiTheme="minorHAnsi"/>
          <w:lang w:eastAsia="en-AU"/>
        </w:rPr>
      </w:pPr>
      <w:hyperlink w:anchor="_Toc509239424" w:history="1">
        <w:r w:rsidR="00830BE4" w:rsidRPr="00F205AA">
          <w:rPr>
            <w:rStyle w:val="Hyperlink"/>
          </w:rPr>
          <w:t>2.1</w:t>
        </w:r>
        <w:r w:rsidR="00830BE4">
          <w:rPr>
            <w:rFonts w:asciiTheme="minorHAnsi" w:eastAsiaTheme="minorEastAsia" w:hAnsiTheme="minorHAnsi"/>
            <w:lang w:eastAsia="en-AU"/>
          </w:rPr>
          <w:tab/>
        </w:r>
        <w:r w:rsidR="00830BE4" w:rsidRPr="00F205AA">
          <w:rPr>
            <w:rStyle w:val="Hyperlink"/>
          </w:rPr>
          <w:t>Key elements of the reform package</w:t>
        </w:r>
        <w:r w:rsidR="00830BE4">
          <w:rPr>
            <w:webHidden/>
          </w:rPr>
          <w:tab/>
        </w:r>
        <w:r w:rsidR="00830BE4">
          <w:rPr>
            <w:webHidden/>
          </w:rPr>
          <w:fldChar w:fldCharType="begin"/>
        </w:r>
        <w:r w:rsidR="00830BE4">
          <w:rPr>
            <w:webHidden/>
          </w:rPr>
          <w:instrText xml:space="preserve"> PAGEREF _Toc509239424 \h </w:instrText>
        </w:r>
        <w:r w:rsidR="00830BE4">
          <w:rPr>
            <w:webHidden/>
          </w:rPr>
        </w:r>
        <w:r w:rsidR="00830BE4">
          <w:rPr>
            <w:webHidden/>
          </w:rPr>
          <w:fldChar w:fldCharType="separate"/>
        </w:r>
        <w:r w:rsidR="00830BE4">
          <w:rPr>
            <w:webHidden/>
          </w:rPr>
          <w:t>15</w:t>
        </w:r>
        <w:r w:rsidR="00830BE4">
          <w:rPr>
            <w:webHidden/>
          </w:rPr>
          <w:fldChar w:fldCharType="end"/>
        </w:r>
      </w:hyperlink>
    </w:p>
    <w:p w14:paraId="7AD2EF35" w14:textId="77777777" w:rsidR="00830BE4" w:rsidRDefault="003B3634">
      <w:pPr>
        <w:pStyle w:val="TOC2"/>
        <w:rPr>
          <w:rFonts w:asciiTheme="minorHAnsi" w:eastAsiaTheme="minorEastAsia" w:hAnsiTheme="minorHAnsi"/>
          <w:lang w:eastAsia="en-AU"/>
        </w:rPr>
      </w:pPr>
      <w:hyperlink w:anchor="_Toc509239425" w:history="1">
        <w:r w:rsidR="00830BE4" w:rsidRPr="00F205AA">
          <w:rPr>
            <w:rStyle w:val="Hyperlink"/>
          </w:rPr>
          <w:t>2.2</w:t>
        </w:r>
        <w:r w:rsidR="00830BE4">
          <w:rPr>
            <w:rFonts w:asciiTheme="minorHAnsi" w:eastAsiaTheme="minorEastAsia" w:hAnsiTheme="minorHAnsi"/>
            <w:lang w:eastAsia="en-AU"/>
          </w:rPr>
          <w:tab/>
        </w:r>
        <w:r w:rsidR="00830BE4" w:rsidRPr="00F205AA">
          <w:rPr>
            <w:rStyle w:val="Hyperlink"/>
          </w:rPr>
          <w:t>How capacity can be procured under the new framework</w:t>
        </w:r>
        <w:r w:rsidR="00830BE4">
          <w:rPr>
            <w:webHidden/>
          </w:rPr>
          <w:tab/>
        </w:r>
        <w:r w:rsidR="00830BE4">
          <w:rPr>
            <w:webHidden/>
          </w:rPr>
          <w:fldChar w:fldCharType="begin"/>
        </w:r>
        <w:r w:rsidR="00830BE4">
          <w:rPr>
            <w:webHidden/>
          </w:rPr>
          <w:instrText xml:space="preserve"> PAGEREF _Toc509239425 \h </w:instrText>
        </w:r>
        <w:r w:rsidR="00830BE4">
          <w:rPr>
            <w:webHidden/>
          </w:rPr>
        </w:r>
        <w:r w:rsidR="00830BE4">
          <w:rPr>
            <w:webHidden/>
          </w:rPr>
          <w:fldChar w:fldCharType="separate"/>
        </w:r>
        <w:r w:rsidR="00830BE4">
          <w:rPr>
            <w:webHidden/>
          </w:rPr>
          <w:t>18</w:t>
        </w:r>
        <w:r w:rsidR="00830BE4">
          <w:rPr>
            <w:webHidden/>
          </w:rPr>
          <w:fldChar w:fldCharType="end"/>
        </w:r>
      </w:hyperlink>
    </w:p>
    <w:p w14:paraId="092FCDC0" w14:textId="77777777" w:rsidR="00830BE4" w:rsidRDefault="003B3634">
      <w:pPr>
        <w:pStyle w:val="TOC1"/>
        <w:rPr>
          <w:rFonts w:asciiTheme="minorHAnsi" w:eastAsiaTheme="minorEastAsia" w:hAnsiTheme="minorHAnsi"/>
          <w:b w:val="0"/>
          <w:lang w:eastAsia="en-AU"/>
        </w:rPr>
      </w:pPr>
      <w:hyperlink w:anchor="_Toc509239426" w:history="1">
        <w:r w:rsidR="00830BE4" w:rsidRPr="00F205AA">
          <w:rPr>
            <w:rStyle w:val="Hyperlink"/>
          </w:rPr>
          <w:t>3.</w:t>
        </w:r>
        <w:r w:rsidR="00830BE4">
          <w:rPr>
            <w:rFonts w:asciiTheme="minorHAnsi" w:eastAsiaTheme="minorEastAsia" w:hAnsiTheme="minorHAnsi"/>
            <w:b w:val="0"/>
            <w:lang w:eastAsia="en-AU"/>
          </w:rPr>
          <w:tab/>
        </w:r>
        <w:r w:rsidR="00830BE4" w:rsidRPr="00F205AA">
          <w:rPr>
            <w:rStyle w:val="Hyperlink"/>
          </w:rPr>
          <w:t>Legal and regulatory framework</w:t>
        </w:r>
        <w:r w:rsidR="00830BE4">
          <w:rPr>
            <w:webHidden/>
          </w:rPr>
          <w:tab/>
        </w:r>
        <w:r w:rsidR="00830BE4">
          <w:rPr>
            <w:webHidden/>
          </w:rPr>
          <w:fldChar w:fldCharType="begin"/>
        </w:r>
        <w:r w:rsidR="00830BE4">
          <w:rPr>
            <w:webHidden/>
          </w:rPr>
          <w:instrText xml:space="preserve"> PAGEREF _Toc509239426 \h </w:instrText>
        </w:r>
        <w:r w:rsidR="00830BE4">
          <w:rPr>
            <w:webHidden/>
          </w:rPr>
        </w:r>
        <w:r w:rsidR="00830BE4">
          <w:rPr>
            <w:webHidden/>
          </w:rPr>
          <w:fldChar w:fldCharType="separate"/>
        </w:r>
        <w:r w:rsidR="00830BE4">
          <w:rPr>
            <w:webHidden/>
          </w:rPr>
          <w:t>22</w:t>
        </w:r>
        <w:r w:rsidR="00830BE4">
          <w:rPr>
            <w:webHidden/>
          </w:rPr>
          <w:fldChar w:fldCharType="end"/>
        </w:r>
      </w:hyperlink>
    </w:p>
    <w:p w14:paraId="09F4FE38" w14:textId="77777777" w:rsidR="00830BE4" w:rsidRDefault="003B3634">
      <w:pPr>
        <w:pStyle w:val="TOC2"/>
        <w:rPr>
          <w:rFonts w:asciiTheme="minorHAnsi" w:eastAsiaTheme="minorEastAsia" w:hAnsiTheme="minorHAnsi"/>
          <w:lang w:eastAsia="en-AU"/>
        </w:rPr>
      </w:pPr>
      <w:hyperlink w:anchor="_Toc509239427" w:history="1">
        <w:r w:rsidR="00830BE4" w:rsidRPr="00F205AA">
          <w:rPr>
            <w:rStyle w:val="Hyperlink"/>
          </w:rPr>
          <w:t>3.1</w:t>
        </w:r>
        <w:r w:rsidR="00830BE4">
          <w:rPr>
            <w:rFonts w:asciiTheme="minorHAnsi" w:eastAsiaTheme="minorEastAsia" w:hAnsiTheme="minorHAnsi"/>
            <w:lang w:eastAsia="en-AU"/>
          </w:rPr>
          <w:tab/>
        </w:r>
        <w:r w:rsidR="00830BE4" w:rsidRPr="00F205AA">
          <w:rPr>
            <w:rStyle w:val="Hyperlink"/>
          </w:rPr>
          <w:t>Legal instruments</w:t>
        </w:r>
        <w:r w:rsidR="00830BE4">
          <w:rPr>
            <w:webHidden/>
          </w:rPr>
          <w:tab/>
        </w:r>
        <w:r w:rsidR="00830BE4">
          <w:rPr>
            <w:webHidden/>
          </w:rPr>
          <w:fldChar w:fldCharType="begin"/>
        </w:r>
        <w:r w:rsidR="00830BE4">
          <w:rPr>
            <w:webHidden/>
          </w:rPr>
          <w:instrText xml:space="preserve"> PAGEREF _Toc509239427 \h </w:instrText>
        </w:r>
        <w:r w:rsidR="00830BE4">
          <w:rPr>
            <w:webHidden/>
          </w:rPr>
        </w:r>
        <w:r w:rsidR="00830BE4">
          <w:rPr>
            <w:webHidden/>
          </w:rPr>
          <w:fldChar w:fldCharType="separate"/>
        </w:r>
        <w:r w:rsidR="00830BE4">
          <w:rPr>
            <w:webHidden/>
          </w:rPr>
          <w:t>22</w:t>
        </w:r>
        <w:r w:rsidR="00830BE4">
          <w:rPr>
            <w:webHidden/>
          </w:rPr>
          <w:fldChar w:fldCharType="end"/>
        </w:r>
      </w:hyperlink>
    </w:p>
    <w:p w14:paraId="16C9580E" w14:textId="77777777" w:rsidR="00830BE4" w:rsidRDefault="003B3634">
      <w:pPr>
        <w:pStyle w:val="TOC2"/>
        <w:rPr>
          <w:rFonts w:asciiTheme="minorHAnsi" w:eastAsiaTheme="minorEastAsia" w:hAnsiTheme="minorHAnsi"/>
          <w:lang w:eastAsia="en-AU"/>
        </w:rPr>
      </w:pPr>
      <w:hyperlink w:anchor="_Toc509239428" w:history="1">
        <w:r w:rsidR="00830BE4" w:rsidRPr="00F205AA">
          <w:rPr>
            <w:rStyle w:val="Hyperlink"/>
          </w:rPr>
          <w:t>3.2</w:t>
        </w:r>
        <w:r w:rsidR="00830BE4">
          <w:rPr>
            <w:rFonts w:asciiTheme="minorHAnsi" w:eastAsiaTheme="minorEastAsia" w:hAnsiTheme="minorHAnsi"/>
            <w:lang w:eastAsia="en-AU"/>
          </w:rPr>
          <w:tab/>
        </w:r>
        <w:r w:rsidR="00830BE4" w:rsidRPr="00F205AA">
          <w:rPr>
            <w:rStyle w:val="Hyperlink"/>
          </w:rPr>
          <w:t>Governance of the legal instruments</w:t>
        </w:r>
        <w:r w:rsidR="00830BE4">
          <w:rPr>
            <w:webHidden/>
          </w:rPr>
          <w:tab/>
        </w:r>
        <w:r w:rsidR="00830BE4">
          <w:rPr>
            <w:webHidden/>
          </w:rPr>
          <w:fldChar w:fldCharType="begin"/>
        </w:r>
        <w:r w:rsidR="00830BE4">
          <w:rPr>
            <w:webHidden/>
          </w:rPr>
          <w:instrText xml:space="preserve"> PAGEREF _Toc509239428 \h </w:instrText>
        </w:r>
        <w:r w:rsidR="00830BE4">
          <w:rPr>
            <w:webHidden/>
          </w:rPr>
        </w:r>
        <w:r w:rsidR="00830BE4">
          <w:rPr>
            <w:webHidden/>
          </w:rPr>
          <w:fldChar w:fldCharType="separate"/>
        </w:r>
        <w:r w:rsidR="00830BE4">
          <w:rPr>
            <w:webHidden/>
          </w:rPr>
          <w:t>25</w:t>
        </w:r>
        <w:r w:rsidR="00830BE4">
          <w:rPr>
            <w:webHidden/>
          </w:rPr>
          <w:fldChar w:fldCharType="end"/>
        </w:r>
      </w:hyperlink>
    </w:p>
    <w:p w14:paraId="4543BCEB" w14:textId="77777777" w:rsidR="00830BE4" w:rsidRDefault="003B3634">
      <w:pPr>
        <w:pStyle w:val="TOC2"/>
        <w:rPr>
          <w:rFonts w:asciiTheme="minorHAnsi" w:eastAsiaTheme="minorEastAsia" w:hAnsiTheme="minorHAnsi"/>
          <w:lang w:eastAsia="en-AU"/>
        </w:rPr>
      </w:pPr>
      <w:hyperlink w:anchor="_Toc509239429" w:history="1">
        <w:r w:rsidR="00830BE4" w:rsidRPr="00F205AA">
          <w:rPr>
            <w:rStyle w:val="Hyperlink"/>
          </w:rPr>
          <w:t>3.3</w:t>
        </w:r>
        <w:r w:rsidR="00830BE4">
          <w:rPr>
            <w:rFonts w:asciiTheme="minorHAnsi" w:eastAsiaTheme="minorEastAsia" w:hAnsiTheme="minorHAnsi"/>
            <w:lang w:eastAsia="en-AU"/>
          </w:rPr>
          <w:tab/>
        </w:r>
        <w:r w:rsidR="00830BE4" w:rsidRPr="00F205AA">
          <w:rPr>
            <w:rStyle w:val="Hyperlink"/>
          </w:rPr>
          <w:t>New functions and powers for the AEMC, AEMO and the AER</w:t>
        </w:r>
        <w:r w:rsidR="00830BE4">
          <w:rPr>
            <w:webHidden/>
          </w:rPr>
          <w:tab/>
        </w:r>
        <w:r w:rsidR="00830BE4">
          <w:rPr>
            <w:webHidden/>
          </w:rPr>
          <w:fldChar w:fldCharType="begin"/>
        </w:r>
        <w:r w:rsidR="00830BE4">
          <w:rPr>
            <w:webHidden/>
          </w:rPr>
          <w:instrText xml:space="preserve"> PAGEREF _Toc509239429 \h </w:instrText>
        </w:r>
        <w:r w:rsidR="00830BE4">
          <w:rPr>
            <w:webHidden/>
          </w:rPr>
        </w:r>
        <w:r w:rsidR="00830BE4">
          <w:rPr>
            <w:webHidden/>
          </w:rPr>
          <w:fldChar w:fldCharType="separate"/>
        </w:r>
        <w:r w:rsidR="00830BE4">
          <w:rPr>
            <w:webHidden/>
          </w:rPr>
          <w:t>25</w:t>
        </w:r>
        <w:r w:rsidR="00830BE4">
          <w:rPr>
            <w:webHidden/>
          </w:rPr>
          <w:fldChar w:fldCharType="end"/>
        </w:r>
      </w:hyperlink>
    </w:p>
    <w:p w14:paraId="52B3672D" w14:textId="77777777" w:rsidR="00830BE4" w:rsidRDefault="003B3634">
      <w:pPr>
        <w:pStyle w:val="TOC2"/>
        <w:rPr>
          <w:rFonts w:asciiTheme="minorHAnsi" w:eastAsiaTheme="minorEastAsia" w:hAnsiTheme="minorHAnsi"/>
          <w:lang w:eastAsia="en-AU"/>
        </w:rPr>
      </w:pPr>
      <w:hyperlink w:anchor="_Toc509239430" w:history="1">
        <w:r w:rsidR="00830BE4" w:rsidRPr="00F205AA">
          <w:rPr>
            <w:rStyle w:val="Hyperlink"/>
          </w:rPr>
          <w:t>3.4</w:t>
        </w:r>
        <w:r w:rsidR="00830BE4">
          <w:rPr>
            <w:rFonts w:asciiTheme="minorHAnsi" w:eastAsiaTheme="minorEastAsia" w:hAnsiTheme="minorHAnsi"/>
            <w:lang w:eastAsia="en-AU"/>
          </w:rPr>
          <w:tab/>
        </w:r>
        <w:r w:rsidR="00830BE4" w:rsidRPr="00F205AA">
          <w:rPr>
            <w:rStyle w:val="Hyperlink"/>
          </w:rPr>
          <w:t>Questions for stakeholders</w:t>
        </w:r>
        <w:r w:rsidR="00830BE4">
          <w:rPr>
            <w:webHidden/>
          </w:rPr>
          <w:tab/>
        </w:r>
        <w:r w:rsidR="00830BE4">
          <w:rPr>
            <w:webHidden/>
          </w:rPr>
          <w:fldChar w:fldCharType="begin"/>
        </w:r>
        <w:r w:rsidR="00830BE4">
          <w:rPr>
            <w:webHidden/>
          </w:rPr>
          <w:instrText xml:space="preserve"> PAGEREF _Toc509239430 \h </w:instrText>
        </w:r>
        <w:r w:rsidR="00830BE4">
          <w:rPr>
            <w:webHidden/>
          </w:rPr>
        </w:r>
        <w:r w:rsidR="00830BE4">
          <w:rPr>
            <w:webHidden/>
          </w:rPr>
          <w:fldChar w:fldCharType="separate"/>
        </w:r>
        <w:r w:rsidR="00830BE4">
          <w:rPr>
            <w:webHidden/>
          </w:rPr>
          <w:t>28</w:t>
        </w:r>
        <w:r w:rsidR="00830BE4">
          <w:rPr>
            <w:webHidden/>
          </w:rPr>
          <w:fldChar w:fldCharType="end"/>
        </w:r>
      </w:hyperlink>
    </w:p>
    <w:p w14:paraId="478A0117" w14:textId="77777777" w:rsidR="00830BE4" w:rsidRDefault="003B3634">
      <w:pPr>
        <w:pStyle w:val="TOC1"/>
        <w:rPr>
          <w:rFonts w:asciiTheme="minorHAnsi" w:eastAsiaTheme="minorEastAsia" w:hAnsiTheme="minorHAnsi"/>
          <w:b w:val="0"/>
          <w:lang w:eastAsia="en-AU"/>
        </w:rPr>
      </w:pPr>
      <w:hyperlink w:anchor="_Toc509239431" w:history="1">
        <w:r w:rsidR="00830BE4" w:rsidRPr="00F205AA">
          <w:rPr>
            <w:rStyle w:val="Hyperlink"/>
          </w:rPr>
          <w:t>4.</w:t>
        </w:r>
        <w:r w:rsidR="00830BE4">
          <w:rPr>
            <w:rFonts w:asciiTheme="minorHAnsi" w:eastAsiaTheme="minorEastAsia" w:hAnsiTheme="minorHAnsi"/>
            <w:b w:val="0"/>
            <w:lang w:eastAsia="en-AU"/>
          </w:rPr>
          <w:tab/>
        </w:r>
        <w:r w:rsidR="00830BE4" w:rsidRPr="00F205AA">
          <w:rPr>
            <w:rStyle w:val="Hyperlink"/>
          </w:rPr>
          <w:t>Facilitation of Capacity Trades and the Auction</w:t>
        </w:r>
        <w:r w:rsidR="00830BE4">
          <w:rPr>
            <w:webHidden/>
          </w:rPr>
          <w:tab/>
        </w:r>
        <w:r w:rsidR="00830BE4">
          <w:rPr>
            <w:webHidden/>
          </w:rPr>
          <w:fldChar w:fldCharType="begin"/>
        </w:r>
        <w:r w:rsidR="00830BE4">
          <w:rPr>
            <w:webHidden/>
          </w:rPr>
          <w:instrText xml:space="preserve"> PAGEREF _Toc509239431 \h </w:instrText>
        </w:r>
        <w:r w:rsidR="00830BE4">
          <w:rPr>
            <w:webHidden/>
          </w:rPr>
        </w:r>
        <w:r w:rsidR="00830BE4">
          <w:rPr>
            <w:webHidden/>
          </w:rPr>
          <w:fldChar w:fldCharType="separate"/>
        </w:r>
        <w:r w:rsidR="00830BE4">
          <w:rPr>
            <w:webHidden/>
          </w:rPr>
          <w:t>29</w:t>
        </w:r>
        <w:r w:rsidR="00830BE4">
          <w:rPr>
            <w:webHidden/>
          </w:rPr>
          <w:fldChar w:fldCharType="end"/>
        </w:r>
      </w:hyperlink>
    </w:p>
    <w:p w14:paraId="14589DBC" w14:textId="77777777" w:rsidR="00830BE4" w:rsidRDefault="003B3634">
      <w:pPr>
        <w:pStyle w:val="TOC2"/>
        <w:rPr>
          <w:rFonts w:asciiTheme="minorHAnsi" w:eastAsiaTheme="minorEastAsia" w:hAnsiTheme="minorHAnsi"/>
          <w:lang w:eastAsia="en-AU"/>
        </w:rPr>
      </w:pPr>
      <w:hyperlink w:anchor="_Toc509239432" w:history="1">
        <w:r w:rsidR="00830BE4" w:rsidRPr="00F205AA">
          <w:rPr>
            <w:rStyle w:val="Hyperlink"/>
          </w:rPr>
          <w:t>4.1</w:t>
        </w:r>
        <w:r w:rsidR="00830BE4">
          <w:rPr>
            <w:rFonts w:asciiTheme="minorHAnsi" w:eastAsiaTheme="minorEastAsia" w:hAnsiTheme="minorHAnsi"/>
            <w:lang w:eastAsia="en-AU"/>
          </w:rPr>
          <w:tab/>
        </w:r>
        <w:r w:rsidR="00830BE4" w:rsidRPr="00F205AA">
          <w:rPr>
            <w:rStyle w:val="Hyperlink"/>
          </w:rPr>
          <w:t>Overview of measures to facilitate trades and the auction</w:t>
        </w:r>
        <w:r w:rsidR="00830BE4">
          <w:rPr>
            <w:webHidden/>
          </w:rPr>
          <w:tab/>
        </w:r>
        <w:r w:rsidR="00830BE4">
          <w:rPr>
            <w:webHidden/>
          </w:rPr>
          <w:fldChar w:fldCharType="begin"/>
        </w:r>
        <w:r w:rsidR="00830BE4">
          <w:rPr>
            <w:webHidden/>
          </w:rPr>
          <w:instrText xml:space="preserve"> PAGEREF _Toc509239432 \h </w:instrText>
        </w:r>
        <w:r w:rsidR="00830BE4">
          <w:rPr>
            <w:webHidden/>
          </w:rPr>
        </w:r>
        <w:r w:rsidR="00830BE4">
          <w:rPr>
            <w:webHidden/>
          </w:rPr>
          <w:fldChar w:fldCharType="separate"/>
        </w:r>
        <w:r w:rsidR="00830BE4">
          <w:rPr>
            <w:webHidden/>
          </w:rPr>
          <w:t>30</w:t>
        </w:r>
        <w:r w:rsidR="00830BE4">
          <w:rPr>
            <w:webHidden/>
          </w:rPr>
          <w:fldChar w:fldCharType="end"/>
        </w:r>
      </w:hyperlink>
    </w:p>
    <w:p w14:paraId="26A7E8A0" w14:textId="77777777" w:rsidR="00830BE4" w:rsidRDefault="003B3634">
      <w:pPr>
        <w:pStyle w:val="TOC2"/>
        <w:rPr>
          <w:rFonts w:asciiTheme="minorHAnsi" w:eastAsiaTheme="minorEastAsia" w:hAnsiTheme="minorHAnsi"/>
          <w:lang w:eastAsia="en-AU"/>
        </w:rPr>
      </w:pPr>
      <w:hyperlink w:anchor="_Toc509239433" w:history="1">
        <w:r w:rsidR="00830BE4" w:rsidRPr="00F205AA">
          <w:rPr>
            <w:rStyle w:val="Hyperlink"/>
          </w:rPr>
          <w:t>4.2</w:t>
        </w:r>
        <w:r w:rsidR="00830BE4">
          <w:rPr>
            <w:rFonts w:asciiTheme="minorHAnsi" w:eastAsiaTheme="minorEastAsia" w:hAnsiTheme="minorHAnsi"/>
            <w:lang w:eastAsia="en-AU"/>
          </w:rPr>
          <w:tab/>
        </w:r>
        <w:r w:rsidR="00830BE4" w:rsidRPr="00F205AA">
          <w:rPr>
            <w:rStyle w:val="Hyperlink"/>
          </w:rPr>
          <w:t>Proposed legal and regulatory framework</w:t>
        </w:r>
        <w:r w:rsidR="00830BE4">
          <w:rPr>
            <w:webHidden/>
          </w:rPr>
          <w:tab/>
        </w:r>
        <w:r w:rsidR="00830BE4">
          <w:rPr>
            <w:webHidden/>
          </w:rPr>
          <w:fldChar w:fldCharType="begin"/>
        </w:r>
        <w:r w:rsidR="00830BE4">
          <w:rPr>
            <w:webHidden/>
          </w:rPr>
          <w:instrText xml:space="preserve"> PAGEREF _Toc509239433 \h </w:instrText>
        </w:r>
        <w:r w:rsidR="00830BE4">
          <w:rPr>
            <w:webHidden/>
          </w:rPr>
        </w:r>
        <w:r w:rsidR="00830BE4">
          <w:rPr>
            <w:webHidden/>
          </w:rPr>
          <w:fldChar w:fldCharType="separate"/>
        </w:r>
        <w:r w:rsidR="00830BE4">
          <w:rPr>
            <w:webHidden/>
          </w:rPr>
          <w:t>42</w:t>
        </w:r>
        <w:r w:rsidR="00830BE4">
          <w:rPr>
            <w:webHidden/>
          </w:rPr>
          <w:fldChar w:fldCharType="end"/>
        </w:r>
      </w:hyperlink>
    </w:p>
    <w:p w14:paraId="129405DD" w14:textId="77777777" w:rsidR="00830BE4" w:rsidRDefault="003B3634">
      <w:pPr>
        <w:pStyle w:val="TOC1"/>
        <w:rPr>
          <w:rFonts w:asciiTheme="minorHAnsi" w:eastAsiaTheme="minorEastAsia" w:hAnsiTheme="minorHAnsi"/>
          <w:b w:val="0"/>
          <w:lang w:eastAsia="en-AU"/>
        </w:rPr>
      </w:pPr>
      <w:hyperlink w:anchor="_Toc509239434" w:history="1">
        <w:r w:rsidR="00830BE4" w:rsidRPr="00F205AA">
          <w:rPr>
            <w:rStyle w:val="Hyperlink"/>
          </w:rPr>
          <w:t>5.</w:t>
        </w:r>
        <w:r w:rsidR="00830BE4">
          <w:rPr>
            <w:rFonts w:asciiTheme="minorHAnsi" w:eastAsiaTheme="minorEastAsia" w:hAnsiTheme="minorHAnsi"/>
            <w:b w:val="0"/>
            <w:lang w:eastAsia="en-AU"/>
          </w:rPr>
          <w:tab/>
        </w:r>
        <w:r w:rsidR="00830BE4" w:rsidRPr="00F205AA">
          <w:rPr>
            <w:rStyle w:val="Hyperlink"/>
          </w:rPr>
          <w:t>Day-Ahead Auction</w:t>
        </w:r>
        <w:r w:rsidR="00830BE4">
          <w:rPr>
            <w:webHidden/>
          </w:rPr>
          <w:tab/>
        </w:r>
        <w:r w:rsidR="00830BE4">
          <w:rPr>
            <w:webHidden/>
          </w:rPr>
          <w:fldChar w:fldCharType="begin"/>
        </w:r>
        <w:r w:rsidR="00830BE4">
          <w:rPr>
            <w:webHidden/>
          </w:rPr>
          <w:instrText xml:space="preserve"> PAGEREF _Toc509239434 \h </w:instrText>
        </w:r>
        <w:r w:rsidR="00830BE4">
          <w:rPr>
            <w:webHidden/>
          </w:rPr>
        </w:r>
        <w:r w:rsidR="00830BE4">
          <w:rPr>
            <w:webHidden/>
          </w:rPr>
          <w:fldChar w:fldCharType="separate"/>
        </w:r>
        <w:r w:rsidR="00830BE4">
          <w:rPr>
            <w:webHidden/>
          </w:rPr>
          <w:t>47</w:t>
        </w:r>
        <w:r w:rsidR="00830BE4">
          <w:rPr>
            <w:webHidden/>
          </w:rPr>
          <w:fldChar w:fldCharType="end"/>
        </w:r>
      </w:hyperlink>
    </w:p>
    <w:p w14:paraId="53B1AA8D" w14:textId="77777777" w:rsidR="00830BE4" w:rsidRDefault="003B3634">
      <w:pPr>
        <w:pStyle w:val="TOC2"/>
        <w:rPr>
          <w:rFonts w:asciiTheme="minorHAnsi" w:eastAsiaTheme="minorEastAsia" w:hAnsiTheme="minorHAnsi"/>
          <w:lang w:eastAsia="en-AU"/>
        </w:rPr>
      </w:pPr>
      <w:hyperlink w:anchor="_Toc509239435" w:history="1">
        <w:r w:rsidR="00830BE4" w:rsidRPr="00F205AA">
          <w:rPr>
            <w:rStyle w:val="Hyperlink"/>
          </w:rPr>
          <w:t>5.1</w:t>
        </w:r>
        <w:r w:rsidR="00830BE4">
          <w:rPr>
            <w:rFonts w:asciiTheme="minorHAnsi" w:eastAsiaTheme="minorEastAsia" w:hAnsiTheme="minorHAnsi"/>
            <w:lang w:eastAsia="en-AU"/>
          </w:rPr>
          <w:tab/>
        </w:r>
        <w:r w:rsidR="00830BE4" w:rsidRPr="00F205AA">
          <w:rPr>
            <w:rStyle w:val="Hyperlink"/>
          </w:rPr>
          <w:t>Overview of the day-ahead auction</w:t>
        </w:r>
        <w:r w:rsidR="00830BE4">
          <w:rPr>
            <w:webHidden/>
          </w:rPr>
          <w:tab/>
        </w:r>
        <w:r w:rsidR="00830BE4">
          <w:rPr>
            <w:webHidden/>
          </w:rPr>
          <w:fldChar w:fldCharType="begin"/>
        </w:r>
        <w:r w:rsidR="00830BE4">
          <w:rPr>
            <w:webHidden/>
          </w:rPr>
          <w:instrText xml:space="preserve"> PAGEREF _Toc509239435 \h </w:instrText>
        </w:r>
        <w:r w:rsidR="00830BE4">
          <w:rPr>
            <w:webHidden/>
          </w:rPr>
        </w:r>
        <w:r w:rsidR="00830BE4">
          <w:rPr>
            <w:webHidden/>
          </w:rPr>
          <w:fldChar w:fldCharType="separate"/>
        </w:r>
        <w:r w:rsidR="00830BE4">
          <w:rPr>
            <w:webHidden/>
          </w:rPr>
          <w:t>47</w:t>
        </w:r>
        <w:r w:rsidR="00830BE4">
          <w:rPr>
            <w:webHidden/>
          </w:rPr>
          <w:fldChar w:fldCharType="end"/>
        </w:r>
      </w:hyperlink>
    </w:p>
    <w:p w14:paraId="61E8D70F" w14:textId="77777777" w:rsidR="00830BE4" w:rsidRDefault="003B3634">
      <w:pPr>
        <w:pStyle w:val="TOC2"/>
        <w:rPr>
          <w:rFonts w:asciiTheme="minorHAnsi" w:eastAsiaTheme="minorEastAsia" w:hAnsiTheme="minorHAnsi"/>
          <w:lang w:eastAsia="en-AU"/>
        </w:rPr>
      </w:pPr>
      <w:hyperlink w:anchor="_Toc509239436" w:history="1">
        <w:r w:rsidR="00830BE4" w:rsidRPr="00F205AA">
          <w:rPr>
            <w:rStyle w:val="Hyperlink"/>
          </w:rPr>
          <w:t>5.2</w:t>
        </w:r>
        <w:r w:rsidR="00830BE4">
          <w:rPr>
            <w:rFonts w:asciiTheme="minorHAnsi" w:eastAsiaTheme="minorEastAsia" w:hAnsiTheme="minorHAnsi"/>
            <w:lang w:eastAsia="en-AU"/>
          </w:rPr>
          <w:tab/>
        </w:r>
        <w:r w:rsidR="00830BE4" w:rsidRPr="00F205AA">
          <w:rPr>
            <w:rStyle w:val="Hyperlink"/>
          </w:rPr>
          <w:t>Proposed legal and regulatory framework</w:t>
        </w:r>
        <w:r w:rsidR="00830BE4">
          <w:rPr>
            <w:webHidden/>
          </w:rPr>
          <w:tab/>
        </w:r>
        <w:r w:rsidR="00830BE4">
          <w:rPr>
            <w:webHidden/>
          </w:rPr>
          <w:fldChar w:fldCharType="begin"/>
        </w:r>
        <w:r w:rsidR="00830BE4">
          <w:rPr>
            <w:webHidden/>
          </w:rPr>
          <w:instrText xml:space="preserve"> PAGEREF _Toc509239436 \h </w:instrText>
        </w:r>
        <w:r w:rsidR="00830BE4">
          <w:rPr>
            <w:webHidden/>
          </w:rPr>
        </w:r>
        <w:r w:rsidR="00830BE4">
          <w:rPr>
            <w:webHidden/>
          </w:rPr>
          <w:fldChar w:fldCharType="separate"/>
        </w:r>
        <w:r w:rsidR="00830BE4">
          <w:rPr>
            <w:webHidden/>
          </w:rPr>
          <w:t>59</w:t>
        </w:r>
        <w:r w:rsidR="00830BE4">
          <w:rPr>
            <w:webHidden/>
          </w:rPr>
          <w:fldChar w:fldCharType="end"/>
        </w:r>
      </w:hyperlink>
    </w:p>
    <w:p w14:paraId="3C8F539C" w14:textId="77777777" w:rsidR="00830BE4" w:rsidRDefault="003B3634">
      <w:pPr>
        <w:pStyle w:val="TOC1"/>
        <w:rPr>
          <w:rFonts w:asciiTheme="minorHAnsi" w:eastAsiaTheme="minorEastAsia" w:hAnsiTheme="minorHAnsi"/>
          <w:b w:val="0"/>
          <w:lang w:eastAsia="en-AU"/>
        </w:rPr>
      </w:pPr>
      <w:hyperlink w:anchor="_Toc509239437" w:history="1">
        <w:r w:rsidR="00830BE4" w:rsidRPr="00F205AA">
          <w:rPr>
            <w:rStyle w:val="Hyperlink"/>
          </w:rPr>
          <w:t>6.</w:t>
        </w:r>
        <w:r w:rsidR="00830BE4">
          <w:rPr>
            <w:rFonts w:asciiTheme="minorHAnsi" w:eastAsiaTheme="minorEastAsia" w:hAnsiTheme="minorHAnsi"/>
            <w:b w:val="0"/>
            <w:lang w:eastAsia="en-AU"/>
          </w:rPr>
          <w:tab/>
        </w:r>
        <w:r w:rsidR="00830BE4" w:rsidRPr="00F205AA">
          <w:rPr>
            <w:rStyle w:val="Hyperlink"/>
          </w:rPr>
          <w:t>Capacity Trading Platform</w:t>
        </w:r>
        <w:r w:rsidR="00830BE4">
          <w:rPr>
            <w:webHidden/>
          </w:rPr>
          <w:tab/>
        </w:r>
        <w:r w:rsidR="00830BE4">
          <w:rPr>
            <w:webHidden/>
          </w:rPr>
          <w:fldChar w:fldCharType="begin"/>
        </w:r>
        <w:r w:rsidR="00830BE4">
          <w:rPr>
            <w:webHidden/>
          </w:rPr>
          <w:instrText xml:space="preserve"> PAGEREF _Toc509239437 \h </w:instrText>
        </w:r>
        <w:r w:rsidR="00830BE4">
          <w:rPr>
            <w:webHidden/>
          </w:rPr>
        </w:r>
        <w:r w:rsidR="00830BE4">
          <w:rPr>
            <w:webHidden/>
          </w:rPr>
          <w:fldChar w:fldCharType="separate"/>
        </w:r>
        <w:r w:rsidR="00830BE4">
          <w:rPr>
            <w:webHidden/>
          </w:rPr>
          <w:t>64</w:t>
        </w:r>
        <w:r w:rsidR="00830BE4">
          <w:rPr>
            <w:webHidden/>
          </w:rPr>
          <w:fldChar w:fldCharType="end"/>
        </w:r>
      </w:hyperlink>
    </w:p>
    <w:p w14:paraId="6187567F" w14:textId="77777777" w:rsidR="00830BE4" w:rsidRDefault="003B3634">
      <w:pPr>
        <w:pStyle w:val="TOC2"/>
        <w:rPr>
          <w:rFonts w:asciiTheme="minorHAnsi" w:eastAsiaTheme="minorEastAsia" w:hAnsiTheme="minorHAnsi"/>
          <w:lang w:eastAsia="en-AU"/>
        </w:rPr>
      </w:pPr>
      <w:hyperlink w:anchor="_Toc509239438" w:history="1">
        <w:r w:rsidR="00830BE4" w:rsidRPr="00F205AA">
          <w:rPr>
            <w:rStyle w:val="Hyperlink"/>
          </w:rPr>
          <w:t>6.1</w:t>
        </w:r>
        <w:r w:rsidR="00830BE4">
          <w:rPr>
            <w:rFonts w:asciiTheme="minorHAnsi" w:eastAsiaTheme="minorEastAsia" w:hAnsiTheme="minorHAnsi"/>
            <w:lang w:eastAsia="en-AU"/>
          </w:rPr>
          <w:tab/>
        </w:r>
        <w:r w:rsidR="00830BE4" w:rsidRPr="00F205AA">
          <w:rPr>
            <w:rStyle w:val="Hyperlink"/>
          </w:rPr>
          <w:t>Overview of the capacity trading platform</w:t>
        </w:r>
        <w:r w:rsidR="00830BE4">
          <w:rPr>
            <w:webHidden/>
          </w:rPr>
          <w:tab/>
        </w:r>
        <w:r w:rsidR="00830BE4">
          <w:rPr>
            <w:webHidden/>
          </w:rPr>
          <w:fldChar w:fldCharType="begin"/>
        </w:r>
        <w:r w:rsidR="00830BE4">
          <w:rPr>
            <w:webHidden/>
          </w:rPr>
          <w:instrText xml:space="preserve"> PAGEREF _Toc509239438 \h </w:instrText>
        </w:r>
        <w:r w:rsidR="00830BE4">
          <w:rPr>
            <w:webHidden/>
          </w:rPr>
        </w:r>
        <w:r w:rsidR="00830BE4">
          <w:rPr>
            <w:webHidden/>
          </w:rPr>
          <w:fldChar w:fldCharType="separate"/>
        </w:r>
        <w:r w:rsidR="00830BE4">
          <w:rPr>
            <w:webHidden/>
          </w:rPr>
          <w:t>64</w:t>
        </w:r>
        <w:r w:rsidR="00830BE4">
          <w:rPr>
            <w:webHidden/>
          </w:rPr>
          <w:fldChar w:fldCharType="end"/>
        </w:r>
      </w:hyperlink>
    </w:p>
    <w:p w14:paraId="200E2346" w14:textId="77777777" w:rsidR="00830BE4" w:rsidRDefault="003B3634">
      <w:pPr>
        <w:pStyle w:val="TOC2"/>
        <w:rPr>
          <w:rFonts w:asciiTheme="minorHAnsi" w:eastAsiaTheme="minorEastAsia" w:hAnsiTheme="minorHAnsi"/>
          <w:lang w:eastAsia="en-AU"/>
        </w:rPr>
      </w:pPr>
      <w:hyperlink w:anchor="_Toc509239439" w:history="1">
        <w:r w:rsidR="00830BE4" w:rsidRPr="00F205AA">
          <w:rPr>
            <w:rStyle w:val="Hyperlink"/>
          </w:rPr>
          <w:t>6.2</w:t>
        </w:r>
        <w:r w:rsidR="00830BE4">
          <w:rPr>
            <w:rFonts w:asciiTheme="minorHAnsi" w:eastAsiaTheme="minorEastAsia" w:hAnsiTheme="minorHAnsi"/>
            <w:lang w:eastAsia="en-AU"/>
          </w:rPr>
          <w:tab/>
        </w:r>
        <w:r w:rsidR="00830BE4" w:rsidRPr="00F205AA">
          <w:rPr>
            <w:rStyle w:val="Hyperlink"/>
          </w:rPr>
          <w:t>Proposed legal and regulatory framework</w:t>
        </w:r>
        <w:r w:rsidR="00830BE4">
          <w:rPr>
            <w:webHidden/>
          </w:rPr>
          <w:tab/>
        </w:r>
        <w:r w:rsidR="00830BE4">
          <w:rPr>
            <w:webHidden/>
          </w:rPr>
          <w:fldChar w:fldCharType="begin"/>
        </w:r>
        <w:r w:rsidR="00830BE4">
          <w:rPr>
            <w:webHidden/>
          </w:rPr>
          <w:instrText xml:space="preserve"> PAGEREF _Toc509239439 \h </w:instrText>
        </w:r>
        <w:r w:rsidR="00830BE4">
          <w:rPr>
            <w:webHidden/>
          </w:rPr>
        </w:r>
        <w:r w:rsidR="00830BE4">
          <w:rPr>
            <w:webHidden/>
          </w:rPr>
          <w:fldChar w:fldCharType="separate"/>
        </w:r>
        <w:r w:rsidR="00830BE4">
          <w:rPr>
            <w:webHidden/>
          </w:rPr>
          <w:t>66</w:t>
        </w:r>
        <w:r w:rsidR="00830BE4">
          <w:rPr>
            <w:webHidden/>
          </w:rPr>
          <w:fldChar w:fldCharType="end"/>
        </w:r>
      </w:hyperlink>
    </w:p>
    <w:p w14:paraId="596C05CD" w14:textId="77777777" w:rsidR="00830BE4" w:rsidRDefault="003B3634">
      <w:pPr>
        <w:pStyle w:val="TOC1"/>
        <w:rPr>
          <w:rFonts w:asciiTheme="minorHAnsi" w:eastAsiaTheme="minorEastAsia" w:hAnsiTheme="minorHAnsi"/>
          <w:b w:val="0"/>
          <w:lang w:eastAsia="en-AU"/>
        </w:rPr>
      </w:pPr>
      <w:hyperlink w:anchor="_Toc509239440" w:history="1">
        <w:r w:rsidR="00830BE4" w:rsidRPr="00F205AA">
          <w:rPr>
            <w:rStyle w:val="Hyperlink"/>
          </w:rPr>
          <w:t>7.</w:t>
        </w:r>
        <w:r w:rsidR="00830BE4">
          <w:rPr>
            <w:rFonts w:asciiTheme="minorHAnsi" w:eastAsiaTheme="minorEastAsia" w:hAnsiTheme="minorHAnsi"/>
            <w:b w:val="0"/>
            <w:lang w:eastAsia="en-AU"/>
          </w:rPr>
          <w:tab/>
        </w:r>
        <w:r w:rsidR="00830BE4" w:rsidRPr="00F205AA">
          <w:rPr>
            <w:rStyle w:val="Hyperlink"/>
          </w:rPr>
          <w:t>Reporting Framework for Secondary Capacity Trades and Other Transparency Measures</w:t>
        </w:r>
        <w:r w:rsidR="00830BE4">
          <w:rPr>
            <w:webHidden/>
          </w:rPr>
          <w:tab/>
        </w:r>
        <w:r w:rsidR="00830BE4">
          <w:rPr>
            <w:webHidden/>
          </w:rPr>
          <w:fldChar w:fldCharType="begin"/>
        </w:r>
        <w:r w:rsidR="00830BE4">
          <w:rPr>
            <w:webHidden/>
          </w:rPr>
          <w:instrText xml:space="preserve"> PAGEREF _Toc509239440 \h </w:instrText>
        </w:r>
        <w:r w:rsidR="00830BE4">
          <w:rPr>
            <w:webHidden/>
          </w:rPr>
        </w:r>
        <w:r w:rsidR="00830BE4">
          <w:rPr>
            <w:webHidden/>
          </w:rPr>
          <w:fldChar w:fldCharType="separate"/>
        </w:r>
        <w:r w:rsidR="00830BE4">
          <w:rPr>
            <w:webHidden/>
          </w:rPr>
          <w:t>70</w:t>
        </w:r>
        <w:r w:rsidR="00830BE4">
          <w:rPr>
            <w:webHidden/>
          </w:rPr>
          <w:fldChar w:fldCharType="end"/>
        </w:r>
      </w:hyperlink>
    </w:p>
    <w:p w14:paraId="20276D5B" w14:textId="77777777" w:rsidR="00830BE4" w:rsidRDefault="003B3634">
      <w:pPr>
        <w:pStyle w:val="TOC2"/>
        <w:rPr>
          <w:rFonts w:asciiTheme="minorHAnsi" w:eastAsiaTheme="minorEastAsia" w:hAnsiTheme="minorHAnsi"/>
          <w:lang w:eastAsia="en-AU"/>
        </w:rPr>
      </w:pPr>
      <w:hyperlink w:anchor="_Toc509239441" w:history="1">
        <w:r w:rsidR="00830BE4" w:rsidRPr="00F205AA">
          <w:rPr>
            <w:rStyle w:val="Hyperlink"/>
          </w:rPr>
          <w:t>7.1</w:t>
        </w:r>
        <w:r w:rsidR="00830BE4">
          <w:rPr>
            <w:rFonts w:asciiTheme="minorHAnsi" w:eastAsiaTheme="minorEastAsia" w:hAnsiTheme="minorHAnsi"/>
            <w:lang w:eastAsia="en-AU"/>
          </w:rPr>
          <w:tab/>
        </w:r>
        <w:r w:rsidR="00830BE4" w:rsidRPr="00F205AA">
          <w:rPr>
            <w:rStyle w:val="Hyperlink"/>
          </w:rPr>
          <w:t>Overview of the reporting framework and other transparency measures</w:t>
        </w:r>
        <w:r w:rsidR="00830BE4">
          <w:rPr>
            <w:webHidden/>
          </w:rPr>
          <w:tab/>
        </w:r>
        <w:r w:rsidR="00830BE4">
          <w:rPr>
            <w:webHidden/>
          </w:rPr>
          <w:fldChar w:fldCharType="begin"/>
        </w:r>
        <w:r w:rsidR="00830BE4">
          <w:rPr>
            <w:webHidden/>
          </w:rPr>
          <w:instrText xml:space="preserve"> PAGEREF _Toc509239441 \h </w:instrText>
        </w:r>
        <w:r w:rsidR="00830BE4">
          <w:rPr>
            <w:webHidden/>
          </w:rPr>
        </w:r>
        <w:r w:rsidR="00830BE4">
          <w:rPr>
            <w:webHidden/>
          </w:rPr>
          <w:fldChar w:fldCharType="separate"/>
        </w:r>
        <w:r w:rsidR="00830BE4">
          <w:rPr>
            <w:webHidden/>
          </w:rPr>
          <w:t>70</w:t>
        </w:r>
        <w:r w:rsidR="00830BE4">
          <w:rPr>
            <w:webHidden/>
          </w:rPr>
          <w:fldChar w:fldCharType="end"/>
        </w:r>
      </w:hyperlink>
    </w:p>
    <w:p w14:paraId="239AF468" w14:textId="77777777" w:rsidR="00830BE4" w:rsidRDefault="003B3634">
      <w:pPr>
        <w:pStyle w:val="TOC2"/>
        <w:rPr>
          <w:rFonts w:asciiTheme="minorHAnsi" w:eastAsiaTheme="minorEastAsia" w:hAnsiTheme="minorHAnsi"/>
          <w:lang w:eastAsia="en-AU"/>
        </w:rPr>
      </w:pPr>
      <w:hyperlink w:anchor="_Toc509239442" w:history="1">
        <w:r w:rsidR="00830BE4" w:rsidRPr="00F205AA">
          <w:rPr>
            <w:rStyle w:val="Hyperlink"/>
          </w:rPr>
          <w:t>7.2</w:t>
        </w:r>
        <w:r w:rsidR="00830BE4">
          <w:rPr>
            <w:rFonts w:asciiTheme="minorHAnsi" w:eastAsiaTheme="minorEastAsia" w:hAnsiTheme="minorHAnsi"/>
            <w:lang w:eastAsia="en-AU"/>
          </w:rPr>
          <w:tab/>
        </w:r>
        <w:r w:rsidR="00830BE4" w:rsidRPr="00F205AA">
          <w:rPr>
            <w:rStyle w:val="Hyperlink"/>
          </w:rPr>
          <w:t>Proposed legal and regulatory framework</w:t>
        </w:r>
        <w:r w:rsidR="00830BE4">
          <w:rPr>
            <w:webHidden/>
          </w:rPr>
          <w:tab/>
        </w:r>
        <w:r w:rsidR="00830BE4">
          <w:rPr>
            <w:webHidden/>
          </w:rPr>
          <w:fldChar w:fldCharType="begin"/>
        </w:r>
        <w:r w:rsidR="00830BE4">
          <w:rPr>
            <w:webHidden/>
          </w:rPr>
          <w:instrText xml:space="preserve"> PAGEREF _Toc509239442 \h </w:instrText>
        </w:r>
        <w:r w:rsidR="00830BE4">
          <w:rPr>
            <w:webHidden/>
          </w:rPr>
        </w:r>
        <w:r w:rsidR="00830BE4">
          <w:rPr>
            <w:webHidden/>
          </w:rPr>
          <w:fldChar w:fldCharType="separate"/>
        </w:r>
        <w:r w:rsidR="00830BE4">
          <w:rPr>
            <w:webHidden/>
          </w:rPr>
          <w:t>73</w:t>
        </w:r>
        <w:r w:rsidR="00830BE4">
          <w:rPr>
            <w:webHidden/>
          </w:rPr>
          <w:fldChar w:fldCharType="end"/>
        </w:r>
      </w:hyperlink>
    </w:p>
    <w:p w14:paraId="0A9F040A" w14:textId="77777777" w:rsidR="00830BE4" w:rsidRDefault="003B3634">
      <w:pPr>
        <w:pStyle w:val="TOC1"/>
        <w:rPr>
          <w:rFonts w:asciiTheme="minorHAnsi" w:eastAsiaTheme="minorEastAsia" w:hAnsiTheme="minorHAnsi"/>
          <w:b w:val="0"/>
          <w:lang w:eastAsia="en-AU"/>
        </w:rPr>
      </w:pPr>
      <w:hyperlink w:anchor="_Toc509239443" w:history="1">
        <w:r w:rsidR="00830BE4" w:rsidRPr="00F205AA">
          <w:rPr>
            <w:rStyle w:val="Hyperlink"/>
          </w:rPr>
          <w:t>8.</w:t>
        </w:r>
        <w:r w:rsidR="00830BE4">
          <w:rPr>
            <w:rFonts w:asciiTheme="minorHAnsi" w:eastAsiaTheme="minorEastAsia" w:hAnsiTheme="minorHAnsi"/>
            <w:b w:val="0"/>
            <w:lang w:eastAsia="en-AU"/>
          </w:rPr>
          <w:tab/>
        </w:r>
        <w:r w:rsidR="00830BE4" w:rsidRPr="00F205AA">
          <w:rPr>
            <w:rStyle w:val="Hyperlink"/>
          </w:rPr>
          <w:t>Harmonisation of Gas Day Start Times and Nomination Cut-Off Times</w:t>
        </w:r>
        <w:r w:rsidR="00830BE4">
          <w:rPr>
            <w:webHidden/>
          </w:rPr>
          <w:tab/>
        </w:r>
        <w:r w:rsidR="00830BE4">
          <w:rPr>
            <w:webHidden/>
          </w:rPr>
          <w:fldChar w:fldCharType="begin"/>
        </w:r>
        <w:r w:rsidR="00830BE4">
          <w:rPr>
            <w:webHidden/>
          </w:rPr>
          <w:instrText xml:space="preserve"> PAGEREF _Toc509239443 \h </w:instrText>
        </w:r>
        <w:r w:rsidR="00830BE4">
          <w:rPr>
            <w:webHidden/>
          </w:rPr>
        </w:r>
        <w:r w:rsidR="00830BE4">
          <w:rPr>
            <w:webHidden/>
          </w:rPr>
          <w:fldChar w:fldCharType="separate"/>
        </w:r>
        <w:r w:rsidR="00830BE4">
          <w:rPr>
            <w:webHidden/>
          </w:rPr>
          <w:t>76</w:t>
        </w:r>
        <w:r w:rsidR="00830BE4">
          <w:rPr>
            <w:webHidden/>
          </w:rPr>
          <w:fldChar w:fldCharType="end"/>
        </w:r>
      </w:hyperlink>
    </w:p>
    <w:p w14:paraId="116AA756" w14:textId="77777777" w:rsidR="00830BE4" w:rsidRDefault="003B3634">
      <w:pPr>
        <w:pStyle w:val="TOC2"/>
        <w:rPr>
          <w:rFonts w:asciiTheme="minorHAnsi" w:eastAsiaTheme="minorEastAsia" w:hAnsiTheme="minorHAnsi"/>
          <w:lang w:eastAsia="en-AU"/>
        </w:rPr>
      </w:pPr>
      <w:hyperlink w:anchor="_Toc509239444" w:history="1">
        <w:r w:rsidR="00830BE4" w:rsidRPr="00F205AA">
          <w:rPr>
            <w:rStyle w:val="Hyperlink"/>
          </w:rPr>
          <w:t>8.1</w:t>
        </w:r>
        <w:r w:rsidR="00830BE4">
          <w:rPr>
            <w:rFonts w:asciiTheme="minorHAnsi" w:eastAsiaTheme="minorEastAsia" w:hAnsiTheme="minorHAnsi"/>
            <w:lang w:eastAsia="en-AU"/>
          </w:rPr>
          <w:tab/>
        </w:r>
        <w:r w:rsidR="00830BE4" w:rsidRPr="00F205AA">
          <w:rPr>
            <w:rStyle w:val="Hyperlink"/>
          </w:rPr>
          <w:t>Overview of the harmonisation reforms</w:t>
        </w:r>
        <w:r w:rsidR="00830BE4">
          <w:rPr>
            <w:webHidden/>
          </w:rPr>
          <w:tab/>
        </w:r>
        <w:r w:rsidR="00830BE4">
          <w:rPr>
            <w:webHidden/>
          </w:rPr>
          <w:fldChar w:fldCharType="begin"/>
        </w:r>
        <w:r w:rsidR="00830BE4">
          <w:rPr>
            <w:webHidden/>
          </w:rPr>
          <w:instrText xml:space="preserve"> PAGEREF _Toc509239444 \h </w:instrText>
        </w:r>
        <w:r w:rsidR="00830BE4">
          <w:rPr>
            <w:webHidden/>
          </w:rPr>
        </w:r>
        <w:r w:rsidR="00830BE4">
          <w:rPr>
            <w:webHidden/>
          </w:rPr>
          <w:fldChar w:fldCharType="separate"/>
        </w:r>
        <w:r w:rsidR="00830BE4">
          <w:rPr>
            <w:webHidden/>
          </w:rPr>
          <w:t>76</w:t>
        </w:r>
        <w:r w:rsidR="00830BE4">
          <w:rPr>
            <w:webHidden/>
          </w:rPr>
          <w:fldChar w:fldCharType="end"/>
        </w:r>
      </w:hyperlink>
    </w:p>
    <w:p w14:paraId="43A24E75" w14:textId="77777777" w:rsidR="00830BE4" w:rsidRDefault="003B3634">
      <w:pPr>
        <w:pStyle w:val="TOC2"/>
        <w:rPr>
          <w:rFonts w:asciiTheme="minorHAnsi" w:eastAsiaTheme="minorEastAsia" w:hAnsiTheme="minorHAnsi"/>
          <w:lang w:eastAsia="en-AU"/>
        </w:rPr>
      </w:pPr>
      <w:hyperlink w:anchor="_Toc509239445" w:history="1">
        <w:r w:rsidR="00830BE4" w:rsidRPr="00F205AA">
          <w:rPr>
            <w:rStyle w:val="Hyperlink"/>
          </w:rPr>
          <w:t>8.2</w:t>
        </w:r>
        <w:r w:rsidR="00830BE4">
          <w:rPr>
            <w:rFonts w:asciiTheme="minorHAnsi" w:eastAsiaTheme="minorEastAsia" w:hAnsiTheme="minorHAnsi"/>
            <w:lang w:eastAsia="en-AU"/>
          </w:rPr>
          <w:tab/>
        </w:r>
        <w:r w:rsidR="00830BE4" w:rsidRPr="00F205AA">
          <w:rPr>
            <w:rStyle w:val="Hyperlink"/>
          </w:rPr>
          <w:t>Legal and regulatory framework</w:t>
        </w:r>
        <w:r w:rsidR="00830BE4">
          <w:rPr>
            <w:webHidden/>
          </w:rPr>
          <w:tab/>
        </w:r>
        <w:r w:rsidR="00830BE4">
          <w:rPr>
            <w:webHidden/>
          </w:rPr>
          <w:fldChar w:fldCharType="begin"/>
        </w:r>
        <w:r w:rsidR="00830BE4">
          <w:rPr>
            <w:webHidden/>
          </w:rPr>
          <w:instrText xml:space="preserve"> PAGEREF _Toc509239445 \h </w:instrText>
        </w:r>
        <w:r w:rsidR="00830BE4">
          <w:rPr>
            <w:webHidden/>
          </w:rPr>
        </w:r>
        <w:r w:rsidR="00830BE4">
          <w:rPr>
            <w:webHidden/>
          </w:rPr>
          <w:fldChar w:fldCharType="separate"/>
        </w:r>
        <w:r w:rsidR="00830BE4">
          <w:rPr>
            <w:webHidden/>
          </w:rPr>
          <w:t>79</w:t>
        </w:r>
        <w:r w:rsidR="00830BE4">
          <w:rPr>
            <w:webHidden/>
          </w:rPr>
          <w:fldChar w:fldCharType="end"/>
        </w:r>
      </w:hyperlink>
    </w:p>
    <w:p w14:paraId="44A8AB88" w14:textId="77777777" w:rsidR="00830BE4" w:rsidRDefault="003B3634">
      <w:pPr>
        <w:pStyle w:val="TOC1"/>
        <w:rPr>
          <w:rFonts w:asciiTheme="minorHAnsi" w:eastAsiaTheme="minorEastAsia" w:hAnsiTheme="minorHAnsi"/>
          <w:b w:val="0"/>
          <w:lang w:eastAsia="en-AU"/>
        </w:rPr>
      </w:pPr>
      <w:hyperlink w:anchor="_Toc509239446" w:history="1">
        <w:r w:rsidR="00830BE4" w:rsidRPr="00F205AA">
          <w:rPr>
            <w:rStyle w:val="Hyperlink"/>
          </w:rPr>
          <w:t>9.</w:t>
        </w:r>
        <w:r w:rsidR="00830BE4">
          <w:rPr>
            <w:rFonts w:asciiTheme="minorHAnsi" w:eastAsiaTheme="minorEastAsia" w:hAnsiTheme="minorHAnsi"/>
            <w:b w:val="0"/>
            <w:lang w:eastAsia="en-AU"/>
          </w:rPr>
          <w:tab/>
        </w:r>
        <w:r w:rsidR="00830BE4" w:rsidRPr="00F205AA">
          <w:rPr>
            <w:rStyle w:val="Hyperlink"/>
          </w:rPr>
          <w:t>Key timings</w:t>
        </w:r>
        <w:r w:rsidR="00830BE4">
          <w:rPr>
            <w:webHidden/>
          </w:rPr>
          <w:tab/>
        </w:r>
        <w:r w:rsidR="00830BE4">
          <w:rPr>
            <w:webHidden/>
          </w:rPr>
          <w:fldChar w:fldCharType="begin"/>
        </w:r>
        <w:r w:rsidR="00830BE4">
          <w:rPr>
            <w:webHidden/>
          </w:rPr>
          <w:instrText xml:space="preserve"> PAGEREF _Toc509239446 \h </w:instrText>
        </w:r>
        <w:r w:rsidR="00830BE4">
          <w:rPr>
            <w:webHidden/>
          </w:rPr>
        </w:r>
        <w:r w:rsidR="00830BE4">
          <w:rPr>
            <w:webHidden/>
          </w:rPr>
          <w:fldChar w:fldCharType="separate"/>
        </w:r>
        <w:r w:rsidR="00830BE4">
          <w:rPr>
            <w:webHidden/>
          </w:rPr>
          <w:t>81</w:t>
        </w:r>
        <w:r w:rsidR="00830BE4">
          <w:rPr>
            <w:webHidden/>
          </w:rPr>
          <w:fldChar w:fldCharType="end"/>
        </w:r>
      </w:hyperlink>
    </w:p>
    <w:p w14:paraId="15C94FC2" w14:textId="77777777" w:rsidR="009A1D3E" w:rsidRPr="00C55946" w:rsidRDefault="00CC006A" w:rsidP="00C55946">
      <w:pPr>
        <w:sectPr w:rsidR="009A1D3E" w:rsidRPr="00C55946" w:rsidSect="00436621">
          <w:footerReference w:type="default" r:id="rId23"/>
          <w:pgSz w:w="11907" w:h="16840" w:code="9"/>
          <w:pgMar w:top="1361" w:right="1418" w:bottom="992" w:left="1701" w:header="567" w:footer="397" w:gutter="0"/>
          <w:pgNumType w:fmt="lowerRoman" w:start="1"/>
          <w:cols w:space="708"/>
          <w:docGrid w:linePitch="360"/>
        </w:sectPr>
      </w:pPr>
      <w:r>
        <w:rPr>
          <w:rFonts w:eastAsiaTheme="minorEastAsia" w:cstheme="minorBidi"/>
          <w:b/>
          <w:noProof/>
          <w:lang w:eastAsia="en-US"/>
        </w:rPr>
        <w:fldChar w:fldCharType="end"/>
      </w:r>
    </w:p>
    <w:p w14:paraId="670586AA" w14:textId="77777777" w:rsidR="004F7F03" w:rsidRDefault="004F7F03" w:rsidP="00D0772C">
      <w:pPr>
        <w:pStyle w:val="ExecSummHeading1"/>
        <w:spacing w:after="0"/>
      </w:pPr>
      <w:bookmarkStart w:id="46" w:name="_Toc452029500"/>
      <w:bookmarkStart w:id="47" w:name="_Toc509239414"/>
      <w:bookmarkStart w:id="48" w:name="_Toc452029499"/>
      <w:bookmarkStart w:id="49" w:name="_Toc449094489"/>
      <w:r>
        <w:lastRenderedPageBreak/>
        <w:t>Abbreviations</w:t>
      </w:r>
      <w:bookmarkEnd w:id="46"/>
      <w:bookmarkEnd w:id="47"/>
    </w:p>
    <w:tbl>
      <w:tblPr>
        <w:tblStyle w:val="TableGrid"/>
        <w:tblW w:w="0" w:type="auto"/>
        <w:tblLook w:val="06A0" w:firstRow="1" w:lastRow="0" w:firstColumn="1" w:lastColumn="0" w:noHBand="1" w:noVBand="1"/>
        <w:tblCaption w:val="Abbreviations table"/>
        <w:tblDescription w:val="Table of abbreviations used throughout the document"/>
      </w:tblPr>
      <w:tblGrid>
        <w:gridCol w:w="2127"/>
        <w:gridCol w:w="6378"/>
      </w:tblGrid>
      <w:tr w:rsidR="00533C69" w:rsidRPr="004C3FE0" w14:paraId="1C708D79" w14:textId="77777777" w:rsidTr="00D30EB7">
        <w:trPr>
          <w:cnfStyle w:val="100000000000" w:firstRow="1" w:lastRow="0" w:firstColumn="0" w:lastColumn="0" w:oddVBand="0" w:evenVBand="0" w:oddHBand="0" w:evenHBand="0" w:firstRowFirstColumn="0" w:firstRowLastColumn="0" w:lastRowFirstColumn="0" w:lastRowLastColumn="0"/>
          <w:tblHeader/>
        </w:trPr>
        <w:tc>
          <w:tcPr>
            <w:tcW w:w="2127" w:type="dxa"/>
            <w:tcBorders>
              <w:bottom w:val="single" w:sz="4" w:space="0" w:color="auto"/>
            </w:tcBorders>
            <w:shd w:val="clear" w:color="auto" w:fill="0099CC"/>
          </w:tcPr>
          <w:p w14:paraId="5A0C02A5" w14:textId="77777777" w:rsidR="00533C69" w:rsidRPr="004C3FE0" w:rsidRDefault="00533C69" w:rsidP="00D30EB7">
            <w:pPr>
              <w:ind w:left="74" w:right="74"/>
              <w:rPr>
                <w:szCs w:val="18"/>
              </w:rPr>
            </w:pPr>
            <w:r w:rsidRPr="004C3FE0">
              <w:rPr>
                <w:szCs w:val="18"/>
              </w:rPr>
              <w:t>Term</w:t>
            </w:r>
          </w:p>
        </w:tc>
        <w:tc>
          <w:tcPr>
            <w:tcW w:w="6378" w:type="dxa"/>
            <w:tcBorders>
              <w:bottom w:val="single" w:sz="4" w:space="0" w:color="auto"/>
            </w:tcBorders>
            <w:shd w:val="clear" w:color="auto" w:fill="0099CC"/>
          </w:tcPr>
          <w:p w14:paraId="19CE5A72" w14:textId="77777777" w:rsidR="00533C69" w:rsidRPr="004C3FE0" w:rsidRDefault="00533C69" w:rsidP="00D30EB7">
            <w:pPr>
              <w:ind w:left="74" w:right="74"/>
              <w:rPr>
                <w:szCs w:val="18"/>
              </w:rPr>
            </w:pPr>
            <w:r w:rsidRPr="004C3FE0">
              <w:rPr>
                <w:szCs w:val="18"/>
              </w:rPr>
              <w:t>Definition</w:t>
            </w:r>
          </w:p>
        </w:tc>
      </w:tr>
      <w:tr w:rsidR="00533C69" w:rsidRPr="004C3FE0" w14:paraId="703B7456" w14:textId="77777777" w:rsidTr="00533C69">
        <w:tc>
          <w:tcPr>
            <w:tcW w:w="2127" w:type="dxa"/>
          </w:tcPr>
          <w:p w14:paraId="24F02E6E" w14:textId="77777777" w:rsidR="00533C69" w:rsidRPr="004C3FE0" w:rsidRDefault="00533C69" w:rsidP="00D30EB7">
            <w:pPr>
              <w:ind w:left="74" w:right="74"/>
              <w:rPr>
                <w:szCs w:val="18"/>
              </w:rPr>
            </w:pPr>
            <w:r w:rsidRPr="004C3FE0">
              <w:rPr>
                <w:szCs w:val="18"/>
              </w:rPr>
              <w:t>AEMC</w:t>
            </w:r>
          </w:p>
        </w:tc>
        <w:tc>
          <w:tcPr>
            <w:tcW w:w="6378" w:type="dxa"/>
          </w:tcPr>
          <w:p w14:paraId="2D31F2C6" w14:textId="77777777" w:rsidR="00533C69" w:rsidRPr="004C3FE0" w:rsidRDefault="00533C69" w:rsidP="00D30EB7">
            <w:pPr>
              <w:ind w:left="74" w:right="74"/>
              <w:rPr>
                <w:szCs w:val="18"/>
              </w:rPr>
            </w:pPr>
            <w:r w:rsidRPr="004C3FE0">
              <w:rPr>
                <w:szCs w:val="18"/>
              </w:rPr>
              <w:t>Australian Energy Market Commission</w:t>
            </w:r>
          </w:p>
        </w:tc>
      </w:tr>
      <w:tr w:rsidR="00533C69" w:rsidRPr="004C3FE0" w14:paraId="1B394EB1" w14:textId="77777777" w:rsidTr="00533C69">
        <w:tc>
          <w:tcPr>
            <w:tcW w:w="2127" w:type="dxa"/>
          </w:tcPr>
          <w:p w14:paraId="33EB025A" w14:textId="77777777" w:rsidR="00533C69" w:rsidRPr="004C3FE0" w:rsidRDefault="00533C69" w:rsidP="00D30EB7">
            <w:pPr>
              <w:ind w:left="74" w:right="74"/>
              <w:rPr>
                <w:szCs w:val="18"/>
              </w:rPr>
            </w:pPr>
            <w:r w:rsidRPr="004C3FE0">
              <w:rPr>
                <w:szCs w:val="18"/>
              </w:rPr>
              <w:t>AEMO</w:t>
            </w:r>
          </w:p>
        </w:tc>
        <w:tc>
          <w:tcPr>
            <w:tcW w:w="6378" w:type="dxa"/>
          </w:tcPr>
          <w:p w14:paraId="59C5FAF4" w14:textId="77777777" w:rsidR="00533C69" w:rsidRPr="004C3FE0" w:rsidRDefault="00533C69" w:rsidP="00D30EB7">
            <w:pPr>
              <w:ind w:left="74" w:right="74"/>
              <w:rPr>
                <w:szCs w:val="18"/>
              </w:rPr>
            </w:pPr>
            <w:r w:rsidRPr="004C3FE0">
              <w:rPr>
                <w:szCs w:val="18"/>
              </w:rPr>
              <w:t>Australian Energy Market Operator</w:t>
            </w:r>
          </w:p>
        </w:tc>
      </w:tr>
      <w:tr w:rsidR="00533C69" w:rsidRPr="004C3FE0" w14:paraId="545CA346" w14:textId="77777777" w:rsidTr="00533C69">
        <w:tc>
          <w:tcPr>
            <w:tcW w:w="2127" w:type="dxa"/>
          </w:tcPr>
          <w:p w14:paraId="008C8CEF" w14:textId="77777777" w:rsidR="00533C69" w:rsidRPr="004C3FE0" w:rsidRDefault="00533C69" w:rsidP="00D30EB7">
            <w:pPr>
              <w:ind w:left="74" w:right="74"/>
              <w:rPr>
                <w:szCs w:val="18"/>
              </w:rPr>
            </w:pPr>
            <w:r w:rsidRPr="004C3FE0">
              <w:rPr>
                <w:szCs w:val="18"/>
              </w:rPr>
              <w:t>AER</w:t>
            </w:r>
          </w:p>
        </w:tc>
        <w:tc>
          <w:tcPr>
            <w:tcW w:w="6378" w:type="dxa"/>
          </w:tcPr>
          <w:p w14:paraId="2B075BE1" w14:textId="77777777" w:rsidR="00533C69" w:rsidRPr="004C3FE0" w:rsidRDefault="00533C69" w:rsidP="00D30EB7">
            <w:pPr>
              <w:ind w:left="74" w:right="74"/>
              <w:rPr>
                <w:szCs w:val="18"/>
              </w:rPr>
            </w:pPr>
            <w:r w:rsidRPr="004C3FE0">
              <w:rPr>
                <w:szCs w:val="18"/>
              </w:rPr>
              <w:t>Australian Energy Regulator</w:t>
            </w:r>
          </w:p>
        </w:tc>
      </w:tr>
      <w:tr w:rsidR="00533C69" w:rsidRPr="004C3FE0" w14:paraId="395E5413" w14:textId="77777777" w:rsidTr="00533C69">
        <w:tc>
          <w:tcPr>
            <w:tcW w:w="2127" w:type="dxa"/>
          </w:tcPr>
          <w:p w14:paraId="00F0A64A" w14:textId="77777777" w:rsidR="00533C69" w:rsidRPr="004C3FE0" w:rsidRDefault="00533C69" w:rsidP="00D30EB7">
            <w:pPr>
              <w:ind w:left="74" w:right="74"/>
              <w:rPr>
                <w:szCs w:val="18"/>
              </w:rPr>
            </w:pPr>
            <w:r w:rsidRPr="004C3FE0">
              <w:rPr>
                <w:szCs w:val="18"/>
              </w:rPr>
              <w:t>AEST</w:t>
            </w:r>
          </w:p>
        </w:tc>
        <w:tc>
          <w:tcPr>
            <w:tcW w:w="6378" w:type="dxa"/>
          </w:tcPr>
          <w:p w14:paraId="2B280541" w14:textId="77777777" w:rsidR="00533C69" w:rsidRPr="004C3FE0" w:rsidRDefault="00533C69" w:rsidP="00D30EB7">
            <w:pPr>
              <w:ind w:left="74" w:right="74"/>
              <w:rPr>
                <w:szCs w:val="18"/>
              </w:rPr>
            </w:pPr>
            <w:r w:rsidRPr="004C3FE0">
              <w:rPr>
                <w:szCs w:val="18"/>
              </w:rPr>
              <w:t>Australian Eastern Standard Time</w:t>
            </w:r>
          </w:p>
        </w:tc>
      </w:tr>
      <w:tr w:rsidR="00D742A3" w:rsidRPr="004C3FE0" w14:paraId="5C5DBCFE" w14:textId="77777777" w:rsidTr="00533C69">
        <w:tc>
          <w:tcPr>
            <w:tcW w:w="2127" w:type="dxa"/>
          </w:tcPr>
          <w:p w14:paraId="72CC2A7D" w14:textId="77777777" w:rsidR="00D742A3" w:rsidRPr="004C3FE0" w:rsidRDefault="00D742A3" w:rsidP="00D30EB7">
            <w:pPr>
              <w:ind w:left="74" w:right="74"/>
              <w:rPr>
                <w:szCs w:val="18"/>
              </w:rPr>
            </w:pPr>
            <w:r>
              <w:rPr>
                <w:szCs w:val="18"/>
              </w:rPr>
              <w:t>APGA</w:t>
            </w:r>
          </w:p>
        </w:tc>
        <w:tc>
          <w:tcPr>
            <w:tcW w:w="6378" w:type="dxa"/>
          </w:tcPr>
          <w:p w14:paraId="1D86EDCE" w14:textId="77777777" w:rsidR="00D742A3" w:rsidRPr="004C3FE0" w:rsidRDefault="00D742A3" w:rsidP="00D30EB7">
            <w:pPr>
              <w:ind w:left="74" w:right="74"/>
              <w:rPr>
                <w:szCs w:val="18"/>
              </w:rPr>
            </w:pPr>
            <w:r w:rsidRPr="009D1221">
              <w:rPr>
                <w:lang w:val="en-US"/>
              </w:rPr>
              <w:t>A</w:t>
            </w:r>
            <w:r>
              <w:rPr>
                <w:lang w:val="en-US"/>
              </w:rPr>
              <w:t xml:space="preserve">ustralian </w:t>
            </w:r>
            <w:r w:rsidRPr="009D1221">
              <w:rPr>
                <w:lang w:val="en-US"/>
              </w:rPr>
              <w:t>P</w:t>
            </w:r>
            <w:r>
              <w:rPr>
                <w:lang w:val="en-US"/>
              </w:rPr>
              <w:t xml:space="preserve">ipelines and </w:t>
            </w:r>
            <w:r w:rsidRPr="009D1221">
              <w:rPr>
                <w:lang w:val="en-US"/>
              </w:rPr>
              <w:t>G</w:t>
            </w:r>
            <w:r>
              <w:rPr>
                <w:lang w:val="en-US"/>
              </w:rPr>
              <w:t xml:space="preserve">as </w:t>
            </w:r>
            <w:r w:rsidRPr="009D1221">
              <w:rPr>
                <w:lang w:val="en-US"/>
              </w:rPr>
              <w:t>A</w:t>
            </w:r>
            <w:r>
              <w:rPr>
                <w:lang w:val="en-US"/>
              </w:rPr>
              <w:t>ssociation</w:t>
            </w:r>
          </w:p>
        </w:tc>
      </w:tr>
      <w:tr w:rsidR="00D30EB7" w:rsidRPr="00E37A1E" w14:paraId="4F220404" w14:textId="77777777" w:rsidTr="00686058">
        <w:tc>
          <w:tcPr>
            <w:tcW w:w="2127" w:type="dxa"/>
          </w:tcPr>
          <w:p w14:paraId="13284F37" w14:textId="77777777" w:rsidR="00D30EB7" w:rsidRPr="00E37A1E" w:rsidRDefault="00D30EB7" w:rsidP="00D30EB7">
            <w:pPr>
              <w:ind w:left="74" w:right="74"/>
              <w:rPr>
                <w:rFonts w:cs="Arial"/>
                <w:szCs w:val="18"/>
              </w:rPr>
            </w:pPr>
            <w:r w:rsidRPr="00E37A1E">
              <w:rPr>
                <w:rFonts w:cs="Arial"/>
                <w:szCs w:val="18"/>
              </w:rPr>
              <w:t>BB</w:t>
            </w:r>
          </w:p>
        </w:tc>
        <w:tc>
          <w:tcPr>
            <w:tcW w:w="6378" w:type="dxa"/>
          </w:tcPr>
          <w:p w14:paraId="0C73BCE3" w14:textId="77777777" w:rsidR="00D30EB7" w:rsidRPr="00E37A1E" w:rsidRDefault="00D30EB7" w:rsidP="00D30EB7">
            <w:pPr>
              <w:ind w:left="74" w:right="74"/>
              <w:rPr>
                <w:rFonts w:cs="Arial"/>
                <w:szCs w:val="18"/>
              </w:rPr>
            </w:pPr>
            <w:r w:rsidRPr="00E37A1E">
              <w:rPr>
                <w:rFonts w:cs="Arial"/>
                <w:szCs w:val="18"/>
              </w:rPr>
              <w:t>Natural Gas Services Bulletin Board</w:t>
            </w:r>
          </w:p>
        </w:tc>
      </w:tr>
      <w:tr w:rsidR="00533C69" w:rsidRPr="004C3FE0" w14:paraId="03DAE784" w14:textId="77777777" w:rsidTr="00533C69">
        <w:tc>
          <w:tcPr>
            <w:tcW w:w="2127" w:type="dxa"/>
          </w:tcPr>
          <w:p w14:paraId="6700E617" w14:textId="77777777" w:rsidR="00533C69" w:rsidRPr="004C3FE0" w:rsidRDefault="00533C69" w:rsidP="00D30EB7">
            <w:pPr>
              <w:ind w:left="74" w:right="74"/>
              <w:rPr>
                <w:szCs w:val="18"/>
              </w:rPr>
            </w:pPr>
            <w:r w:rsidRPr="004C3FE0">
              <w:rPr>
                <w:szCs w:val="18"/>
              </w:rPr>
              <w:t>COAG</w:t>
            </w:r>
          </w:p>
        </w:tc>
        <w:tc>
          <w:tcPr>
            <w:tcW w:w="6378" w:type="dxa"/>
          </w:tcPr>
          <w:p w14:paraId="2887FBFD" w14:textId="77777777" w:rsidR="00533C69" w:rsidRPr="004C3FE0" w:rsidRDefault="00533C69" w:rsidP="00D30EB7">
            <w:pPr>
              <w:ind w:left="74" w:right="74"/>
              <w:rPr>
                <w:szCs w:val="18"/>
              </w:rPr>
            </w:pPr>
            <w:r w:rsidRPr="004C3FE0">
              <w:rPr>
                <w:szCs w:val="18"/>
              </w:rPr>
              <w:t>Council of Australian Governments</w:t>
            </w:r>
          </w:p>
        </w:tc>
      </w:tr>
      <w:tr w:rsidR="00533C69" w:rsidRPr="004C3FE0" w14:paraId="1CA2FB03" w14:textId="77777777" w:rsidTr="00533C69">
        <w:tc>
          <w:tcPr>
            <w:tcW w:w="2127" w:type="dxa"/>
          </w:tcPr>
          <w:p w14:paraId="7FF054D1" w14:textId="77777777" w:rsidR="00533C69" w:rsidRPr="004C3FE0" w:rsidRDefault="00533C69" w:rsidP="00D30EB7">
            <w:pPr>
              <w:ind w:left="74" w:right="74"/>
              <w:rPr>
                <w:szCs w:val="18"/>
              </w:rPr>
            </w:pPr>
            <w:r>
              <w:rPr>
                <w:szCs w:val="18"/>
              </w:rPr>
              <w:t>DTS</w:t>
            </w:r>
          </w:p>
        </w:tc>
        <w:tc>
          <w:tcPr>
            <w:tcW w:w="6378" w:type="dxa"/>
          </w:tcPr>
          <w:p w14:paraId="41F2DA06" w14:textId="77777777" w:rsidR="00533C69" w:rsidRPr="004C3FE0" w:rsidRDefault="00533C69" w:rsidP="00D30EB7">
            <w:pPr>
              <w:ind w:left="74" w:right="74"/>
              <w:rPr>
                <w:szCs w:val="18"/>
              </w:rPr>
            </w:pPr>
            <w:r>
              <w:rPr>
                <w:szCs w:val="18"/>
              </w:rPr>
              <w:t xml:space="preserve">Declared Transmission System </w:t>
            </w:r>
          </w:p>
        </w:tc>
      </w:tr>
      <w:tr w:rsidR="00533C69" w:rsidRPr="004C3FE0" w14:paraId="74547607" w14:textId="77777777" w:rsidTr="00533C69">
        <w:tc>
          <w:tcPr>
            <w:tcW w:w="2127" w:type="dxa"/>
          </w:tcPr>
          <w:p w14:paraId="33846BF8" w14:textId="77777777" w:rsidR="00533C69" w:rsidRPr="004C3FE0" w:rsidRDefault="00533C69" w:rsidP="00D30EB7">
            <w:pPr>
              <w:ind w:left="74" w:right="74"/>
              <w:rPr>
                <w:szCs w:val="18"/>
              </w:rPr>
            </w:pPr>
            <w:r w:rsidRPr="004C3FE0">
              <w:rPr>
                <w:szCs w:val="18"/>
              </w:rPr>
              <w:t>DWGM</w:t>
            </w:r>
          </w:p>
        </w:tc>
        <w:tc>
          <w:tcPr>
            <w:tcW w:w="6378" w:type="dxa"/>
          </w:tcPr>
          <w:p w14:paraId="7A2EE6AD" w14:textId="77777777" w:rsidR="00533C69" w:rsidRPr="004C3FE0" w:rsidRDefault="00533C69" w:rsidP="00D30EB7">
            <w:pPr>
              <w:ind w:left="74" w:right="74"/>
              <w:rPr>
                <w:szCs w:val="18"/>
              </w:rPr>
            </w:pPr>
            <w:r w:rsidRPr="004C3FE0">
              <w:rPr>
                <w:szCs w:val="18"/>
              </w:rPr>
              <w:t>Declared Wholesale Gas Market</w:t>
            </w:r>
          </w:p>
        </w:tc>
      </w:tr>
      <w:tr w:rsidR="00533C69" w:rsidRPr="004C3FE0" w14:paraId="46B6AD24" w14:textId="77777777" w:rsidTr="00533C69">
        <w:tc>
          <w:tcPr>
            <w:tcW w:w="2127" w:type="dxa"/>
          </w:tcPr>
          <w:p w14:paraId="6740DC0F" w14:textId="77777777" w:rsidR="00533C69" w:rsidRPr="004C3FE0" w:rsidRDefault="00533C69" w:rsidP="00D30EB7">
            <w:pPr>
              <w:ind w:left="74" w:right="74"/>
              <w:rPr>
                <w:szCs w:val="18"/>
              </w:rPr>
            </w:pPr>
            <w:r w:rsidRPr="004C3FE0">
              <w:rPr>
                <w:i/>
                <w:szCs w:val="18"/>
              </w:rPr>
              <w:t>East Coast Review</w:t>
            </w:r>
          </w:p>
        </w:tc>
        <w:tc>
          <w:tcPr>
            <w:tcW w:w="6378" w:type="dxa"/>
          </w:tcPr>
          <w:p w14:paraId="3E470C7B" w14:textId="77777777" w:rsidR="00533C69" w:rsidRPr="004C3FE0" w:rsidRDefault="00533C69" w:rsidP="00D30EB7">
            <w:pPr>
              <w:ind w:left="74" w:right="74"/>
              <w:rPr>
                <w:szCs w:val="18"/>
              </w:rPr>
            </w:pPr>
            <w:r w:rsidRPr="004C3FE0">
              <w:rPr>
                <w:szCs w:val="18"/>
              </w:rPr>
              <w:t xml:space="preserve">AEMC’s </w:t>
            </w:r>
            <w:r w:rsidRPr="004C3FE0">
              <w:rPr>
                <w:rFonts w:cs="Arial"/>
                <w:i/>
                <w:iCs/>
                <w:szCs w:val="18"/>
              </w:rPr>
              <w:t xml:space="preserve">Eastern Australian Wholesale Gas Market and Pipelines Framework Review </w:t>
            </w:r>
            <w:r w:rsidRPr="004C3FE0">
              <w:rPr>
                <w:rFonts w:cs="Arial"/>
                <w:iCs/>
                <w:szCs w:val="18"/>
              </w:rPr>
              <w:t>(May 2016)</w:t>
            </w:r>
          </w:p>
        </w:tc>
      </w:tr>
      <w:tr w:rsidR="00533C69" w:rsidRPr="004C3FE0" w14:paraId="46012989" w14:textId="77777777" w:rsidTr="00533C69">
        <w:tc>
          <w:tcPr>
            <w:tcW w:w="2127" w:type="dxa"/>
          </w:tcPr>
          <w:p w14:paraId="691D0B7A" w14:textId="77777777" w:rsidR="00533C69" w:rsidRPr="004C3FE0" w:rsidRDefault="00533C69" w:rsidP="00D30EB7">
            <w:pPr>
              <w:ind w:left="74" w:right="74"/>
              <w:rPr>
                <w:szCs w:val="18"/>
              </w:rPr>
            </w:pPr>
            <w:r>
              <w:rPr>
                <w:szCs w:val="18"/>
              </w:rPr>
              <w:t xml:space="preserve">Energy </w:t>
            </w:r>
            <w:r w:rsidRPr="004C3FE0">
              <w:rPr>
                <w:szCs w:val="18"/>
              </w:rPr>
              <w:t>Council</w:t>
            </w:r>
          </w:p>
        </w:tc>
        <w:tc>
          <w:tcPr>
            <w:tcW w:w="6378" w:type="dxa"/>
          </w:tcPr>
          <w:p w14:paraId="1A4E3983" w14:textId="77777777" w:rsidR="00533C69" w:rsidRPr="004C3FE0" w:rsidRDefault="00533C69" w:rsidP="00D30EB7">
            <w:pPr>
              <w:ind w:left="74" w:right="74"/>
              <w:rPr>
                <w:szCs w:val="18"/>
              </w:rPr>
            </w:pPr>
            <w:r w:rsidRPr="004C3FE0">
              <w:rPr>
                <w:szCs w:val="18"/>
              </w:rPr>
              <w:t>COAG Energy Council</w:t>
            </w:r>
          </w:p>
        </w:tc>
      </w:tr>
      <w:tr w:rsidR="00533C69" w:rsidRPr="004C3FE0" w14:paraId="05464B19" w14:textId="77777777" w:rsidTr="00533C69">
        <w:tc>
          <w:tcPr>
            <w:tcW w:w="2127" w:type="dxa"/>
          </w:tcPr>
          <w:p w14:paraId="35A34988" w14:textId="77777777" w:rsidR="00533C69" w:rsidRPr="004C3FE0" w:rsidRDefault="00533C69" w:rsidP="00D30EB7">
            <w:pPr>
              <w:ind w:left="74" w:right="74"/>
              <w:rPr>
                <w:szCs w:val="18"/>
              </w:rPr>
            </w:pPr>
            <w:r w:rsidRPr="004C3FE0">
              <w:rPr>
                <w:szCs w:val="18"/>
              </w:rPr>
              <w:t>GMRG</w:t>
            </w:r>
          </w:p>
        </w:tc>
        <w:tc>
          <w:tcPr>
            <w:tcW w:w="6378" w:type="dxa"/>
          </w:tcPr>
          <w:p w14:paraId="5448BB4D" w14:textId="77777777" w:rsidR="00533C69" w:rsidRPr="004C3FE0" w:rsidRDefault="00533C69" w:rsidP="00D30EB7">
            <w:pPr>
              <w:ind w:left="74" w:right="74"/>
              <w:rPr>
                <w:szCs w:val="18"/>
              </w:rPr>
            </w:pPr>
            <w:r w:rsidRPr="004C3FE0">
              <w:rPr>
                <w:szCs w:val="18"/>
              </w:rPr>
              <w:t>Gas Market Reform Group</w:t>
            </w:r>
          </w:p>
        </w:tc>
      </w:tr>
      <w:tr w:rsidR="00533C69" w:rsidRPr="004C3FE0" w14:paraId="0EFB14EE" w14:textId="77777777" w:rsidTr="00533C69">
        <w:tc>
          <w:tcPr>
            <w:tcW w:w="2127" w:type="dxa"/>
          </w:tcPr>
          <w:p w14:paraId="74BBB48D" w14:textId="77777777" w:rsidR="00533C69" w:rsidRPr="004C3FE0" w:rsidRDefault="00533C69" w:rsidP="00D30EB7">
            <w:pPr>
              <w:ind w:left="74" w:right="74"/>
              <w:rPr>
                <w:szCs w:val="18"/>
              </w:rPr>
            </w:pPr>
            <w:r w:rsidRPr="004C3FE0">
              <w:rPr>
                <w:szCs w:val="18"/>
              </w:rPr>
              <w:t>GSH</w:t>
            </w:r>
          </w:p>
        </w:tc>
        <w:tc>
          <w:tcPr>
            <w:tcW w:w="6378" w:type="dxa"/>
          </w:tcPr>
          <w:p w14:paraId="600A8772" w14:textId="77777777" w:rsidR="00533C69" w:rsidRPr="004C3FE0" w:rsidRDefault="00533C69" w:rsidP="00D30EB7">
            <w:pPr>
              <w:ind w:left="74" w:right="74"/>
              <w:rPr>
                <w:szCs w:val="18"/>
              </w:rPr>
            </w:pPr>
            <w:r w:rsidRPr="004C3FE0">
              <w:rPr>
                <w:szCs w:val="18"/>
              </w:rPr>
              <w:t>Gas Supply Hub</w:t>
            </w:r>
          </w:p>
        </w:tc>
      </w:tr>
      <w:tr w:rsidR="00533C69" w:rsidRPr="004C3FE0" w14:paraId="1A496F0F" w14:textId="77777777" w:rsidTr="00533C69">
        <w:tc>
          <w:tcPr>
            <w:tcW w:w="2127" w:type="dxa"/>
          </w:tcPr>
          <w:p w14:paraId="515EB33F" w14:textId="77777777" w:rsidR="00533C69" w:rsidRPr="004C3FE0" w:rsidRDefault="00533C69" w:rsidP="00D30EB7">
            <w:pPr>
              <w:ind w:left="74" w:right="74"/>
              <w:rPr>
                <w:szCs w:val="18"/>
              </w:rPr>
            </w:pPr>
            <w:r w:rsidRPr="004C3FE0">
              <w:rPr>
                <w:szCs w:val="18"/>
              </w:rPr>
              <w:t>GTA</w:t>
            </w:r>
          </w:p>
        </w:tc>
        <w:tc>
          <w:tcPr>
            <w:tcW w:w="6378" w:type="dxa"/>
          </w:tcPr>
          <w:p w14:paraId="390F47FC" w14:textId="77777777" w:rsidR="00533C69" w:rsidRPr="004C3FE0" w:rsidRDefault="00533C69" w:rsidP="00D30EB7">
            <w:pPr>
              <w:ind w:left="74" w:right="74"/>
              <w:rPr>
                <w:szCs w:val="18"/>
              </w:rPr>
            </w:pPr>
            <w:r w:rsidRPr="004C3FE0">
              <w:rPr>
                <w:szCs w:val="18"/>
              </w:rPr>
              <w:t>Gas Transportation Agreement</w:t>
            </w:r>
          </w:p>
        </w:tc>
      </w:tr>
      <w:tr w:rsidR="00533C69" w:rsidRPr="004C3FE0" w14:paraId="064A7F95" w14:textId="77777777" w:rsidTr="00533C69">
        <w:tc>
          <w:tcPr>
            <w:tcW w:w="2127" w:type="dxa"/>
          </w:tcPr>
          <w:p w14:paraId="0E364421" w14:textId="77777777" w:rsidR="00533C69" w:rsidRPr="004C3FE0" w:rsidRDefault="00533C69" w:rsidP="00D30EB7">
            <w:pPr>
              <w:ind w:left="74" w:right="74"/>
              <w:rPr>
                <w:szCs w:val="18"/>
              </w:rPr>
            </w:pPr>
            <w:r>
              <w:rPr>
                <w:szCs w:val="18"/>
              </w:rPr>
              <w:t>MDQ</w:t>
            </w:r>
          </w:p>
        </w:tc>
        <w:tc>
          <w:tcPr>
            <w:tcW w:w="6378" w:type="dxa"/>
          </w:tcPr>
          <w:p w14:paraId="52E069DF" w14:textId="77777777" w:rsidR="00533C69" w:rsidRPr="004C3FE0" w:rsidRDefault="00533C69" w:rsidP="00D30EB7">
            <w:pPr>
              <w:ind w:left="74" w:right="74"/>
              <w:rPr>
                <w:szCs w:val="18"/>
              </w:rPr>
            </w:pPr>
            <w:r>
              <w:rPr>
                <w:szCs w:val="18"/>
              </w:rPr>
              <w:t>Maximum Daily Quantity</w:t>
            </w:r>
          </w:p>
        </w:tc>
      </w:tr>
      <w:tr w:rsidR="00533C69" w:rsidRPr="004C3FE0" w14:paraId="4B7477BC" w14:textId="77777777" w:rsidTr="00533C69">
        <w:tc>
          <w:tcPr>
            <w:tcW w:w="2127" w:type="dxa"/>
          </w:tcPr>
          <w:p w14:paraId="730D3C5C" w14:textId="77777777" w:rsidR="00533C69" w:rsidRDefault="00533C69" w:rsidP="00D30EB7">
            <w:pPr>
              <w:ind w:left="74" w:right="74"/>
              <w:rPr>
                <w:szCs w:val="18"/>
              </w:rPr>
            </w:pPr>
            <w:r>
              <w:rPr>
                <w:szCs w:val="18"/>
              </w:rPr>
              <w:t>MHQ</w:t>
            </w:r>
          </w:p>
        </w:tc>
        <w:tc>
          <w:tcPr>
            <w:tcW w:w="6378" w:type="dxa"/>
          </w:tcPr>
          <w:p w14:paraId="5DD18F54" w14:textId="77777777" w:rsidR="00533C69" w:rsidRDefault="00533C69" w:rsidP="00D30EB7">
            <w:pPr>
              <w:ind w:left="74" w:right="74"/>
              <w:rPr>
                <w:szCs w:val="18"/>
              </w:rPr>
            </w:pPr>
            <w:r>
              <w:rPr>
                <w:szCs w:val="18"/>
              </w:rPr>
              <w:t xml:space="preserve">Maximum Hourly Quantity </w:t>
            </w:r>
          </w:p>
        </w:tc>
      </w:tr>
      <w:tr w:rsidR="00533C69" w:rsidRPr="004C3FE0" w14:paraId="66287B87" w14:textId="77777777" w:rsidTr="00533C69">
        <w:tc>
          <w:tcPr>
            <w:tcW w:w="2127" w:type="dxa"/>
          </w:tcPr>
          <w:p w14:paraId="4E22488E" w14:textId="77777777" w:rsidR="00533C69" w:rsidRPr="004C3FE0" w:rsidRDefault="00533C69" w:rsidP="00D30EB7">
            <w:pPr>
              <w:ind w:left="74" w:right="74"/>
              <w:rPr>
                <w:szCs w:val="18"/>
              </w:rPr>
            </w:pPr>
            <w:r w:rsidRPr="004C3FE0">
              <w:rPr>
                <w:szCs w:val="18"/>
              </w:rPr>
              <w:t>NGL</w:t>
            </w:r>
          </w:p>
        </w:tc>
        <w:tc>
          <w:tcPr>
            <w:tcW w:w="6378" w:type="dxa"/>
          </w:tcPr>
          <w:p w14:paraId="14464096" w14:textId="77777777" w:rsidR="00533C69" w:rsidRPr="004C3FE0" w:rsidRDefault="00533C69" w:rsidP="00D30EB7">
            <w:pPr>
              <w:ind w:left="74" w:right="74"/>
              <w:rPr>
                <w:szCs w:val="18"/>
              </w:rPr>
            </w:pPr>
            <w:r w:rsidRPr="004C3FE0">
              <w:rPr>
                <w:szCs w:val="18"/>
              </w:rPr>
              <w:t>National Gas Law</w:t>
            </w:r>
          </w:p>
        </w:tc>
      </w:tr>
      <w:tr w:rsidR="00533C69" w:rsidRPr="004C3FE0" w14:paraId="033DD626" w14:textId="77777777" w:rsidTr="00533C69">
        <w:tc>
          <w:tcPr>
            <w:tcW w:w="2127" w:type="dxa"/>
          </w:tcPr>
          <w:p w14:paraId="3A17DD5C" w14:textId="77777777" w:rsidR="00533C69" w:rsidRPr="004C3FE0" w:rsidRDefault="00533C69" w:rsidP="00D30EB7">
            <w:pPr>
              <w:ind w:left="74" w:right="74"/>
              <w:rPr>
                <w:szCs w:val="18"/>
              </w:rPr>
            </w:pPr>
            <w:r w:rsidRPr="004C3FE0">
              <w:rPr>
                <w:szCs w:val="18"/>
              </w:rPr>
              <w:t>NGO</w:t>
            </w:r>
          </w:p>
        </w:tc>
        <w:tc>
          <w:tcPr>
            <w:tcW w:w="6378" w:type="dxa"/>
          </w:tcPr>
          <w:p w14:paraId="4093DACE" w14:textId="77777777" w:rsidR="00533C69" w:rsidRPr="004C3FE0" w:rsidRDefault="00533C69" w:rsidP="00D30EB7">
            <w:pPr>
              <w:ind w:left="74" w:right="74"/>
              <w:rPr>
                <w:szCs w:val="18"/>
              </w:rPr>
            </w:pPr>
            <w:r w:rsidRPr="004C3FE0">
              <w:rPr>
                <w:szCs w:val="18"/>
              </w:rPr>
              <w:t>National Gas Objective</w:t>
            </w:r>
          </w:p>
        </w:tc>
      </w:tr>
      <w:tr w:rsidR="00533C69" w:rsidRPr="004C3FE0" w14:paraId="46A3386D" w14:textId="77777777" w:rsidTr="00533C69">
        <w:tc>
          <w:tcPr>
            <w:tcW w:w="2127" w:type="dxa"/>
          </w:tcPr>
          <w:p w14:paraId="764D23F4" w14:textId="77777777" w:rsidR="00533C69" w:rsidRPr="004C3FE0" w:rsidRDefault="00533C69" w:rsidP="00D30EB7">
            <w:pPr>
              <w:ind w:left="74" w:right="74"/>
              <w:rPr>
                <w:szCs w:val="18"/>
              </w:rPr>
            </w:pPr>
            <w:r w:rsidRPr="004C3FE0">
              <w:rPr>
                <w:szCs w:val="18"/>
              </w:rPr>
              <w:t>NGR</w:t>
            </w:r>
            <w:r w:rsidR="00103CAD">
              <w:rPr>
                <w:szCs w:val="18"/>
              </w:rPr>
              <w:t xml:space="preserve"> or Rules</w:t>
            </w:r>
          </w:p>
        </w:tc>
        <w:tc>
          <w:tcPr>
            <w:tcW w:w="6378" w:type="dxa"/>
          </w:tcPr>
          <w:p w14:paraId="086931AC" w14:textId="77777777" w:rsidR="00533C69" w:rsidRPr="004C3FE0" w:rsidRDefault="00533C69" w:rsidP="00D30EB7">
            <w:pPr>
              <w:ind w:left="74" w:right="74"/>
              <w:rPr>
                <w:szCs w:val="18"/>
              </w:rPr>
            </w:pPr>
            <w:r w:rsidRPr="004C3FE0">
              <w:rPr>
                <w:szCs w:val="18"/>
              </w:rPr>
              <w:t>National Gas Rules</w:t>
            </w:r>
          </w:p>
        </w:tc>
      </w:tr>
      <w:tr w:rsidR="00533C69" w:rsidRPr="004C3FE0" w14:paraId="4BBB0725" w14:textId="77777777" w:rsidTr="00533C69">
        <w:tc>
          <w:tcPr>
            <w:tcW w:w="2127" w:type="dxa"/>
          </w:tcPr>
          <w:p w14:paraId="7EB87620" w14:textId="77777777" w:rsidR="00533C69" w:rsidRPr="004C3FE0" w:rsidRDefault="00533C69" w:rsidP="00D30EB7">
            <w:pPr>
              <w:ind w:left="74" w:right="74"/>
              <w:rPr>
                <w:szCs w:val="18"/>
              </w:rPr>
            </w:pPr>
            <w:r w:rsidRPr="004C3FE0">
              <w:rPr>
                <w:szCs w:val="18"/>
              </w:rPr>
              <w:t>STTM</w:t>
            </w:r>
          </w:p>
        </w:tc>
        <w:tc>
          <w:tcPr>
            <w:tcW w:w="6378" w:type="dxa"/>
          </w:tcPr>
          <w:p w14:paraId="0598A33D" w14:textId="77777777" w:rsidR="00533C69" w:rsidRPr="004C3FE0" w:rsidRDefault="00533C69" w:rsidP="00D30EB7">
            <w:pPr>
              <w:ind w:left="74" w:right="74"/>
              <w:rPr>
                <w:szCs w:val="18"/>
              </w:rPr>
            </w:pPr>
            <w:r w:rsidRPr="004C3FE0">
              <w:rPr>
                <w:szCs w:val="18"/>
              </w:rPr>
              <w:t>Short Term Trading Market</w:t>
            </w:r>
          </w:p>
        </w:tc>
      </w:tr>
    </w:tbl>
    <w:p w14:paraId="610DE1D1" w14:textId="77777777" w:rsidR="00533C69" w:rsidRDefault="00533C69" w:rsidP="004F7F03"/>
    <w:p w14:paraId="6C9D04C9" w14:textId="77777777" w:rsidR="00B0004D" w:rsidRDefault="00B0004D" w:rsidP="004F7F03"/>
    <w:p w14:paraId="5ECD8881" w14:textId="77777777" w:rsidR="00B0004D" w:rsidRDefault="00B0004D" w:rsidP="004F7F03">
      <w:r>
        <w:br w:type="page"/>
      </w:r>
    </w:p>
    <w:p w14:paraId="0DFAB5E0" w14:textId="77777777" w:rsidR="00B0004D" w:rsidRDefault="00B0004D" w:rsidP="00535224">
      <w:pPr>
        <w:pStyle w:val="ExecSummHeading1"/>
        <w:spacing w:after="0"/>
        <w:ind w:left="0" w:firstLine="0"/>
      </w:pPr>
      <w:bookmarkStart w:id="50" w:name="_Toc509239415"/>
      <w:r>
        <w:lastRenderedPageBreak/>
        <w:t xml:space="preserve">Key terms </w:t>
      </w:r>
      <w:r w:rsidR="000E11EB">
        <w:t>used in legal and regulatory framework</w:t>
      </w:r>
      <w:bookmarkEnd w:id="50"/>
    </w:p>
    <w:tbl>
      <w:tblPr>
        <w:tblStyle w:val="TableGrid"/>
        <w:tblW w:w="5081" w:type="pct"/>
        <w:tblLook w:val="06A0" w:firstRow="1" w:lastRow="0" w:firstColumn="1" w:lastColumn="0" w:noHBand="1" w:noVBand="1"/>
        <w:tblCaption w:val="Key terms"/>
        <w:tblDescription w:val="Key terms used in legal and regulatory framework"/>
      </w:tblPr>
      <w:tblGrid>
        <w:gridCol w:w="1843"/>
        <w:gridCol w:w="7087"/>
      </w:tblGrid>
      <w:tr w:rsidR="00B0004D" w14:paraId="642D2177" w14:textId="77777777" w:rsidTr="002F7585">
        <w:trPr>
          <w:cnfStyle w:val="100000000000" w:firstRow="1" w:lastRow="0" w:firstColumn="0" w:lastColumn="0" w:oddVBand="0" w:evenVBand="0" w:oddHBand="0" w:evenHBand="0" w:firstRowFirstColumn="0" w:firstRowLastColumn="0" w:lastRowFirstColumn="0" w:lastRowLastColumn="0"/>
          <w:cantSplit/>
          <w:tblHeader/>
        </w:trPr>
        <w:tc>
          <w:tcPr>
            <w:tcW w:w="1032" w:type="pct"/>
            <w:tcBorders>
              <w:bottom w:val="single" w:sz="4" w:space="0" w:color="auto"/>
            </w:tcBorders>
            <w:shd w:val="clear" w:color="auto" w:fill="0099CC"/>
            <w:hideMark/>
          </w:tcPr>
          <w:p w14:paraId="66201343" w14:textId="77777777" w:rsidR="00B0004D" w:rsidRDefault="00B0004D" w:rsidP="00322ADF">
            <w:pPr>
              <w:pStyle w:val="TableHeading"/>
            </w:pPr>
            <w:r>
              <w:t>Term</w:t>
            </w:r>
          </w:p>
        </w:tc>
        <w:tc>
          <w:tcPr>
            <w:tcW w:w="3968" w:type="pct"/>
            <w:tcBorders>
              <w:bottom w:val="single" w:sz="4" w:space="0" w:color="auto"/>
            </w:tcBorders>
            <w:shd w:val="clear" w:color="auto" w:fill="0099CC"/>
            <w:hideMark/>
          </w:tcPr>
          <w:p w14:paraId="778FD6B7" w14:textId="77777777" w:rsidR="00B0004D" w:rsidRDefault="00B0004D" w:rsidP="00322ADF">
            <w:pPr>
              <w:pStyle w:val="TableHeading"/>
            </w:pPr>
            <w:r>
              <w:t xml:space="preserve">Definition </w:t>
            </w:r>
          </w:p>
        </w:tc>
      </w:tr>
      <w:tr w:rsidR="00B0004D" w:rsidRPr="00177FE4" w14:paraId="1D8A62BA" w14:textId="77777777" w:rsidTr="002F7585">
        <w:trPr>
          <w:cantSplit/>
        </w:trPr>
        <w:tc>
          <w:tcPr>
            <w:tcW w:w="5000" w:type="pct"/>
            <w:gridSpan w:val="2"/>
            <w:shd w:val="clear" w:color="auto" w:fill="65697F" w:themeFill="background2" w:themeFillShade="80"/>
          </w:tcPr>
          <w:p w14:paraId="3269BD27" w14:textId="77777777" w:rsidR="00B0004D" w:rsidRPr="00177FE4" w:rsidRDefault="00B0004D" w:rsidP="00322ADF">
            <w:pPr>
              <w:pStyle w:val="TableBodyText"/>
              <w:jc w:val="center"/>
              <w:rPr>
                <w:b/>
                <w:color w:val="FFFFFF" w:themeColor="background1"/>
              </w:rPr>
            </w:pPr>
            <w:r w:rsidRPr="00177FE4">
              <w:rPr>
                <w:b/>
                <w:color w:val="FFFFFF" w:themeColor="background1"/>
              </w:rPr>
              <w:t>Types of market participants</w:t>
            </w:r>
          </w:p>
        </w:tc>
      </w:tr>
      <w:tr w:rsidR="00B0004D" w14:paraId="6F54D786" w14:textId="77777777" w:rsidTr="002F7585">
        <w:trPr>
          <w:cantSplit/>
        </w:trPr>
        <w:tc>
          <w:tcPr>
            <w:tcW w:w="1032" w:type="pct"/>
            <w:vMerge w:val="restart"/>
            <w:hideMark/>
          </w:tcPr>
          <w:p w14:paraId="60FA4013" w14:textId="77777777" w:rsidR="00B0004D" w:rsidRDefault="00B0004D" w:rsidP="00322ADF">
            <w:pPr>
              <w:pStyle w:val="TableBodyText"/>
            </w:pPr>
            <w:r>
              <w:t>facility operator</w:t>
            </w:r>
          </w:p>
        </w:tc>
        <w:tc>
          <w:tcPr>
            <w:tcW w:w="3968" w:type="pct"/>
            <w:hideMark/>
          </w:tcPr>
          <w:p w14:paraId="7B79162E" w14:textId="77777777" w:rsidR="00B0004D" w:rsidRDefault="00B0004D" w:rsidP="00322ADF">
            <w:pPr>
              <w:pStyle w:val="TableBodyText"/>
            </w:pPr>
            <w:r>
              <w:t>For the purposes of Part 25 (Capacity auction) means the operator of an auction facility (i.e. a non-exempt transportation facility).</w:t>
            </w:r>
          </w:p>
        </w:tc>
      </w:tr>
      <w:tr w:rsidR="00B0004D" w14:paraId="19C253E6" w14:textId="77777777" w:rsidTr="002F7585">
        <w:trPr>
          <w:cantSplit/>
        </w:trPr>
        <w:tc>
          <w:tcPr>
            <w:tcW w:w="1032" w:type="pct"/>
            <w:vMerge/>
          </w:tcPr>
          <w:p w14:paraId="24DD106A" w14:textId="77777777" w:rsidR="00B0004D" w:rsidRDefault="00B0004D" w:rsidP="00322ADF">
            <w:pPr>
              <w:pStyle w:val="TableBodyText"/>
            </w:pPr>
          </w:p>
        </w:tc>
        <w:tc>
          <w:tcPr>
            <w:tcW w:w="3968" w:type="pct"/>
          </w:tcPr>
          <w:p w14:paraId="4FCB792A" w14:textId="77777777" w:rsidR="00B0004D" w:rsidRDefault="00B0004D" w:rsidP="00322ADF">
            <w:pPr>
              <w:pStyle w:val="TableBodyText"/>
            </w:pPr>
            <w:r>
              <w:t xml:space="preserve">For the purposes of Part 26 (Standard market timetable) </w:t>
            </w:r>
            <w:r w:rsidRPr="00BD01DD">
              <w:t>means for</w:t>
            </w:r>
            <w:r>
              <w:t>:</w:t>
            </w:r>
          </w:p>
          <w:p w14:paraId="4BF4251C" w14:textId="77777777" w:rsidR="00B0004D" w:rsidRDefault="00B0004D" w:rsidP="00322ADF">
            <w:pPr>
              <w:pStyle w:val="TableBodyText"/>
              <w:ind w:left="369" w:hanging="284"/>
            </w:pPr>
            <w:r>
              <w:t>(a)</w:t>
            </w:r>
            <w:r>
              <w:tab/>
              <w:t xml:space="preserve">a production facility: each producer, user or </w:t>
            </w:r>
            <w:r w:rsidR="00157E32">
              <w:t>non-scheme</w:t>
            </w:r>
            <w:r>
              <w:t xml:space="preserve"> pipeline user who owns, operates or controls the production facility;  </w:t>
            </w:r>
          </w:p>
          <w:p w14:paraId="70408FBE" w14:textId="77777777" w:rsidR="00B0004D" w:rsidRDefault="00B0004D" w:rsidP="00322ADF">
            <w:pPr>
              <w:pStyle w:val="TableBodyText"/>
              <w:ind w:left="369" w:hanging="284"/>
            </w:pPr>
            <w:r>
              <w:t>(b)</w:t>
            </w:r>
            <w:r>
              <w:tab/>
              <w:t>a gas storage facility: each storage provider for the gas storage facility; and</w:t>
            </w:r>
          </w:p>
          <w:p w14:paraId="77D74D6D" w14:textId="77777777" w:rsidR="00B0004D" w:rsidRDefault="00B0004D" w:rsidP="00322ADF">
            <w:pPr>
              <w:pStyle w:val="TableBodyText"/>
              <w:ind w:left="369" w:hanging="284"/>
            </w:pPr>
            <w:r>
              <w:t>(c)</w:t>
            </w:r>
            <w:r>
              <w:tab/>
              <w:t>a transportation facility: each transportation service provider for the facility.</w:t>
            </w:r>
          </w:p>
        </w:tc>
      </w:tr>
      <w:tr w:rsidR="001355EB" w14:paraId="020BA549" w14:textId="77777777" w:rsidTr="002F7585">
        <w:trPr>
          <w:cantSplit/>
        </w:trPr>
        <w:tc>
          <w:tcPr>
            <w:tcW w:w="1032" w:type="pct"/>
          </w:tcPr>
          <w:p w14:paraId="4F19576D" w14:textId="77777777" w:rsidR="001355EB" w:rsidRDefault="001355EB" w:rsidP="001355EB">
            <w:pPr>
              <w:pStyle w:val="TableBodyText"/>
            </w:pPr>
            <w:r>
              <w:t>transportation service provider</w:t>
            </w:r>
          </w:p>
        </w:tc>
        <w:tc>
          <w:tcPr>
            <w:tcW w:w="3968" w:type="pct"/>
          </w:tcPr>
          <w:p w14:paraId="1A3BC545" w14:textId="77777777" w:rsidR="001355EB" w:rsidRDefault="001355EB" w:rsidP="001355EB">
            <w:pPr>
              <w:pStyle w:val="TableBodyText"/>
            </w:pPr>
            <w:r>
              <w:t xml:space="preserve">Means a person that owns, controls or operates (or intends to) a pipeline, a compression service facility or another facility specified in the Regulations. </w:t>
            </w:r>
          </w:p>
        </w:tc>
      </w:tr>
      <w:tr w:rsidR="00B0004D" w14:paraId="563DAEAD" w14:textId="77777777" w:rsidTr="002F7585">
        <w:trPr>
          <w:cantSplit/>
        </w:trPr>
        <w:tc>
          <w:tcPr>
            <w:tcW w:w="1032" w:type="pct"/>
            <w:hideMark/>
          </w:tcPr>
          <w:p w14:paraId="13D0A45C" w14:textId="77777777" w:rsidR="00B0004D" w:rsidRDefault="00B0004D" w:rsidP="00322ADF">
            <w:pPr>
              <w:pStyle w:val="TableBodyText"/>
            </w:pPr>
            <w:r>
              <w:t>transportation facility user</w:t>
            </w:r>
          </w:p>
        </w:tc>
        <w:tc>
          <w:tcPr>
            <w:tcW w:w="3968" w:type="pct"/>
            <w:hideMark/>
          </w:tcPr>
          <w:p w14:paraId="463E11CD" w14:textId="77777777" w:rsidR="00B0004D" w:rsidRDefault="00B0004D" w:rsidP="00322ADF">
            <w:pPr>
              <w:pStyle w:val="TableBodyText"/>
            </w:pPr>
            <w:r>
              <w:t>Means a person that is party to a contract with a transportation service provider (e.g. a primary facility agreement or an operational transportation service agreement).</w:t>
            </w:r>
          </w:p>
        </w:tc>
      </w:tr>
      <w:tr w:rsidR="00B0004D" w14:paraId="559AEB26" w14:textId="77777777" w:rsidTr="002F7585">
        <w:trPr>
          <w:cantSplit/>
        </w:trPr>
        <w:tc>
          <w:tcPr>
            <w:tcW w:w="1032" w:type="pct"/>
          </w:tcPr>
          <w:p w14:paraId="17630E73" w14:textId="77777777" w:rsidR="00B0004D" w:rsidRDefault="00B0004D" w:rsidP="00322ADF">
            <w:pPr>
              <w:pStyle w:val="TableBodyText"/>
            </w:pPr>
            <w:r>
              <w:t>primary shipper</w:t>
            </w:r>
          </w:p>
        </w:tc>
        <w:tc>
          <w:tcPr>
            <w:tcW w:w="3968" w:type="pct"/>
          </w:tcPr>
          <w:p w14:paraId="4E2DFEF5" w14:textId="77777777" w:rsidR="00B0004D" w:rsidRDefault="00B0004D" w:rsidP="00322ADF">
            <w:pPr>
              <w:pStyle w:val="TableBodyText"/>
            </w:pPr>
            <w:r>
              <w:t>Means a transportation facility user in its capacity as a party to a primary facility agreement.</w:t>
            </w:r>
          </w:p>
        </w:tc>
      </w:tr>
      <w:tr w:rsidR="00B0004D" w14:paraId="2BDD14C5" w14:textId="77777777" w:rsidTr="002F7585">
        <w:trPr>
          <w:cantSplit/>
        </w:trPr>
        <w:tc>
          <w:tcPr>
            <w:tcW w:w="1032" w:type="pct"/>
            <w:tcBorders>
              <w:bottom w:val="single" w:sz="4" w:space="0" w:color="auto"/>
            </w:tcBorders>
          </w:tcPr>
          <w:p w14:paraId="333BEB18" w14:textId="77777777" w:rsidR="00B0004D" w:rsidRDefault="00B0004D" w:rsidP="00322ADF">
            <w:pPr>
              <w:pStyle w:val="TableBodyText"/>
            </w:pPr>
            <w:r>
              <w:t>secondary shipper</w:t>
            </w:r>
          </w:p>
        </w:tc>
        <w:tc>
          <w:tcPr>
            <w:tcW w:w="3968" w:type="pct"/>
            <w:tcBorders>
              <w:bottom w:val="single" w:sz="4" w:space="0" w:color="auto"/>
            </w:tcBorders>
          </w:tcPr>
          <w:p w14:paraId="1CB6CCD7" w14:textId="77777777" w:rsidR="00B0004D" w:rsidRDefault="00B0004D" w:rsidP="00322ADF">
            <w:pPr>
              <w:pStyle w:val="TableBodyText"/>
            </w:pPr>
            <w:r>
              <w:t>Means a transportation facility user in its capacity as a party to an operational transportation service agreement.</w:t>
            </w:r>
          </w:p>
        </w:tc>
      </w:tr>
      <w:tr w:rsidR="00B0004D" w14:paraId="5FB0ED32" w14:textId="77777777" w:rsidTr="002F7585">
        <w:trPr>
          <w:cantSplit/>
        </w:trPr>
        <w:tc>
          <w:tcPr>
            <w:tcW w:w="1032" w:type="pct"/>
            <w:hideMark/>
          </w:tcPr>
          <w:p w14:paraId="5B729A0A" w14:textId="77777777" w:rsidR="00B0004D" w:rsidRDefault="00B0004D" w:rsidP="00322ADF">
            <w:pPr>
              <w:pStyle w:val="TableBodyText"/>
            </w:pPr>
            <w:r>
              <w:t>auction participant</w:t>
            </w:r>
          </w:p>
        </w:tc>
        <w:tc>
          <w:tcPr>
            <w:tcW w:w="3968" w:type="pct"/>
            <w:hideMark/>
          </w:tcPr>
          <w:p w14:paraId="568C4E9E" w14:textId="77777777" w:rsidR="00B0004D" w:rsidRDefault="00B0004D" w:rsidP="00322ADF">
            <w:pPr>
              <w:pStyle w:val="TableBodyText"/>
            </w:pPr>
            <w:r>
              <w:t xml:space="preserve">Means a person that is party to an </w:t>
            </w:r>
            <w:r w:rsidR="004C4906">
              <w:t xml:space="preserve">Auction Agreement </w:t>
            </w:r>
            <w:r>
              <w:t>with AEMO.</w:t>
            </w:r>
          </w:p>
        </w:tc>
      </w:tr>
      <w:tr w:rsidR="00B0004D" w:rsidRPr="00177FE4" w14:paraId="0D21657C" w14:textId="77777777" w:rsidTr="002F7585">
        <w:trPr>
          <w:cantSplit/>
        </w:trPr>
        <w:tc>
          <w:tcPr>
            <w:tcW w:w="5000" w:type="pct"/>
            <w:gridSpan w:val="2"/>
            <w:shd w:val="clear" w:color="auto" w:fill="65697F" w:themeFill="background2" w:themeFillShade="80"/>
          </w:tcPr>
          <w:p w14:paraId="2188834A" w14:textId="77777777" w:rsidR="00B0004D" w:rsidRPr="00177FE4" w:rsidRDefault="00B0004D" w:rsidP="00322ADF">
            <w:pPr>
              <w:pStyle w:val="TableBodyText"/>
              <w:jc w:val="center"/>
              <w:rPr>
                <w:b/>
                <w:color w:val="FFFFFF" w:themeColor="background1"/>
              </w:rPr>
            </w:pPr>
            <w:r w:rsidRPr="00177FE4">
              <w:rPr>
                <w:b/>
                <w:color w:val="FFFFFF" w:themeColor="background1"/>
              </w:rPr>
              <w:t>Types of facilities</w:t>
            </w:r>
          </w:p>
        </w:tc>
      </w:tr>
      <w:tr w:rsidR="00E25A9D" w14:paraId="701D3D8C" w14:textId="77777777" w:rsidTr="002F7585">
        <w:trPr>
          <w:cantSplit/>
        </w:trPr>
        <w:tc>
          <w:tcPr>
            <w:tcW w:w="1032" w:type="pct"/>
          </w:tcPr>
          <w:p w14:paraId="553EF0FB" w14:textId="77777777" w:rsidR="00E25A9D" w:rsidRDefault="00E25A9D" w:rsidP="00322ADF">
            <w:pPr>
              <w:pStyle w:val="TableBodyText"/>
            </w:pPr>
            <w:r>
              <w:t>natural gas facility</w:t>
            </w:r>
          </w:p>
        </w:tc>
        <w:tc>
          <w:tcPr>
            <w:tcW w:w="3968" w:type="pct"/>
          </w:tcPr>
          <w:p w14:paraId="6AAFAA18" w14:textId="77777777" w:rsidR="00E25A9D" w:rsidRDefault="00E25A9D" w:rsidP="00322ADF">
            <w:pPr>
              <w:pStyle w:val="TableBodyText"/>
            </w:pPr>
            <w:r>
              <w:t>Means a production facility, a transportation facility or a gas storage facility.</w:t>
            </w:r>
          </w:p>
        </w:tc>
      </w:tr>
      <w:tr w:rsidR="00E25A9D" w14:paraId="69775277" w14:textId="77777777" w:rsidTr="002F7585">
        <w:trPr>
          <w:cantSplit/>
        </w:trPr>
        <w:tc>
          <w:tcPr>
            <w:tcW w:w="1032" w:type="pct"/>
          </w:tcPr>
          <w:p w14:paraId="2CCF141A" w14:textId="77777777" w:rsidR="00E25A9D" w:rsidRDefault="00E25A9D" w:rsidP="00322ADF">
            <w:pPr>
              <w:pStyle w:val="TableBodyText"/>
            </w:pPr>
            <w:r>
              <w:t>production facility</w:t>
            </w:r>
          </w:p>
        </w:tc>
        <w:tc>
          <w:tcPr>
            <w:tcW w:w="3968" w:type="pct"/>
          </w:tcPr>
          <w:p w14:paraId="1F43072F" w14:textId="77777777" w:rsidR="00E25A9D" w:rsidRDefault="00E25A9D" w:rsidP="00322ADF">
            <w:pPr>
              <w:pStyle w:val="TableBodyText"/>
            </w:pPr>
            <w:r>
              <w:t>Means a facility at which natural gas is produced so that it is in a form suitable for injection into a pipeline.</w:t>
            </w:r>
          </w:p>
        </w:tc>
      </w:tr>
      <w:tr w:rsidR="00E25A9D" w14:paraId="5AA81B7B" w14:textId="77777777" w:rsidTr="002F7585">
        <w:trPr>
          <w:cantSplit/>
        </w:trPr>
        <w:tc>
          <w:tcPr>
            <w:tcW w:w="1032" w:type="pct"/>
          </w:tcPr>
          <w:p w14:paraId="21A38882" w14:textId="77777777" w:rsidR="00E25A9D" w:rsidRDefault="00E25A9D" w:rsidP="00E25A9D">
            <w:pPr>
              <w:pStyle w:val="TableBodyText"/>
            </w:pPr>
            <w:r>
              <w:t>gas storage facility</w:t>
            </w:r>
          </w:p>
        </w:tc>
        <w:tc>
          <w:tcPr>
            <w:tcW w:w="3968" w:type="pct"/>
          </w:tcPr>
          <w:p w14:paraId="19B89E93" w14:textId="77777777" w:rsidR="00E25A9D" w:rsidRDefault="00E25A9D" w:rsidP="00E25A9D">
            <w:pPr>
              <w:pStyle w:val="TableBodyText"/>
            </w:pPr>
            <w:r>
              <w:t xml:space="preserve">Means a facility for storing natural gas for injection into a pipeline.  </w:t>
            </w:r>
          </w:p>
        </w:tc>
      </w:tr>
      <w:tr w:rsidR="00E25A9D" w14:paraId="2D221979" w14:textId="77777777" w:rsidTr="002F7585">
        <w:trPr>
          <w:cantSplit/>
        </w:trPr>
        <w:tc>
          <w:tcPr>
            <w:tcW w:w="1032" w:type="pct"/>
          </w:tcPr>
          <w:p w14:paraId="7E3332B8" w14:textId="77777777" w:rsidR="00E25A9D" w:rsidRDefault="00E25A9D" w:rsidP="00322ADF">
            <w:pPr>
              <w:pStyle w:val="TableBodyText"/>
            </w:pPr>
            <w:r>
              <w:t>transportation facility</w:t>
            </w:r>
          </w:p>
        </w:tc>
        <w:tc>
          <w:tcPr>
            <w:tcW w:w="3968" w:type="pct"/>
          </w:tcPr>
          <w:p w14:paraId="0D2DB269" w14:textId="77777777" w:rsidR="00E25A9D" w:rsidRDefault="00E25A9D" w:rsidP="00322ADF">
            <w:pPr>
              <w:pStyle w:val="TableBodyText"/>
            </w:pPr>
            <w:r>
              <w:t>Means a pipeline, compression service facility or another facility specified by the Regulations.</w:t>
            </w:r>
          </w:p>
        </w:tc>
      </w:tr>
      <w:tr w:rsidR="00B0004D" w14:paraId="6750534C" w14:textId="77777777" w:rsidTr="002F7585">
        <w:trPr>
          <w:cantSplit/>
        </w:trPr>
        <w:tc>
          <w:tcPr>
            <w:tcW w:w="1032" w:type="pct"/>
            <w:hideMark/>
          </w:tcPr>
          <w:p w14:paraId="1037FAB2" w14:textId="77777777" w:rsidR="00B0004D" w:rsidRDefault="00B0004D" w:rsidP="00322ADF">
            <w:pPr>
              <w:pStyle w:val="TableBodyText"/>
            </w:pPr>
            <w:r>
              <w:t>bidirectional pipeline (or part of a pipeline)</w:t>
            </w:r>
          </w:p>
        </w:tc>
        <w:tc>
          <w:tcPr>
            <w:tcW w:w="3968" w:type="pct"/>
            <w:hideMark/>
          </w:tcPr>
          <w:p w14:paraId="4E9939EF" w14:textId="77777777" w:rsidR="00B0004D" w:rsidRDefault="00B0004D" w:rsidP="00322ADF">
            <w:pPr>
              <w:pStyle w:val="TableBodyText"/>
            </w:pPr>
            <w:r>
              <w:t>A pipeline (or part of a pipeline) will be classified as bidirectional if the direction of the physical flow of gas on the pipeline (or part) is capable of being reversed under normal operating conditions through the operation of plant and equipment forming part of, or connected, to the pipeline.</w:t>
            </w:r>
          </w:p>
        </w:tc>
      </w:tr>
      <w:tr w:rsidR="00B0004D" w14:paraId="566A3877" w14:textId="77777777" w:rsidTr="002F7585">
        <w:trPr>
          <w:cantSplit/>
        </w:trPr>
        <w:tc>
          <w:tcPr>
            <w:tcW w:w="1032" w:type="pct"/>
          </w:tcPr>
          <w:p w14:paraId="0F9883C6" w14:textId="77777777" w:rsidR="00B0004D" w:rsidRDefault="00B0004D" w:rsidP="00322ADF">
            <w:pPr>
              <w:pStyle w:val="TableBodyText"/>
            </w:pPr>
            <w:r>
              <w:t>Part 24 facility</w:t>
            </w:r>
          </w:p>
        </w:tc>
        <w:tc>
          <w:tcPr>
            <w:tcW w:w="3968" w:type="pct"/>
          </w:tcPr>
          <w:p w14:paraId="6903EB64" w14:textId="77777777" w:rsidR="00B0004D" w:rsidRDefault="00B0004D" w:rsidP="00322ADF">
            <w:pPr>
              <w:pStyle w:val="TableBodyText"/>
            </w:pPr>
            <w:r>
              <w:t>Means a transportation facility</w:t>
            </w:r>
            <w:r w:rsidR="006B0712">
              <w:t xml:space="preserve"> that is not an exempt transportation facility</w:t>
            </w:r>
            <w:r>
              <w:t>. These facilities are subject to both the obligation to publish a standard operational agreement and the auction.</w:t>
            </w:r>
          </w:p>
        </w:tc>
      </w:tr>
      <w:tr w:rsidR="0063763F" w14:paraId="6758A65C" w14:textId="77777777" w:rsidTr="002F7585">
        <w:trPr>
          <w:cantSplit/>
        </w:trPr>
        <w:tc>
          <w:tcPr>
            <w:tcW w:w="1032" w:type="pct"/>
          </w:tcPr>
          <w:p w14:paraId="4404FE9A" w14:textId="77777777" w:rsidR="0063763F" w:rsidRDefault="0063763F" w:rsidP="0063763F">
            <w:pPr>
              <w:pStyle w:val="TableBodyText"/>
            </w:pPr>
            <w:r>
              <w:t>Part 24 compression facility</w:t>
            </w:r>
          </w:p>
        </w:tc>
        <w:tc>
          <w:tcPr>
            <w:tcW w:w="3968" w:type="pct"/>
          </w:tcPr>
          <w:p w14:paraId="0EA83DD4" w14:textId="77777777" w:rsidR="0063763F" w:rsidRDefault="0063763F" w:rsidP="00EF0B23">
            <w:pPr>
              <w:pStyle w:val="TableBodyText"/>
              <w:rPr>
                <w:lang w:eastAsia="fr-CA"/>
              </w:rPr>
            </w:pPr>
            <w:r>
              <w:rPr>
                <w:lang w:eastAsia="fr-CA"/>
              </w:rPr>
              <w:t xml:space="preserve">Means </w:t>
            </w:r>
            <w:r w:rsidRPr="00086528">
              <w:rPr>
                <w:lang w:eastAsia="fr-CA"/>
              </w:rPr>
              <w:t>a compression service facility that is or may be used to transport gas between a transmission pipeline operating at lower pressure and a transmission pipeline operating at a higher pressure to facilitate the flow of gas between two or more receipt or delivery points where the points are l</w:t>
            </w:r>
            <w:r w:rsidR="00EF0B23">
              <w:rPr>
                <w:lang w:eastAsia="fr-CA"/>
              </w:rPr>
              <w:t xml:space="preserve">ocated on different pipelines. </w:t>
            </w:r>
          </w:p>
        </w:tc>
      </w:tr>
      <w:tr w:rsidR="00B0004D" w14:paraId="724D303D" w14:textId="77777777" w:rsidTr="002F7585">
        <w:trPr>
          <w:cantSplit/>
        </w:trPr>
        <w:tc>
          <w:tcPr>
            <w:tcW w:w="1032" w:type="pct"/>
            <w:tcBorders>
              <w:bottom w:val="single" w:sz="4" w:space="0" w:color="auto"/>
            </w:tcBorders>
          </w:tcPr>
          <w:p w14:paraId="4EF3080A" w14:textId="77777777" w:rsidR="00B0004D" w:rsidRDefault="00B0004D" w:rsidP="00322ADF">
            <w:pPr>
              <w:pStyle w:val="TableBodyText"/>
            </w:pPr>
            <w:r>
              <w:t>exempt transportation facility</w:t>
            </w:r>
          </w:p>
        </w:tc>
        <w:tc>
          <w:tcPr>
            <w:tcW w:w="3968" w:type="pct"/>
            <w:tcBorders>
              <w:bottom w:val="single" w:sz="4" w:space="0" w:color="auto"/>
            </w:tcBorders>
          </w:tcPr>
          <w:p w14:paraId="5C8841B2" w14:textId="77777777" w:rsidR="00B0004D" w:rsidRDefault="00B0004D" w:rsidP="00322ADF">
            <w:pPr>
              <w:pStyle w:val="TableBodyText"/>
            </w:pPr>
            <w:r>
              <w:t>A transportation facility (or part of a facility) that is subject to an exemption under Part 24 (note that this exemption applies to both the obligation to publish a standard operational agreement and the auction).</w:t>
            </w:r>
          </w:p>
        </w:tc>
      </w:tr>
      <w:tr w:rsidR="00B0004D" w14:paraId="556BF797" w14:textId="77777777" w:rsidTr="002F7585">
        <w:trPr>
          <w:cantSplit/>
        </w:trPr>
        <w:tc>
          <w:tcPr>
            <w:tcW w:w="1032" w:type="pct"/>
            <w:hideMark/>
          </w:tcPr>
          <w:p w14:paraId="1640878D" w14:textId="77777777" w:rsidR="00B0004D" w:rsidRDefault="00B0004D" w:rsidP="00322ADF">
            <w:pPr>
              <w:pStyle w:val="TableBodyText"/>
            </w:pPr>
            <w:r>
              <w:t xml:space="preserve">auction facility </w:t>
            </w:r>
          </w:p>
        </w:tc>
        <w:tc>
          <w:tcPr>
            <w:tcW w:w="3968" w:type="pct"/>
            <w:hideMark/>
          </w:tcPr>
          <w:p w14:paraId="449CFB92" w14:textId="77777777" w:rsidR="00B0004D" w:rsidRDefault="00B0004D" w:rsidP="00322ADF">
            <w:pPr>
              <w:pStyle w:val="TableBodyText"/>
            </w:pPr>
            <w:r>
              <w:t xml:space="preserve">A transportation facility that does not have an exemption under Part 24. </w:t>
            </w:r>
          </w:p>
        </w:tc>
      </w:tr>
      <w:tr w:rsidR="00B0004D" w:rsidRPr="00177FE4" w14:paraId="4B6EFD86" w14:textId="77777777" w:rsidTr="002F7585">
        <w:trPr>
          <w:cantSplit/>
        </w:trPr>
        <w:tc>
          <w:tcPr>
            <w:tcW w:w="5000" w:type="pct"/>
            <w:gridSpan w:val="2"/>
            <w:shd w:val="clear" w:color="auto" w:fill="65697F" w:themeFill="background2" w:themeFillShade="80"/>
          </w:tcPr>
          <w:p w14:paraId="2A0636BF" w14:textId="77777777" w:rsidR="00B0004D" w:rsidRPr="00177FE4" w:rsidRDefault="00B0004D" w:rsidP="00322ADF">
            <w:pPr>
              <w:pStyle w:val="TableBodyText"/>
              <w:keepNext/>
              <w:jc w:val="center"/>
              <w:rPr>
                <w:b/>
                <w:color w:val="FFFFFF" w:themeColor="background1"/>
              </w:rPr>
            </w:pPr>
            <w:r w:rsidRPr="00177FE4">
              <w:rPr>
                <w:b/>
                <w:color w:val="FFFFFF" w:themeColor="background1"/>
              </w:rPr>
              <w:t>Types of agreements</w:t>
            </w:r>
            <w:r w:rsidR="00A423C4">
              <w:rPr>
                <w:b/>
                <w:color w:val="FFFFFF" w:themeColor="background1"/>
              </w:rPr>
              <w:t xml:space="preserve"> and instruments</w:t>
            </w:r>
          </w:p>
        </w:tc>
      </w:tr>
      <w:tr w:rsidR="00B0004D" w14:paraId="0B0C8A56" w14:textId="77777777" w:rsidTr="002F7585">
        <w:trPr>
          <w:cantSplit/>
        </w:trPr>
        <w:tc>
          <w:tcPr>
            <w:tcW w:w="1032" w:type="pct"/>
          </w:tcPr>
          <w:p w14:paraId="7C00EA19" w14:textId="77777777" w:rsidR="00B0004D" w:rsidRDefault="00B0004D" w:rsidP="00322ADF">
            <w:pPr>
              <w:pStyle w:val="TableBodyText"/>
            </w:pPr>
            <w:r>
              <w:t>facility agreement</w:t>
            </w:r>
          </w:p>
        </w:tc>
        <w:tc>
          <w:tcPr>
            <w:tcW w:w="3968" w:type="pct"/>
          </w:tcPr>
          <w:p w14:paraId="4A21BAEA" w14:textId="77777777" w:rsidR="00B0004D" w:rsidRDefault="00B0004D" w:rsidP="00322ADF">
            <w:pPr>
              <w:pStyle w:val="TableBodyText"/>
            </w:pPr>
            <w:r>
              <w:t>Means a primary facility agreement (e.g. a primary gas transportation agreement) or an operational transportation service agreement</w:t>
            </w:r>
            <w:r w:rsidR="00216ADA">
              <w:t>.</w:t>
            </w:r>
          </w:p>
        </w:tc>
      </w:tr>
      <w:tr w:rsidR="00B0004D" w14:paraId="3378986A" w14:textId="77777777" w:rsidTr="002F7585">
        <w:trPr>
          <w:cantSplit/>
        </w:trPr>
        <w:tc>
          <w:tcPr>
            <w:tcW w:w="1032" w:type="pct"/>
          </w:tcPr>
          <w:p w14:paraId="7B23CB39" w14:textId="77777777" w:rsidR="00B0004D" w:rsidRDefault="00B0004D" w:rsidP="00322ADF">
            <w:pPr>
              <w:pStyle w:val="TableBodyText"/>
            </w:pPr>
            <w:r>
              <w:t>primary facility agreement</w:t>
            </w:r>
          </w:p>
        </w:tc>
        <w:tc>
          <w:tcPr>
            <w:tcW w:w="3968" w:type="pct"/>
          </w:tcPr>
          <w:p w14:paraId="27383C93" w14:textId="77777777" w:rsidR="00B0004D" w:rsidRDefault="00B0004D" w:rsidP="00216ADA">
            <w:pPr>
              <w:pStyle w:val="TableBodyText"/>
            </w:pPr>
            <w:r>
              <w:t xml:space="preserve">Means a contract (other than an operational transportation service agreement) between a transportation facility user and a </w:t>
            </w:r>
            <w:r w:rsidR="00A07BE4">
              <w:t xml:space="preserve">transportation </w:t>
            </w:r>
            <w:r>
              <w:t>service provider under w</w:t>
            </w:r>
            <w:r w:rsidR="00216ADA">
              <w:t>hich</w:t>
            </w:r>
            <w:r>
              <w:t xml:space="preserve"> the </w:t>
            </w:r>
            <w:r w:rsidR="00A07BE4">
              <w:t xml:space="preserve">transportation </w:t>
            </w:r>
            <w:r>
              <w:t>service provider provides a transportation service to the user.</w:t>
            </w:r>
          </w:p>
        </w:tc>
      </w:tr>
      <w:tr w:rsidR="00A423C4" w14:paraId="3C1BF571" w14:textId="77777777" w:rsidTr="002F7585">
        <w:trPr>
          <w:cantSplit/>
        </w:trPr>
        <w:tc>
          <w:tcPr>
            <w:tcW w:w="1032" w:type="pct"/>
          </w:tcPr>
          <w:p w14:paraId="347BD926" w14:textId="77777777" w:rsidR="00A423C4" w:rsidRDefault="00A423C4" w:rsidP="00322ADF">
            <w:pPr>
              <w:pStyle w:val="TableBodyText"/>
            </w:pPr>
            <w:r>
              <w:lastRenderedPageBreak/>
              <w:t>operational transportation service code (the Code)</w:t>
            </w:r>
          </w:p>
        </w:tc>
        <w:tc>
          <w:tcPr>
            <w:tcW w:w="3968" w:type="pct"/>
          </w:tcPr>
          <w:p w14:paraId="0E465AF4" w14:textId="77777777" w:rsidR="00A423C4" w:rsidRDefault="00A423C4" w:rsidP="00A423C4">
            <w:pPr>
              <w:pStyle w:val="TableBodyText"/>
            </w:pPr>
            <w:r>
              <w:t>Means the statutory instrument made</w:t>
            </w:r>
            <w:r w:rsidRPr="00A423C4">
              <w:t xml:space="preserve"> </w:t>
            </w:r>
            <w:r>
              <w:t xml:space="preserve">under </w:t>
            </w:r>
            <w:r w:rsidRPr="00A423C4">
              <w:t xml:space="preserve">the </w:t>
            </w:r>
            <w:r w:rsidR="00103CAD">
              <w:t>NGR</w:t>
            </w:r>
            <w:r w:rsidRPr="00A423C4">
              <w:t xml:space="preserve"> </w:t>
            </w:r>
            <w:r>
              <w:t>that</w:t>
            </w:r>
            <w:r w:rsidRPr="00A423C4">
              <w:t xml:space="preserve"> specifies the content of, or requirements</w:t>
            </w:r>
            <w:r>
              <w:t xml:space="preserve"> </w:t>
            </w:r>
            <w:r w:rsidRPr="00A423C4">
              <w:t xml:space="preserve">for the content of, standard </w:t>
            </w:r>
            <w:r>
              <w:t>operational</w:t>
            </w:r>
            <w:r w:rsidRPr="00A423C4">
              <w:t xml:space="preserve"> agreements, including the transportation</w:t>
            </w:r>
            <w:r>
              <w:t xml:space="preserve"> </w:t>
            </w:r>
            <w:r w:rsidRPr="00A423C4">
              <w:t xml:space="preserve">services that may be provided under a standard </w:t>
            </w:r>
            <w:r>
              <w:t>operational</w:t>
            </w:r>
            <w:r w:rsidRPr="00A423C4">
              <w:t xml:space="preserve"> agreement and the terms</w:t>
            </w:r>
            <w:r>
              <w:t xml:space="preserve"> </w:t>
            </w:r>
            <w:r w:rsidRPr="00A423C4">
              <w:t>and conditions applicable for use of those transportation services</w:t>
            </w:r>
            <w:r>
              <w:t>.</w:t>
            </w:r>
          </w:p>
        </w:tc>
      </w:tr>
      <w:tr w:rsidR="00B0004D" w14:paraId="000BA85E" w14:textId="77777777" w:rsidTr="002F7585">
        <w:trPr>
          <w:cantSplit/>
        </w:trPr>
        <w:tc>
          <w:tcPr>
            <w:tcW w:w="1032" w:type="pct"/>
          </w:tcPr>
          <w:p w14:paraId="17A3CFBD" w14:textId="77777777" w:rsidR="00B0004D" w:rsidRDefault="00B0004D" w:rsidP="00322ADF">
            <w:pPr>
              <w:pStyle w:val="TableBodyText"/>
            </w:pPr>
            <w:r>
              <w:t>operational transportation service agreement</w:t>
            </w:r>
            <w:r w:rsidR="00B76BEE">
              <w:t xml:space="preserve"> (Operational TSA)</w:t>
            </w:r>
          </w:p>
        </w:tc>
        <w:tc>
          <w:tcPr>
            <w:tcW w:w="3968" w:type="pct"/>
          </w:tcPr>
          <w:p w14:paraId="0265376B" w14:textId="77777777" w:rsidR="00B0004D" w:rsidRDefault="00B0004D" w:rsidP="00322ADF">
            <w:pPr>
              <w:pStyle w:val="TableBodyText"/>
            </w:pPr>
            <w:r>
              <w:t>Means an agreement between a transportation service provider and a transportation facility user that provides for the transportation facility user to receive a transfer of transportation capacity acquired through the auction, capacity trading platform (gas trading exchange) or any other means provided for in the agreement and the terms and conditions applicable to the provision and use of the service.</w:t>
            </w:r>
          </w:p>
        </w:tc>
      </w:tr>
      <w:tr w:rsidR="00B0004D" w14:paraId="37D3F0C9" w14:textId="77777777" w:rsidTr="002F7585">
        <w:trPr>
          <w:cantSplit/>
        </w:trPr>
        <w:tc>
          <w:tcPr>
            <w:tcW w:w="1032" w:type="pct"/>
            <w:tcBorders>
              <w:bottom w:val="single" w:sz="4" w:space="0" w:color="auto"/>
            </w:tcBorders>
          </w:tcPr>
          <w:p w14:paraId="5A46BCDF" w14:textId="77777777" w:rsidR="00B0004D" w:rsidRDefault="00B0004D" w:rsidP="00322ADF">
            <w:pPr>
              <w:pStyle w:val="TableBodyText"/>
            </w:pPr>
            <w:r>
              <w:rPr>
                <w:lang w:eastAsia="fr-CA"/>
              </w:rPr>
              <w:t>s</w:t>
            </w:r>
            <w:r w:rsidRPr="00086528">
              <w:rPr>
                <w:lang w:eastAsia="fr-CA"/>
              </w:rPr>
              <w:t>tandard operational agreement</w:t>
            </w:r>
          </w:p>
        </w:tc>
        <w:tc>
          <w:tcPr>
            <w:tcW w:w="3968" w:type="pct"/>
            <w:tcBorders>
              <w:bottom w:val="single" w:sz="4" w:space="0" w:color="auto"/>
            </w:tcBorders>
          </w:tcPr>
          <w:p w14:paraId="66C8939E" w14:textId="77777777" w:rsidR="00B0004D" w:rsidRDefault="00B0004D" w:rsidP="00322ADF">
            <w:pPr>
              <w:pStyle w:val="TableBodyText"/>
            </w:pPr>
            <w:r>
              <w:t xml:space="preserve">Means the agreement that the transportation </w:t>
            </w:r>
            <w:r w:rsidRPr="00086528">
              <w:t>service providers who are not exempted from the obligation to do so must prepare in accordance with the requirements of the NGL, NGR and Operational Transportation Service Code and offer to enter into in accordance with the NGL and NGR.</w:t>
            </w:r>
          </w:p>
        </w:tc>
      </w:tr>
      <w:tr w:rsidR="00B0004D" w:rsidRPr="00177FE4" w14:paraId="37FAB40D" w14:textId="77777777" w:rsidTr="002F7585">
        <w:trPr>
          <w:cantSplit/>
        </w:trPr>
        <w:tc>
          <w:tcPr>
            <w:tcW w:w="5000" w:type="pct"/>
            <w:gridSpan w:val="2"/>
            <w:shd w:val="clear" w:color="auto" w:fill="65697F" w:themeFill="background2" w:themeFillShade="80"/>
          </w:tcPr>
          <w:p w14:paraId="58C9276F" w14:textId="77777777" w:rsidR="00B0004D" w:rsidRPr="00177FE4" w:rsidRDefault="00B0004D" w:rsidP="00322ADF">
            <w:pPr>
              <w:pStyle w:val="TableBodyText"/>
              <w:jc w:val="center"/>
              <w:rPr>
                <w:b/>
                <w:color w:val="FFFFFF" w:themeColor="background1"/>
              </w:rPr>
            </w:pPr>
            <w:r w:rsidRPr="00177FE4">
              <w:rPr>
                <w:b/>
                <w:color w:val="FFFFFF" w:themeColor="background1"/>
              </w:rPr>
              <w:t>Services</w:t>
            </w:r>
          </w:p>
        </w:tc>
      </w:tr>
      <w:tr w:rsidR="00B0004D" w14:paraId="378F324C" w14:textId="77777777" w:rsidTr="002F7585">
        <w:trPr>
          <w:cantSplit/>
        </w:trPr>
        <w:tc>
          <w:tcPr>
            <w:tcW w:w="1032" w:type="pct"/>
          </w:tcPr>
          <w:p w14:paraId="27DA31B0" w14:textId="77777777" w:rsidR="00B0004D" w:rsidRDefault="00B0004D" w:rsidP="00322ADF">
            <w:pPr>
              <w:pStyle w:val="TableBodyText"/>
            </w:pPr>
            <w:r>
              <w:t>transportation service</w:t>
            </w:r>
          </w:p>
        </w:tc>
        <w:tc>
          <w:tcPr>
            <w:tcW w:w="3968" w:type="pct"/>
          </w:tcPr>
          <w:p w14:paraId="78B0F40B" w14:textId="77777777" w:rsidR="00B0004D" w:rsidRDefault="00B0004D" w:rsidP="00322ADF">
            <w:pPr>
              <w:pStyle w:val="TableBodyText"/>
            </w:pPr>
            <w:r>
              <w:t>Means a pipeline service, a service provided by means of a compression facility or a service provided by means of any other facility specified in the Regulations.</w:t>
            </w:r>
          </w:p>
        </w:tc>
      </w:tr>
      <w:tr w:rsidR="00B0004D" w14:paraId="4DE295EA" w14:textId="77777777" w:rsidTr="002F7585">
        <w:trPr>
          <w:cantSplit/>
        </w:trPr>
        <w:tc>
          <w:tcPr>
            <w:tcW w:w="1032" w:type="pct"/>
          </w:tcPr>
          <w:p w14:paraId="0B896175" w14:textId="77777777" w:rsidR="00B0004D" w:rsidRDefault="00B0004D" w:rsidP="00322ADF">
            <w:pPr>
              <w:pStyle w:val="TableBodyText"/>
            </w:pPr>
            <w:r>
              <w:t>operational transportation service</w:t>
            </w:r>
          </w:p>
        </w:tc>
        <w:tc>
          <w:tcPr>
            <w:tcW w:w="3968" w:type="pct"/>
          </w:tcPr>
          <w:p w14:paraId="306C82CC" w14:textId="77777777" w:rsidR="00B0004D" w:rsidRDefault="00B0004D" w:rsidP="00322ADF">
            <w:pPr>
              <w:pStyle w:val="TableBodyText"/>
            </w:pPr>
            <w:r>
              <w:t>Means a transportation service that is provided under an operational transportation service agreement and a service ancillary to the provision of this service.</w:t>
            </w:r>
          </w:p>
        </w:tc>
      </w:tr>
      <w:tr w:rsidR="00B0004D" w14:paraId="56BE45F4" w14:textId="77777777" w:rsidTr="002F7585">
        <w:trPr>
          <w:cantSplit/>
        </w:trPr>
        <w:tc>
          <w:tcPr>
            <w:tcW w:w="1032" w:type="pct"/>
          </w:tcPr>
          <w:p w14:paraId="089E08A1" w14:textId="77777777" w:rsidR="00B0004D" w:rsidRDefault="00B0004D" w:rsidP="00322ADF">
            <w:pPr>
              <w:pStyle w:val="TableBodyText"/>
            </w:pPr>
            <w:r>
              <w:rPr>
                <w:lang w:eastAsia="fr-CA"/>
              </w:rPr>
              <w:t>s</w:t>
            </w:r>
            <w:r w:rsidRPr="00086528">
              <w:rPr>
                <w:lang w:eastAsia="fr-CA"/>
              </w:rPr>
              <w:t>tandard operational transportation services</w:t>
            </w:r>
          </w:p>
        </w:tc>
        <w:tc>
          <w:tcPr>
            <w:tcW w:w="3968" w:type="pct"/>
          </w:tcPr>
          <w:p w14:paraId="31BDBB11" w14:textId="77777777" w:rsidR="00B0004D" w:rsidRDefault="00B0004D" w:rsidP="00322ADF">
            <w:pPr>
              <w:pStyle w:val="TableBodyText"/>
            </w:pPr>
            <w:r>
              <w:rPr>
                <w:lang w:eastAsia="fr-CA"/>
              </w:rPr>
              <w:t xml:space="preserve">Means </w:t>
            </w:r>
            <w:r w:rsidRPr="00086528">
              <w:rPr>
                <w:lang w:eastAsia="fr-CA"/>
              </w:rPr>
              <w:t xml:space="preserve">services for which a service description, standard terms and conditions for provision and use of the service and a description of and requirements for facility specific terms applicable to the service, are included in the Code. </w:t>
            </w:r>
          </w:p>
        </w:tc>
      </w:tr>
      <w:tr w:rsidR="00B0004D" w14:paraId="65B10BEC" w14:textId="77777777" w:rsidTr="002F7585">
        <w:trPr>
          <w:cantSplit/>
        </w:trPr>
        <w:tc>
          <w:tcPr>
            <w:tcW w:w="1032" w:type="pct"/>
            <w:tcBorders>
              <w:bottom w:val="single" w:sz="4" w:space="0" w:color="auto"/>
            </w:tcBorders>
            <w:hideMark/>
          </w:tcPr>
          <w:p w14:paraId="5C8E861E" w14:textId="77777777" w:rsidR="00B0004D" w:rsidRDefault="00B0004D" w:rsidP="00322ADF">
            <w:pPr>
              <w:pStyle w:val="TableBodyText"/>
            </w:pPr>
            <w:r>
              <w:t>backhaul service</w:t>
            </w:r>
          </w:p>
        </w:tc>
        <w:tc>
          <w:tcPr>
            <w:tcW w:w="3968" w:type="pct"/>
            <w:tcBorders>
              <w:bottom w:val="single" w:sz="4" w:space="0" w:color="auto"/>
            </w:tcBorders>
            <w:hideMark/>
          </w:tcPr>
          <w:p w14:paraId="62BC1CFD" w14:textId="77777777" w:rsidR="00B0004D" w:rsidRDefault="00B0004D" w:rsidP="00322ADF">
            <w:pPr>
              <w:pStyle w:val="TableBodyText"/>
            </w:pPr>
            <w:r>
              <w:t xml:space="preserve">Means a pipeline service provided by means of a single direction pipeline, where the direction of service is opposite to the actual physical flow of gas in the pipeline. </w:t>
            </w:r>
          </w:p>
        </w:tc>
      </w:tr>
      <w:tr w:rsidR="00B0004D" w:rsidRPr="002D4EBF" w14:paraId="666D1183" w14:textId="77777777" w:rsidTr="002F7585">
        <w:trPr>
          <w:cantSplit/>
        </w:trPr>
        <w:tc>
          <w:tcPr>
            <w:tcW w:w="5000" w:type="pct"/>
            <w:gridSpan w:val="2"/>
            <w:shd w:val="clear" w:color="auto" w:fill="65697F" w:themeFill="background2" w:themeFillShade="80"/>
          </w:tcPr>
          <w:p w14:paraId="542339CB" w14:textId="77777777" w:rsidR="00B0004D" w:rsidRPr="002D4EBF" w:rsidRDefault="00B0004D" w:rsidP="00322ADF">
            <w:pPr>
              <w:pStyle w:val="TableBodyText"/>
              <w:jc w:val="center"/>
              <w:rPr>
                <w:b/>
                <w:color w:val="FFFFFF" w:themeColor="background1"/>
              </w:rPr>
            </w:pPr>
            <w:r w:rsidRPr="002D4EBF">
              <w:rPr>
                <w:b/>
                <w:color w:val="FFFFFF" w:themeColor="background1"/>
              </w:rPr>
              <w:t xml:space="preserve">Other </w:t>
            </w:r>
            <w:r w:rsidR="00E25A9D">
              <w:rPr>
                <w:b/>
                <w:color w:val="FFFFFF" w:themeColor="background1"/>
              </w:rPr>
              <w:t xml:space="preserve">capacity trading and day-ahead auction </w:t>
            </w:r>
            <w:r w:rsidRPr="002D4EBF">
              <w:rPr>
                <w:b/>
                <w:color w:val="FFFFFF" w:themeColor="background1"/>
              </w:rPr>
              <w:t>concepts</w:t>
            </w:r>
          </w:p>
        </w:tc>
      </w:tr>
      <w:tr w:rsidR="001355EB" w14:paraId="7CED2E93" w14:textId="77777777" w:rsidTr="002F7585">
        <w:trPr>
          <w:cantSplit/>
        </w:trPr>
        <w:tc>
          <w:tcPr>
            <w:tcW w:w="1032" w:type="pct"/>
          </w:tcPr>
          <w:p w14:paraId="0145B698" w14:textId="77777777" w:rsidR="001355EB" w:rsidRPr="001355EB" w:rsidRDefault="001355EB" w:rsidP="00322ADF">
            <w:pPr>
              <w:pStyle w:val="TableBodyText"/>
              <w:rPr>
                <w:sz w:val="19"/>
                <w:szCs w:val="19"/>
              </w:rPr>
            </w:pPr>
            <w:r w:rsidRPr="001355EB">
              <w:rPr>
                <w:sz w:val="19"/>
                <w:szCs w:val="19"/>
              </w:rPr>
              <w:t>gas trading exchange</w:t>
            </w:r>
          </w:p>
        </w:tc>
        <w:tc>
          <w:tcPr>
            <w:tcW w:w="3968" w:type="pct"/>
          </w:tcPr>
          <w:p w14:paraId="6A7A9D30" w14:textId="77777777" w:rsidR="001355EB" w:rsidRPr="001355EB" w:rsidRDefault="001355EB" w:rsidP="00322ADF">
            <w:pPr>
              <w:pStyle w:val="TableBodyText"/>
              <w:rPr>
                <w:sz w:val="19"/>
                <w:szCs w:val="19"/>
              </w:rPr>
            </w:pPr>
            <w:r w:rsidRPr="001355EB">
              <w:rPr>
                <w:sz w:val="19"/>
                <w:szCs w:val="19"/>
              </w:rPr>
              <w:t>Means a facility through which persons may elect to buy and sell natural gas or related goods or services, including pipeline capacity. The gas trading exchange is commonly referred to as the Gas Supply Hub (GSH)</w:t>
            </w:r>
            <w:r w:rsidR="006D6BF1">
              <w:rPr>
                <w:sz w:val="19"/>
                <w:szCs w:val="19"/>
              </w:rPr>
              <w:t xml:space="preserve"> and is also referred to as the </w:t>
            </w:r>
            <w:r w:rsidR="006C63B6">
              <w:rPr>
                <w:sz w:val="19"/>
                <w:szCs w:val="19"/>
              </w:rPr>
              <w:t>‘</w:t>
            </w:r>
            <w:r w:rsidR="006D6BF1">
              <w:rPr>
                <w:sz w:val="19"/>
                <w:szCs w:val="19"/>
              </w:rPr>
              <w:t>exchange</w:t>
            </w:r>
            <w:r w:rsidR="006C63B6">
              <w:rPr>
                <w:sz w:val="19"/>
                <w:szCs w:val="19"/>
              </w:rPr>
              <w:t>’</w:t>
            </w:r>
            <w:r w:rsidR="006D6BF1">
              <w:rPr>
                <w:sz w:val="19"/>
                <w:szCs w:val="19"/>
              </w:rPr>
              <w:t xml:space="preserve"> in this Consultation Paper.</w:t>
            </w:r>
          </w:p>
        </w:tc>
      </w:tr>
      <w:tr w:rsidR="00B0004D" w14:paraId="76E8192B" w14:textId="77777777" w:rsidTr="002F7585">
        <w:trPr>
          <w:cantSplit/>
        </w:trPr>
        <w:tc>
          <w:tcPr>
            <w:tcW w:w="1032" w:type="pct"/>
          </w:tcPr>
          <w:p w14:paraId="3220B789" w14:textId="77777777" w:rsidR="00B0004D" w:rsidRDefault="00B0004D" w:rsidP="00322ADF">
            <w:pPr>
              <w:pStyle w:val="TableBodyText"/>
            </w:pPr>
            <w:r>
              <w:t>transportation capacity</w:t>
            </w:r>
          </w:p>
        </w:tc>
        <w:tc>
          <w:tcPr>
            <w:tcW w:w="3968" w:type="pct"/>
          </w:tcPr>
          <w:p w14:paraId="2C2DDF9B" w14:textId="77777777" w:rsidR="00B0004D" w:rsidRDefault="00B0004D" w:rsidP="00322ADF">
            <w:pPr>
              <w:pStyle w:val="TableBodyText"/>
            </w:pPr>
            <w:r>
              <w:t>Means a right under a contract with a transportation service provider to be provided with a transportation service by means of the transportation service provider’s transportation facility, for a given quantity of gas over a given period of time.</w:t>
            </w:r>
          </w:p>
        </w:tc>
      </w:tr>
      <w:tr w:rsidR="00F158E3" w14:paraId="302CB4B0" w14:textId="77777777" w:rsidTr="002F7585">
        <w:trPr>
          <w:cantSplit/>
        </w:trPr>
        <w:tc>
          <w:tcPr>
            <w:tcW w:w="1032" w:type="pct"/>
          </w:tcPr>
          <w:p w14:paraId="411A7AFC" w14:textId="77777777" w:rsidR="00F158E3" w:rsidRDefault="00F158E3" w:rsidP="00322ADF">
            <w:pPr>
              <w:pStyle w:val="TableBodyText"/>
            </w:pPr>
            <w:r>
              <w:t>auction capacity</w:t>
            </w:r>
          </w:p>
        </w:tc>
        <w:tc>
          <w:tcPr>
            <w:tcW w:w="3968" w:type="pct"/>
          </w:tcPr>
          <w:p w14:paraId="2FECF2D5" w14:textId="77777777" w:rsidR="00F158E3" w:rsidRDefault="00F158E3" w:rsidP="00322ADF">
            <w:pPr>
              <w:pStyle w:val="TableBodyText"/>
            </w:pPr>
            <w:r>
              <w:t>Means the quantity of transportation capacity available to be allocated in the auction for the gas day.</w:t>
            </w:r>
          </w:p>
        </w:tc>
      </w:tr>
      <w:tr w:rsidR="00B0004D" w14:paraId="2BDB467F" w14:textId="77777777" w:rsidTr="002F7585">
        <w:trPr>
          <w:cantSplit/>
        </w:trPr>
        <w:tc>
          <w:tcPr>
            <w:tcW w:w="1032" w:type="pct"/>
          </w:tcPr>
          <w:p w14:paraId="3E1C9F93" w14:textId="77777777" w:rsidR="00B0004D" w:rsidRDefault="00B0004D" w:rsidP="00322ADF">
            <w:pPr>
              <w:pStyle w:val="TableBodyText"/>
            </w:pPr>
            <w:r>
              <w:t>secondary capacity transaction</w:t>
            </w:r>
          </w:p>
        </w:tc>
        <w:tc>
          <w:tcPr>
            <w:tcW w:w="3968" w:type="pct"/>
          </w:tcPr>
          <w:p w14:paraId="6B22A9DC" w14:textId="77777777" w:rsidR="00B0004D" w:rsidRDefault="00B0004D" w:rsidP="00322ADF">
            <w:pPr>
              <w:pStyle w:val="TableBodyText"/>
            </w:pPr>
            <w:r>
              <w:t>Means a disposal by a transportation facility user to another person of a right to use transportation capacity, including disposal by means of transfer, sale, assignment, exchange or other disposal and the grant of a right to use, directly or indirectly, the transportation capacity.</w:t>
            </w:r>
          </w:p>
        </w:tc>
      </w:tr>
      <w:tr w:rsidR="001355EB" w14:paraId="5DD6D9E1" w14:textId="77777777" w:rsidTr="002F7585">
        <w:trPr>
          <w:cantSplit/>
        </w:trPr>
        <w:tc>
          <w:tcPr>
            <w:tcW w:w="1032" w:type="pct"/>
          </w:tcPr>
          <w:p w14:paraId="162C4D6E" w14:textId="77777777" w:rsidR="001355EB" w:rsidRDefault="001355EB" w:rsidP="001355EB">
            <w:pPr>
              <w:pStyle w:val="TableBodyText"/>
            </w:pPr>
            <w:r>
              <w:t>transfer</w:t>
            </w:r>
          </w:p>
        </w:tc>
        <w:tc>
          <w:tcPr>
            <w:tcW w:w="3968" w:type="pct"/>
          </w:tcPr>
          <w:p w14:paraId="3CA33FE4" w14:textId="77777777" w:rsidR="001355EB" w:rsidRDefault="001355EB" w:rsidP="001355EB">
            <w:pPr>
              <w:pStyle w:val="TableBodyText"/>
            </w:pPr>
            <w:r>
              <w:t>Means a reduction in a person’s right to the transportation capacity and a corresponding increase in another person’s right to capacity, whether or not on the same conditions.</w:t>
            </w:r>
          </w:p>
        </w:tc>
      </w:tr>
      <w:tr w:rsidR="00B0004D" w14:paraId="1AF77B87" w14:textId="77777777" w:rsidTr="002F7585">
        <w:trPr>
          <w:cantSplit/>
        </w:trPr>
        <w:tc>
          <w:tcPr>
            <w:tcW w:w="1032" w:type="pct"/>
            <w:hideMark/>
          </w:tcPr>
          <w:p w14:paraId="16717497" w14:textId="77777777" w:rsidR="00B0004D" w:rsidRDefault="00B0004D" w:rsidP="00322ADF">
            <w:pPr>
              <w:pStyle w:val="TableBodyText"/>
            </w:pPr>
            <w:r>
              <w:t>reserved</w:t>
            </w:r>
          </w:p>
        </w:tc>
        <w:tc>
          <w:tcPr>
            <w:tcW w:w="3968" w:type="pct"/>
            <w:hideMark/>
          </w:tcPr>
          <w:p w14:paraId="19929542" w14:textId="77777777" w:rsidR="00B0004D" w:rsidRDefault="00B0004D" w:rsidP="00322ADF">
            <w:pPr>
              <w:pStyle w:val="TableBodyText"/>
            </w:pPr>
            <w:r>
              <w:t>Means:</w:t>
            </w:r>
          </w:p>
          <w:p w14:paraId="2774B4A2" w14:textId="77777777" w:rsidR="00B0004D" w:rsidRDefault="00B0004D" w:rsidP="00322ADF">
            <w:pPr>
              <w:pStyle w:val="TableBodyText"/>
              <w:ind w:left="369" w:hanging="284"/>
            </w:pPr>
            <w:r>
              <w:t>(a)</w:t>
            </w:r>
            <w:r>
              <w:tab/>
              <w:t>a transportation facility user has a right to nominate for use of a transportation service provided by means of the transportation capacity on a gas day;</w:t>
            </w:r>
          </w:p>
          <w:p w14:paraId="43427269" w14:textId="77777777" w:rsidR="00B0004D" w:rsidRDefault="00B0004D" w:rsidP="00322ADF">
            <w:pPr>
              <w:pStyle w:val="TableBodyText"/>
              <w:ind w:left="369" w:hanging="284"/>
            </w:pPr>
            <w:r>
              <w:t>(b)</w:t>
            </w:r>
            <w:r>
              <w:tab/>
              <w:t>that right was acquired in advance of the nomination cut-off time for the gas day; and</w:t>
            </w:r>
          </w:p>
          <w:p w14:paraId="672BEB87" w14:textId="77777777" w:rsidR="00B0004D" w:rsidRDefault="00B0004D" w:rsidP="00322ADF">
            <w:pPr>
              <w:pStyle w:val="TableBodyText"/>
              <w:ind w:left="369" w:hanging="284"/>
            </w:pPr>
            <w:r>
              <w:t>(c)</w:t>
            </w:r>
            <w:r>
              <w:tab/>
              <w:t xml:space="preserve">the right relates to a specified quantity of transportation capacity (that quantity being the reserved capacity). </w:t>
            </w:r>
          </w:p>
        </w:tc>
      </w:tr>
      <w:tr w:rsidR="00B0004D" w14:paraId="3BB82901" w14:textId="77777777" w:rsidTr="002F7585">
        <w:trPr>
          <w:cantSplit/>
        </w:trPr>
        <w:tc>
          <w:tcPr>
            <w:tcW w:w="1032" w:type="pct"/>
            <w:hideMark/>
          </w:tcPr>
          <w:p w14:paraId="234AA996" w14:textId="77777777" w:rsidR="00B0004D" w:rsidRDefault="00B0004D" w:rsidP="00322ADF">
            <w:pPr>
              <w:pStyle w:val="TableBodyText"/>
            </w:pPr>
            <w:r>
              <w:lastRenderedPageBreak/>
              <w:t xml:space="preserve">firm </w:t>
            </w:r>
          </w:p>
        </w:tc>
        <w:tc>
          <w:tcPr>
            <w:tcW w:w="3968" w:type="pct"/>
            <w:hideMark/>
          </w:tcPr>
          <w:p w14:paraId="0258942C" w14:textId="77777777" w:rsidR="00B0004D" w:rsidRDefault="00B0004D" w:rsidP="00322ADF">
            <w:pPr>
              <w:pStyle w:val="TableBodyText"/>
            </w:pPr>
            <w:r>
              <w:t>Means that:</w:t>
            </w:r>
          </w:p>
          <w:p w14:paraId="1B3903B3" w14:textId="77777777" w:rsidR="00B0004D" w:rsidRDefault="00B0004D" w:rsidP="00322ADF">
            <w:pPr>
              <w:pStyle w:val="TableBodyText"/>
              <w:ind w:left="369" w:hanging="284"/>
            </w:pPr>
            <w:r>
              <w:t>(a)</w:t>
            </w:r>
            <w:r>
              <w:tab/>
              <w:t>transportation capacity for use of the transportation service on a gas day is reserved capacity;</w:t>
            </w:r>
          </w:p>
          <w:p w14:paraId="754FA7D8" w14:textId="77777777" w:rsidR="00B0004D" w:rsidRDefault="00B0004D" w:rsidP="00322ADF">
            <w:pPr>
              <w:pStyle w:val="TableBodyText"/>
              <w:ind w:left="369" w:hanging="284"/>
            </w:pPr>
            <w:r>
              <w:t>(b)</w:t>
            </w:r>
            <w:r>
              <w:tab/>
              <w:t>in the ordinary course, nominations made by another transportation facility user for use of that or any other transportation service do not impact the quantity of reserved capacity or the scheduling of a nomination for use of the reserved capacity; and</w:t>
            </w:r>
          </w:p>
          <w:p w14:paraId="0BE6F4B2" w14:textId="77777777" w:rsidR="00B0004D" w:rsidRDefault="00B0004D" w:rsidP="00322ADF">
            <w:pPr>
              <w:pStyle w:val="TableBodyText"/>
              <w:ind w:left="369" w:hanging="284"/>
            </w:pPr>
            <w:r>
              <w:t>(c)</w:t>
            </w:r>
            <w:r>
              <w:tab/>
              <w:t>a nomination made before the nomination cut-off time for use of the transportation service on a gas day up to the quantity of reserved capacity will, in the ordinary course, be scheduled and not curtailed,</w:t>
            </w:r>
          </w:p>
          <w:p w14:paraId="36460171" w14:textId="77777777" w:rsidR="00B0004D" w:rsidRDefault="00B0004D" w:rsidP="00322ADF">
            <w:pPr>
              <w:pStyle w:val="TableBodyText"/>
            </w:pPr>
            <w:r>
              <w:t xml:space="preserve">and the terms “firm forward haul service”, “firm backhaul service”, “firm compression service” and “firm park service” refer to forward haul, backhaul, compression and park services that are firm as provided for in this definition. </w:t>
            </w:r>
          </w:p>
          <w:p w14:paraId="36B22F68" w14:textId="77777777" w:rsidR="00B0004D" w:rsidRDefault="00B0004D" w:rsidP="00322ADF">
            <w:pPr>
              <w:pStyle w:val="TableBodyText"/>
            </w:pPr>
            <w:r>
              <w:t>Auction services and services that allow a firm service user to nominate or use a quantity of a firm transportation service in excess of the reserved capacity (such as an authorised overrun service) are not firm within the meaning of this definition.</w:t>
            </w:r>
          </w:p>
          <w:p w14:paraId="6CD17D13" w14:textId="77777777" w:rsidR="00B0004D" w:rsidRDefault="00B0004D" w:rsidP="00322ADF">
            <w:pPr>
              <w:pStyle w:val="TableBodyText"/>
            </w:pPr>
            <w:r>
              <w:t>Note that transitional rules will provide for “grandfathered” services to be treated as firm for the purposes of this definition.</w:t>
            </w:r>
          </w:p>
        </w:tc>
      </w:tr>
      <w:tr w:rsidR="00B0004D" w14:paraId="0266F925" w14:textId="77777777" w:rsidTr="002F7585">
        <w:trPr>
          <w:cantSplit/>
        </w:trPr>
        <w:tc>
          <w:tcPr>
            <w:tcW w:w="1032" w:type="pct"/>
            <w:hideMark/>
          </w:tcPr>
          <w:p w14:paraId="2309E2CF" w14:textId="77777777" w:rsidR="00B0004D" w:rsidRDefault="00B0004D" w:rsidP="00322ADF">
            <w:pPr>
              <w:pStyle w:val="TableBodyText"/>
            </w:pPr>
            <w:r>
              <w:t>lower tier service</w:t>
            </w:r>
          </w:p>
        </w:tc>
        <w:tc>
          <w:tcPr>
            <w:tcW w:w="3968" w:type="pct"/>
            <w:hideMark/>
          </w:tcPr>
          <w:p w14:paraId="4D4ED1B3" w14:textId="77777777" w:rsidR="00B0004D" w:rsidRDefault="00B0004D" w:rsidP="00322ADF">
            <w:pPr>
              <w:pStyle w:val="TableBodyText"/>
            </w:pPr>
            <w:r>
              <w:t>Means any transportation service provided by means of an auction facility other than an auction service, a firm forward haul service, a firm backhaul service, a firm compression service or a firm park service. Examples of lower tier services include transportation services:</w:t>
            </w:r>
          </w:p>
          <w:p w14:paraId="63CFAA33" w14:textId="77777777" w:rsidR="00B0004D" w:rsidRDefault="00B0004D" w:rsidP="00322ADF">
            <w:pPr>
              <w:pStyle w:val="TableBodyText"/>
              <w:ind w:left="369" w:hanging="284"/>
            </w:pPr>
            <w:r>
              <w:t>(a)</w:t>
            </w:r>
            <w:r>
              <w:tab/>
              <w:t>described as “interruptible”, “as available” or as “authorised overrun” (or services equivalent in nature to such services);</w:t>
            </w:r>
          </w:p>
          <w:p w14:paraId="30C14F21" w14:textId="77777777" w:rsidR="00B0004D" w:rsidRDefault="00B0004D" w:rsidP="00322ADF">
            <w:pPr>
              <w:pStyle w:val="TableBodyText"/>
              <w:ind w:left="369" w:hanging="284"/>
            </w:pPr>
            <w:r>
              <w:t>(b)</w:t>
            </w:r>
            <w:r>
              <w:tab/>
              <w:t xml:space="preserve">where the </w:t>
            </w:r>
            <w:r w:rsidR="00A07BE4">
              <w:t>transportation service provider</w:t>
            </w:r>
            <w:r>
              <w:t xml:space="preserve"> has no obligation to accept a nomination for the service; or</w:t>
            </w:r>
          </w:p>
          <w:p w14:paraId="03056E59" w14:textId="77777777" w:rsidR="00B0004D" w:rsidRDefault="00B0004D" w:rsidP="00322ADF">
            <w:pPr>
              <w:pStyle w:val="TableBodyText"/>
              <w:ind w:left="369" w:hanging="284"/>
            </w:pPr>
            <w:r>
              <w:t>(c)</w:t>
            </w:r>
            <w:r>
              <w:tab/>
              <w:t xml:space="preserve">which are only scheduled if transportation capacity remains after day-ahead nominations for reserved capacity (by the holders of rights to that reserved capacity) have been met. </w:t>
            </w:r>
          </w:p>
        </w:tc>
      </w:tr>
      <w:tr w:rsidR="00E25A9D" w:rsidRPr="00086528" w14:paraId="43915AE3" w14:textId="77777777" w:rsidTr="002F7585">
        <w:trPr>
          <w:cantSplit/>
        </w:trPr>
        <w:tc>
          <w:tcPr>
            <w:tcW w:w="1032" w:type="pct"/>
          </w:tcPr>
          <w:p w14:paraId="4370A562" w14:textId="77777777" w:rsidR="00E25A9D" w:rsidRDefault="00E25A9D" w:rsidP="00E25A9D">
            <w:pPr>
              <w:pStyle w:val="TableBodyText"/>
              <w:rPr>
                <w:lang w:eastAsia="fr-CA"/>
              </w:rPr>
            </w:pPr>
            <w:r>
              <w:t>nomination</w:t>
            </w:r>
          </w:p>
        </w:tc>
        <w:tc>
          <w:tcPr>
            <w:tcW w:w="3968" w:type="pct"/>
          </w:tcPr>
          <w:p w14:paraId="53858021" w14:textId="77777777" w:rsidR="00E25A9D" w:rsidRDefault="00E25A9D" w:rsidP="00E25A9D">
            <w:pPr>
              <w:pStyle w:val="TableBodyText"/>
            </w:pPr>
            <w:r>
              <w:t>Means, information about a person’s intended use of a service provided by means of a natural gas facility on one or more gas days or any part of a gas day; and the process and timetable for the provision of the information to a facility operator.</w:t>
            </w:r>
          </w:p>
        </w:tc>
      </w:tr>
      <w:tr w:rsidR="00E25A9D" w:rsidRPr="00086528" w14:paraId="31E84F7F" w14:textId="77777777" w:rsidTr="002F7585">
        <w:trPr>
          <w:cantSplit/>
        </w:trPr>
        <w:tc>
          <w:tcPr>
            <w:tcW w:w="1032" w:type="pct"/>
          </w:tcPr>
          <w:p w14:paraId="3A589BB2" w14:textId="77777777" w:rsidR="00E25A9D" w:rsidRDefault="00E25A9D" w:rsidP="00E25A9D">
            <w:pPr>
              <w:pStyle w:val="TableBodyText"/>
              <w:rPr>
                <w:lang w:eastAsia="fr-CA"/>
              </w:rPr>
            </w:pPr>
            <w:r>
              <w:t>renomination</w:t>
            </w:r>
          </w:p>
        </w:tc>
        <w:tc>
          <w:tcPr>
            <w:tcW w:w="3968" w:type="pct"/>
          </w:tcPr>
          <w:p w14:paraId="7459BE59" w14:textId="77777777" w:rsidR="00E25A9D" w:rsidRDefault="00E25A9D" w:rsidP="00E25A9D">
            <w:pPr>
              <w:pStyle w:val="TableBodyText"/>
            </w:pPr>
            <w:r>
              <w:t>Means a request made after the nomination cut-off time to vary an earlier nomination for use of transportation capacity and includes a nomination made after the nomination cut-off time.</w:t>
            </w:r>
          </w:p>
        </w:tc>
      </w:tr>
      <w:tr w:rsidR="00B0004D" w:rsidRPr="00086528" w14:paraId="3954F8E3" w14:textId="77777777" w:rsidTr="002F7585">
        <w:trPr>
          <w:cantSplit/>
        </w:trPr>
        <w:tc>
          <w:tcPr>
            <w:tcW w:w="1032" w:type="pct"/>
          </w:tcPr>
          <w:p w14:paraId="383E9C05" w14:textId="77777777" w:rsidR="00B0004D" w:rsidRPr="00086528" w:rsidRDefault="00B0004D" w:rsidP="00322ADF">
            <w:pPr>
              <w:pStyle w:val="TableBodyText"/>
              <w:rPr>
                <w:lang w:eastAsia="fr-CA"/>
              </w:rPr>
            </w:pPr>
            <w:r>
              <w:rPr>
                <w:lang w:eastAsia="fr-CA"/>
              </w:rPr>
              <w:t>t</w:t>
            </w:r>
            <w:r w:rsidRPr="00086528">
              <w:rPr>
                <w:lang w:eastAsia="fr-CA"/>
              </w:rPr>
              <w:t>ransaction support arrangements</w:t>
            </w:r>
          </w:p>
        </w:tc>
        <w:tc>
          <w:tcPr>
            <w:tcW w:w="3968" w:type="pct"/>
          </w:tcPr>
          <w:p w14:paraId="54F44056" w14:textId="77777777" w:rsidR="00B0004D" w:rsidRPr="00086528" w:rsidRDefault="00B0004D" w:rsidP="00322ADF">
            <w:pPr>
              <w:pStyle w:val="TableBodyText"/>
            </w:pPr>
            <w:r>
              <w:t xml:space="preserve">Means </w:t>
            </w:r>
            <w:r w:rsidRPr="00086528">
              <w:t xml:space="preserve">the arrangements required to facilitate transactions </w:t>
            </w:r>
            <w:r>
              <w:t xml:space="preserve">conducted </w:t>
            </w:r>
            <w:r w:rsidRPr="00086528">
              <w:t xml:space="preserve">through </w:t>
            </w:r>
            <w:r>
              <w:t xml:space="preserve">either </w:t>
            </w:r>
            <w:r w:rsidRPr="00086528">
              <w:t>the capacity trading platform or the day-ahead auction.</w:t>
            </w:r>
          </w:p>
        </w:tc>
      </w:tr>
      <w:tr w:rsidR="00E25A9D" w:rsidRPr="002D4EBF" w14:paraId="34AB997C" w14:textId="77777777" w:rsidTr="002F7585">
        <w:trPr>
          <w:cantSplit/>
        </w:trPr>
        <w:tc>
          <w:tcPr>
            <w:tcW w:w="5000" w:type="pct"/>
            <w:gridSpan w:val="2"/>
            <w:shd w:val="clear" w:color="auto" w:fill="65697F" w:themeFill="background2" w:themeFillShade="80"/>
          </w:tcPr>
          <w:p w14:paraId="0BDCE78C" w14:textId="77777777" w:rsidR="00E25A9D" w:rsidRPr="002D4EBF" w:rsidRDefault="00E25A9D" w:rsidP="00322ADF">
            <w:pPr>
              <w:pStyle w:val="TableBodyText"/>
              <w:jc w:val="center"/>
              <w:rPr>
                <w:b/>
                <w:color w:val="FFFFFF" w:themeColor="background1"/>
              </w:rPr>
            </w:pPr>
            <w:r>
              <w:rPr>
                <w:b/>
                <w:color w:val="FFFFFF" w:themeColor="background1"/>
              </w:rPr>
              <w:t xml:space="preserve">Harmonisation </w:t>
            </w:r>
            <w:r w:rsidRPr="002D4EBF">
              <w:rPr>
                <w:b/>
                <w:color w:val="FFFFFF" w:themeColor="background1"/>
              </w:rPr>
              <w:t>concepts</w:t>
            </w:r>
          </w:p>
        </w:tc>
      </w:tr>
      <w:tr w:rsidR="00E25A9D" w14:paraId="5DCD0AAF" w14:textId="77777777" w:rsidTr="002F7585">
        <w:trPr>
          <w:cantSplit/>
        </w:trPr>
        <w:tc>
          <w:tcPr>
            <w:tcW w:w="1032" w:type="pct"/>
          </w:tcPr>
          <w:p w14:paraId="362C09A8" w14:textId="77777777" w:rsidR="00E25A9D" w:rsidRDefault="00E25A9D" w:rsidP="00E25A9D">
            <w:pPr>
              <w:pStyle w:val="TableBodyText"/>
            </w:pPr>
            <w:r>
              <w:t>gas day</w:t>
            </w:r>
          </w:p>
        </w:tc>
        <w:tc>
          <w:tcPr>
            <w:tcW w:w="3968" w:type="pct"/>
          </w:tcPr>
          <w:p w14:paraId="527B432E" w14:textId="77777777" w:rsidR="00E25A9D" w:rsidRDefault="00E25A9D" w:rsidP="00E25A9D">
            <w:pPr>
              <w:pStyle w:val="TableBodyText"/>
            </w:pPr>
            <w:r>
              <w:t>Means a period of 24 consecutive hours used for the nomination, scheduling and provision of services provided by means of a natural gas facility</w:t>
            </w:r>
            <w:r w:rsidR="00216ADA">
              <w:t>.</w:t>
            </w:r>
          </w:p>
        </w:tc>
      </w:tr>
      <w:tr w:rsidR="00E25A9D" w14:paraId="650261F3" w14:textId="77777777" w:rsidTr="002F7585">
        <w:trPr>
          <w:cantSplit/>
        </w:trPr>
        <w:tc>
          <w:tcPr>
            <w:tcW w:w="1032" w:type="pct"/>
          </w:tcPr>
          <w:p w14:paraId="1E1FC6A6" w14:textId="77777777" w:rsidR="00E25A9D" w:rsidRDefault="00E25A9D" w:rsidP="00E25A9D">
            <w:pPr>
              <w:pStyle w:val="TableBodyText"/>
            </w:pPr>
            <w:r>
              <w:t>standard gas day</w:t>
            </w:r>
          </w:p>
        </w:tc>
        <w:tc>
          <w:tcPr>
            <w:tcW w:w="3968" w:type="pct"/>
          </w:tcPr>
          <w:p w14:paraId="4414976F" w14:textId="77777777" w:rsidR="00E25A9D" w:rsidRDefault="00E25A9D" w:rsidP="00E25A9D">
            <w:pPr>
              <w:pStyle w:val="TableBodyText"/>
            </w:pPr>
            <w:r>
              <w:t xml:space="preserve">Means the </w:t>
            </w:r>
            <w:r w:rsidR="001D776E">
              <w:t>24-hour</w:t>
            </w:r>
            <w:r>
              <w:t xml:space="preserve"> period starting at 6 am as specified in the rule 678(1).</w:t>
            </w:r>
          </w:p>
        </w:tc>
      </w:tr>
      <w:tr w:rsidR="00E25A9D" w14:paraId="4DDCDC9E" w14:textId="77777777" w:rsidTr="002F7585">
        <w:trPr>
          <w:cantSplit/>
        </w:trPr>
        <w:tc>
          <w:tcPr>
            <w:tcW w:w="1032" w:type="pct"/>
          </w:tcPr>
          <w:p w14:paraId="2774A54F" w14:textId="77777777" w:rsidR="00E25A9D" w:rsidRDefault="00E25A9D" w:rsidP="00E25A9D">
            <w:pPr>
              <w:pStyle w:val="TableBodyText"/>
            </w:pPr>
            <w:r>
              <w:t>nomination cut-off time</w:t>
            </w:r>
          </w:p>
        </w:tc>
        <w:tc>
          <w:tcPr>
            <w:tcW w:w="3968" w:type="pct"/>
          </w:tcPr>
          <w:p w14:paraId="40F68F1B" w14:textId="77777777" w:rsidR="00E25A9D" w:rsidRDefault="00E25A9D" w:rsidP="00E25A9D">
            <w:pPr>
              <w:pStyle w:val="TableBodyText"/>
            </w:pPr>
            <w:r>
              <w:t>Means the time by which a day-ahead nomination for a gas day must be made in order to be used for scheduling for that gas day.</w:t>
            </w:r>
          </w:p>
        </w:tc>
      </w:tr>
      <w:tr w:rsidR="00E25A9D" w14:paraId="6C5DC196" w14:textId="77777777" w:rsidTr="002F7585">
        <w:trPr>
          <w:cantSplit/>
        </w:trPr>
        <w:tc>
          <w:tcPr>
            <w:tcW w:w="1032" w:type="pct"/>
          </w:tcPr>
          <w:p w14:paraId="2D088320" w14:textId="77777777" w:rsidR="00E25A9D" w:rsidRDefault="00E25A9D" w:rsidP="00E25A9D">
            <w:pPr>
              <w:pStyle w:val="TableBodyText"/>
            </w:pPr>
            <w:r>
              <w:t>standard nomination cut-off time</w:t>
            </w:r>
          </w:p>
        </w:tc>
        <w:tc>
          <w:tcPr>
            <w:tcW w:w="3968" w:type="pct"/>
          </w:tcPr>
          <w:p w14:paraId="3A9B216A" w14:textId="77777777" w:rsidR="00E25A9D" w:rsidRDefault="00E25A9D" w:rsidP="00E25A9D">
            <w:pPr>
              <w:pStyle w:val="TableBodyText"/>
            </w:pPr>
            <w:r>
              <w:t xml:space="preserve">Means 3:00 pm on the gas day immediately preceding the gas day to which the nomination relates as specified in </w:t>
            </w:r>
            <w:r w:rsidR="00103CAD">
              <w:t xml:space="preserve">rule </w:t>
            </w:r>
            <w:r>
              <w:t>678(2).</w:t>
            </w:r>
          </w:p>
        </w:tc>
      </w:tr>
      <w:tr w:rsidR="00E25A9D" w14:paraId="07F4D8A5" w14:textId="77777777" w:rsidTr="002F7585">
        <w:trPr>
          <w:cantSplit/>
        </w:trPr>
        <w:tc>
          <w:tcPr>
            <w:tcW w:w="1032" w:type="pct"/>
          </w:tcPr>
          <w:p w14:paraId="63D88EC7" w14:textId="77777777" w:rsidR="00E25A9D" w:rsidRDefault="00E25A9D" w:rsidP="00E25A9D">
            <w:pPr>
              <w:pStyle w:val="TableBodyText"/>
            </w:pPr>
            <w:r>
              <w:t xml:space="preserve">standard market timetable </w:t>
            </w:r>
          </w:p>
        </w:tc>
        <w:tc>
          <w:tcPr>
            <w:tcW w:w="3968" w:type="pct"/>
          </w:tcPr>
          <w:p w14:paraId="05EA48BB" w14:textId="77777777" w:rsidR="00E25A9D" w:rsidRDefault="00E25A9D" w:rsidP="00E25A9D">
            <w:pPr>
              <w:pStyle w:val="TableBodyText"/>
            </w:pPr>
            <w:r>
              <w:t>Means the standard market timetable specified in the Rules in accordance with section 83B of the NGL.</w:t>
            </w:r>
          </w:p>
        </w:tc>
      </w:tr>
    </w:tbl>
    <w:p w14:paraId="5727F9F2" w14:textId="77777777" w:rsidR="00B0004D" w:rsidRDefault="00B0004D" w:rsidP="004F7F03"/>
    <w:p w14:paraId="33ACA81C" w14:textId="77777777" w:rsidR="00B0004D" w:rsidRDefault="00B0004D" w:rsidP="004F7F03"/>
    <w:p w14:paraId="01BA02EE" w14:textId="77777777" w:rsidR="00B0004D" w:rsidRDefault="00B0004D" w:rsidP="004F7F03"/>
    <w:p w14:paraId="580F263F" w14:textId="77777777" w:rsidR="00B0004D" w:rsidRDefault="00B0004D" w:rsidP="004F7F03">
      <w:pPr>
        <w:sectPr w:rsidR="00B0004D" w:rsidSect="00436621">
          <w:pgSz w:w="11907" w:h="16840" w:code="9"/>
          <w:pgMar w:top="1361" w:right="1418" w:bottom="992" w:left="1701" w:header="567" w:footer="397" w:gutter="0"/>
          <w:pgNumType w:fmt="lowerRoman"/>
          <w:cols w:space="708"/>
          <w:docGrid w:linePitch="360"/>
        </w:sectPr>
      </w:pPr>
    </w:p>
    <w:p w14:paraId="583B2B29" w14:textId="77777777" w:rsidR="00E164A7" w:rsidRDefault="005C2E04" w:rsidP="002D6499">
      <w:pPr>
        <w:pStyle w:val="Heading1"/>
        <w:spacing w:before="0" w:after="120"/>
      </w:pPr>
      <w:bookmarkStart w:id="51" w:name="_Toc452029502"/>
      <w:bookmarkStart w:id="52" w:name="_Toc509239416"/>
      <w:bookmarkEnd w:id="48"/>
      <w:bookmarkEnd w:id="49"/>
      <w:r>
        <w:lastRenderedPageBreak/>
        <w:t>I</w:t>
      </w:r>
      <w:bookmarkEnd w:id="51"/>
      <w:r>
        <w:t>ntroduction</w:t>
      </w:r>
      <w:bookmarkEnd w:id="52"/>
      <w:r w:rsidR="00F543AE">
        <w:t xml:space="preserve"> </w:t>
      </w:r>
    </w:p>
    <w:p w14:paraId="70F3A06E" w14:textId="77777777" w:rsidR="008B0B84" w:rsidRDefault="00B73EB7" w:rsidP="008A11FA">
      <w:pPr>
        <w:pStyle w:val="BodyText"/>
        <w:spacing w:before="120" w:line="252" w:lineRule="auto"/>
      </w:pPr>
      <w:r>
        <w:t>The Gas Market Reform Group (GMRG)</w:t>
      </w:r>
      <w:r w:rsidR="00B20837">
        <w:t xml:space="preserve"> </w:t>
      </w:r>
      <w:r>
        <w:t>was established by the COAG Energy Council (</w:t>
      </w:r>
      <w:r w:rsidR="00C76541">
        <w:t xml:space="preserve">Energy </w:t>
      </w:r>
      <w:r>
        <w:t xml:space="preserve">Council) in the latter half of 2016 </w:t>
      </w:r>
      <w:r w:rsidR="006F7012">
        <w:t xml:space="preserve">to </w:t>
      </w:r>
      <w:r w:rsidR="008B1846">
        <w:t>lead the design, development and implementation of a range of reforms</w:t>
      </w:r>
      <w:r w:rsidR="00B464E5">
        <w:t xml:space="preserve"> set out in the Gas Market Reform Package</w:t>
      </w:r>
      <w:r w:rsidR="002129A4">
        <w:t xml:space="preserve">, including a </w:t>
      </w:r>
      <w:r w:rsidR="00D73D6E">
        <w:t>package</w:t>
      </w:r>
      <w:r w:rsidR="002129A4">
        <w:t xml:space="preserve"> of capacity trading reforms.</w:t>
      </w:r>
      <w:r>
        <w:rPr>
          <w:rStyle w:val="FootnoteReference"/>
        </w:rPr>
        <w:footnoteReference w:id="2"/>
      </w:r>
      <w:r>
        <w:t xml:space="preserve"> </w:t>
      </w:r>
    </w:p>
    <w:p w14:paraId="4D5E8250" w14:textId="77777777" w:rsidR="004C7499" w:rsidRPr="00511F80" w:rsidRDefault="00F87169" w:rsidP="008A11FA">
      <w:pPr>
        <w:pStyle w:val="BodyText"/>
        <w:spacing w:line="252" w:lineRule="auto"/>
        <w:rPr>
          <w:rFonts w:cs="Arial"/>
        </w:rPr>
      </w:pPr>
      <w:r>
        <w:t xml:space="preserve">The </w:t>
      </w:r>
      <w:r w:rsidR="00D73D6E">
        <w:t>capacity trading reform package</w:t>
      </w:r>
      <w:r w:rsidR="008B0B84">
        <w:t xml:space="preserve"> </w:t>
      </w:r>
      <w:r w:rsidR="00D73D6E">
        <w:t xml:space="preserve">was </w:t>
      </w:r>
      <w:r w:rsidR="00296311">
        <w:t xml:space="preserve">recommended by the Australian Energy Market Commission (AEMC) </w:t>
      </w:r>
      <w:r w:rsidR="00066FB6">
        <w:t xml:space="preserve">as part of its </w:t>
      </w:r>
      <w:r w:rsidR="00296311" w:rsidRPr="00680C5B">
        <w:rPr>
          <w:rFonts w:cs="Arial"/>
          <w:i/>
          <w:iCs/>
        </w:rPr>
        <w:t>Eastern Australian Wholesale Gas Market and Pipelines Framework Review</w:t>
      </w:r>
      <w:r w:rsidR="00D00B76">
        <w:rPr>
          <w:rFonts w:cs="Arial"/>
          <w:i/>
          <w:iCs/>
        </w:rPr>
        <w:t xml:space="preserve"> (</w:t>
      </w:r>
      <w:r w:rsidR="005E3347" w:rsidRPr="005E3347">
        <w:rPr>
          <w:rFonts w:cs="Arial"/>
          <w:i/>
          <w:iCs/>
        </w:rPr>
        <w:t>East Coast Review</w:t>
      </w:r>
      <w:r w:rsidR="00D00B76">
        <w:rPr>
          <w:rFonts w:cs="Arial"/>
          <w:i/>
          <w:iCs/>
        </w:rPr>
        <w:t>)</w:t>
      </w:r>
      <w:r>
        <w:rPr>
          <w:rFonts w:cs="Arial"/>
          <w:iCs/>
        </w:rPr>
        <w:t xml:space="preserve"> and </w:t>
      </w:r>
      <w:r w:rsidR="00066FB6">
        <w:rPr>
          <w:rFonts w:cs="Arial"/>
          <w:iCs/>
        </w:rPr>
        <w:t xml:space="preserve">endorsed </w:t>
      </w:r>
      <w:r w:rsidR="009E46D8">
        <w:rPr>
          <w:rFonts w:cs="Arial"/>
          <w:iCs/>
        </w:rPr>
        <w:t xml:space="preserve">by the </w:t>
      </w:r>
      <w:r w:rsidR="00C76541">
        <w:rPr>
          <w:rFonts w:cs="Arial"/>
          <w:iCs/>
        </w:rPr>
        <w:t xml:space="preserve">Energy </w:t>
      </w:r>
      <w:r w:rsidR="00066FB6">
        <w:rPr>
          <w:rFonts w:cs="Arial"/>
          <w:iCs/>
        </w:rPr>
        <w:t>Council at its August 2016 meeting</w:t>
      </w:r>
      <w:r>
        <w:rPr>
          <w:rFonts w:cs="Arial"/>
          <w:iCs/>
        </w:rPr>
        <w:t xml:space="preserve">. </w:t>
      </w:r>
      <w:r w:rsidR="004C7499">
        <w:rPr>
          <w:rFonts w:cs="Arial"/>
          <w:iCs/>
        </w:rPr>
        <w:t>The reforms</w:t>
      </w:r>
      <w:r w:rsidR="00FB0886">
        <w:rPr>
          <w:rFonts w:cs="Arial"/>
          <w:iCs/>
        </w:rPr>
        <w:t xml:space="preserve">, which relate to </w:t>
      </w:r>
      <w:r w:rsidR="006E4AD4">
        <w:rPr>
          <w:rFonts w:cs="Arial"/>
          <w:iCs/>
        </w:rPr>
        <w:t xml:space="preserve">transmission </w:t>
      </w:r>
      <w:r w:rsidR="00FB0886">
        <w:rPr>
          <w:rFonts w:cs="Arial"/>
          <w:iCs/>
        </w:rPr>
        <w:t>pipeline and compression services (jointly referred to as ‘transportation services’)</w:t>
      </w:r>
      <w:r w:rsidR="001A60A3">
        <w:rPr>
          <w:rFonts w:cs="Arial"/>
          <w:iCs/>
        </w:rPr>
        <w:t>,</w:t>
      </w:r>
      <w:r w:rsidR="004C7499">
        <w:rPr>
          <w:rFonts w:cs="Arial"/>
          <w:iCs/>
        </w:rPr>
        <w:t xml:space="preserve"> include </w:t>
      </w:r>
      <w:r w:rsidR="004C7499" w:rsidRPr="00511F80">
        <w:rPr>
          <w:rFonts w:cs="Arial"/>
        </w:rPr>
        <w:t xml:space="preserve">the </w:t>
      </w:r>
      <w:r w:rsidR="00E171AB">
        <w:rPr>
          <w:rFonts w:cs="Arial"/>
        </w:rPr>
        <w:t xml:space="preserve">implementation </w:t>
      </w:r>
      <w:r w:rsidR="004C7499" w:rsidRPr="00511F80">
        <w:rPr>
          <w:rFonts w:cs="Arial"/>
        </w:rPr>
        <w:t>of:</w:t>
      </w:r>
    </w:p>
    <w:p w14:paraId="3DBA15B3" w14:textId="77777777" w:rsidR="00C14C57" w:rsidRPr="001C06D5" w:rsidRDefault="00C14C57" w:rsidP="002F7585">
      <w:pPr>
        <w:pStyle w:val="ListNumber"/>
        <w:ind w:left="357" w:hanging="357"/>
      </w:pPr>
      <w:r w:rsidRPr="00293665">
        <w:t>A capacity trading platform that will form part of the gas trading exchange (</w:t>
      </w:r>
      <w:r w:rsidR="002F7585">
        <w:t xml:space="preserve">Gas Supply Hub (GSH)) </w:t>
      </w:r>
      <w:r w:rsidRPr="001C06D5">
        <w:t>and provides for exchange-based trading of commonly traded transportation products and a listing service for other more bespoke products.</w:t>
      </w:r>
    </w:p>
    <w:p w14:paraId="26DF3751" w14:textId="77777777" w:rsidR="00D7099B" w:rsidRPr="001C06D5" w:rsidRDefault="00D7099B" w:rsidP="002F7585">
      <w:pPr>
        <w:pStyle w:val="ListNumber"/>
        <w:ind w:left="357" w:hanging="357"/>
      </w:pPr>
      <w:bookmarkStart w:id="53" w:name="_Hlk499658950"/>
      <w:r w:rsidRPr="001C06D5">
        <w:t xml:space="preserve">A day-ahead auction of contracted but un-nominated capacity, which will be conducted each day on non-exempt </w:t>
      </w:r>
      <w:r w:rsidR="00FA2870" w:rsidRPr="001C06D5">
        <w:t xml:space="preserve">transportation facilities </w:t>
      </w:r>
      <w:r w:rsidRPr="001C06D5">
        <w:t>shortly after nomination cut-off and subject to a reserve price of zero</w:t>
      </w:r>
      <w:bookmarkEnd w:id="53"/>
      <w:r w:rsidRPr="001C06D5">
        <w:t>.</w:t>
      </w:r>
    </w:p>
    <w:p w14:paraId="5C59D63F" w14:textId="77777777" w:rsidR="00C14C57" w:rsidRPr="001C06D5" w:rsidRDefault="002F7C5F" w:rsidP="002F7585">
      <w:pPr>
        <w:pStyle w:val="ListNumber"/>
        <w:ind w:left="357" w:hanging="357"/>
      </w:pPr>
      <w:r w:rsidRPr="001C06D5">
        <w:t xml:space="preserve">Standard </w:t>
      </w:r>
      <w:r w:rsidR="00C14C57" w:rsidRPr="001C06D5">
        <w:t>operational agreements</w:t>
      </w:r>
      <w:r w:rsidR="005872F1" w:rsidRPr="001C06D5">
        <w:t xml:space="preserve"> </w:t>
      </w:r>
      <w:r w:rsidR="00D05969" w:rsidRPr="001C06D5">
        <w:t xml:space="preserve">that will </w:t>
      </w:r>
      <w:r w:rsidR="00C14C57" w:rsidRPr="001C06D5">
        <w:t xml:space="preserve">establish the </w:t>
      </w:r>
      <w:r w:rsidR="00573D03" w:rsidRPr="001C06D5">
        <w:t xml:space="preserve">standard </w:t>
      </w:r>
      <w:r w:rsidR="002F14AE" w:rsidRPr="001C06D5">
        <w:t xml:space="preserve">contract </w:t>
      </w:r>
      <w:r w:rsidR="00C14C57" w:rsidRPr="001C06D5">
        <w:t xml:space="preserve">terms between service providers and shippers for capacity procured through the trading platform, day-ahead auction </w:t>
      </w:r>
      <w:r w:rsidR="00D05969" w:rsidRPr="001C06D5">
        <w:t xml:space="preserve">and </w:t>
      </w:r>
      <w:r w:rsidR="00C14C57" w:rsidRPr="001C06D5">
        <w:t>bilaterally</w:t>
      </w:r>
      <w:r w:rsidR="002F14AE" w:rsidRPr="001C06D5">
        <w:t xml:space="preserve">, and </w:t>
      </w:r>
      <w:r w:rsidR="00FA2870" w:rsidRPr="001C06D5">
        <w:t xml:space="preserve">a range of </w:t>
      </w:r>
      <w:r w:rsidR="002F14AE" w:rsidRPr="001C06D5">
        <w:t xml:space="preserve">other measures to facilitate </w:t>
      </w:r>
      <w:r w:rsidR="001A7613" w:rsidRPr="001C06D5">
        <w:t xml:space="preserve">capacity </w:t>
      </w:r>
      <w:r w:rsidR="002F14AE" w:rsidRPr="001C06D5">
        <w:t>trade</w:t>
      </w:r>
      <w:r w:rsidR="00771EC0" w:rsidRPr="001C06D5">
        <w:t>s and the auction</w:t>
      </w:r>
      <w:r w:rsidR="00C14C57" w:rsidRPr="001C06D5">
        <w:t xml:space="preserve">. </w:t>
      </w:r>
    </w:p>
    <w:p w14:paraId="7D7D1516" w14:textId="77777777" w:rsidR="00C14C57" w:rsidRPr="001C06D5" w:rsidRDefault="00C14C57" w:rsidP="002F7585">
      <w:pPr>
        <w:pStyle w:val="ListNumber"/>
        <w:ind w:left="357" w:hanging="357"/>
      </w:pPr>
      <w:r w:rsidRPr="001C06D5">
        <w:t>A reporting framework for secondary capacity trades</w:t>
      </w:r>
      <w:r w:rsidR="00983400" w:rsidRPr="001C06D5">
        <w:t xml:space="preserve"> and a number of other transparency measures</w:t>
      </w:r>
      <w:r w:rsidR="00E171AB" w:rsidRPr="001C06D5">
        <w:t xml:space="preserve"> that are designed to facilitate capacity trades and the auction</w:t>
      </w:r>
      <w:r w:rsidRPr="001C06D5">
        <w:t>.</w:t>
      </w:r>
    </w:p>
    <w:p w14:paraId="429EE3E7" w14:textId="77777777" w:rsidR="00C14C57" w:rsidRDefault="00C14C57" w:rsidP="002F7585">
      <w:pPr>
        <w:pStyle w:val="ListNumber"/>
        <w:ind w:left="357" w:hanging="357"/>
      </w:pPr>
      <w:r w:rsidRPr="001C06D5">
        <w:t xml:space="preserve">A harmonised gas day start time </w:t>
      </w:r>
      <w:r w:rsidR="00E171AB" w:rsidRPr="001C06D5">
        <w:t xml:space="preserve">of 6 am (AEST) </w:t>
      </w:r>
      <w:r w:rsidRPr="001C06D5">
        <w:t xml:space="preserve">and a common nomination cut-off time </w:t>
      </w:r>
      <w:r w:rsidR="00E171AB" w:rsidRPr="001C06D5">
        <w:t xml:space="preserve">of 3 pm (AEST) </w:t>
      </w:r>
      <w:r w:rsidRPr="001C06D5">
        <w:t>for pipelines and compress</w:t>
      </w:r>
      <w:r w:rsidR="00D7099B" w:rsidRPr="001C06D5">
        <w:t xml:space="preserve">ion facilities </w:t>
      </w:r>
      <w:r w:rsidRPr="001C06D5">
        <w:t xml:space="preserve">that are subject to the </w:t>
      </w:r>
      <w:r w:rsidR="002F7C5F" w:rsidRPr="001C06D5">
        <w:t>capacity</w:t>
      </w:r>
      <w:r w:rsidR="002F7C5F">
        <w:t xml:space="preserve"> trading reforms</w:t>
      </w:r>
      <w:r>
        <w:t>.</w:t>
      </w:r>
    </w:p>
    <w:p w14:paraId="6499F8F2" w14:textId="77777777" w:rsidR="000D5E82" w:rsidRPr="00511F80" w:rsidRDefault="000D5E82" w:rsidP="008A11FA">
      <w:pPr>
        <w:pStyle w:val="BodyText"/>
        <w:spacing w:after="60" w:line="252" w:lineRule="auto"/>
        <w:rPr>
          <w:rFonts w:eastAsiaTheme="majorEastAsia" w:cs="Arial"/>
        </w:rPr>
      </w:pPr>
      <w:bookmarkStart w:id="54" w:name="_Hlk481811189"/>
      <w:r>
        <w:rPr>
          <w:rFonts w:cs="Arial"/>
          <w:iCs/>
        </w:rPr>
        <w:t xml:space="preserve">Together these reforms </w:t>
      </w:r>
      <w:r w:rsidRPr="00511F80">
        <w:rPr>
          <w:rFonts w:cs="Arial"/>
        </w:rPr>
        <w:t xml:space="preserve">are expected to </w:t>
      </w:r>
      <w:r w:rsidRPr="00511F80">
        <w:rPr>
          <w:rFonts w:eastAsiaTheme="majorEastAsia" w:cs="Arial"/>
        </w:rPr>
        <w:t xml:space="preserve">foster the development of a more liquid </w:t>
      </w:r>
      <w:r>
        <w:rPr>
          <w:rFonts w:eastAsiaTheme="majorEastAsia" w:cs="Arial"/>
        </w:rPr>
        <w:t>secondary capacity market and, in so doing, improve the efficiency with which capacity is allocated and used on transportation assets operating under the contract carriage model (i.e. outside the Declared Transmission System (DTS) in Victoria),</w:t>
      </w:r>
      <w:r>
        <w:rPr>
          <w:rStyle w:val="FootnoteReference"/>
        </w:rPr>
        <w:footnoteReference w:id="3"/>
      </w:r>
      <w:r>
        <w:rPr>
          <w:rFonts w:eastAsiaTheme="majorEastAsia" w:cs="Arial"/>
        </w:rPr>
        <w:t xml:space="preserve"> </w:t>
      </w:r>
      <w:r w:rsidRPr="00511F80">
        <w:rPr>
          <w:rFonts w:eastAsiaTheme="majorEastAsia" w:cs="Arial"/>
        </w:rPr>
        <w:t>by:</w:t>
      </w:r>
      <w:r>
        <w:rPr>
          <w:rStyle w:val="FootnoteReference"/>
          <w:rFonts w:eastAsiaTheme="majorEastAsia" w:cs="Arial"/>
        </w:rPr>
        <w:footnoteReference w:id="4"/>
      </w:r>
    </w:p>
    <w:p w14:paraId="01F04890" w14:textId="77777777" w:rsidR="000D5E82" w:rsidRDefault="000D5E82" w:rsidP="008A11FA">
      <w:pPr>
        <w:pStyle w:val="ListBullet"/>
        <w:spacing w:before="0" w:after="60" w:line="252" w:lineRule="auto"/>
        <w:rPr>
          <w:rFonts w:eastAsiaTheme="majorEastAsia" w:cs="Arial"/>
        </w:rPr>
      </w:pPr>
      <w:r>
        <w:rPr>
          <w:rFonts w:eastAsiaTheme="majorEastAsia" w:cs="Arial"/>
        </w:rPr>
        <w:t>using market</w:t>
      </w:r>
      <w:r w:rsidR="00AE60C2">
        <w:rPr>
          <w:rFonts w:eastAsiaTheme="majorEastAsia" w:cs="Arial"/>
        </w:rPr>
        <w:t>-</w:t>
      </w:r>
      <w:r>
        <w:rPr>
          <w:rFonts w:eastAsiaTheme="majorEastAsia" w:cs="Arial"/>
        </w:rPr>
        <w:t>based processes to allocate capacity on a non-discriminatory basis to those that value it most;</w:t>
      </w:r>
    </w:p>
    <w:p w14:paraId="7A1C7E52" w14:textId="77777777" w:rsidR="000D5E82" w:rsidRPr="0037565A" w:rsidRDefault="000D5E82" w:rsidP="008A11FA">
      <w:pPr>
        <w:pStyle w:val="ListBullet"/>
        <w:spacing w:before="0" w:after="60" w:line="252" w:lineRule="auto"/>
        <w:rPr>
          <w:rFonts w:eastAsiaTheme="majorEastAsia" w:cs="Arial"/>
        </w:rPr>
      </w:pPr>
      <w:r w:rsidRPr="0037565A">
        <w:rPr>
          <w:rFonts w:eastAsiaTheme="majorEastAsia" w:cs="Arial"/>
          <w:color w:val="000000" w:themeColor="text1"/>
        </w:rPr>
        <w:t xml:space="preserve">improving the incentive shippers have to trade capacity and </w:t>
      </w:r>
      <w:r w:rsidRPr="0037565A">
        <w:rPr>
          <w:rFonts w:asciiTheme="majorHAnsi" w:eastAsiaTheme="minorEastAsia" w:hAnsiTheme="majorHAnsi" w:cstheme="majorHAnsi"/>
        </w:rPr>
        <w:t xml:space="preserve">posing a constraint on the ability of pipeline operators to sell secondary capacity </w:t>
      </w:r>
      <w:r>
        <w:rPr>
          <w:rFonts w:asciiTheme="majorHAnsi" w:eastAsiaTheme="minorEastAsia" w:hAnsiTheme="majorHAnsi" w:cstheme="majorHAnsi"/>
        </w:rPr>
        <w:t xml:space="preserve">at prices in excess of what </w:t>
      </w:r>
      <w:r w:rsidRPr="0037565A">
        <w:rPr>
          <w:rFonts w:asciiTheme="majorHAnsi" w:eastAsiaTheme="minorEastAsia" w:hAnsiTheme="majorHAnsi" w:cstheme="majorHAnsi"/>
        </w:rPr>
        <w:t>would be expected in a workably competitive market</w:t>
      </w:r>
      <w:r w:rsidRPr="0037565A">
        <w:rPr>
          <w:rFonts w:eastAsiaTheme="majorEastAsia" w:cs="Arial"/>
          <w:color w:val="000000" w:themeColor="text1"/>
        </w:rPr>
        <w:t>;</w:t>
      </w:r>
    </w:p>
    <w:p w14:paraId="322710F8" w14:textId="77777777" w:rsidR="002D6499" w:rsidRDefault="000D5E82" w:rsidP="008A11FA">
      <w:pPr>
        <w:pStyle w:val="ListBullet"/>
        <w:spacing w:before="0" w:after="60" w:line="252" w:lineRule="auto"/>
        <w:rPr>
          <w:rFonts w:eastAsiaTheme="majorEastAsia" w:cs="Arial"/>
        </w:rPr>
      </w:pPr>
      <w:r>
        <w:rPr>
          <w:rFonts w:eastAsiaTheme="majorEastAsia" w:cs="Arial"/>
        </w:rPr>
        <w:t>reducing search and transaction costs; and</w:t>
      </w:r>
    </w:p>
    <w:p w14:paraId="1FC2CA58" w14:textId="77777777" w:rsidR="000D5E82" w:rsidRPr="002D6499" w:rsidRDefault="000D5E82" w:rsidP="000D5E82">
      <w:pPr>
        <w:pStyle w:val="ListBullet"/>
        <w:spacing w:before="0" w:after="60" w:line="252" w:lineRule="auto"/>
        <w:rPr>
          <w:rFonts w:eastAsiaTheme="majorEastAsia" w:cs="Arial"/>
        </w:rPr>
      </w:pPr>
      <w:r w:rsidRPr="002D6499">
        <w:rPr>
          <w:rFonts w:eastAsiaTheme="majorEastAsia" w:cs="Arial"/>
        </w:rPr>
        <w:t>reducing information asymmetries and aiding the price discovery process.</w:t>
      </w:r>
    </w:p>
    <w:p w14:paraId="0ED95A0E" w14:textId="77777777" w:rsidR="00545B4E" w:rsidRDefault="00545B4E" w:rsidP="00545B4E">
      <w:pPr>
        <w:pStyle w:val="Heading2"/>
        <w:spacing w:after="120"/>
      </w:pPr>
      <w:bookmarkStart w:id="55" w:name="_Toc499542636"/>
      <w:bookmarkStart w:id="56" w:name="_Ref509145016"/>
      <w:bookmarkStart w:id="57" w:name="_Toc509239417"/>
      <w:r>
        <w:lastRenderedPageBreak/>
        <w:t>Progression of the capacity trading reform package</w:t>
      </w:r>
      <w:bookmarkEnd w:id="55"/>
      <w:bookmarkEnd w:id="56"/>
      <w:bookmarkEnd w:id="57"/>
      <w:r>
        <w:t xml:space="preserve"> </w:t>
      </w:r>
    </w:p>
    <w:p w14:paraId="43607485" w14:textId="77777777" w:rsidR="00726515" w:rsidRDefault="00E353EB" w:rsidP="008A11FA">
      <w:pPr>
        <w:pStyle w:val="BodyText"/>
        <w:spacing w:line="252" w:lineRule="auto"/>
      </w:pPr>
      <w:r>
        <w:t xml:space="preserve">Work on </w:t>
      </w:r>
      <w:r w:rsidR="00675F7A">
        <w:t xml:space="preserve">the </w:t>
      </w:r>
      <w:r w:rsidR="006E4AD4">
        <w:t xml:space="preserve">design of the </w:t>
      </w:r>
      <w:r w:rsidR="00675F7A">
        <w:t>capacity trading</w:t>
      </w:r>
      <w:r>
        <w:t xml:space="preserve"> reforms </w:t>
      </w:r>
      <w:r w:rsidR="007B5A6E">
        <w:t>commenced in</w:t>
      </w:r>
      <w:r w:rsidR="004B1217">
        <w:t xml:space="preserve"> early </w:t>
      </w:r>
      <w:r w:rsidR="007B5A6E">
        <w:t>2017</w:t>
      </w:r>
      <w:r w:rsidR="00AB7A7E">
        <w:t>. F</w:t>
      </w:r>
      <w:r w:rsidR="001A7335">
        <w:t>ollowing a detailed consultation process</w:t>
      </w:r>
      <w:r w:rsidR="00AB7A7E">
        <w:t xml:space="preserve"> that was conducted over 2017</w:t>
      </w:r>
      <w:r w:rsidR="006F02FC">
        <w:t xml:space="preserve">, </w:t>
      </w:r>
      <w:r w:rsidR="00E656E2">
        <w:t xml:space="preserve">which included </w:t>
      </w:r>
      <w:r w:rsidR="00A8516F">
        <w:t>a large number of meetings with industry</w:t>
      </w:r>
      <w:r w:rsidR="00925BCF">
        <w:t>-</w:t>
      </w:r>
      <w:r w:rsidR="00A8516F">
        <w:t xml:space="preserve">based project teams, </w:t>
      </w:r>
      <w:r w:rsidR="00AE5F63">
        <w:t xml:space="preserve">the </w:t>
      </w:r>
      <w:r w:rsidR="00F66485">
        <w:t>GMRG provided its final recommendations to the Energy Council</w:t>
      </w:r>
      <w:r w:rsidR="006A65BF">
        <w:t xml:space="preserve"> on</w:t>
      </w:r>
      <w:r w:rsidR="007260A1">
        <w:t>:</w:t>
      </w:r>
      <w:r w:rsidR="007260A1">
        <w:rPr>
          <w:rStyle w:val="FootnoteReference"/>
        </w:rPr>
        <w:t>:</w:t>
      </w:r>
    </w:p>
    <w:p w14:paraId="6662FD50" w14:textId="77777777" w:rsidR="00726515" w:rsidRDefault="00743EFC" w:rsidP="008A11FA">
      <w:pPr>
        <w:pStyle w:val="ListBullet"/>
        <w:spacing w:line="252" w:lineRule="auto"/>
      </w:pPr>
      <w:r>
        <w:t>t</w:t>
      </w:r>
      <w:r w:rsidR="00124256">
        <w:t xml:space="preserve">he proposal </w:t>
      </w:r>
      <w:r w:rsidR="00EC282C">
        <w:t xml:space="preserve">to accord </w:t>
      </w:r>
      <w:r w:rsidR="00A62012">
        <w:t>the Australian Energy Market Operator (</w:t>
      </w:r>
      <w:r w:rsidR="00124256">
        <w:t>AEMO</w:t>
      </w:r>
      <w:r w:rsidR="00A62012">
        <w:t>)</w:t>
      </w:r>
      <w:r w:rsidR="00124256">
        <w:t xml:space="preserve"> </w:t>
      </w:r>
      <w:r w:rsidR="00EC282C">
        <w:t xml:space="preserve">responsibility for operating </w:t>
      </w:r>
      <w:r w:rsidR="00726515">
        <w:t>and administer</w:t>
      </w:r>
      <w:r w:rsidR="00EC282C">
        <w:t>ing</w:t>
      </w:r>
      <w:r w:rsidR="00726515">
        <w:t xml:space="preserve"> the capacity trading platform and the day-ahead auction</w:t>
      </w:r>
      <w:r>
        <w:t xml:space="preserve">, which </w:t>
      </w:r>
      <w:r w:rsidR="00726515">
        <w:t xml:space="preserve">was </w:t>
      </w:r>
      <w:r w:rsidR="000A46B1">
        <w:t>approved</w:t>
      </w:r>
      <w:r w:rsidR="00124256">
        <w:t xml:space="preserve"> by the </w:t>
      </w:r>
      <w:r w:rsidR="00726515">
        <w:t xml:space="preserve">Energy Council </w:t>
      </w:r>
      <w:r w:rsidR="00643935">
        <w:t xml:space="preserve">at its </w:t>
      </w:r>
      <w:r w:rsidR="00585D28">
        <w:t xml:space="preserve">14 </w:t>
      </w:r>
      <w:r w:rsidR="00726515" w:rsidRPr="00585D28">
        <w:t>July 2017</w:t>
      </w:r>
      <w:r w:rsidR="00643935">
        <w:t xml:space="preserve"> meeting</w:t>
      </w:r>
      <w:r w:rsidR="00B33B62">
        <w:t>;</w:t>
      </w:r>
      <w:r w:rsidR="007260A1">
        <w:rPr>
          <w:rStyle w:val="FootnoteReference"/>
        </w:rPr>
        <w:footnoteReference w:id="5"/>
      </w:r>
    </w:p>
    <w:p w14:paraId="7E9CCE95" w14:textId="77777777" w:rsidR="00726515" w:rsidRPr="000A46B1" w:rsidRDefault="00743EFC" w:rsidP="008A11FA">
      <w:pPr>
        <w:pStyle w:val="ListBullet"/>
        <w:spacing w:line="252" w:lineRule="auto"/>
      </w:pPr>
      <w:r w:rsidRPr="000A46B1">
        <w:t>t</w:t>
      </w:r>
      <w:r w:rsidR="00726515" w:rsidRPr="000A46B1">
        <w:t xml:space="preserve">he </w:t>
      </w:r>
      <w:r w:rsidRPr="000A46B1">
        <w:t xml:space="preserve">proposed </w:t>
      </w:r>
      <w:r w:rsidR="00585D28" w:rsidRPr="000A46B1">
        <w:t xml:space="preserve">design of the capacity trading platform, the </w:t>
      </w:r>
      <w:r w:rsidR="007717DB">
        <w:t xml:space="preserve">secondary trading </w:t>
      </w:r>
      <w:r w:rsidR="00585D28" w:rsidRPr="000A46B1">
        <w:t>reporting framework, the standardisation related reforms</w:t>
      </w:r>
      <w:r w:rsidR="004E19E6">
        <w:t>, the harmonisation of gas day start times and nomination cut-off times</w:t>
      </w:r>
      <w:r w:rsidR="00585D28" w:rsidRPr="000A46B1">
        <w:t xml:space="preserve"> and other measures to reduce barriers to trade</w:t>
      </w:r>
      <w:r w:rsidRPr="000A46B1">
        <w:t xml:space="preserve">, which were </w:t>
      </w:r>
      <w:r w:rsidR="000A46B1" w:rsidRPr="000A46B1">
        <w:t xml:space="preserve">approved </w:t>
      </w:r>
      <w:r w:rsidRPr="000A46B1">
        <w:t xml:space="preserve">by the Energy Council </w:t>
      </w:r>
      <w:r w:rsidR="00643935">
        <w:t xml:space="preserve">at its </w:t>
      </w:r>
      <w:r w:rsidR="00726515" w:rsidRPr="000A46B1">
        <w:t>24 November 2017</w:t>
      </w:r>
      <w:r w:rsidR="007717DB">
        <w:t xml:space="preserve"> meeting</w:t>
      </w:r>
      <w:r w:rsidR="006D252E" w:rsidRPr="000A46B1">
        <w:t>;</w:t>
      </w:r>
      <w:r w:rsidR="007260A1">
        <w:rPr>
          <w:rStyle w:val="FootnoteReference"/>
        </w:rPr>
        <w:footnoteReference w:id="6"/>
      </w:r>
      <w:r w:rsidR="006D252E" w:rsidRPr="000A46B1">
        <w:t xml:space="preserve"> </w:t>
      </w:r>
      <w:r w:rsidR="00EC282C" w:rsidRPr="000A46B1">
        <w:t>and</w:t>
      </w:r>
    </w:p>
    <w:p w14:paraId="60AE393E" w14:textId="77777777" w:rsidR="00EC282C" w:rsidRPr="000A46B1" w:rsidRDefault="00EC282C" w:rsidP="008A11FA">
      <w:pPr>
        <w:pStyle w:val="ListBullet"/>
        <w:spacing w:after="240" w:line="252" w:lineRule="auto"/>
      </w:pPr>
      <w:r w:rsidRPr="000A46B1">
        <w:t xml:space="preserve">the proposed design of the day-ahead auction, which were </w:t>
      </w:r>
      <w:r w:rsidR="000A46B1" w:rsidRPr="000A46B1">
        <w:t xml:space="preserve">approved </w:t>
      </w:r>
      <w:r w:rsidRPr="000A46B1">
        <w:t xml:space="preserve">by the Energy Council </w:t>
      </w:r>
      <w:r w:rsidR="000A46B1" w:rsidRPr="000A46B1">
        <w:t>out-of-session on 3 January 2018.</w:t>
      </w:r>
      <w:r w:rsidR="007260A1">
        <w:rPr>
          <w:rStyle w:val="FootnoteReference"/>
        </w:rPr>
        <w:footnoteReference w:id="7"/>
      </w:r>
    </w:p>
    <w:p w14:paraId="16D6D6F8" w14:textId="77777777" w:rsidR="006F02FC" w:rsidRDefault="006F02FC" w:rsidP="008A11FA">
      <w:pPr>
        <w:pStyle w:val="BodyText"/>
        <w:spacing w:before="180" w:after="60" w:line="252" w:lineRule="auto"/>
      </w:pPr>
      <w:r>
        <w:t xml:space="preserve">The GMRG also provided its final recommendations </w:t>
      </w:r>
      <w:r w:rsidR="003941E0">
        <w:t xml:space="preserve">to the Energy Council </w:t>
      </w:r>
      <w:r>
        <w:t xml:space="preserve">on the </w:t>
      </w:r>
      <w:r w:rsidR="003941E0">
        <w:t xml:space="preserve">timing of the commencement of the reforms, </w:t>
      </w:r>
      <w:r w:rsidR="007717DB">
        <w:t>which were that:</w:t>
      </w:r>
    </w:p>
    <w:p w14:paraId="4B019A98" w14:textId="77777777" w:rsidR="006F02FC" w:rsidRDefault="006F02FC" w:rsidP="008A11FA">
      <w:pPr>
        <w:pStyle w:val="ListBullet"/>
        <w:spacing w:line="252" w:lineRule="auto"/>
      </w:pPr>
      <w:r>
        <w:t xml:space="preserve">the capacity trading platform and day-ahead auction should commence on </w:t>
      </w:r>
      <w:r w:rsidRPr="004E19E6">
        <w:rPr>
          <w:b/>
        </w:rPr>
        <w:t>1 March</w:t>
      </w:r>
      <w:r w:rsidR="00FB636A">
        <w:rPr>
          <w:b/>
        </w:rPr>
        <w:t> </w:t>
      </w:r>
      <w:r w:rsidRPr="004E19E6">
        <w:rPr>
          <w:b/>
        </w:rPr>
        <w:t xml:space="preserve">2019; </w:t>
      </w:r>
      <w:r>
        <w:t>and</w:t>
      </w:r>
    </w:p>
    <w:p w14:paraId="1794A365" w14:textId="77777777" w:rsidR="006F02FC" w:rsidRDefault="006F02FC" w:rsidP="008A11FA">
      <w:pPr>
        <w:pStyle w:val="ListBullet"/>
        <w:spacing w:line="252" w:lineRule="auto"/>
      </w:pPr>
      <w:r>
        <w:t xml:space="preserve">the harmonised gas day start times and nomination cut-off times should commence on </w:t>
      </w:r>
      <w:r w:rsidRPr="004E19E6">
        <w:rPr>
          <w:b/>
        </w:rPr>
        <w:t xml:space="preserve">1 October 2019. </w:t>
      </w:r>
    </w:p>
    <w:p w14:paraId="3C4D1BEE" w14:textId="77777777" w:rsidR="00A13852" w:rsidRDefault="007717DB" w:rsidP="008A11FA">
      <w:pPr>
        <w:pStyle w:val="BodyText"/>
        <w:spacing w:line="252" w:lineRule="auto"/>
      </w:pPr>
      <w:r>
        <w:t>These recommendations</w:t>
      </w:r>
      <w:r w:rsidR="00A13852">
        <w:t xml:space="preserve"> </w:t>
      </w:r>
      <w:r>
        <w:t xml:space="preserve">were endorsed by the Energy Council at </w:t>
      </w:r>
      <w:r w:rsidR="007766E4">
        <w:t xml:space="preserve">its </w:t>
      </w:r>
      <w:r>
        <w:t>24 November 2017 meeting</w:t>
      </w:r>
      <w:r w:rsidR="007766E4">
        <w:t>.</w:t>
      </w:r>
      <w:r w:rsidR="00A13852">
        <w:t xml:space="preserve"> </w:t>
      </w:r>
    </w:p>
    <w:p w14:paraId="753542D0" w14:textId="77777777" w:rsidR="001C06D5" w:rsidRDefault="001C06D5" w:rsidP="001C06D5">
      <w:pPr>
        <w:pStyle w:val="BodyText"/>
        <w:spacing w:line="252" w:lineRule="auto"/>
      </w:pPr>
      <w:r>
        <w:t>The draft package of legislative and regulatory changes contained in Attachment 1 is designed to give effect to the Energy Council approvals, but in addition contains some refinements to better reflect the objectives of the approved design.  These refinements are the outcome of additional work on a number of aspects of the design that GMRG foreshadowed would be required to be undertaken in early 2018, in conjunction with AEMO and industry, and from an enhanced understanding of the operational environment arising from further engagement with stakeholders. These refinements, which will be consulted upon through this process and will require Energy Council approval, relate to:</w:t>
      </w:r>
    </w:p>
    <w:p w14:paraId="17511F19" w14:textId="77777777" w:rsidR="00B15604" w:rsidRDefault="00E171AB" w:rsidP="00B15604">
      <w:pPr>
        <w:pStyle w:val="ListBullet"/>
      </w:pPr>
      <w:r>
        <w:t>t</w:t>
      </w:r>
      <w:r w:rsidR="005872F1">
        <w:t xml:space="preserve">he </w:t>
      </w:r>
      <w:r w:rsidR="00B15604">
        <w:t>following aspects of the standardisation related reforms and other measures to facilitate capacity trading and the auction:</w:t>
      </w:r>
    </w:p>
    <w:p w14:paraId="1E22CD8A" w14:textId="77777777" w:rsidR="00AE60C2" w:rsidRDefault="00B15604" w:rsidP="00B15604">
      <w:pPr>
        <w:pStyle w:val="ListBullet2"/>
      </w:pPr>
      <w:r>
        <w:lastRenderedPageBreak/>
        <w:t xml:space="preserve">the </w:t>
      </w:r>
      <w:r w:rsidR="005872F1">
        <w:t xml:space="preserve">circumstances in which </w:t>
      </w:r>
      <w:r w:rsidR="001C06D5">
        <w:t xml:space="preserve">service providers can obtain an </w:t>
      </w:r>
      <w:r w:rsidR="005872F1">
        <w:t xml:space="preserve">exemption from the obligation to publish a </w:t>
      </w:r>
      <w:r w:rsidR="001A60A3">
        <w:t>standard operational agreement</w:t>
      </w:r>
      <w:r w:rsidR="005872F1">
        <w:t xml:space="preserve"> </w:t>
      </w:r>
      <w:r>
        <w:t xml:space="preserve">and the day-ahead auction </w:t>
      </w:r>
      <w:r w:rsidR="005872F1">
        <w:t>can be obtained;</w:t>
      </w:r>
    </w:p>
    <w:p w14:paraId="3833D73D" w14:textId="77777777" w:rsidR="005872F1" w:rsidRDefault="00E171AB" w:rsidP="00B15604">
      <w:pPr>
        <w:pStyle w:val="ListBullet2"/>
      </w:pPr>
      <w:r>
        <w:t>t</w:t>
      </w:r>
      <w:r w:rsidR="005872F1">
        <w:t>he governance arrangements that will apply to the specification of zones, service points and pipeline segments that will be used in the day-ahead auction, capacity trading platform and reporting framework;</w:t>
      </w:r>
    </w:p>
    <w:p w14:paraId="37D50A2A" w14:textId="77777777" w:rsidR="00BF6E72" w:rsidRDefault="00BF6E72" w:rsidP="00B15604">
      <w:pPr>
        <w:pStyle w:val="ListBullet2"/>
      </w:pPr>
      <w:r>
        <w:t xml:space="preserve">the role of the Australian Energy Regulator </w:t>
      </w:r>
      <w:r w:rsidR="00FD4F92">
        <w:t xml:space="preserve">(AER) </w:t>
      </w:r>
      <w:r>
        <w:t>in relation to the Operational Transportation Service Code (Code)</w:t>
      </w:r>
      <w:r w:rsidR="00BC765A">
        <w:t>;</w:t>
      </w:r>
      <w:r w:rsidR="00B339DC">
        <w:rPr>
          <w:rStyle w:val="FootnoteReference"/>
        </w:rPr>
        <w:footnoteReference w:id="8"/>
      </w:r>
      <w:r w:rsidR="00B15604">
        <w:t xml:space="preserve"> and</w:t>
      </w:r>
    </w:p>
    <w:p w14:paraId="02F3C048" w14:textId="77777777" w:rsidR="00B15604" w:rsidRDefault="00B15604" w:rsidP="00B15604">
      <w:pPr>
        <w:pStyle w:val="ListBullet2"/>
      </w:pPr>
      <w:r>
        <w:t>the way in which contractual limitations on capacity trading in facility agreements will be addressed;</w:t>
      </w:r>
    </w:p>
    <w:p w14:paraId="5C244785" w14:textId="77777777" w:rsidR="00E171AB" w:rsidRDefault="00E171AB" w:rsidP="00B15604">
      <w:pPr>
        <w:pStyle w:val="ListBullet"/>
      </w:pPr>
      <w:r>
        <w:t>the following aspects of the design of the day-ahead auction:</w:t>
      </w:r>
    </w:p>
    <w:p w14:paraId="76D8B074" w14:textId="77777777" w:rsidR="00B15604" w:rsidRDefault="00B15604" w:rsidP="00B72FCA">
      <w:pPr>
        <w:pStyle w:val="Bullet2b0"/>
      </w:pPr>
      <w:r>
        <w:t xml:space="preserve">the as available and authorised overrun rights that will be grandfathered and the term over which they will be grandfathered; </w:t>
      </w:r>
    </w:p>
    <w:p w14:paraId="71F63BA3" w14:textId="77777777" w:rsidR="00E171AB" w:rsidRDefault="00E171AB" w:rsidP="00B72FCA">
      <w:pPr>
        <w:pStyle w:val="Bullet2b0"/>
      </w:pPr>
      <w:r>
        <w:t xml:space="preserve">the contract path model that will be used in the auction (i.e </w:t>
      </w:r>
      <w:r w:rsidR="00BF6E72">
        <w:t xml:space="preserve">a </w:t>
      </w:r>
      <w:r>
        <w:t>point-to-point, zonal or hybrid model);</w:t>
      </w:r>
      <w:r w:rsidR="00B15604">
        <w:t xml:space="preserve"> and</w:t>
      </w:r>
    </w:p>
    <w:p w14:paraId="0E5AD2D4" w14:textId="77777777" w:rsidR="00E171AB" w:rsidRDefault="00E171AB" w:rsidP="00B72FCA">
      <w:pPr>
        <w:pStyle w:val="Bullet2b0"/>
      </w:pPr>
      <w:r>
        <w:t xml:space="preserve">the </w:t>
      </w:r>
      <w:r w:rsidR="00BF6E72">
        <w:t xml:space="preserve">methodology </w:t>
      </w:r>
      <w:r>
        <w:t xml:space="preserve">used to calculate the auction quantity limits; </w:t>
      </w:r>
    </w:p>
    <w:p w14:paraId="4D56D72C" w14:textId="77777777" w:rsidR="005872F1" w:rsidRDefault="00E171AB" w:rsidP="00B15604">
      <w:pPr>
        <w:pStyle w:val="ListBullet"/>
      </w:pPr>
      <w:r>
        <w:t>t</w:t>
      </w:r>
      <w:r w:rsidR="005872F1">
        <w:t xml:space="preserve">he measures </w:t>
      </w:r>
      <w:r w:rsidR="00BF6E72">
        <w:t xml:space="preserve">to improve the transparency of </w:t>
      </w:r>
      <w:r w:rsidR="005872F1">
        <w:t>allocation agreements</w:t>
      </w:r>
      <w:r w:rsidR="00B406D1">
        <w:t xml:space="preserve">; </w:t>
      </w:r>
      <w:r w:rsidR="00B15604">
        <w:t>and</w:t>
      </w:r>
    </w:p>
    <w:p w14:paraId="178989C1" w14:textId="77777777" w:rsidR="00B406D1" w:rsidRDefault="00B406D1" w:rsidP="00B15604">
      <w:pPr>
        <w:pStyle w:val="ListBullet"/>
      </w:pPr>
      <w:r>
        <w:t>the transitional arrangements that will be required to facilitate the harmonisation of gas day start times</w:t>
      </w:r>
      <w:r w:rsidR="00B15604">
        <w:t>.</w:t>
      </w:r>
    </w:p>
    <w:p w14:paraId="127671A1" w14:textId="77777777" w:rsidR="00A83BA2" w:rsidRDefault="00A83BA2" w:rsidP="00DB13AB">
      <w:pPr>
        <w:pStyle w:val="BodyText"/>
      </w:pPr>
      <w:r>
        <w:t xml:space="preserve">Further detail on these refinements can be found in Chapters </w:t>
      </w:r>
      <w:r w:rsidR="00216ADA">
        <w:t>4</w:t>
      </w:r>
      <w:r>
        <w:t>-</w:t>
      </w:r>
      <w:r w:rsidR="00216ADA">
        <w:t>8</w:t>
      </w:r>
      <w:r>
        <w:t>.</w:t>
      </w:r>
    </w:p>
    <w:p w14:paraId="64F1F006" w14:textId="77777777" w:rsidR="00E246BB" w:rsidRDefault="00E246BB" w:rsidP="008A11FA">
      <w:pPr>
        <w:pStyle w:val="Heading2"/>
        <w:spacing w:before="120"/>
      </w:pPr>
      <w:bookmarkStart w:id="58" w:name="_Toc509239418"/>
      <w:r>
        <w:t>Jurisdictional application of the reforms</w:t>
      </w:r>
      <w:bookmarkEnd w:id="58"/>
    </w:p>
    <w:p w14:paraId="3091FB69" w14:textId="77777777" w:rsidR="00110FC0" w:rsidRDefault="00C57630" w:rsidP="001C06D5">
      <w:pPr>
        <w:pStyle w:val="BodyText"/>
      </w:pPr>
      <w:r>
        <w:t>A</w:t>
      </w:r>
      <w:r w:rsidRPr="00C6230D">
        <w:t xml:space="preserve"> final decision </w:t>
      </w:r>
      <w:r>
        <w:t xml:space="preserve">on </w:t>
      </w:r>
      <w:r w:rsidRPr="00C6230D">
        <w:t xml:space="preserve">the application of these reforms </w:t>
      </w:r>
      <w:r>
        <w:t xml:space="preserve">to </w:t>
      </w:r>
      <w:r w:rsidRPr="00C6230D">
        <w:t>W</w:t>
      </w:r>
      <w:r>
        <w:t xml:space="preserve">estern Australia (WA) and the Northern Territory (NT) </w:t>
      </w:r>
      <w:r w:rsidRPr="00C6230D">
        <w:t>is yet to be made.</w:t>
      </w:r>
      <w:r>
        <w:t xml:space="preserve"> In the event the reforms are adopted in WA, amendments to the National Gas Law of WA and regulations made under </w:t>
      </w:r>
      <w:r w:rsidR="00E7325E">
        <w:t xml:space="preserve">that Law will need to be made. </w:t>
      </w:r>
    </w:p>
    <w:p w14:paraId="6B66ADD4" w14:textId="77777777" w:rsidR="00E246BB" w:rsidRDefault="00B339DC" w:rsidP="008A11FA">
      <w:pPr>
        <w:pStyle w:val="BodyText"/>
        <w:spacing w:after="240"/>
      </w:pPr>
      <w:r>
        <w:t xml:space="preserve">In relation </w:t>
      </w:r>
      <w:r w:rsidR="00C57630" w:rsidRPr="00E3574D">
        <w:t xml:space="preserve">to the NT, the AEMC </w:t>
      </w:r>
      <w:r w:rsidR="00C57630">
        <w:rPr>
          <w:lang w:val="en"/>
        </w:rPr>
        <w:t>has recently completed a</w:t>
      </w:r>
      <w:r w:rsidR="00C57630" w:rsidRPr="00E3574D">
        <w:rPr>
          <w:lang w:val="en"/>
        </w:rPr>
        <w:t xml:space="preserve"> review into </w:t>
      </w:r>
      <w:r>
        <w:rPr>
          <w:lang w:val="en"/>
        </w:rPr>
        <w:t>whether the reforms should extend to this jurisdiction</w:t>
      </w:r>
      <w:r w:rsidR="00110FC0" w:rsidRPr="00BA0D08">
        <w:rPr>
          <w:lang w:val="en"/>
        </w:rPr>
        <w:t>.</w:t>
      </w:r>
      <w:r w:rsidR="00110FC0">
        <w:rPr>
          <w:lang w:val="en"/>
        </w:rPr>
        <w:t xml:space="preserve"> The Energy Council is expected to consider this recommendation in April and to then make its final decision on whether the reforms should apply in the NT. </w:t>
      </w:r>
      <w:r w:rsidR="00C57630">
        <w:rPr>
          <w:lang w:val="en"/>
        </w:rPr>
        <w:t xml:space="preserve">Given </w:t>
      </w:r>
      <w:r w:rsidR="00110FC0">
        <w:rPr>
          <w:lang w:val="en"/>
        </w:rPr>
        <w:t xml:space="preserve">this is expected to occur during </w:t>
      </w:r>
      <w:r w:rsidR="008A11FA">
        <w:rPr>
          <w:lang w:val="en"/>
        </w:rPr>
        <w:t xml:space="preserve">this </w:t>
      </w:r>
      <w:r w:rsidR="00C57630">
        <w:rPr>
          <w:lang w:val="en"/>
        </w:rPr>
        <w:t xml:space="preserve">consultation </w:t>
      </w:r>
      <w:r w:rsidR="008A11FA">
        <w:rPr>
          <w:lang w:val="en"/>
        </w:rPr>
        <w:t xml:space="preserve">process, the proposed legal and regulatory package has </w:t>
      </w:r>
      <w:r w:rsidR="00C57630" w:rsidRPr="00E3574D">
        <w:rPr>
          <w:lang w:val="en"/>
        </w:rPr>
        <w:t xml:space="preserve">been drafted on the basis </w:t>
      </w:r>
      <w:r w:rsidR="00C57630" w:rsidRPr="00E3574D">
        <w:t>that the NT will be</w:t>
      </w:r>
      <w:r w:rsidR="008A11FA">
        <w:t>come</w:t>
      </w:r>
      <w:r w:rsidR="00C57630" w:rsidRPr="00E3574D">
        <w:t xml:space="preserve"> subject to the reforms</w:t>
      </w:r>
      <w:r w:rsidR="00C57630">
        <w:t xml:space="preserve"> </w:t>
      </w:r>
      <w:r w:rsidR="00110FC0">
        <w:t>once the Northern Gas Pipeline is commissioned</w:t>
      </w:r>
      <w:r>
        <w:t>,</w:t>
      </w:r>
      <w:r w:rsidR="008A11FA">
        <w:t xml:space="preserve"> so that stakeholders can see how the reforms would apply to the NT. </w:t>
      </w:r>
      <w:r w:rsidR="00C57630">
        <w:t xml:space="preserve"> </w:t>
      </w:r>
      <w:r w:rsidR="008A11FA">
        <w:t>If the Energy Council decides that the reforms should not apply in the NT (or if only some of the reforms should apply), then the legal and regulatory package will be amended accordingly</w:t>
      </w:r>
      <w:r w:rsidR="00C57630">
        <w:t>.</w:t>
      </w:r>
      <w:r w:rsidR="00C57630" w:rsidRPr="00E246BB" w:rsidDel="00C57630">
        <w:rPr>
          <w:highlight w:val="yellow"/>
        </w:rPr>
        <w:t xml:space="preserve"> </w:t>
      </w:r>
    </w:p>
    <w:p w14:paraId="5D27912E" w14:textId="77777777" w:rsidR="00AE60C2" w:rsidRDefault="00AE60C2" w:rsidP="001C06D5">
      <w:pPr>
        <w:pStyle w:val="Heading2"/>
        <w:spacing w:before="120" w:after="120"/>
      </w:pPr>
      <w:bookmarkStart w:id="59" w:name="_Toc509239419"/>
      <w:r>
        <w:t>Implementation process</w:t>
      </w:r>
      <w:bookmarkEnd w:id="59"/>
      <w:r>
        <w:t xml:space="preserve"> </w:t>
      </w:r>
    </w:p>
    <w:bookmarkEnd w:id="54"/>
    <w:p w14:paraId="51F97298" w14:textId="77777777" w:rsidR="000D71F5" w:rsidRPr="006E21BE" w:rsidRDefault="000D71F5" w:rsidP="000D71F5">
      <w:pPr>
        <w:pStyle w:val="BodyText"/>
      </w:pPr>
      <w:r>
        <w:t>Before the capacity trading reform package can be implemented</w:t>
      </w:r>
      <w:r>
        <w:rPr>
          <w:rFonts w:asciiTheme="majorHAnsi" w:hAnsiTheme="majorHAnsi" w:cstheme="majorHAnsi"/>
        </w:rPr>
        <w:t xml:space="preserve">, </w:t>
      </w:r>
      <w:r>
        <w:t xml:space="preserve">work </w:t>
      </w:r>
      <w:r w:rsidRPr="006E21BE">
        <w:t xml:space="preserve">will </w:t>
      </w:r>
      <w:r w:rsidR="0072562F">
        <w:t xml:space="preserve">be </w:t>
      </w:r>
      <w:r w:rsidR="001C06D5">
        <w:t xml:space="preserve">required </w:t>
      </w:r>
      <w:r>
        <w:t>on</w:t>
      </w:r>
      <w:r w:rsidR="008D12D3">
        <w:t xml:space="preserve"> the following tasks</w:t>
      </w:r>
      <w:r w:rsidRPr="006E21BE">
        <w:t>:</w:t>
      </w:r>
    </w:p>
    <w:p w14:paraId="69AE05BC" w14:textId="77777777" w:rsidR="000D71F5" w:rsidRPr="001C06D5" w:rsidRDefault="00F83E1A" w:rsidP="003F5961">
      <w:pPr>
        <w:pStyle w:val="ListNumber"/>
        <w:numPr>
          <w:ilvl w:val="0"/>
          <w:numId w:val="45"/>
        </w:numPr>
        <w:ind w:left="357" w:hanging="357"/>
        <w:rPr>
          <w:rFonts w:eastAsiaTheme="minorEastAsia"/>
        </w:rPr>
      </w:pPr>
      <w:r w:rsidRPr="001C06D5">
        <w:rPr>
          <w:rFonts w:eastAsiaTheme="minorEastAsia"/>
        </w:rPr>
        <w:lastRenderedPageBreak/>
        <w:t>L</w:t>
      </w:r>
      <w:r w:rsidR="000D71F5" w:rsidRPr="001C06D5">
        <w:rPr>
          <w:rFonts w:eastAsiaTheme="minorEastAsia"/>
        </w:rPr>
        <w:t>egal</w:t>
      </w:r>
      <w:r w:rsidR="00B824C1" w:rsidRPr="001C06D5">
        <w:rPr>
          <w:rFonts w:eastAsiaTheme="minorEastAsia"/>
        </w:rPr>
        <w:t xml:space="preserve"> and</w:t>
      </w:r>
      <w:r w:rsidR="000D71F5" w:rsidRPr="001C06D5">
        <w:rPr>
          <w:rFonts w:eastAsiaTheme="minorEastAsia"/>
        </w:rPr>
        <w:t xml:space="preserve"> regulatory </w:t>
      </w:r>
      <w:r w:rsidR="00BB59A5" w:rsidRPr="001C06D5">
        <w:rPr>
          <w:rFonts w:eastAsiaTheme="minorEastAsia"/>
        </w:rPr>
        <w:t>framework</w:t>
      </w:r>
      <w:r w:rsidR="000D71F5" w:rsidRPr="001C06D5">
        <w:rPr>
          <w:rFonts w:eastAsiaTheme="minorEastAsia"/>
        </w:rPr>
        <w:t xml:space="preserve"> </w:t>
      </w:r>
      <w:r w:rsidRPr="001C06D5">
        <w:rPr>
          <w:rFonts w:eastAsiaTheme="minorEastAsia"/>
        </w:rPr>
        <w:t xml:space="preserve">development, </w:t>
      </w:r>
      <w:r w:rsidR="00C127E9" w:rsidRPr="001C06D5">
        <w:rPr>
          <w:rFonts w:eastAsiaTheme="minorEastAsia"/>
        </w:rPr>
        <w:t xml:space="preserve">which </w:t>
      </w:r>
      <w:r w:rsidR="000D71F5" w:rsidRPr="001C06D5">
        <w:rPr>
          <w:rFonts w:eastAsiaTheme="minorEastAsia"/>
        </w:rPr>
        <w:t>will involve:</w:t>
      </w:r>
    </w:p>
    <w:p w14:paraId="541EF94D" w14:textId="77777777" w:rsidR="00BD3554" w:rsidRDefault="007D61C7" w:rsidP="001C06D5">
      <w:pPr>
        <w:pStyle w:val="ListBullet2"/>
        <w:rPr>
          <w:rFonts w:eastAsiaTheme="minorEastAsia"/>
        </w:rPr>
      </w:pPr>
      <w:r>
        <w:rPr>
          <w:rFonts w:eastAsiaTheme="minorEastAsia"/>
        </w:rPr>
        <w:t>a</w:t>
      </w:r>
      <w:r w:rsidR="00C127E9">
        <w:rPr>
          <w:rFonts w:eastAsiaTheme="minorEastAsia"/>
        </w:rPr>
        <w:t xml:space="preserve">mending </w:t>
      </w:r>
      <w:r w:rsidR="000D71F5" w:rsidRPr="006E21BE">
        <w:rPr>
          <w:rFonts w:eastAsiaTheme="minorEastAsia"/>
        </w:rPr>
        <w:t xml:space="preserve">the </w:t>
      </w:r>
      <w:r w:rsidR="00B71057">
        <w:rPr>
          <w:rFonts w:eastAsiaTheme="minorEastAsia"/>
        </w:rPr>
        <w:t>National Gas Law (</w:t>
      </w:r>
      <w:r w:rsidR="000D71F5" w:rsidRPr="001A60A3">
        <w:rPr>
          <w:rFonts w:eastAsiaTheme="minorEastAsia"/>
          <w:b/>
        </w:rPr>
        <w:t>NGL</w:t>
      </w:r>
      <w:r w:rsidR="00B71057">
        <w:rPr>
          <w:rFonts w:eastAsiaTheme="minorEastAsia"/>
        </w:rPr>
        <w:t>),</w:t>
      </w:r>
      <w:r w:rsidR="000D71F5">
        <w:rPr>
          <w:rFonts w:eastAsiaTheme="minorEastAsia"/>
        </w:rPr>
        <w:t xml:space="preserve"> </w:t>
      </w:r>
      <w:r w:rsidR="000D71F5" w:rsidRPr="006E21BE">
        <w:rPr>
          <w:rFonts w:eastAsiaTheme="minorEastAsia"/>
        </w:rPr>
        <w:t xml:space="preserve">the </w:t>
      </w:r>
      <w:r w:rsidR="00092C5B">
        <w:rPr>
          <w:rFonts w:eastAsiaTheme="minorEastAsia"/>
        </w:rPr>
        <w:t>regulations made under the NGL (</w:t>
      </w:r>
      <w:r w:rsidR="000D71F5" w:rsidRPr="001A60A3">
        <w:rPr>
          <w:rFonts w:eastAsiaTheme="minorEastAsia"/>
          <w:b/>
        </w:rPr>
        <w:t>Regulations</w:t>
      </w:r>
      <w:r w:rsidR="00092C5B">
        <w:rPr>
          <w:rFonts w:eastAsiaTheme="minorEastAsia"/>
        </w:rPr>
        <w:t>)</w:t>
      </w:r>
      <w:r w:rsidR="00473884">
        <w:rPr>
          <w:rFonts w:eastAsiaTheme="minorEastAsia"/>
        </w:rPr>
        <w:t>, the National Gas Rules (</w:t>
      </w:r>
      <w:r w:rsidR="00473884" w:rsidRPr="001A60A3">
        <w:rPr>
          <w:rFonts w:eastAsiaTheme="minorEastAsia"/>
          <w:b/>
        </w:rPr>
        <w:t>NGR</w:t>
      </w:r>
      <w:r w:rsidR="00103CAD">
        <w:rPr>
          <w:rFonts w:eastAsiaTheme="minorEastAsia"/>
          <w:b/>
        </w:rPr>
        <w:t xml:space="preserve"> </w:t>
      </w:r>
      <w:r w:rsidR="00103CAD" w:rsidRPr="00103CAD">
        <w:rPr>
          <w:rFonts w:eastAsiaTheme="minorEastAsia"/>
        </w:rPr>
        <w:t>or</w:t>
      </w:r>
      <w:r w:rsidR="00103CAD">
        <w:rPr>
          <w:rFonts w:eastAsiaTheme="minorEastAsia"/>
          <w:b/>
        </w:rPr>
        <w:t xml:space="preserve"> Rules</w:t>
      </w:r>
      <w:r w:rsidR="00473884">
        <w:rPr>
          <w:rFonts w:eastAsiaTheme="minorEastAsia"/>
        </w:rPr>
        <w:t>)</w:t>
      </w:r>
      <w:r w:rsidR="000D71F5" w:rsidRPr="006E21BE">
        <w:rPr>
          <w:rFonts w:eastAsiaTheme="minorEastAsia"/>
        </w:rPr>
        <w:t xml:space="preserve"> and </w:t>
      </w:r>
      <w:r>
        <w:rPr>
          <w:rFonts w:eastAsiaTheme="minorEastAsia"/>
        </w:rPr>
        <w:t xml:space="preserve">developing </w:t>
      </w:r>
      <w:r w:rsidR="009C5234">
        <w:rPr>
          <w:rFonts w:eastAsiaTheme="minorEastAsia"/>
        </w:rPr>
        <w:t xml:space="preserve">a new </w:t>
      </w:r>
      <w:r>
        <w:rPr>
          <w:rFonts w:eastAsiaTheme="minorEastAsia"/>
        </w:rPr>
        <w:t xml:space="preserve">regulatory </w:t>
      </w:r>
      <w:r w:rsidR="000D71F5" w:rsidRPr="006E21BE">
        <w:rPr>
          <w:rFonts w:eastAsiaTheme="minorEastAsia"/>
        </w:rPr>
        <w:t>instrument</w:t>
      </w:r>
      <w:r w:rsidR="009C5234">
        <w:rPr>
          <w:rFonts w:eastAsiaTheme="minorEastAsia"/>
        </w:rPr>
        <w:t>, the Operational Transportation Service Code</w:t>
      </w:r>
      <w:r w:rsidR="00E262E3">
        <w:rPr>
          <w:rFonts w:eastAsiaTheme="minorEastAsia"/>
        </w:rPr>
        <w:t xml:space="preserve"> (</w:t>
      </w:r>
      <w:r w:rsidR="00E262E3" w:rsidRPr="001A60A3">
        <w:rPr>
          <w:rFonts w:eastAsiaTheme="minorEastAsia"/>
          <w:b/>
        </w:rPr>
        <w:t>Code</w:t>
      </w:r>
      <w:r w:rsidR="00E262E3">
        <w:rPr>
          <w:rFonts w:eastAsiaTheme="minorEastAsia"/>
        </w:rPr>
        <w:t>)</w:t>
      </w:r>
      <w:r w:rsidR="000D71F5" w:rsidRPr="006E21BE">
        <w:rPr>
          <w:rFonts w:eastAsiaTheme="minorEastAsia"/>
        </w:rPr>
        <w:t>;</w:t>
      </w:r>
      <w:r w:rsidR="00B824C1">
        <w:rPr>
          <w:rFonts w:eastAsiaTheme="minorEastAsia"/>
        </w:rPr>
        <w:t xml:space="preserve"> and</w:t>
      </w:r>
    </w:p>
    <w:p w14:paraId="434EF06A" w14:textId="77777777" w:rsidR="00BD3554" w:rsidRPr="00BD3554" w:rsidRDefault="000D71F5" w:rsidP="001C06D5">
      <w:pPr>
        <w:pStyle w:val="ListBullet2"/>
        <w:rPr>
          <w:rFonts w:eastAsiaTheme="minorEastAsia"/>
        </w:rPr>
      </w:pPr>
      <w:r w:rsidRPr="00BD3554">
        <w:rPr>
          <w:rFonts w:eastAsiaTheme="minorEastAsia"/>
        </w:rPr>
        <w:t xml:space="preserve">the development of </w:t>
      </w:r>
      <w:r w:rsidR="00473884" w:rsidRPr="00BD3554">
        <w:rPr>
          <w:rFonts w:eastAsiaTheme="minorEastAsia"/>
        </w:rPr>
        <w:t>the Capacity Transfer and Auction P</w:t>
      </w:r>
      <w:r w:rsidRPr="00BD3554">
        <w:rPr>
          <w:rFonts w:eastAsiaTheme="minorEastAsia"/>
        </w:rPr>
        <w:t>rocedures</w:t>
      </w:r>
      <w:r w:rsidR="009E013E" w:rsidRPr="00BD3554">
        <w:rPr>
          <w:rFonts w:eastAsiaTheme="minorEastAsia"/>
        </w:rPr>
        <w:t xml:space="preserve"> </w:t>
      </w:r>
      <w:r w:rsidR="00AE60C2">
        <w:rPr>
          <w:rFonts w:eastAsiaTheme="minorEastAsia"/>
        </w:rPr>
        <w:t xml:space="preserve">and the </w:t>
      </w:r>
      <w:r w:rsidR="009E013E" w:rsidRPr="00BD3554">
        <w:rPr>
          <w:rFonts w:eastAsiaTheme="minorEastAsia"/>
        </w:rPr>
        <w:t>Auction Agreement and amendments to the Exchange Agreement</w:t>
      </w:r>
      <w:r w:rsidRPr="00BD3554">
        <w:rPr>
          <w:rFonts w:eastAsiaTheme="minorEastAsia"/>
        </w:rPr>
        <w:t xml:space="preserve"> and </w:t>
      </w:r>
      <w:r w:rsidR="009E013E" w:rsidRPr="00BD3554">
        <w:rPr>
          <w:rFonts w:eastAsiaTheme="minorEastAsia"/>
        </w:rPr>
        <w:t xml:space="preserve">number of </w:t>
      </w:r>
      <w:r w:rsidRPr="00BD3554">
        <w:rPr>
          <w:rFonts w:eastAsiaTheme="minorEastAsia"/>
        </w:rPr>
        <w:t xml:space="preserve">other </w:t>
      </w:r>
      <w:r w:rsidR="00BD3554" w:rsidRPr="00BD3554">
        <w:rPr>
          <w:rFonts w:eastAsiaTheme="minorEastAsia"/>
        </w:rPr>
        <w:t>AEMO-</w:t>
      </w:r>
      <w:r w:rsidR="009E013E" w:rsidRPr="00BD3554">
        <w:rPr>
          <w:rFonts w:eastAsiaTheme="minorEastAsia"/>
        </w:rPr>
        <w:t>procedures</w:t>
      </w:r>
      <w:r w:rsidR="00BD3554">
        <w:rPr>
          <w:rFonts w:eastAsiaTheme="minorEastAsia"/>
        </w:rPr>
        <w:t xml:space="preserve">, including the </w:t>
      </w:r>
      <w:r w:rsidR="00216ADA">
        <w:rPr>
          <w:rFonts w:eastAsiaTheme="minorEastAsia"/>
        </w:rPr>
        <w:t xml:space="preserve">Natural Gas Services </w:t>
      </w:r>
      <w:r w:rsidR="00B339DC">
        <w:rPr>
          <w:rFonts w:eastAsiaTheme="minorEastAsia"/>
        </w:rPr>
        <w:t>Bulletin Board</w:t>
      </w:r>
      <w:r w:rsidR="00216ADA">
        <w:rPr>
          <w:rFonts w:eastAsiaTheme="minorEastAsia"/>
        </w:rPr>
        <w:t xml:space="preserve"> (Bulletin Board or BB)</w:t>
      </w:r>
      <w:r w:rsidR="00B339DC">
        <w:rPr>
          <w:rFonts w:eastAsiaTheme="minorEastAsia"/>
        </w:rPr>
        <w:t xml:space="preserve">, </w:t>
      </w:r>
      <w:r w:rsidR="00BD3554">
        <w:t>Short Term Trading Market (</w:t>
      </w:r>
      <w:r w:rsidR="00BD3554" w:rsidRPr="00404587">
        <w:t>STTM</w:t>
      </w:r>
      <w:r w:rsidR="00BD3554">
        <w:t>), Declared Wholesale Gas Market (</w:t>
      </w:r>
      <w:r w:rsidR="00BD3554" w:rsidRPr="00404587">
        <w:t>DWGM</w:t>
      </w:r>
      <w:r w:rsidR="00BD3554">
        <w:t xml:space="preserve">) and </w:t>
      </w:r>
      <w:r w:rsidR="00B110F2">
        <w:t>r</w:t>
      </w:r>
      <w:r w:rsidR="00BD3554">
        <w:t xml:space="preserve">etail </w:t>
      </w:r>
      <w:r w:rsidR="00B110F2">
        <w:t>m</w:t>
      </w:r>
      <w:r w:rsidR="00BD3554">
        <w:t xml:space="preserve">arket </w:t>
      </w:r>
      <w:r w:rsidR="00B339DC">
        <w:t>p</w:t>
      </w:r>
      <w:r w:rsidR="00BD3554">
        <w:t>rocedures.</w:t>
      </w:r>
    </w:p>
    <w:p w14:paraId="4669EC7F" w14:textId="77777777" w:rsidR="000753AE" w:rsidRPr="008D12D3" w:rsidRDefault="008D12D3" w:rsidP="00B406D1">
      <w:pPr>
        <w:pStyle w:val="ListNumber"/>
        <w:spacing w:line="245" w:lineRule="auto"/>
        <w:ind w:left="369" w:hanging="369"/>
        <w:rPr>
          <w:rFonts w:eastAsiaTheme="minorEastAsia"/>
        </w:rPr>
      </w:pPr>
      <w:r>
        <w:rPr>
          <w:rFonts w:eastAsiaTheme="minorEastAsia"/>
        </w:rPr>
        <w:t>M</w:t>
      </w:r>
      <w:r w:rsidR="00014082" w:rsidRPr="008D12D3">
        <w:rPr>
          <w:rFonts w:eastAsiaTheme="minorEastAsia"/>
        </w:rPr>
        <w:t>arket systems development, which will involve designing, developing and testing the new systems required for the capacity trading platform and day-ahead auction.</w:t>
      </w:r>
    </w:p>
    <w:p w14:paraId="68A2A3BE" w14:textId="77777777" w:rsidR="000753AE" w:rsidRPr="008D12D3" w:rsidRDefault="008D12D3" w:rsidP="00B406D1">
      <w:pPr>
        <w:pStyle w:val="ListNumber"/>
        <w:spacing w:line="245" w:lineRule="auto"/>
        <w:ind w:left="369" w:hanging="369"/>
        <w:rPr>
          <w:rFonts w:eastAsiaTheme="minorEastAsia"/>
        </w:rPr>
      </w:pPr>
      <w:r>
        <w:rPr>
          <w:rFonts w:eastAsiaTheme="minorEastAsia"/>
        </w:rPr>
        <w:t>I</w:t>
      </w:r>
      <w:r w:rsidR="00014082" w:rsidRPr="008D12D3">
        <w:rPr>
          <w:rFonts w:eastAsiaTheme="minorEastAsia"/>
        </w:rPr>
        <w:t>ndustry readiness, which will involve the development of guidelines and training material for market participants</w:t>
      </w:r>
      <w:r w:rsidR="00FE1DFE">
        <w:rPr>
          <w:rFonts w:eastAsiaTheme="minorEastAsia"/>
        </w:rPr>
        <w:t xml:space="preserve"> </w:t>
      </w:r>
      <w:r w:rsidR="00014082" w:rsidRPr="008D12D3">
        <w:rPr>
          <w:rFonts w:eastAsiaTheme="minorEastAsia"/>
        </w:rPr>
        <w:t>and other market readiness related activities.</w:t>
      </w:r>
    </w:p>
    <w:p w14:paraId="4270A789" w14:textId="77777777" w:rsidR="00F72B9E" w:rsidRDefault="00842C03" w:rsidP="00D850AE">
      <w:pPr>
        <w:pStyle w:val="BodyText"/>
      </w:pPr>
      <w:r>
        <w:t xml:space="preserve">This work is being carried out jointly </w:t>
      </w:r>
      <w:r w:rsidR="00525708">
        <w:t xml:space="preserve">by the </w:t>
      </w:r>
      <w:r w:rsidR="000D71F5">
        <w:t xml:space="preserve">GMRG </w:t>
      </w:r>
      <w:r w:rsidR="00525708">
        <w:t xml:space="preserve">and </w:t>
      </w:r>
      <w:r w:rsidR="00F06EEB">
        <w:t>AEMO, with</w:t>
      </w:r>
      <w:r w:rsidR="00F72B9E">
        <w:t>:</w:t>
      </w:r>
      <w:r w:rsidR="00F06EEB">
        <w:t xml:space="preserve"> </w:t>
      </w:r>
    </w:p>
    <w:p w14:paraId="76D801BE" w14:textId="77777777" w:rsidR="00F72B9E" w:rsidRDefault="00F06EEB" w:rsidP="00AE60C2">
      <w:pPr>
        <w:pStyle w:val="ListBullet"/>
        <w:spacing w:before="60" w:after="60"/>
      </w:pPr>
      <w:r>
        <w:t xml:space="preserve">the GMRG </w:t>
      </w:r>
      <w:r w:rsidR="000D71F5">
        <w:t xml:space="preserve">responsible for </w:t>
      </w:r>
      <w:r w:rsidR="00A70D62">
        <w:t xml:space="preserve">the development </w:t>
      </w:r>
      <w:r w:rsidR="00F72B9E">
        <w:t xml:space="preserve">and consultation on </w:t>
      </w:r>
      <w:r w:rsidR="000D71F5">
        <w:t xml:space="preserve">the legal </w:t>
      </w:r>
      <w:r w:rsidR="008D12D3">
        <w:t xml:space="preserve">and regulatory </w:t>
      </w:r>
      <w:r w:rsidR="00BB59A5">
        <w:t>framework</w:t>
      </w:r>
      <w:r w:rsidR="000D71F5">
        <w:t xml:space="preserve"> set out in (1)(a)</w:t>
      </w:r>
      <w:r w:rsidR="00B406D1">
        <w:t xml:space="preserve"> (the subject of this </w:t>
      </w:r>
      <w:r w:rsidR="00B15604">
        <w:t>Consultation Paper</w:t>
      </w:r>
      <w:r w:rsidR="00B406D1">
        <w:t>), which will need to be approved by the Energy Council</w:t>
      </w:r>
      <w:r w:rsidR="00F72B9E">
        <w:t xml:space="preserve">; </w:t>
      </w:r>
      <w:r w:rsidR="00B406D1">
        <w:t>and</w:t>
      </w:r>
    </w:p>
    <w:p w14:paraId="57C7C118" w14:textId="77777777" w:rsidR="00F72B9E" w:rsidRDefault="00DC46C0" w:rsidP="00AE60C2">
      <w:pPr>
        <w:pStyle w:val="ListBullet"/>
        <w:spacing w:before="60" w:after="60"/>
      </w:pPr>
      <w:r>
        <w:t xml:space="preserve">AEMO responsible for carrying out the work set out in (1)(b), (2) and (3). </w:t>
      </w:r>
    </w:p>
    <w:p w14:paraId="2547A54A" w14:textId="77777777" w:rsidR="00B339DC" w:rsidRDefault="00454B51" w:rsidP="00AE60C2">
      <w:pPr>
        <w:pStyle w:val="BodyText"/>
        <w:spacing w:before="180" w:after="60"/>
      </w:pPr>
      <w:r>
        <w:t xml:space="preserve">The proposed timing of these activities is </w:t>
      </w:r>
      <w:r w:rsidR="00AE60C2">
        <w:t xml:space="preserve">set out </w:t>
      </w:r>
      <w:r w:rsidR="00A70D62">
        <w:t xml:space="preserve">in </w:t>
      </w:r>
      <w:r w:rsidR="008F546D">
        <w:rPr>
          <w:highlight w:val="yellow"/>
        </w:rPr>
        <w:fldChar w:fldCharType="begin"/>
      </w:r>
      <w:r w:rsidR="008F546D">
        <w:instrText xml:space="preserve"> REF _Ref508259065 \h </w:instrText>
      </w:r>
      <w:r w:rsidR="008F546D">
        <w:rPr>
          <w:highlight w:val="yellow"/>
        </w:rPr>
      </w:r>
      <w:r w:rsidR="008F546D">
        <w:rPr>
          <w:highlight w:val="yellow"/>
        </w:rPr>
        <w:fldChar w:fldCharType="separate"/>
      </w:r>
      <w:r w:rsidR="00830BE4">
        <w:t xml:space="preserve">Figure </w:t>
      </w:r>
      <w:r w:rsidR="00830BE4">
        <w:rPr>
          <w:noProof/>
        </w:rPr>
        <w:t>1</w:t>
      </w:r>
      <w:r w:rsidR="00830BE4">
        <w:t>.</w:t>
      </w:r>
      <w:r w:rsidR="00830BE4">
        <w:rPr>
          <w:noProof/>
        </w:rPr>
        <w:t>1</w:t>
      </w:r>
      <w:r w:rsidR="008F546D">
        <w:rPr>
          <w:highlight w:val="yellow"/>
        </w:rPr>
        <w:fldChar w:fldCharType="end"/>
      </w:r>
      <w:r w:rsidR="008F546D" w:rsidRPr="00B824C1">
        <w:t>.</w:t>
      </w:r>
    </w:p>
    <w:p w14:paraId="489CCD1E" w14:textId="77777777" w:rsidR="001C06D5" w:rsidRDefault="001C06D5" w:rsidP="001C06D5">
      <w:pPr>
        <w:pStyle w:val="BodyText"/>
        <w:rPr>
          <w:rFonts w:eastAsiaTheme="minorEastAsia"/>
        </w:rPr>
      </w:pPr>
      <w:r>
        <w:t xml:space="preserve">As this figure highlights, changes to the legal and regulatory framework outlined in (1)(a) will need to be </w:t>
      </w:r>
      <w:r w:rsidRPr="00E0383C">
        <w:t>approved</w:t>
      </w:r>
      <w:r>
        <w:t xml:space="preserve"> by the Energy Council. If the changes are approved</w:t>
      </w:r>
      <w:r w:rsidRPr="00E0383C">
        <w:t xml:space="preserve">, the </w:t>
      </w:r>
      <w:r>
        <w:t xml:space="preserve">South Australian </w:t>
      </w:r>
      <w:r w:rsidRPr="00E0383C">
        <w:t xml:space="preserve">Minister for Mineral Resources and Energy will </w:t>
      </w:r>
      <w:r>
        <w:t xml:space="preserve">need to </w:t>
      </w:r>
      <w:r w:rsidRPr="00E0383C">
        <w:t xml:space="preserve">progress </w:t>
      </w:r>
      <w:r>
        <w:t xml:space="preserve">an NGL Amendment Bill </w:t>
      </w:r>
      <w:r w:rsidRPr="00E0383C">
        <w:t xml:space="preserve">through </w:t>
      </w:r>
      <w:r w:rsidR="00216ADA">
        <w:t xml:space="preserve">the </w:t>
      </w:r>
      <w:r>
        <w:t xml:space="preserve">South Australian </w:t>
      </w:r>
      <w:r w:rsidRPr="00E0383C">
        <w:t xml:space="preserve">Parliament. Following the proclamation of the </w:t>
      </w:r>
      <w:r>
        <w:t xml:space="preserve">changes to the </w:t>
      </w:r>
      <w:r w:rsidRPr="00E0383C">
        <w:t xml:space="preserve">NGL, the </w:t>
      </w:r>
      <w:r>
        <w:t xml:space="preserve">South Australian </w:t>
      </w:r>
      <w:r w:rsidRPr="00E0383C">
        <w:t xml:space="preserve">Minister will make the </w:t>
      </w:r>
      <w:r>
        <w:t xml:space="preserve">changes to the Regulations and NGR and will make the initial </w:t>
      </w:r>
      <w:r>
        <w:rPr>
          <w:rFonts w:eastAsiaTheme="minorEastAsia"/>
        </w:rPr>
        <w:t xml:space="preserve">Code.  This is </w:t>
      </w:r>
      <w:r w:rsidR="00216ADA">
        <w:rPr>
          <w:rFonts w:eastAsiaTheme="minorEastAsia"/>
        </w:rPr>
        <w:t>expected</w:t>
      </w:r>
      <w:r>
        <w:rPr>
          <w:rFonts w:eastAsiaTheme="minorEastAsia"/>
        </w:rPr>
        <w:t xml:space="preserve"> to occur by </w:t>
      </w:r>
      <w:r w:rsidR="00216ADA">
        <w:rPr>
          <w:rFonts w:eastAsiaTheme="minorEastAsia"/>
        </w:rPr>
        <w:t>late</w:t>
      </w:r>
      <w:r>
        <w:rPr>
          <w:rFonts w:eastAsiaTheme="minorEastAsia"/>
        </w:rPr>
        <w:t xml:space="preserve"> September 2018</w:t>
      </w:r>
      <w:r w:rsidR="00216ADA">
        <w:rPr>
          <w:rFonts w:eastAsiaTheme="minorEastAsia"/>
        </w:rPr>
        <w:t xml:space="preserve"> or early October</w:t>
      </w:r>
      <w:r>
        <w:rPr>
          <w:rFonts w:eastAsiaTheme="minorEastAsia"/>
        </w:rPr>
        <w:t xml:space="preserve">, but this timing is conditional upon the passage of the Amendment Bill through the South Australian Parliament and its subsequent proclamation. </w:t>
      </w:r>
    </w:p>
    <w:p w14:paraId="4275CB72" w14:textId="77777777" w:rsidR="001C06D5" w:rsidRDefault="001C06D5" w:rsidP="001C06D5">
      <w:pPr>
        <w:pStyle w:val="BodyText"/>
      </w:pPr>
      <w:r>
        <w:t>Once the changes to the NGL and NGR are made, AEMO will proceed to make the subordinate instruments outlined in (1)(b). This is currently scheduled to occur in October 2018, but this timing is conditional on the timing of changes to the NGL and NGR. To progress the development of these instruments, AEMO intends to consult with stakeholders in two stages, with the first stage to be carried out between 27 April 2018 and 14 May 2018 and the second stage to be carried out between 14 August 2018 and 25 September 2018.</w:t>
      </w:r>
    </w:p>
    <w:p w14:paraId="3C0A9C32" w14:textId="77777777" w:rsidR="001C06D5" w:rsidRDefault="001C06D5" w:rsidP="00D850AE">
      <w:pPr>
        <w:pStyle w:val="BodyText"/>
        <w:sectPr w:rsidR="001C06D5" w:rsidSect="00436621">
          <w:headerReference w:type="default" r:id="rId24"/>
          <w:footerReference w:type="default" r:id="rId25"/>
          <w:pgSz w:w="11907" w:h="16839" w:code="9"/>
          <w:pgMar w:top="1361" w:right="1418" w:bottom="992" w:left="1701" w:header="567" w:footer="397" w:gutter="0"/>
          <w:cols w:space="708"/>
          <w:docGrid w:linePitch="360"/>
        </w:sectPr>
      </w:pPr>
    </w:p>
    <w:p w14:paraId="7E170473" w14:textId="77777777" w:rsidR="00931BC1" w:rsidRDefault="00FE1DFE" w:rsidP="008F546D">
      <w:pPr>
        <w:pStyle w:val="Caption"/>
        <w:spacing w:before="0" w:after="0"/>
      </w:pPr>
      <w:bookmarkStart w:id="60" w:name="_Ref508259065"/>
      <w:r>
        <w:lastRenderedPageBreak/>
        <w:t xml:space="preserve">Figure </w:t>
      </w:r>
      <w:fldSimple w:instr=" STYLEREF 1 \s ">
        <w:r w:rsidR="00830BE4">
          <w:rPr>
            <w:noProof/>
          </w:rPr>
          <w:t>1</w:t>
        </w:r>
      </w:fldSimple>
      <w:r w:rsidR="00B73E3D">
        <w:t>.</w:t>
      </w:r>
      <w:fldSimple w:instr=" SEQ Figure \* ARABIC \s 1 ">
        <w:r w:rsidR="00830BE4">
          <w:rPr>
            <w:noProof/>
          </w:rPr>
          <w:t>1</w:t>
        </w:r>
      </w:fldSimple>
      <w:bookmarkEnd w:id="60"/>
      <w:r>
        <w:t>: Implementation time frames</w:t>
      </w:r>
      <w:r w:rsidR="005355D2">
        <w:t xml:space="preserve"> for the capacity trading platform and day-ahead auction </w:t>
      </w:r>
    </w:p>
    <w:p w14:paraId="5412AB42" w14:textId="77777777" w:rsidR="00FE1DFE" w:rsidRDefault="00C73B49" w:rsidP="008F546D">
      <w:pPr>
        <w:pStyle w:val="BodyText"/>
        <w:spacing w:before="0" w:after="0"/>
        <w:sectPr w:rsidR="00FE1DFE" w:rsidSect="00436621">
          <w:pgSz w:w="16839" w:h="11907" w:orient="landscape" w:code="9"/>
          <w:pgMar w:top="1361" w:right="1418" w:bottom="992" w:left="1701" w:header="567" w:footer="397" w:gutter="0"/>
          <w:cols w:space="708"/>
          <w:docGrid w:linePitch="360"/>
        </w:sectPr>
      </w:pPr>
      <w:r w:rsidRPr="00DF34E7">
        <w:rPr>
          <w:noProof/>
        </w:rPr>
        <w:drawing>
          <wp:inline distT="0" distB="0" distL="0" distR="0" wp14:anchorId="012AEDF6" wp14:editId="6C06D819">
            <wp:extent cx="8899764" cy="4314825"/>
            <wp:effectExtent l="0" t="0" r="0" b="0"/>
            <wp:docPr id="9" name="Picture 9" descr="image of timeline for Implementation of  the capacity trading platform and day-ahead auction " title="Figure 1.1: Implementation time frames for the capacity trading platform and day-ahead 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954" t="1418" r="4982"/>
                    <a:stretch/>
                  </pic:blipFill>
                  <pic:spPr bwMode="auto">
                    <a:xfrm>
                      <a:off x="0" y="0"/>
                      <a:ext cx="8904245" cy="4316998"/>
                    </a:xfrm>
                    <a:prstGeom prst="rect">
                      <a:avLst/>
                    </a:prstGeom>
                    <a:noFill/>
                    <a:ln>
                      <a:noFill/>
                    </a:ln>
                    <a:extLst>
                      <a:ext uri="{53640926-AAD7-44D8-BBD7-CCE9431645EC}">
                        <a14:shadowObscured xmlns:a14="http://schemas.microsoft.com/office/drawing/2010/main"/>
                      </a:ext>
                    </a:extLst>
                  </pic:spPr>
                </pic:pic>
              </a:graphicData>
            </a:graphic>
          </wp:inline>
        </w:drawing>
      </w:r>
    </w:p>
    <w:p w14:paraId="6B40EA00" w14:textId="77777777" w:rsidR="001C06D5" w:rsidRDefault="001D776E" w:rsidP="001C06D5">
      <w:pPr>
        <w:pStyle w:val="BodyText"/>
      </w:pPr>
      <w:r>
        <w:lastRenderedPageBreak/>
        <w:t>While</w:t>
      </w:r>
      <w:r w:rsidR="001C06D5">
        <w:t xml:space="preserve"> work is being carried out on the development of the legal and regulatory framework, AEMO will be carrying out work on the market systems development and industry readiness work streams to enable the capacity trading platform and day-ahead auction to commence on 1 March 2019. </w:t>
      </w:r>
    </w:p>
    <w:p w14:paraId="345DF8D6" w14:textId="77777777" w:rsidR="001C06D5" w:rsidRDefault="001C06D5" w:rsidP="001C06D5">
      <w:pPr>
        <w:pStyle w:val="BodyText"/>
      </w:pPr>
      <w:r>
        <w:t xml:space="preserve">While not shown in </w:t>
      </w:r>
      <w:r>
        <w:rPr>
          <w:highlight w:val="yellow"/>
        </w:rPr>
        <w:fldChar w:fldCharType="begin"/>
      </w:r>
      <w:r>
        <w:instrText xml:space="preserve"> REF _Ref508259065 \h </w:instrText>
      </w:r>
      <w:r>
        <w:rPr>
          <w:highlight w:val="yellow"/>
        </w:rPr>
      </w:r>
      <w:r>
        <w:rPr>
          <w:highlight w:val="yellow"/>
        </w:rPr>
        <w:fldChar w:fldCharType="separate"/>
      </w:r>
      <w:r w:rsidR="00830BE4">
        <w:t xml:space="preserve">Figure </w:t>
      </w:r>
      <w:r w:rsidR="00830BE4">
        <w:rPr>
          <w:noProof/>
        </w:rPr>
        <w:t>1</w:t>
      </w:r>
      <w:r w:rsidR="00830BE4">
        <w:t>.</w:t>
      </w:r>
      <w:r w:rsidR="00830BE4">
        <w:rPr>
          <w:noProof/>
        </w:rPr>
        <w:t>1</w:t>
      </w:r>
      <w:r>
        <w:rPr>
          <w:highlight w:val="yellow"/>
        </w:rPr>
        <w:fldChar w:fldCharType="end"/>
      </w:r>
      <w:r>
        <w:t xml:space="preserve">, work will also be carried out by AEMO in 2019 on the harmonisation related reforms, which will come into effect on 1 October 2019. </w:t>
      </w:r>
    </w:p>
    <w:p w14:paraId="142006E2" w14:textId="77777777" w:rsidR="000A47B2" w:rsidRDefault="00A15A88" w:rsidP="00AE60C2">
      <w:pPr>
        <w:pStyle w:val="Heading2"/>
      </w:pPr>
      <w:bookmarkStart w:id="61" w:name="_Toc509239420"/>
      <w:r>
        <w:t xml:space="preserve">Consultation </w:t>
      </w:r>
      <w:r w:rsidR="005A23CD">
        <w:t xml:space="preserve">on </w:t>
      </w:r>
      <w:r w:rsidR="00F12072">
        <w:t>the NGL, Regulations, NGR and Code</w:t>
      </w:r>
      <w:bookmarkEnd w:id="61"/>
      <w:r w:rsidR="004636C6">
        <w:t xml:space="preserve"> </w:t>
      </w:r>
    </w:p>
    <w:p w14:paraId="2BB4B71D" w14:textId="77777777" w:rsidR="0029154C" w:rsidRDefault="00AE2C5F" w:rsidP="0029154C">
      <w:pPr>
        <w:pStyle w:val="BodyText"/>
        <w:spacing w:before="120"/>
      </w:pPr>
      <w:bookmarkStart w:id="62" w:name="_Hlk487649803"/>
      <w:r>
        <w:t>I</w:t>
      </w:r>
      <w:r w:rsidR="0029154C">
        <w:t>mplementing the capacity trading reforms will</w:t>
      </w:r>
      <w:r>
        <w:t>, as noted above,</w:t>
      </w:r>
      <w:r w:rsidR="0029154C">
        <w:t xml:space="preserve"> require the Energy Council to agree to a package of legislative and regulatory </w:t>
      </w:r>
      <w:r w:rsidR="00067F90">
        <w:t>measures</w:t>
      </w:r>
      <w:r>
        <w:t>, which will include</w:t>
      </w:r>
      <w:r w:rsidR="0029154C">
        <w:t>:</w:t>
      </w:r>
    </w:p>
    <w:p w14:paraId="4EE1910D" w14:textId="77777777" w:rsidR="0029154C" w:rsidRDefault="0029154C" w:rsidP="0029154C">
      <w:pPr>
        <w:pStyle w:val="ListBullet"/>
      </w:pPr>
      <w:r>
        <w:t xml:space="preserve">changes to the </w:t>
      </w:r>
      <w:r w:rsidRPr="00B509D7">
        <w:rPr>
          <w:b/>
        </w:rPr>
        <w:t>NGL</w:t>
      </w:r>
      <w:r>
        <w:t>;</w:t>
      </w:r>
    </w:p>
    <w:p w14:paraId="3E867E6F" w14:textId="77777777" w:rsidR="0029154C" w:rsidRDefault="0029154C" w:rsidP="0029154C">
      <w:pPr>
        <w:pStyle w:val="ListBullet"/>
      </w:pPr>
      <w:r>
        <w:t xml:space="preserve">changes to the </w:t>
      </w:r>
      <w:r w:rsidRPr="00B509D7">
        <w:rPr>
          <w:b/>
        </w:rPr>
        <w:t>Regulations</w:t>
      </w:r>
      <w:r>
        <w:t xml:space="preserve">; </w:t>
      </w:r>
    </w:p>
    <w:p w14:paraId="48AD3294" w14:textId="77777777" w:rsidR="0029154C" w:rsidRDefault="0029154C" w:rsidP="0029154C">
      <w:pPr>
        <w:pStyle w:val="ListBullet"/>
      </w:pPr>
      <w:r>
        <w:t xml:space="preserve">changes to the </w:t>
      </w:r>
      <w:r w:rsidRPr="00B509D7">
        <w:rPr>
          <w:b/>
        </w:rPr>
        <w:t>NGR</w:t>
      </w:r>
      <w:bookmarkStart w:id="63" w:name="_Hlk508830508"/>
      <w:r>
        <w:t xml:space="preserve">, which will include: </w:t>
      </w:r>
    </w:p>
    <w:p w14:paraId="377A31D5" w14:textId="77777777" w:rsidR="0029154C" w:rsidRDefault="0029154C" w:rsidP="0029154C">
      <w:pPr>
        <w:pStyle w:val="ListBullet2"/>
      </w:pPr>
      <w:r>
        <w:t xml:space="preserve">changes to Part 15A (Registered Participants), Part 15B (Procedures), Part 18 (Natural Gas Services Bulletin Board) and Part 22 (Gas Trading Exchange); and </w:t>
      </w:r>
    </w:p>
    <w:p w14:paraId="65D67897" w14:textId="77777777" w:rsidR="0029154C" w:rsidRDefault="0029154C" w:rsidP="0029154C">
      <w:pPr>
        <w:pStyle w:val="ListBullet2"/>
      </w:pPr>
      <w:r>
        <w:t>the insertion of three new parts into the NGR (i.e. Part 24 (Facilitating Capacity Trades and the Capacity Auction), Part 25 (Capacity Auctions) and Part 26 (Standard Market Timetable))</w:t>
      </w:r>
      <w:r w:rsidR="004F360E">
        <w:t xml:space="preserve"> and a number of transitional rules</w:t>
      </w:r>
      <w:r>
        <w:t>; and</w:t>
      </w:r>
    </w:p>
    <w:bookmarkEnd w:id="63"/>
    <w:p w14:paraId="6FDD2C3E" w14:textId="77777777" w:rsidR="0029154C" w:rsidRPr="009B54B2" w:rsidRDefault="0029154C" w:rsidP="0029154C">
      <w:pPr>
        <w:pStyle w:val="ListBullet"/>
        <w:ind w:left="284" w:hanging="284"/>
      </w:pPr>
      <w:r w:rsidRPr="009B54B2">
        <w:t xml:space="preserve">the development of a new instrument, the </w:t>
      </w:r>
      <w:r w:rsidR="00BC1B66" w:rsidRPr="009B54B2">
        <w:rPr>
          <w:b/>
        </w:rPr>
        <w:t>Code</w:t>
      </w:r>
      <w:r w:rsidRPr="009B54B2">
        <w:t>.</w:t>
      </w:r>
    </w:p>
    <w:p w14:paraId="12F73C3D" w14:textId="77777777" w:rsidR="00AE2C5F" w:rsidRDefault="00694DD3" w:rsidP="00A1763B">
      <w:pPr>
        <w:pStyle w:val="BodyText"/>
      </w:pPr>
      <w:r w:rsidRPr="009B54B2">
        <w:t xml:space="preserve">A copy of the draft package </w:t>
      </w:r>
      <w:r w:rsidR="00046C16" w:rsidRPr="009B54B2">
        <w:t xml:space="preserve">of legislative and regulatory changes </w:t>
      </w:r>
      <w:r w:rsidR="004F360E">
        <w:t xml:space="preserve">(draft package) </w:t>
      </w:r>
      <w:r w:rsidRPr="009B54B2">
        <w:t xml:space="preserve">can be found in </w:t>
      </w:r>
      <w:r w:rsidRPr="00F83E1A">
        <w:rPr>
          <w:b/>
        </w:rPr>
        <w:t xml:space="preserve">Attachment </w:t>
      </w:r>
      <w:r w:rsidR="00046C16" w:rsidRPr="00F83E1A">
        <w:rPr>
          <w:b/>
        </w:rPr>
        <w:t>1</w:t>
      </w:r>
      <w:r w:rsidR="00F83E1A">
        <w:rPr>
          <w:b/>
        </w:rPr>
        <w:t xml:space="preserve"> </w:t>
      </w:r>
      <w:r w:rsidR="00F83E1A">
        <w:t>along with an overview of the matters that are expected to be dealt with in the Capacity Transfer and Auction Procedures that will be consulted upon by AEMO at the completion of this consultation process</w:t>
      </w:r>
      <w:r w:rsidR="00A83BA2">
        <w:t>. W</w:t>
      </w:r>
      <w:r w:rsidR="00AE2C5F">
        <w:t xml:space="preserve">ith the exception of the refinements outlined in section 1.2, </w:t>
      </w:r>
      <w:r w:rsidR="00A83BA2">
        <w:t>t</w:t>
      </w:r>
      <w:bookmarkStart w:id="64" w:name="_Hlk508831403"/>
      <w:r w:rsidR="00A83BA2">
        <w:t xml:space="preserve">he draft package </w:t>
      </w:r>
      <w:r w:rsidR="00AE2C5F">
        <w:t xml:space="preserve">reflects </w:t>
      </w:r>
      <w:r w:rsidR="00F83E1A">
        <w:t xml:space="preserve">the design of the capacity trading reform package, which </w:t>
      </w:r>
      <w:r w:rsidR="001C06D5">
        <w:t xml:space="preserve">was approved </w:t>
      </w:r>
      <w:r w:rsidR="00AE2C5F">
        <w:t xml:space="preserve">by the Energy Council </w:t>
      </w:r>
      <w:r w:rsidR="00A83BA2">
        <w:t xml:space="preserve">on 24 November 2017 and 3 January 2018. The draft package should therefore be read in conjunction with </w:t>
      </w:r>
      <w:r w:rsidR="001C06D5">
        <w:t>that approved design</w:t>
      </w:r>
      <w:r w:rsidR="00A83BA2">
        <w:t>.</w:t>
      </w:r>
      <w:r w:rsidR="00A83BA2">
        <w:rPr>
          <w:rStyle w:val="FootnoteReference"/>
        </w:rPr>
        <w:footnoteReference w:id="9"/>
      </w:r>
      <w:r w:rsidR="00A83BA2" w:rsidRPr="00A83BA2">
        <w:rPr>
          <w:vertAlign w:val="superscript"/>
        </w:rPr>
        <w:t>,</w:t>
      </w:r>
      <w:r w:rsidR="00A83BA2">
        <w:rPr>
          <w:rStyle w:val="FootnoteReference"/>
        </w:rPr>
        <w:footnoteReference w:id="10"/>
      </w:r>
    </w:p>
    <w:p w14:paraId="31CEB16D" w14:textId="77777777" w:rsidR="00942462" w:rsidRDefault="00701159" w:rsidP="00701159">
      <w:pPr>
        <w:pStyle w:val="BodyText"/>
      </w:pPr>
      <w:bookmarkStart w:id="65" w:name="_Hlk508831614"/>
      <w:bookmarkEnd w:id="64"/>
      <w:r w:rsidRPr="006E75F9">
        <w:t xml:space="preserve">The GMRG is seeking written feedback on </w:t>
      </w:r>
      <w:r w:rsidR="00665DE2">
        <w:t>the draft package</w:t>
      </w:r>
      <w:r w:rsidR="00A83BA2">
        <w:t>, the refinements outlined in section 1.2</w:t>
      </w:r>
      <w:r w:rsidR="00665DE2">
        <w:t xml:space="preserve"> </w:t>
      </w:r>
      <w:r w:rsidR="00EA53DB">
        <w:t xml:space="preserve">and other matters set out in this </w:t>
      </w:r>
      <w:r w:rsidR="00B15604">
        <w:t xml:space="preserve">Consultation Paper </w:t>
      </w:r>
      <w:r w:rsidRPr="006E75F9">
        <w:t>by</w:t>
      </w:r>
      <w:bookmarkEnd w:id="65"/>
      <w:r w:rsidRPr="006E75F9">
        <w:t xml:space="preserve"> </w:t>
      </w:r>
      <w:r w:rsidRPr="006E75F9">
        <w:rPr>
          <w:b/>
        </w:rPr>
        <w:t xml:space="preserve">5pm (AEST) </w:t>
      </w:r>
      <w:r w:rsidRPr="00F83E1A">
        <w:rPr>
          <w:b/>
        </w:rPr>
        <w:t>on</w:t>
      </w:r>
      <w:r w:rsidRPr="006E75F9">
        <w:t xml:space="preserve"> </w:t>
      </w:r>
      <w:r>
        <w:rPr>
          <w:b/>
        </w:rPr>
        <w:t>27</w:t>
      </w:r>
      <w:r w:rsidRPr="006E75F9">
        <w:rPr>
          <w:b/>
        </w:rPr>
        <w:t> </w:t>
      </w:r>
      <w:r>
        <w:rPr>
          <w:b/>
        </w:rPr>
        <w:t xml:space="preserve">April </w:t>
      </w:r>
      <w:r w:rsidRPr="006E75F9">
        <w:rPr>
          <w:b/>
        </w:rPr>
        <w:t>201</w:t>
      </w:r>
      <w:r>
        <w:rPr>
          <w:b/>
        </w:rPr>
        <w:t>8</w:t>
      </w:r>
      <w:r w:rsidRPr="006E75F9">
        <w:t>.</w:t>
      </w:r>
      <w:r>
        <w:t xml:space="preserve"> </w:t>
      </w:r>
      <w:bookmarkStart w:id="66" w:name="_Hlk508830987"/>
      <w:r w:rsidRPr="006E75F9">
        <w:t xml:space="preserve">To assist stakeholders, </w:t>
      </w:r>
      <w:r>
        <w:t xml:space="preserve">a template has been prepared </w:t>
      </w:r>
      <w:r w:rsidR="00942462">
        <w:t xml:space="preserve">(see </w:t>
      </w:r>
      <w:r w:rsidR="00942462" w:rsidRPr="00F83E1A">
        <w:rPr>
          <w:b/>
        </w:rPr>
        <w:t xml:space="preserve">Attachment </w:t>
      </w:r>
      <w:r w:rsidR="00046C16" w:rsidRPr="00F83E1A">
        <w:rPr>
          <w:b/>
        </w:rPr>
        <w:t>2</w:t>
      </w:r>
      <w:r w:rsidR="00942462">
        <w:t xml:space="preserve">) that </w:t>
      </w:r>
      <w:r>
        <w:t xml:space="preserve">stakeholders </w:t>
      </w:r>
      <w:r w:rsidR="00942462">
        <w:t xml:space="preserve">can </w:t>
      </w:r>
      <w:r>
        <w:t>use to provide their feedback on</w:t>
      </w:r>
      <w:r w:rsidR="00942462">
        <w:t>:</w:t>
      </w:r>
      <w:r>
        <w:t xml:space="preserve"> </w:t>
      </w:r>
    </w:p>
    <w:p w14:paraId="61795E17" w14:textId="77777777" w:rsidR="00942462" w:rsidRDefault="00701159" w:rsidP="00942462">
      <w:pPr>
        <w:pStyle w:val="ListBullet"/>
      </w:pPr>
      <w:r>
        <w:t xml:space="preserve">the </w:t>
      </w:r>
      <w:r w:rsidR="001A60A3">
        <w:t xml:space="preserve">new Code and the </w:t>
      </w:r>
      <w:r w:rsidR="00846FD9">
        <w:t>proposed amendments to the NGL, NGR</w:t>
      </w:r>
      <w:r w:rsidR="001A60A3">
        <w:t xml:space="preserve"> and </w:t>
      </w:r>
      <w:r w:rsidR="00846FD9">
        <w:t>Regulations</w:t>
      </w:r>
      <w:r w:rsidR="00942462">
        <w:t>;</w:t>
      </w:r>
      <w:r w:rsidR="00846FD9">
        <w:t xml:space="preserve"> </w:t>
      </w:r>
    </w:p>
    <w:p w14:paraId="081B7ABD" w14:textId="77777777" w:rsidR="00942462" w:rsidRDefault="00942462" w:rsidP="00942462">
      <w:pPr>
        <w:pStyle w:val="ListBullet"/>
      </w:pPr>
      <w:r>
        <w:t xml:space="preserve">the </w:t>
      </w:r>
      <w:r w:rsidR="00701159">
        <w:t xml:space="preserve">questions posed in this </w:t>
      </w:r>
      <w:r w:rsidR="00B15604">
        <w:t>Consultation Paper</w:t>
      </w:r>
      <w:r w:rsidR="001A60A3">
        <w:t>, including</w:t>
      </w:r>
      <w:r w:rsidR="00DB13AB">
        <w:t xml:space="preserve"> on the refinements that have been made to some aspects of the reform package</w:t>
      </w:r>
      <w:r>
        <w:t>;</w:t>
      </w:r>
      <w:r w:rsidR="00701159">
        <w:t xml:space="preserve"> and </w:t>
      </w:r>
    </w:p>
    <w:p w14:paraId="21406B18" w14:textId="77777777" w:rsidR="00942462" w:rsidRDefault="00701159" w:rsidP="00942462">
      <w:pPr>
        <w:pStyle w:val="ListBullet"/>
      </w:pPr>
      <w:r>
        <w:t xml:space="preserve">any other issues that they would like to provide feedback on. </w:t>
      </w:r>
    </w:p>
    <w:bookmarkEnd w:id="66"/>
    <w:p w14:paraId="3F5947AB" w14:textId="77777777" w:rsidR="00701159" w:rsidRDefault="00701159" w:rsidP="00701159">
      <w:pPr>
        <w:pStyle w:val="BodyText"/>
        <w:rPr>
          <w:rFonts w:cs="Arial"/>
        </w:rPr>
      </w:pPr>
      <w:r>
        <w:lastRenderedPageBreak/>
        <w:t xml:space="preserve">The GMRG strongly encourages stakeholders to use this template, so that it can have due regard to the views expressed by stakeholders on each issue. </w:t>
      </w:r>
      <w:r>
        <w:rPr>
          <w:rFonts w:cs="Arial"/>
        </w:rPr>
        <w:t>Stakeholders should not feel obliged to answer each question</w:t>
      </w:r>
      <w:r w:rsidR="00F83E1A">
        <w:rPr>
          <w:rFonts w:cs="Arial"/>
        </w:rPr>
        <w:t xml:space="preserve"> or comment on each provision</w:t>
      </w:r>
      <w:r>
        <w:rPr>
          <w:rFonts w:cs="Arial"/>
        </w:rPr>
        <w:t>, but rather address those issues of particular interest or concern.</w:t>
      </w:r>
    </w:p>
    <w:p w14:paraId="5F1F3DB1" w14:textId="77777777" w:rsidR="004636C6" w:rsidRDefault="001C06D5" w:rsidP="00272345">
      <w:pPr>
        <w:pStyle w:val="BodyText"/>
      </w:pPr>
      <w:r>
        <w:t>S</w:t>
      </w:r>
      <w:r w:rsidR="004636C6" w:rsidRPr="00144CFC">
        <w:t xml:space="preserve">takeholders will have an opportunity to attend a public forum, which will be held in Melbourne on </w:t>
      </w:r>
      <w:r w:rsidR="004636C6">
        <w:rPr>
          <w:b/>
        </w:rPr>
        <w:t>22</w:t>
      </w:r>
      <w:r w:rsidR="004636C6" w:rsidRPr="00144CFC">
        <w:rPr>
          <w:b/>
        </w:rPr>
        <w:t xml:space="preserve"> </w:t>
      </w:r>
      <w:r w:rsidR="004636C6">
        <w:rPr>
          <w:b/>
        </w:rPr>
        <w:t>March 2018</w:t>
      </w:r>
      <w:r w:rsidR="004636C6" w:rsidRPr="00144CFC">
        <w:t xml:space="preserve">. Stakeholders are encouraged to express their interest in attending this forum by emailing </w:t>
      </w:r>
      <w:hyperlink r:id="rId27" w:history="1">
        <w:r w:rsidR="004636C6" w:rsidRPr="00144CFC">
          <w:rPr>
            <w:rStyle w:val="Hyperlink"/>
            <w:rFonts w:cs="Arial"/>
          </w:rPr>
          <w:t>enquiries@gmrg.coagenergycouncil.gov.au</w:t>
        </w:r>
      </w:hyperlink>
      <w:r w:rsidR="004636C6" w:rsidRPr="00144CFC">
        <w:t>.</w:t>
      </w:r>
    </w:p>
    <w:p w14:paraId="4C8E8F95" w14:textId="77777777" w:rsidR="00622F52" w:rsidRDefault="00622F52" w:rsidP="001C06D5">
      <w:pPr>
        <w:pStyle w:val="Heading2"/>
        <w:spacing w:before="120" w:after="120"/>
      </w:pPr>
      <w:bookmarkStart w:id="67" w:name="_Toc509239421"/>
      <w:r>
        <w:t xml:space="preserve">Next </w:t>
      </w:r>
      <w:r w:rsidR="00E246BB">
        <w:t>s</w:t>
      </w:r>
      <w:r>
        <w:t>teps</w:t>
      </w:r>
      <w:bookmarkEnd w:id="67"/>
      <w:r>
        <w:t xml:space="preserve"> </w:t>
      </w:r>
    </w:p>
    <w:p w14:paraId="142730A2" w14:textId="77777777" w:rsidR="004636C6" w:rsidRDefault="004636C6" w:rsidP="00272345">
      <w:pPr>
        <w:pStyle w:val="BodyText"/>
        <w:rPr>
          <w:iCs/>
        </w:rPr>
      </w:pPr>
      <w:r>
        <w:rPr>
          <w:iCs/>
        </w:rPr>
        <w:t>The f</w:t>
      </w:r>
      <w:r w:rsidRPr="000C2607">
        <w:rPr>
          <w:iCs/>
        </w:rPr>
        <w:t xml:space="preserve">eedback received </w:t>
      </w:r>
      <w:r>
        <w:rPr>
          <w:iCs/>
        </w:rPr>
        <w:t xml:space="preserve">through this </w:t>
      </w:r>
      <w:r w:rsidRPr="000C2607">
        <w:rPr>
          <w:iCs/>
        </w:rPr>
        <w:t xml:space="preserve">consultation process will inform the GMRG’s </w:t>
      </w:r>
      <w:r>
        <w:rPr>
          <w:iCs/>
        </w:rPr>
        <w:t xml:space="preserve">final </w:t>
      </w:r>
      <w:r w:rsidRPr="000C2607">
        <w:rPr>
          <w:iCs/>
        </w:rPr>
        <w:t xml:space="preserve">recommendations </w:t>
      </w:r>
      <w:r>
        <w:rPr>
          <w:iCs/>
        </w:rPr>
        <w:t xml:space="preserve">on </w:t>
      </w:r>
      <w:r w:rsidRPr="000C2607">
        <w:rPr>
          <w:iCs/>
        </w:rPr>
        <w:t xml:space="preserve">the </w:t>
      </w:r>
      <w:r w:rsidR="00BF57DC">
        <w:rPr>
          <w:iCs/>
        </w:rPr>
        <w:t>drafting of the required amendments to the NGL, NGR, Regulations and Code</w:t>
      </w:r>
      <w:r w:rsidR="009F0A8D">
        <w:rPr>
          <w:iCs/>
        </w:rPr>
        <w:t xml:space="preserve">, which is </w:t>
      </w:r>
      <w:r w:rsidRPr="000C2607">
        <w:rPr>
          <w:iCs/>
        </w:rPr>
        <w:t xml:space="preserve">expected to be </w:t>
      </w:r>
      <w:r w:rsidR="00C57630">
        <w:rPr>
          <w:iCs/>
        </w:rPr>
        <w:t>considered by</w:t>
      </w:r>
      <w:r>
        <w:rPr>
          <w:iCs/>
        </w:rPr>
        <w:t xml:space="preserve"> the </w:t>
      </w:r>
      <w:r w:rsidRPr="000C2607">
        <w:rPr>
          <w:iCs/>
        </w:rPr>
        <w:t xml:space="preserve">Energy Council </w:t>
      </w:r>
      <w:r>
        <w:rPr>
          <w:iCs/>
        </w:rPr>
        <w:t xml:space="preserve">in </w:t>
      </w:r>
      <w:r w:rsidR="00DB13AB">
        <w:rPr>
          <w:iCs/>
        </w:rPr>
        <w:t xml:space="preserve">mid- </w:t>
      </w:r>
      <w:r>
        <w:rPr>
          <w:iCs/>
        </w:rPr>
        <w:t>201</w:t>
      </w:r>
      <w:r w:rsidR="009F0A8D">
        <w:rPr>
          <w:iCs/>
        </w:rPr>
        <w:t>8</w:t>
      </w:r>
      <w:r>
        <w:rPr>
          <w:iCs/>
        </w:rPr>
        <w:t xml:space="preserve">. </w:t>
      </w:r>
    </w:p>
    <w:p w14:paraId="3E8160BD" w14:textId="77777777" w:rsidR="000923D2" w:rsidRDefault="000923D2" w:rsidP="00272345">
      <w:pPr>
        <w:pStyle w:val="BodyText"/>
        <w:rPr>
          <w:iCs/>
        </w:rPr>
      </w:pPr>
      <w:r w:rsidRPr="000923D2">
        <w:rPr>
          <w:iCs/>
        </w:rPr>
        <w:t>If the proposed changes are approved</w:t>
      </w:r>
      <w:r w:rsidR="00C57630">
        <w:rPr>
          <w:iCs/>
        </w:rPr>
        <w:t xml:space="preserve"> by the Energy Council</w:t>
      </w:r>
      <w:r w:rsidRPr="000923D2">
        <w:rPr>
          <w:iCs/>
        </w:rPr>
        <w:t xml:space="preserve">, the </w:t>
      </w:r>
      <w:r w:rsidR="00877ACB">
        <w:rPr>
          <w:iCs/>
        </w:rPr>
        <w:t xml:space="preserve">South Australian </w:t>
      </w:r>
      <w:r w:rsidRPr="000923D2">
        <w:rPr>
          <w:iCs/>
        </w:rPr>
        <w:t>Minister for Mineral Resources and Energy will progress the NGL changes through SA Parliament</w:t>
      </w:r>
      <w:r w:rsidR="00877ACB">
        <w:rPr>
          <w:iCs/>
        </w:rPr>
        <w:t xml:space="preserve"> and once proclamation occurs, the </w:t>
      </w:r>
      <w:r w:rsidR="00AB6234">
        <w:rPr>
          <w:iCs/>
        </w:rPr>
        <w:t xml:space="preserve">Minister will make the </w:t>
      </w:r>
      <w:r w:rsidR="006E416B">
        <w:rPr>
          <w:iCs/>
        </w:rPr>
        <w:t xml:space="preserve">initial </w:t>
      </w:r>
      <w:r w:rsidR="001A60A3">
        <w:rPr>
          <w:iCs/>
        </w:rPr>
        <w:t>Code and amendments to the NGR</w:t>
      </w:r>
      <w:r w:rsidRPr="000923D2">
        <w:rPr>
          <w:iCs/>
        </w:rPr>
        <w:t>.</w:t>
      </w:r>
      <w:r w:rsidR="00272345">
        <w:rPr>
          <w:iCs/>
        </w:rPr>
        <w:t xml:space="preserve"> As noted in section 1.</w:t>
      </w:r>
      <w:r w:rsidR="00067F90">
        <w:rPr>
          <w:iCs/>
        </w:rPr>
        <w:t>3</w:t>
      </w:r>
      <w:r w:rsidR="00272345">
        <w:rPr>
          <w:iCs/>
        </w:rPr>
        <w:t xml:space="preserve">, this is currently </w:t>
      </w:r>
      <w:r w:rsidR="001C06D5">
        <w:rPr>
          <w:iCs/>
        </w:rPr>
        <w:t>scheduled</w:t>
      </w:r>
      <w:r w:rsidR="00272345">
        <w:rPr>
          <w:iCs/>
        </w:rPr>
        <w:t xml:space="preserve"> to occur in </w:t>
      </w:r>
      <w:r w:rsidR="00067F90">
        <w:rPr>
          <w:iCs/>
        </w:rPr>
        <w:t xml:space="preserve">late </w:t>
      </w:r>
      <w:r w:rsidR="00272345">
        <w:rPr>
          <w:iCs/>
        </w:rPr>
        <w:t>September</w:t>
      </w:r>
      <w:r w:rsidR="00216ADA">
        <w:rPr>
          <w:iCs/>
        </w:rPr>
        <w:t xml:space="preserve"> or early October</w:t>
      </w:r>
      <w:r w:rsidR="00272345">
        <w:rPr>
          <w:iCs/>
        </w:rPr>
        <w:t>.</w:t>
      </w:r>
      <w:r w:rsidR="00080E3B">
        <w:rPr>
          <w:iCs/>
        </w:rPr>
        <w:t xml:space="preserve"> </w:t>
      </w:r>
      <w:r w:rsidR="006D1B63">
        <w:rPr>
          <w:iCs/>
        </w:rPr>
        <w:t xml:space="preserve"> Once this occurs, AEMO will make the Capacity Transfer and Auction Procedures and other subordinate instruments it is responsible for making and amending. </w:t>
      </w:r>
    </w:p>
    <w:p w14:paraId="0468FABF" w14:textId="77777777" w:rsidR="00080E3B" w:rsidRDefault="00080E3B" w:rsidP="00333568">
      <w:pPr>
        <w:pStyle w:val="BodyText"/>
        <w:spacing w:after="240"/>
        <w:rPr>
          <w:iCs/>
        </w:rPr>
      </w:pPr>
      <w:r>
        <w:rPr>
          <w:iCs/>
        </w:rPr>
        <w:t xml:space="preserve">The table below </w:t>
      </w:r>
      <w:r w:rsidR="006E416B">
        <w:rPr>
          <w:iCs/>
        </w:rPr>
        <w:t xml:space="preserve">sets out the key dates </w:t>
      </w:r>
      <w:r w:rsidR="00F503F8">
        <w:rPr>
          <w:iCs/>
        </w:rPr>
        <w:t xml:space="preserve">for the development and implementation of the legal and regulatory </w:t>
      </w:r>
      <w:r w:rsidR="00BB59A5">
        <w:rPr>
          <w:iCs/>
        </w:rPr>
        <w:t>framework</w:t>
      </w:r>
      <w:r w:rsidR="00F503F8">
        <w:rPr>
          <w:iCs/>
        </w:rPr>
        <w:t xml:space="preserve">, including the </w:t>
      </w:r>
      <w:r w:rsidR="00114955">
        <w:rPr>
          <w:iCs/>
        </w:rPr>
        <w:t xml:space="preserve">proposed dates for consultation on the subordinate instruments </w:t>
      </w:r>
      <w:r w:rsidR="001A60A3">
        <w:rPr>
          <w:iCs/>
        </w:rPr>
        <w:t xml:space="preserve">for which </w:t>
      </w:r>
      <w:r w:rsidR="00114955">
        <w:rPr>
          <w:iCs/>
        </w:rPr>
        <w:t xml:space="preserve">AEMO </w:t>
      </w:r>
      <w:r w:rsidR="00F83E1A">
        <w:rPr>
          <w:iCs/>
        </w:rPr>
        <w:t>is responsible</w:t>
      </w:r>
      <w:r w:rsidR="00114955">
        <w:rPr>
          <w:iCs/>
        </w:rPr>
        <w:t xml:space="preserve">. </w:t>
      </w:r>
    </w:p>
    <w:p w14:paraId="4A681AD2" w14:textId="77777777" w:rsidR="00114955" w:rsidRDefault="007E3226" w:rsidP="001C06D5">
      <w:pPr>
        <w:pStyle w:val="Caption"/>
        <w:keepNext w:val="0"/>
        <w:keepLines w:val="0"/>
        <w:spacing w:before="0" w:after="0"/>
        <w:rPr>
          <w:iCs/>
        </w:rPr>
      </w:pPr>
      <w:r>
        <w:t xml:space="preserve">Table </w:t>
      </w:r>
      <w:fldSimple w:instr=" STYLEREF 1 \s ">
        <w:r w:rsidR="00830BE4">
          <w:rPr>
            <w:noProof/>
          </w:rPr>
          <w:t>1</w:t>
        </w:r>
      </w:fldSimple>
      <w:r w:rsidR="00676D5D">
        <w:t>.</w:t>
      </w:r>
      <w:fldSimple w:instr=" SEQ Table \* ARABIC \s 1 ">
        <w:r w:rsidR="00830BE4">
          <w:rPr>
            <w:noProof/>
          </w:rPr>
          <w:t>1</w:t>
        </w:r>
      </w:fldSimple>
      <w:r>
        <w:t>: Indicative dates</w:t>
      </w:r>
      <w:r w:rsidR="00D2151C">
        <w:t xml:space="preserve"> for</w:t>
      </w:r>
      <w:r w:rsidR="0056275C">
        <w:t xml:space="preserve"> development and </w:t>
      </w:r>
      <w:r w:rsidR="00D2151C">
        <w:t>implementation of</w:t>
      </w:r>
      <w:r w:rsidR="0056275C">
        <w:t xml:space="preserve"> </w:t>
      </w:r>
      <w:r w:rsidR="00D2151C">
        <w:t>legal and regula</w:t>
      </w:r>
      <w:r w:rsidR="0056275C">
        <w:t xml:space="preserve">tory </w:t>
      </w:r>
      <w:r w:rsidR="00BB59A5">
        <w:t>framework</w:t>
      </w:r>
    </w:p>
    <w:tbl>
      <w:tblPr>
        <w:tblStyle w:val="TableGrid"/>
        <w:tblW w:w="9214" w:type="dxa"/>
        <w:tblLook w:val="04A0" w:firstRow="1" w:lastRow="0" w:firstColumn="1" w:lastColumn="0" w:noHBand="0" w:noVBand="1"/>
        <w:tblCaption w:val="Table 1.1: Indicative dates for development and implementation of legal and regulatory framework"/>
        <w:tblDescription w:val="Table of indicative dates for development and implementation of legal and regulatory framework"/>
      </w:tblPr>
      <w:tblGrid>
        <w:gridCol w:w="2744"/>
        <w:gridCol w:w="1411"/>
        <w:gridCol w:w="5059"/>
      </w:tblGrid>
      <w:tr w:rsidR="00CA2C8C" w14:paraId="101E96AE" w14:textId="77777777" w:rsidTr="00674572">
        <w:trPr>
          <w:cnfStyle w:val="100000000000" w:firstRow="1" w:lastRow="0" w:firstColumn="0" w:lastColumn="0" w:oddVBand="0" w:evenVBand="0" w:oddHBand="0" w:evenHBand="0" w:firstRowFirstColumn="0" w:firstRowLastColumn="0" w:lastRowFirstColumn="0" w:lastRowLastColumn="0"/>
          <w:tblHeader/>
        </w:trPr>
        <w:tc>
          <w:tcPr>
            <w:tcW w:w="2744" w:type="dxa"/>
            <w:shd w:val="clear" w:color="auto" w:fill="0099CC"/>
          </w:tcPr>
          <w:p w14:paraId="16D9D54A" w14:textId="77777777" w:rsidR="00CA2C8C" w:rsidRDefault="00CA2C8C" w:rsidP="001C06D5">
            <w:pPr>
              <w:pStyle w:val="BodyText"/>
              <w:spacing w:before="40" w:after="40"/>
              <w:rPr>
                <w:iCs/>
              </w:rPr>
            </w:pPr>
            <w:r>
              <w:rPr>
                <w:iCs/>
              </w:rPr>
              <w:t>Date</w:t>
            </w:r>
          </w:p>
        </w:tc>
        <w:tc>
          <w:tcPr>
            <w:tcW w:w="1411" w:type="dxa"/>
            <w:shd w:val="clear" w:color="auto" w:fill="0099CC"/>
          </w:tcPr>
          <w:p w14:paraId="3DD83A0C" w14:textId="77777777" w:rsidR="00CA2C8C" w:rsidRDefault="00CA2C8C" w:rsidP="001C06D5">
            <w:pPr>
              <w:pStyle w:val="BodyText"/>
              <w:spacing w:before="40" w:after="40"/>
              <w:rPr>
                <w:iCs/>
              </w:rPr>
            </w:pPr>
            <w:r>
              <w:rPr>
                <w:iCs/>
              </w:rPr>
              <w:t>Responsibility</w:t>
            </w:r>
          </w:p>
        </w:tc>
        <w:tc>
          <w:tcPr>
            <w:tcW w:w="5059" w:type="dxa"/>
            <w:shd w:val="clear" w:color="auto" w:fill="0099CC"/>
          </w:tcPr>
          <w:p w14:paraId="2B37A0BF" w14:textId="77777777" w:rsidR="00CA2C8C" w:rsidRDefault="00CA2C8C" w:rsidP="001C06D5">
            <w:pPr>
              <w:pStyle w:val="BodyText"/>
              <w:spacing w:before="40" w:after="40"/>
              <w:ind w:right="-822"/>
              <w:rPr>
                <w:iCs/>
              </w:rPr>
            </w:pPr>
            <w:r>
              <w:rPr>
                <w:iCs/>
              </w:rPr>
              <w:t>Process</w:t>
            </w:r>
          </w:p>
        </w:tc>
      </w:tr>
      <w:tr w:rsidR="00CA2C8C" w14:paraId="6BD92DF7" w14:textId="77777777" w:rsidTr="001C06D5">
        <w:tc>
          <w:tcPr>
            <w:tcW w:w="2744" w:type="dxa"/>
          </w:tcPr>
          <w:p w14:paraId="00875C25" w14:textId="77777777" w:rsidR="00CA2C8C" w:rsidRDefault="00CA2C8C" w:rsidP="001C06D5">
            <w:pPr>
              <w:pStyle w:val="BodyText"/>
              <w:spacing w:before="40" w:after="40"/>
              <w:rPr>
                <w:iCs/>
              </w:rPr>
            </w:pPr>
            <w:r>
              <w:rPr>
                <w:iCs/>
              </w:rPr>
              <w:t xml:space="preserve">19 </w:t>
            </w:r>
            <w:r w:rsidRPr="00080E3B">
              <w:rPr>
                <w:iCs/>
              </w:rPr>
              <w:t>-March</w:t>
            </w:r>
            <w:r>
              <w:rPr>
                <w:iCs/>
              </w:rPr>
              <w:t xml:space="preserve"> 2018</w:t>
            </w:r>
            <w:r w:rsidRPr="00080E3B">
              <w:rPr>
                <w:iCs/>
              </w:rPr>
              <w:t xml:space="preserve"> - </w:t>
            </w:r>
            <w:r>
              <w:rPr>
                <w:iCs/>
              </w:rPr>
              <w:t xml:space="preserve">27 </w:t>
            </w:r>
            <w:r w:rsidRPr="00080E3B">
              <w:rPr>
                <w:iCs/>
              </w:rPr>
              <w:t>April 2018</w:t>
            </w:r>
          </w:p>
        </w:tc>
        <w:tc>
          <w:tcPr>
            <w:tcW w:w="1411" w:type="dxa"/>
          </w:tcPr>
          <w:p w14:paraId="63E69D21" w14:textId="77777777" w:rsidR="00CA2C8C" w:rsidRPr="00080E3B" w:rsidRDefault="00CA2C8C" w:rsidP="001C06D5">
            <w:pPr>
              <w:pStyle w:val="BodyText"/>
              <w:spacing w:before="40" w:after="40"/>
              <w:rPr>
                <w:iCs/>
              </w:rPr>
            </w:pPr>
            <w:r>
              <w:rPr>
                <w:iCs/>
              </w:rPr>
              <w:t>GMRG</w:t>
            </w:r>
          </w:p>
        </w:tc>
        <w:tc>
          <w:tcPr>
            <w:tcW w:w="5059" w:type="dxa"/>
          </w:tcPr>
          <w:p w14:paraId="2126E2D8" w14:textId="77777777" w:rsidR="00CA2C8C" w:rsidRDefault="00CA2C8C" w:rsidP="001C06D5">
            <w:pPr>
              <w:pStyle w:val="BodyText"/>
              <w:spacing w:before="40" w:after="40"/>
              <w:ind w:right="136"/>
              <w:rPr>
                <w:iCs/>
              </w:rPr>
            </w:pPr>
            <w:r w:rsidRPr="00080E3B">
              <w:rPr>
                <w:iCs/>
              </w:rPr>
              <w:t xml:space="preserve">Stakeholder consultation on the </w:t>
            </w:r>
            <w:r w:rsidR="00DB13AB">
              <w:rPr>
                <w:iCs/>
              </w:rPr>
              <w:t xml:space="preserve">draft </w:t>
            </w:r>
            <w:r>
              <w:rPr>
                <w:iCs/>
              </w:rPr>
              <w:t xml:space="preserve">NGL, NGR, Regulations and Code </w:t>
            </w:r>
          </w:p>
        </w:tc>
      </w:tr>
      <w:tr w:rsidR="00CA2C8C" w14:paraId="55CCAE1F" w14:textId="77777777" w:rsidTr="001C06D5">
        <w:trPr>
          <w:cnfStyle w:val="000000010000" w:firstRow="0" w:lastRow="0" w:firstColumn="0" w:lastColumn="0" w:oddVBand="0" w:evenVBand="0" w:oddHBand="0" w:evenHBand="1" w:firstRowFirstColumn="0" w:firstRowLastColumn="0" w:lastRowFirstColumn="0" w:lastRowLastColumn="0"/>
        </w:trPr>
        <w:tc>
          <w:tcPr>
            <w:tcW w:w="2744" w:type="dxa"/>
          </w:tcPr>
          <w:p w14:paraId="05C55119" w14:textId="77777777" w:rsidR="00CA2C8C" w:rsidRDefault="00CA2C8C" w:rsidP="001C06D5">
            <w:pPr>
              <w:pStyle w:val="BodyText"/>
              <w:spacing w:before="40" w:after="40"/>
              <w:rPr>
                <w:iCs/>
              </w:rPr>
            </w:pPr>
            <w:r>
              <w:rPr>
                <w:iCs/>
              </w:rPr>
              <w:t>27 April 2018 – 14 May 2018</w:t>
            </w:r>
          </w:p>
        </w:tc>
        <w:tc>
          <w:tcPr>
            <w:tcW w:w="1411" w:type="dxa"/>
          </w:tcPr>
          <w:p w14:paraId="7DC4E300" w14:textId="77777777" w:rsidR="00CA2C8C" w:rsidRDefault="00CA2C8C" w:rsidP="001C06D5">
            <w:pPr>
              <w:pStyle w:val="BodyText"/>
              <w:spacing w:before="40" w:after="40"/>
              <w:rPr>
                <w:iCs/>
              </w:rPr>
            </w:pPr>
            <w:r>
              <w:rPr>
                <w:iCs/>
              </w:rPr>
              <w:t>AEMO</w:t>
            </w:r>
          </w:p>
        </w:tc>
        <w:tc>
          <w:tcPr>
            <w:tcW w:w="5059" w:type="dxa"/>
          </w:tcPr>
          <w:p w14:paraId="05457CAD" w14:textId="77777777" w:rsidR="00CA2C8C" w:rsidRPr="00080E3B" w:rsidRDefault="00065CC4" w:rsidP="001C06D5">
            <w:pPr>
              <w:pStyle w:val="BodyText"/>
              <w:spacing w:before="40" w:after="40"/>
              <w:ind w:right="136"/>
              <w:rPr>
                <w:iCs/>
              </w:rPr>
            </w:pPr>
            <w:r>
              <w:rPr>
                <w:iCs/>
              </w:rPr>
              <w:t>Consultation</w:t>
            </w:r>
            <w:r w:rsidR="00CA2C8C">
              <w:rPr>
                <w:iCs/>
              </w:rPr>
              <w:t xml:space="preserve"> on the</w:t>
            </w:r>
            <w:r w:rsidR="006518C5">
              <w:rPr>
                <w:iCs/>
              </w:rPr>
              <w:t xml:space="preserve"> draft</w:t>
            </w:r>
            <w:r w:rsidR="00CA2C8C">
              <w:rPr>
                <w:iCs/>
              </w:rPr>
              <w:t xml:space="preserve"> </w:t>
            </w:r>
            <w:r w:rsidR="006432F9">
              <w:rPr>
                <w:iCs/>
              </w:rPr>
              <w:t>Capacity Transfer and Auction P</w:t>
            </w:r>
            <w:r w:rsidR="00CA2C8C">
              <w:rPr>
                <w:iCs/>
              </w:rPr>
              <w:t>rocedures</w:t>
            </w:r>
            <w:r w:rsidR="006432F9">
              <w:rPr>
                <w:iCs/>
              </w:rPr>
              <w:t>, the Auction Agreement, Exchange Agreement</w:t>
            </w:r>
            <w:r w:rsidR="00CA2C8C">
              <w:rPr>
                <w:iCs/>
              </w:rPr>
              <w:t xml:space="preserve"> </w:t>
            </w:r>
            <w:r w:rsidR="006432F9">
              <w:rPr>
                <w:iCs/>
              </w:rPr>
              <w:t>and other AEMO made procedures</w:t>
            </w:r>
            <w:r w:rsidR="00032D65">
              <w:rPr>
                <w:iCs/>
              </w:rPr>
              <w:t xml:space="preserve"> </w:t>
            </w:r>
          </w:p>
        </w:tc>
      </w:tr>
      <w:tr w:rsidR="001A60A3" w14:paraId="20B69451" w14:textId="77777777" w:rsidTr="001C06D5">
        <w:tc>
          <w:tcPr>
            <w:tcW w:w="2744" w:type="dxa"/>
          </w:tcPr>
          <w:p w14:paraId="2840BAB9" w14:textId="77777777" w:rsidR="001A60A3" w:rsidRDefault="001A60A3" w:rsidP="001C06D5">
            <w:pPr>
              <w:pStyle w:val="BodyText"/>
              <w:spacing w:before="40" w:after="40"/>
              <w:rPr>
                <w:iCs/>
              </w:rPr>
            </w:pPr>
            <w:r w:rsidRPr="00080E3B">
              <w:rPr>
                <w:iCs/>
              </w:rPr>
              <w:t xml:space="preserve">June </w:t>
            </w:r>
            <w:r>
              <w:rPr>
                <w:iCs/>
              </w:rPr>
              <w:t xml:space="preserve">– July </w:t>
            </w:r>
            <w:r w:rsidRPr="00080E3B">
              <w:rPr>
                <w:iCs/>
              </w:rPr>
              <w:t>2018</w:t>
            </w:r>
          </w:p>
        </w:tc>
        <w:tc>
          <w:tcPr>
            <w:tcW w:w="1411" w:type="dxa"/>
          </w:tcPr>
          <w:p w14:paraId="56480E6B" w14:textId="77777777" w:rsidR="001A60A3" w:rsidRPr="00080E3B" w:rsidRDefault="001A60A3" w:rsidP="001C06D5">
            <w:pPr>
              <w:pStyle w:val="BodyText"/>
              <w:spacing w:before="40" w:after="40"/>
              <w:rPr>
                <w:iCs/>
              </w:rPr>
            </w:pPr>
            <w:r>
              <w:rPr>
                <w:iCs/>
              </w:rPr>
              <w:t>GMRG</w:t>
            </w:r>
          </w:p>
        </w:tc>
        <w:tc>
          <w:tcPr>
            <w:tcW w:w="5059" w:type="dxa"/>
          </w:tcPr>
          <w:p w14:paraId="255DF617" w14:textId="77777777" w:rsidR="001A60A3" w:rsidRDefault="001A60A3" w:rsidP="001C06D5">
            <w:pPr>
              <w:pStyle w:val="BodyText"/>
              <w:spacing w:before="40" w:after="40"/>
              <w:ind w:right="136"/>
              <w:rPr>
                <w:iCs/>
              </w:rPr>
            </w:pPr>
            <w:r>
              <w:rPr>
                <w:iCs/>
              </w:rPr>
              <w:t>New Code and amended NGL, NGR and Regulations</w:t>
            </w:r>
            <w:r w:rsidRPr="00080E3B">
              <w:rPr>
                <w:iCs/>
              </w:rPr>
              <w:t xml:space="preserve"> </w:t>
            </w:r>
            <w:r>
              <w:rPr>
                <w:iCs/>
              </w:rPr>
              <w:t>considered by the</w:t>
            </w:r>
            <w:r w:rsidRPr="00080E3B">
              <w:rPr>
                <w:iCs/>
              </w:rPr>
              <w:t xml:space="preserve"> Energy Council </w:t>
            </w:r>
          </w:p>
        </w:tc>
      </w:tr>
      <w:tr w:rsidR="001A60A3" w14:paraId="53B9B7C5" w14:textId="77777777" w:rsidTr="001C06D5">
        <w:trPr>
          <w:cnfStyle w:val="000000010000" w:firstRow="0" w:lastRow="0" w:firstColumn="0" w:lastColumn="0" w:oddVBand="0" w:evenVBand="0" w:oddHBand="0" w:evenHBand="1" w:firstRowFirstColumn="0" w:firstRowLastColumn="0" w:lastRowFirstColumn="0" w:lastRowLastColumn="0"/>
        </w:trPr>
        <w:tc>
          <w:tcPr>
            <w:tcW w:w="2744" w:type="dxa"/>
          </w:tcPr>
          <w:p w14:paraId="1764B79A" w14:textId="77777777" w:rsidR="001A60A3" w:rsidRDefault="001A60A3" w:rsidP="001C06D5">
            <w:pPr>
              <w:pStyle w:val="BodyText"/>
              <w:spacing w:before="40" w:after="40"/>
              <w:rPr>
                <w:iCs/>
              </w:rPr>
            </w:pPr>
            <w:r w:rsidRPr="00080E3B">
              <w:rPr>
                <w:iCs/>
              </w:rPr>
              <w:t>July</w:t>
            </w:r>
            <w:r w:rsidR="00067F90" w:rsidRPr="00080E3B">
              <w:rPr>
                <w:iCs/>
              </w:rPr>
              <w:t xml:space="preserve"> </w:t>
            </w:r>
            <w:r w:rsidR="00067F90">
              <w:rPr>
                <w:iCs/>
              </w:rPr>
              <w:t xml:space="preserve">– </w:t>
            </w:r>
            <w:r>
              <w:rPr>
                <w:iCs/>
              </w:rPr>
              <w:t>October</w:t>
            </w:r>
            <w:r w:rsidRPr="00080E3B">
              <w:rPr>
                <w:iCs/>
              </w:rPr>
              <w:t xml:space="preserve"> 2018</w:t>
            </w:r>
          </w:p>
        </w:tc>
        <w:tc>
          <w:tcPr>
            <w:tcW w:w="1411" w:type="dxa"/>
          </w:tcPr>
          <w:p w14:paraId="0DE45010" w14:textId="77777777" w:rsidR="001A60A3" w:rsidRDefault="001A60A3" w:rsidP="001C06D5">
            <w:pPr>
              <w:pStyle w:val="BodyText"/>
              <w:spacing w:before="40" w:after="40"/>
              <w:rPr>
                <w:iCs/>
              </w:rPr>
            </w:pPr>
            <w:r>
              <w:rPr>
                <w:iCs/>
              </w:rPr>
              <w:t>SA Minister</w:t>
            </w:r>
          </w:p>
        </w:tc>
        <w:tc>
          <w:tcPr>
            <w:tcW w:w="5059" w:type="dxa"/>
          </w:tcPr>
          <w:p w14:paraId="0AE0235F" w14:textId="77777777" w:rsidR="001A60A3" w:rsidRDefault="001A60A3" w:rsidP="001C06D5">
            <w:pPr>
              <w:pStyle w:val="TableBodyText"/>
              <w:spacing w:before="40" w:after="40"/>
              <w:ind w:right="136"/>
              <w:rPr>
                <w:iCs/>
              </w:rPr>
            </w:pPr>
            <w:r w:rsidRPr="00080E3B">
              <w:t>Amendments to the NGL progressed through SA Parliament</w:t>
            </w:r>
            <w:r w:rsidR="00216ADA">
              <w:t xml:space="preserve"> and</w:t>
            </w:r>
            <w:r>
              <w:t xml:space="preserve"> </w:t>
            </w:r>
            <w:r w:rsidR="00216ADA">
              <w:rPr>
                <w:iCs/>
              </w:rPr>
              <w:t>o</w:t>
            </w:r>
            <w:r w:rsidRPr="00080E3B">
              <w:rPr>
                <w:iCs/>
              </w:rPr>
              <w:t xml:space="preserve">nce NGL changes proclaimed, the SA Minister can make the initial </w:t>
            </w:r>
            <w:r w:rsidR="0011575F">
              <w:rPr>
                <w:iCs/>
              </w:rPr>
              <w:t>R</w:t>
            </w:r>
            <w:r w:rsidR="0011575F" w:rsidRPr="00080E3B">
              <w:rPr>
                <w:iCs/>
              </w:rPr>
              <w:t>ules</w:t>
            </w:r>
            <w:r>
              <w:rPr>
                <w:iCs/>
              </w:rPr>
              <w:t xml:space="preserve">, Regulations </w:t>
            </w:r>
            <w:r w:rsidRPr="00080E3B">
              <w:rPr>
                <w:iCs/>
              </w:rPr>
              <w:t>and</w:t>
            </w:r>
            <w:r>
              <w:rPr>
                <w:iCs/>
              </w:rPr>
              <w:t xml:space="preserve"> Code</w:t>
            </w:r>
          </w:p>
        </w:tc>
      </w:tr>
      <w:tr w:rsidR="006518C5" w14:paraId="0FF1E0E8" w14:textId="77777777" w:rsidTr="001C06D5">
        <w:tc>
          <w:tcPr>
            <w:tcW w:w="2744" w:type="dxa"/>
          </w:tcPr>
          <w:p w14:paraId="16CBEC9E" w14:textId="77777777" w:rsidR="006518C5" w:rsidRDefault="006518C5" w:rsidP="001C06D5">
            <w:pPr>
              <w:pStyle w:val="BodyText"/>
              <w:spacing w:before="40" w:after="40"/>
              <w:rPr>
                <w:iCs/>
              </w:rPr>
            </w:pPr>
            <w:r>
              <w:rPr>
                <w:iCs/>
              </w:rPr>
              <w:t>14 Aug</w:t>
            </w:r>
            <w:r w:rsidR="00DB13AB">
              <w:rPr>
                <w:iCs/>
              </w:rPr>
              <w:t>ust</w:t>
            </w:r>
            <w:r>
              <w:rPr>
                <w:iCs/>
              </w:rPr>
              <w:t xml:space="preserve"> 2018</w:t>
            </w:r>
            <w:r w:rsidR="00067F90">
              <w:rPr>
                <w:iCs/>
              </w:rPr>
              <w:t xml:space="preserve"> </w:t>
            </w:r>
            <w:r w:rsidR="00067F90" w:rsidRPr="00080E3B">
              <w:rPr>
                <w:iCs/>
              </w:rPr>
              <w:t xml:space="preserve"> </w:t>
            </w:r>
            <w:r w:rsidR="00067F90">
              <w:rPr>
                <w:iCs/>
              </w:rPr>
              <w:t xml:space="preserve">– </w:t>
            </w:r>
            <w:r w:rsidR="00067F90">
              <w:rPr>
                <w:iCs/>
              </w:rPr>
              <w:br/>
            </w:r>
            <w:r>
              <w:rPr>
                <w:iCs/>
              </w:rPr>
              <w:t>25 Sep</w:t>
            </w:r>
            <w:r w:rsidR="00DB13AB">
              <w:rPr>
                <w:iCs/>
              </w:rPr>
              <w:t>tember</w:t>
            </w:r>
            <w:r>
              <w:rPr>
                <w:iCs/>
              </w:rPr>
              <w:t xml:space="preserve"> 2018</w:t>
            </w:r>
          </w:p>
        </w:tc>
        <w:tc>
          <w:tcPr>
            <w:tcW w:w="1411" w:type="dxa"/>
          </w:tcPr>
          <w:p w14:paraId="28411A07" w14:textId="77777777" w:rsidR="006518C5" w:rsidRDefault="00065CC4" w:rsidP="001C06D5">
            <w:pPr>
              <w:pStyle w:val="BodyText"/>
              <w:spacing w:before="40" w:after="40"/>
              <w:rPr>
                <w:iCs/>
              </w:rPr>
            </w:pPr>
            <w:r>
              <w:rPr>
                <w:iCs/>
              </w:rPr>
              <w:t>AEMO</w:t>
            </w:r>
          </w:p>
        </w:tc>
        <w:tc>
          <w:tcPr>
            <w:tcW w:w="5059" w:type="dxa"/>
          </w:tcPr>
          <w:p w14:paraId="649053F6" w14:textId="77777777" w:rsidR="006518C5" w:rsidRDefault="00980632" w:rsidP="001C06D5">
            <w:pPr>
              <w:pStyle w:val="BodyText"/>
              <w:spacing w:before="40" w:after="40"/>
              <w:ind w:right="136"/>
              <w:rPr>
                <w:iCs/>
              </w:rPr>
            </w:pPr>
            <w:r>
              <w:rPr>
                <w:iCs/>
              </w:rPr>
              <w:t>Consultation</w:t>
            </w:r>
            <w:r w:rsidR="006518C5">
              <w:rPr>
                <w:iCs/>
              </w:rPr>
              <w:t xml:space="preserve"> on the </w:t>
            </w:r>
            <w:r>
              <w:rPr>
                <w:iCs/>
              </w:rPr>
              <w:t xml:space="preserve">final draft of the </w:t>
            </w:r>
            <w:r w:rsidR="006518C5">
              <w:rPr>
                <w:iCs/>
              </w:rPr>
              <w:t xml:space="preserve">Capacity Transfer and Auction Procedures, the Auction Agreement, </w:t>
            </w:r>
            <w:r w:rsidR="00067F90">
              <w:rPr>
                <w:iCs/>
              </w:rPr>
              <w:t xml:space="preserve">changes to the </w:t>
            </w:r>
            <w:r w:rsidR="006518C5">
              <w:rPr>
                <w:iCs/>
              </w:rPr>
              <w:t xml:space="preserve">Exchange Agreement and other AEMO made </w:t>
            </w:r>
            <w:r w:rsidR="00067F90">
              <w:rPr>
                <w:iCs/>
              </w:rPr>
              <w:t>P</w:t>
            </w:r>
            <w:r w:rsidR="006518C5">
              <w:rPr>
                <w:iCs/>
              </w:rPr>
              <w:t>rocedures</w:t>
            </w:r>
          </w:p>
        </w:tc>
      </w:tr>
      <w:tr w:rsidR="00045E42" w14:paraId="3CF05440" w14:textId="77777777" w:rsidTr="001C06D5">
        <w:trPr>
          <w:cnfStyle w:val="000000010000" w:firstRow="0" w:lastRow="0" w:firstColumn="0" w:lastColumn="0" w:oddVBand="0" w:evenVBand="0" w:oddHBand="0" w:evenHBand="1" w:firstRowFirstColumn="0" w:firstRowLastColumn="0" w:lastRowFirstColumn="0" w:lastRowLastColumn="0"/>
        </w:trPr>
        <w:tc>
          <w:tcPr>
            <w:tcW w:w="2744" w:type="dxa"/>
          </w:tcPr>
          <w:p w14:paraId="4D4DE445" w14:textId="77777777" w:rsidR="00045E42" w:rsidRDefault="00045E42" w:rsidP="001C06D5">
            <w:pPr>
              <w:pStyle w:val="BodyText"/>
              <w:spacing w:before="40" w:after="40"/>
              <w:rPr>
                <w:iCs/>
              </w:rPr>
            </w:pPr>
            <w:r>
              <w:rPr>
                <w:iCs/>
              </w:rPr>
              <w:t>October 2018</w:t>
            </w:r>
          </w:p>
        </w:tc>
        <w:tc>
          <w:tcPr>
            <w:tcW w:w="1411" w:type="dxa"/>
          </w:tcPr>
          <w:p w14:paraId="403B098D" w14:textId="77777777" w:rsidR="00045E42" w:rsidRDefault="00045E42" w:rsidP="001C06D5">
            <w:pPr>
              <w:pStyle w:val="BodyText"/>
              <w:spacing w:before="40" w:after="40"/>
              <w:rPr>
                <w:iCs/>
              </w:rPr>
            </w:pPr>
            <w:r>
              <w:rPr>
                <w:iCs/>
              </w:rPr>
              <w:t>AEMO</w:t>
            </w:r>
          </w:p>
        </w:tc>
        <w:tc>
          <w:tcPr>
            <w:tcW w:w="5059" w:type="dxa"/>
          </w:tcPr>
          <w:p w14:paraId="33EA41F0" w14:textId="77777777" w:rsidR="00045E42" w:rsidRDefault="00045E42" w:rsidP="001C06D5">
            <w:pPr>
              <w:pStyle w:val="TableBodyText"/>
              <w:spacing w:before="40" w:after="40"/>
              <w:ind w:right="136"/>
            </w:pPr>
            <w:r>
              <w:t xml:space="preserve">Capacity Transfer and Auction Procedures, the Auction Agreement, Exchange Agreement and other </w:t>
            </w:r>
            <w:r w:rsidR="00067F90">
              <w:t>P</w:t>
            </w:r>
            <w:r>
              <w:t>rocedures ma</w:t>
            </w:r>
            <w:r w:rsidR="007E3226">
              <w:t>de</w:t>
            </w:r>
            <w:r w:rsidR="00C57630">
              <w:t xml:space="preserve"> by AEMO</w:t>
            </w:r>
          </w:p>
        </w:tc>
      </w:tr>
      <w:tr w:rsidR="00DB13AB" w14:paraId="21246C5A" w14:textId="77777777" w:rsidTr="001C06D5">
        <w:tc>
          <w:tcPr>
            <w:tcW w:w="2744" w:type="dxa"/>
          </w:tcPr>
          <w:p w14:paraId="6ADD00B3" w14:textId="77777777" w:rsidR="00DB13AB" w:rsidRDefault="00DB13AB" w:rsidP="00333568">
            <w:pPr>
              <w:pStyle w:val="BodyText"/>
              <w:spacing w:before="40" w:after="40"/>
              <w:rPr>
                <w:iCs/>
              </w:rPr>
            </w:pPr>
            <w:r>
              <w:rPr>
                <w:iCs/>
              </w:rPr>
              <w:t>On or before 1 April 2019</w:t>
            </w:r>
          </w:p>
        </w:tc>
        <w:tc>
          <w:tcPr>
            <w:tcW w:w="1411" w:type="dxa"/>
          </w:tcPr>
          <w:p w14:paraId="3B70D0FB" w14:textId="77777777" w:rsidR="00DB13AB" w:rsidRDefault="00DB13AB" w:rsidP="00333568">
            <w:pPr>
              <w:pStyle w:val="BodyText"/>
              <w:spacing w:before="40" w:after="40"/>
              <w:rPr>
                <w:iCs/>
              </w:rPr>
            </w:pPr>
            <w:r>
              <w:rPr>
                <w:iCs/>
              </w:rPr>
              <w:t>AEMO</w:t>
            </w:r>
          </w:p>
        </w:tc>
        <w:tc>
          <w:tcPr>
            <w:tcW w:w="5059" w:type="dxa"/>
          </w:tcPr>
          <w:p w14:paraId="720E140F" w14:textId="77777777" w:rsidR="00DB13AB" w:rsidRPr="00333568" w:rsidRDefault="00DB13AB" w:rsidP="00333568">
            <w:pPr>
              <w:pStyle w:val="TableBodyText"/>
              <w:spacing w:before="40" w:after="40"/>
              <w:ind w:right="136"/>
            </w:pPr>
            <w:r>
              <w:t xml:space="preserve">AEMO to publish information on the arrangements for transition to the standard gas day in each gas market and to update relevant </w:t>
            </w:r>
            <w:r w:rsidR="00067F90">
              <w:t>P</w:t>
            </w:r>
            <w:r>
              <w:t>rocedures.</w:t>
            </w:r>
          </w:p>
        </w:tc>
      </w:tr>
    </w:tbl>
    <w:p w14:paraId="0D5D7790" w14:textId="77777777" w:rsidR="00EA5410" w:rsidRDefault="00EA5410" w:rsidP="001A60A3">
      <w:pPr>
        <w:pStyle w:val="Heading2"/>
        <w:spacing w:after="120"/>
      </w:pPr>
      <w:bookmarkStart w:id="68" w:name="_Toc509239422"/>
      <w:bookmarkEnd w:id="62"/>
      <w:r>
        <w:lastRenderedPageBreak/>
        <w:t xml:space="preserve">Structure of this </w:t>
      </w:r>
      <w:r w:rsidR="00B15604">
        <w:t>Consultation Paper</w:t>
      </w:r>
      <w:bookmarkEnd w:id="68"/>
      <w:r w:rsidR="00B15604">
        <w:t xml:space="preserve"> </w:t>
      </w:r>
    </w:p>
    <w:p w14:paraId="55C091FF" w14:textId="77777777" w:rsidR="000F6CD8" w:rsidRPr="002C7228" w:rsidRDefault="000F6CD8" w:rsidP="001A60A3">
      <w:pPr>
        <w:pStyle w:val="BodyText"/>
        <w:keepNext/>
        <w:spacing w:before="0" w:line="252" w:lineRule="auto"/>
      </w:pPr>
      <w:r w:rsidRPr="002C7228">
        <w:t xml:space="preserve">The remainder of this </w:t>
      </w:r>
      <w:r w:rsidR="00B15604">
        <w:t xml:space="preserve">Consultation Paper </w:t>
      </w:r>
      <w:r w:rsidRPr="002C7228">
        <w:t>is structured as follows:</w:t>
      </w:r>
    </w:p>
    <w:p w14:paraId="57ADD6CD" w14:textId="77777777" w:rsidR="00E246BB" w:rsidRDefault="00E246BB" w:rsidP="00DB13AB">
      <w:pPr>
        <w:pStyle w:val="ListBullet"/>
        <w:spacing w:before="160" w:after="160"/>
      </w:pPr>
      <w:bookmarkStart w:id="69" w:name="_Hlk487650023"/>
      <w:r>
        <w:t xml:space="preserve">Chapter 2 provides further detail on the capacity trading reform package and how trade is expected to occur </w:t>
      </w:r>
      <w:r w:rsidR="00DB13AB">
        <w:t xml:space="preserve">once </w:t>
      </w:r>
      <w:r>
        <w:t>the reform package</w:t>
      </w:r>
      <w:r w:rsidR="00DB13AB">
        <w:t xml:space="preserve"> is implemented</w:t>
      </w:r>
      <w:r>
        <w:t>;</w:t>
      </w:r>
    </w:p>
    <w:p w14:paraId="43165748" w14:textId="77777777" w:rsidR="007103D3" w:rsidRPr="002C7228" w:rsidRDefault="00F543AE" w:rsidP="00DB13AB">
      <w:pPr>
        <w:pStyle w:val="ListBullet"/>
        <w:spacing w:before="160" w:after="160"/>
      </w:pPr>
      <w:r w:rsidRPr="002C7228">
        <w:t xml:space="preserve">Chapter </w:t>
      </w:r>
      <w:r w:rsidR="00E246BB">
        <w:t>3</w:t>
      </w:r>
      <w:r w:rsidRPr="002C7228">
        <w:t xml:space="preserve"> </w:t>
      </w:r>
      <w:r w:rsidR="008D073F">
        <w:t>provides an overview of</w:t>
      </w:r>
      <w:r w:rsidR="00E327E0">
        <w:t xml:space="preserve"> </w:t>
      </w:r>
      <w:r w:rsidR="00771EC0">
        <w:t xml:space="preserve">the legal and regulatory </w:t>
      </w:r>
      <w:r w:rsidR="00BB59A5">
        <w:t>framework</w:t>
      </w:r>
      <w:r w:rsidR="00771EC0">
        <w:t xml:space="preserve"> and </w:t>
      </w:r>
      <w:r w:rsidR="00E246BB">
        <w:t xml:space="preserve">the </w:t>
      </w:r>
      <w:r w:rsidR="00771EC0">
        <w:t xml:space="preserve">governance arrangements that </w:t>
      </w:r>
      <w:r w:rsidR="0078100B">
        <w:t xml:space="preserve">will underpin </w:t>
      </w:r>
      <w:r w:rsidR="00771EC0">
        <w:t xml:space="preserve">the </w:t>
      </w:r>
      <w:r>
        <w:t>capacity trading reform package</w:t>
      </w:r>
      <w:bookmarkEnd w:id="69"/>
      <w:r w:rsidR="00E246BB">
        <w:t>;</w:t>
      </w:r>
    </w:p>
    <w:p w14:paraId="4B1F32B5" w14:textId="77777777" w:rsidR="00DA2489" w:rsidRDefault="008656D2" w:rsidP="00DB13AB">
      <w:pPr>
        <w:pStyle w:val="ListBullet"/>
        <w:spacing w:before="160" w:after="160"/>
      </w:pPr>
      <w:r>
        <w:t>Chapter</w:t>
      </w:r>
      <w:r w:rsidR="00DA2489">
        <w:t>s</w:t>
      </w:r>
      <w:r>
        <w:t xml:space="preserve"> </w:t>
      </w:r>
      <w:r w:rsidR="00E246BB">
        <w:t>4</w:t>
      </w:r>
      <w:r w:rsidR="00DA2489">
        <w:t>-</w:t>
      </w:r>
      <w:r w:rsidR="00E246BB">
        <w:t>8</w:t>
      </w:r>
      <w:r>
        <w:t xml:space="preserve"> </w:t>
      </w:r>
      <w:r w:rsidR="00CA0951">
        <w:t xml:space="preserve">outline the proposed legal and regulatory </w:t>
      </w:r>
      <w:r w:rsidR="00BB59A5">
        <w:t>framework</w:t>
      </w:r>
      <w:r w:rsidR="00CA0951">
        <w:t xml:space="preserve"> that will </w:t>
      </w:r>
      <w:r w:rsidR="00DA2489">
        <w:t xml:space="preserve">give effect to each element of the </w:t>
      </w:r>
      <w:r w:rsidR="000979EB">
        <w:t>reform</w:t>
      </w:r>
      <w:r w:rsidR="00DA2489">
        <w:t xml:space="preserve"> package, with</w:t>
      </w:r>
      <w:r w:rsidR="001A60A3">
        <w:t>:</w:t>
      </w:r>
    </w:p>
    <w:p w14:paraId="06E92386" w14:textId="77777777" w:rsidR="000979EB" w:rsidRDefault="00DA2489" w:rsidP="00DB13AB">
      <w:pPr>
        <w:pStyle w:val="ListBullet2"/>
        <w:spacing w:before="160" w:after="160"/>
      </w:pPr>
      <w:r>
        <w:t xml:space="preserve">Chapter </w:t>
      </w:r>
      <w:r w:rsidR="00E246BB">
        <w:t>4</w:t>
      </w:r>
      <w:r>
        <w:t xml:space="preserve"> focusing on the standardised</w:t>
      </w:r>
      <w:r w:rsidR="008D073F">
        <w:t xml:space="preserve"> operational transportation service agreement and</w:t>
      </w:r>
      <w:r>
        <w:t xml:space="preserve"> </w:t>
      </w:r>
      <w:r w:rsidR="000979EB">
        <w:t xml:space="preserve">other measures to facilitate capacity trading and the </w:t>
      </w:r>
      <w:r w:rsidR="00DB13AB">
        <w:t xml:space="preserve">day-ahead </w:t>
      </w:r>
      <w:r w:rsidR="008D073F">
        <w:t>auction</w:t>
      </w:r>
      <w:r w:rsidR="000979EB">
        <w:t>;</w:t>
      </w:r>
    </w:p>
    <w:p w14:paraId="39047005" w14:textId="77777777" w:rsidR="000979EB" w:rsidRDefault="000979EB" w:rsidP="00DB13AB">
      <w:pPr>
        <w:pStyle w:val="ListBullet2"/>
        <w:spacing w:before="160" w:after="160"/>
      </w:pPr>
      <w:r>
        <w:t xml:space="preserve">Chapter </w:t>
      </w:r>
      <w:r w:rsidR="00E246BB">
        <w:t>5</w:t>
      </w:r>
      <w:r>
        <w:t xml:space="preserve"> focus</w:t>
      </w:r>
      <w:r w:rsidR="008D073F">
        <w:t>ing</w:t>
      </w:r>
      <w:r>
        <w:t xml:space="preserve"> on the day-ahead auction;</w:t>
      </w:r>
    </w:p>
    <w:p w14:paraId="7A4A4D53" w14:textId="77777777" w:rsidR="000979EB" w:rsidRPr="005F7507" w:rsidRDefault="000979EB" w:rsidP="00DB13AB">
      <w:pPr>
        <w:pStyle w:val="ListBullet2"/>
        <w:spacing w:before="160" w:after="160"/>
      </w:pPr>
      <w:r>
        <w:t xml:space="preserve">Chapter </w:t>
      </w:r>
      <w:r w:rsidR="00E246BB">
        <w:t>6</w:t>
      </w:r>
      <w:r>
        <w:t xml:space="preserve"> focu</w:t>
      </w:r>
      <w:r w:rsidRPr="005F7507">
        <w:t>s</w:t>
      </w:r>
      <w:r w:rsidR="008D073F" w:rsidRPr="005F7507">
        <w:t>ing</w:t>
      </w:r>
      <w:r w:rsidRPr="005F7507">
        <w:t xml:space="preserve"> on the capacity trading platform; </w:t>
      </w:r>
    </w:p>
    <w:p w14:paraId="0F855D5F" w14:textId="77777777" w:rsidR="00BE569B" w:rsidRPr="005F7507" w:rsidRDefault="00BE569B" w:rsidP="00DB13AB">
      <w:pPr>
        <w:pStyle w:val="ListBullet2"/>
        <w:spacing w:before="160" w:after="160"/>
      </w:pPr>
      <w:r w:rsidRPr="005F7507">
        <w:t xml:space="preserve">Chapter </w:t>
      </w:r>
      <w:r w:rsidR="00E246BB">
        <w:t>7</w:t>
      </w:r>
      <w:r w:rsidRPr="005F7507">
        <w:t xml:space="preserve"> focus</w:t>
      </w:r>
      <w:r w:rsidR="008D073F" w:rsidRPr="005F7507">
        <w:t>ing</w:t>
      </w:r>
      <w:r w:rsidRPr="005F7507">
        <w:t xml:space="preserve"> on the reporting framework </w:t>
      </w:r>
      <w:r w:rsidR="001C223E" w:rsidRPr="005F7507">
        <w:t xml:space="preserve">for secondary capacity trades </w:t>
      </w:r>
      <w:r w:rsidRPr="005F7507">
        <w:t xml:space="preserve">and other transparency measures; and </w:t>
      </w:r>
    </w:p>
    <w:p w14:paraId="0A5BAE80" w14:textId="77777777" w:rsidR="00BE569B" w:rsidRPr="005F7507" w:rsidRDefault="00BE569B" w:rsidP="00DB13AB">
      <w:pPr>
        <w:pStyle w:val="ListBullet2"/>
        <w:spacing w:before="160" w:after="160"/>
      </w:pPr>
      <w:r w:rsidRPr="005F7507">
        <w:t xml:space="preserve">Chapter </w:t>
      </w:r>
      <w:r w:rsidR="00E246BB">
        <w:t>8</w:t>
      </w:r>
      <w:r w:rsidRPr="005F7507">
        <w:t xml:space="preserve"> focus</w:t>
      </w:r>
      <w:r w:rsidR="008D073F" w:rsidRPr="005F7507">
        <w:t>ing</w:t>
      </w:r>
      <w:r w:rsidRPr="005F7507">
        <w:t xml:space="preserve"> on the harmonisation </w:t>
      </w:r>
      <w:r w:rsidR="00DB13AB">
        <w:t xml:space="preserve">related </w:t>
      </w:r>
      <w:r w:rsidRPr="005F7507">
        <w:t>reforms</w:t>
      </w:r>
      <w:r w:rsidR="00DB13AB">
        <w:t>;</w:t>
      </w:r>
    </w:p>
    <w:p w14:paraId="7A4225AF" w14:textId="77777777" w:rsidR="00E246BB" w:rsidRDefault="00E246BB" w:rsidP="00DB13AB">
      <w:pPr>
        <w:pStyle w:val="ListBullet"/>
        <w:spacing w:before="160" w:after="160"/>
      </w:pPr>
      <w:r>
        <w:t xml:space="preserve">Chapter 9 </w:t>
      </w:r>
      <w:r w:rsidR="00515692">
        <w:t>provides</w:t>
      </w:r>
      <w:r>
        <w:t xml:space="preserve"> a summary of </w:t>
      </w:r>
      <w:r w:rsidR="00333568">
        <w:t>the key timings for</w:t>
      </w:r>
      <w:r w:rsidR="00CC171F">
        <w:t xml:space="preserve"> the commencement of reform measures</w:t>
      </w:r>
      <w:r>
        <w:t xml:space="preserve">; </w:t>
      </w:r>
      <w:r w:rsidR="00DB13AB">
        <w:t>and</w:t>
      </w:r>
    </w:p>
    <w:p w14:paraId="56ACABD3" w14:textId="77777777" w:rsidR="007260A1" w:rsidRDefault="008D073F" w:rsidP="00CC171F">
      <w:pPr>
        <w:pStyle w:val="ListBullet"/>
        <w:spacing w:before="160" w:after="160"/>
      </w:pPr>
      <w:r w:rsidRPr="005F7507">
        <w:t>Appendix A</w:t>
      </w:r>
      <w:r w:rsidR="007A6DA8" w:rsidRPr="005F7507">
        <w:t xml:space="preserve"> </w:t>
      </w:r>
      <w:r w:rsidR="007260A1">
        <w:t>provides a summary of the provisions in the NGL and the NGR that the GMRG proposes to classify as civil penalty and/or conduct provisions.</w:t>
      </w:r>
    </w:p>
    <w:p w14:paraId="3948A43B" w14:textId="77777777" w:rsidR="007A6DA8" w:rsidRDefault="00DB13AB" w:rsidP="001C223E">
      <w:pPr>
        <w:pStyle w:val="BodyText"/>
      </w:pPr>
      <w:r>
        <w:t xml:space="preserve">The </w:t>
      </w:r>
      <w:r w:rsidR="004F360E">
        <w:t>draft package of legislative and regulatory changes</w:t>
      </w:r>
      <w:r w:rsidR="00F83E1A">
        <w:t xml:space="preserve"> and an overview of the matters that are expected to be dealt with in the Capacity Transfer and Auction Procedures</w:t>
      </w:r>
      <w:r>
        <w:t xml:space="preserve"> is contained in Attachment 1</w:t>
      </w:r>
      <w:r w:rsidR="004F360E">
        <w:t>.</w:t>
      </w:r>
      <w:r w:rsidR="002F7585">
        <w:t xml:space="preserve"> </w:t>
      </w:r>
      <w:r w:rsidR="007A6DA8">
        <w:t xml:space="preserve">A separate attachment has also been prepared, which contains a template that the GMRG encourages stakeholders to use to provide their feedback (Attachment </w:t>
      </w:r>
      <w:r w:rsidR="004F360E">
        <w:t>2</w:t>
      </w:r>
      <w:r w:rsidR="007A6DA8">
        <w:t>).</w:t>
      </w:r>
    </w:p>
    <w:p w14:paraId="32D13876" w14:textId="77777777" w:rsidR="002F7585" w:rsidRPr="002F7585" w:rsidRDefault="002F7585" w:rsidP="009D4D25">
      <w:pPr>
        <w:pStyle w:val="BodyText"/>
        <w:spacing w:after="40"/>
        <w:rPr>
          <w:rFonts w:eastAsiaTheme="minorHAnsi"/>
        </w:rPr>
      </w:pPr>
      <w:r w:rsidRPr="002F7585">
        <w:rPr>
          <w:rFonts w:eastAsiaTheme="minorHAnsi"/>
        </w:rPr>
        <w:t>To aid the review of the draft package, a list of the key terms used in the legal and regulatory framework has been prepared, which can be found on page iv. For the purposes of this consultation paper, the following terminology is used:</w:t>
      </w:r>
    </w:p>
    <w:p w14:paraId="1F6FD638" w14:textId="77777777" w:rsidR="002F7585" w:rsidRPr="002F7585" w:rsidRDefault="002F7585" w:rsidP="003F5961">
      <w:pPr>
        <w:pStyle w:val="ListBullet"/>
        <w:numPr>
          <w:ilvl w:val="0"/>
          <w:numId w:val="46"/>
        </w:numPr>
        <w:spacing w:after="40"/>
        <w:rPr>
          <w:rFonts w:eastAsiaTheme="minorHAnsi"/>
        </w:rPr>
      </w:pPr>
      <w:r w:rsidRPr="002F7585">
        <w:rPr>
          <w:rFonts w:eastAsiaTheme="minorHAnsi"/>
        </w:rPr>
        <w:t>the term ‘service provider’ is used interchangeably with ‘transportation service provider’;</w:t>
      </w:r>
    </w:p>
    <w:p w14:paraId="2079E389" w14:textId="77777777" w:rsidR="002F7585" w:rsidRPr="002F7585" w:rsidRDefault="002F7585" w:rsidP="003F5961">
      <w:pPr>
        <w:pStyle w:val="ListBullet"/>
        <w:numPr>
          <w:ilvl w:val="0"/>
          <w:numId w:val="46"/>
        </w:numPr>
        <w:spacing w:after="40"/>
        <w:rPr>
          <w:rFonts w:eastAsiaTheme="minorHAnsi"/>
        </w:rPr>
      </w:pPr>
      <w:r w:rsidRPr="002F7585">
        <w:t>the term ‘shipper’ is used to refer to an existing or prospective primary shipper and/or secondary shipper (as appropriate) and is used interchangeably with ‘transportation facility user’; and</w:t>
      </w:r>
    </w:p>
    <w:p w14:paraId="7F1AB34A" w14:textId="77777777" w:rsidR="002F7585" w:rsidRPr="002F7585" w:rsidRDefault="002F7585" w:rsidP="003F5961">
      <w:pPr>
        <w:pStyle w:val="ListBullet"/>
        <w:numPr>
          <w:ilvl w:val="0"/>
          <w:numId w:val="46"/>
        </w:numPr>
        <w:spacing w:before="40" w:after="40"/>
        <w:rPr>
          <w:rFonts w:eastAsiaTheme="minorHAnsi"/>
        </w:rPr>
      </w:pPr>
      <w:r w:rsidRPr="002F7585">
        <w:rPr>
          <w:rFonts w:eastAsiaTheme="minorHAnsi"/>
        </w:rPr>
        <w:t>the following terms are used to refer to particular categories of ‘facility operator’:</w:t>
      </w:r>
    </w:p>
    <w:p w14:paraId="3E5D2AC0" w14:textId="77777777" w:rsidR="002F7585" w:rsidRPr="009D4D25" w:rsidRDefault="002F7585" w:rsidP="003F5961">
      <w:pPr>
        <w:pStyle w:val="ListBullet"/>
        <w:numPr>
          <w:ilvl w:val="0"/>
          <w:numId w:val="47"/>
        </w:numPr>
        <w:spacing w:before="40" w:after="40"/>
        <w:ind w:left="851" w:hanging="425"/>
        <w:rPr>
          <w:rFonts w:eastAsiaTheme="minorHAnsi"/>
        </w:rPr>
      </w:pPr>
      <w:r w:rsidRPr="002F7585">
        <w:rPr>
          <w:rFonts w:eastAsiaTheme="minorHAnsi"/>
        </w:rPr>
        <w:t xml:space="preserve">‘auction facility operator’ is used to refer to a facility operator under Part 25 of the </w:t>
      </w:r>
      <w:r w:rsidRPr="009D4D25">
        <w:rPr>
          <w:rFonts w:eastAsiaTheme="minorHAnsi"/>
        </w:rPr>
        <w:t xml:space="preserve">National Gas Rules (NGR); </w:t>
      </w:r>
    </w:p>
    <w:p w14:paraId="173DCDD0" w14:textId="77777777" w:rsidR="002F7585" w:rsidRPr="009D4D25" w:rsidRDefault="002F7585" w:rsidP="003F5961">
      <w:pPr>
        <w:pStyle w:val="ListBullet"/>
        <w:numPr>
          <w:ilvl w:val="0"/>
          <w:numId w:val="47"/>
        </w:numPr>
        <w:spacing w:before="40" w:after="40"/>
        <w:ind w:left="851" w:hanging="425"/>
      </w:pPr>
      <w:r w:rsidRPr="009D4D25">
        <w:rPr>
          <w:rFonts w:eastAsiaTheme="minorHAnsi"/>
        </w:rPr>
        <w:t>‘facility operator’ is used to refer to a facility operator under Part 26 of the NGR</w:t>
      </w:r>
      <w:r w:rsidR="009D4D25" w:rsidRPr="009D4D25">
        <w:rPr>
          <w:rFonts w:eastAsiaTheme="minorHAnsi"/>
        </w:rPr>
        <w:t>; and</w:t>
      </w:r>
      <w:r w:rsidRPr="009D4D25">
        <w:rPr>
          <w:rFonts w:eastAsiaTheme="minorHAnsi"/>
        </w:rPr>
        <w:t xml:space="preserve"> </w:t>
      </w:r>
    </w:p>
    <w:p w14:paraId="390D51AC" w14:textId="77777777" w:rsidR="009D4D25" w:rsidRPr="009D4D25" w:rsidRDefault="009D4D25" w:rsidP="003F5961">
      <w:pPr>
        <w:pStyle w:val="ListBullet"/>
        <w:numPr>
          <w:ilvl w:val="0"/>
          <w:numId w:val="47"/>
        </w:numPr>
        <w:spacing w:before="40" w:after="40"/>
        <w:ind w:left="851" w:hanging="425"/>
        <w:rPr>
          <w:rFonts w:eastAsiaTheme="minorHAnsi"/>
        </w:rPr>
      </w:pPr>
      <w:r w:rsidRPr="009D4D25">
        <w:rPr>
          <w:rFonts w:eastAsiaTheme="minorHAnsi"/>
        </w:rPr>
        <w:t>‘NT facility operator’ is used to refer to the transportation service provider for a transportation facility located in the Northern Territory.</w:t>
      </w:r>
    </w:p>
    <w:p w14:paraId="4F02F44C" w14:textId="77777777" w:rsidR="00911EAF" w:rsidRPr="0088374E" w:rsidRDefault="00911EAF" w:rsidP="00B57711">
      <w:pPr>
        <w:pStyle w:val="ListBullet"/>
        <w:numPr>
          <w:ilvl w:val="0"/>
          <w:numId w:val="0"/>
        </w:numPr>
        <w:spacing w:line="252" w:lineRule="auto"/>
        <w:rPr>
          <w:sz w:val="2"/>
          <w:szCs w:val="2"/>
        </w:rPr>
      </w:pPr>
      <w:r w:rsidRPr="0088374E">
        <w:rPr>
          <w:sz w:val="2"/>
          <w:szCs w:val="2"/>
        </w:rPr>
        <w:br w:type="page"/>
      </w:r>
    </w:p>
    <w:p w14:paraId="3F62E605" w14:textId="77777777" w:rsidR="00E246BB" w:rsidRDefault="00E246BB" w:rsidP="00A86288">
      <w:pPr>
        <w:pStyle w:val="Heading1"/>
        <w:spacing w:before="0" w:after="80"/>
      </w:pPr>
      <w:bookmarkStart w:id="70" w:name="_Toc509239423"/>
      <w:bookmarkStart w:id="71" w:name="_Hlk487650137"/>
      <w:r>
        <w:lastRenderedPageBreak/>
        <w:t>Capacity trading reform package</w:t>
      </w:r>
      <w:bookmarkEnd w:id="70"/>
    </w:p>
    <w:p w14:paraId="501F228F" w14:textId="77777777" w:rsidR="00E246BB" w:rsidRPr="00344A4A" w:rsidRDefault="00E246BB" w:rsidP="00DB13AB">
      <w:pPr>
        <w:pStyle w:val="BodyText"/>
      </w:pPr>
      <w:r w:rsidRPr="00344A4A">
        <w:t xml:space="preserve">The capacity trading reform package was </w:t>
      </w:r>
      <w:r>
        <w:t xml:space="preserve">recommended </w:t>
      </w:r>
      <w:r w:rsidRPr="00344A4A">
        <w:t xml:space="preserve">by the AEMC </w:t>
      </w:r>
      <w:r>
        <w:t xml:space="preserve">in the </w:t>
      </w:r>
      <w:r w:rsidRPr="005E3347">
        <w:rPr>
          <w:i/>
        </w:rPr>
        <w:t>East Coast Review</w:t>
      </w:r>
      <w:r w:rsidRPr="00344A4A">
        <w:t xml:space="preserve"> and endorsed by the Energy Council at its 14 August 2016 meeting. </w:t>
      </w:r>
      <w:r>
        <w:t>T</w:t>
      </w:r>
      <w:r w:rsidRPr="00344A4A">
        <w:t xml:space="preserve">he objective of </w:t>
      </w:r>
      <w:r>
        <w:t>this reform package</w:t>
      </w:r>
      <w:r w:rsidRPr="00344A4A">
        <w:t xml:space="preserve"> is to improve the efficiency with which transportation capacity is allocated and utilised on contract carriage transmission pipelines and to foster the development of a more liquid market for secondary capacity.</w:t>
      </w:r>
      <w:r w:rsidRPr="00344A4A">
        <w:rPr>
          <w:rStyle w:val="FootnoteReference"/>
          <w:rFonts w:eastAsiaTheme="majorEastAsia" w:cs="Arial"/>
        </w:rPr>
        <w:footnoteReference w:id="11"/>
      </w:r>
      <w:r>
        <w:t xml:space="preserve"> </w:t>
      </w:r>
      <w:r w:rsidRPr="00344A4A">
        <w:t xml:space="preserve">The remainder of this chapter provides further detail on: </w:t>
      </w:r>
    </w:p>
    <w:p w14:paraId="557DB27F" w14:textId="77777777" w:rsidR="00E246BB" w:rsidRDefault="00E246BB" w:rsidP="00DB13AB">
      <w:pPr>
        <w:pStyle w:val="ListBullet"/>
      </w:pPr>
      <w:r w:rsidRPr="00344A4A">
        <w:t xml:space="preserve">the key elements of the </w:t>
      </w:r>
      <w:r>
        <w:t xml:space="preserve">capacity trading </w:t>
      </w:r>
      <w:r w:rsidRPr="00344A4A">
        <w:t>reform package;</w:t>
      </w:r>
      <w:r w:rsidR="00DB13AB">
        <w:t xml:space="preserve"> and</w:t>
      </w:r>
    </w:p>
    <w:p w14:paraId="52359737" w14:textId="77777777" w:rsidR="00E246BB" w:rsidRDefault="00E246BB" w:rsidP="00DB13AB">
      <w:pPr>
        <w:pStyle w:val="ListBullet"/>
      </w:pPr>
      <w:r>
        <w:t xml:space="preserve">how </w:t>
      </w:r>
      <w:r w:rsidR="00DB13AB">
        <w:t xml:space="preserve">shippers will be able to procure capacity once the </w:t>
      </w:r>
      <w:r>
        <w:t xml:space="preserve">capacity trading </w:t>
      </w:r>
      <w:r w:rsidR="00DB13AB">
        <w:t>reform package is implemented</w:t>
      </w:r>
      <w:r w:rsidR="001A60A3">
        <w:t>.</w:t>
      </w:r>
    </w:p>
    <w:p w14:paraId="6CF6F417" w14:textId="77777777" w:rsidR="00E246BB" w:rsidRDefault="00E246BB" w:rsidP="00DB13AB">
      <w:pPr>
        <w:pStyle w:val="Heading2"/>
      </w:pPr>
      <w:bookmarkStart w:id="72" w:name="_Toc495351625"/>
      <w:bookmarkStart w:id="73" w:name="_Toc509239424"/>
      <w:r>
        <w:t>Key elements of the reform package</w:t>
      </w:r>
      <w:bookmarkEnd w:id="72"/>
      <w:bookmarkEnd w:id="73"/>
    </w:p>
    <w:p w14:paraId="58FF11C3" w14:textId="77777777" w:rsidR="00E246BB" w:rsidRDefault="00E246BB" w:rsidP="00A81DBD">
      <w:pPr>
        <w:pStyle w:val="BodyText"/>
        <w:spacing w:before="120" w:after="60" w:line="252" w:lineRule="auto"/>
      </w:pPr>
      <w:r w:rsidRPr="00DB66D2">
        <w:t xml:space="preserve">The capacity trading reform package </w:t>
      </w:r>
      <w:r>
        <w:t xml:space="preserve">that the Energy Council has agreed to implement </w:t>
      </w:r>
      <w:r w:rsidRPr="00DB66D2">
        <w:t>provides for:</w:t>
      </w:r>
    </w:p>
    <w:p w14:paraId="4C5945F9" w14:textId="77777777" w:rsidR="00A81DBD" w:rsidRDefault="00A81DBD" w:rsidP="00A81DBD">
      <w:pPr>
        <w:pStyle w:val="ListBullet"/>
      </w:pPr>
      <w:r w:rsidRPr="00F13E19">
        <w:rPr>
          <w:b/>
          <w:color w:val="0099CC"/>
        </w:rPr>
        <w:t>A</w:t>
      </w:r>
      <w:r w:rsidR="00D7099B" w:rsidRPr="00F13E19">
        <w:rPr>
          <w:b/>
          <w:color w:val="0099CC"/>
        </w:rPr>
        <w:t xml:space="preserve"> capacity trading platform </w:t>
      </w:r>
      <w:r w:rsidR="00D7099B" w:rsidRPr="00293665">
        <w:t xml:space="preserve">that </w:t>
      </w:r>
      <w:r>
        <w:t xml:space="preserve">will form part of the GSH and enable </w:t>
      </w:r>
      <w:r w:rsidR="00FA2870">
        <w:t xml:space="preserve">shippers to trade </w:t>
      </w:r>
      <w:r>
        <w:t xml:space="preserve">secondary capacity prior to </w:t>
      </w:r>
      <w:r w:rsidR="00146A3A">
        <w:t xml:space="preserve">the close of trade of day-ahead products </w:t>
      </w:r>
      <w:r>
        <w:t>on gas day D-1 (i.e. the day before gas is due to be transported</w:t>
      </w:r>
      <w:r w:rsidR="00F13E19">
        <w:t>)</w:t>
      </w:r>
      <w:r>
        <w:t>, using either:</w:t>
      </w:r>
    </w:p>
    <w:p w14:paraId="17DE3D06" w14:textId="77777777" w:rsidR="00A81DBD" w:rsidRPr="00F20CBE" w:rsidRDefault="00A81DBD" w:rsidP="00A81DBD">
      <w:pPr>
        <w:pStyle w:val="ListBullet2"/>
        <w:spacing w:after="60"/>
      </w:pPr>
      <w:r w:rsidRPr="00F20CBE">
        <w:t>the exchange</w:t>
      </w:r>
      <w:r w:rsidR="00624774">
        <w:t xml:space="preserve"> </w:t>
      </w:r>
      <w:r w:rsidRPr="00F20CBE">
        <w:t xml:space="preserve">component, which will enable </w:t>
      </w:r>
      <w:r w:rsidR="00F13E19" w:rsidRPr="00F20CBE">
        <w:t xml:space="preserve">standardised firm forward haul services, park (storage) services and stand-alone compression services to </w:t>
      </w:r>
      <w:r w:rsidRPr="00F20CBE">
        <w:t>be traded through either:</w:t>
      </w:r>
    </w:p>
    <w:p w14:paraId="43D7C14F" w14:textId="77777777" w:rsidR="00A81DBD" w:rsidRPr="00ED31D0" w:rsidRDefault="00ED31D0" w:rsidP="00756C62">
      <w:pPr>
        <w:pStyle w:val="TableBullet2"/>
        <w:keepNext/>
        <w:numPr>
          <w:ilvl w:val="0"/>
          <w:numId w:val="28"/>
        </w:numPr>
        <w:ind w:hanging="323"/>
        <w:rPr>
          <w:sz w:val="22"/>
        </w:rPr>
      </w:pPr>
      <w:r w:rsidRPr="00ED31D0">
        <w:rPr>
          <w:sz w:val="22"/>
        </w:rPr>
        <w:t xml:space="preserve">the </w:t>
      </w:r>
      <w:r w:rsidR="00A81DBD" w:rsidRPr="00ED31D0">
        <w:rPr>
          <w:sz w:val="22"/>
        </w:rPr>
        <w:t>screen trade service, which allows participants to place bids or offers for standardised products that are automatically matched</w:t>
      </w:r>
      <w:r w:rsidRPr="00ED31D0">
        <w:rPr>
          <w:sz w:val="22"/>
        </w:rPr>
        <w:t xml:space="preserve"> and will operate on a fully anonymous basis, with</w:t>
      </w:r>
      <w:r w:rsidRPr="00ED31D0">
        <w:rPr>
          <w:rFonts w:asciiTheme="majorHAnsi" w:hAnsiTheme="majorHAnsi" w:cstheme="majorHAnsi"/>
          <w:sz w:val="22"/>
        </w:rPr>
        <w:t xml:space="preserve"> AEMO informing </w:t>
      </w:r>
      <w:r w:rsidRPr="00ED31D0">
        <w:rPr>
          <w:sz w:val="22"/>
          <w:lang w:eastAsia="fr-CA"/>
        </w:rPr>
        <w:t>the service provider of the trade and the service provider then confirming and giving effect to the trade</w:t>
      </w:r>
      <w:r w:rsidR="00A81DBD" w:rsidRPr="00ED31D0">
        <w:rPr>
          <w:sz w:val="22"/>
        </w:rPr>
        <w:t xml:space="preserve">; or </w:t>
      </w:r>
    </w:p>
    <w:p w14:paraId="471FBB08" w14:textId="77777777" w:rsidR="00A81DBD" w:rsidRPr="00F20CBE" w:rsidRDefault="00A81DBD" w:rsidP="00756C62">
      <w:pPr>
        <w:pStyle w:val="TableBullet2"/>
        <w:keepNext/>
        <w:numPr>
          <w:ilvl w:val="0"/>
          <w:numId w:val="28"/>
        </w:numPr>
        <w:ind w:hanging="323"/>
        <w:rPr>
          <w:sz w:val="22"/>
        </w:rPr>
      </w:pPr>
      <w:r w:rsidRPr="00F20CBE">
        <w:rPr>
          <w:sz w:val="22"/>
        </w:rPr>
        <w:t xml:space="preserve">the pre-matched trade service, which allows participants to bring a bilateral trade in one of the </w:t>
      </w:r>
      <w:r w:rsidR="006C63B6">
        <w:rPr>
          <w:sz w:val="22"/>
        </w:rPr>
        <w:t xml:space="preserve">listed </w:t>
      </w:r>
      <w:r w:rsidRPr="00F20CBE">
        <w:rPr>
          <w:sz w:val="22"/>
        </w:rPr>
        <w:t>products to the exchange for settlement</w:t>
      </w:r>
      <w:r w:rsidR="00624774">
        <w:rPr>
          <w:sz w:val="22"/>
        </w:rPr>
        <w:t>; or</w:t>
      </w:r>
    </w:p>
    <w:p w14:paraId="2756F8C0" w14:textId="77777777" w:rsidR="00A81DBD" w:rsidRDefault="00A81DBD" w:rsidP="00A81DBD">
      <w:pPr>
        <w:pStyle w:val="ListBullet2"/>
        <w:spacing w:after="60"/>
      </w:pPr>
      <w:r w:rsidRPr="00F20CBE">
        <w:t>a listing service that shippers can use to list other products and imbalance trades.</w:t>
      </w:r>
    </w:p>
    <w:p w14:paraId="4E91A53B" w14:textId="77777777" w:rsidR="001B59F7" w:rsidRPr="001B59F7" w:rsidRDefault="001B59F7" w:rsidP="008462C6">
      <w:pPr>
        <w:pStyle w:val="ListBullet2"/>
        <w:numPr>
          <w:ilvl w:val="0"/>
          <w:numId w:val="0"/>
        </w:numPr>
        <w:spacing w:after="240"/>
        <w:ind w:left="357"/>
      </w:pPr>
      <w:r w:rsidRPr="001B59F7">
        <w:t xml:space="preserve">To maximise the pool of prospective buyers and sellers of capacity, the trading platform will operate under the zonal model. Under this model, primary shippers will be able to sell their point-to-point capacity on a zone-to-zone basis and secondary shippers will </w:t>
      </w:r>
      <w:r>
        <w:t xml:space="preserve">be able to acquire capacity on the same zonal basis and have </w:t>
      </w:r>
      <w:r w:rsidRPr="001B59F7">
        <w:t xml:space="preserve">secondary firm rights at all receipt and delivery points </w:t>
      </w:r>
      <w:r>
        <w:t xml:space="preserve">within </w:t>
      </w:r>
      <w:r w:rsidR="00067F90">
        <w:t xml:space="preserve">a </w:t>
      </w:r>
      <w:r w:rsidRPr="001B59F7">
        <w:t>zone</w:t>
      </w:r>
      <w:r w:rsidR="00B76BEE">
        <w:t xml:space="preserve"> (i.e. secondary shippers’ rights will be subordinate to primary shippers with firm rights at those points)</w:t>
      </w:r>
      <w:r w:rsidRPr="001B59F7">
        <w:t>.</w:t>
      </w:r>
      <w:r w:rsidR="00B76BEE">
        <w:rPr>
          <w:rStyle w:val="FootnoteReference"/>
        </w:rPr>
        <w:footnoteReference w:id="12"/>
      </w:r>
      <w:r w:rsidRPr="001B59F7">
        <w:rPr>
          <w:rStyle w:val="FootnoteReference"/>
        </w:rPr>
        <w:t>.</w:t>
      </w:r>
      <w:r w:rsidRPr="001B59F7">
        <w:t xml:space="preserve"> </w:t>
      </w:r>
    </w:p>
    <w:p w14:paraId="447CAD36" w14:textId="77777777" w:rsidR="007052AE" w:rsidRDefault="00A81DBD" w:rsidP="003D512C">
      <w:pPr>
        <w:pStyle w:val="ListBullet"/>
      </w:pPr>
      <w:r w:rsidRPr="00F13E19">
        <w:rPr>
          <w:b/>
          <w:color w:val="0099CC"/>
        </w:rPr>
        <w:t>A</w:t>
      </w:r>
      <w:r w:rsidR="00D7099B" w:rsidRPr="00F13E19">
        <w:rPr>
          <w:b/>
          <w:color w:val="0099CC"/>
        </w:rPr>
        <w:t xml:space="preserve"> day-ahead auction</w:t>
      </w:r>
      <w:r w:rsidR="00D7099B" w:rsidRPr="00066FB6">
        <w:t xml:space="preserve"> of contracted but un-nominated capacity</w:t>
      </w:r>
      <w:r w:rsidR="00FA2870">
        <w:t xml:space="preserve"> </w:t>
      </w:r>
      <w:r>
        <w:t xml:space="preserve">on non-exempt transportation facilities </w:t>
      </w:r>
      <w:r w:rsidR="00FA2870">
        <w:t xml:space="preserve">that </w:t>
      </w:r>
      <w:r w:rsidR="00D7099B">
        <w:t xml:space="preserve">will be conducted </w:t>
      </w:r>
      <w:r>
        <w:t xml:space="preserve">by AEMO </w:t>
      </w:r>
      <w:r w:rsidR="00D7099B" w:rsidRPr="00293665">
        <w:t xml:space="preserve">shortly after nomination cut-off </w:t>
      </w:r>
      <w:r w:rsidR="00D7099B" w:rsidRPr="00293665">
        <w:lastRenderedPageBreak/>
        <w:t>and subject to a reserve price of zero</w:t>
      </w:r>
      <w:r w:rsidR="00F13E19">
        <w:t>. The day-ahead auction will take the form of a partial combinatorial auction, which will enable shippers to procure services across multiple pipelines and compression facilities, irrespective of location or transportation facility ownership. The services shippers will be able to procure through the auction include forward haul services (with services in both directions on bi-directional pipelines), backhaul services on single direction pipelines (or parts of pipelines) and stand-alone compression services</w:t>
      </w:r>
      <w:r w:rsidR="00B76BEE">
        <w:t xml:space="preserve"> (see Chapter 5 for more detail on service priority)</w:t>
      </w:r>
      <w:r w:rsidR="00F13E19">
        <w:t>.</w:t>
      </w:r>
      <w:r w:rsidR="007052AE">
        <w:t xml:space="preserve"> </w:t>
      </w:r>
    </w:p>
    <w:p w14:paraId="7E0DD637" w14:textId="77777777" w:rsidR="008462C6" w:rsidRPr="00992939" w:rsidRDefault="008462C6" w:rsidP="008462C6">
      <w:pPr>
        <w:pStyle w:val="BodyText"/>
        <w:ind w:left="357"/>
        <w:rPr>
          <w:rFonts w:cs="Arial"/>
        </w:rPr>
      </w:pPr>
      <w:r>
        <w:t xml:space="preserve">The auction is expected to </w:t>
      </w:r>
      <w:r w:rsidRPr="00992939">
        <w:rPr>
          <w:rFonts w:cs="Arial"/>
        </w:rPr>
        <w:t>improve the efficiency with which short-term transportation capacity is allocated and used, by making contracted but un-nominated capacity available on a daily basis to shippers that value it</w:t>
      </w:r>
      <w:r>
        <w:rPr>
          <w:rFonts w:cs="Arial"/>
        </w:rPr>
        <w:t xml:space="preserve"> most</w:t>
      </w:r>
      <w:r w:rsidRPr="00992939">
        <w:rPr>
          <w:rFonts w:cs="Arial"/>
        </w:rPr>
        <w:t>. The auction is expected to achieve this objective by:</w:t>
      </w:r>
      <w:r w:rsidRPr="00D83A1E">
        <w:rPr>
          <w:rStyle w:val="FootnoteReference"/>
          <w:rFonts w:eastAsiaTheme="majorEastAsia" w:cs="Arial"/>
        </w:rPr>
        <w:t xml:space="preserve"> </w:t>
      </w:r>
      <w:r>
        <w:rPr>
          <w:rStyle w:val="FootnoteReference"/>
          <w:rFonts w:eastAsiaTheme="majorEastAsia" w:cs="Arial"/>
        </w:rPr>
        <w:footnoteReference w:id="13"/>
      </w:r>
      <w:r w:rsidRPr="00992939">
        <w:rPr>
          <w:rFonts w:cs="Arial"/>
        </w:rPr>
        <w:t xml:space="preserve"> </w:t>
      </w:r>
    </w:p>
    <w:p w14:paraId="73E007DE" w14:textId="77777777" w:rsidR="008462C6" w:rsidRDefault="008462C6" w:rsidP="008462C6">
      <w:pPr>
        <w:pStyle w:val="ListBullet2"/>
        <w:rPr>
          <w:rFonts w:eastAsiaTheme="minorEastAsia"/>
        </w:rPr>
      </w:pPr>
      <w:r>
        <w:rPr>
          <w:rFonts w:eastAsiaTheme="minorEastAsia"/>
        </w:rPr>
        <w:t xml:space="preserve">improving the incentives that </w:t>
      </w:r>
      <w:r w:rsidRPr="00992939">
        <w:rPr>
          <w:rFonts w:eastAsiaTheme="minorEastAsia"/>
        </w:rPr>
        <w:t xml:space="preserve">firm capacity holders </w:t>
      </w:r>
      <w:r>
        <w:rPr>
          <w:rFonts w:eastAsiaTheme="minorEastAsia"/>
        </w:rPr>
        <w:t xml:space="preserve">have to release any spare capacity they may have prior to nomination cut-off time because: </w:t>
      </w:r>
    </w:p>
    <w:p w14:paraId="749AD4A5" w14:textId="77777777" w:rsidR="008462C6" w:rsidRDefault="008462C6" w:rsidP="00756C62">
      <w:pPr>
        <w:pStyle w:val="ListNumber"/>
        <w:numPr>
          <w:ilvl w:val="0"/>
          <w:numId w:val="30"/>
        </w:numPr>
        <w:ind w:left="993"/>
        <w:rPr>
          <w:rFonts w:eastAsiaTheme="minorEastAsia"/>
        </w:rPr>
      </w:pPr>
      <w:r w:rsidRPr="008462C6">
        <w:rPr>
          <w:rFonts w:eastAsiaTheme="minorEastAsia"/>
        </w:rPr>
        <w:t xml:space="preserve">there will be no benefit in trying to withhold capacity from others that may value it more when it </w:t>
      </w:r>
      <w:r w:rsidR="00067F90">
        <w:rPr>
          <w:rFonts w:eastAsiaTheme="minorEastAsia"/>
        </w:rPr>
        <w:t xml:space="preserve">will be </w:t>
      </w:r>
      <w:r w:rsidRPr="008462C6">
        <w:rPr>
          <w:rFonts w:eastAsiaTheme="minorEastAsia"/>
        </w:rPr>
        <w:t>automatically released through the auction; and</w:t>
      </w:r>
    </w:p>
    <w:p w14:paraId="72DCA7AA" w14:textId="77777777" w:rsidR="008462C6" w:rsidRPr="008462C6" w:rsidRDefault="008462C6" w:rsidP="00756C62">
      <w:pPr>
        <w:pStyle w:val="ListNumber"/>
        <w:numPr>
          <w:ilvl w:val="0"/>
          <w:numId w:val="30"/>
        </w:numPr>
        <w:ind w:left="993"/>
        <w:rPr>
          <w:rFonts w:eastAsiaTheme="minorEastAsia"/>
        </w:rPr>
      </w:pPr>
      <w:r w:rsidRPr="008462C6">
        <w:rPr>
          <w:rFonts w:eastAsiaTheme="minorEastAsia"/>
        </w:rPr>
        <w:t xml:space="preserve">firm capacity holders will miss out on the proceeds of the sale if the capacity is released </w:t>
      </w:r>
      <w:r>
        <w:rPr>
          <w:rFonts w:eastAsiaTheme="minorEastAsia"/>
        </w:rPr>
        <w:t xml:space="preserve">in </w:t>
      </w:r>
      <w:r w:rsidRPr="008462C6">
        <w:rPr>
          <w:rFonts w:eastAsiaTheme="minorEastAsia"/>
        </w:rPr>
        <w:t>the auction rather than being sold prior to nomination cut-off</w:t>
      </w:r>
      <w:r w:rsidR="00624774">
        <w:rPr>
          <w:rFonts w:eastAsiaTheme="minorEastAsia"/>
        </w:rPr>
        <w:t>, because the auction proceeds will be paid to service providers</w:t>
      </w:r>
      <w:r w:rsidRPr="008462C6">
        <w:rPr>
          <w:rFonts w:eastAsiaTheme="minorEastAsia"/>
        </w:rPr>
        <w:t>; and</w:t>
      </w:r>
    </w:p>
    <w:p w14:paraId="161909FD" w14:textId="77777777" w:rsidR="008462C6" w:rsidRPr="00992939" w:rsidRDefault="008462C6" w:rsidP="008462C6">
      <w:pPr>
        <w:pStyle w:val="ListBullet2"/>
        <w:spacing w:after="240"/>
        <w:rPr>
          <w:rFonts w:eastAsiaTheme="minorEastAsia"/>
        </w:rPr>
      </w:pPr>
      <w:r w:rsidRPr="00992939">
        <w:rPr>
          <w:rFonts w:eastAsiaTheme="minorEastAsia"/>
        </w:rPr>
        <w:t>limiting the ability of service providers to price short-term capacity products above the levels that would be expected in a workably competitive market.</w:t>
      </w:r>
    </w:p>
    <w:p w14:paraId="59A0F1AC" w14:textId="77777777" w:rsidR="00ED31D0" w:rsidRPr="00ED31D0" w:rsidRDefault="00ED31D0" w:rsidP="00DA5FE6">
      <w:pPr>
        <w:pStyle w:val="ListBullet"/>
      </w:pPr>
      <w:bookmarkStart w:id="74" w:name="_Hlk508905809"/>
      <w:r w:rsidRPr="00ED31D0">
        <w:rPr>
          <w:b/>
          <w:color w:val="0099CC"/>
        </w:rPr>
        <w:t xml:space="preserve">A number of </w:t>
      </w:r>
      <w:r w:rsidR="00DF31E1">
        <w:rPr>
          <w:b/>
          <w:color w:val="0099CC"/>
        </w:rPr>
        <w:t>measures to facilitate capacity trading and the auction</w:t>
      </w:r>
      <w:bookmarkStart w:id="75" w:name="_Hlk508905530"/>
      <w:r w:rsidRPr="00ED31D0">
        <w:t>, including</w:t>
      </w:r>
      <w:r>
        <w:t>:</w:t>
      </w:r>
    </w:p>
    <w:p w14:paraId="0E642742" w14:textId="77777777" w:rsidR="00ED31D0" w:rsidRDefault="00216ADA" w:rsidP="00ED31D0">
      <w:pPr>
        <w:pStyle w:val="ListBullet2"/>
      </w:pPr>
      <w:r>
        <w:t xml:space="preserve">a </w:t>
      </w:r>
      <w:r w:rsidR="00ED31D0">
        <w:t>requirement for all trades conducted through the exchange and day-ahead auction to be given effect through an operational transfer and for the seller in a bilateral trade to offer the buyer the option of using an operational transfer;</w:t>
      </w:r>
    </w:p>
    <w:p w14:paraId="3342C54D" w14:textId="77777777" w:rsidR="00433F32" w:rsidRDefault="00433F32" w:rsidP="00433F32">
      <w:pPr>
        <w:pStyle w:val="ListBullet2"/>
      </w:pPr>
      <w:r>
        <w:t>a requirement for non-exempt service providers to publish and to offer to enter int</w:t>
      </w:r>
      <w:r w:rsidRPr="00433F32">
        <w:t>o a s</w:t>
      </w:r>
      <w:r w:rsidR="00ED31D0" w:rsidRPr="00433F32">
        <w:t>tandard operational agreement</w:t>
      </w:r>
      <w:r w:rsidRPr="00433F32">
        <w:t xml:space="preserve"> with prospective secondary shippers, which </w:t>
      </w:r>
      <w:r w:rsidR="00ED31D0" w:rsidRPr="00433F32">
        <w:t>will establish the standard contract terms between service providers and shippers for capacity procured through the trading platform, auction and bilaterally</w:t>
      </w:r>
      <w:r w:rsidRPr="00433F32">
        <w:t>; and</w:t>
      </w:r>
    </w:p>
    <w:p w14:paraId="2397E8E6" w14:textId="77777777" w:rsidR="00B40CE3" w:rsidRDefault="00433F32" w:rsidP="00B40CE3">
      <w:pPr>
        <w:pStyle w:val="ListBullet2"/>
      </w:pPr>
      <w:r w:rsidRPr="007052AE">
        <w:t>a requirement for service providers to</w:t>
      </w:r>
      <w:r w:rsidR="00B40CE3">
        <w:t>:</w:t>
      </w:r>
      <w:r w:rsidRPr="007052AE">
        <w:t xml:space="preserve"> </w:t>
      </w:r>
    </w:p>
    <w:p w14:paraId="15CE95CD" w14:textId="77777777" w:rsidR="00B40CE3" w:rsidRDefault="00433F32" w:rsidP="00756C62">
      <w:pPr>
        <w:pStyle w:val="ListBullet2"/>
        <w:numPr>
          <w:ilvl w:val="0"/>
          <w:numId w:val="31"/>
        </w:numPr>
      </w:pPr>
      <w:r w:rsidRPr="007052AE">
        <w:t xml:space="preserve">amend existing </w:t>
      </w:r>
      <w:r w:rsidR="007052AE" w:rsidRPr="007052AE">
        <w:t>facility agreements if requested by shipper</w:t>
      </w:r>
      <w:r w:rsidR="00624774">
        <w:t>s</w:t>
      </w:r>
      <w:r w:rsidR="007052AE" w:rsidRPr="007052AE">
        <w:t xml:space="preserve"> to remove </w:t>
      </w:r>
      <w:r w:rsidR="00DA5FE6" w:rsidRPr="007052AE">
        <w:t>contractual limitations on capacity trading in primary GTAs and operational transportation service agreements</w:t>
      </w:r>
      <w:r w:rsidR="00B40CE3">
        <w:t xml:space="preserve">; and </w:t>
      </w:r>
    </w:p>
    <w:p w14:paraId="31558F92" w14:textId="77777777" w:rsidR="00DA5FE6" w:rsidRPr="007052AE" w:rsidRDefault="00B40CE3" w:rsidP="00756C62">
      <w:pPr>
        <w:pStyle w:val="ListBullet2"/>
        <w:numPr>
          <w:ilvl w:val="0"/>
          <w:numId w:val="31"/>
        </w:numPr>
        <w:spacing w:after="240"/>
        <w:ind w:left="1071" w:hanging="357"/>
      </w:pPr>
      <w:r>
        <w:t>comply with provisions in the NGR that will set out how they are to deal with any request to change receipt and delivery points</w:t>
      </w:r>
      <w:r w:rsidR="00DA5FE6" w:rsidRPr="007052AE">
        <w:t xml:space="preserve">. </w:t>
      </w:r>
    </w:p>
    <w:bookmarkEnd w:id="74"/>
    <w:bookmarkEnd w:id="75"/>
    <w:p w14:paraId="3A71B36C" w14:textId="77777777" w:rsidR="00DA5FE6" w:rsidRDefault="00DA5FE6" w:rsidP="00DA5FE6">
      <w:pPr>
        <w:pStyle w:val="ListBullet"/>
      </w:pPr>
      <w:r w:rsidRPr="00DA5FE6">
        <w:rPr>
          <w:b/>
          <w:color w:val="0099CC"/>
        </w:rPr>
        <w:t>A</w:t>
      </w:r>
      <w:r w:rsidR="00D7099B" w:rsidRPr="00DA5FE6">
        <w:rPr>
          <w:b/>
          <w:color w:val="0099CC"/>
        </w:rPr>
        <w:t xml:space="preserve"> </w:t>
      </w:r>
      <w:r w:rsidRPr="00DA5FE6">
        <w:rPr>
          <w:b/>
          <w:color w:val="0099CC"/>
        </w:rPr>
        <w:t>standard market timetable</w:t>
      </w:r>
      <w:r>
        <w:t xml:space="preserve">, which will provide for: </w:t>
      </w:r>
    </w:p>
    <w:p w14:paraId="36FD18D7" w14:textId="77777777" w:rsidR="00DA5FE6" w:rsidRDefault="00DA5FE6" w:rsidP="00DA5FE6">
      <w:pPr>
        <w:pStyle w:val="ListBullet2"/>
      </w:pPr>
      <w:r>
        <w:t xml:space="preserve">a </w:t>
      </w:r>
      <w:r w:rsidR="00D7099B">
        <w:t xml:space="preserve">harmonised </w:t>
      </w:r>
      <w:r w:rsidR="00D7099B" w:rsidRPr="006A529A">
        <w:t>gas day start time</w:t>
      </w:r>
      <w:r w:rsidR="00D7099B">
        <w:t xml:space="preserve"> of 6 am (AEST) </w:t>
      </w:r>
      <w:r>
        <w:t>for production, transportation and gas storage facilities and the facilitated markets; and</w:t>
      </w:r>
    </w:p>
    <w:p w14:paraId="26AECB72" w14:textId="77777777" w:rsidR="00D7099B" w:rsidRDefault="00DA5FE6" w:rsidP="008462C6">
      <w:pPr>
        <w:pStyle w:val="ListBullet2"/>
        <w:spacing w:after="240"/>
      </w:pPr>
      <w:r>
        <w:t xml:space="preserve">a </w:t>
      </w:r>
      <w:r w:rsidR="00D7099B">
        <w:t xml:space="preserve">common </w:t>
      </w:r>
      <w:r w:rsidR="00D7099B" w:rsidRPr="006A529A">
        <w:t>nomination cut-off time</w:t>
      </w:r>
      <w:r w:rsidR="00D7099B">
        <w:t xml:space="preserve"> of 3 pm (AEST) for </w:t>
      </w:r>
      <w:r>
        <w:t xml:space="preserve">transportation </w:t>
      </w:r>
      <w:r w:rsidR="00FA2870">
        <w:t>facilities</w:t>
      </w:r>
      <w:r w:rsidR="00D7099B">
        <w:t xml:space="preserve"> that are subject to the capacity trading reforms.</w:t>
      </w:r>
    </w:p>
    <w:p w14:paraId="1ABF9801" w14:textId="77777777" w:rsidR="007052AE" w:rsidRPr="00511F80" w:rsidRDefault="007052AE" w:rsidP="007052AE">
      <w:pPr>
        <w:pStyle w:val="ListBullet"/>
        <w:spacing w:line="252" w:lineRule="auto"/>
        <w:rPr>
          <w:rFonts w:cs="Arial"/>
        </w:rPr>
      </w:pPr>
      <w:r w:rsidRPr="00DA5FE6">
        <w:rPr>
          <w:b/>
          <w:color w:val="0099CC"/>
        </w:rPr>
        <w:lastRenderedPageBreak/>
        <w:t xml:space="preserve">A reporting framework </w:t>
      </w:r>
      <w:r>
        <w:t xml:space="preserve">for secondary capacity trades that will </w:t>
      </w:r>
      <w:r w:rsidRPr="00511F80">
        <w:rPr>
          <w:rFonts w:cs="Arial"/>
        </w:rPr>
        <w:t>provide for the publication of the price and other related information on secondary trades</w:t>
      </w:r>
      <w:r>
        <w:rPr>
          <w:rFonts w:cs="Arial"/>
        </w:rPr>
        <w:t xml:space="preserve"> on the Bulletin Board</w:t>
      </w:r>
      <w:r w:rsidRPr="00511F80">
        <w:rPr>
          <w:rFonts w:cs="Arial"/>
        </w:rPr>
        <w:t>.</w:t>
      </w:r>
      <w:r>
        <w:rPr>
          <w:rFonts w:cs="Arial"/>
        </w:rPr>
        <w:t xml:space="preserve"> Information on the outcome of the auction will also </w:t>
      </w:r>
      <w:r w:rsidR="00067F90">
        <w:rPr>
          <w:rFonts w:cs="Arial"/>
        </w:rPr>
        <w:t xml:space="preserve">be required </w:t>
      </w:r>
      <w:r>
        <w:rPr>
          <w:rFonts w:cs="Arial"/>
        </w:rPr>
        <w:t>to be published by AEMO on the Bulletin Board.</w:t>
      </w:r>
    </w:p>
    <w:p w14:paraId="43370BB2" w14:textId="77777777" w:rsidR="008462C6" w:rsidRPr="00196434" w:rsidRDefault="008462C6" w:rsidP="008462C6">
      <w:pPr>
        <w:pStyle w:val="BodyTextSmall"/>
        <w:rPr>
          <w:sz w:val="22"/>
        </w:rPr>
      </w:pPr>
      <w:bookmarkStart w:id="76" w:name="_Ref494815256"/>
      <w:bookmarkStart w:id="77" w:name="_Ref494815269"/>
      <w:bookmarkStart w:id="78" w:name="_Toc495351626"/>
      <w:r w:rsidRPr="00196434">
        <w:rPr>
          <w:sz w:val="22"/>
        </w:rPr>
        <w:t xml:space="preserve">It is worth noting in this context that while shippers will only be able to procure standardised products through the exchange and the day-ahead auction, they will be able to negotiate with service providers to obtain additional </w:t>
      </w:r>
      <w:r w:rsidR="00196434" w:rsidRPr="00196434">
        <w:rPr>
          <w:sz w:val="22"/>
        </w:rPr>
        <w:t>services to complement these standardised products. A shipper could, for example, negotiate with service providers to obtain additional hourly flexibility</w:t>
      </w:r>
      <w:r w:rsidR="00196434">
        <w:rPr>
          <w:sz w:val="22"/>
        </w:rPr>
        <w:t xml:space="preserve">, enhanced </w:t>
      </w:r>
      <w:r w:rsidR="00196434" w:rsidRPr="00196434">
        <w:rPr>
          <w:sz w:val="22"/>
        </w:rPr>
        <w:t xml:space="preserve">imbalance </w:t>
      </w:r>
      <w:r w:rsidR="00196434">
        <w:rPr>
          <w:sz w:val="22"/>
        </w:rPr>
        <w:t xml:space="preserve">services, authorised overrun services </w:t>
      </w:r>
      <w:r w:rsidR="00067F90">
        <w:rPr>
          <w:sz w:val="22"/>
        </w:rPr>
        <w:t xml:space="preserve">or </w:t>
      </w:r>
      <w:r w:rsidR="00196434">
        <w:rPr>
          <w:sz w:val="22"/>
        </w:rPr>
        <w:t>in-pipe trade services</w:t>
      </w:r>
      <w:r w:rsidR="00196434" w:rsidRPr="00196434">
        <w:rPr>
          <w:sz w:val="22"/>
        </w:rPr>
        <w:t xml:space="preserve">.  </w:t>
      </w:r>
    </w:p>
    <w:p w14:paraId="31C88162" w14:textId="77777777" w:rsidR="008462C6" w:rsidRPr="008462C6" w:rsidRDefault="008462C6" w:rsidP="00196434">
      <w:pPr>
        <w:pStyle w:val="BodyText"/>
        <w:keepNext/>
        <w:rPr>
          <w:b/>
          <w:color w:val="0099CC"/>
        </w:rPr>
      </w:pPr>
      <w:r w:rsidRPr="008462C6">
        <w:rPr>
          <w:b/>
          <w:color w:val="0099CC"/>
        </w:rPr>
        <w:t>Exemptions</w:t>
      </w:r>
    </w:p>
    <w:p w14:paraId="74185EA5" w14:textId="77777777" w:rsidR="00130028" w:rsidRDefault="008F3D41" w:rsidP="00130028">
      <w:pPr>
        <w:pStyle w:val="BodyText"/>
      </w:pPr>
      <w:r>
        <w:t xml:space="preserve">With </w:t>
      </w:r>
      <w:r w:rsidR="00130028">
        <w:t>the exception of the harmonised gas day start times and nomination cut-off times, the capacity trading reforms are only intended to apply to transmission pipelines and stand-alone compression facilities that are outside the DWGM. Automatic exemptions will therefore be available to:</w:t>
      </w:r>
    </w:p>
    <w:p w14:paraId="65F3DC2C" w14:textId="77777777" w:rsidR="00130028" w:rsidRDefault="00937926" w:rsidP="00937926">
      <w:pPr>
        <w:pStyle w:val="ListBullet"/>
      </w:pPr>
      <w:r>
        <w:t>d</w:t>
      </w:r>
      <w:r w:rsidR="00130028">
        <w:t>istribution pipelines;</w:t>
      </w:r>
    </w:p>
    <w:p w14:paraId="5752641E" w14:textId="77777777" w:rsidR="00937926" w:rsidRDefault="00937926" w:rsidP="00937926">
      <w:pPr>
        <w:pStyle w:val="ListBullet"/>
      </w:pPr>
      <w:r>
        <w:t>t</w:t>
      </w:r>
      <w:r w:rsidR="00130028">
        <w:t xml:space="preserve">he </w:t>
      </w:r>
      <w:r w:rsidR="00067F90">
        <w:t>DTS</w:t>
      </w:r>
      <w:r>
        <w:t>; and</w:t>
      </w:r>
    </w:p>
    <w:p w14:paraId="0ED7AE77" w14:textId="77777777" w:rsidR="00937926" w:rsidRDefault="00937926" w:rsidP="00937926">
      <w:pPr>
        <w:pStyle w:val="ListBullet"/>
      </w:pPr>
      <w:r>
        <w:t>compression facilities that are not used to transport gas between a transmission pipeline operating at lower pressure and a transmission pipeline operating at a higher pressure to facilitate the flow of gas between points on these different pipelines.</w:t>
      </w:r>
    </w:p>
    <w:p w14:paraId="034CBD5D" w14:textId="77777777" w:rsidR="00130028" w:rsidRDefault="00937926" w:rsidP="00130028">
      <w:pPr>
        <w:pStyle w:val="BodyText"/>
      </w:pPr>
      <w:r>
        <w:t>Exemptions from the obligation to publish a standard operational agreement and to be subject to the day-ahead auction will also be available to transportation facilities that:</w:t>
      </w:r>
    </w:p>
    <w:p w14:paraId="320939C1" w14:textId="77777777" w:rsidR="00937926" w:rsidRDefault="00937926" w:rsidP="00937926">
      <w:pPr>
        <w:pStyle w:val="ListBullet"/>
      </w:pPr>
      <w:r>
        <w:t>are not providing third party access;</w:t>
      </w:r>
    </w:p>
    <w:p w14:paraId="26F977F6" w14:textId="77777777" w:rsidR="00937926" w:rsidRDefault="00937926" w:rsidP="00937926">
      <w:pPr>
        <w:pStyle w:val="ListBullet"/>
      </w:pPr>
      <w:r>
        <w:t>have a nameplate capacity rating less than 10 TJ/day; or</w:t>
      </w:r>
    </w:p>
    <w:p w14:paraId="4B7BD07D" w14:textId="77777777" w:rsidR="00937926" w:rsidRDefault="00937926" w:rsidP="00937926">
      <w:pPr>
        <w:pStyle w:val="ListBullet"/>
      </w:pPr>
      <w:r>
        <w:t xml:space="preserve">are servicing a single </w:t>
      </w:r>
      <w:r w:rsidR="00AA0C85">
        <w:t>shipper.</w:t>
      </w:r>
    </w:p>
    <w:p w14:paraId="67FA271F" w14:textId="77777777" w:rsidR="00624774" w:rsidRDefault="00624774" w:rsidP="00624774">
      <w:pPr>
        <w:pStyle w:val="BodyText"/>
        <w:rPr>
          <w:rFonts w:cs="Arial"/>
          <w:szCs w:val="18"/>
        </w:rPr>
      </w:pPr>
      <w:r>
        <w:t xml:space="preserve">Transportation facilities that meet any of these criteria will need to apply to the AER for an exemption. </w:t>
      </w:r>
      <w:r w:rsidR="00067F90">
        <w:t>W</w:t>
      </w:r>
      <w:r w:rsidRPr="009E261C">
        <w:rPr>
          <w:rFonts w:cs="Arial"/>
          <w:szCs w:val="18"/>
        </w:rPr>
        <w:t>hile</w:t>
      </w:r>
      <w:r>
        <w:rPr>
          <w:rFonts w:cs="Arial"/>
          <w:szCs w:val="18"/>
        </w:rPr>
        <w:t xml:space="preserve"> exemptions from the obligation to publish a standard operational agreement will be available to single user facilities and facilities with a nameplate capacity rating of less than 10 TJ/day, the service providers for these facilities will still be required to develop and offer to enter into such an agreement if a prospective user requests it.</w:t>
      </w:r>
    </w:p>
    <w:p w14:paraId="02BBB6B1" w14:textId="77777777" w:rsidR="00937926" w:rsidRDefault="00624774" w:rsidP="00937926">
      <w:pPr>
        <w:pStyle w:val="BodyText"/>
      </w:pPr>
      <w:r>
        <w:fldChar w:fldCharType="begin"/>
      </w:r>
      <w:r>
        <w:instrText xml:space="preserve"> REF _Ref508938757 \h </w:instrText>
      </w:r>
      <w:r>
        <w:fldChar w:fldCharType="separate"/>
      </w:r>
      <w:r w:rsidR="00830BE4">
        <w:t xml:space="preserve">Figure </w:t>
      </w:r>
      <w:r w:rsidR="00830BE4">
        <w:rPr>
          <w:noProof/>
        </w:rPr>
        <w:t>2</w:t>
      </w:r>
      <w:r w:rsidR="00830BE4">
        <w:t>.</w:t>
      </w:r>
      <w:r w:rsidR="00830BE4">
        <w:rPr>
          <w:noProof/>
        </w:rPr>
        <w:t>1</w:t>
      </w:r>
      <w:r>
        <w:fldChar w:fldCharType="end"/>
      </w:r>
      <w:r>
        <w:t xml:space="preserve"> </w:t>
      </w:r>
      <w:r w:rsidR="00937926">
        <w:t xml:space="preserve">provides </w:t>
      </w:r>
      <w:r w:rsidR="002A662A">
        <w:t xml:space="preserve">an indication of </w:t>
      </w:r>
      <w:r w:rsidR="00937926">
        <w:t xml:space="preserve">pipelines and compression facilities </w:t>
      </w:r>
      <w:r w:rsidR="002A662A">
        <w:t xml:space="preserve">that could </w:t>
      </w:r>
      <w:r w:rsidR="00937926">
        <w:t xml:space="preserve">be </w:t>
      </w:r>
      <w:r w:rsidR="001E07E5">
        <w:t>subject to the reforms</w:t>
      </w:r>
      <w:r w:rsidR="00937926">
        <w:t>.</w:t>
      </w:r>
      <w:r w:rsidR="002A662A">
        <w:t xml:space="preserve"> The final list of facilities will, however, depend on the application of the exemption framework.</w:t>
      </w:r>
    </w:p>
    <w:p w14:paraId="765C6363" w14:textId="77777777" w:rsidR="00937926" w:rsidRDefault="00937926" w:rsidP="00937926">
      <w:pPr>
        <w:pStyle w:val="Caption"/>
        <w:spacing w:after="0"/>
      </w:pPr>
      <w:bookmarkStart w:id="79" w:name="_Ref508938757"/>
      <w:r>
        <w:lastRenderedPageBreak/>
        <w:t xml:space="preserve">Figure </w:t>
      </w:r>
      <w:fldSimple w:instr=" STYLEREF 1 \s ">
        <w:r w:rsidR="00830BE4">
          <w:rPr>
            <w:noProof/>
          </w:rPr>
          <w:t>2</w:t>
        </w:r>
      </w:fldSimple>
      <w:r>
        <w:t>.</w:t>
      </w:r>
      <w:fldSimple w:instr=" SEQ Figure \* ARABIC \s 1 ">
        <w:r w:rsidR="00830BE4">
          <w:rPr>
            <w:noProof/>
          </w:rPr>
          <w:t>1</w:t>
        </w:r>
      </w:fldSimple>
      <w:bookmarkEnd w:id="79"/>
      <w:r>
        <w:t xml:space="preserve">: Indicative coverage of the capacity trading </w:t>
      </w:r>
      <w:r w:rsidR="001E07E5">
        <w:t>reforms (</w:t>
      </w:r>
      <w:r w:rsidR="002A662A">
        <w:t>excl.</w:t>
      </w:r>
      <w:r w:rsidR="001E07E5">
        <w:t xml:space="preserve"> harmonisation)</w:t>
      </w:r>
    </w:p>
    <w:p w14:paraId="515DCAEC" w14:textId="77777777" w:rsidR="002A662A" w:rsidRDefault="00196434" w:rsidP="002A662A">
      <w:pPr>
        <w:pStyle w:val="BodyText"/>
        <w:spacing w:before="0" w:after="0"/>
        <w:rPr>
          <w:lang w:eastAsia="fr-CA"/>
        </w:rPr>
      </w:pPr>
      <w:r>
        <w:rPr>
          <w:noProof/>
        </w:rPr>
        <w:drawing>
          <wp:inline distT="0" distB="0" distL="0" distR="0" wp14:anchorId="47EAC1BE" wp14:editId="656FE631">
            <wp:extent cx="5580000" cy="4910400"/>
            <wp:effectExtent l="0" t="0" r="1905" b="5080"/>
            <wp:docPr id="8" name="Picture 8" descr="Image showing indicative coverage of the capacity trading reforms (excl. harmonisation)" title="Figure 2.1: Indicative coverage of the capacity trading reforms (excl. harmon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0000" cy="4910400"/>
                    </a:xfrm>
                    <a:prstGeom prst="rect">
                      <a:avLst/>
                    </a:prstGeom>
                    <a:noFill/>
                  </pic:spPr>
                </pic:pic>
              </a:graphicData>
            </a:graphic>
          </wp:inline>
        </w:drawing>
      </w:r>
    </w:p>
    <w:p w14:paraId="163E972E" w14:textId="77777777" w:rsidR="002A662A" w:rsidRPr="002A662A" w:rsidRDefault="002A662A" w:rsidP="002A662A">
      <w:pPr>
        <w:pStyle w:val="BodyText"/>
        <w:spacing w:before="0" w:after="0"/>
        <w:rPr>
          <w:sz w:val="18"/>
          <w:szCs w:val="18"/>
          <w:lang w:eastAsia="fr-CA"/>
        </w:rPr>
      </w:pPr>
      <w:r w:rsidRPr="002A662A">
        <w:rPr>
          <w:sz w:val="18"/>
          <w:szCs w:val="18"/>
          <w:lang w:eastAsia="fr-CA"/>
        </w:rPr>
        <w:t>Map source: AEMC.</w:t>
      </w:r>
    </w:p>
    <w:p w14:paraId="7A3A7236" w14:textId="77777777" w:rsidR="002A662A" w:rsidRPr="002A662A" w:rsidRDefault="002A662A" w:rsidP="002A662A">
      <w:pPr>
        <w:pStyle w:val="BodyText"/>
        <w:spacing w:before="0" w:after="0"/>
        <w:rPr>
          <w:sz w:val="18"/>
          <w:szCs w:val="18"/>
          <w:lang w:eastAsia="fr-CA"/>
        </w:rPr>
      </w:pPr>
      <w:r w:rsidRPr="002A662A">
        <w:rPr>
          <w:sz w:val="18"/>
          <w:szCs w:val="18"/>
          <w:lang w:eastAsia="fr-CA"/>
        </w:rPr>
        <w:t>Note</w:t>
      </w:r>
      <w:r w:rsidR="00067F90">
        <w:rPr>
          <w:sz w:val="18"/>
          <w:szCs w:val="18"/>
          <w:lang w:eastAsia="fr-CA"/>
        </w:rPr>
        <w:t>:</w:t>
      </w:r>
      <w:r w:rsidRPr="002A662A">
        <w:rPr>
          <w:sz w:val="18"/>
          <w:szCs w:val="18"/>
          <w:lang w:eastAsia="fr-CA"/>
        </w:rPr>
        <w:t xml:space="preserve"> </w:t>
      </w:r>
      <w:r w:rsidR="00067F90">
        <w:rPr>
          <w:sz w:val="18"/>
          <w:szCs w:val="18"/>
          <w:lang w:eastAsia="fr-CA"/>
        </w:rPr>
        <w:t>A</w:t>
      </w:r>
      <w:r w:rsidRPr="002A662A">
        <w:rPr>
          <w:sz w:val="18"/>
          <w:szCs w:val="18"/>
          <w:lang w:eastAsia="fr-CA"/>
        </w:rPr>
        <w:t xml:space="preserve"> decision is yet to be made on whether the Northern Territory will be subject to the reforms, which is why these pipelines are circled in yellow. </w:t>
      </w:r>
      <w:r w:rsidR="00146A3A">
        <w:rPr>
          <w:sz w:val="18"/>
          <w:szCs w:val="18"/>
          <w:lang w:eastAsia="fr-CA"/>
        </w:rPr>
        <w:t>Note also that further work needs to be carried out to determine whether the Iona compression facility is to be included.</w:t>
      </w:r>
    </w:p>
    <w:p w14:paraId="2F3C6BCB" w14:textId="77777777" w:rsidR="00E246BB" w:rsidRDefault="00E246BB" w:rsidP="00E246BB">
      <w:pPr>
        <w:pStyle w:val="Heading2"/>
      </w:pPr>
      <w:bookmarkStart w:id="80" w:name="_Toc509239425"/>
      <w:r>
        <w:t>How capacity can be procured under the new framework</w:t>
      </w:r>
      <w:bookmarkEnd w:id="76"/>
      <w:bookmarkEnd w:id="77"/>
      <w:bookmarkEnd w:id="78"/>
      <w:bookmarkEnd w:id="80"/>
    </w:p>
    <w:p w14:paraId="3C000D0F" w14:textId="77777777" w:rsidR="00E246BB" w:rsidRDefault="00E246BB" w:rsidP="00E246BB">
      <w:pPr>
        <w:pStyle w:val="BodyText"/>
      </w:pPr>
      <w:r>
        <w:t xml:space="preserve">Once the reform package is implemented, shippers that want to </w:t>
      </w:r>
      <w:r w:rsidR="00D7099B">
        <w:t>procure</w:t>
      </w:r>
      <w:r w:rsidR="00CA5E66">
        <w:t xml:space="preserve"> secondary capacity on</w:t>
      </w:r>
      <w:r>
        <w:t>:</w:t>
      </w:r>
      <w:r>
        <w:rPr>
          <w:rStyle w:val="FootnoteReference"/>
        </w:rPr>
        <w:footnoteReference w:id="14"/>
      </w:r>
      <w:r>
        <w:t xml:space="preserve"> </w:t>
      </w:r>
    </w:p>
    <w:p w14:paraId="6901C8C5" w14:textId="77777777" w:rsidR="00D7099B" w:rsidRDefault="00CA5E66" w:rsidP="00E246BB">
      <w:pPr>
        <w:pStyle w:val="ListBullet"/>
      </w:pPr>
      <w:r>
        <w:t xml:space="preserve">for the next gas day </w:t>
      </w:r>
      <w:r w:rsidR="00067F90">
        <w:t xml:space="preserve">prior to nomination cut-off time </w:t>
      </w:r>
      <w:r>
        <w:t xml:space="preserve">or for longer periods will be able to do so using either the exchange (i.e. the </w:t>
      </w:r>
      <w:r w:rsidR="001B59F7">
        <w:t>screen</w:t>
      </w:r>
      <w:r>
        <w:t xml:space="preserve"> trade </w:t>
      </w:r>
      <w:r w:rsidR="001B59F7">
        <w:t xml:space="preserve">or pre-matched trade </w:t>
      </w:r>
      <w:r>
        <w:t>service)</w:t>
      </w:r>
      <w:r w:rsidR="001B59F7">
        <w:t xml:space="preserve"> </w:t>
      </w:r>
      <w:r>
        <w:t xml:space="preserve">for standardised services or </w:t>
      </w:r>
      <w:r w:rsidR="001B59F7">
        <w:t>the listing service</w:t>
      </w:r>
      <w:r>
        <w:t xml:space="preserve"> for more bespoke services, prior to </w:t>
      </w:r>
      <w:r w:rsidR="00D5454D">
        <w:t>market close</w:t>
      </w:r>
      <w:r>
        <w:t>; or</w:t>
      </w:r>
      <w:r w:rsidR="001B59F7">
        <w:t xml:space="preserve"> </w:t>
      </w:r>
    </w:p>
    <w:p w14:paraId="048022FC" w14:textId="77777777" w:rsidR="00E246BB" w:rsidRDefault="00CA5E66" w:rsidP="00CA5E66">
      <w:pPr>
        <w:pStyle w:val="ListBullet"/>
      </w:pPr>
      <w:r>
        <w:t xml:space="preserve">a </w:t>
      </w:r>
      <w:r w:rsidR="00067F90">
        <w:t xml:space="preserve">day-ahead basis after nomination cut-off time </w:t>
      </w:r>
      <w:r>
        <w:t>will be able to do so using the day-ahead auction</w:t>
      </w:r>
      <w:r w:rsidR="00067F90">
        <w:t xml:space="preserve"> </w:t>
      </w:r>
      <w:r>
        <w:t xml:space="preserve">if </w:t>
      </w:r>
      <w:r w:rsidR="00E246BB">
        <w:t xml:space="preserve">there is any contracted but un-nominated capacity available. </w:t>
      </w:r>
    </w:p>
    <w:p w14:paraId="42CAC2DC" w14:textId="77777777" w:rsidR="00E246BB" w:rsidRDefault="00E246BB" w:rsidP="00E246BB">
      <w:pPr>
        <w:pStyle w:val="BodyText"/>
      </w:pPr>
      <w:r>
        <w:t xml:space="preserve">The way in which secondary capacity will be released through these mechanisms </w:t>
      </w:r>
      <w:r w:rsidR="002042B6">
        <w:t xml:space="preserve">is </w:t>
      </w:r>
      <w:r>
        <w:t xml:space="preserve">depicted in </w:t>
      </w:r>
      <w:r>
        <w:fldChar w:fldCharType="begin"/>
      </w:r>
      <w:r>
        <w:instrText xml:space="preserve"> REF _Ref491410701 \h </w:instrText>
      </w:r>
      <w:r>
        <w:fldChar w:fldCharType="separate"/>
      </w:r>
      <w:r w:rsidR="00830BE4">
        <w:t xml:space="preserve">Figure </w:t>
      </w:r>
      <w:r w:rsidR="00830BE4">
        <w:rPr>
          <w:noProof/>
        </w:rPr>
        <w:t>2</w:t>
      </w:r>
      <w:r w:rsidR="00830BE4">
        <w:t>.</w:t>
      </w:r>
      <w:r w:rsidR="00830BE4">
        <w:rPr>
          <w:noProof/>
        </w:rPr>
        <w:t>2</w:t>
      </w:r>
      <w:r>
        <w:fldChar w:fldCharType="end"/>
      </w:r>
      <w:r>
        <w:t>.</w:t>
      </w:r>
      <w:r w:rsidR="00D5454D">
        <w:t xml:space="preserve"> </w:t>
      </w:r>
    </w:p>
    <w:p w14:paraId="77A25D4B" w14:textId="77777777" w:rsidR="00E246BB" w:rsidRDefault="00E246BB" w:rsidP="00E246BB">
      <w:pPr>
        <w:pStyle w:val="BodyText"/>
        <w:spacing w:before="120"/>
        <w:sectPr w:rsidR="00E246BB" w:rsidSect="00436621">
          <w:headerReference w:type="default" r:id="rId29"/>
          <w:footerReference w:type="default" r:id="rId30"/>
          <w:pgSz w:w="11907" w:h="16840" w:code="9"/>
          <w:pgMar w:top="714" w:right="1418" w:bottom="992" w:left="1701" w:header="425" w:footer="397" w:gutter="0"/>
          <w:cols w:space="708"/>
          <w:docGrid w:linePitch="360"/>
        </w:sectPr>
      </w:pPr>
    </w:p>
    <w:p w14:paraId="2AE1EB40" w14:textId="77777777" w:rsidR="00E246BB" w:rsidRDefault="00E246BB" w:rsidP="00A46977">
      <w:pPr>
        <w:pStyle w:val="Caption"/>
        <w:spacing w:before="0" w:after="0"/>
        <w:ind w:left="142"/>
        <w:rPr>
          <w:noProof/>
        </w:rPr>
      </w:pPr>
      <w:bookmarkStart w:id="81" w:name="_Ref491410701"/>
      <w:r>
        <w:lastRenderedPageBreak/>
        <w:t xml:space="preserve">Figure </w:t>
      </w:r>
      <w:fldSimple w:instr=" STYLEREF 1 \s ">
        <w:r w:rsidR="00830BE4">
          <w:rPr>
            <w:noProof/>
          </w:rPr>
          <w:t>2</w:t>
        </w:r>
      </w:fldSimple>
      <w:r w:rsidR="00B73E3D">
        <w:t>.</w:t>
      </w:r>
      <w:fldSimple w:instr=" SEQ Figure \* ARABIC \s 1 ">
        <w:r w:rsidR="00830BE4">
          <w:rPr>
            <w:noProof/>
          </w:rPr>
          <w:t>2</w:t>
        </w:r>
      </w:fldSimple>
      <w:bookmarkEnd w:id="81"/>
      <w:r>
        <w:t>: How capacity will be released through the capacity trading platform and auction</w:t>
      </w:r>
      <w:r w:rsidR="004C674C">
        <w:t xml:space="preserve"> and contractual arrangements</w:t>
      </w:r>
    </w:p>
    <w:p w14:paraId="380ACA65" w14:textId="77777777" w:rsidR="00E246BB" w:rsidRDefault="00530872" w:rsidP="00A46977">
      <w:pPr>
        <w:pStyle w:val="BodyText"/>
        <w:spacing w:before="0" w:after="0"/>
        <w:sectPr w:rsidR="00E246BB" w:rsidSect="00436621">
          <w:pgSz w:w="16839" w:h="11907" w:orient="landscape" w:code="9"/>
          <w:pgMar w:top="1361" w:right="1417" w:bottom="992" w:left="2268" w:header="567" w:footer="397" w:gutter="0"/>
          <w:cols w:space="708"/>
          <w:docGrid w:linePitch="360"/>
        </w:sectPr>
      </w:pPr>
      <w:r>
        <w:rPr>
          <w:noProof/>
        </w:rPr>
        <w:drawing>
          <wp:inline distT="0" distB="0" distL="0" distR="0" wp14:anchorId="632B1772" wp14:editId="17A12C67">
            <wp:extent cx="8140700" cy="5399405"/>
            <wp:effectExtent l="0" t="0" r="0" b="0"/>
            <wp:docPr id="19" name="Picture 19" descr="Image showing how capacity will be released through the capacity trading platform and auction and contractual arrangements" title="Figure 2.2: How capacity will be released through the capacity trading platform and auction and contractual arrangeme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141597" cy="5400000"/>
                    </a:xfrm>
                    <a:prstGeom prst="rect">
                      <a:avLst/>
                    </a:prstGeom>
                    <a:noFill/>
                  </pic:spPr>
                </pic:pic>
              </a:graphicData>
            </a:graphic>
          </wp:inline>
        </w:drawing>
      </w:r>
    </w:p>
    <w:p w14:paraId="11035DDC" w14:textId="77777777" w:rsidR="002042B6" w:rsidRDefault="002042B6" w:rsidP="002042B6">
      <w:pPr>
        <w:pStyle w:val="BodyText"/>
      </w:pPr>
      <w:r>
        <w:lastRenderedPageBreak/>
        <w:fldChar w:fldCharType="begin"/>
      </w:r>
      <w:r>
        <w:instrText xml:space="preserve"> REF _Ref491410701 \h </w:instrText>
      </w:r>
      <w:r>
        <w:fldChar w:fldCharType="separate"/>
      </w:r>
      <w:r w:rsidR="00830BE4">
        <w:t xml:space="preserve">Figure </w:t>
      </w:r>
      <w:r w:rsidR="00830BE4">
        <w:rPr>
          <w:noProof/>
        </w:rPr>
        <w:t>2</w:t>
      </w:r>
      <w:r w:rsidR="00830BE4">
        <w:t>.</w:t>
      </w:r>
      <w:r w:rsidR="00830BE4">
        <w:rPr>
          <w:noProof/>
        </w:rPr>
        <w:t>2</w:t>
      </w:r>
      <w:r>
        <w:fldChar w:fldCharType="end"/>
      </w:r>
      <w:r>
        <w:t xml:space="preserve"> also shows the contractual arrangements that shippers will need to have in place with: </w:t>
      </w:r>
    </w:p>
    <w:p w14:paraId="49347A3E" w14:textId="77777777" w:rsidR="002042B6" w:rsidRDefault="002042B6" w:rsidP="002042B6">
      <w:pPr>
        <w:pStyle w:val="ListBullet"/>
      </w:pPr>
      <w:r>
        <w:t>AEMO to trade capacity on the trading platform (</w:t>
      </w:r>
      <w:r w:rsidRPr="00D5454D">
        <w:rPr>
          <w:b/>
        </w:rPr>
        <w:t>Exchange Agreement</w:t>
      </w:r>
      <w:r>
        <w:t>) and to use the day-ahead auction (</w:t>
      </w:r>
      <w:r w:rsidRPr="00D5454D">
        <w:rPr>
          <w:b/>
        </w:rPr>
        <w:t>Auction Agreement</w:t>
      </w:r>
      <w:r>
        <w:t>); and</w:t>
      </w:r>
    </w:p>
    <w:p w14:paraId="7D4274A3" w14:textId="77777777" w:rsidR="002042B6" w:rsidRDefault="002042B6" w:rsidP="002042B6">
      <w:pPr>
        <w:pStyle w:val="ListBullet"/>
      </w:pPr>
      <w:r>
        <w:t xml:space="preserve">service providers to enable any capacity procured through these mechanisms to be used </w:t>
      </w:r>
      <w:r w:rsidR="00A46977">
        <w:t xml:space="preserve">by way of an operational transfer </w:t>
      </w:r>
      <w:r w:rsidR="00530872">
        <w:t xml:space="preserve">(see </w:t>
      </w:r>
      <w:r w:rsidR="00530872">
        <w:fldChar w:fldCharType="begin"/>
      </w:r>
      <w:r w:rsidR="00530872">
        <w:instrText xml:space="preserve"> REF _Ref489586096 \h </w:instrText>
      </w:r>
      <w:r w:rsidR="00530872">
        <w:fldChar w:fldCharType="separate"/>
      </w:r>
      <w:r w:rsidR="00830BE4" w:rsidRPr="00EC75C1">
        <w:t xml:space="preserve">Box </w:t>
      </w:r>
      <w:r w:rsidR="00830BE4">
        <w:rPr>
          <w:noProof/>
        </w:rPr>
        <w:t>2</w:t>
      </w:r>
      <w:r w:rsidR="00830BE4">
        <w:t>.</w:t>
      </w:r>
      <w:r w:rsidR="00830BE4">
        <w:rPr>
          <w:noProof/>
        </w:rPr>
        <w:t>1</w:t>
      </w:r>
      <w:r w:rsidR="00530872">
        <w:fldChar w:fldCharType="end"/>
      </w:r>
      <w:r w:rsidR="00530872">
        <w:t xml:space="preserve">) </w:t>
      </w:r>
      <w:r>
        <w:t>(</w:t>
      </w:r>
      <w:r w:rsidRPr="00D5454D">
        <w:rPr>
          <w:b/>
        </w:rPr>
        <w:t xml:space="preserve">operational </w:t>
      </w:r>
      <w:r w:rsidR="00B76BEE">
        <w:rPr>
          <w:b/>
        </w:rPr>
        <w:t xml:space="preserve">transportation service agreement or operational </w:t>
      </w:r>
      <w:r w:rsidRPr="00D5454D">
        <w:rPr>
          <w:b/>
        </w:rPr>
        <w:t>TSA</w:t>
      </w:r>
      <w:r>
        <w:t>).</w:t>
      </w:r>
    </w:p>
    <w:tbl>
      <w:tblPr>
        <w:tblStyle w:val="PullOutBoxTable"/>
        <w:tblW w:w="5000" w:type="pct"/>
        <w:shd w:val="clear" w:color="auto" w:fill="D9D9D9" w:themeFill="background1" w:themeFillShade="D9"/>
        <w:tblCellMar>
          <w:top w:w="85" w:type="dxa"/>
          <w:bottom w:w="85" w:type="dxa"/>
        </w:tblCellMar>
        <w:tblLook w:val="0600" w:firstRow="0" w:lastRow="0" w:firstColumn="0" w:lastColumn="0" w:noHBand="1" w:noVBand="1"/>
        <w:tblCaption w:val="Box 2.1"/>
        <w:tblDescription w:val="Capacity transfer mechanisms"/>
      </w:tblPr>
      <w:tblGrid>
        <w:gridCol w:w="8788"/>
      </w:tblGrid>
      <w:tr w:rsidR="00EA690D" w:rsidRPr="00AE6D62" w14:paraId="1A716E0A" w14:textId="77777777" w:rsidTr="00EA690D">
        <w:trPr>
          <w:tblHeader/>
        </w:trPr>
        <w:tc>
          <w:tcPr>
            <w:tcW w:w="5000" w:type="pct"/>
            <w:shd w:val="clear" w:color="auto" w:fill="auto"/>
          </w:tcPr>
          <w:p w14:paraId="3A48EB23" w14:textId="410E6731" w:rsidR="00EA690D" w:rsidRPr="00530872" w:rsidRDefault="00EA690D" w:rsidP="00EA690D">
            <w:pPr>
              <w:pStyle w:val="TableBodyText"/>
              <w:spacing w:after="120"/>
              <w:rPr>
                <w:sz w:val="20"/>
                <w:szCs w:val="20"/>
              </w:rPr>
            </w:pPr>
            <w:bookmarkStart w:id="82" w:name="_Ref489586096"/>
            <w:r w:rsidRPr="00EA690D">
              <w:rPr>
                <w:b/>
                <w:sz w:val="22"/>
              </w:rPr>
              <w:t xml:space="preserve">Box </w:t>
            </w:r>
            <w:r w:rsidRPr="00EA690D">
              <w:rPr>
                <w:b/>
                <w:sz w:val="22"/>
              </w:rPr>
              <w:fldChar w:fldCharType="begin"/>
            </w:r>
            <w:r w:rsidRPr="00EA690D">
              <w:rPr>
                <w:b/>
                <w:sz w:val="22"/>
              </w:rPr>
              <w:instrText xml:space="preserve"> STYLEREF 1 \s </w:instrText>
            </w:r>
            <w:r w:rsidRPr="00EA690D">
              <w:rPr>
                <w:b/>
                <w:sz w:val="22"/>
              </w:rPr>
              <w:fldChar w:fldCharType="separate"/>
            </w:r>
            <w:r w:rsidRPr="00EA690D">
              <w:rPr>
                <w:b/>
                <w:noProof/>
                <w:sz w:val="22"/>
              </w:rPr>
              <w:t>2</w:t>
            </w:r>
            <w:r w:rsidRPr="00EA690D">
              <w:rPr>
                <w:b/>
                <w:noProof/>
                <w:sz w:val="22"/>
              </w:rPr>
              <w:fldChar w:fldCharType="end"/>
            </w:r>
            <w:r w:rsidRPr="00EA690D">
              <w:rPr>
                <w:b/>
                <w:sz w:val="22"/>
              </w:rPr>
              <w:t>.</w:t>
            </w:r>
            <w:r w:rsidRPr="00EA690D">
              <w:rPr>
                <w:b/>
                <w:sz w:val="22"/>
              </w:rPr>
              <w:fldChar w:fldCharType="begin"/>
            </w:r>
            <w:r w:rsidRPr="00EA690D">
              <w:rPr>
                <w:b/>
                <w:sz w:val="22"/>
              </w:rPr>
              <w:instrText xml:space="preserve"> SEQ Box \* ARABIC \s 1 </w:instrText>
            </w:r>
            <w:r w:rsidRPr="00EA690D">
              <w:rPr>
                <w:b/>
                <w:sz w:val="22"/>
              </w:rPr>
              <w:fldChar w:fldCharType="separate"/>
            </w:r>
            <w:r w:rsidRPr="00EA690D">
              <w:rPr>
                <w:b/>
                <w:noProof/>
                <w:sz w:val="22"/>
              </w:rPr>
              <w:t>1</w:t>
            </w:r>
            <w:r w:rsidRPr="00EA690D">
              <w:rPr>
                <w:b/>
                <w:noProof/>
                <w:sz w:val="22"/>
              </w:rPr>
              <w:fldChar w:fldCharType="end"/>
            </w:r>
            <w:bookmarkEnd w:id="82"/>
            <w:r w:rsidRPr="00EA690D">
              <w:rPr>
                <w:b/>
                <w:sz w:val="22"/>
              </w:rPr>
              <w:t>: Operational transfers</w:t>
            </w:r>
          </w:p>
        </w:tc>
      </w:tr>
      <w:tr w:rsidR="00EA690D" w:rsidRPr="00AE6D62" w14:paraId="21E8CD73" w14:textId="77777777" w:rsidTr="00EA690D">
        <w:tc>
          <w:tcPr>
            <w:tcW w:w="5000" w:type="pct"/>
            <w:shd w:val="clear" w:color="auto" w:fill="D9D9D9" w:themeFill="background1" w:themeFillShade="D9"/>
          </w:tcPr>
          <w:p w14:paraId="56C325E5" w14:textId="77777777" w:rsidR="00EA690D" w:rsidRDefault="00EA690D" w:rsidP="00EA690D">
            <w:pPr>
              <w:pStyle w:val="TableBodyText"/>
              <w:spacing w:after="120"/>
              <w:rPr>
                <w:rFonts w:eastAsia="Calibri"/>
                <w:sz w:val="20"/>
                <w:szCs w:val="20"/>
              </w:rPr>
            </w:pPr>
            <w:r w:rsidRPr="00530872">
              <w:rPr>
                <w:sz w:val="20"/>
                <w:szCs w:val="20"/>
              </w:rPr>
              <w:t xml:space="preserve">Under an operational transfer, the price, prudential and other legal provisions relating to a sale of capacity are set out in the secondary CTA, Exchange Agreement or Auction Agreement entered into by the shippers, while the operational terms are set out in the operational TSA entered into between the service provider and secondary shipper. The key difference between this transfer mechanism and a bare transfer is that the </w:t>
            </w:r>
            <w:r w:rsidRPr="00530872">
              <w:rPr>
                <w:rFonts w:eastAsia="Calibri"/>
                <w:sz w:val="20"/>
                <w:szCs w:val="20"/>
              </w:rPr>
              <w:t xml:space="preserve">secondary shipper is responsible for making nominations directly to the service provider and complying with the operational and legal obligations in the operational </w:t>
            </w:r>
            <w:r w:rsidRPr="00530872">
              <w:rPr>
                <w:sz w:val="20"/>
                <w:szCs w:val="20"/>
              </w:rPr>
              <w:t xml:space="preserve">TSA </w:t>
            </w:r>
            <w:r w:rsidRPr="00530872">
              <w:rPr>
                <w:rFonts w:eastAsia="Calibri"/>
                <w:sz w:val="20"/>
                <w:szCs w:val="20"/>
              </w:rPr>
              <w:t xml:space="preserve">it has entered into with the service provider in relation to the capacity that has been purchased. </w:t>
            </w:r>
          </w:p>
          <w:p w14:paraId="1791A207" w14:textId="77777777" w:rsidR="00EA690D" w:rsidRPr="00530872" w:rsidRDefault="00EA690D" w:rsidP="00EA690D">
            <w:pPr>
              <w:pStyle w:val="TableBodyText"/>
              <w:rPr>
                <w:sz w:val="20"/>
                <w:szCs w:val="20"/>
              </w:rPr>
            </w:pPr>
            <w:r w:rsidRPr="00530872">
              <w:rPr>
                <w:rFonts w:eastAsia="Calibri"/>
                <w:sz w:val="20"/>
                <w:szCs w:val="20"/>
              </w:rPr>
              <w:t xml:space="preserve">The diagram below </w:t>
            </w:r>
            <w:r>
              <w:rPr>
                <w:rFonts w:eastAsia="Calibri"/>
                <w:sz w:val="20"/>
                <w:szCs w:val="20"/>
              </w:rPr>
              <w:t xml:space="preserve">sets out </w:t>
            </w:r>
            <w:r w:rsidRPr="00530872">
              <w:rPr>
                <w:rFonts w:eastAsia="Calibri"/>
                <w:sz w:val="20"/>
                <w:szCs w:val="20"/>
              </w:rPr>
              <w:t xml:space="preserve">how </w:t>
            </w:r>
            <w:r>
              <w:rPr>
                <w:rFonts w:eastAsia="Calibri"/>
                <w:sz w:val="20"/>
                <w:szCs w:val="20"/>
              </w:rPr>
              <w:t>an</w:t>
            </w:r>
            <w:r w:rsidRPr="00530872">
              <w:rPr>
                <w:rFonts w:eastAsia="Calibri"/>
                <w:sz w:val="20"/>
                <w:szCs w:val="20"/>
              </w:rPr>
              <w:t xml:space="preserve"> operational transfer works. Note that in </w:t>
            </w:r>
            <w:r>
              <w:rPr>
                <w:rFonts w:eastAsia="Calibri"/>
                <w:sz w:val="20"/>
                <w:szCs w:val="20"/>
              </w:rPr>
              <w:t xml:space="preserve">this </w:t>
            </w:r>
            <w:r w:rsidRPr="00530872">
              <w:rPr>
                <w:rFonts w:eastAsia="Calibri"/>
                <w:sz w:val="20"/>
                <w:szCs w:val="20"/>
              </w:rPr>
              <w:t>diagram, the term operational GTA is used rather than operational TSA.</w:t>
            </w:r>
          </w:p>
          <w:p w14:paraId="1C37C0B6" w14:textId="44120154" w:rsidR="00EA690D" w:rsidRPr="00EA690D" w:rsidRDefault="00EA690D" w:rsidP="00EA690D">
            <w:pPr>
              <w:pStyle w:val="TableBodyText"/>
              <w:spacing w:after="120"/>
              <w:rPr>
                <w:b/>
                <w:sz w:val="22"/>
              </w:rPr>
            </w:pPr>
            <w:r>
              <w:rPr>
                <w:rFonts w:eastAsiaTheme="majorEastAsia"/>
                <w:b/>
                <w:noProof/>
                <w:sz w:val="20"/>
                <w:szCs w:val="20"/>
              </w:rPr>
              <w:drawing>
                <wp:inline distT="0" distB="0" distL="0" distR="0" wp14:anchorId="01C9D168" wp14:editId="367326BF">
                  <wp:extent cx="5638800" cy="2876280"/>
                  <wp:effectExtent l="0" t="0" r="0" b="635"/>
                  <wp:docPr id="14" name="Picture 14" title="Capacity transfer mechanism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32">
                            <a:extLst>
                              <a:ext uri="{28A0092B-C50C-407E-A947-70E740481C1C}">
                                <a14:useLocalDpi xmlns:a14="http://schemas.microsoft.com/office/drawing/2010/main" val="0"/>
                              </a:ext>
                            </a:extLst>
                          </a:blip>
                          <a:stretch>
                            <a:fillRect/>
                          </a:stretch>
                        </pic:blipFill>
                        <pic:spPr>
                          <a:xfrm>
                            <a:off x="0" y="0"/>
                            <a:ext cx="5643431" cy="2878642"/>
                          </a:xfrm>
                          <a:prstGeom prst="rect">
                            <a:avLst/>
                          </a:prstGeom>
                        </pic:spPr>
                      </pic:pic>
                    </a:graphicData>
                  </a:graphic>
                </wp:inline>
              </w:drawing>
            </w:r>
          </w:p>
        </w:tc>
      </w:tr>
    </w:tbl>
    <w:p w14:paraId="6B23753C" w14:textId="77777777" w:rsidR="00530872" w:rsidRDefault="00530872" w:rsidP="00530872">
      <w:pPr>
        <w:pStyle w:val="BodyText"/>
        <w:spacing w:before="0" w:after="0" w:line="240" w:lineRule="auto"/>
        <w:rPr>
          <w:sz w:val="18"/>
          <w:szCs w:val="18"/>
        </w:rPr>
      </w:pPr>
      <w:r w:rsidRPr="00EC75C1">
        <w:rPr>
          <w:sz w:val="18"/>
          <w:szCs w:val="18"/>
        </w:rPr>
        <w:t xml:space="preserve">Source: AEMC, </w:t>
      </w:r>
      <w:r>
        <w:rPr>
          <w:sz w:val="18"/>
          <w:szCs w:val="18"/>
        </w:rPr>
        <w:t xml:space="preserve">Stage 2 Final Report: </w:t>
      </w:r>
      <w:r w:rsidRPr="005E3347">
        <w:rPr>
          <w:i/>
          <w:sz w:val="18"/>
          <w:szCs w:val="18"/>
        </w:rPr>
        <w:t>East Coast Review</w:t>
      </w:r>
      <w:r w:rsidRPr="00EC75C1">
        <w:rPr>
          <w:sz w:val="18"/>
          <w:szCs w:val="18"/>
        </w:rPr>
        <w:t xml:space="preserve">, </w:t>
      </w:r>
      <w:r>
        <w:rPr>
          <w:sz w:val="18"/>
          <w:szCs w:val="18"/>
        </w:rPr>
        <w:t>23</w:t>
      </w:r>
      <w:r w:rsidRPr="00EC75C1">
        <w:rPr>
          <w:sz w:val="18"/>
          <w:szCs w:val="18"/>
        </w:rPr>
        <w:t xml:space="preserve"> </w:t>
      </w:r>
      <w:r>
        <w:rPr>
          <w:sz w:val="18"/>
          <w:szCs w:val="18"/>
        </w:rPr>
        <w:t xml:space="preserve">May </w:t>
      </w:r>
      <w:r w:rsidRPr="00EC75C1">
        <w:rPr>
          <w:sz w:val="18"/>
          <w:szCs w:val="18"/>
        </w:rPr>
        <w:t>2016, p</w:t>
      </w:r>
      <w:r>
        <w:rPr>
          <w:sz w:val="18"/>
          <w:szCs w:val="18"/>
        </w:rPr>
        <w:t>p</w:t>
      </w:r>
      <w:r w:rsidRPr="00EC75C1">
        <w:rPr>
          <w:sz w:val="18"/>
          <w:szCs w:val="18"/>
        </w:rPr>
        <w:t xml:space="preserve">. </w:t>
      </w:r>
      <w:r>
        <w:rPr>
          <w:sz w:val="18"/>
          <w:szCs w:val="18"/>
        </w:rPr>
        <w:t>99-</w:t>
      </w:r>
      <w:r w:rsidRPr="00EC75C1">
        <w:rPr>
          <w:sz w:val="18"/>
          <w:szCs w:val="18"/>
        </w:rPr>
        <w:t>1</w:t>
      </w:r>
      <w:r>
        <w:rPr>
          <w:sz w:val="18"/>
          <w:szCs w:val="18"/>
        </w:rPr>
        <w:t>00 and Pipeline Access Discussion Paper, 3 March 2016, pp. 18-19</w:t>
      </w:r>
      <w:r w:rsidRPr="00EC75C1">
        <w:rPr>
          <w:sz w:val="18"/>
          <w:szCs w:val="18"/>
        </w:rPr>
        <w:t>.</w:t>
      </w:r>
    </w:p>
    <w:p w14:paraId="4A557748" w14:textId="77777777" w:rsidR="002042B6" w:rsidRPr="00D5454D" w:rsidRDefault="002042B6" w:rsidP="00F64414">
      <w:pPr>
        <w:pStyle w:val="BodyText"/>
        <w:spacing w:after="240"/>
      </w:pPr>
      <w:r w:rsidRPr="00D5454D">
        <w:fldChar w:fldCharType="begin"/>
      </w:r>
      <w:r w:rsidRPr="00D5454D">
        <w:instrText xml:space="preserve"> REF _Ref491414461 \h </w:instrText>
      </w:r>
      <w:r>
        <w:instrText xml:space="preserve"> \* MERGEFORMAT </w:instrText>
      </w:r>
      <w:r w:rsidRPr="00D5454D">
        <w:fldChar w:fldCharType="separate"/>
      </w:r>
      <w:r w:rsidR="00830BE4">
        <w:t xml:space="preserve">Table </w:t>
      </w:r>
      <w:r w:rsidR="00830BE4">
        <w:rPr>
          <w:noProof/>
        </w:rPr>
        <w:t>2.1</w:t>
      </w:r>
      <w:r w:rsidRPr="00D5454D">
        <w:fldChar w:fldCharType="end"/>
      </w:r>
      <w:r w:rsidRPr="00D5454D">
        <w:t xml:space="preserve"> provides more detail on the contractual arrangements shippers will need to have in place to use the day-ahead auction and capacity trading platform. </w:t>
      </w:r>
      <w:r w:rsidR="00067F90">
        <w:t>T</w:t>
      </w:r>
      <w:r w:rsidRPr="00D5454D">
        <w:rPr>
          <w:rFonts w:asciiTheme="majorHAnsi" w:hAnsiTheme="majorHAnsi" w:cstheme="majorHAnsi"/>
        </w:rPr>
        <w:t>rades conducted through the exchange and day-ahead auction will utilise the existing GSH settlement, prudential and reporting frameworks, which means participants will receive one settlement statement for all traded products and be able to aggregate prudential requirements across gas, secondary capacity and auction products.</w:t>
      </w:r>
    </w:p>
    <w:tbl>
      <w:tblPr>
        <w:tblStyle w:val="TableGrid"/>
        <w:tblW w:w="5325" w:type="pct"/>
        <w:tblInd w:w="-142" w:type="dxa"/>
        <w:tblLayout w:type="fixed"/>
        <w:tblLook w:val="0420" w:firstRow="1" w:lastRow="0" w:firstColumn="0" w:lastColumn="0" w:noHBand="0" w:noVBand="1"/>
        <w:tblCaption w:val="Table 2.1: Arrangements shippers require for capacity trading platform and auction"/>
        <w:tblDescription w:val="Table of arrangements shippers require for capacity trading platform and auction"/>
      </w:tblPr>
      <w:tblGrid>
        <w:gridCol w:w="1559"/>
        <w:gridCol w:w="7800"/>
      </w:tblGrid>
      <w:tr w:rsidR="005C0893" w:rsidRPr="00067F90" w14:paraId="76AA090A" w14:textId="77777777" w:rsidTr="00AB5ABC">
        <w:trPr>
          <w:cnfStyle w:val="100000000000" w:firstRow="1" w:lastRow="0" w:firstColumn="0" w:lastColumn="0" w:oddVBand="0" w:evenVBand="0" w:oddHBand="0" w:evenHBand="0" w:firstRowFirstColumn="0" w:firstRowLastColumn="0" w:lastRowFirstColumn="0" w:lastRowLastColumn="0"/>
          <w:trHeight w:val="70"/>
          <w:tblHeader/>
        </w:trPr>
        <w:tc>
          <w:tcPr>
            <w:tcW w:w="5000" w:type="pct"/>
            <w:gridSpan w:val="2"/>
            <w:tcBorders>
              <w:top w:val="nil"/>
              <w:bottom w:val="single" w:sz="4" w:space="0" w:color="auto"/>
            </w:tcBorders>
            <w:shd w:val="clear" w:color="auto" w:fill="auto"/>
          </w:tcPr>
          <w:p w14:paraId="60780022" w14:textId="64B1463B" w:rsidR="005C0893" w:rsidRPr="00067F90" w:rsidRDefault="00AB5ABC" w:rsidP="00AB5ABC">
            <w:pPr>
              <w:pStyle w:val="TableBodyText"/>
              <w:keepNext/>
              <w:spacing w:before="40" w:after="40"/>
              <w:rPr>
                <w:sz w:val="19"/>
                <w:szCs w:val="19"/>
                <w:lang w:eastAsia="fr-CA"/>
              </w:rPr>
            </w:pPr>
            <w:bookmarkStart w:id="83" w:name="_Ref491414461"/>
            <w:r w:rsidRPr="00AB5ABC">
              <w:rPr>
                <w:color w:val="auto"/>
                <w:sz w:val="22"/>
              </w:rPr>
              <w:lastRenderedPageBreak/>
              <w:t xml:space="preserve">Table </w:t>
            </w:r>
            <w:r w:rsidRPr="00AB5ABC">
              <w:rPr>
                <w:sz w:val="22"/>
              </w:rPr>
              <w:fldChar w:fldCharType="begin"/>
            </w:r>
            <w:r w:rsidRPr="00AB5ABC">
              <w:rPr>
                <w:color w:val="auto"/>
                <w:sz w:val="22"/>
              </w:rPr>
              <w:instrText xml:space="preserve"> STYLEREF 1 \s </w:instrText>
            </w:r>
            <w:r w:rsidRPr="00AB5ABC">
              <w:rPr>
                <w:sz w:val="22"/>
              </w:rPr>
              <w:fldChar w:fldCharType="separate"/>
            </w:r>
            <w:r w:rsidRPr="00AB5ABC">
              <w:rPr>
                <w:noProof/>
                <w:color w:val="auto"/>
                <w:sz w:val="22"/>
              </w:rPr>
              <w:t>2</w:t>
            </w:r>
            <w:r w:rsidRPr="00AB5ABC">
              <w:rPr>
                <w:noProof/>
                <w:sz w:val="22"/>
              </w:rPr>
              <w:fldChar w:fldCharType="end"/>
            </w:r>
            <w:r w:rsidRPr="00AB5ABC">
              <w:rPr>
                <w:color w:val="auto"/>
                <w:sz w:val="22"/>
              </w:rPr>
              <w:t>.</w:t>
            </w:r>
            <w:r w:rsidRPr="00AB5ABC">
              <w:rPr>
                <w:sz w:val="22"/>
              </w:rPr>
              <w:fldChar w:fldCharType="begin"/>
            </w:r>
            <w:r w:rsidRPr="00AB5ABC">
              <w:rPr>
                <w:color w:val="auto"/>
                <w:sz w:val="22"/>
              </w:rPr>
              <w:instrText xml:space="preserve"> SEQ Table \* ARABIC \s 1 </w:instrText>
            </w:r>
            <w:r w:rsidRPr="00AB5ABC">
              <w:rPr>
                <w:sz w:val="22"/>
              </w:rPr>
              <w:fldChar w:fldCharType="separate"/>
            </w:r>
            <w:r w:rsidRPr="00AB5ABC">
              <w:rPr>
                <w:noProof/>
                <w:color w:val="auto"/>
                <w:sz w:val="22"/>
              </w:rPr>
              <w:t>1</w:t>
            </w:r>
            <w:r w:rsidRPr="00AB5ABC">
              <w:rPr>
                <w:noProof/>
                <w:sz w:val="22"/>
              </w:rPr>
              <w:fldChar w:fldCharType="end"/>
            </w:r>
            <w:bookmarkEnd w:id="83"/>
            <w:r w:rsidRPr="00AB5ABC">
              <w:rPr>
                <w:color w:val="auto"/>
                <w:sz w:val="22"/>
              </w:rPr>
              <w:t>: Arrangements shippers require for capacity trading platform and auction</w:t>
            </w:r>
          </w:p>
        </w:tc>
      </w:tr>
      <w:tr w:rsidR="00AB5ABC" w:rsidRPr="00067F90" w14:paraId="212B0E40" w14:textId="77777777" w:rsidTr="00F163DB">
        <w:trPr>
          <w:trHeight w:val="70"/>
        </w:trPr>
        <w:tc>
          <w:tcPr>
            <w:tcW w:w="5000" w:type="pct"/>
            <w:gridSpan w:val="2"/>
            <w:tcBorders>
              <w:top w:val="single" w:sz="4" w:space="0" w:color="auto"/>
            </w:tcBorders>
            <w:shd w:val="clear" w:color="auto" w:fill="E1E2E7" w:themeFill="background2"/>
          </w:tcPr>
          <w:p w14:paraId="665D379A" w14:textId="77777777" w:rsidR="00AB5ABC" w:rsidRPr="00AB5ABC" w:rsidRDefault="00AB5ABC" w:rsidP="00F163DB">
            <w:pPr>
              <w:pStyle w:val="TableBodyText"/>
              <w:keepNext/>
              <w:spacing w:before="40" w:after="40"/>
              <w:jc w:val="center"/>
              <w:rPr>
                <w:b/>
                <w:sz w:val="19"/>
                <w:szCs w:val="19"/>
                <w:lang w:eastAsia="fr-CA"/>
              </w:rPr>
            </w:pPr>
            <w:r w:rsidRPr="00AB5ABC">
              <w:rPr>
                <w:b/>
                <w:sz w:val="19"/>
                <w:szCs w:val="19"/>
                <w:lang w:eastAsia="fr-CA"/>
              </w:rPr>
              <w:t>Participation in the day-ahead auction</w:t>
            </w:r>
          </w:p>
        </w:tc>
      </w:tr>
      <w:tr w:rsidR="00AB5ABC" w:rsidRPr="00F64414" w14:paraId="3C9874E9" w14:textId="77777777" w:rsidTr="00F163DB">
        <w:trPr>
          <w:cnfStyle w:val="000000010000" w:firstRow="0" w:lastRow="0" w:firstColumn="0" w:lastColumn="0" w:oddVBand="0" w:evenVBand="0" w:oddHBand="0" w:evenHBand="1" w:firstRowFirstColumn="0" w:firstRowLastColumn="0" w:lastRowFirstColumn="0" w:lastRowLastColumn="0"/>
        </w:trPr>
        <w:tc>
          <w:tcPr>
            <w:tcW w:w="833" w:type="pct"/>
            <w:shd w:val="clear" w:color="auto" w:fill="auto"/>
          </w:tcPr>
          <w:p w14:paraId="0BCE7808" w14:textId="77777777" w:rsidR="00AB5ABC" w:rsidRPr="00F64414" w:rsidRDefault="00AB5ABC" w:rsidP="00F163DB">
            <w:pPr>
              <w:pStyle w:val="TableBodyText"/>
              <w:spacing w:before="40" w:after="40"/>
              <w:rPr>
                <w:b/>
                <w:sz w:val="19"/>
                <w:szCs w:val="19"/>
                <w:lang w:eastAsia="fr-CA"/>
              </w:rPr>
            </w:pPr>
            <w:r w:rsidRPr="00F64414">
              <w:rPr>
                <w:b/>
                <w:sz w:val="19"/>
                <w:szCs w:val="19"/>
                <w:lang w:eastAsia="fr-CA"/>
              </w:rPr>
              <w:t>Membership and contractual obligations</w:t>
            </w:r>
          </w:p>
        </w:tc>
        <w:tc>
          <w:tcPr>
            <w:tcW w:w="4167" w:type="pct"/>
            <w:shd w:val="clear" w:color="auto" w:fill="auto"/>
          </w:tcPr>
          <w:p w14:paraId="0ADF8906" w14:textId="77777777" w:rsidR="00AB5ABC" w:rsidRPr="00F64414" w:rsidRDefault="00AB5ABC" w:rsidP="00F163DB">
            <w:pPr>
              <w:pStyle w:val="TableBodyText"/>
              <w:spacing w:before="40" w:after="40"/>
              <w:rPr>
                <w:sz w:val="19"/>
                <w:szCs w:val="19"/>
                <w:lang w:eastAsia="fr-CA"/>
              </w:rPr>
            </w:pPr>
            <w:r w:rsidRPr="00F64414">
              <w:rPr>
                <w:sz w:val="19"/>
                <w:szCs w:val="19"/>
                <w:lang w:eastAsia="fr-CA"/>
              </w:rPr>
              <w:t xml:space="preserve">Shippers that want to </w:t>
            </w:r>
            <w:r>
              <w:rPr>
                <w:sz w:val="19"/>
                <w:szCs w:val="19"/>
                <w:lang w:eastAsia="fr-CA"/>
              </w:rPr>
              <w:t xml:space="preserve">participate in the </w:t>
            </w:r>
            <w:r w:rsidRPr="00F64414">
              <w:rPr>
                <w:sz w:val="19"/>
                <w:szCs w:val="19"/>
                <w:lang w:eastAsia="fr-CA"/>
              </w:rPr>
              <w:t xml:space="preserve">day-ahead auction will execute an Auction Agreement with AEMO. The Auction Agreement will set out the terms of participation in the auction, including the prudential and settlement obligations. </w:t>
            </w:r>
          </w:p>
        </w:tc>
      </w:tr>
      <w:tr w:rsidR="00AB5ABC" w:rsidRPr="00F64414" w14:paraId="3E61C04F" w14:textId="77777777" w:rsidTr="00F163DB">
        <w:tc>
          <w:tcPr>
            <w:tcW w:w="5000" w:type="pct"/>
            <w:gridSpan w:val="2"/>
            <w:shd w:val="clear" w:color="auto" w:fill="E1E2E7"/>
          </w:tcPr>
          <w:p w14:paraId="3FC9DE4B" w14:textId="77777777" w:rsidR="00AB5ABC" w:rsidRPr="00F64414" w:rsidRDefault="00AB5ABC" w:rsidP="00F163DB">
            <w:pPr>
              <w:pStyle w:val="TableBodyText"/>
              <w:spacing w:before="40" w:after="40"/>
              <w:jc w:val="center"/>
              <w:rPr>
                <w:b/>
                <w:sz w:val="19"/>
                <w:szCs w:val="19"/>
                <w:lang w:eastAsia="fr-CA"/>
              </w:rPr>
            </w:pPr>
            <w:r w:rsidRPr="00F64414">
              <w:rPr>
                <w:b/>
                <w:sz w:val="19"/>
                <w:szCs w:val="19"/>
                <w:lang w:eastAsia="fr-CA"/>
              </w:rPr>
              <w:t xml:space="preserve">Participation in the capacity trading platform </w:t>
            </w:r>
          </w:p>
        </w:tc>
      </w:tr>
      <w:tr w:rsidR="00AB5ABC" w:rsidRPr="00F64414" w14:paraId="58C295BF" w14:textId="77777777" w:rsidTr="00F163DB">
        <w:trPr>
          <w:cnfStyle w:val="000000010000" w:firstRow="0" w:lastRow="0" w:firstColumn="0" w:lastColumn="0" w:oddVBand="0" w:evenVBand="0" w:oddHBand="0" w:evenHBand="1" w:firstRowFirstColumn="0" w:firstRowLastColumn="0" w:lastRowFirstColumn="0" w:lastRowLastColumn="0"/>
        </w:trPr>
        <w:tc>
          <w:tcPr>
            <w:tcW w:w="833" w:type="pct"/>
            <w:shd w:val="clear" w:color="auto" w:fill="auto"/>
          </w:tcPr>
          <w:p w14:paraId="471B611A" w14:textId="77777777" w:rsidR="00AB5ABC" w:rsidRPr="00F64414" w:rsidRDefault="00AB5ABC" w:rsidP="00F163DB">
            <w:pPr>
              <w:pStyle w:val="TableBodyText"/>
              <w:spacing w:before="40" w:after="40"/>
              <w:rPr>
                <w:b/>
                <w:sz w:val="19"/>
                <w:szCs w:val="19"/>
                <w:lang w:eastAsia="fr-CA"/>
              </w:rPr>
            </w:pPr>
            <w:r w:rsidRPr="00F64414">
              <w:rPr>
                <w:b/>
                <w:sz w:val="19"/>
                <w:szCs w:val="19"/>
                <w:lang w:eastAsia="fr-CA"/>
              </w:rPr>
              <w:t>Membership and contractual obligations</w:t>
            </w:r>
          </w:p>
        </w:tc>
        <w:tc>
          <w:tcPr>
            <w:tcW w:w="4167" w:type="pct"/>
            <w:shd w:val="clear" w:color="auto" w:fill="auto"/>
          </w:tcPr>
          <w:p w14:paraId="00690A73" w14:textId="77777777" w:rsidR="00AB5ABC" w:rsidRPr="00F64414" w:rsidRDefault="00AB5ABC" w:rsidP="00F163DB">
            <w:pPr>
              <w:pStyle w:val="TableBodyText"/>
              <w:spacing w:before="40" w:after="40"/>
              <w:rPr>
                <w:sz w:val="19"/>
                <w:szCs w:val="19"/>
                <w:lang w:eastAsia="fr-CA"/>
              </w:rPr>
            </w:pPr>
            <w:r w:rsidRPr="00F64414">
              <w:rPr>
                <w:sz w:val="19"/>
                <w:szCs w:val="19"/>
                <w:lang w:eastAsia="fr-CA"/>
              </w:rPr>
              <w:t xml:space="preserve">Primary and secondary shippers that want to use the </w:t>
            </w:r>
            <w:r>
              <w:rPr>
                <w:sz w:val="19"/>
                <w:szCs w:val="19"/>
                <w:lang w:eastAsia="fr-CA"/>
              </w:rPr>
              <w:t xml:space="preserve">capacity trading platform </w:t>
            </w:r>
            <w:r w:rsidRPr="00F64414">
              <w:rPr>
                <w:sz w:val="19"/>
                <w:szCs w:val="19"/>
                <w:lang w:eastAsia="fr-CA"/>
              </w:rPr>
              <w:t xml:space="preserve">will need to become members of the </w:t>
            </w:r>
            <w:r>
              <w:rPr>
                <w:sz w:val="19"/>
                <w:szCs w:val="19"/>
                <w:lang w:eastAsia="fr-CA"/>
              </w:rPr>
              <w:t xml:space="preserve">GSH by executing a Membership Agreement with AEMO and </w:t>
            </w:r>
            <w:r w:rsidRPr="00F64414">
              <w:rPr>
                <w:sz w:val="19"/>
                <w:szCs w:val="19"/>
                <w:lang w:eastAsia="fr-CA"/>
              </w:rPr>
              <w:t>be registered as trading participants. Through the Membership Agreement, shippers will become a party to the Exchange Agreement. The Exchange Agreement is a multilateral agreement that sets out the terms of participation in the GSH and the terms governing transactions entered into through the exchange. The body of this agreement contains the trading, delivery, prudential and settlement obligations, while the product specifications are set out in schedules.</w:t>
            </w:r>
          </w:p>
        </w:tc>
      </w:tr>
      <w:tr w:rsidR="00AB5ABC" w:rsidRPr="00F64414" w14:paraId="28D575BD" w14:textId="77777777" w:rsidTr="00F163DB">
        <w:tc>
          <w:tcPr>
            <w:tcW w:w="5000" w:type="pct"/>
            <w:gridSpan w:val="2"/>
            <w:shd w:val="clear" w:color="auto" w:fill="E1E2E7"/>
          </w:tcPr>
          <w:p w14:paraId="3BF7B487" w14:textId="77777777" w:rsidR="00AB5ABC" w:rsidRPr="00F64414" w:rsidRDefault="00AB5ABC" w:rsidP="00F163DB">
            <w:pPr>
              <w:pStyle w:val="TableBodyText"/>
              <w:keepNext/>
              <w:spacing w:before="40" w:after="40"/>
              <w:jc w:val="center"/>
              <w:rPr>
                <w:b/>
                <w:sz w:val="19"/>
                <w:szCs w:val="19"/>
                <w:lang w:eastAsia="fr-CA"/>
              </w:rPr>
            </w:pPr>
            <w:r w:rsidRPr="00F64414">
              <w:rPr>
                <w:b/>
                <w:sz w:val="19"/>
                <w:szCs w:val="19"/>
                <w:lang w:eastAsia="fr-CA"/>
              </w:rPr>
              <w:t>Use of secondary capacity procured through the trading platform or auction</w:t>
            </w:r>
          </w:p>
        </w:tc>
      </w:tr>
      <w:tr w:rsidR="00AB5ABC" w:rsidRPr="00067F90" w14:paraId="52586820" w14:textId="77777777" w:rsidTr="00F163DB">
        <w:trPr>
          <w:cnfStyle w:val="000000010000" w:firstRow="0" w:lastRow="0" w:firstColumn="0" w:lastColumn="0" w:oddVBand="0" w:evenVBand="0" w:oddHBand="0" w:evenHBand="1" w:firstRowFirstColumn="0" w:firstRowLastColumn="0" w:lastRowFirstColumn="0" w:lastRowLastColumn="0"/>
        </w:trPr>
        <w:tc>
          <w:tcPr>
            <w:tcW w:w="833" w:type="pct"/>
            <w:tcBorders>
              <w:bottom w:val="single" w:sz="4" w:space="0" w:color="auto"/>
            </w:tcBorders>
            <w:shd w:val="clear" w:color="auto" w:fill="auto"/>
          </w:tcPr>
          <w:p w14:paraId="20128D35" w14:textId="77777777" w:rsidR="00AB5ABC" w:rsidRPr="00F64414" w:rsidRDefault="00AB5ABC" w:rsidP="00F163DB">
            <w:pPr>
              <w:pStyle w:val="TableBodyText"/>
              <w:spacing w:before="40" w:after="40"/>
              <w:rPr>
                <w:b/>
                <w:sz w:val="19"/>
                <w:szCs w:val="19"/>
                <w:lang w:eastAsia="fr-CA"/>
              </w:rPr>
            </w:pPr>
            <w:r w:rsidRPr="00F64414">
              <w:rPr>
                <w:b/>
                <w:sz w:val="19"/>
                <w:szCs w:val="19"/>
                <w:lang w:eastAsia="fr-CA"/>
              </w:rPr>
              <w:t>Operational transfers</w:t>
            </w:r>
          </w:p>
        </w:tc>
        <w:tc>
          <w:tcPr>
            <w:tcW w:w="4167" w:type="pct"/>
            <w:tcBorders>
              <w:bottom w:val="single" w:sz="4" w:space="0" w:color="auto"/>
            </w:tcBorders>
            <w:shd w:val="clear" w:color="auto" w:fill="auto"/>
          </w:tcPr>
          <w:p w14:paraId="02BFF0EA" w14:textId="77777777" w:rsidR="00AB5ABC" w:rsidRPr="00067F90" w:rsidRDefault="00AB5ABC" w:rsidP="00F163DB">
            <w:pPr>
              <w:pStyle w:val="TableBodyText"/>
              <w:spacing w:before="40" w:after="40"/>
              <w:rPr>
                <w:sz w:val="19"/>
                <w:szCs w:val="19"/>
                <w:lang w:eastAsia="fr-CA"/>
              </w:rPr>
            </w:pPr>
            <w:r w:rsidRPr="00067F90">
              <w:rPr>
                <w:sz w:val="19"/>
                <w:szCs w:val="19"/>
                <w:lang w:eastAsia="fr-CA"/>
              </w:rPr>
              <w:t xml:space="preserve">If a shipper procures secondary capacity through the exchange or day-ahead auction, the trade will be given effect through an operational transfer. Secondary shippers will also have the option to utilise an operational transfer if they enter into a bilateral trade identified through the listing service or other means. A secondary shipper will therefore need to have entered into an operational TSA with the service provider (this may take the form of a stand-alone agreement or may form part of a shipper’s primary facility agreement). </w:t>
            </w:r>
          </w:p>
          <w:p w14:paraId="1889FF80" w14:textId="77777777" w:rsidR="00AB5ABC" w:rsidRPr="00067F90" w:rsidRDefault="00AB5ABC" w:rsidP="00F163DB">
            <w:pPr>
              <w:pStyle w:val="TableBodyText"/>
              <w:spacing w:before="40" w:after="40"/>
              <w:rPr>
                <w:rFonts w:asciiTheme="majorHAnsi" w:hAnsiTheme="majorHAnsi" w:cstheme="majorHAnsi"/>
                <w:sz w:val="19"/>
                <w:szCs w:val="19"/>
              </w:rPr>
            </w:pPr>
            <w:r w:rsidRPr="00067F90">
              <w:rPr>
                <w:rFonts w:asciiTheme="majorHAnsi" w:hAnsiTheme="majorHAnsi" w:cstheme="majorHAnsi"/>
                <w:sz w:val="19"/>
                <w:szCs w:val="19"/>
              </w:rPr>
              <w:t xml:space="preserve">Operational TSAs, which are sometimes referred to as ‘zero MDQ’ contracts, operate like a master agreement between the service provider and secondary shipper, with the operational capacity (measured on a Maximum Daily Quantity (MDQ) basis) set at zero until the shipper purchases capacity. The operational TSA sets out the terms on which the service provider will provide transportation services to the secondary shipper when the shipper has bought secondary capacity via an operational transfer, including the operational, prudential and other terms governing the relationship between the service provider and secondary shipper. </w:t>
            </w:r>
          </w:p>
          <w:p w14:paraId="011B97B7" w14:textId="77777777" w:rsidR="00AB5ABC" w:rsidRPr="00067F90" w:rsidRDefault="00AB5ABC" w:rsidP="00F163DB">
            <w:pPr>
              <w:pStyle w:val="TableBodyText"/>
              <w:spacing w:before="40" w:after="40"/>
              <w:rPr>
                <w:rFonts w:asciiTheme="majorHAnsi" w:hAnsiTheme="majorHAnsi" w:cstheme="majorHAnsi"/>
                <w:sz w:val="19"/>
                <w:szCs w:val="19"/>
              </w:rPr>
            </w:pPr>
            <w:r w:rsidRPr="00067F90">
              <w:rPr>
                <w:rFonts w:asciiTheme="majorHAnsi" w:hAnsiTheme="majorHAnsi" w:cstheme="majorHAnsi"/>
                <w:sz w:val="19"/>
                <w:szCs w:val="19"/>
              </w:rPr>
              <w:t xml:space="preserve">If capacity is purchased, then the MDQ in the shipper’s operational TSA will be increased for the duration of the trade and the shipper will be entitled to make nominations directly to the service provider and liable to pay the service provider for any specified charges (i.e. imbalance or overrun charges) set out in the operational TSA. The primary shipper, on the other hand, will remain liable to pay the service provider for the capacity sold to the secondary shipper. </w:t>
            </w:r>
          </w:p>
          <w:p w14:paraId="1A97F32B" w14:textId="77777777" w:rsidR="00AB5ABC" w:rsidRPr="00067F90" w:rsidRDefault="00AB5ABC" w:rsidP="00F163DB">
            <w:pPr>
              <w:pStyle w:val="BodyText"/>
              <w:spacing w:before="40" w:after="40"/>
              <w:rPr>
                <w:rFonts w:asciiTheme="majorHAnsi" w:hAnsiTheme="majorHAnsi" w:cstheme="majorHAnsi"/>
                <w:sz w:val="19"/>
                <w:szCs w:val="19"/>
              </w:rPr>
            </w:pPr>
            <w:r w:rsidRPr="00067F90">
              <w:rPr>
                <w:rFonts w:asciiTheme="majorHAnsi" w:hAnsiTheme="majorHAnsi" w:cstheme="majorHAnsi"/>
                <w:sz w:val="19"/>
                <w:szCs w:val="19"/>
              </w:rPr>
              <w:t>While the term ‘transfer’ in operational transfer implies that capacity is being transferred from one shipper to another, this will not occur in relation to the day-ahead auction. In the day-ahead auction, any contracted but un-nominated capacity sold in the auction will be allocated to the auction winners, but there will not be a corresponding reduction in the holdings of primary shippers that have contracted but un-nominated capacity.</w:t>
            </w:r>
          </w:p>
        </w:tc>
      </w:tr>
      <w:tr w:rsidR="00AB5ABC" w:rsidRPr="00F64414" w14:paraId="3B63337F" w14:textId="77777777" w:rsidTr="00F163DB">
        <w:tc>
          <w:tcPr>
            <w:tcW w:w="833" w:type="pct"/>
            <w:shd w:val="clear" w:color="auto" w:fill="auto"/>
          </w:tcPr>
          <w:p w14:paraId="249F7F1D" w14:textId="77777777" w:rsidR="00AB5ABC" w:rsidRPr="00F64414" w:rsidRDefault="00AB5ABC" w:rsidP="00F163DB">
            <w:pPr>
              <w:pStyle w:val="TableBodyText"/>
              <w:spacing w:before="40" w:after="40"/>
              <w:rPr>
                <w:b/>
                <w:sz w:val="19"/>
                <w:szCs w:val="19"/>
                <w:lang w:eastAsia="fr-CA"/>
              </w:rPr>
            </w:pPr>
            <w:r w:rsidRPr="00F64414">
              <w:rPr>
                <w:b/>
                <w:sz w:val="19"/>
                <w:szCs w:val="19"/>
                <w:lang w:eastAsia="fr-CA"/>
              </w:rPr>
              <w:t>Allocation agreements</w:t>
            </w:r>
          </w:p>
        </w:tc>
        <w:tc>
          <w:tcPr>
            <w:tcW w:w="4167" w:type="pct"/>
            <w:shd w:val="clear" w:color="auto" w:fill="auto"/>
          </w:tcPr>
          <w:p w14:paraId="15DC317D" w14:textId="77777777" w:rsidR="00AB5ABC" w:rsidRPr="0063763F" w:rsidRDefault="00AB5ABC" w:rsidP="00F163DB">
            <w:pPr>
              <w:pStyle w:val="TableBodyText"/>
              <w:spacing w:before="40" w:after="40"/>
              <w:rPr>
                <w:sz w:val="19"/>
                <w:szCs w:val="19"/>
                <w:lang w:eastAsia="fr-CA"/>
              </w:rPr>
            </w:pPr>
            <w:r w:rsidRPr="0063763F">
              <w:rPr>
                <w:sz w:val="19"/>
                <w:szCs w:val="19"/>
                <w:lang w:eastAsia="fr-CA"/>
              </w:rPr>
              <w:t xml:space="preserve">If a secondary shipper procures capacity through the exchange or day-ahead auction and wants to use a multi-user receipt or delivery point, it may need to become a party to any allocation agreement at that point(s). This agreement sets out the </w:t>
            </w:r>
            <w:r w:rsidRPr="0063763F">
              <w:rPr>
                <w:sz w:val="19"/>
                <w:szCs w:val="19"/>
              </w:rPr>
              <w:t>rules the allocation agent is required to use to allocate gas between shippers at the receipt or delivery point.</w:t>
            </w:r>
          </w:p>
        </w:tc>
      </w:tr>
      <w:tr w:rsidR="00AB5ABC" w:rsidRPr="00F64414" w14:paraId="62C1D4A2" w14:textId="77777777" w:rsidTr="00F163DB">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33" w:type="pct"/>
            <w:shd w:val="clear" w:color="auto" w:fill="auto"/>
          </w:tcPr>
          <w:p w14:paraId="67BB539E" w14:textId="77777777" w:rsidR="00AB5ABC" w:rsidRPr="00F64414" w:rsidRDefault="00AB5ABC" w:rsidP="00F163DB">
            <w:pPr>
              <w:pStyle w:val="TableBodyText"/>
              <w:spacing w:before="40" w:after="40"/>
              <w:rPr>
                <w:b/>
                <w:sz w:val="19"/>
                <w:szCs w:val="19"/>
                <w:lang w:eastAsia="fr-CA"/>
              </w:rPr>
            </w:pPr>
            <w:r w:rsidRPr="00F64414">
              <w:rPr>
                <w:b/>
                <w:sz w:val="19"/>
                <w:szCs w:val="19"/>
                <w:lang w:eastAsia="fr-CA"/>
              </w:rPr>
              <w:t>Other services and arrangements</w:t>
            </w:r>
          </w:p>
        </w:tc>
        <w:tc>
          <w:tcPr>
            <w:tcW w:w="4167" w:type="pct"/>
            <w:shd w:val="clear" w:color="auto" w:fill="auto"/>
          </w:tcPr>
          <w:p w14:paraId="1883D55A" w14:textId="77777777" w:rsidR="00AB5ABC" w:rsidRPr="0063763F" w:rsidRDefault="00AB5ABC" w:rsidP="00F163DB">
            <w:pPr>
              <w:pStyle w:val="TableBodyText"/>
              <w:spacing w:before="40" w:after="40"/>
              <w:rPr>
                <w:sz w:val="19"/>
                <w:szCs w:val="19"/>
                <w:lang w:eastAsia="fr-CA"/>
              </w:rPr>
            </w:pPr>
            <w:r w:rsidRPr="0063763F">
              <w:rPr>
                <w:sz w:val="19"/>
                <w:szCs w:val="19"/>
                <w:lang w:eastAsia="fr-CA"/>
              </w:rPr>
              <w:t xml:space="preserve">In some cases, a secondary shipper may also require: </w:t>
            </w:r>
          </w:p>
          <w:p w14:paraId="149CA854" w14:textId="77777777" w:rsidR="00AB5ABC" w:rsidRPr="0063763F" w:rsidRDefault="00AB5ABC" w:rsidP="00AB5ABC">
            <w:pPr>
              <w:pStyle w:val="TableBullet1"/>
              <w:numPr>
                <w:ilvl w:val="0"/>
                <w:numId w:val="7"/>
              </w:numPr>
              <w:rPr>
                <w:lang w:eastAsia="fr-CA"/>
              </w:rPr>
            </w:pPr>
            <w:r w:rsidRPr="0063763F">
              <w:rPr>
                <w:lang w:eastAsia="fr-CA"/>
              </w:rPr>
              <w:t>access to other transportation related services that are not available on the exchange or through the auction (for example, in some locations a shipper will require redirection services and compression services or may want additional hourly or imbalance flexibility than what is provided for in the standard services) and will need to enter into arrangements with the relevant service provider for the provision of those services; and</w:t>
            </w:r>
          </w:p>
          <w:p w14:paraId="58F24EB1" w14:textId="50FE5CBC" w:rsidR="00AB5ABC" w:rsidRPr="0063763F" w:rsidRDefault="00AB5ABC" w:rsidP="00AB5ABC">
            <w:pPr>
              <w:pStyle w:val="TableBullet1"/>
              <w:numPr>
                <w:ilvl w:val="0"/>
                <w:numId w:val="7"/>
              </w:numPr>
              <w:rPr>
                <w:lang w:eastAsia="fr-CA"/>
              </w:rPr>
            </w:pPr>
            <w:r w:rsidRPr="0063763F">
              <w:rPr>
                <w:lang w:eastAsia="fr-CA"/>
              </w:rPr>
              <w:t>access to a receipt or delivery point that is controlled by a third party and will need to enter into arrangements with that party to ensure they can utilise those points.</w:t>
            </w:r>
          </w:p>
        </w:tc>
      </w:tr>
    </w:tbl>
    <w:p w14:paraId="13ED46E2" w14:textId="77777777" w:rsidR="002042B6" w:rsidRPr="00BA2C8A" w:rsidRDefault="002042B6" w:rsidP="00BA2C8A">
      <w:pPr>
        <w:pStyle w:val="BodyText"/>
        <w:spacing w:before="0" w:after="0"/>
        <w:rPr>
          <w:sz w:val="2"/>
          <w:szCs w:val="2"/>
        </w:rPr>
      </w:pPr>
      <w:r w:rsidRPr="00BA2C8A">
        <w:rPr>
          <w:sz w:val="2"/>
          <w:szCs w:val="2"/>
        </w:rPr>
        <w:br w:type="page"/>
      </w:r>
    </w:p>
    <w:p w14:paraId="10C50008" w14:textId="77777777" w:rsidR="00F23E45" w:rsidRDefault="00A948BB" w:rsidP="00A86288">
      <w:pPr>
        <w:pStyle w:val="Heading1"/>
        <w:spacing w:before="0" w:after="80"/>
      </w:pPr>
      <w:bookmarkStart w:id="84" w:name="_Toc509239426"/>
      <w:r>
        <w:lastRenderedPageBreak/>
        <w:t>Legal</w:t>
      </w:r>
      <w:r w:rsidR="00924C08">
        <w:t xml:space="preserve"> </w:t>
      </w:r>
      <w:r w:rsidR="004A3B41">
        <w:t xml:space="preserve">and regulatory </w:t>
      </w:r>
      <w:r w:rsidR="00BB59A5">
        <w:t>framework</w:t>
      </w:r>
      <w:bookmarkEnd w:id="84"/>
    </w:p>
    <w:p w14:paraId="709EE1A9" w14:textId="77777777" w:rsidR="008F40F6" w:rsidRDefault="00067F90" w:rsidP="008F40F6">
      <w:pPr>
        <w:pStyle w:val="BodyText"/>
        <w:spacing w:before="120"/>
      </w:pPr>
      <w:r>
        <w:t>I</w:t>
      </w:r>
      <w:r w:rsidR="008F40F6">
        <w:t xml:space="preserve">mplementing the capacity trading reforms will require Energy Council </w:t>
      </w:r>
      <w:r>
        <w:t xml:space="preserve">approval for </w:t>
      </w:r>
      <w:r w:rsidR="008F40F6">
        <w:t xml:space="preserve">a package of legislative and regulatory </w:t>
      </w:r>
      <w:r>
        <w:t>measures</w:t>
      </w:r>
      <w:r w:rsidR="008F40F6">
        <w:t xml:space="preserve"> that will include:</w:t>
      </w:r>
    </w:p>
    <w:p w14:paraId="1A43F76C" w14:textId="77777777" w:rsidR="008F40F6" w:rsidRDefault="008F40F6" w:rsidP="00DD2DC8">
      <w:pPr>
        <w:pStyle w:val="ListBullet"/>
      </w:pPr>
      <w:r>
        <w:t xml:space="preserve">changes to the </w:t>
      </w:r>
      <w:r w:rsidRPr="00B509D7">
        <w:rPr>
          <w:b/>
        </w:rPr>
        <w:t>NGL</w:t>
      </w:r>
      <w:r>
        <w:t>;</w:t>
      </w:r>
    </w:p>
    <w:p w14:paraId="3C77BAC8" w14:textId="77777777" w:rsidR="008F40F6" w:rsidRDefault="008F40F6" w:rsidP="00DD2DC8">
      <w:pPr>
        <w:pStyle w:val="ListBullet"/>
      </w:pPr>
      <w:r>
        <w:t xml:space="preserve">changes to the </w:t>
      </w:r>
      <w:r w:rsidRPr="00B509D7">
        <w:rPr>
          <w:b/>
        </w:rPr>
        <w:t>Regulations</w:t>
      </w:r>
      <w:r>
        <w:t xml:space="preserve">; </w:t>
      </w:r>
    </w:p>
    <w:p w14:paraId="58456E9C" w14:textId="77777777" w:rsidR="008F40F6" w:rsidRDefault="008F40F6" w:rsidP="00DD2DC8">
      <w:pPr>
        <w:pStyle w:val="ListBullet"/>
      </w:pPr>
      <w:r>
        <w:t xml:space="preserve">changes to the </w:t>
      </w:r>
      <w:r w:rsidRPr="00B509D7">
        <w:rPr>
          <w:b/>
        </w:rPr>
        <w:t>NGR</w:t>
      </w:r>
      <w:r>
        <w:t>; and</w:t>
      </w:r>
    </w:p>
    <w:p w14:paraId="7AB13C59" w14:textId="77777777" w:rsidR="008F40F6" w:rsidRPr="009B54B2" w:rsidRDefault="008F40F6" w:rsidP="00DD2DC8">
      <w:pPr>
        <w:pStyle w:val="ListBullet"/>
      </w:pPr>
      <w:r w:rsidRPr="009B54B2">
        <w:t xml:space="preserve">a new instrument, the </w:t>
      </w:r>
      <w:r w:rsidRPr="009B54B2">
        <w:rPr>
          <w:b/>
        </w:rPr>
        <w:t>Code</w:t>
      </w:r>
      <w:r w:rsidRPr="009B54B2">
        <w:t>.</w:t>
      </w:r>
    </w:p>
    <w:p w14:paraId="7C650ED3" w14:textId="77777777" w:rsidR="00E005D4" w:rsidRDefault="007174BC" w:rsidP="008F40F6">
      <w:pPr>
        <w:pStyle w:val="BodyText"/>
      </w:pPr>
      <w:r>
        <w:t xml:space="preserve">AEMO will </w:t>
      </w:r>
      <w:r w:rsidR="00067F90">
        <w:t xml:space="preserve">then </w:t>
      </w:r>
      <w:r>
        <w:t>need to</w:t>
      </w:r>
      <w:r w:rsidR="00E005D4">
        <w:t>:</w:t>
      </w:r>
      <w:r>
        <w:t xml:space="preserve"> </w:t>
      </w:r>
    </w:p>
    <w:p w14:paraId="4BF6B574" w14:textId="77777777" w:rsidR="00E005D4" w:rsidRDefault="00067F90" w:rsidP="00E005D4">
      <w:pPr>
        <w:pStyle w:val="ListBullet"/>
      </w:pPr>
      <w:r>
        <w:t xml:space="preserve">make </w:t>
      </w:r>
      <w:r w:rsidR="007174BC">
        <w:t>the Capacity Transfer and Auction Procedures</w:t>
      </w:r>
      <w:r w:rsidR="00E005D4">
        <w:t>, which will be directed at the effective operation and administration of the capacity auction and transaction support arrangements;</w:t>
      </w:r>
    </w:p>
    <w:p w14:paraId="529C0645" w14:textId="77777777" w:rsidR="00E005D4" w:rsidRDefault="00067F90" w:rsidP="00E005D4">
      <w:pPr>
        <w:pStyle w:val="ListBullet"/>
      </w:pPr>
      <w:r>
        <w:t>make the</w:t>
      </w:r>
      <w:r w:rsidR="00E005D4">
        <w:t xml:space="preserve"> </w:t>
      </w:r>
      <w:r w:rsidR="007174BC">
        <w:t>Auction Agreement</w:t>
      </w:r>
      <w:r w:rsidR="00E005D4">
        <w:t>, which will be entered into by AEMO and auction participants and set out the terms of participation in the auction; and</w:t>
      </w:r>
    </w:p>
    <w:p w14:paraId="46A96AD2" w14:textId="77777777" w:rsidR="007174BC" w:rsidRDefault="007174BC" w:rsidP="00E005D4">
      <w:pPr>
        <w:pStyle w:val="ListBullet"/>
      </w:pPr>
      <w:r>
        <w:t xml:space="preserve">amend the Exchange Agreement and various other </w:t>
      </w:r>
      <w:r w:rsidR="00067F90">
        <w:t>P</w:t>
      </w:r>
      <w:r>
        <w:t>rocedures.</w:t>
      </w:r>
    </w:p>
    <w:p w14:paraId="6C73C763" w14:textId="77777777" w:rsidR="008F40F6" w:rsidRPr="008F40F6" w:rsidRDefault="008F40F6" w:rsidP="008F40F6">
      <w:pPr>
        <w:pStyle w:val="BodyText"/>
      </w:pPr>
      <w:r>
        <w:t xml:space="preserve">The remainder of this chapter provides a brief overview of the changes to be made to </w:t>
      </w:r>
      <w:r w:rsidR="007174BC">
        <w:t>the NGL, Regulations</w:t>
      </w:r>
      <w:r w:rsidR="001A60A3">
        <w:t xml:space="preserve"> and </w:t>
      </w:r>
      <w:r w:rsidR="007174BC">
        <w:t xml:space="preserve">NGR and </w:t>
      </w:r>
      <w:r w:rsidR="001A60A3">
        <w:t xml:space="preserve">the making of the </w:t>
      </w:r>
      <w:r w:rsidR="007174BC">
        <w:t>Code</w:t>
      </w:r>
      <w:r>
        <w:t xml:space="preserve">, the governance arrangements that will apply to these instruments and the new functions and powers that the AEMC, AEMO and the AER will have once the reforms are implemented. </w:t>
      </w:r>
    </w:p>
    <w:p w14:paraId="30B51DA6" w14:textId="77777777" w:rsidR="007F2211" w:rsidRDefault="007F2211" w:rsidP="007F2211">
      <w:pPr>
        <w:pStyle w:val="Heading2"/>
        <w:spacing w:before="200" w:after="120"/>
      </w:pPr>
      <w:bookmarkStart w:id="85" w:name="_Toc509239427"/>
      <w:r>
        <w:t>Legal instruments</w:t>
      </w:r>
      <w:bookmarkEnd w:id="85"/>
      <w:r>
        <w:t xml:space="preserve"> </w:t>
      </w:r>
    </w:p>
    <w:p w14:paraId="2F3F265F" w14:textId="77777777" w:rsidR="006E2A68" w:rsidRDefault="00723D62" w:rsidP="007174BC">
      <w:pPr>
        <w:pStyle w:val="BodyText"/>
      </w:pPr>
      <w:r w:rsidRPr="007174BC">
        <w:rPr>
          <w:b/>
          <w:color w:val="0099CC"/>
        </w:rPr>
        <w:t>NGL</w:t>
      </w:r>
      <w:r w:rsidR="006E2A68" w:rsidRPr="007174BC">
        <w:rPr>
          <w:b/>
          <w:color w:val="0099CC"/>
        </w:rPr>
        <w:t xml:space="preserve">: </w:t>
      </w:r>
      <w:r w:rsidR="006E2A68" w:rsidRPr="006E2A68">
        <w:t>Changes to the NGL are required to</w:t>
      </w:r>
      <w:r w:rsidR="006E2A68">
        <w:t>:</w:t>
      </w:r>
    </w:p>
    <w:p w14:paraId="24AFE5C7" w14:textId="77777777" w:rsidR="006E2A68" w:rsidRDefault="006E2A68" w:rsidP="007F2211">
      <w:pPr>
        <w:pStyle w:val="ListBullet"/>
        <w:spacing w:line="259" w:lineRule="auto"/>
      </w:pPr>
      <w:r>
        <w:t>extend the subject matter of the NGR to include provisions relating to the capacity trading reform package;</w:t>
      </w:r>
    </w:p>
    <w:p w14:paraId="0B0EBFEA" w14:textId="77777777" w:rsidR="006E2A68" w:rsidRDefault="006F727F" w:rsidP="007F2211">
      <w:pPr>
        <w:pStyle w:val="ListBullet"/>
        <w:spacing w:line="259" w:lineRule="auto"/>
      </w:pPr>
      <w:r>
        <w:t>set out the new functions and powers of AEMO and the AER</w:t>
      </w:r>
      <w:r w:rsidR="006E2A68">
        <w:t>;</w:t>
      </w:r>
    </w:p>
    <w:p w14:paraId="4FE52576" w14:textId="77777777" w:rsidR="006E2A68" w:rsidRDefault="006E2A68" w:rsidP="006E2A68">
      <w:pPr>
        <w:pStyle w:val="ListBullet"/>
      </w:pPr>
      <w:r>
        <w:t>allow AEMO to make the Capacity Transfer and Auction Procedures;</w:t>
      </w:r>
    </w:p>
    <w:p w14:paraId="24DAF536" w14:textId="77777777" w:rsidR="003149EF" w:rsidRDefault="006E2A68" w:rsidP="007F2211">
      <w:pPr>
        <w:pStyle w:val="ListBullet"/>
        <w:spacing w:line="259" w:lineRule="auto"/>
      </w:pPr>
      <w:r>
        <w:t xml:space="preserve">specify the </w:t>
      </w:r>
      <w:r w:rsidR="006F727F">
        <w:t xml:space="preserve">obligations that transportation service providers </w:t>
      </w:r>
      <w:r w:rsidR="009A0A3F">
        <w:t xml:space="preserve">(‘service providers’) </w:t>
      </w:r>
      <w:r w:rsidR="006F727F">
        <w:t>and other market participants will be subject to</w:t>
      </w:r>
      <w:r>
        <w:t xml:space="preserve"> under the NGL</w:t>
      </w:r>
      <w:r w:rsidR="00067F90">
        <w:t xml:space="preserve"> to support capacity trading</w:t>
      </w:r>
      <w:r w:rsidR="003149EF">
        <w:t>;</w:t>
      </w:r>
      <w:r>
        <w:t xml:space="preserve"> and</w:t>
      </w:r>
    </w:p>
    <w:p w14:paraId="7EFDEE2F" w14:textId="77777777" w:rsidR="006E2A68" w:rsidRDefault="006E2A68" w:rsidP="00F96A65">
      <w:pPr>
        <w:pStyle w:val="ListBullet"/>
        <w:spacing w:line="259" w:lineRule="auto"/>
      </w:pPr>
      <w:r>
        <w:t>establish the legal framework for various aspects of the capacity trading reform package (e.g. the day-ahead auction, the Code and the harmonisation of gas day start times and nomination cut-off times).</w:t>
      </w:r>
    </w:p>
    <w:p w14:paraId="6EA76B8B" w14:textId="77777777" w:rsidR="003149EF" w:rsidRDefault="003149EF" w:rsidP="006E2A68">
      <w:pPr>
        <w:pStyle w:val="BodyText"/>
      </w:pPr>
      <w:r w:rsidRPr="006E2A68">
        <w:rPr>
          <w:b/>
          <w:color w:val="0099CC"/>
        </w:rPr>
        <w:t>Regulations</w:t>
      </w:r>
      <w:r w:rsidR="006E2A68">
        <w:t xml:space="preserve">: Changes to the Regulations are </w:t>
      </w:r>
      <w:r w:rsidR="006F727F">
        <w:t xml:space="preserve">required to specify the NGL and NGR provisions that will be civil penalty and/or conduct provisions and </w:t>
      </w:r>
      <w:r w:rsidR="00067F90">
        <w:t xml:space="preserve">extend the operation of </w:t>
      </w:r>
      <w:r w:rsidR="006F727F">
        <w:t xml:space="preserve">the liability caps to </w:t>
      </w:r>
      <w:r w:rsidR="00067F90">
        <w:t xml:space="preserve">the new arrangements </w:t>
      </w:r>
      <w:r w:rsidR="006F727F">
        <w:t>in the NGL</w:t>
      </w:r>
      <w:r w:rsidR="006E2A68">
        <w:t>.</w:t>
      </w:r>
    </w:p>
    <w:p w14:paraId="27D5B80C" w14:textId="77777777" w:rsidR="005B28FF" w:rsidRDefault="006E2A68" w:rsidP="006E2A68">
      <w:pPr>
        <w:pStyle w:val="BodyText"/>
      </w:pPr>
      <w:r w:rsidRPr="006E2A68">
        <w:rPr>
          <w:b/>
          <w:color w:val="0099CC"/>
        </w:rPr>
        <w:t xml:space="preserve">NGR: </w:t>
      </w:r>
      <w:r w:rsidRPr="006E2A68">
        <w:t>Ch</w:t>
      </w:r>
      <w:r>
        <w:t xml:space="preserve">anges to the NGR are </w:t>
      </w:r>
      <w:r w:rsidR="005B28FF">
        <w:t>required to:</w:t>
      </w:r>
    </w:p>
    <w:p w14:paraId="4D026446" w14:textId="77777777" w:rsidR="00B73E3D" w:rsidRDefault="005B28FF" w:rsidP="006E2A68">
      <w:pPr>
        <w:pStyle w:val="ListBullet"/>
      </w:pPr>
      <w:r>
        <w:t>a</w:t>
      </w:r>
      <w:r w:rsidRPr="005B28FF">
        <w:t>mend</w:t>
      </w:r>
      <w:r>
        <w:rPr>
          <w:b/>
        </w:rPr>
        <w:t xml:space="preserve"> </w:t>
      </w:r>
      <w:r w:rsidR="006F727F">
        <w:t xml:space="preserve">some existing </w:t>
      </w:r>
      <w:r w:rsidR="00B73E3D">
        <w:t xml:space="preserve">parts of the </w:t>
      </w:r>
      <w:r w:rsidR="00EB2158">
        <w:t>NGR</w:t>
      </w:r>
      <w:r w:rsidR="006F727F">
        <w:t>, including</w:t>
      </w:r>
      <w:r w:rsidR="00B73E3D">
        <w:t>:</w:t>
      </w:r>
    </w:p>
    <w:p w14:paraId="6FCDA8F1" w14:textId="77777777" w:rsidR="006F727F" w:rsidRDefault="003149EF" w:rsidP="006E2A68">
      <w:pPr>
        <w:pStyle w:val="ListBullet2"/>
      </w:pPr>
      <w:r>
        <w:t>Part 15A (Registered Participants)</w:t>
      </w:r>
      <w:r w:rsidR="006F727F">
        <w:t xml:space="preserve"> – changes to this part of the NGR are required to provide </w:t>
      </w:r>
      <w:r w:rsidR="00B73E3D">
        <w:t>AEMO</w:t>
      </w:r>
      <w:r w:rsidR="006F727F">
        <w:t xml:space="preserve"> with some flexibility about how it will recover the capacity trading and auction related costs;</w:t>
      </w:r>
    </w:p>
    <w:p w14:paraId="3FD72BBF" w14:textId="77777777" w:rsidR="006F727F" w:rsidRDefault="006F727F" w:rsidP="006E2A68">
      <w:pPr>
        <w:pStyle w:val="ListBullet2"/>
      </w:pPr>
      <w:r>
        <w:lastRenderedPageBreak/>
        <w:t xml:space="preserve">Part 15B (Procedures) – changes are required to set out the matters that </w:t>
      </w:r>
      <w:r w:rsidR="00067F90">
        <w:t xml:space="preserve">the Capacity Transfer and Auction Procedures can address. The </w:t>
      </w:r>
      <w:r w:rsidR="001A60A3">
        <w:t xml:space="preserve">list of matters will be consequential to the </w:t>
      </w:r>
      <w:r w:rsidR="00067F90">
        <w:t>P</w:t>
      </w:r>
      <w:r w:rsidR="001A60A3">
        <w:t>rocedures</w:t>
      </w:r>
      <w:r w:rsidR="00067F90">
        <w:t>-</w:t>
      </w:r>
      <w:r w:rsidR="001A60A3">
        <w:t>related changes proposed in other parts of the NGR and NGL, so the proposed amendments to this part are not being separately consulted upon</w:t>
      </w:r>
      <w:r>
        <w:t xml:space="preserve">; </w:t>
      </w:r>
    </w:p>
    <w:p w14:paraId="3CB62484" w14:textId="77777777" w:rsidR="006F727F" w:rsidRDefault="003149EF" w:rsidP="006E2A68">
      <w:pPr>
        <w:pStyle w:val="ListBullet2"/>
      </w:pPr>
      <w:r>
        <w:t>Part 18 (Natural Gas Services Bulletin Board)</w:t>
      </w:r>
      <w:r w:rsidR="006F727F">
        <w:t xml:space="preserve"> – changes are required to give effect to </w:t>
      </w:r>
      <w:r w:rsidR="007174BC">
        <w:t xml:space="preserve">aspects of the </w:t>
      </w:r>
      <w:r w:rsidR="006F727F">
        <w:t>secondary capacity reporting framework and a number of other transparency measures, including those relating to allocation agreements;</w:t>
      </w:r>
      <w:r>
        <w:t xml:space="preserve"> and </w:t>
      </w:r>
    </w:p>
    <w:p w14:paraId="32A3A589" w14:textId="77777777" w:rsidR="003149EF" w:rsidRDefault="003149EF" w:rsidP="006E2A68">
      <w:pPr>
        <w:pStyle w:val="ListBullet2"/>
      </w:pPr>
      <w:r>
        <w:t>Part 22 (Gas Trading Exchange)</w:t>
      </w:r>
      <w:r w:rsidR="006F727F">
        <w:t xml:space="preserve"> – changes are required to give effect to some of the proposed features of the capacity trading platform, which will form part of the GSH</w:t>
      </w:r>
      <w:r>
        <w:t xml:space="preserve">; </w:t>
      </w:r>
    </w:p>
    <w:p w14:paraId="4B123A7B" w14:textId="77777777" w:rsidR="00B73E3D" w:rsidRDefault="005B28FF" w:rsidP="006E2A68">
      <w:pPr>
        <w:pStyle w:val="ListBullet"/>
      </w:pPr>
      <w:r>
        <w:t xml:space="preserve">insert the following </w:t>
      </w:r>
      <w:r w:rsidR="003149EF">
        <w:t>new parts into the NGR</w:t>
      </w:r>
      <w:r w:rsidR="00B73E3D">
        <w:t>:</w:t>
      </w:r>
    </w:p>
    <w:p w14:paraId="155A65FD" w14:textId="77777777" w:rsidR="00B73E3D" w:rsidRDefault="003149EF" w:rsidP="006E2A68">
      <w:pPr>
        <w:pStyle w:val="ListBullet2"/>
      </w:pPr>
      <w:r>
        <w:t>Part 24</w:t>
      </w:r>
      <w:r w:rsidR="00B73E3D">
        <w:t xml:space="preserve"> (Facilitating Capacity Trades and the Capacity Auction)</w:t>
      </w:r>
      <w:r w:rsidR="006F727F">
        <w:t xml:space="preserve"> – this part of the NGR gives effect to the </w:t>
      </w:r>
      <w:r w:rsidR="00B73E3D">
        <w:t xml:space="preserve">standardisation related reforms </w:t>
      </w:r>
      <w:r w:rsidR="007174BC">
        <w:t xml:space="preserve">(including providing for the Code) </w:t>
      </w:r>
      <w:r w:rsidR="00B73E3D">
        <w:t>and a number of other measures to facilitate secondary</w:t>
      </w:r>
      <w:r w:rsidR="007174BC">
        <w:t xml:space="preserve"> capacity</w:t>
      </w:r>
      <w:r w:rsidR="00B73E3D">
        <w:t xml:space="preserve"> trading and the day-ahead auction;</w:t>
      </w:r>
    </w:p>
    <w:p w14:paraId="48076491" w14:textId="77777777" w:rsidR="00B73E3D" w:rsidRDefault="003149EF" w:rsidP="006E2A68">
      <w:pPr>
        <w:pStyle w:val="ListBullet2"/>
      </w:pPr>
      <w:r>
        <w:t>Part 25 (Capacity Auctions)</w:t>
      </w:r>
      <w:r w:rsidR="006F727F">
        <w:t xml:space="preserve"> – this part of the NGR </w:t>
      </w:r>
      <w:r w:rsidR="00B73E3D">
        <w:t xml:space="preserve">sets out the rules </w:t>
      </w:r>
      <w:r w:rsidR="006F727F">
        <w:t>pertaining</w:t>
      </w:r>
      <w:r w:rsidR="00B73E3D">
        <w:t xml:space="preserve"> to the day-ahead auction; and</w:t>
      </w:r>
    </w:p>
    <w:p w14:paraId="5EA9D75B" w14:textId="77777777" w:rsidR="00B73E3D" w:rsidRDefault="003149EF" w:rsidP="006E2A68">
      <w:pPr>
        <w:pStyle w:val="ListBullet2"/>
      </w:pPr>
      <w:r>
        <w:t>Part 26 (Standard Market Timetable)</w:t>
      </w:r>
      <w:r w:rsidR="006F727F">
        <w:t xml:space="preserve"> – this part of the NGR </w:t>
      </w:r>
      <w:r w:rsidR="00B73E3D">
        <w:t xml:space="preserve">sets out </w:t>
      </w:r>
      <w:r w:rsidR="001A60A3">
        <w:t xml:space="preserve">the rules relating to the harmonisation of </w:t>
      </w:r>
      <w:r w:rsidR="00B73E3D">
        <w:t>gas day and nomination cut-off time</w:t>
      </w:r>
      <w:r w:rsidR="001A60A3">
        <w:t>s</w:t>
      </w:r>
      <w:r w:rsidR="00B73E3D">
        <w:t>; and</w:t>
      </w:r>
    </w:p>
    <w:p w14:paraId="34B79F3E" w14:textId="77777777" w:rsidR="003149EF" w:rsidRDefault="006E2A68" w:rsidP="006E2A68">
      <w:pPr>
        <w:pStyle w:val="ListBullet"/>
      </w:pPr>
      <w:r>
        <w:t xml:space="preserve">specify </w:t>
      </w:r>
      <w:r w:rsidR="003149EF">
        <w:t>a number of transitional rules</w:t>
      </w:r>
      <w:r w:rsidR="00F71AC6">
        <w:t xml:space="preserve"> in Schedule 5 of the NGR</w:t>
      </w:r>
      <w:r w:rsidR="005B28FF">
        <w:t>.</w:t>
      </w:r>
    </w:p>
    <w:p w14:paraId="0364D78E" w14:textId="77777777" w:rsidR="007174BC" w:rsidRDefault="006E2A68" w:rsidP="007F2211">
      <w:pPr>
        <w:pStyle w:val="BodyText"/>
        <w:spacing w:line="259" w:lineRule="auto"/>
      </w:pPr>
      <w:r w:rsidRPr="006E2A68">
        <w:rPr>
          <w:b/>
          <w:color w:val="0099CC"/>
        </w:rPr>
        <w:t>Code:</w:t>
      </w:r>
      <w:r w:rsidRPr="006E2A68">
        <w:rPr>
          <w:color w:val="0099CC"/>
        </w:rPr>
        <w:t xml:space="preserve"> </w:t>
      </w:r>
      <w:r w:rsidR="005B28FF">
        <w:t xml:space="preserve">The </w:t>
      </w:r>
      <w:r w:rsidR="003149EF" w:rsidRPr="009B54B2">
        <w:rPr>
          <w:b/>
        </w:rPr>
        <w:t>Code</w:t>
      </w:r>
      <w:r>
        <w:rPr>
          <w:b/>
        </w:rPr>
        <w:t xml:space="preserve"> </w:t>
      </w:r>
      <w:r w:rsidR="005B28FF">
        <w:t xml:space="preserve">is a new instrument that </w:t>
      </w:r>
      <w:r w:rsidR="006F727F">
        <w:t xml:space="preserve">will </w:t>
      </w:r>
      <w:r w:rsidR="007174BC">
        <w:t xml:space="preserve">govern the content of standard form operational transportation </w:t>
      </w:r>
      <w:r w:rsidR="00067F90">
        <w:t xml:space="preserve">service </w:t>
      </w:r>
      <w:r w:rsidR="007174BC">
        <w:t xml:space="preserve">agreements </w:t>
      </w:r>
      <w:r w:rsidR="003340EE">
        <w:t>(</w:t>
      </w:r>
      <w:r w:rsidR="00620000">
        <w:t>“</w:t>
      </w:r>
      <w:r w:rsidR="003340EE">
        <w:t>standard operational agreements</w:t>
      </w:r>
      <w:r w:rsidR="00620000">
        <w:t>”</w:t>
      </w:r>
      <w:r w:rsidR="003340EE">
        <w:t xml:space="preserve">) </w:t>
      </w:r>
      <w:r w:rsidR="007174BC">
        <w:t>and will contain:</w:t>
      </w:r>
    </w:p>
    <w:p w14:paraId="4EAE27BF" w14:textId="77777777" w:rsidR="007174BC" w:rsidRDefault="007174BC" w:rsidP="007174BC">
      <w:pPr>
        <w:pStyle w:val="ListBullet"/>
      </w:pPr>
      <w:r>
        <w:t>a description of each standard operational transportation service;</w:t>
      </w:r>
    </w:p>
    <w:p w14:paraId="0A3796F8" w14:textId="77777777" w:rsidR="007174BC" w:rsidRDefault="007174BC" w:rsidP="007174BC">
      <w:pPr>
        <w:pStyle w:val="ListBullet"/>
      </w:pPr>
      <w:r>
        <w:t>the standard terms and conditions for the provision and use of standard operational transportation services that will apply to all transportation facilities;</w:t>
      </w:r>
    </w:p>
    <w:p w14:paraId="11A74DA3" w14:textId="77777777" w:rsidR="007174BC" w:rsidRDefault="007174BC" w:rsidP="007174BC">
      <w:pPr>
        <w:pStyle w:val="ListBullet"/>
      </w:pPr>
      <w:r>
        <w:t>a description of, and the requirements for, facility specific terms associated with the provision and use of standard operational transportation services, which may differ across facilities; and</w:t>
      </w:r>
    </w:p>
    <w:p w14:paraId="5A5A19C4" w14:textId="77777777" w:rsidR="007174BC" w:rsidRDefault="007174BC" w:rsidP="007174BC">
      <w:pPr>
        <w:pStyle w:val="ListBullet"/>
      </w:pPr>
      <w:r>
        <w:t>a form of agreement for execution by the parties.</w:t>
      </w:r>
    </w:p>
    <w:p w14:paraId="4D9B4CD8" w14:textId="77777777" w:rsidR="00B73E3D" w:rsidRDefault="006F727F" w:rsidP="001A60A3">
      <w:pPr>
        <w:pStyle w:val="BodyText"/>
        <w:spacing w:line="259" w:lineRule="auto"/>
        <w:sectPr w:rsidR="00B73E3D" w:rsidSect="00436621">
          <w:headerReference w:type="even" r:id="rId33"/>
          <w:headerReference w:type="default" r:id="rId34"/>
          <w:footerReference w:type="even" r:id="rId35"/>
          <w:footerReference w:type="default" r:id="rId36"/>
          <w:headerReference w:type="first" r:id="rId37"/>
          <w:footerReference w:type="first" r:id="rId38"/>
          <w:pgSz w:w="11907" w:h="16839"/>
          <w:pgMar w:top="973" w:right="1418" w:bottom="851" w:left="1701" w:header="567" w:footer="132" w:gutter="0"/>
          <w:cols w:space="720"/>
          <w:docGrid w:linePitch="299"/>
        </w:sectPr>
      </w:pPr>
      <w:r>
        <w:fldChar w:fldCharType="begin"/>
      </w:r>
      <w:r>
        <w:instrText xml:space="preserve"> REF _Ref508801738 \h </w:instrText>
      </w:r>
      <w:r>
        <w:fldChar w:fldCharType="separate"/>
      </w:r>
      <w:r w:rsidR="00830BE4">
        <w:t xml:space="preserve">Figure </w:t>
      </w:r>
      <w:r w:rsidR="00830BE4">
        <w:rPr>
          <w:noProof/>
        </w:rPr>
        <w:t>3</w:t>
      </w:r>
      <w:r w:rsidR="00830BE4">
        <w:t>.</w:t>
      </w:r>
      <w:r w:rsidR="00830BE4">
        <w:rPr>
          <w:noProof/>
        </w:rPr>
        <w:t>1</w:t>
      </w:r>
      <w:r>
        <w:fldChar w:fldCharType="end"/>
      </w:r>
      <w:r>
        <w:t xml:space="preserve"> illustrates the relationships between these instruments</w:t>
      </w:r>
      <w:r w:rsidR="005B28FF">
        <w:t xml:space="preserve"> and identifies the </w:t>
      </w:r>
      <w:r w:rsidR="00067F90">
        <w:t xml:space="preserve">key </w:t>
      </w:r>
      <w:r w:rsidR="005B28FF">
        <w:t>instruments AEMO will be responsible for developing</w:t>
      </w:r>
      <w:r w:rsidR="00943ED4">
        <w:t>, which will be consulted upon separately</w:t>
      </w:r>
      <w:r w:rsidR="005B28FF" w:rsidRPr="005B28FF">
        <w:t>.</w:t>
      </w:r>
      <w:r>
        <w:t xml:space="preserve"> </w:t>
      </w:r>
    </w:p>
    <w:p w14:paraId="59DFCFBC" w14:textId="77777777" w:rsidR="00B73E3D" w:rsidRDefault="00B73E3D" w:rsidP="00B73E3D">
      <w:pPr>
        <w:pStyle w:val="Caption"/>
        <w:spacing w:before="0" w:after="0"/>
      </w:pPr>
      <w:bookmarkStart w:id="86" w:name="_Ref508801738"/>
      <w:r>
        <w:lastRenderedPageBreak/>
        <w:t xml:space="preserve">Figure </w:t>
      </w:r>
      <w:fldSimple w:instr=" STYLEREF 1 \s ">
        <w:r w:rsidR="00830BE4">
          <w:rPr>
            <w:noProof/>
          </w:rPr>
          <w:t>3</w:t>
        </w:r>
      </w:fldSimple>
      <w:r>
        <w:t>.</w:t>
      </w:r>
      <w:fldSimple w:instr=" SEQ Figure \* ARABIC \s 1 ">
        <w:r w:rsidR="00830BE4">
          <w:rPr>
            <w:noProof/>
          </w:rPr>
          <w:t>1</w:t>
        </w:r>
      </w:fldSimple>
      <w:bookmarkEnd w:id="86"/>
      <w:r>
        <w:t>: Legislative and regulatory instruments</w:t>
      </w:r>
    </w:p>
    <w:p w14:paraId="7A315442" w14:textId="77777777" w:rsidR="00B73E3D" w:rsidRDefault="00B73E3D" w:rsidP="00B73E3D">
      <w:pPr>
        <w:pStyle w:val="BodyText"/>
        <w:spacing w:before="0" w:after="0"/>
      </w:pPr>
      <w:r>
        <w:rPr>
          <w:noProof/>
        </w:rPr>
        <w:drawing>
          <wp:inline distT="0" distB="0" distL="0" distR="0" wp14:anchorId="7DF81346" wp14:editId="4FB0C10E">
            <wp:extent cx="9179560" cy="5016500"/>
            <wp:effectExtent l="0" t="0" r="2540" b="0"/>
            <wp:docPr id="24" name="Picture 24" descr="Image llustrates the relationships between legislative and regulatory instruments and identifies the key instruments AEMO will be responsible for developing, which will be consulted upon separately.  " title="Figure 3.1: Legislative and regulatory instrume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80003" cy="5016742"/>
                    </a:xfrm>
                    <a:prstGeom prst="rect">
                      <a:avLst/>
                    </a:prstGeom>
                    <a:noFill/>
                  </pic:spPr>
                </pic:pic>
              </a:graphicData>
            </a:graphic>
          </wp:inline>
        </w:drawing>
      </w:r>
    </w:p>
    <w:p w14:paraId="517A5692" w14:textId="77777777" w:rsidR="00B73E3D" w:rsidRDefault="00B73E3D" w:rsidP="003149EF">
      <w:pPr>
        <w:pStyle w:val="BodyText"/>
        <w:sectPr w:rsidR="00B73E3D" w:rsidSect="00436621">
          <w:pgSz w:w="16839" w:h="11907" w:orient="landscape"/>
          <w:pgMar w:top="973" w:right="1418" w:bottom="851" w:left="1701" w:header="567" w:footer="132" w:gutter="0"/>
          <w:cols w:space="720"/>
          <w:docGrid w:linePitch="299"/>
        </w:sectPr>
      </w:pPr>
    </w:p>
    <w:p w14:paraId="5D57FCC6" w14:textId="77777777" w:rsidR="00F93358" w:rsidRDefault="00F93358" w:rsidP="007174BC">
      <w:pPr>
        <w:pStyle w:val="Heading2"/>
      </w:pPr>
      <w:bookmarkStart w:id="87" w:name="_Toc509239428"/>
      <w:r>
        <w:lastRenderedPageBreak/>
        <w:t>Governance of the legal instruments</w:t>
      </w:r>
      <w:bookmarkEnd w:id="87"/>
    </w:p>
    <w:p w14:paraId="13891AB0" w14:textId="77777777" w:rsidR="00521248" w:rsidRDefault="00521248" w:rsidP="007F2211">
      <w:pPr>
        <w:pStyle w:val="BodyText"/>
      </w:pPr>
      <w:r>
        <w:t xml:space="preserve">The NGL is set out in the schedule to the </w:t>
      </w:r>
      <w:r w:rsidRPr="00943ED4">
        <w:rPr>
          <w:i/>
        </w:rPr>
        <w:t xml:space="preserve">National Gas (South Australia) Act 2008 </w:t>
      </w:r>
      <w:r w:rsidRPr="001A60A3">
        <w:t>(SA)</w:t>
      </w:r>
      <w:r w:rsidR="007F2211">
        <w:rPr>
          <w:i/>
        </w:rPr>
        <w:t xml:space="preserve"> </w:t>
      </w:r>
      <w:r w:rsidR="007F2211" w:rsidRPr="007F2211">
        <w:t>and</w:t>
      </w:r>
      <w:r w:rsidR="007F2211">
        <w:rPr>
          <w:i/>
        </w:rPr>
        <w:t xml:space="preserve"> </w:t>
      </w:r>
      <w:r>
        <w:t xml:space="preserve">applies in each participating jurisdiction (other than </w:t>
      </w:r>
      <w:r w:rsidR="00943ED4">
        <w:t>WA</w:t>
      </w:r>
      <w:r>
        <w:t xml:space="preserve">) under application legislation of each jurisdiction. </w:t>
      </w:r>
      <w:r w:rsidR="00943ED4">
        <w:t xml:space="preserve">WA </w:t>
      </w:r>
      <w:r>
        <w:t xml:space="preserve">has its own versions of the NGL and Rules under the </w:t>
      </w:r>
      <w:r w:rsidRPr="00943ED4">
        <w:rPr>
          <w:i/>
        </w:rPr>
        <w:t>National Gas Access (WA) Act 2009.</w:t>
      </w:r>
      <w:r w:rsidR="00943ED4">
        <w:rPr>
          <w:i/>
        </w:rPr>
        <w:t xml:space="preserve"> </w:t>
      </w:r>
      <w:r w:rsidR="007F2211" w:rsidRPr="007F2211">
        <w:t>The proposed</w:t>
      </w:r>
      <w:r w:rsidR="007F2211">
        <w:rPr>
          <w:i/>
        </w:rPr>
        <w:t xml:space="preserve"> </w:t>
      </w:r>
      <w:r w:rsidR="007F2211">
        <w:t>a</w:t>
      </w:r>
      <w:r>
        <w:t>mendments to the NGL and the Regulations will be made through legislation and regulations enacted or made in South Australia</w:t>
      </w:r>
      <w:r w:rsidR="00943ED4">
        <w:t xml:space="preserve"> once approved by the Energy Council</w:t>
      </w:r>
      <w:r>
        <w:t xml:space="preserve">. </w:t>
      </w:r>
      <w:r w:rsidR="00943ED4">
        <w:t xml:space="preserve">The proposed amendments to the NGL </w:t>
      </w:r>
      <w:r>
        <w:t xml:space="preserve">give the South Australian Minister </w:t>
      </w:r>
      <w:r w:rsidR="007F2211">
        <w:t xml:space="preserve">the </w:t>
      </w:r>
      <w:r>
        <w:t>power to</w:t>
      </w:r>
      <w:r w:rsidR="00943ED4">
        <w:t xml:space="preserve"> make the </w:t>
      </w:r>
      <w:r>
        <w:t xml:space="preserve">initial </w:t>
      </w:r>
      <w:r w:rsidR="00EB2158">
        <w:t xml:space="preserve">Rules </w:t>
      </w:r>
      <w:r w:rsidR="00943ED4">
        <w:t xml:space="preserve">(i.e. in </w:t>
      </w:r>
      <w:r w:rsidR="00EB2158">
        <w:t xml:space="preserve">Parts </w:t>
      </w:r>
      <w:r w:rsidR="00943ED4">
        <w:t>24-26)</w:t>
      </w:r>
      <w:r w:rsidR="007F2211">
        <w:t>,</w:t>
      </w:r>
      <w:r w:rsidR="00943ED4">
        <w:t xml:space="preserve"> </w:t>
      </w:r>
      <w:r>
        <w:t xml:space="preserve">amend </w:t>
      </w:r>
      <w:r w:rsidR="007F2211">
        <w:t xml:space="preserve">existing </w:t>
      </w:r>
      <w:r w:rsidR="00EB2158">
        <w:t xml:space="preserve">Rules </w:t>
      </w:r>
      <w:r w:rsidR="007F2211">
        <w:t xml:space="preserve">(i.e. </w:t>
      </w:r>
      <w:r w:rsidR="00943ED4">
        <w:t xml:space="preserve">in </w:t>
      </w:r>
      <w:r w:rsidR="00EB2158">
        <w:t xml:space="preserve">Parts </w:t>
      </w:r>
      <w:r w:rsidR="00943ED4">
        <w:t>15A, 15B, 18 and 22</w:t>
      </w:r>
      <w:r w:rsidR="007F2211">
        <w:t>)</w:t>
      </w:r>
      <w:r w:rsidR="00067F90">
        <w:t>, remake the earlier AEMC rules dealing with gas day harmonisation to bring the start date forward and make the initial Code</w:t>
      </w:r>
      <w:r>
        <w:t>.</w:t>
      </w:r>
    </w:p>
    <w:p w14:paraId="0DD194DA" w14:textId="77777777" w:rsidR="007F2211" w:rsidRDefault="00521248" w:rsidP="007F2211">
      <w:pPr>
        <w:pStyle w:val="BodyText"/>
      </w:pPr>
      <w:r>
        <w:t xml:space="preserve">Once </w:t>
      </w:r>
      <w:r w:rsidR="00943ED4">
        <w:t xml:space="preserve">the changes to these legal and regulatory instruments are made, </w:t>
      </w:r>
      <w:r w:rsidR="00067F90">
        <w:t xml:space="preserve">in the future </w:t>
      </w:r>
      <w:r>
        <w:t>the usual change mechanisms w</w:t>
      </w:r>
      <w:r w:rsidR="00F502AD">
        <w:t>ill</w:t>
      </w:r>
      <w:r>
        <w:t xml:space="preserve"> apply, with</w:t>
      </w:r>
      <w:r w:rsidR="007F2211">
        <w:t>:</w:t>
      </w:r>
      <w:r>
        <w:t xml:space="preserve"> </w:t>
      </w:r>
    </w:p>
    <w:p w14:paraId="3C482A8A" w14:textId="77777777" w:rsidR="00723D62" w:rsidRPr="001633A3" w:rsidRDefault="001633A3" w:rsidP="001633A3">
      <w:pPr>
        <w:pStyle w:val="ListBullet"/>
      </w:pPr>
      <w:r>
        <w:t>t</w:t>
      </w:r>
      <w:r w:rsidR="00723D62" w:rsidRPr="001633A3">
        <w:t>he Energy Council responsible for changes to the NGL and Regulations</w:t>
      </w:r>
      <w:r>
        <w:t>;</w:t>
      </w:r>
    </w:p>
    <w:p w14:paraId="3794C494" w14:textId="77777777" w:rsidR="00723D62" w:rsidRPr="001633A3" w:rsidRDefault="001633A3" w:rsidP="001633A3">
      <w:pPr>
        <w:pStyle w:val="ListBullet"/>
      </w:pPr>
      <w:r>
        <w:t>t</w:t>
      </w:r>
      <w:r w:rsidR="00723D62" w:rsidRPr="001633A3">
        <w:t>he AEMC responsible for changes to the NGR</w:t>
      </w:r>
      <w:r>
        <w:t>;</w:t>
      </w:r>
    </w:p>
    <w:p w14:paraId="61463070" w14:textId="77777777" w:rsidR="001633A3" w:rsidRDefault="00723D62" w:rsidP="001633A3">
      <w:pPr>
        <w:pStyle w:val="ListBullet"/>
      </w:pPr>
      <w:r w:rsidRPr="001633A3">
        <w:t xml:space="preserve">AEMO responsible for making changes to </w:t>
      </w:r>
      <w:r w:rsidR="00067F90">
        <w:t>P</w:t>
      </w:r>
      <w:r w:rsidRPr="001633A3">
        <w:t xml:space="preserve">rocedures, the Exchange </w:t>
      </w:r>
      <w:r w:rsidR="001A60A3">
        <w:t>Agreement</w:t>
      </w:r>
      <w:r w:rsidR="00067F90">
        <w:t xml:space="preserve"> and</w:t>
      </w:r>
      <w:r w:rsidR="001A60A3">
        <w:t xml:space="preserve"> the </w:t>
      </w:r>
      <w:r w:rsidRPr="001633A3">
        <w:t>Auction Agreement</w:t>
      </w:r>
      <w:r w:rsidR="001633A3">
        <w:t>; and</w:t>
      </w:r>
    </w:p>
    <w:p w14:paraId="5CBD2E40" w14:textId="77777777" w:rsidR="00723D62" w:rsidRDefault="001633A3" w:rsidP="001633A3">
      <w:pPr>
        <w:pStyle w:val="ListBullet"/>
      </w:pPr>
      <w:r>
        <w:t xml:space="preserve">the AER responsible for developing and amending any </w:t>
      </w:r>
      <w:r w:rsidR="004A3B41">
        <w:t xml:space="preserve">guides or </w:t>
      </w:r>
      <w:r>
        <w:t>guidelines specified in the NGR.</w:t>
      </w:r>
      <w:r w:rsidR="00723D62" w:rsidRPr="001633A3">
        <w:t xml:space="preserve"> </w:t>
      </w:r>
    </w:p>
    <w:p w14:paraId="60A426DD" w14:textId="77777777" w:rsidR="001633A3" w:rsidRDefault="001633A3" w:rsidP="004A3B41">
      <w:pPr>
        <w:pStyle w:val="BodyText"/>
      </w:pPr>
      <w:r>
        <w:t xml:space="preserve">The AER will also become </w:t>
      </w:r>
      <w:r w:rsidR="00723D62" w:rsidRPr="001633A3">
        <w:t xml:space="preserve">responsible for </w:t>
      </w:r>
      <w:r>
        <w:t xml:space="preserve">approving any </w:t>
      </w:r>
      <w:r w:rsidR="00723D62" w:rsidRPr="001633A3">
        <w:t xml:space="preserve">changes to the </w:t>
      </w:r>
      <w:r>
        <w:t>Code, which will be subject to a new governance model that provides for:</w:t>
      </w:r>
    </w:p>
    <w:p w14:paraId="1473CF6B" w14:textId="77777777" w:rsidR="005D3A27" w:rsidRDefault="004A3B41" w:rsidP="00723D62">
      <w:pPr>
        <w:pStyle w:val="ListBullet"/>
      </w:pPr>
      <w:r>
        <w:t>a</w:t>
      </w:r>
      <w:r w:rsidR="001633A3" w:rsidRPr="00794258">
        <w:t xml:space="preserve">n </w:t>
      </w:r>
      <w:r w:rsidR="001633A3" w:rsidRPr="001633A3">
        <w:rPr>
          <w:bCs/>
        </w:rPr>
        <w:t xml:space="preserve">industry panel (the </w:t>
      </w:r>
      <w:r w:rsidR="001633A3" w:rsidRPr="001633A3">
        <w:rPr>
          <w:b/>
          <w:bCs/>
        </w:rPr>
        <w:t>OTS Code Panel</w:t>
      </w:r>
      <w:r w:rsidR="001633A3" w:rsidRPr="001633A3">
        <w:rPr>
          <w:bCs/>
        </w:rPr>
        <w:t>)</w:t>
      </w:r>
      <w:r w:rsidR="001633A3">
        <w:rPr>
          <w:bCs/>
        </w:rPr>
        <w:t xml:space="preserve"> </w:t>
      </w:r>
      <w:r w:rsidR="005D3A27">
        <w:rPr>
          <w:bCs/>
        </w:rPr>
        <w:t>chaired by AEMO</w:t>
      </w:r>
      <w:r>
        <w:rPr>
          <w:bCs/>
        </w:rPr>
        <w:t xml:space="preserve"> that will be</w:t>
      </w:r>
      <w:r w:rsidR="005D3A27">
        <w:rPr>
          <w:bCs/>
        </w:rPr>
        <w:t xml:space="preserve"> </w:t>
      </w:r>
      <w:r w:rsidR="001633A3" w:rsidRPr="00794258">
        <w:t xml:space="preserve">accorded responsibility for considering </w:t>
      </w:r>
      <w:r w:rsidR="001633A3">
        <w:t>proposed changes to the Code and making recommendations to the AER on whether the changes should be accepted, rejected or accepted in a modified form and any transitional arrangements required;</w:t>
      </w:r>
      <w:r w:rsidR="005D3A27">
        <w:t xml:space="preserve"> </w:t>
      </w:r>
    </w:p>
    <w:p w14:paraId="39E8FB43" w14:textId="77777777" w:rsidR="001633A3" w:rsidRDefault="004A3B41" w:rsidP="001633A3">
      <w:pPr>
        <w:pStyle w:val="ListBullet"/>
      </w:pPr>
      <w:r>
        <w:t>t</w:t>
      </w:r>
      <w:r w:rsidR="001633A3" w:rsidRPr="00794258">
        <w:t xml:space="preserve">he </w:t>
      </w:r>
      <w:r w:rsidR="001633A3">
        <w:t xml:space="preserve">AER to decide whether to approve changes to </w:t>
      </w:r>
      <w:r w:rsidR="005D3A27">
        <w:t xml:space="preserve">the </w:t>
      </w:r>
      <w:r w:rsidR="001633A3">
        <w:t xml:space="preserve">Code and, in doing so, to have regard </w:t>
      </w:r>
      <w:r>
        <w:t xml:space="preserve">to, but not be bound by, </w:t>
      </w:r>
      <w:r w:rsidR="001633A3">
        <w:t xml:space="preserve">the </w:t>
      </w:r>
      <w:r w:rsidR="005D3A27">
        <w:t xml:space="preserve">OTS Code Panel’s </w:t>
      </w:r>
      <w:r w:rsidR="001633A3" w:rsidRPr="0057020B">
        <w:t>recommendation</w:t>
      </w:r>
      <w:r>
        <w:t xml:space="preserve">, the objective of the Code and other </w:t>
      </w:r>
      <w:r w:rsidR="001633A3">
        <w:t xml:space="preserve">principles </w:t>
      </w:r>
      <w:r>
        <w:t xml:space="preserve">specified </w:t>
      </w:r>
      <w:r w:rsidR="001633A3">
        <w:t xml:space="preserve">in </w:t>
      </w:r>
      <w:r>
        <w:t xml:space="preserve">Part 24 </w:t>
      </w:r>
      <w:r w:rsidR="001633A3">
        <w:t>NGR</w:t>
      </w:r>
      <w:r w:rsidR="00067F90">
        <w:t>; and</w:t>
      </w:r>
    </w:p>
    <w:p w14:paraId="39FC0671" w14:textId="77777777" w:rsidR="00067F90" w:rsidRDefault="00067F90" w:rsidP="001633A3">
      <w:pPr>
        <w:pStyle w:val="ListBullet"/>
      </w:pPr>
      <w:r>
        <w:t>the AER to make changes to the Code on its own initiative, subject to consultation.</w:t>
      </w:r>
    </w:p>
    <w:p w14:paraId="148FF35F" w14:textId="77777777" w:rsidR="004A3B41" w:rsidRDefault="004A3B41" w:rsidP="004A3B41">
      <w:pPr>
        <w:pStyle w:val="Heading2"/>
        <w:spacing w:before="200" w:after="120"/>
      </w:pPr>
      <w:bookmarkStart w:id="88" w:name="_Toc509239429"/>
      <w:r>
        <w:t>New functions and powers for the AEMC, AEMO and the AER</w:t>
      </w:r>
      <w:bookmarkEnd w:id="88"/>
    </w:p>
    <w:p w14:paraId="71784093" w14:textId="77777777" w:rsidR="004A3B41" w:rsidRDefault="00521248" w:rsidP="00521248">
      <w:pPr>
        <w:pStyle w:val="BodyText"/>
      </w:pPr>
      <w:r>
        <w:t xml:space="preserve">The </w:t>
      </w:r>
      <w:r w:rsidR="004A3B41">
        <w:t xml:space="preserve">capacity trading </w:t>
      </w:r>
      <w:r>
        <w:t>reform</w:t>
      </w:r>
      <w:r w:rsidR="004A3B41">
        <w:t xml:space="preserve"> package</w:t>
      </w:r>
      <w:r>
        <w:t xml:space="preserve"> will result in a number of changes to the functions and powers of the AEMC, </w:t>
      </w:r>
      <w:r w:rsidR="004A3B41">
        <w:t xml:space="preserve">AEMO and the </w:t>
      </w:r>
      <w:r>
        <w:t xml:space="preserve">AER, which are summarised in </w:t>
      </w:r>
      <w:r>
        <w:fldChar w:fldCharType="begin"/>
      </w:r>
      <w:r>
        <w:instrText xml:space="preserve"> REF _Ref499739097 \h </w:instrText>
      </w:r>
      <w:r>
        <w:fldChar w:fldCharType="separate"/>
      </w:r>
      <w:r w:rsidR="00830BE4">
        <w:t xml:space="preserve">Table </w:t>
      </w:r>
      <w:r w:rsidR="00830BE4">
        <w:rPr>
          <w:noProof/>
        </w:rPr>
        <w:t>3</w:t>
      </w:r>
      <w:r w:rsidR="00830BE4">
        <w:t>.</w:t>
      </w:r>
      <w:r w:rsidR="00830BE4">
        <w:rPr>
          <w:noProof/>
        </w:rPr>
        <w:t>1</w:t>
      </w:r>
      <w:r>
        <w:fldChar w:fldCharType="end"/>
      </w:r>
      <w:r>
        <w:t>.</w:t>
      </w:r>
      <w:r w:rsidR="00F502AD" w:rsidRPr="00F502AD">
        <w:t xml:space="preserve"> </w:t>
      </w:r>
      <w:r w:rsidR="00F502AD">
        <w:t>Further information on the functions and powers of the energy market bodies associated with each element of the reform package is provided in Chapters 4-8.</w:t>
      </w:r>
    </w:p>
    <w:p w14:paraId="2D524908" w14:textId="77777777" w:rsidR="004A3B41" w:rsidRDefault="004A3B41" w:rsidP="00521248">
      <w:pPr>
        <w:pStyle w:val="BodyText"/>
        <w:sectPr w:rsidR="004A3B41" w:rsidSect="00436621">
          <w:headerReference w:type="default" r:id="rId40"/>
          <w:footerReference w:type="default" r:id="rId41"/>
          <w:pgSz w:w="11907" w:h="16839"/>
          <w:pgMar w:top="973" w:right="1418" w:bottom="851" w:left="1701" w:header="567" w:footer="132" w:gutter="0"/>
          <w:cols w:space="720"/>
          <w:docGrid w:linePitch="299"/>
        </w:sectPr>
      </w:pPr>
    </w:p>
    <w:p w14:paraId="48C874AC" w14:textId="77777777" w:rsidR="004A3B41" w:rsidRDefault="004A3B41" w:rsidP="004A3B41">
      <w:pPr>
        <w:pStyle w:val="Caption"/>
        <w:spacing w:before="120" w:after="0"/>
      </w:pPr>
      <w:bookmarkStart w:id="89" w:name="_Ref499739097"/>
      <w:r>
        <w:lastRenderedPageBreak/>
        <w:t xml:space="preserve">Table </w:t>
      </w:r>
      <w:fldSimple w:instr=" STYLEREF 1 \s ">
        <w:r w:rsidR="00830BE4">
          <w:rPr>
            <w:noProof/>
          </w:rPr>
          <w:t>3</w:t>
        </w:r>
      </w:fldSimple>
      <w:r w:rsidR="00676D5D">
        <w:t>.</w:t>
      </w:r>
      <w:fldSimple w:instr=" SEQ Table \* ARABIC \s 1 ">
        <w:r w:rsidR="00830BE4">
          <w:rPr>
            <w:noProof/>
          </w:rPr>
          <w:t>1</w:t>
        </w:r>
      </w:fldSimple>
      <w:bookmarkEnd w:id="89"/>
      <w:r>
        <w:t>: Changes in functions and powers</w:t>
      </w:r>
    </w:p>
    <w:tbl>
      <w:tblPr>
        <w:tblStyle w:val="TableGrid"/>
        <w:tblW w:w="5000" w:type="pct"/>
        <w:tblLook w:val="04A0" w:firstRow="1" w:lastRow="0" w:firstColumn="1" w:lastColumn="0" w:noHBand="0" w:noVBand="1"/>
        <w:tblCaption w:val="Table 3.1: Changes in functions and powers"/>
        <w:tblDescription w:val="Table describing changes in functions and powers for AEMC, AEMO and AER"/>
      </w:tblPr>
      <w:tblGrid>
        <w:gridCol w:w="1552"/>
        <w:gridCol w:w="13463"/>
      </w:tblGrid>
      <w:tr w:rsidR="004A3B41" w:rsidRPr="00890C7A" w14:paraId="08B8BDA9" w14:textId="77777777" w:rsidTr="00067F90">
        <w:trPr>
          <w:cnfStyle w:val="100000000000" w:firstRow="1" w:lastRow="0" w:firstColumn="0" w:lastColumn="0" w:oddVBand="0" w:evenVBand="0" w:oddHBand="0" w:evenHBand="0" w:firstRowFirstColumn="0" w:firstRowLastColumn="0" w:lastRowFirstColumn="0" w:lastRowLastColumn="0"/>
          <w:trHeight w:val="109"/>
          <w:tblHeader/>
        </w:trPr>
        <w:tc>
          <w:tcPr>
            <w:tcW w:w="1552" w:type="dxa"/>
            <w:shd w:val="clear" w:color="auto" w:fill="0099CC"/>
          </w:tcPr>
          <w:p w14:paraId="4D30D03D" w14:textId="77777777" w:rsidR="004A3B41" w:rsidRPr="00890C7A" w:rsidRDefault="004A3B41" w:rsidP="00890C7A">
            <w:pPr>
              <w:pStyle w:val="TableBodyText"/>
              <w:spacing w:before="120" w:after="120" w:line="252" w:lineRule="auto"/>
              <w:rPr>
                <w:sz w:val="20"/>
                <w:szCs w:val="20"/>
              </w:rPr>
            </w:pPr>
            <w:r w:rsidRPr="00890C7A">
              <w:rPr>
                <w:sz w:val="20"/>
                <w:szCs w:val="20"/>
              </w:rPr>
              <w:t>Market Body</w:t>
            </w:r>
          </w:p>
        </w:tc>
        <w:tc>
          <w:tcPr>
            <w:tcW w:w="13463" w:type="dxa"/>
            <w:shd w:val="clear" w:color="auto" w:fill="0099CC"/>
          </w:tcPr>
          <w:p w14:paraId="64B18142" w14:textId="77777777" w:rsidR="004A3B41" w:rsidRPr="00890C7A" w:rsidRDefault="004A3B41" w:rsidP="00890C7A">
            <w:pPr>
              <w:pStyle w:val="TableBodyText"/>
              <w:spacing w:before="120" w:after="120" w:line="252" w:lineRule="auto"/>
              <w:rPr>
                <w:sz w:val="20"/>
                <w:szCs w:val="20"/>
              </w:rPr>
            </w:pPr>
            <w:r w:rsidRPr="00890C7A">
              <w:rPr>
                <w:sz w:val="20"/>
                <w:szCs w:val="20"/>
              </w:rPr>
              <w:t>New functions and powers</w:t>
            </w:r>
          </w:p>
        </w:tc>
      </w:tr>
      <w:tr w:rsidR="004A3B41" w:rsidRPr="00890C7A" w14:paraId="1E9C37F9" w14:textId="77777777" w:rsidTr="00067F90">
        <w:tc>
          <w:tcPr>
            <w:tcW w:w="1552" w:type="dxa"/>
          </w:tcPr>
          <w:p w14:paraId="3250B976" w14:textId="77777777" w:rsidR="004A3B41" w:rsidRPr="00890C7A" w:rsidRDefault="004A3B41" w:rsidP="00890C7A">
            <w:pPr>
              <w:pStyle w:val="BodyText"/>
              <w:spacing w:before="120" w:line="252" w:lineRule="auto"/>
              <w:rPr>
                <w:sz w:val="20"/>
                <w:szCs w:val="20"/>
              </w:rPr>
            </w:pPr>
            <w:r w:rsidRPr="00890C7A">
              <w:rPr>
                <w:sz w:val="20"/>
                <w:szCs w:val="20"/>
              </w:rPr>
              <w:t>AEMC</w:t>
            </w:r>
          </w:p>
        </w:tc>
        <w:tc>
          <w:tcPr>
            <w:tcW w:w="13463" w:type="dxa"/>
          </w:tcPr>
          <w:p w14:paraId="5DE7BF21" w14:textId="77777777" w:rsidR="004A3B41" w:rsidRPr="00890C7A" w:rsidRDefault="004A3B41" w:rsidP="00890C7A">
            <w:pPr>
              <w:pStyle w:val="TableBodyText"/>
              <w:spacing w:before="120" w:after="120" w:line="252" w:lineRule="auto"/>
              <w:rPr>
                <w:b/>
                <w:sz w:val="20"/>
                <w:szCs w:val="20"/>
              </w:rPr>
            </w:pPr>
            <w:r w:rsidRPr="00890C7A">
              <w:rPr>
                <w:sz w:val="20"/>
                <w:szCs w:val="20"/>
              </w:rPr>
              <w:t xml:space="preserve">The </w:t>
            </w:r>
            <w:r w:rsidR="00666167" w:rsidRPr="00890C7A">
              <w:rPr>
                <w:sz w:val="20"/>
                <w:szCs w:val="20"/>
              </w:rPr>
              <w:t xml:space="preserve">AEMC’s rule making functions and powers will be expanded to allow it </w:t>
            </w:r>
            <w:r w:rsidRPr="00890C7A">
              <w:rPr>
                <w:sz w:val="20"/>
                <w:szCs w:val="20"/>
              </w:rPr>
              <w:t xml:space="preserve">make </w:t>
            </w:r>
            <w:r w:rsidR="001A60A3">
              <w:rPr>
                <w:sz w:val="20"/>
                <w:szCs w:val="20"/>
              </w:rPr>
              <w:t xml:space="preserve">rules </w:t>
            </w:r>
            <w:r w:rsidRPr="00890C7A">
              <w:rPr>
                <w:sz w:val="20"/>
                <w:szCs w:val="20"/>
              </w:rPr>
              <w:t xml:space="preserve">with respect to the matters being introduced by the reform package. </w:t>
            </w:r>
            <w:r w:rsidR="00666167" w:rsidRPr="00890C7A">
              <w:rPr>
                <w:sz w:val="20"/>
                <w:szCs w:val="20"/>
              </w:rPr>
              <w:t>This is reflected in the proposed amendments to section 74 and Schedule 1 of the NGL.</w:t>
            </w:r>
          </w:p>
        </w:tc>
      </w:tr>
      <w:tr w:rsidR="00067F90" w:rsidRPr="00890C7A" w14:paraId="17A99E54" w14:textId="77777777" w:rsidTr="00067F90">
        <w:trPr>
          <w:cnfStyle w:val="000000010000" w:firstRow="0" w:lastRow="0" w:firstColumn="0" w:lastColumn="0" w:oddVBand="0" w:evenVBand="0" w:oddHBand="0" w:evenHBand="1" w:firstRowFirstColumn="0" w:firstRowLastColumn="0" w:lastRowFirstColumn="0" w:lastRowLastColumn="0"/>
        </w:trPr>
        <w:tc>
          <w:tcPr>
            <w:tcW w:w="1552" w:type="dxa"/>
          </w:tcPr>
          <w:p w14:paraId="6A1BFCE8" w14:textId="77777777" w:rsidR="00067F90" w:rsidRPr="00890C7A" w:rsidRDefault="00067F90" w:rsidP="00067F90">
            <w:pPr>
              <w:pStyle w:val="BodyText"/>
              <w:spacing w:before="120" w:line="252" w:lineRule="auto"/>
              <w:rPr>
                <w:sz w:val="20"/>
                <w:szCs w:val="20"/>
              </w:rPr>
            </w:pPr>
            <w:r w:rsidRPr="00890C7A">
              <w:rPr>
                <w:sz w:val="20"/>
                <w:szCs w:val="20"/>
              </w:rPr>
              <w:t>AEMO</w:t>
            </w:r>
          </w:p>
        </w:tc>
        <w:tc>
          <w:tcPr>
            <w:tcW w:w="13463" w:type="dxa"/>
          </w:tcPr>
          <w:p w14:paraId="4EC24BFD" w14:textId="77777777" w:rsidR="00067F90" w:rsidRPr="00890C7A" w:rsidRDefault="00067F90" w:rsidP="00067F90">
            <w:pPr>
              <w:pStyle w:val="TableBodyText"/>
              <w:spacing w:before="120" w:after="120" w:line="252" w:lineRule="auto"/>
              <w:rPr>
                <w:sz w:val="20"/>
                <w:szCs w:val="20"/>
              </w:rPr>
            </w:pPr>
            <w:r w:rsidRPr="00890C7A">
              <w:rPr>
                <w:sz w:val="20"/>
                <w:szCs w:val="20"/>
              </w:rPr>
              <w:t>AEMO’s functions and powers, as specified in the proposed amendments to the NGL and NGR, will be expanded to allow it to:</w:t>
            </w:r>
          </w:p>
          <w:p w14:paraId="0EE9FE7B"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establish, operate and administer the auction in accordance with the NGL and principles set out in the NGR;</w:t>
            </w:r>
          </w:p>
          <w:p w14:paraId="41D478CB"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make and administer auction agreements and make, amend or revoke procedures;</w:t>
            </w:r>
          </w:p>
          <w:p w14:paraId="0F2AE1DC"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make and amend the Capacity Transfer and Auction Procedures</w:t>
            </w:r>
            <w:r>
              <w:rPr>
                <w:sz w:val="20"/>
                <w:szCs w:val="20"/>
                <w:lang w:eastAsia="fr-CA"/>
              </w:rPr>
              <w:t xml:space="preserve">, </w:t>
            </w:r>
            <w:r w:rsidRPr="00890C7A">
              <w:rPr>
                <w:sz w:val="20"/>
                <w:szCs w:val="20"/>
                <w:lang w:eastAsia="fr-CA"/>
              </w:rPr>
              <w:t>governing the operation and administration of the auction</w:t>
            </w:r>
            <w:r>
              <w:rPr>
                <w:sz w:val="20"/>
                <w:szCs w:val="20"/>
                <w:lang w:eastAsia="fr-CA"/>
              </w:rPr>
              <w:t xml:space="preserve"> and the arrangements to </w:t>
            </w:r>
            <w:r w:rsidRPr="00890C7A">
              <w:rPr>
                <w:sz w:val="20"/>
                <w:szCs w:val="20"/>
                <w:lang w:eastAsia="fr-CA"/>
              </w:rPr>
              <w:t>facilitate the transfer of capacity procured through the day-ahead auction or trading platform (e.g. by notifying service providers of the transactions and other information to aid the transfer of capacity (e.g. receipt and delivery point information and contract reference numbers;</w:t>
            </w:r>
          </w:p>
          <w:p w14:paraId="7B276DCA"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determine the zones that will be used for the capacity trading platform, day-ahead auction and secondary trading reporting framework and the locations between which backhaul auction services will be available;</w:t>
            </w:r>
          </w:p>
          <w:p w14:paraId="32ABD96B"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maintain a register of non-exempt service providers and facilities each of which will also be an auction facility;</w:t>
            </w:r>
          </w:p>
          <w:p w14:paraId="05C09B3E"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 xml:space="preserve">establish and chair the OTS Code Panel and provide secretariat services to the Panel; </w:t>
            </w:r>
          </w:p>
          <w:p w14:paraId="491043EF" w14:textId="77777777" w:rsidR="00067F90" w:rsidRPr="00890C7A" w:rsidRDefault="00067F90" w:rsidP="003C2D90">
            <w:pPr>
              <w:pStyle w:val="TableBullet1"/>
              <w:numPr>
                <w:ilvl w:val="0"/>
                <w:numId w:val="21"/>
              </w:numPr>
              <w:spacing w:after="80"/>
              <w:rPr>
                <w:sz w:val="20"/>
                <w:szCs w:val="20"/>
                <w:lang w:eastAsia="fr-CA"/>
              </w:rPr>
            </w:pPr>
            <w:r>
              <w:rPr>
                <w:sz w:val="20"/>
                <w:szCs w:val="20"/>
                <w:lang w:eastAsia="fr-CA"/>
              </w:rPr>
              <w:t>use the Bulletin Board as</w:t>
            </w:r>
            <w:r w:rsidRPr="00890C7A">
              <w:rPr>
                <w:sz w:val="20"/>
                <w:szCs w:val="20"/>
                <w:lang w:eastAsia="fr-CA"/>
              </w:rPr>
              <w:t xml:space="preserve"> the capacity trade reporting system used by shippers to report secondary capacity trades; </w:t>
            </w:r>
          </w:p>
          <w:p w14:paraId="100AFA53"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report capacity trading and auction information</w:t>
            </w:r>
            <w:r>
              <w:rPr>
                <w:sz w:val="20"/>
                <w:szCs w:val="20"/>
                <w:lang w:eastAsia="fr-CA"/>
              </w:rPr>
              <w:t xml:space="preserve"> in its capacity as operator of the GSH and capacity auction</w:t>
            </w:r>
            <w:r w:rsidRPr="00890C7A">
              <w:rPr>
                <w:sz w:val="20"/>
                <w:szCs w:val="20"/>
                <w:lang w:eastAsia="fr-CA"/>
              </w:rPr>
              <w:t xml:space="preserve">; </w:t>
            </w:r>
          </w:p>
          <w:p w14:paraId="1031F51B"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 xml:space="preserve">publish information about the arrangements for transitioning to the standard gas days in each market; </w:t>
            </w:r>
          </w:p>
          <w:p w14:paraId="6794D410" w14:textId="77777777" w:rsidR="00067F90" w:rsidRPr="00890C7A" w:rsidRDefault="00067F90" w:rsidP="003C2D90">
            <w:pPr>
              <w:pStyle w:val="TableBullet1"/>
              <w:numPr>
                <w:ilvl w:val="0"/>
                <w:numId w:val="21"/>
              </w:numPr>
              <w:spacing w:after="80"/>
              <w:rPr>
                <w:sz w:val="20"/>
                <w:szCs w:val="20"/>
                <w:lang w:eastAsia="fr-CA"/>
              </w:rPr>
            </w:pPr>
            <w:r w:rsidRPr="00890C7A">
              <w:rPr>
                <w:sz w:val="20"/>
                <w:szCs w:val="20"/>
                <w:lang w:eastAsia="fr-CA"/>
              </w:rPr>
              <w:t xml:space="preserve">develop, maintain and publish a guide for service providers about the process and timing for registration under Part 24 and the consideration and approval of zones, </w:t>
            </w:r>
            <w:r>
              <w:rPr>
                <w:sz w:val="20"/>
                <w:szCs w:val="20"/>
                <w:lang w:eastAsia="fr-CA"/>
              </w:rPr>
              <w:t xml:space="preserve">compression </w:t>
            </w:r>
            <w:r w:rsidRPr="00890C7A">
              <w:rPr>
                <w:sz w:val="20"/>
                <w:szCs w:val="20"/>
                <w:lang w:eastAsia="fr-CA"/>
              </w:rPr>
              <w:t xml:space="preserve">service points and pipeline segments; </w:t>
            </w:r>
            <w:r w:rsidR="002E44A0">
              <w:rPr>
                <w:sz w:val="20"/>
                <w:szCs w:val="20"/>
                <w:lang w:eastAsia="fr-CA"/>
              </w:rPr>
              <w:t>and</w:t>
            </w:r>
          </w:p>
          <w:p w14:paraId="5398600C" w14:textId="77777777" w:rsidR="00067F90" w:rsidRPr="00067F90" w:rsidRDefault="00067F90" w:rsidP="003C2D90">
            <w:pPr>
              <w:pStyle w:val="TableBullet1"/>
              <w:numPr>
                <w:ilvl w:val="0"/>
                <w:numId w:val="21"/>
              </w:numPr>
              <w:spacing w:after="80"/>
              <w:rPr>
                <w:sz w:val="20"/>
                <w:szCs w:val="20"/>
              </w:rPr>
            </w:pPr>
            <w:r w:rsidRPr="00890C7A">
              <w:rPr>
                <w:sz w:val="20"/>
                <w:szCs w:val="20"/>
                <w:lang w:eastAsia="fr-CA"/>
              </w:rPr>
              <w:t>recover the costs associated with establishing, operating and administering the capacity trading platform, the day-ahead auction and the Capacity Transfer and Auction Procedures.</w:t>
            </w:r>
          </w:p>
        </w:tc>
      </w:tr>
      <w:tr w:rsidR="004A3B41" w:rsidRPr="00890C7A" w14:paraId="079FBE0B" w14:textId="77777777" w:rsidTr="00067F90">
        <w:tc>
          <w:tcPr>
            <w:tcW w:w="1552" w:type="dxa"/>
          </w:tcPr>
          <w:p w14:paraId="612BBA8E" w14:textId="77777777" w:rsidR="004A3B41" w:rsidRPr="00890C7A" w:rsidRDefault="004A3B41" w:rsidP="00890C7A">
            <w:pPr>
              <w:pStyle w:val="BodyText"/>
              <w:keepNext/>
              <w:spacing w:before="120" w:line="252" w:lineRule="auto"/>
              <w:rPr>
                <w:sz w:val="20"/>
                <w:szCs w:val="20"/>
              </w:rPr>
            </w:pPr>
            <w:r w:rsidRPr="00890C7A">
              <w:rPr>
                <w:sz w:val="20"/>
                <w:szCs w:val="20"/>
              </w:rPr>
              <w:lastRenderedPageBreak/>
              <w:t>AER</w:t>
            </w:r>
          </w:p>
        </w:tc>
        <w:tc>
          <w:tcPr>
            <w:tcW w:w="13463" w:type="dxa"/>
          </w:tcPr>
          <w:p w14:paraId="65A0C2B5" w14:textId="77777777" w:rsidR="00890C7A" w:rsidRPr="00890C7A" w:rsidRDefault="00890C7A" w:rsidP="00890C7A">
            <w:pPr>
              <w:pStyle w:val="TableBodyText"/>
              <w:keepNext/>
              <w:spacing w:before="120" w:after="120" w:line="252" w:lineRule="auto"/>
              <w:rPr>
                <w:sz w:val="20"/>
                <w:szCs w:val="20"/>
              </w:rPr>
            </w:pPr>
            <w:r w:rsidRPr="00890C7A">
              <w:rPr>
                <w:sz w:val="20"/>
                <w:szCs w:val="20"/>
              </w:rPr>
              <w:t xml:space="preserve">The AER's functions in the NGL have been expanded to include making and amending the Code in accordance with the NGR. </w:t>
            </w:r>
          </w:p>
          <w:p w14:paraId="635A93E3" w14:textId="77777777" w:rsidR="004A3B41" w:rsidRPr="00890C7A" w:rsidRDefault="004A3B41" w:rsidP="00890C7A">
            <w:pPr>
              <w:pStyle w:val="TableBodyText"/>
              <w:keepNext/>
              <w:spacing w:before="120" w:after="120" w:line="252" w:lineRule="auto"/>
              <w:rPr>
                <w:sz w:val="20"/>
                <w:szCs w:val="20"/>
              </w:rPr>
            </w:pPr>
            <w:r w:rsidRPr="00890C7A">
              <w:rPr>
                <w:sz w:val="20"/>
                <w:szCs w:val="20"/>
              </w:rPr>
              <w:t xml:space="preserve">The AER will continue to have its usual monitoring and enforcement roles </w:t>
            </w:r>
            <w:r w:rsidR="005D140E" w:rsidRPr="00890C7A">
              <w:rPr>
                <w:sz w:val="20"/>
                <w:szCs w:val="20"/>
              </w:rPr>
              <w:t>under the NGL, NGR and procedures</w:t>
            </w:r>
            <w:r w:rsidRPr="00890C7A">
              <w:rPr>
                <w:sz w:val="20"/>
                <w:szCs w:val="20"/>
              </w:rPr>
              <w:t>.  Material new areas for compliance monitoring and enforcement include monitoring the compliance of:</w:t>
            </w:r>
          </w:p>
          <w:p w14:paraId="24E84827" w14:textId="77777777" w:rsidR="004A3B41" w:rsidRPr="00890C7A" w:rsidRDefault="004A3B41" w:rsidP="003C2D90">
            <w:pPr>
              <w:pStyle w:val="TableBullet1"/>
              <w:numPr>
                <w:ilvl w:val="0"/>
                <w:numId w:val="21"/>
              </w:numPr>
              <w:spacing w:after="80"/>
              <w:rPr>
                <w:sz w:val="20"/>
                <w:szCs w:val="20"/>
                <w:lang w:eastAsia="fr-CA"/>
              </w:rPr>
            </w:pPr>
            <w:r w:rsidRPr="00890C7A">
              <w:rPr>
                <w:sz w:val="20"/>
                <w:szCs w:val="20"/>
                <w:lang w:eastAsia="fr-CA"/>
              </w:rPr>
              <w:t xml:space="preserve">non-exempt service providers with: </w:t>
            </w:r>
          </w:p>
          <w:p w14:paraId="7E24CE17" w14:textId="77777777" w:rsidR="004A3B41" w:rsidRPr="00890C7A" w:rsidRDefault="004A3B41" w:rsidP="003C2D90">
            <w:pPr>
              <w:pStyle w:val="TableBullet1"/>
              <w:numPr>
                <w:ilvl w:val="0"/>
                <w:numId w:val="53"/>
              </w:numPr>
              <w:spacing w:after="80"/>
              <w:ind w:firstLine="121"/>
              <w:rPr>
                <w:sz w:val="20"/>
                <w:szCs w:val="20"/>
                <w:lang w:eastAsia="fr-CA"/>
              </w:rPr>
            </w:pPr>
            <w:r w:rsidRPr="00890C7A">
              <w:rPr>
                <w:sz w:val="20"/>
                <w:szCs w:val="20"/>
                <w:lang w:eastAsia="fr-CA"/>
              </w:rPr>
              <w:t>the obligations to publish standard operational agreement</w:t>
            </w:r>
            <w:r w:rsidR="005D140E" w:rsidRPr="00890C7A">
              <w:rPr>
                <w:sz w:val="20"/>
                <w:szCs w:val="20"/>
                <w:lang w:eastAsia="fr-CA"/>
              </w:rPr>
              <w:t>s</w:t>
            </w:r>
            <w:r w:rsidRPr="00890C7A">
              <w:rPr>
                <w:sz w:val="20"/>
                <w:szCs w:val="20"/>
                <w:lang w:eastAsia="fr-CA"/>
              </w:rPr>
              <w:t xml:space="preserve"> and to offer to enter into such agreements</w:t>
            </w:r>
            <w:r w:rsidR="00890C7A" w:rsidRPr="00890C7A">
              <w:rPr>
                <w:sz w:val="20"/>
                <w:szCs w:val="20"/>
                <w:lang w:eastAsia="fr-CA"/>
              </w:rPr>
              <w:t xml:space="preserve"> in Part 24 of the NGR</w:t>
            </w:r>
            <w:r w:rsidRPr="00890C7A">
              <w:rPr>
                <w:sz w:val="20"/>
                <w:szCs w:val="20"/>
                <w:lang w:eastAsia="fr-CA"/>
              </w:rPr>
              <w:t>;</w:t>
            </w:r>
          </w:p>
          <w:p w14:paraId="650344F6" w14:textId="77777777" w:rsidR="004A3B41" w:rsidRPr="00890C7A" w:rsidRDefault="004A3B41" w:rsidP="003C2D90">
            <w:pPr>
              <w:pStyle w:val="TableBullet1"/>
              <w:numPr>
                <w:ilvl w:val="0"/>
                <w:numId w:val="53"/>
              </w:numPr>
              <w:spacing w:after="80"/>
              <w:ind w:firstLine="121"/>
              <w:rPr>
                <w:sz w:val="20"/>
                <w:szCs w:val="20"/>
                <w:lang w:eastAsia="fr-CA"/>
              </w:rPr>
            </w:pPr>
            <w:r w:rsidRPr="00890C7A">
              <w:rPr>
                <w:sz w:val="20"/>
                <w:szCs w:val="20"/>
                <w:lang w:eastAsia="fr-CA"/>
              </w:rPr>
              <w:t xml:space="preserve">the </w:t>
            </w:r>
            <w:r w:rsidR="005D140E" w:rsidRPr="00890C7A">
              <w:rPr>
                <w:sz w:val="20"/>
                <w:szCs w:val="20"/>
                <w:lang w:eastAsia="fr-CA"/>
              </w:rPr>
              <w:t xml:space="preserve">obligation for the content of the standard operational agreements to comply with the </w:t>
            </w:r>
            <w:r w:rsidRPr="00890C7A">
              <w:rPr>
                <w:sz w:val="20"/>
                <w:szCs w:val="20"/>
                <w:lang w:eastAsia="fr-CA"/>
              </w:rPr>
              <w:t xml:space="preserve">requirements </w:t>
            </w:r>
            <w:r w:rsidR="005D140E" w:rsidRPr="00890C7A">
              <w:rPr>
                <w:sz w:val="20"/>
                <w:szCs w:val="20"/>
                <w:lang w:eastAsia="fr-CA"/>
              </w:rPr>
              <w:t xml:space="preserve">of the Code and Part 24 of </w:t>
            </w:r>
            <w:r w:rsidRPr="00890C7A">
              <w:rPr>
                <w:sz w:val="20"/>
                <w:szCs w:val="20"/>
                <w:lang w:eastAsia="fr-CA"/>
              </w:rPr>
              <w:t>the NGR;</w:t>
            </w:r>
          </w:p>
          <w:p w14:paraId="49796DE7" w14:textId="77777777" w:rsidR="004A3B41" w:rsidRPr="00890C7A" w:rsidRDefault="004A3B41" w:rsidP="003C2D90">
            <w:pPr>
              <w:pStyle w:val="TableBullet1"/>
              <w:numPr>
                <w:ilvl w:val="0"/>
                <w:numId w:val="53"/>
              </w:numPr>
              <w:spacing w:after="80"/>
              <w:ind w:firstLine="121"/>
              <w:rPr>
                <w:sz w:val="20"/>
                <w:szCs w:val="20"/>
                <w:lang w:eastAsia="fr-CA"/>
              </w:rPr>
            </w:pPr>
            <w:r w:rsidRPr="00890C7A">
              <w:rPr>
                <w:sz w:val="20"/>
                <w:szCs w:val="20"/>
                <w:lang w:eastAsia="fr-CA"/>
              </w:rPr>
              <w:t xml:space="preserve">the cost recovery principles in </w:t>
            </w:r>
            <w:r w:rsidR="005D140E" w:rsidRPr="00890C7A">
              <w:rPr>
                <w:sz w:val="20"/>
                <w:szCs w:val="20"/>
                <w:lang w:eastAsia="fr-CA"/>
              </w:rPr>
              <w:t>Part 24 of the NGR</w:t>
            </w:r>
            <w:r w:rsidRPr="00890C7A">
              <w:rPr>
                <w:sz w:val="20"/>
                <w:szCs w:val="20"/>
                <w:lang w:eastAsia="fr-CA"/>
              </w:rPr>
              <w:t>; and</w:t>
            </w:r>
          </w:p>
          <w:p w14:paraId="527A1D45" w14:textId="77777777" w:rsidR="004A3B41" w:rsidRPr="00890C7A" w:rsidRDefault="004A3B41" w:rsidP="003C2D90">
            <w:pPr>
              <w:pStyle w:val="TableBullet1"/>
              <w:numPr>
                <w:ilvl w:val="0"/>
                <w:numId w:val="53"/>
              </w:numPr>
              <w:spacing w:after="80"/>
              <w:ind w:firstLine="121"/>
              <w:rPr>
                <w:sz w:val="20"/>
                <w:szCs w:val="20"/>
                <w:lang w:eastAsia="fr-CA"/>
              </w:rPr>
            </w:pPr>
            <w:r w:rsidRPr="00890C7A">
              <w:rPr>
                <w:sz w:val="20"/>
                <w:szCs w:val="20"/>
                <w:lang w:eastAsia="fr-CA"/>
              </w:rPr>
              <w:t xml:space="preserve">new reporting obligations for the </w:t>
            </w:r>
            <w:r w:rsidR="005D140E" w:rsidRPr="00890C7A">
              <w:rPr>
                <w:sz w:val="20"/>
                <w:szCs w:val="20"/>
                <w:lang w:eastAsia="fr-CA"/>
              </w:rPr>
              <w:t xml:space="preserve">Bulletin Board </w:t>
            </w:r>
            <w:r w:rsidR="00890C7A" w:rsidRPr="00890C7A">
              <w:rPr>
                <w:sz w:val="20"/>
                <w:szCs w:val="20"/>
                <w:lang w:eastAsia="fr-CA"/>
              </w:rPr>
              <w:t xml:space="preserve">in Part 18 of the NGR </w:t>
            </w:r>
            <w:r w:rsidRPr="00890C7A">
              <w:rPr>
                <w:sz w:val="20"/>
                <w:szCs w:val="20"/>
                <w:lang w:eastAsia="fr-CA"/>
              </w:rPr>
              <w:t>and day-ahead auction</w:t>
            </w:r>
            <w:r w:rsidR="00890C7A" w:rsidRPr="00890C7A">
              <w:rPr>
                <w:sz w:val="20"/>
                <w:szCs w:val="20"/>
                <w:lang w:eastAsia="fr-CA"/>
              </w:rPr>
              <w:t xml:space="preserve"> in Part 25 of the NGR</w:t>
            </w:r>
            <w:r w:rsidRPr="00890C7A">
              <w:rPr>
                <w:sz w:val="20"/>
                <w:szCs w:val="20"/>
                <w:lang w:eastAsia="fr-CA"/>
              </w:rPr>
              <w:t>.</w:t>
            </w:r>
          </w:p>
          <w:p w14:paraId="31C1BE8D" w14:textId="77777777" w:rsidR="004A3B41" w:rsidRPr="00890C7A" w:rsidRDefault="004A3B41" w:rsidP="003C2D90">
            <w:pPr>
              <w:pStyle w:val="TableBullet1"/>
              <w:numPr>
                <w:ilvl w:val="0"/>
                <w:numId w:val="21"/>
              </w:numPr>
              <w:spacing w:after="80"/>
              <w:rPr>
                <w:sz w:val="20"/>
                <w:szCs w:val="20"/>
                <w:lang w:eastAsia="fr-CA"/>
              </w:rPr>
            </w:pPr>
            <w:r w:rsidRPr="00890C7A">
              <w:rPr>
                <w:sz w:val="20"/>
                <w:szCs w:val="20"/>
                <w:lang w:eastAsia="fr-CA"/>
              </w:rPr>
              <w:t>shippers with the nomination and renomination obligations</w:t>
            </w:r>
            <w:r w:rsidR="005D140E" w:rsidRPr="00890C7A">
              <w:rPr>
                <w:sz w:val="20"/>
                <w:szCs w:val="20"/>
                <w:lang w:eastAsia="fr-CA"/>
              </w:rPr>
              <w:t xml:space="preserve"> in the NGR</w:t>
            </w:r>
            <w:r w:rsidRPr="00890C7A">
              <w:rPr>
                <w:sz w:val="20"/>
                <w:szCs w:val="20"/>
                <w:lang w:eastAsia="fr-CA"/>
              </w:rPr>
              <w:t xml:space="preserve"> and other market conduct rules applicable to the day-ahead auction</w:t>
            </w:r>
            <w:r w:rsidR="00890C7A" w:rsidRPr="00890C7A">
              <w:rPr>
                <w:sz w:val="20"/>
                <w:szCs w:val="20"/>
                <w:lang w:eastAsia="fr-CA"/>
              </w:rPr>
              <w:t xml:space="preserve"> in Part 25 of the NGR</w:t>
            </w:r>
            <w:r w:rsidRPr="00890C7A">
              <w:rPr>
                <w:sz w:val="20"/>
                <w:szCs w:val="20"/>
                <w:lang w:eastAsia="fr-CA"/>
              </w:rPr>
              <w:t xml:space="preserve">; </w:t>
            </w:r>
          </w:p>
          <w:p w14:paraId="70B802EF" w14:textId="77777777" w:rsidR="004A3B41" w:rsidRPr="00890C7A" w:rsidRDefault="004A3B41" w:rsidP="003C2D90">
            <w:pPr>
              <w:pStyle w:val="TableBullet1"/>
              <w:numPr>
                <w:ilvl w:val="0"/>
                <w:numId w:val="21"/>
              </w:numPr>
              <w:spacing w:after="80"/>
              <w:rPr>
                <w:sz w:val="20"/>
                <w:szCs w:val="20"/>
                <w:lang w:eastAsia="fr-CA"/>
              </w:rPr>
            </w:pPr>
            <w:r w:rsidRPr="00890C7A">
              <w:rPr>
                <w:sz w:val="20"/>
                <w:szCs w:val="20"/>
                <w:lang w:eastAsia="fr-CA"/>
              </w:rPr>
              <w:t xml:space="preserve">sellers of secondary capacity in bilateral trades to offer buyers the option of using an operational </w:t>
            </w:r>
            <w:r w:rsidR="00890C7A" w:rsidRPr="00890C7A">
              <w:rPr>
                <w:sz w:val="20"/>
                <w:szCs w:val="20"/>
                <w:lang w:eastAsia="fr-CA"/>
              </w:rPr>
              <w:t>transfer</w:t>
            </w:r>
            <w:r w:rsidR="001A60A3">
              <w:rPr>
                <w:sz w:val="20"/>
                <w:szCs w:val="20"/>
                <w:lang w:eastAsia="fr-CA"/>
              </w:rPr>
              <w:t xml:space="preserve"> in section 228I of the NGL</w:t>
            </w:r>
            <w:r w:rsidRPr="00890C7A">
              <w:rPr>
                <w:sz w:val="20"/>
                <w:szCs w:val="20"/>
                <w:lang w:eastAsia="fr-CA"/>
              </w:rPr>
              <w:t>;</w:t>
            </w:r>
          </w:p>
          <w:p w14:paraId="5E557140" w14:textId="77777777" w:rsidR="004A3B41" w:rsidRPr="00890C7A" w:rsidRDefault="004A3B41" w:rsidP="003C2D90">
            <w:pPr>
              <w:pStyle w:val="TableBullet1"/>
              <w:numPr>
                <w:ilvl w:val="0"/>
                <w:numId w:val="21"/>
              </w:numPr>
              <w:spacing w:after="80"/>
              <w:rPr>
                <w:sz w:val="20"/>
                <w:szCs w:val="20"/>
                <w:lang w:eastAsia="fr-CA"/>
              </w:rPr>
            </w:pPr>
            <w:r w:rsidRPr="00890C7A">
              <w:rPr>
                <w:sz w:val="20"/>
                <w:szCs w:val="20"/>
                <w:lang w:eastAsia="fr-CA"/>
              </w:rPr>
              <w:t>shippers with new secondary trading reporting obligations</w:t>
            </w:r>
            <w:r w:rsidR="00890C7A" w:rsidRPr="00890C7A">
              <w:rPr>
                <w:sz w:val="20"/>
                <w:szCs w:val="20"/>
                <w:lang w:eastAsia="fr-CA"/>
              </w:rPr>
              <w:t xml:space="preserve"> in Part 18 of the NGR</w:t>
            </w:r>
            <w:r w:rsidRPr="00890C7A">
              <w:rPr>
                <w:sz w:val="20"/>
                <w:szCs w:val="20"/>
                <w:lang w:eastAsia="fr-CA"/>
              </w:rPr>
              <w:t>; and</w:t>
            </w:r>
          </w:p>
          <w:p w14:paraId="0EE689C8" w14:textId="77777777" w:rsidR="004A3B41" w:rsidRPr="00890C7A" w:rsidRDefault="004A3B41" w:rsidP="003C2D90">
            <w:pPr>
              <w:pStyle w:val="TableBullet1"/>
              <w:numPr>
                <w:ilvl w:val="0"/>
                <w:numId w:val="21"/>
              </w:numPr>
              <w:spacing w:after="80"/>
              <w:rPr>
                <w:sz w:val="20"/>
                <w:szCs w:val="20"/>
                <w:lang w:eastAsia="fr-CA"/>
              </w:rPr>
            </w:pPr>
            <w:r w:rsidRPr="00890C7A">
              <w:rPr>
                <w:sz w:val="20"/>
                <w:szCs w:val="20"/>
                <w:lang w:eastAsia="fr-CA"/>
              </w:rPr>
              <w:t xml:space="preserve">allocation agents with the new </w:t>
            </w:r>
            <w:r w:rsidR="00890C7A" w:rsidRPr="00890C7A">
              <w:rPr>
                <w:sz w:val="20"/>
                <w:szCs w:val="20"/>
                <w:lang w:eastAsia="fr-CA"/>
              </w:rPr>
              <w:t xml:space="preserve">Bulletin Board </w:t>
            </w:r>
            <w:r w:rsidRPr="00890C7A">
              <w:rPr>
                <w:sz w:val="20"/>
                <w:szCs w:val="20"/>
                <w:lang w:eastAsia="fr-CA"/>
              </w:rPr>
              <w:t>reporting obligations</w:t>
            </w:r>
            <w:r w:rsidR="00890C7A" w:rsidRPr="00890C7A">
              <w:rPr>
                <w:sz w:val="20"/>
                <w:szCs w:val="20"/>
                <w:lang w:eastAsia="fr-CA"/>
              </w:rPr>
              <w:t xml:space="preserve"> in Part 18 of the NGR</w:t>
            </w:r>
            <w:r w:rsidRPr="00890C7A">
              <w:rPr>
                <w:sz w:val="20"/>
                <w:szCs w:val="20"/>
                <w:lang w:eastAsia="fr-CA"/>
              </w:rPr>
              <w:t>.</w:t>
            </w:r>
          </w:p>
          <w:p w14:paraId="3D4075DA" w14:textId="77777777" w:rsidR="004A3B41" w:rsidRPr="00890C7A" w:rsidRDefault="00890C7A" w:rsidP="00890C7A">
            <w:pPr>
              <w:pStyle w:val="BodyText"/>
              <w:keepNext/>
              <w:spacing w:before="120" w:line="252" w:lineRule="auto"/>
              <w:rPr>
                <w:sz w:val="20"/>
                <w:szCs w:val="20"/>
              </w:rPr>
            </w:pPr>
            <w:r w:rsidRPr="00890C7A">
              <w:rPr>
                <w:sz w:val="20"/>
                <w:szCs w:val="20"/>
              </w:rPr>
              <w:t>Part 24 of t</w:t>
            </w:r>
            <w:r w:rsidR="004A3B41" w:rsidRPr="00890C7A">
              <w:rPr>
                <w:sz w:val="20"/>
                <w:szCs w:val="20"/>
              </w:rPr>
              <w:t xml:space="preserve">he </w:t>
            </w:r>
            <w:r w:rsidRPr="00890C7A">
              <w:rPr>
                <w:sz w:val="20"/>
                <w:szCs w:val="20"/>
              </w:rPr>
              <w:t xml:space="preserve">NGR also accords </w:t>
            </w:r>
            <w:r w:rsidR="004A3B41" w:rsidRPr="00890C7A">
              <w:rPr>
                <w:sz w:val="20"/>
                <w:szCs w:val="20"/>
              </w:rPr>
              <w:t xml:space="preserve">the AER </w:t>
            </w:r>
            <w:r w:rsidRPr="00890C7A">
              <w:rPr>
                <w:sz w:val="20"/>
                <w:szCs w:val="20"/>
              </w:rPr>
              <w:t xml:space="preserve">responsibility for </w:t>
            </w:r>
            <w:r w:rsidR="004A3B41" w:rsidRPr="00890C7A">
              <w:rPr>
                <w:sz w:val="20"/>
                <w:szCs w:val="20"/>
              </w:rPr>
              <w:t>grant</w:t>
            </w:r>
            <w:r w:rsidRPr="00890C7A">
              <w:rPr>
                <w:sz w:val="20"/>
                <w:szCs w:val="20"/>
              </w:rPr>
              <w:t>ing</w:t>
            </w:r>
            <w:r w:rsidR="004A3B41" w:rsidRPr="00890C7A">
              <w:rPr>
                <w:sz w:val="20"/>
                <w:szCs w:val="20"/>
              </w:rPr>
              <w:t xml:space="preserve"> exemptions from the obligations to publish a standard operational </w:t>
            </w:r>
            <w:r w:rsidRPr="00890C7A">
              <w:rPr>
                <w:sz w:val="20"/>
                <w:szCs w:val="20"/>
              </w:rPr>
              <w:t xml:space="preserve">agreement </w:t>
            </w:r>
            <w:r w:rsidR="004A3B41" w:rsidRPr="00890C7A">
              <w:rPr>
                <w:sz w:val="20"/>
                <w:szCs w:val="20"/>
              </w:rPr>
              <w:t xml:space="preserve">and </w:t>
            </w:r>
            <w:r w:rsidRPr="00890C7A">
              <w:rPr>
                <w:sz w:val="20"/>
                <w:szCs w:val="20"/>
              </w:rPr>
              <w:t xml:space="preserve">from </w:t>
            </w:r>
            <w:r w:rsidR="004A3B41" w:rsidRPr="00890C7A">
              <w:rPr>
                <w:sz w:val="20"/>
                <w:szCs w:val="20"/>
              </w:rPr>
              <w:t>the day-ahead auction</w:t>
            </w:r>
            <w:r w:rsidRPr="00890C7A">
              <w:rPr>
                <w:sz w:val="20"/>
                <w:szCs w:val="20"/>
              </w:rPr>
              <w:t>, while Part 25 requires the AER to develop a guideline that sets out:</w:t>
            </w:r>
          </w:p>
          <w:p w14:paraId="6CF60EE0" w14:textId="77777777" w:rsidR="00890C7A" w:rsidRPr="003C2D90" w:rsidRDefault="00890C7A" w:rsidP="003C2D90">
            <w:pPr>
              <w:pStyle w:val="TableBullet1"/>
              <w:numPr>
                <w:ilvl w:val="0"/>
                <w:numId w:val="21"/>
              </w:numPr>
              <w:spacing w:after="80"/>
              <w:rPr>
                <w:sz w:val="20"/>
                <w:szCs w:val="20"/>
                <w:lang w:eastAsia="fr-CA"/>
              </w:rPr>
            </w:pPr>
            <w:r w:rsidRPr="003C2D90">
              <w:rPr>
                <w:sz w:val="20"/>
                <w:szCs w:val="20"/>
                <w:lang w:eastAsia="fr-CA"/>
              </w:rPr>
              <w:t xml:space="preserve">the information to be reported by auction facility operators in relation to nomination and scheduling records and the manner in which they are to be made and kept; and </w:t>
            </w:r>
          </w:p>
          <w:p w14:paraId="36A589AF" w14:textId="77777777" w:rsidR="00890C7A" w:rsidRPr="00890C7A" w:rsidRDefault="00890C7A" w:rsidP="003C2D90">
            <w:pPr>
              <w:pStyle w:val="TableBullet1"/>
              <w:numPr>
                <w:ilvl w:val="0"/>
                <w:numId w:val="21"/>
              </w:numPr>
              <w:spacing w:after="80"/>
              <w:rPr>
                <w:sz w:val="20"/>
                <w:szCs w:val="20"/>
              </w:rPr>
            </w:pPr>
            <w:r w:rsidRPr="003C2D90">
              <w:rPr>
                <w:sz w:val="20"/>
                <w:szCs w:val="20"/>
                <w:lang w:eastAsia="fr-CA"/>
              </w:rPr>
              <w:t>the information to be recorded by shippers when making a material renomination.</w:t>
            </w:r>
            <w:r w:rsidRPr="00890C7A">
              <w:rPr>
                <w:sz w:val="20"/>
                <w:szCs w:val="20"/>
              </w:rPr>
              <w:t xml:space="preserve"> </w:t>
            </w:r>
          </w:p>
        </w:tc>
      </w:tr>
    </w:tbl>
    <w:p w14:paraId="164A59B5" w14:textId="77777777" w:rsidR="009415FA" w:rsidRDefault="009415FA" w:rsidP="00521248">
      <w:pPr>
        <w:pStyle w:val="BodyText"/>
        <w:sectPr w:rsidR="009415FA" w:rsidSect="009415FA">
          <w:pgSz w:w="16839" w:h="11907" w:orient="landscape"/>
          <w:pgMar w:top="1418" w:right="851" w:bottom="1701" w:left="973" w:header="567" w:footer="132" w:gutter="0"/>
          <w:cols w:space="720"/>
          <w:docGrid w:linePitch="299"/>
        </w:sectPr>
      </w:pPr>
    </w:p>
    <w:p w14:paraId="3D602096" w14:textId="77777777" w:rsidR="002130AC" w:rsidRDefault="002130AC" w:rsidP="002130AC">
      <w:pPr>
        <w:pStyle w:val="Heading2"/>
        <w:spacing w:before="200" w:after="120"/>
      </w:pPr>
      <w:bookmarkStart w:id="90" w:name="_Toc509239430"/>
      <w:r>
        <w:lastRenderedPageBreak/>
        <w:t>Questions for stakeholders</w:t>
      </w:r>
      <w:bookmarkEnd w:id="90"/>
    </w:p>
    <w:p w14:paraId="2BCEFE4C" w14:textId="77777777" w:rsidR="00E90D58" w:rsidRPr="0080614E" w:rsidRDefault="002130AC" w:rsidP="00E90D58">
      <w:pPr>
        <w:pStyle w:val="BodyText"/>
        <w:tabs>
          <w:tab w:val="clear" w:pos="2268"/>
        </w:tabs>
      </w:pPr>
      <w:r>
        <w:t>Stakeholders are encouraged to review and comment on all aspects of the draft NGL, Regulations and NGR, including identifying any areas that they believe an appropriate balance has not been struck between the legislative instruments.</w:t>
      </w:r>
      <w:r w:rsidR="00E90D58" w:rsidRPr="00E90D58">
        <w:t xml:space="preserve"> </w:t>
      </w:r>
    </w:p>
    <w:p w14:paraId="3EFE815A" w14:textId="77777777" w:rsidR="004A3B41" w:rsidRDefault="00E90D58" w:rsidP="00E90D58">
      <w:pPr>
        <w:pStyle w:val="BodyText"/>
        <w:tabs>
          <w:tab w:val="clear" w:pos="2268"/>
        </w:tabs>
      </w:pPr>
      <w:r w:rsidRPr="0080614E">
        <w:t xml:space="preserve">Stakeholders are </w:t>
      </w:r>
      <w:r>
        <w:t xml:space="preserve">also </w:t>
      </w:r>
      <w:r w:rsidRPr="0080614E">
        <w:t xml:space="preserve">asked to consider the questions </w:t>
      </w:r>
      <w:r>
        <w:t xml:space="preserve">in Box 3.1 and </w:t>
      </w:r>
      <w:r w:rsidR="00EF6C93">
        <w:t>set out in Chapters 4-9</w:t>
      </w:r>
      <w:r>
        <w:t xml:space="preserve"> </w:t>
      </w:r>
      <w:r w:rsidRPr="0080614E">
        <w:t xml:space="preserve">in </w:t>
      </w:r>
      <w:r>
        <w:t xml:space="preserve">providing </w:t>
      </w:r>
      <w:r w:rsidR="009415FA">
        <w:t>their feedback.</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3.1: Questions on the overall legal and regulatory framework "/>
        <w:tblDescription w:val="Questions on the overall legal and regulatory framework "/>
      </w:tblPr>
      <w:tblGrid>
        <w:gridCol w:w="8788"/>
      </w:tblGrid>
      <w:tr w:rsidR="002A1ED1" w14:paraId="3C1C1ACC" w14:textId="77777777" w:rsidTr="002A1ED1">
        <w:trPr>
          <w:tblHeader/>
        </w:trPr>
        <w:tc>
          <w:tcPr>
            <w:tcW w:w="5000" w:type="pct"/>
            <w:shd w:val="clear" w:color="auto" w:fill="auto"/>
          </w:tcPr>
          <w:p w14:paraId="2C6BBC1B" w14:textId="7F558A02" w:rsidR="002A1ED1" w:rsidRPr="002A1ED1" w:rsidRDefault="002A1ED1" w:rsidP="002A1ED1">
            <w:pPr>
              <w:pStyle w:val="ListBullet"/>
              <w:numPr>
                <w:ilvl w:val="0"/>
                <w:numId w:val="0"/>
              </w:numPr>
              <w:spacing w:line="276" w:lineRule="auto"/>
              <w:rPr>
                <w:b/>
              </w:rPr>
            </w:pPr>
            <w:r w:rsidRPr="002A1ED1">
              <w:rPr>
                <w:b/>
              </w:rPr>
              <w:t xml:space="preserve">Box 3.1: </w:t>
            </w:r>
            <w:r w:rsidRPr="002A1ED1">
              <w:rPr>
                <w:b/>
                <w:bCs/>
              </w:rPr>
              <w:t>Questions on the overall legal and regulatory framework</w:t>
            </w:r>
          </w:p>
        </w:tc>
      </w:tr>
      <w:tr w:rsidR="00261C12" w14:paraId="11911234" w14:textId="77777777" w:rsidTr="00261C12">
        <w:trPr>
          <w:tblHeader/>
        </w:trPr>
        <w:tc>
          <w:tcPr>
            <w:tcW w:w="5000" w:type="pct"/>
            <w:shd w:val="clear" w:color="auto" w:fill="B7E7FF"/>
          </w:tcPr>
          <w:p w14:paraId="1955C022" w14:textId="77777777" w:rsidR="00261C12" w:rsidRDefault="00261C12" w:rsidP="00261C12">
            <w:pPr>
              <w:pStyle w:val="ListBullet"/>
              <w:numPr>
                <w:ilvl w:val="0"/>
                <w:numId w:val="29"/>
              </w:numPr>
              <w:spacing w:line="276" w:lineRule="auto"/>
            </w:pPr>
            <w:r>
              <w:t xml:space="preserve">Do you believe the proposed amendments to the NGL, Regulations and NGR implement the design of the capacity trading reforms effectively? If not, why? </w:t>
            </w:r>
          </w:p>
          <w:p w14:paraId="09B8A1B6" w14:textId="77777777" w:rsidR="00261C12" w:rsidRDefault="00261C12" w:rsidP="00261C12">
            <w:pPr>
              <w:pStyle w:val="ListBullet"/>
              <w:numPr>
                <w:ilvl w:val="0"/>
                <w:numId w:val="29"/>
              </w:numPr>
              <w:spacing w:line="276" w:lineRule="auto"/>
            </w:pPr>
            <w:r>
              <w:t xml:space="preserve">Do the market bodies have adequate powers to do what they need to do to facilitate the outcomes sought by the reforms? </w:t>
            </w:r>
          </w:p>
          <w:p w14:paraId="0B206FEE" w14:textId="77777777" w:rsidR="00261C12" w:rsidRDefault="00261C12" w:rsidP="00261C12">
            <w:pPr>
              <w:pStyle w:val="ListBullet"/>
              <w:numPr>
                <w:ilvl w:val="0"/>
                <w:numId w:val="29"/>
              </w:numPr>
              <w:spacing w:line="276" w:lineRule="auto"/>
            </w:pPr>
            <w:r>
              <w:t xml:space="preserve">Do you agree with the GMRG’s recommendation with regard to which rules are classified as civil penalty and/or conduct provisions (see Appendix A)? If not, why? </w:t>
            </w:r>
          </w:p>
          <w:p w14:paraId="74B5B17C" w14:textId="77777777" w:rsidR="00261C12" w:rsidRDefault="00261C12" w:rsidP="00261C12">
            <w:pPr>
              <w:pStyle w:val="ListBullet"/>
              <w:numPr>
                <w:ilvl w:val="0"/>
                <w:numId w:val="29"/>
              </w:numPr>
              <w:spacing w:line="276" w:lineRule="auto"/>
            </w:pPr>
            <w:r>
              <w:t xml:space="preserve">Are there any changes to the NGL, Regulations or NGR that you consider are necessary to ensure parties are unable to game or undermine the intended objective of the reform package? </w:t>
            </w:r>
          </w:p>
          <w:p w14:paraId="2E97D347" w14:textId="7966DFA0" w:rsidR="00261C12" w:rsidRPr="00261C12" w:rsidRDefault="00261C12" w:rsidP="00261C12">
            <w:pPr>
              <w:pStyle w:val="ListBullet"/>
              <w:numPr>
                <w:ilvl w:val="0"/>
                <w:numId w:val="29"/>
              </w:numPr>
              <w:spacing w:line="276" w:lineRule="auto"/>
            </w:pPr>
            <w:r>
              <w:t>Are any other transitional rules not currently included in Schedule 5 required? If so, what are they and why are they required?</w:t>
            </w:r>
          </w:p>
        </w:tc>
      </w:tr>
    </w:tbl>
    <w:p w14:paraId="40D65569" w14:textId="77777777" w:rsidR="00A74F85" w:rsidRDefault="00DF31E1" w:rsidP="009415FA">
      <w:pPr>
        <w:pStyle w:val="Heading1"/>
        <w:pageBreakBefore/>
        <w:spacing w:before="240" w:after="120"/>
      </w:pPr>
      <w:bookmarkStart w:id="91" w:name="_Toc509239431"/>
      <w:bookmarkEnd w:id="71"/>
      <w:r>
        <w:lastRenderedPageBreak/>
        <w:t>Facilitati</w:t>
      </w:r>
      <w:r w:rsidR="00333568">
        <w:t>on of</w:t>
      </w:r>
      <w:r>
        <w:t xml:space="preserve"> </w:t>
      </w:r>
      <w:r w:rsidR="00E54126">
        <w:t xml:space="preserve">Capacity </w:t>
      </w:r>
      <w:r>
        <w:t xml:space="preserve">Trades </w:t>
      </w:r>
      <w:r w:rsidR="005F7507">
        <w:t xml:space="preserve">and the </w:t>
      </w:r>
      <w:r w:rsidR="006F21A5">
        <w:t>Auction</w:t>
      </w:r>
      <w:bookmarkEnd w:id="91"/>
      <w:r w:rsidR="006F21A5">
        <w:t xml:space="preserve"> </w:t>
      </w:r>
    </w:p>
    <w:p w14:paraId="79976E97" w14:textId="77777777" w:rsidR="00CD7542" w:rsidRDefault="00CD7542" w:rsidP="00CD7542">
      <w:pPr>
        <w:pStyle w:val="BodyText"/>
      </w:pPr>
      <w:bookmarkStart w:id="92" w:name="PasteHere"/>
      <w:bookmarkStart w:id="93" w:name="SectionBreakEndHere"/>
      <w:bookmarkStart w:id="94" w:name="_Toc508829769"/>
      <w:bookmarkStart w:id="95" w:name="_Hlk494903710"/>
      <w:bookmarkStart w:id="96" w:name="_Toc508702025"/>
      <w:bookmarkEnd w:id="92"/>
      <w:bookmarkEnd w:id="93"/>
      <w:r w:rsidRPr="00086528">
        <w:t>The capacity trading reform</w:t>
      </w:r>
      <w:r>
        <w:t xml:space="preserve"> package</w:t>
      </w:r>
      <w:r w:rsidRPr="00086528">
        <w:t xml:space="preserve"> include</w:t>
      </w:r>
      <w:r>
        <w:t>s</w:t>
      </w:r>
      <w:r w:rsidRPr="00086528">
        <w:t xml:space="preserve"> a number of measures </w:t>
      </w:r>
      <w:r>
        <w:t xml:space="preserve">that are designed to facilitate </w:t>
      </w:r>
      <w:r w:rsidRPr="00086528">
        <w:t xml:space="preserve">capacity </w:t>
      </w:r>
      <w:r>
        <w:t>trading</w:t>
      </w:r>
      <w:r w:rsidRPr="00086528">
        <w:t xml:space="preserve"> and the day-ahead auction</w:t>
      </w:r>
      <w:r>
        <w:t>, including, amongst others:</w:t>
      </w:r>
    </w:p>
    <w:p w14:paraId="417A81B4" w14:textId="77777777" w:rsidR="00CD7542" w:rsidRDefault="00CD7542" w:rsidP="00CD7542">
      <w:pPr>
        <w:pStyle w:val="ListBullet"/>
      </w:pPr>
      <w:r>
        <w:t xml:space="preserve">a framework to facilitate </w:t>
      </w:r>
      <w:r w:rsidRPr="0004627D">
        <w:rPr>
          <w:b/>
        </w:rPr>
        <w:t>operational transfer</w:t>
      </w:r>
      <w:r>
        <w:rPr>
          <w:b/>
        </w:rPr>
        <w:t>s</w:t>
      </w:r>
      <w:r w:rsidRPr="006A6D6F">
        <w:t>, which</w:t>
      </w:r>
      <w:r>
        <w:rPr>
          <w:b/>
        </w:rPr>
        <w:t xml:space="preserve"> </w:t>
      </w:r>
      <w:r w:rsidRPr="006A6D6F">
        <w:t>will</w:t>
      </w:r>
      <w:r>
        <w:rPr>
          <w:b/>
        </w:rPr>
        <w:t xml:space="preserve"> </w:t>
      </w:r>
      <w:r>
        <w:t>be used for all trades conducted through the exchange and day-ahead auction</w:t>
      </w:r>
      <w:r w:rsidRPr="00BF7480">
        <w:t xml:space="preserve"> a</w:t>
      </w:r>
      <w:r w:rsidRPr="00A23648">
        <w:t xml:space="preserve">nd </w:t>
      </w:r>
      <w:r>
        <w:t xml:space="preserve">for sellers in </w:t>
      </w:r>
      <w:r w:rsidRPr="00A23648">
        <w:t xml:space="preserve">bilateral trades to </w:t>
      </w:r>
      <w:r>
        <w:t xml:space="preserve">offer </w:t>
      </w:r>
      <w:r w:rsidRPr="00A23648">
        <w:t xml:space="preserve">buyers the option of using </w:t>
      </w:r>
      <w:r>
        <w:t>an operational transfer (rather than a bare transfer);</w:t>
      </w:r>
    </w:p>
    <w:p w14:paraId="13CEB122" w14:textId="77777777" w:rsidR="00CD7542" w:rsidRDefault="00CD7542" w:rsidP="00CD7542">
      <w:pPr>
        <w:pStyle w:val="ListBullet"/>
      </w:pPr>
      <w:r>
        <w:t>a requirement for non-exempt service providers to publish and to offer to enter int</w:t>
      </w:r>
      <w:r w:rsidRPr="00433F32">
        <w:t xml:space="preserve">o a </w:t>
      </w:r>
      <w:r w:rsidRPr="0004627D">
        <w:rPr>
          <w:b/>
        </w:rPr>
        <w:t>standard operational agreement</w:t>
      </w:r>
      <w:r w:rsidRPr="00433F32">
        <w:t xml:space="preserve"> with prospective secondary shippers, which will establish the standard contract terms for </w:t>
      </w:r>
      <w:r>
        <w:t xml:space="preserve">use of </w:t>
      </w:r>
      <w:r w:rsidRPr="00433F32">
        <w:t xml:space="preserve">capacity procured through the trading platform, auction </w:t>
      </w:r>
      <w:r>
        <w:t xml:space="preserve">or </w:t>
      </w:r>
      <w:r w:rsidRPr="00433F32">
        <w:t>bilaterally</w:t>
      </w:r>
      <w:r>
        <w:t xml:space="preserve"> on an operational transfer basis</w:t>
      </w:r>
      <w:r w:rsidRPr="00433F32">
        <w:t xml:space="preserve">; </w:t>
      </w:r>
    </w:p>
    <w:p w14:paraId="7B6E178D" w14:textId="77777777" w:rsidR="00CD7542" w:rsidRDefault="00CD7542" w:rsidP="00CD7542">
      <w:pPr>
        <w:pStyle w:val="ListBullet"/>
      </w:pPr>
      <w:r>
        <w:t xml:space="preserve">a requirement for service providers to give effect to operational transfers and to comply with the </w:t>
      </w:r>
      <w:r w:rsidRPr="00D55C67">
        <w:rPr>
          <w:b/>
        </w:rPr>
        <w:t>transaction support arrangements</w:t>
      </w:r>
      <w:r>
        <w:t xml:space="preserve"> set out in the Capacity Transfer and Auction Procedures, which will underpin the capacity trading platform and auction; </w:t>
      </w:r>
    </w:p>
    <w:p w14:paraId="498A70E3" w14:textId="77777777" w:rsidR="00CD7542" w:rsidRDefault="00CD7542" w:rsidP="00CD7542">
      <w:pPr>
        <w:pStyle w:val="ListBullet"/>
      </w:pPr>
      <w:r w:rsidRPr="0004627D">
        <w:rPr>
          <w:b/>
        </w:rPr>
        <w:t>measures to</w:t>
      </w:r>
      <w:r>
        <w:t xml:space="preserve"> </w:t>
      </w:r>
      <w:r w:rsidRPr="0004627D">
        <w:rPr>
          <w:b/>
        </w:rPr>
        <w:t xml:space="preserve">overcome </w:t>
      </w:r>
      <w:r>
        <w:rPr>
          <w:b/>
        </w:rPr>
        <w:t xml:space="preserve">contractual </w:t>
      </w:r>
      <w:r w:rsidRPr="0004627D">
        <w:rPr>
          <w:b/>
        </w:rPr>
        <w:t>limitations</w:t>
      </w:r>
      <w:r>
        <w:t xml:space="preserve"> </w:t>
      </w:r>
      <w:r w:rsidRPr="00D55C67">
        <w:rPr>
          <w:b/>
        </w:rPr>
        <w:t>on capacity trading</w:t>
      </w:r>
      <w:r>
        <w:t>, which include a requirement for service providers to:</w:t>
      </w:r>
      <w:r w:rsidRPr="007052AE">
        <w:t xml:space="preserve"> </w:t>
      </w:r>
    </w:p>
    <w:p w14:paraId="5F198742" w14:textId="77777777" w:rsidR="00CD7542" w:rsidRDefault="00CD7542" w:rsidP="00CD7542">
      <w:pPr>
        <w:pStyle w:val="ListBullet2"/>
      </w:pPr>
      <w:r w:rsidRPr="007052AE">
        <w:t xml:space="preserve">amend </w:t>
      </w:r>
      <w:r>
        <w:t xml:space="preserve">facility agreements </w:t>
      </w:r>
      <w:r w:rsidRPr="007052AE">
        <w:t xml:space="preserve">if requested by the shipper to </w:t>
      </w:r>
      <w:r>
        <w:t xml:space="preserve">enable the shipper to sell its capacity through an operational TSA; and </w:t>
      </w:r>
    </w:p>
    <w:p w14:paraId="7166E429" w14:textId="77777777" w:rsidR="00CD7542" w:rsidRDefault="00CD7542" w:rsidP="00CD7542">
      <w:pPr>
        <w:pStyle w:val="ListBullet2"/>
      </w:pPr>
      <w:r>
        <w:t>comply with receipt and delivery point change process set out in the NGR; and</w:t>
      </w:r>
      <w:r w:rsidRPr="007052AE">
        <w:t xml:space="preserve"> </w:t>
      </w:r>
    </w:p>
    <w:p w14:paraId="134BFC66" w14:textId="77777777" w:rsidR="00CD7542" w:rsidRPr="007052AE" w:rsidRDefault="00CD7542" w:rsidP="00CD7542">
      <w:pPr>
        <w:pStyle w:val="ListBullet"/>
      </w:pPr>
      <w:r>
        <w:t xml:space="preserve">the use of </w:t>
      </w:r>
      <w:r w:rsidRPr="00D55C67">
        <w:rPr>
          <w:b/>
        </w:rPr>
        <w:t>zones</w:t>
      </w:r>
      <w:r>
        <w:t xml:space="preserve"> in the capacity trading platform, the day-ahead auction and the secondary capacity reporting framework.</w:t>
      </w:r>
    </w:p>
    <w:p w14:paraId="651E8023" w14:textId="77777777" w:rsidR="00CD7542" w:rsidRPr="00086528" w:rsidRDefault="00CD7542" w:rsidP="00CD7542">
      <w:pPr>
        <w:pStyle w:val="BodyText"/>
      </w:pPr>
      <w:r>
        <w:t xml:space="preserve">Together </w:t>
      </w:r>
      <w:r w:rsidRPr="00086528">
        <w:t>these measures</w:t>
      </w:r>
      <w:r>
        <w:t xml:space="preserve"> are intended to</w:t>
      </w:r>
      <w:r w:rsidRPr="00086528">
        <w:t>:</w:t>
      </w:r>
    </w:p>
    <w:p w14:paraId="5E26A990" w14:textId="77777777" w:rsidR="00CD7542" w:rsidRPr="00086528" w:rsidRDefault="00CD7542" w:rsidP="00CD7542">
      <w:pPr>
        <w:pStyle w:val="ListBullet"/>
        <w:numPr>
          <w:ilvl w:val="0"/>
          <w:numId w:val="26"/>
        </w:numPr>
      </w:pPr>
      <w:r w:rsidRPr="00086528">
        <w:t xml:space="preserve">support the operation of the capacity trading platform, the day-ahead auction and bilateral trading of capacity; </w:t>
      </w:r>
    </w:p>
    <w:p w14:paraId="0C43D3E7" w14:textId="77777777" w:rsidR="00CD7542" w:rsidRPr="00086528" w:rsidRDefault="00CD7542" w:rsidP="00CD7542">
      <w:pPr>
        <w:pStyle w:val="ListBullet"/>
        <w:numPr>
          <w:ilvl w:val="0"/>
          <w:numId w:val="26"/>
        </w:numPr>
      </w:pPr>
      <w:r w:rsidRPr="00086528">
        <w:t xml:space="preserve">provide for access to operational transportation services on reasonable terms, which is taken to mean at prices and on other terms and conditions that, so far as practical, reflect the outcomes of a workably competitive market; and </w:t>
      </w:r>
    </w:p>
    <w:p w14:paraId="21250F8C" w14:textId="77777777" w:rsidR="00CD7542" w:rsidRDefault="00CD7542" w:rsidP="00CD7542">
      <w:pPr>
        <w:pStyle w:val="ListBullet"/>
        <w:numPr>
          <w:ilvl w:val="0"/>
          <w:numId w:val="26"/>
        </w:numPr>
      </w:pPr>
      <w:r>
        <w:t>reduce</w:t>
      </w:r>
      <w:r w:rsidRPr="00086528">
        <w:t xml:space="preserve"> barriers to secondary trading</w:t>
      </w:r>
      <w:r>
        <w:t>.</w:t>
      </w:r>
      <w:r w:rsidRPr="00086528">
        <w:t xml:space="preserve"> </w:t>
      </w:r>
    </w:p>
    <w:p w14:paraId="25D24467" w14:textId="77777777" w:rsidR="00CD7542" w:rsidRDefault="00CD7542" w:rsidP="00CD7542">
      <w:pPr>
        <w:pStyle w:val="BodyText"/>
      </w:pPr>
      <w:r>
        <w:t xml:space="preserve">To implement these measures, a number of amendments will need to be made to the NGL, the NGR and the Regulations. The Code, which together with the NGR will govern the content of standard operational agreements, will also need to be made. </w:t>
      </w:r>
    </w:p>
    <w:p w14:paraId="0E96F565" w14:textId="77777777" w:rsidR="00CD7542" w:rsidRDefault="00CD7542" w:rsidP="00CD7542">
      <w:pPr>
        <w:pStyle w:val="BodyText"/>
      </w:pPr>
      <w:r>
        <w:t xml:space="preserve">AEMO will also need to develop the Capacity Transfer and Auction Procedures, which amongst other things, will provide more detail on: </w:t>
      </w:r>
    </w:p>
    <w:p w14:paraId="5050CC3A" w14:textId="77777777" w:rsidR="00CD7542" w:rsidRDefault="00CD7542" w:rsidP="00CD7542">
      <w:pPr>
        <w:pStyle w:val="ListBullet"/>
      </w:pPr>
      <w:r>
        <w:t>the transaction support arrangements that service providers will be required to comply with to facilitate trades conducted through the exchange or the auction;</w:t>
      </w:r>
    </w:p>
    <w:p w14:paraId="46B7B12D" w14:textId="77777777" w:rsidR="00CD7542" w:rsidRDefault="00CD7542" w:rsidP="00CD7542">
      <w:pPr>
        <w:pStyle w:val="ListBullet"/>
      </w:pPr>
      <w:r>
        <w:t xml:space="preserve">the processes and arrangements AEMO will use: </w:t>
      </w:r>
    </w:p>
    <w:p w14:paraId="1014D89A" w14:textId="77777777" w:rsidR="00CD7542" w:rsidRDefault="00CD7542" w:rsidP="00CD7542">
      <w:pPr>
        <w:pStyle w:val="ListBullet2"/>
      </w:pPr>
      <w:r>
        <w:t xml:space="preserve">to determine the zones to be used in the capacity trading platform and auction; </w:t>
      </w:r>
    </w:p>
    <w:p w14:paraId="0AC649D7" w14:textId="77777777" w:rsidR="00CD7542" w:rsidRDefault="00CD7542" w:rsidP="00CD7542">
      <w:pPr>
        <w:pStyle w:val="ListBullet2"/>
      </w:pPr>
      <w:r>
        <w:t>to obtain information on the facility agreements to be used to give effect to operational transfers of capacity procured through the capacity trading platform and/or auction;</w:t>
      </w:r>
      <w:r>
        <w:rPr>
          <w:rStyle w:val="FootnoteReference"/>
        </w:rPr>
        <w:t xml:space="preserve"> </w:t>
      </w:r>
      <w:r>
        <w:t>and</w:t>
      </w:r>
    </w:p>
    <w:p w14:paraId="740B71ED" w14:textId="77777777" w:rsidR="00CD7542" w:rsidRDefault="00CD7542" w:rsidP="00CD7542">
      <w:pPr>
        <w:pStyle w:val="ListBullet2"/>
      </w:pPr>
      <w:r>
        <w:lastRenderedPageBreak/>
        <w:t>to provide for operational transfers of capacity procured through the capacity trading platform or auction at a DWGM or STTM interface point; and</w:t>
      </w:r>
    </w:p>
    <w:p w14:paraId="761E9378" w14:textId="77777777" w:rsidR="00CD7542" w:rsidRDefault="00CD7542" w:rsidP="00CD7542">
      <w:pPr>
        <w:pStyle w:val="ListBullet"/>
      </w:pPr>
      <w:r>
        <w:t xml:space="preserve">a number of other administrative matters (e.g. registration requirements). </w:t>
      </w:r>
    </w:p>
    <w:p w14:paraId="0E0C64E6" w14:textId="77777777" w:rsidR="00CD7542" w:rsidRPr="00086528" w:rsidRDefault="00CD7542" w:rsidP="00CD7542">
      <w:pPr>
        <w:pStyle w:val="BodyText"/>
      </w:pPr>
      <w:r>
        <w:t>Further detail on the Code and the changes to be made to the NGL, Regulations and NGR is provided in the remainder of this chapter, which commences with an overview of the measures to facilitate trade and the auction that the Energy Council approved in November 2017 and the refinements that have subsequently been made on which the GMRG is seeking feedback.</w:t>
      </w:r>
    </w:p>
    <w:p w14:paraId="0C877A3D" w14:textId="77777777" w:rsidR="00CD7542" w:rsidRPr="00086528" w:rsidRDefault="00CD7542" w:rsidP="00CD7542">
      <w:pPr>
        <w:pStyle w:val="Heading2"/>
      </w:pPr>
      <w:bookmarkStart w:id="97" w:name="_Toc509239432"/>
      <w:r>
        <w:t>Overview of measures to facilitate trades and the auction</w:t>
      </w:r>
      <w:bookmarkEnd w:id="97"/>
      <w:r>
        <w:t xml:space="preserve"> </w:t>
      </w:r>
    </w:p>
    <w:p w14:paraId="44692FDB" w14:textId="77777777" w:rsidR="00CD7542" w:rsidRDefault="00830BE4" w:rsidP="00CD7542">
      <w:pPr>
        <w:pStyle w:val="BodyText"/>
      </w:pPr>
      <w:r>
        <w:fldChar w:fldCharType="begin"/>
      </w:r>
      <w:r>
        <w:instrText xml:space="preserve"> REF _Ref509239447 \h </w:instrText>
      </w:r>
      <w:r>
        <w:fldChar w:fldCharType="separate"/>
      </w:r>
      <w:r>
        <w:t xml:space="preserve">Table </w:t>
      </w:r>
      <w:r>
        <w:rPr>
          <w:noProof/>
        </w:rPr>
        <w:t>4</w:t>
      </w:r>
      <w:r>
        <w:t>.</w:t>
      </w:r>
      <w:r>
        <w:rPr>
          <w:noProof/>
        </w:rPr>
        <w:t>1</w:t>
      </w:r>
      <w:r>
        <w:fldChar w:fldCharType="end"/>
      </w:r>
      <w:r w:rsidR="00CD7542" w:rsidRPr="00086528">
        <w:t xml:space="preserve"> </w:t>
      </w:r>
      <w:r w:rsidR="00CD7542">
        <w:t xml:space="preserve">provides an overview of the measures that will be implemented to </w:t>
      </w:r>
      <w:r w:rsidR="00CD7542" w:rsidRPr="00086528">
        <w:t>facilitate capacity trading and the day-ahead auction</w:t>
      </w:r>
      <w:r w:rsidR="00CD7542">
        <w:t xml:space="preserve">. With </w:t>
      </w:r>
      <w:r w:rsidR="00CD7542" w:rsidRPr="00086528">
        <w:t xml:space="preserve">the exception of the refinements identified in the grey shaded rows, </w:t>
      </w:r>
      <w:r w:rsidR="00CD7542">
        <w:t xml:space="preserve">these measures </w:t>
      </w:r>
      <w:r w:rsidR="00CD7542" w:rsidRPr="00086528">
        <w:t xml:space="preserve">are consistent with recommendations that were approved by the Energy Council. </w:t>
      </w:r>
      <w:r w:rsidR="00CD7542">
        <w:t xml:space="preserve">The refinements that have been made to the design of the day-ahead auction will require the approval of </w:t>
      </w:r>
      <w:r w:rsidR="006A1208">
        <w:t xml:space="preserve">the </w:t>
      </w:r>
      <w:r w:rsidR="00CD7542">
        <w:t xml:space="preserve">Energy Council. </w:t>
      </w:r>
    </w:p>
    <w:p w14:paraId="3094E9C8" w14:textId="766BF057" w:rsidR="00CD7542" w:rsidRPr="00086528" w:rsidRDefault="00CD7542" w:rsidP="00CD7542">
      <w:pPr>
        <w:pStyle w:val="BodyText"/>
        <w:sectPr w:rsidR="00CD7542" w:rsidRPr="00086528" w:rsidSect="00436621">
          <w:headerReference w:type="default" r:id="rId42"/>
          <w:footerReference w:type="default" r:id="rId43"/>
          <w:pgSz w:w="11907" w:h="16839"/>
          <w:pgMar w:top="973" w:right="1418" w:bottom="851" w:left="1701" w:header="567" w:footer="132" w:gutter="0"/>
          <w:cols w:space="720"/>
          <w:docGrid w:linePitch="299"/>
        </w:sectPr>
      </w:pPr>
    </w:p>
    <w:p w14:paraId="5BD9649D" w14:textId="77777777" w:rsidR="00CD7542" w:rsidRDefault="00CD7542" w:rsidP="00CD7542">
      <w:pPr>
        <w:pStyle w:val="Caption"/>
        <w:spacing w:before="0" w:after="0"/>
      </w:pPr>
      <w:bookmarkStart w:id="98" w:name="_Ref509239447"/>
      <w:r>
        <w:lastRenderedPageBreak/>
        <w:t xml:space="preserve">Table </w:t>
      </w:r>
      <w:fldSimple w:instr=" STYLEREF 1 \s ">
        <w:r w:rsidR="00830BE4">
          <w:rPr>
            <w:noProof/>
          </w:rPr>
          <w:t>4</w:t>
        </w:r>
      </w:fldSimple>
      <w:r>
        <w:t>.</w:t>
      </w:r>
      <w:fldSimple w:instr=" SEQ Table \* ARABIC \s 1 ">
        <w:r w:rsidR="00830BE4">
          <w:rPr>
            <w:noProof/>
          </w:rPr>
          <w:t>1</w:t>
        </w:r>
      </w:fldSimple>
      <w:bookmarkEnd w:id="98"/>
      <w:r>
        <w:t>: Measures to facilitate capacity trading and the auction</w:t>
      </w:r>
    </w:p>
    <w:tbl>
      <w:tblPr>
        <w:tblStyle w:val="TableGrid"/>
        <w:tblW w:w="5063" w:type="pct"/>
        <w:tblLook w:val="0420" w:firstRow="1" w:lastRow="0" w:firstColumn="0" w:lastColumn="0" w:noHBand="0" w:noVBand="1"/>
        <w:tblCaption w:val="Table 4.1: Measures to facilitate capacity trading and the auction"/>
        <w:tblDescription w:val="Table of measures to facilitate capacity trading and the auction, operational transfer, standard operational agreements, etc."/>
      </w:tblPr>
      <w:tblGrid>
        <w:gridCol w:w="1845"/>
        <w:gridCol w:w="12048"/>
      </w:tblGrid>
      <w:tr w:rsidR="00CD7542" w14:paraId="3955D5FC" w14:textId="77777777" w:rsidTr="002F7585">
        <w:trPr>
          <w:cnfStyle w:val="100000000000" w:firstRow="1" w:lastRow="0" w:firstColumn="0" w:lastColumn="0" w:oddVBand="0" w:evenVBand="0" w:oddHBand="0" w:evenHBand="0" w:firstRowFirstColumn="0" w:firstRowLastColumn="0" w:lastRowFirstColumn="0" w:lastRowLastColumn="0"/>
          <w:tblHeader/>
        </w:trPr>
        <w:tc>
          <w:tcPr>
            <w:tcW w:w="664" w:type="pct"/>
            <w:tcBorders>
              <w:top w:val="single" w:sz="4" w:space="0" w:color="auto"/>
              <w:left w:val="nil"/>
              <w:bottom w:val="single" w:sz="4" w:space="0" w:color="auto"/>
              <w:right w:val="single" w:sz="4" w:space="0" w:color="auto"/>
            </w:tcBorders>
            <w:shd w:val="clear" w:color="auto" w:fill="0099CC"/>
            <w:hideMark/>
          </w:tcPr>
          <w:p w14:paraId="3DF5B566" w14:textId="77777777" w:rsidR="00CD7542" w:rsidRDefault="00CD7542" w:rsidP="002F7585">
            <w:pPr>
              <w:pStyle w:val="TableHeading"/>
            </w:pPr>
            <w:r>
              <w:t>Design Element</w:t>
            </w:r>
          </w:p>
        </w:tc>
        <w:tc>
          <w:tcPr>
            <w:tcW w:w="4336" w:type="pct"/>
            <w:tcBorders>
              <w:top w:val="single" w:sz="4" w:space="0" w:color="auto"/>
              <w:left w:val="single" w:sz="4" w:space="0" w:color="auto"/>
              <w:bottom w:val="single" w:sz="4" w:space="0" w:color="auto"/>
              <w:right w:val="nil"/>
            </w:tcBorders>
            <w:shd w:val="clear" w:color="auto" w:fill="0099CC"/>
            <w:hideMark/>
          </w:tcPr>
          <w:p w14:paraId="163CE625" w14:textId="77777777" w:rsidR="00CD7542" w:rsidRDefault="00CD7542" w:rsidP="002F7585">
            <w:pPr>
              <w:pStyle w:val="TableHeading"/>
            </w:pPr>
            <w:r>
              <w:t>Detail</w:t>
            </w:r>
          </w:p>
        </w:tc>
      </w:tr>
      <w:tr w:rsidR="00CD7542" w:rsidRPr="00767D48" w14:paraId="4C18FD28" w14:textId="77777777" w:rsidTr="002F7585">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2CFEF565" w14:textId="77777777" w:rsidR="00CD7542" w:rsidRPr="00767D48" w:rsidRDefault="00CD7542" w:rsidP="002F7585">
            <w:pPr>
              <w:pStyle w:val="TableBodyText"/>
              <w:jc w:val="center"/>
              <w:rPr>
                <w:b/>
                <w:color w:val="FFFFFF" w:themeColor="background1"/>
              </w:rPr>
            </w:pPr>
            <w:r w:rsidRPr="00767D48">
              <w:rPr>
                <w:b/>
                <w:color w:val="FFFFFF" w:themeColor="background1"/>
              </w:rPr>
              <w:t>Operational Transfer</w:t>
            </w:r>
          </w:p>
        </w:tc>
      </w:tr>
      <w:tr w:rsidR="00CD7542" w14:paraId="1B1F3D62"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14:paraId="75B4BCB9" w14:textId="77777777" w:rsidR="00CD7542" w:rsidRDefault="00CD7542" w:rsidP="002F7585">
            <w:pPr>
              <w:pStyle w:val="TableBodyText"/>
              <w:spacing w:after="80"/>
            </w:pPr>
            <w:r>
              <w:t>Contracts to be standardised</w:t>
            </w:r>
          </w:p>
        </w:tc>
        <w:tc>
          <w:tcPr>
            <w:tcW w:w="4336" w:type="pct"/>
            <w:tcBorders>
              <w:top w:val="single" w:sz="4" w:space="0" w:color="auto"/>
              <w:left w:val="single" w:sz="4" w:space="0" w:color="auto"/>
              <w:bottom w:val="single" w:sz="4" w:space="0" w:color="auto"/>
              <w:right w:val="nil"/>
            </w:tcBorders>
            <w:shd w:val="clear" w:color="auto" w:fill="auto"/>
            <w:hideMark/>
          </w:tcPr>
          <w:p w14:paraId="31B8F334" w14:textId="77777777" w:rsidR="00CD7542" w:rsidRPr="000A7F5B" w:rsidRDefault="00CD7542" w:rsidP="002F7585">
            <w:pPr>
              <w:pStyle w:val="TableBullet1"/>
              <w:spacing w:after="80" w:line="245" w:lineRule="auto"/>
              <w:rPr>
                <w:rFonts w:asciiTheme="majorHAnsi" w:eastAsiaTheme="majorEastAsia" w:hAnsiTheme="majorHAnsi" w:cstheme="majorHAnsi"/>
                <w:szCs w:val="18"/>
              </w:rPr>
            </w:pPr>
            <w:r>
              <w:rPr>
                <w:rFonts w:asciiTheme="majorHAnsi" w:hAnsiTheme="majorHAnsi" w:cstheme="majorHAnsi"/>
                <w:szCs w:val="18"/>
              </w:rPr>
              <w:t>An o</w:t>
            </w:r>
            <w:r w:rsidRPr="000A7F5B">
              <w:rPr>
                <w:rFonts w:asciiTheme="majorHAnsi" w:hAnsiTheme="majorHAnsi" w:cstheme="majorHAnsi"/>
                <w:szCs w:val="18"/>
              </w:rPr>
              <w:t>perational transfer</w:t>
            </w:r>
            <w:r>
              <w:rPr>
                <w:rFonts w:asciiTheme="majorHAnsi" w:hAnsiTheme="majorHAnsi" w:cstheme="majorHAnsi"/>
                <w:szCs w:val="18"/>
              </w:rPr>
              <w:t xml:space="preserve"> is to </w:t>
            </w:r>
            <w:r w:rsidRPr="000A7F5B">
              <w:rPr>
                <w:rFonts w:asciiTheme="majorHAnsi" w:hAnsiTheme="majorHAnsi" w:cstheme="majorHAnsi"/>
                <w:szCs w:val="18"/>
              </w:rPr>
              <w:t>be used to give effect to capacity purchased through the capacity trading platform, the day-ahead auction and bilateral trades where the buyer elects to use an operational transfer.</w:t>
            </w:r>
            <w:r w:rsidRPr="000A7F5B">
              <w:rPr>
                <w:rFonts w:asciiTheme="majorHAnsi" w:eastAsiaTheme="majorEastAsia" w:hAnsiTheme="majorHAnsi" w:cstheme="majorHAnsi"/>
                <w:szCs w:val="18"/>
              </w:rPr>
              <w:t xml:space="preserve"> </w:t>
            </w:r>
          </w:p>
          <w:p w14:paraId="1F56DE3F" w14:textId="77777777" w:rsidR="00CD7542" w:rsidRPr="000A7F5B" w:rsidRDefault="00CD7542" w:rsidP="002F7585">
            <w:pPr>
              <w:pStyle w:val="TableBullet1"/>
              <w:spacing w:after="80" w:line="245" w:lineRule="auto"/>
              <w:rPr>
                <w:rFonts w:asciiTheme="majorHAnsi" w:hAnsiTheme="majorHAnsi" w:cstheme="majorHAnsi"/>
                <w:color w:val="000000"/>
                <w:szCs w:val="18"/>
              </w:rPr>
            </w:pPr>
            <w:r>
              <w:rPr>
                <w:rFonts w:asciiTheme="majorHAnsi" w:eastAsiaTheme="majorEastAsia" w:hAnsiTheme="majorHAnsi" w:cstheme="majorHAnsi"/>
                <w:szCs w:val="18"/>
              </w:rPr>
              <w:t>A b</w:t>
            </w:r>
            <w:r w:rsidRPr="000A7F5B">
              <w:rPr>
                <w:rFonts w:asciiTheme="majorHAnsi" w:eastAsiaTheme="majorEastAsia" w:hAnsiTheme="majorHAnsi" w:cstheme="majorHAnsi"/>
                <w:szCs w:val="18"/>
              </w:rPr>
              <w:t>are transfer</w:t>
            </w:r>
            <w:r>
              <w:rPr>
                <w:rFonts w:asciiTheme="majorHAnsi" w:eastAsiaTheme="majorEastAsia" w:hAnsiTheme="majorHAnsi" w:cstheme="majorHAnsi"/>
                <w:szCs w:val="18"/>
              </w:rPr>
              <w:t xml:space="preserve"> can be used in </w:t>
            </w:r>
            <w:r w:rsidRPr="000A7F5B">
              <w:rPr>
                <w:rFonts w:asciiTheme="majorHAnsi" w:eastAsiaTheme="majorEastAsia" w:hAnsiTheme="majorHAnsi" w:cstheme="majorHAnsi"/>
                <w:szCs w:val="18"/>
              </w:rPr>
              <w:t xml:space="preserve">bilateral trades, subject to the caveat the seller offers the buyer the option of an operational transfer. </w:t>
            </w:r>
          </w:p>
          <w:p w14:paraId="6298CDE2" w14:textId="77777777" w:rsidR="00CD7542" w:rsidRDefault="00CD7542" w:rsidP="002F7585">
            <w:pPr>
              <w:pStyle w:val="TableBodyText"/>
              <w:spacing w:after="80"/>
            </w:pPr>
            <w:r>
              <w:rPr>
                <w:rFonts w:asciiTheme="majorHAnsi" w:hAnsiTheme="majorHAnsi" w:cstheme="majorHAnsi"/>
                <w:szCs w:val="18"/>
              </w:rPr>
              <w:t>The contractual arrangements for operational transfers will be set out in an operational TSA, which may take the form of a stand-alone agreement or form part of a shipper’s primary facility agreement.</w:t>
            </w:r>
          </w:p>
        </w:tc>
      </w:tr>
      <w:tr w:rsidR="00CD7542" w:rsidRPr="00767D48" w14:paraId="62EB90F2" w14:textId="77777777" w:rsidTr="002F7585">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188289C2" w14:textId="77777777" w:rsidR="00CD7542" w:rsidRPr="00767D48" w:rsidRDefault="00CD7542" w:rsidP="002F7585">
            <w:pPr>
              <w:pStyle w:val="TableBodyText"/>
              <w:spacing w:after="80"/>
              <w:jc w:val="center"/>
              <w:rPr>
                <w:b/>
                <w:color w:val="FFFFFF" w:themeColor="background1"/>
              </w:rPr>
            </w:pPr>
            <w:r w:rsidRPr="00767D48">
              <w:rPr>
                <w:b/>
                <w:color w:val="FFFFFF" w:themeColor="background1"/>
              </w:rPr>
              <w:t>Standard operational agreements (a standard form operational TSA)</w:t>
            </w:r>
          </w:p>
        </w:tc>
      </w:tr>
      <w:tr w:rsidR="00CD7542" w14:paraId="484AA297"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14:paraId="022479F8" w14:textId="77777777" w:rsidR="00CD7542" w:rsidRDefault="00CD7542" w:rsidP="002F7585">
            <w:pPr>
              <w:pStyle w:val="TableBodyText"/>
              <w:spacing w:after="80"/>
            </w:pPr>
            <w:r>
              <w:t>Service provider obligations</w:t>
            </w:r>
          </w:p>
        </w:tc>
        <w:tc>
          <w:tcPr>
            <w:tcW w:w="4336" w:type="pct"/>
            <w:tcBorders>
              <w:top w:val="single" w:sz="4" w:space="0" w:color="auto"/>
              <w:left w:val="single" w:sz="4" w:space="0" w:color="auto"/>
              <w:bottom w:val="single" w:sz="4" w:space="0" w:color="auto"/>
              <w:right w:val="nil"/>
            </w:tcBorders>
            <w:shd w:val="clear" w:color="auto" w:fill="auto"/>
            <w:hideMark/>
          </w:tcPr>
          <w:p w14:paraId="4C67E1B4" w14:textId="77777777" w:rsidR="00CD7542" w:rsidRDefault="00CD7542" w:rsidP="002F7585">
            <w:pPr>
              <w:pStyle w:val="TableBodyText"/>
              <w:spacing w:after="80"/>
            </w:pPr>
            <w:r>
              <w:t xml:space="preserve">Subject to the exemptions outlined below, service providers will be required to publish a standard operational agreement for each facility they operate and, </w:t>
            </w:r>
            <w:r>
              <w:rPr>
                <w:lang w:eastAsia="fr-CA"/>
              </w:rPr>
              <w:t>subject to a number of limitations specified in the NGR, service providers will also be required to offer to enter into a standard operational agreement if requested to do so by a prospective secondary shipper.</w:t>
            </w:r>
          </w:p>
        </w:tc>
      </w:tr>
      <w:tr w:rsidR="00CD7542" w14:paraId="5202EA38" w14:textId="77777777" w:rsidTr="002F7585">
        <w:tc>
          <w:tcPr>
            <w:tcW w:w="664" w:type="pct"/>
            <w:tcBorders>
              <w:top w:val="single" w:sz="4" w:space="0" w:color="auto"/>
              <w:left w:val="nil"/>
              <w:bottom w:val="single" w:sz="4" w:space="0" w:color="auto"/>
              <w:right w:val="single" w:sz="4" w:space="0" w:color="auto"/>
            </w:tcBorders>
            <w:shd w:val="clear" w:color="auto" w:fill="auto"/>
            <w:hideMark/>
          </w:tcPr>
          <w:p w14:paraId="724C506C" w14:textId="77777777" w:rsidR="00CD7542" w:rsidRDefault="00CD7542" w:rsidP="002F7585">
            <w:pPr>
              <w:pStyle w:val="TableBodyText"/>
              <w:spacing w:after="80"/>
            </w:pPr>
            <w:r>
              <w:t>Contents of a standard operational agreement and compliance monitoring</w:t>
            </w:r>
          </w:p>
        </w:tc>
        <w:tc>
          <w:tcPr>
            <w:tcW w:w="4336" w:type="pct"/>
            <w:tcBorders>
              <w:top w:val="single" w:sz="4" w:space="0" w:color="auto"/>
              <w:left w:val="single" w:sz="4" w:space="0" w:color="auto"/>
              <w:bottom w:val="single" w:sz="4" w:space="0" w:color="auto"/>
              <w:right w:val="nil"/>
            </w:tcBorders>
            <w:shd w:val="clear" w:color="auto" w:fill="auto"/>
            <w:hideMark/>
          </w:tcPr>
          <w:p w14:paraId="74B629B4" w14:textId="77777777" w:rsidR="00CD7542" w:rsidRDefault="00CD7542" w:rsidP="002F7585">
            <w:pPr>
              <w:pStyle w:val="TableBodyText"/>
              <w:spacing w:after="80"/>
            </w:pPr>
            <w:r>
              <w:t>The standard operational agreement must incorporate the standard terms in the Code and facility specific terms applicable to the facility. While service providers will have some discretion in relation to the facility specific terms, the terms must:</w:t>
            </w:r>
          </w:p>
          <w:p w14:paraId="0B6AE2F1" w14:textId="77777777" w:rsidR="00CD7542" w:rsidRDefault="00CD7542" w:rsidP="00CD7542">
            <w:pPr>
              <w:pStyle w:val="TableBullet1"/>
              <w:numPr>
                <w:ilvl w:val="0"/>
                <w:numId w:val="21"/>
              </w:numPr>
              <w:spacing w:after="80"/>
              <w:rPr>
                <w:lang w:eastAsia="fr-CA"/>
              </w:rPr>
            </w:pPr>
            <w:r>
              <w:rPr>
                <w:lang w:eastAsia="fr-CA"/>
              </w:rPr>
              <w:t>be consistent with the Code objective (i.e. to provide for operational transportation services on reasonable terms, which is taken to mean at prices and on other terms and conditions that, so far as practical, reflect the outcomes of a workably competitive market), and the NGR; and</w:t>
            </w:r>
          </w:p>
          <w:p w14:paraId="1E90F778" w14:textId="77777777" w:rsidR="00CD7542" w:rsidRDefault="00CD7542" w:rsidP="00CD7542">
            <w:pPr>
              <w:pStyle w:val="TableBullet1"/>
              <w:numPr>
                <w:ilvl w:val="0"/>
                <w:numId w:val="21"/>
              </w:numPr>
              <w:spacing w:after="80"/>
              <w:rPr>
                <w:lang w:eastAsia="fr-CA"/>
              </w:rPr>
            </w:pPr>
            <w:r>
              <w:rPr>
                <w:lang w:eastAsia="fr-CA"/>
              </w:rPr>
              <w:t xml:space="preserve">give effect to facility specific requirements in the Code and the auction service priority principles in the NGR. </w:t>
            </w:r>
          </w:p>
          <w:p w14:paraId="3A7267BF" w14:textId="77777777" w:rsidR="00CD7542" w:rsidRDefault="00CD7542" w:rsidP="002F7585">
            <w:pPr>
              <w:pStyle w:val="TableBodyText"/>
              <w:spacing w:after="80"/>
            </w:pPr>
            <w:r>
              <w:t>Under the NGR</w:t>
            </w:r>
            <w:r w:rsidR="006A1208">
              <w:t>,</w:t>
            </w:r>
            <w:r>
              <w:t xml:space="preserve"> the AER will have the power to assess the compliance of a service provider’s standard operational agreement with the NGR and the Code, either of its own volition or in response to a concern raised by a shipper. The AER will also have the power to require changes to the standard operational agreement if it finds the provisions are inconsistent with the Code or the NGR.</w:t>
            </w:r>
          </w:p>
        </w:tc>
      </w:tr>
      <w:tr w:rsidR="00CD7542" w14:paraId="6D9F0CBA"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hideMark/>
          </w:tcPr>
          <w:p w14:paraId="54E04C65" w14:textId="77777777" w:rsidR="00CD7542" w:rsidRDefault="00CD7542" w:rsidP="002F7585">
            <w:pPr>
              <w:pStyle w:val="TableBodyText"/>
              <w:spacing w:after="80"/>
              <w:rPr>
                <w:highlight w:val="yellow"/>
              </w:rPr>
            </w:pPr>
            <w:r>
              <w:t>Exemptions</w:t>
            </w:r>
          </w:p>
        </w:tc>
        <w:tc>
          <w:tcPr>
            <w:tcW w:w="4336" w:type="pct"/>
            <w:tcBorders>
              <w:top w:val="single" w:sz="4" w:space="0" w:color="auto"/>
              <w:left w:val="single" w:sz="4" w:space="0" w:color="auto"/>
              <w:bottom w:val="single" w:sz="4" w:space="0" w:color="auto"/>
              <w:right w:val="nil"/>
            </w:tcBorders>
            <w:hideMark/>
          </w:tcPr>
          <w:p w14:paraId="3BDFA7AB" w14:textId="77777777" w:rsidR="00CD7542" w:rsidRDefault="00CD7542" w:rsidP="002F7585">
            <w:pPr>
              <w:pStyle w:val="TableBodyText"/>
              <w:spacing w:after="80"/>
            </w:pPr>
            <w:r>
              <w:t>Automatic exemptions from the obligation to publish a standard operational agreement will be available to distribution pipelines, the DTS and compression facilities that are not used to transport gas between a transmission pipeline operating at lower pressure and a transmission pipeline operating at a higher pressure to facilitate the flow of gas between points on these different pipelines. Service providers can also seek an exemption from the AER if their transportation facility:</w:t>
            </w:r>
          </w:p>
          <w:p w14:paraId="0E3010F5" w14:textId="77777777" w:rsidR="00CD7542" w:rsidRDefault="00CD7542" w:rsidP="003C2D90">
            <w:pPr>
              <w:pStyle w:val="TableBullet1"/>
              <w:numPr>
                <w:ilvl w:val="0"/>
                <w:numId w:val="21"/>
              </w:numPr>
              <w:spacing w:after="80"/>
              <w:rPr>
                <w:lang w:eastAsia="fr-CA"/>
              </w:rPr>
            </w:pPr>
            <w:r>
              <w:rPr>
                <w:lang w:eastAsia="fr-CA"/>
              </w:rPr>
              <w:t>is not providing third party access;</w:t>
            </w:r>
          </w:p>
          <w:p w14:paraId="65074591" w14:textId="77777777" w:rsidR="00CD7542" w:rsidRDefault="00CD7542" w:rsidP="003C2D90">
            <w:pPr>
              <w:pStyle w:val="TableBullet1"/>
              <w:numPr>
                <w:ilvl w:val="0"/>
                <w:numId w:val="21"/>
              </w:numPr>
              <w:spacing w:after="80"/>
              <w:rPr>
                <w:lang w:eastAsia="fr-CA"/>
              </w:rPr>
            </w:pPr>
            <w:r>
              <w:rPr>
                <w:lang w:eastAsia="fr-CA"/>
              </w:rPr>
              <w:t>has a nameplate capacity rating less than 10 TJ/day; or</w:t>
            </w:r>
          </w:p>
          <w:p w14:paraId="6304BF37" w14:textId="77777777" w:rsidR="00CD7542" w:rsidRDefault="00CD7542" w:rsidP="003C2D90">
            <w:pPr>
              <w:pStyle w:val="TableBullet1"/>
              <w:numPr>
                <w:ilvl w:val="0"/>
                <w:numId w:val="21"/>
              </w:numPr>
              <w:spacing w:after="80"/>
              <w:rPr>
                <w:lang w:eastAsia="fr-CA"/>
              </w:rPr>
            </w:pPr>
            <w:r>
              <w:rPr>
                <w:lang w:eastAsia="fr-CA"/>
              </w:rPr>
              <w:t xml:space="preserve">is servicing a single </w:t>
            </w:r>
            <w:r w:rsidR="001D776E">
              <w:rPr>
                <w:lang w:eastAsia="fr-CA"/>
              </w:rPr>
              <w:t>shipper</w:t>
            </w:r>
            <w:r>
              <w:rPr>
                <w:lang w:eastAsia="fr-CA"/>
              </w:rPr>
              <w:t>.</w:t>
            </w:r>
          </w:p>
          <w:p w14:paraId="48287E44" w14:textId="77777777" w:rsidR="00CD7542" w:rsidRDefault="00CD7542" w:rsidP="002F7585">
            <w:pPr>
              <w:pStyle w:val="TableBodyText"/>
              <w:spacing w:after="80"/>
            </w:pPr>
            <w:r>
              <w:t>Note that the latter two exemption categories are subject to a condition that if a prospective shipper asks to enter into a standard operational agreement, the service provider must prepare such an agreement within 60 business days of the request and also offer to enter into the agreement.</w:t>
            </w:r>
          </w:p>
          <w:p w14:paraId="5480D603" w14:textId="77777777" w:rsidR="00CD7542" w:rsidRDefault="00CD7542" w:rsidP="002F7585">
            <w:pPr>
              <w:pStyle w:val="TableBodyText"/>
              <w:spacing w:after="80"/>
            </w:pPr>
            <w:r>
              <w:t>If a facility cannot obtain an exemption or the exemption is revoked, it will be considered a Part 24 facility and subject to the obligation to publish the standard operational agreement and the day-ahead auction (see Chapter 5). It must also register with AEMO.</w:t>
            </w:r>
          </w:p>
        </w:tc>
      </w:tr>
      <w:tr w:rsidR="00CD7542" w14:paraId="5198813E" w14:textId="77777777" w:rsidTr="002F7585">
        <w:tc>
          <w:tcPr>
            <w:tcW w:w="664" w:type="pct"/>
            <w:tcBorders>
              <w:top w:val="single" w:sz="4" w:space="0" w:color="auto"/>
              <w:left w:val="nil"/>
              <w:bottom w:val="single" w:sz="4" w:space="0" w:color="auto"/>
              <w:right w:val="single" w:sz="4" w:space="0" w:color="auto"/>
            </w:tcBorders>
            <w:shd w:val="clear" w:color="auto" w:fill="auto"/>
          </w:tcPr>
          <w:p w14:paraId="09B81B08" w14:textId="77777777" w:rsidR="00CD7542" w:rsidRDefault="00CD7542" w:rsidP="002F7585">
            <w:pPr>
              <w:pStyle w:val="TableBodyText"/>
              <w:spacing w:after="80"/>
            </w:pPr>
            <w:r>
              <w:lastRenderedPageBreak/>
              <w:t>Service provider costs</w:t>
            </w:r>
          </w:p>
        </w:tc>
        <w:tc>
          <w:tcPr>
            <w:tcW w:w="4336" w:type="pct"/>
            <w:tcBorders>
              <w:top w:val="single" w:sz="4" w:space="0" w:color="auto"/>
              <w:left w:val="single" w:sz="4" w:space="0" w:color="auto"/>
              <w:bottom w:val="single" w:sz="4" w:space="0" w:color="auto"/>
              <w:right w:val="nil"/>
            </w:tcBorders>
            <w:shd w:val="clear" w:color="auto" w:fill="auto"/>
          </w:tcPr>
          <w:p w14:paraId="76F1C544" w14:textId="77777777" w:rsidR="00CD7542" w:rsidRDefault="00CD7542" w:rsidP="002F7585">
            <w:pPr>
              <w:pStyle w:val="TableBodyText"/>
              <w:spacing w:after="80"/>
              <w:rPr>
                <w:rFonts w:asciiTheme="majorHAnsi" w:hAnsiTheme="majorHAnsi" w:cstheme="majorHAnsi"/>
              </w:rPr>
            </w:pPr>
            <w:r>
              <w:rPr>
                <w:rFonts w:asciiTheme="majorHAnsi" w:hAnsiTheme="majorHAnsi" w:cstheme="majorHAnsi"/>
              </w:rPr>
              <w:t xml:space="preserve">Provision will be made in the NGR for service providers to have a reasonable opportunity to recover the incremental costs associated with establishing and maintaining standard operational agreements and the systems and processes required to comply with its obligations under the NGR and the Capacity Transfer and Auction Procedures (jointly referred to as ‘standardisation costs’), subject to the caveat that the costs must not be recovered more than once and any auction revenue must be treated as a contribution to cost recovery. </w:t>
            </w:r>
          </w:p>
          <w:p w14:paraId="3429A6DB" w14:textId="183B5CAB" w:rsidR="00CD7542" w:rsidRDefault="00CD7542" w:rsidP="002F7585">
            <w:pPr>
              <w:pStyle w:val="TableBodyText"/>
              <w:spacing w:after="80"/>
              <w:rPr>
                <w:rFonts w:asciiTheme="majorHAnsi" w:hAnsiTheme="majorHAnsi" w:cstheme="majorHAnsi"/>
              </w:rPr>
            </w:pPr>
            <w:r>
              <w:rPr>
                <w:rFonts w:asciiTheme="majorHAnsi" w:hAnsiTheme="majorHAnsi" w:cstheme="majorHAnsi"/>
              </w:rPr>
              <w:t>The NGR will also require that any charges levied by service providers as far as practicable reflect the outcomes of a workably competitive market</w:t>
            </w:r>
            <w:r w:rsidR="00793CE9">
              <w:rPr>
                <w:rFonts w:asciiTheme="majorHAnsi" w:hAnsiTheme="majorHAnsi" w:cstheme="majorHAnsi"/>
              </w:rPr>
              <w:t>;</w:t>
            </w:r>
            <w:r>
              <w:rPr>
                <w:rFonts w:asciiTheme="majorHAnsi" w:hAnsiTheme="majorHAnsi" w:cstheme="majorHAnsi"/>
              </w:rPr>
              <w:t xml:space="preserve"> allocate the costs among shippers in a reasonable manner; and provide for the recovery of costs over time in a manner that promotes efficient trade in, and utilisation of, capacity. </w:t>
            </w:r>
          </w:p>
          <w:p w14:paraId="3CF301CA" w14:textId="77777777" w:rsidR="00CD7542" w:rsidRPr="00242165" w:rsidRDefault="00CD7542" w:rsidP="002F7585">
            <w:pPr>
              <w:pStyle w:val="TableBodyText"/>
              <w:spacing w:after="0"/>
              <w:rPr>
                <w:rFonts w:asciiTheme="majorHAnsi" w:hAnsiTheme="majorHAnsi" w:cstheme="majorHAnsi"/>
              </w:rPr>
            </w:pPr>
            <w:r w:rsidRPr="00624B98">
              <w:rPr>
                <w:rFonts w:asciiTheme="majorHAnsi" w:hAnsiTheme="majorHAnsi" w:cstheme="majorHAnsi"/>
                <w:szCs w:val="18"/>
              </w:rPr>
              <w:t xml:space="preserve">To impose </w:t>
            </w:r>
            <w:r>
              <w:rPr>
                <w:rFonts w:asciiTheme="majorHAnsi" w:hAnsiTheme="majorHAnsi" w:cstheme="majorHAnsi"/>
                <w:szCs w:val="18"/>
              </w:rPr>
              <w:t xml:space="preserve">some discipline </w:t>
            </w:r>
            <w:r w:rsidRPr="00624B98">
              <w:rPr>
                <w:rFonts w:asciiTheme="majorHAnsi" w:hAnsiTheme="majorHAnsi" w:cstheme="majorHAnsi"/>
                <w:szCs w:val="18"/>
              </w:rPr>
              <w:t xml:space="preserve">on service providers, the AER </w:t>
            </w:r>
            <w:r>
              <w:rPr>
                <w:rFonts w:asciiTheme="majorHAnsi" w:hAnsiTheme="majorHAnsi" w:cstheme="majorHAnsi"/>
                <w:szCs w:val="18"/>
              </w:rPr>
              <w:t xml:space="preserve">will have </w:t>
            </w:r>
            <w:r w:rsidRPr="00624B98">
              <w:rPr>
                <w:rFonts w:asciiTheme="majorHAnsi" w:hAnsiTheme="majorHAnsi" w:cstheme="majorHAnsi"/>
                <w:szCs w:val="18"/>
              </w:rPr>
              <w:t>the power to</w:t>
            </w:r>
            <w:r>
              <w:rPr>
                <w:rFonts w:asciiTheme="majorHAnsi" w:hAnsiTheme="majorHAnsi" w:cstheme="majorHAnsi"/>
                <w:szCs w:val="18"/>
              </w:rPr>
              <w:t xml:space="preserve"> </w:t>
            </w:r>
            <w:r w:rsidRPr="00624B98">
              <w:rPr>
                <w:rFonts w:asciiTheme="majorHAnsi" w:hAnsiTheme="majorHAnsi" w:cstheme="majorHAnsi"/>
                <w:szCs w:val="18"/>
              </w:rPr>
              <w:t xml:space="preserve">conduct </w:t>
            </w:r>
            <w:r>
              <w:rPr>
                <w:rFonts w:asciiTheme="majorHAnsi" w:hAnsiTheme="majorHAnsi" w:cstheme="majorHAnsi"/>
                <w:szCs w:val="18"/>
              </w:rPr>
              <w:t xml:space="preserve">a </w:t>
            </w:r>
            <w:r w:rsidRPr="00624B98">
              <w:rPr>
                <w:rFonts w:asciiTheme="majorHAnsi" w:hAnsiTheme="majorHAnsi" w:cstheme="majorHAnsi"/>
                <w:szCs w:val="18"/>
              </w:rPr>
              <w:t>review of a service provider’s charges and require amendments if it finds that they do not comply with the principle</w:t>
            </w:r>
            <w:r>
              <w:rPr>
                <w:rFonts w:asciiTheme="majorHAnsi" w:hAnsiTheme="majorHAnsi" w:cstheme="majorHAnsi"/>
                <w:szCs w:val="18"/>
              </w:rPr>
              <w:t>s</w:t>
            </w:r>
            <w:r w:rsidRPr="00624B98">
              <w:rPr>
                <w:rFonts w:asciiTheme="majorHAnsi" w:hAnsiTheme="majorHAnsi" w:cstheme="majorHAnsi"/>
                <w:szCs w:val="18"/>
              </w:rPr>
              <w:t xml:space="preserve"> </w:t>
            </w:r>
            <w:r>
              <w:rPr>
                <w:rFonts w:asciiTheme="majorHAnsi" w:hAnsiTheme="majorHAnsi" w:cstheme="majorHAnsi"/>
                <w:szCs w:val="18"/>
              </w:rPr>
              <w:t>in the NGR</w:t>
            </w:r>
            <w:r w:rsidRPr="00624B98">
              <w:rPr>
                <w:rFonts w:asciiTheme="majorHAnsi" w:hAnsiTheme="majorHAnsi" w:cstheme="majorHAnsi"/>
                <w:szCs w:val="18"/>
              </w:rPr>
              <w:t>.</w:t>
            </w:r>
            <w:r>
              <w:rPr>
                <w:rFonts w:asciiTheme="majorHAnsi" w:hAnsiTheme="majorHAnsi" w:cstheme="majorHAnsi"/>
                <w:szCs w:val="18"/>
              </w:rPr>
              <w:t xml:space="preserve"> </w:t>
            </w:r>
          </w:p>
        </w:tc>
      </w:tr>
      <w:tr w:rsidR="00CD7542" w14:paraId="31500719"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tcPr>
          <w:p w14:paraId="62A2FFB6" w14:textId="77777777" w:rsidR="00CD7542" w:rsidRDefault="00CD7542" w:rsidP="002F7585">
            <w:pPr>
              <w:pStyle w:val="TableBodyText"/>
              <w:spacing w:after="80"/>
            </w:pPr>
            <w:r>
              <w:t>Governance arrangements for the standard operational agreement</w:t>
            </w:r>
          </w:p>
        </w:tc>
        <w:tc>
          <w:tcPr>
            <w:tcW w:w="4336" w:type="pct"/>
            <w:tcBorders>
              <w:top w:val="single" w:sz="4" w:space="0" w:color="auto"/>
              <w:left w:val="single" w:sz="4" w:space="0" w:color="auto"/>
              <w:bottom w:val="single" w:sz="4" w:space="0" w:color="auto"/>
              <w:right w:val="nil"/>
            </w:tcBorders>
            <w:shd w:val="clear" w:color="auto" w:fill="auto"/>
          </w:tcPr>
          <w:p w14:paraId="2238E14E" w14:textId="77777777" w:rsidR="00CD7542" w:rsidRDefault="00CD7542" w:rsidP="002F7585">
            <w:pPr>
              <w:pStyle w:val="TableBullet1"/>
              <w:spacing w:after="80" w:line="252" w:lineRule="auto"/>
              <w:ind w:left="85"/>
              <w:rPr>
                <w:rFonts w:asciiTheme="majorHAnsi" w:hAnsiTheme="majorHAnsi" w:cstheme="majorHAnsi"/>
                <w:szCs w:val="18"/>
              </w:rPr>
            </w:pPr>
            <w:r w:rsidRPr="00FA400C">
              <w:rPr>
                <w:rFonts w:asciiTheme="majorHAnsi" w:hAnsiTheme="majorHAnsi" w:cstheme="majorHAnsi"/>
                <w:szCs w:val="18"/>
              </w:rPr>
              <w:t xml:space="preserve">The standard </w:t>
            </w:r>
            <w:r>
              <w:rPr>
                <w:rFonts w:asciiTheme="majorHAnsi" w:hAnsiTheme="majorHAnsi" w:cstheme="majorHAnsi"/>
                <w:szCs w:val="18"/>
              </w:rPr>
              <w:t xml:space="preserve">operational agreement must comply with the Code, which is a new instrument developed under the NGL/NGR: The objective of the Code and the matters that must be dealt with in the Code will be set out in the NGR. The Code must contain: </w:t>
            </w:r>
          </w:p>
          <w:p w14:paraId="7B282E4C" w14:textId="77777777" w:rsidR="00CD7542" w:rsidRDefault="00CD7542" w:rsidP="003C2D90">
            <w:pPr>
              <w:pStyle w:val="TableBullet1"/>
              <w:numPr>
                <w:ilvl w:val="0"/>
                <w:numId w:val="21"/>
              </w:numPr>
              <w:spacing w:after="80"/>
              <w:rPr>
                <w:lang w:eastAsia="fr-CA"/>
              </w:rPr>
            </w:pPr>
            <w:r>
              <w:rPr>
                <w:lang w:eastAsia="fr-CA"/>
              </w:rPr>
              <w:t xml:space="preserve">a description of the standard operational transportation services and the terms and conditions for the provision and use of those services, </w:t>
            </w:r>
          </w:p>
          <w:p w14:paraId="4F8505F4" w14:textId="77777777" w:rsidR="00CD7542" w:rsidRDefault="00CD7542" w:rsidP="003C2D90">
            <w:pPr>
              <w:pStyle w:val="TableBullet1"/>
              <w:numPr>
                <w:ilvl w:val="0"/>
                <w:numId w:val="21"/>
              </w:numPr>
              <w:spacing w:after="80"/>
              <w:rPr>
                <w:lang w:eastAsia="fr-CA"/>
              </w:rPr>
            </w:pPr>
            <w:r>
              <w:rPr>
                <w:lang w:eastAsia="fr-CA"/>
              </w:rPr>
              <w:t xml:space="preserve">a description of, and requirements for, facility specific terms; and </w:t>
            </w:r>
          </w:p>
          <w:p w14:paraId="3D4254A8" w14:textId="77777777" w:rsidR="00CD7542" w:rsidRDefault="00CD7542" w:rsidP="003C2D90">
            <w:pPr>
              <w:pStyle w:val="TableBullet1"/>
              <w:numPr>
                <w:ilvl w:val="0"/>
                <w:numId w:val="21"/>
              </w:numPr>
              <w:spacing w:after="80"/>
              <w:rPr>
                <w:lang w:eastAsia="fr-CA"/>
              </w:rPr>
            </w:pPr>
            <w:r>
              <w:rPr>
                <w:lang w:eastAsia="fr-CA"/>
              </w:rPr>
              <w:t xml:space="preserve">a form of agreement for execution by the parties. </w:t>
            </w:r>
          </w:p>
          <w:p w14:paraId="34B683E7" w14:textId="77777777" w:rsidR="00CD7542" w:rsidRPr="00FA400C" w:rsidRDefault="00CD7542" w:rsidP="002F7585">
            <w:pPr>
              <w:pStyle w:val="TableBullet1"/>
              <w:spacing w:after="80" w:line="252" w:lineRule="auto"/>
              <w:ind w:left="85"/>
              <w:rPr>
                <w:rFonts w:asciiTheme="majorHAnsi" w:hAnsiTheme="majorHAnsi" w:cstheme="majorHAnsi"/>
                <w:szCs w:val="18"/>
              </w:rPr>
            </w:pPr>
            <w:r>
              <w:rPr>
                <w:rFonts w:asciiTheme="majorHAnsi" w:hAnsiTheme="majorHAnsi" w:cstheme="majorHAnsi"/>
                <w:szCs w:val="18"/>
              </w:rPr>
              <w:t xml:space="preserve">A draft Code has been prepared and will be consulted on as part of this process. </w:t>
            </w:r>
            <w:r w:rsidRPr="00FA400C">
              <w:rPr>
                <w:rFonts w:asciiTheme="majorHAnsi" w:hAnsiTheme="majorHAnsi" w:cstheme="majorHAnsi"/>
                <w:szCs w:val="18"/>
              </w:rPr>
              <w:t>Once the initial Code is made it will be subject to a hybrid governance model</w:t>
            </w:r>
            <w:r>
              <w:rPr>
                <w:rFonts w:asciiTheme="majorHAnsi" w:hAnsiTheme="majorHAnsi" w:cstheme="majorHAnsi"/>
                <w:szCs w:val="18"/>
              </w:rPr>
              <w:t xml:space="preserve"> (see section 3.2)</w:t>
            </w:r>
            <w:r w:rsidRPr="00FA400C">
              <w:rPr>
                <w:rFonts w:asciiTheme="majorHAnsi" w:hAnsiTheme="majorHAnsi" w:cstheme="majorHAnsi"/>
                <w:szCs w:val="18"/>
              </w:rPr>
              <w:t>, which will involve the following:</w:t>
            </w:r>
          </w:p>
          <w:p w14:paraId="58EF0AB6" w14:textId="77777777" w:rsidR="00CD7542" w:rsidRPr="003C2D90" w:rsidRDefault="00CD7542" w:rsidP="003C2D90">
            <w:pPr>
              <w:pStyle w:val="TableBullet1"/>
              <w:numPr>
                <w:ilvl w:val="0"/>
                <w:numId w:val="21"/>
              </w:numPr>
              <w:spacing w:after="80"/>
              <w:rPr>
                <w:lang w:eastAsia="fr-CA"/>
              </w:rPr>
            </w:pPr>
            <w:r w:rsidRPr="003C2D90">
              <w:rPr>
                <w:lang w:eastAsia="fr-CA"/>
              </w:rPr>
              <w:t>An industry Panel (the OTS Code Panel), chaired by AEMO and comprising two service providers and two shippers (including one large user of gas), will consider changes to the Code and provide their recommendations to the AER on the proposed changes.</w:t>
            </w:r>
          </w:p>
          <w:p w14:paraId="657AC121" w14:textId="77777777" w:rsidR="00CD7542" w:rsidRPr="00767D48" w:rsidRDefault="00CD7542" w:rsidP="003C2D90">
            <w:pPr>
              <w:pStyle w:val="TableBullet1"/>
              <w:numPr>
                <w:ilvl w:val="0"/>
                <w:numId w:val="21"/>
              </w:numPr>
              <w:spacing w:after="80"/>
              <w:rPr>
                <w:rFonts w:asciiTheme="majorHAnsi" w:hAnsiTheme="majorHAnsi" w:cstheme="majorHAnsi"/>
                <w:szCs w:val="18"/>
              </w:rPr>
            </w:pPr>
            <w:r w:rsidRPr="003C2D90">
              <w:rPr>
                <w:lang w:eastAsia="fr-CA"/>
              </w:rPr>
              <w:t xml:space="preserve">Changes recommended by the OTS Code Panel will only take effect if approved by the AER.  In deciding whether to approve the changes, the AER must </w:t>
            </w:r>
            <w:r w:rsidR="001D776E" w:rsidRPr="003C2D90">
              <w:rPr>
                <w:lang w:eastAsia="fr-CA"/>
              </w:rPr>
              <w:t>consider</w:t>
            </w:r>
            <w:r w:rsidRPr="003C2D90">
              <w:rPr>
                <w:lang w:eastAsia="fr-CA"/>
              </w:rPr>
              <w:t xml:space="preserve"> the Code objective and a number of other principles and matters specified in the NGR. The AER will have the power to approve, reject and remit the proposed change. It will also have the power to amend the Code on its own initiative</w:t>
            </w:r>
            <w:r w:rsidRPr="00793CE9">
              <w:rPr>
                <w:lang w:eastAsia="fr-CA"/>
              </w:rPr>
              <w:t>.</w:t>
            </w:r>
          </w:p>
        </w:tc>
      </w:tr>
      <w:tr w:rsidR="00CD7542" w:rsidRPr="00855E9B" w14:paraId="6DC1FB27" w14:textId="77777777" w:rsidTr="002F7585">
        <w:trPr>
          <w:trHeight w:val="7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662D2A70" w14:textId="77777777" w:rsidR="00CD7542" w:rsidRPr="00855E9B" w:rsidRDefault="00CD7542" w:rsidP="002F7585">
            <w:pPr>
              <w:pStyle w:val="TableBodyText"/>
              <w:spacing w:before="40" w:after="0"/>
              <w:jc w:val="center"/>
              <w:rPr>
                <w:b/>
                <w:color w:val="FFFFFF" w:themeColor="background1"/>
              </w:rPr>
            </w:pPr>
            <w:r w:rsidRPr="00855E9B">
              <w:rPr>
                <w:b/>
                <w:color w:val="FFFFFF" w:themeColor="background1"/>
              </w:rPr>
              <w:t>Measures to overcome contractual limitations on capacity trading</w:t>
            </w:r>
          </w:p>
        </w:tc>
      </w:tr>
      <w:tr w:rsidR="00CD7542" w14:paraId="611497BA"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hideMark/>
          </w:tcPr>
          <w:p w14:paraId="45CCF9A9" w14:textId="77777777" w:rsidR="00CD7542" w:rsidRDefault="00CD7542" w:rsidP="002F7585">
            <w:pPr>
              <w:pStyle w:val="TableBodyText"/>
              <w:spacing w:after="80"/>
            </w:pPr>
            <w:r>
              <w:t>Amending facility agreements</w:t>
            </w:r>
          </w:p>
        </w:tc>
        <w:tc>
          <w:tcPr>
            <w:tcW w:w="4336" w:type="pct"/>
            <w:tcBorders>
              <w:top w:val="single" w:sz="4" w:space="0" w:color="auto"/>
              <w:left w:val="single" w:sz="4" w:space="0" w:color="auto"/>
              <w:bottom w:val="single" w:sz="4" w:space="0" w:color="auto"/>
              <w:right w:val="nil"/>
            </w:tcBorders>
            <w:hideMark/>
          </w:tcPr>
          <w:p w14:paraId="639290D9" w14:textId="77777777" w:rsidR="00CD7542" w:rsidRDefault="00CD7542" w:rsidP="002F7585">
            <w:pPr>
              <w:pStyle w:val="TableBodyText"/>
              <w:spacing w:after="80" w:line="252" w:lineRule="auto"/>
            </w:pPr>
            <w:r>
              <w:rPr>
                <w:rFonts w:asciiTheme="majorHAnsi" w:hAnsiTheme="majorHAnsi" w:cstheme="majorHAnsi"/>
                <w:szCs w:val="18"/>
              </w:rPr>
              <w:t>To ensure that contractual limitations</w:t>
            </w:r>
            <w:r w:rsidRPr="00FA400C">
              <w:rPr>
                <w:rFonts w:asciiTheme="majorHAnsi" w:hAnsiTheme="majorHAnsi" w:cstheme="majorHAnsi"/>
                <w:szCs w:val="18"/>
              </w:rPr>
              <w:t xml:space="preserve"> in </w:t>
            </w:r>
            <w:r>
              <w:rPr>
                <w:rFonts w:asciiTheme="majorHAnsi" w:hAnsiTheme="majorHAnsi" w:cstheme="majorHAnsi"/>
                <w:szCs w:val="18"/>
              </w:rPr>
              <w:t xml:space="preserve">facility agreements (primary facility agreements and operational TSAs) </w:t>
            </w:r>
            <w:r w:rsidRPr="00FA400C">
              <w:rPr>
                <w:rFonts w:asciiTheme="majorHAnsi" w:hAnsiTheme="majorHAnsi" w:cstheme="majorHAnsi"/>
                <w:szCs w:val="18"/>
              </w:rPr>
              <w:t xml:space="preserve">do not act as a barrier to </w:t>
            </w:r>
            <w:r>
              <w:rPr>
                <w:rFonts w:asciiTheme="majorHAnsi" w:hAnsiTheme="majorHAnsi" w:cstheme="majorHAnsi"/>
                <w:szCs w:val="18"/>
              </w:rPr>
              <w:t>trade</w:t>
            </w:r>
            <w:r w:rsidRPr="00FA400C">
              <w:rPr>
                <w:rFonts w:asciiTheme="majorHAnsi" w:hAnsiTheme="majorHAnsi" w:cstheme="majorHAnsi"/>
                <w:szCs w:val="18"/>
              </w:rPr>
              <w:t xml:space="preserve">, </w:t>
            </w:r>
            <w:r>
              <w:rPr>
                <w:rFonts w:asciiTheme="majorHAnsi" w:hAnsiTheme="majorHAnsi" w:cstheme="majorHAnsi"/>
                <w:szCs w:val="18"/>
              </w:rPr>
              <w:t xml:space="preserve">the NGR will require </w:t>
            </w:r>
            <w:r>
              <w:t xml:space="preserve">service providers to provide shippers an amending agreement, within 30 days of a request, that: </w:t>
            </w:r>
          </w:p>
          <w:p w14:paraId="08CBC77A" w14:textId="4B72BB99" w:rsidR="00CD7542" w:rsidRDefault="00CD7542" w:rsidP="00CD7542">
            <w:pPr>
              <w:pStyle w:val="TableBullet1"/>
              <w:numPr>
                <w:ilvl w:val="0"/>
                <w:numId w:val="21"/>
              </w:numPr>
              <w:spacing w:after="80"/>
              <w:rPr>
                <w:lang w:eastAsia="fr-CA"/>
              </w:rPr>
            </w:pPr>
            <w:r>
              <w:rPr>
                <w:lang w:eastAsia="fr-CA"/>
              </w:rPr>
              <w:t>enables the shipper to sell the capacity the subject of the agreement for use under an operational transportation service agreement; and</w:t>
            </w:r>
          </w:p>
          <w:p w14:paraId="0CB0435A" w14:textId="77777777" w:rsidR="00CD7542" w:rsidRDefault="00CD7542" w:rsidP="00CD7542">
            <w:pPr>
              <w:pStyle w:val="TableBullet1"/>
              <w:numPr>
                <w:ilvl w:val="0"/>
                <w:numId w:val="21"/>
              </w:numPr>
              <w:spacing w:after="0"/>
              <w:rPr>
                <w:szCs w:val="18"/>
              </w:rPr>
            </w:pPr>
            <w:r>
              <w:rPr>
                <w:lang w:eastAsia="fr-CA"/>
              </w:rPr>
              <w:t>gives effect to a number of principles in the NGR that are designed to facilitate capacity trading and the auction.</w:t>
            </w:r>
          </w:p>
        </w:tc>
      </w:tr>
      <w:tr w:rsidR="00CD7542" w14:paraId="66067E28" w14:textId="77777777" w:rsidTr="002F7585">
        <w:tc>
          <w:tcPr>
            <w:tcW w:w="664" w:type="pct"/>
            <w:tcBorders>
              <w:top w:val="single" w:sz="4" w:space="0" w:color="auto"/>
              <w:left w:val="nil"/>
              <w:bottom w:val="single" w:sz="4" w:space="0" w:color="auto"/>
              <w:right w:val="single" w:sz="4" w:space="0" w:color="auto"/>
            </w:tcBorders>
            <w:shd w:val="clear" w:color="auto" w:fill="auto"/>
          </w:tcPr>
          <w:p w14:paraId="6E0DB813" w14:textId="77777777" w:rsidR="00CD7542" w:rsidRDefault="00CD7542" w:rsidP="002F7585">
            <w:pPr>
              <w:pStyle w:val="TableBodyText"/>
            </w:pPr>
            <w:r>
              <w:t xml:space="preserve">Receipt and delivery point changes </w:t>
            </w:r>
          </w:p>
        </w:tc>
        <w:tc>
          <w:tcPr>
            <w:tcW w:w="4336" w:type="pct"/>
            <w:tcBorders>
              <w:top w:val="single" w:sz="4" w:space="0" w:color="auto"/>
              <w:left w:val="single" w:sz="4" w:space="0" w:color="auto"/>
              <w:bottom w:val="single" w:sz="4" w:space="0" w:color="auto"/>
              <w:right w:val="nil"/>
            </w:tcBorders>
            <w:shd w:val="clear" w:color="auto" w:fill="auto"/>
            <w:hideMark/>
          </w:tcPr>
          <w:p w14:paraId="1F5B9442" w14:textId="77777777" w:rsidR="00CD7542" w:rsidRDefault="00CD7542" w:rsidP="002F7585">
            <w:pPr>
              <w:pStyle w:val="TableBodyText"/>
              <w:rPr>
                <w:lang w:eastAsia="fr-CA"/>
              </w:rPr>
            </w:pPr>
            <w:r>
              <w:t xml:space="preserve">Provisions will also be included in the NGR to </w:t>
            </w:r>
            <w:r>
              <w:rPr>
                <w:lang w:eastAsia="fr-CA"/>
              </w:rPr>
              <w:t xml:space="preserve">provide shippers and pipeline service providers with greater guidance on: </w:t>
            </w:r>
          </w:p>
          <w:p w14:paraId="17537C6C" w14:textId="3012D004" w:rsidR="00CD7542" w:rsidRDefault="00CD7542" w:rsidP="00F163DB">
            <w:pPr>
              <w:pStyle w:val="TableBullet1"/>
              <w:numPr>
                <w:ilvl w:val="0"/>
                <w:numId w:val="21"/>
              </w:numPr>
              <w:rPr>
                <w:lang w:eastAsia="fr-CA"/>
              </w:rPr>
            </w:pPr>
            <w:r>
              <w:rPr>
                <w:lang w:eastAsia="fr-CA"/>
              </w:rPr>
              <w:t xml:space="preserve">the rights that shippers have to seek a change to their receipt or delivery points (or add a new point) and the circumstances in which a service provider can withhold its consent; </w:t>
            </w:r>
          </w:p>
          <w:p w14:paraId="78D909E8" w14:textId="77777777" w:rsidR="00CD7542" w:rsidRDefault="00CD7542" w:rsidP="00CD7542">
            <w:pPr>
              <w:pStyle w:val="TableBullet1"/>
              <w:numPr>
                <w:ilvl w:val="0"/>
                <w:numId w:val="21"/>
              </w:numPr>
            </w:pPr>
            <w:r>
              <w:rPr>
                <w:lang w:eastAsia="fr-CA"/>
              </w:rPr>
              <w:t>the timeframes within which service providers must respond to a request to change a receipt or delivery point</w:t>
            </w:r>
            <w:r>
              <w:t>; and</w:t>
            </w:r>
          </w:p>
          <w:p w14:paraId="395DFED8" w14:textId="77777777" w:rsidR="00CD7542" w:rsidRPr="009803DE" w:rsidRDefault="00CD7542" w:rsidP="00CD7542">
            <w:pPr>
              <w:pStyle w:val="TableBullet1"/>
              <w:numPr>
                <w:ilvl w:val="0"/>
                <w:numId w:val="21"/>
              </w:numPr>
            </w:pPr>
            <w:r>
              <w:rPr>
                <w:lang w:eastAsia="fr-CA"/>
              </w:rPr>
              <w:t>the charges that service providers can levy for receipt or delivery point changes, which must be reasonable.</w:t>
            </w:r>
          </w:p>
        </w:tc>
      </w:tr>
      <w:tr w:rsidR="00CD7542" w:rsidRPr="009803DE" w14:paraId="2792381F" w14:textId="77777777" w:rsidTr="002F7585">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2222AEA2" w14:textId="77777777" w:rsidR="00CD7542" w:rsidRPr="009803DE" w:rsidRDefault="00CD7542" w:rsidP="002F7585">
            <w:pPr>
              <w:pStyle w:val="TableBodyText"/>
              <w:jc w:val="center"/>
              <w:rPr>
                <w:b/>
                <w:color w:val="FFFFFF" w:themeColor="background1"/>
              </w:rPr>
            </w:pPr>
            <w:r w:rsidRPr="009803DE">
              <w:rPr>
                <w:b/>
                <w:color w:val="FFFFFF" w:themeColor="background1"/>
              </w:rPr>
              <w:lastRenderedPageBreak/>
              <w:t>Transaction support arrangements</w:t>
            </w:r>
          </w:p>
        </w:tc>
      </w:tr>
      <w:tr w:rsidR="00CD7542" w14:paraId="6E066253" w14:textId="77777777" w:rsidTr="002F7585">
        <w:tc>
          <w:tcPr>
            <w:tcW w:w="664" w:type="pct"/>
            <w:tcBorders>
              <w:top w:val="single" w:sz="4" w:space="0" w:color="auto"/>
              <w:left w:val="nil"/>
              <w:bottom w:val="single" w:sz="4" w:space="0" w:color="auto"/>
              <w:right w:val="single" w:sz="4" w:space="0" w:color="auto"/>
            </w:tcBorders>
            <w:shd w:val="clear" w:color="auto" w:fill="E1E2E7" w:themeFill="background2"/>
            <w:hideMark/>
          </w:tcPr>
          <w:p w14:paraId="2F7FCABD" w14:textId="77777777" w:rsidR="00CD7542" w:rsidRPr="00906D38" w:rsidRDefault="00CD7542" w:rsidP="002F7585">
            <w:pPr>
              <w:pStyle w:val="TableBodyText"/>
            </w:pPr>
            <w:r w:rsidRPr="00906D38">
              <w:t>Transaction support arrangements</w:t>
            </w:r>
          </w:p>
        </w:tc>
        <w:tc>
          <w:tcPr>
            <w:tcW w:w="4336" w:type="pct"/>
            <w:tcBorders>
              <w:top w:val="single" w:sz="4" w:space="0" w:color="auto"/>
              <w:left w:val="single" w:sz="4" w:space="0" w:color="auto"/>
              <w:bottom w:val="single" w:sz="4" w:space="0" w:color="auto"/>
              <w:right w:val="nil"/>
            </w:tcBorders>
            <w:shd w:val="clear" w:color="auto" w:fill="E1E2E7" w:themeFill="background2"/>
            <w:hideMark/>
          </w:tcPr>
          <w:p w14:paraId="54918774" w14:textId="77777777" w:rsidR="00CD7542" w:rsidRPr="00906D38" w:rsidRDefault="00CD7542" w:rsidP="002F7585">
            <w:pPr>
              <w:pStyle w:val="TableBodyText"/>
            </w:pPr>
            <w:r w:rsidRPr="00906D38">
              <w:t>To facilitate trade conducted through the exchange and the auction, service providers will be required to comply with the transaction support arrangemen</w:t>
            </w:r>
            <w:r>
              <w:t>t</w:t>
            </w:r>
            <w:r w:rsidRPr="00906D38">
              <w:t>s in the Capacity Transfer and Auction Procedures. Among other things, these arrangements will set out the process, form and timing of the exchanges of information between AEMO and service providers, the validation process and the circumstances in which service providers can decline to give effect to a transfer. Subject to some limitations, service providers will also be required by the NGR (and contractually) to give effect to operational transfers.</w:t>
            </w:r>
          </w:p>
        </w:tc>
      </w:tr>
      <w:tr w:rsidR="00CD7542" w:rsidRPr="009803DE" w14:paraId="71D3911D" w14:textId="77777777" w:rsidTr="002F7585">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05F70DA8" w14:textId="77777777" w:rsidR="00CD7542" w:rsidRPr="009803DE" w:rsidRDefault="00CD7542" w:rsidP="002F7585">
            <w:pPr>
              <w:pStyle w:val="TableBodyText"/>
              <w:jc w:val="center"/>
              <w:rPr>
                <w:b/>
                <w:color w:val="FFFFFF" w:themeColor="background1"/>
              </w:rPr>
            </w:pPr>
            <w:r>
              <w:rPr>
                <w:b/>
                <w:color w:val="FFFFFF" w:themeColor="background1"/>
              </w:rPr>
              <w:t>Specification of service points, pipeline segments and z</w:t>
            </w:r>
            <w:r w:rsidRPr="009803DE">
              <w:rPr>
                <w:b/>
                <w:color w:val="FFFFFF" w:themeColor="background1"/>
              </w:rPr>
              <w:t>ones</w:t>
            </w:r>
          </w:p>
        </w:tc>
      </w:tr>
      <w:tr w:rsidR="00CD7542" w14:paraId="499BC17F" w14:textId="77777777" w:rsidTr="002F7585">
        <w:tc>
          <w:tcPr>
            <w:tcW w:w="664" w:type="pct"/>
            <w:tcBorders>
              <w:top w:val="single" w:sz="4" w:space="0" w:color="auto"/>
              <w:left w:val="nil"/>
              <w:bottom w:val="single" w:sz="4" w:space="0" w:color="auto"/>
              <w:right w:val="single" w:sz="4" w:space="0" w:color="auto"/>
            </w:tcBorders>
            <w:shd w:val="clear" w:color="auto" w:fill="E1E2E7" w:themeFill="background2"/>
            <w:hideMark/>
          </w:tcPr>
          <w:p w14:paraId="5C72F062" w14:textId="77777777" w:rsidR="00CD7542" w:rsidRPr="00584741" w:rsidRDefault="00CD7542" w:rsidP="002F7585">
            <w:pPr>
              <w:pStyle w:val="TableBodyText"/>
            </w:pPr>
            <w:r>
              <w:t>S</w:t>
            </w:r>
            <w:r w:rsidRPr="00584741">
              <w:t>ervice point</w:t>
            </w:r>
            <w:r>
              <w:t>s</w:t>
            </w:r>
            <w:r w:rsidRPr="00584741">
              <w:t xml:space="preserve"> and pipeline segments</w:t>
            </w:r>
          </w:p>
        </w:tc>
        <w:tc>
          <w:tcPr>
            <w:tcW w:w="4336" w:type="pct"/>
            <w:tcBorders>
              <w:top w:val="single" w:sz="4" w:space="0" w:color="auto"/>
              <w:left w:val="single" w:sz="4" w:space="0" w:color="auto"/>
              <w:bottom w:val="single" w:sz="4" w:space="0" w:color="auto"/>
              <w:right w:val="nil"/>
            </w:tcBorders>
            <w:shd w:val="clear" w:color="auto" w:fill="E1E2E7" w:themeFill="background2"/>
            <w:hideMark/>
          </w:tcPr>
          <w:p w14:paraId="407CBA57" w14:textId="77777777" w:rsidR="00CD7542" w:rsidRPr="00584741" w:rsidRDefault="00CD7542" w:rsidP="002F7585">
            <w:pPr>
              <w:pStyle w:val="TableBodyText"/>
            </w:pPr>
            <w:r w:rsidRPr="00584741">
              <w:t xml:space="preserve">Non-exempt service providers will be required to propose and have AEMO approve the specification of: </w:t>
            </w:r>
          </w:p>
          <w:p w14:paraId="0C05742D" w14:textId="77777777" w:rsidR="00CD7542" w:rsidRPr="00584741" w:rsidRDefault="00CD7542" w:rsidP="003C2D90">
            <w:pPr>
              <w:pStyle w:val="TableBullet1"/>
              <w:numPr>
                <w:ilvl w:val="0"/>
                <w:numId w:val="21"/>
              </w:numPr>
              <w:spacing w:after="80"/>
              <w:rPr>
                <w:lang w:eastAsia="fr-CA"/>
              </w:rPr>
            </w:pPr>
            <w:r w:rsidRPr="00584741">
              <w:rPr>
                <w:lang w:eastAsia="fr-CA"/>
              </w:rPr>
              <w:t>each service point (e.g. receipt point, delivery point, notional point, in-pipe trading points) at or between which services are provided;</w:t>
            </w:r>
          </w:p>
          <w:p w14:paraId="48468A49" w14:textId="77777777" w:rsidR="00CD7542" w:rsidRPr="00584741" w:rsidRDefault="00CD7542" w:rsidP="003C2D90">
            <w:pPr>
              <w:pStyle w:val="TableBullet1"/>
              <w:numPr>
                <w:ilvl w:val="0"/>
                <w:numId w:val="21"/>
              </w:numPr>
              <w:spacing w:after="80"/>
              <w:rPr>
                <w:lang w:eastAsia="fr-CA"/>
              </w:rPr>
            </w:pPr>
            <w:r w:rsidRPr="00584741">
              <w:rPr>
                <w:lang w:eastAsia="fr-CA"/>
              </w:rPr>
              <w:t>in the case of a compressor, the composition of compression service points; and</w:t>
            </w:r>
          </w:p>
          <w:p w14:paraId="5533E53D" w14:textId="77777777" w:rsidR="00CD7542" w:rsidRDefault="00CD7542" w:rsidP="003C2D90">
            <w:pPr>
              <w:pStyle w:val="TableBullet1"/>
              <w:numPr>
                <w:ilvl w:val="0"/>
                <w:numId w:val="21"/>
              </w:numPr>
              <w:spacing w:after="80"/>
              <w:rPr>
                <w:lang w:eastAsia="fr-CA"/>
              </w:rPr>
            </w:pPr>
            <w:r w:rsidRPr="00584741">
              <w:rPr>
                <w:lang w:eastAsia="fr-CA"/>
              </w:rPr>
              <w:t xml:space="preserve">in the case of a pipeline, the pipeline segment (i.e. that part of the pipeline connecting two zones). </w:t>
            </w:r>
          </w:p>
          <w:p w14:paraId="42EE4361" w14:textId="77777777" w:rsidR="00CD7542" w:rsidRPr="00584741" w:rsidRDefault="00CD7542" w:rsidP="002F7585">
            <w:pPr>
              <w:pStyle w:val="TableBullet1"/>
              <w:ind w:left="85"/>
            </w:pPr>
            <w:r>
              <w:t>Once approved, this information will be specified in the Transportation service point register that AEMO will be required to maintain.</w:t>
            </w:r>
          </w:p>
        </w:tc>
      </w:tr>
      <w:tr w:rsidR="00CD7542" w14:paraId="2D80403B" w14:textId="77777777" w:rsidTr="002F7585">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tcPr>
          <w:p w14:paraId="775AF622" w14:textId="77777777" w:rsidR="00CD7542" w:rsidRPr="00584741" w:rsidRDefault="00CD7542" w:rsidP="002F7585">
            <w:pPr>
              <w:pStyle w:val="TableBodyText"/>
            </w:pPr>
            <w:r>
              <w:t>Zones</w:t>
            </w:r>
          </w:p>
        </w:tc>
        <w:tc>
          <w:tcPr>
            <w:tcW w:w="4336" w:type="pct"/>
            <w:tcBorders>
              <w:top w:val="single" w:sz="4" w:space="0" w:color="auto"/>
              <w:left w:val="single" w:sz="4" w:space="0" w:color="auto"/>
              <w:bottom w:val="single" w:sz="4" w:space="0" w:color="auto"/>
              <w:right w:val="nil"/>
            </w:tcBorders>
          </w:tcPr>
          <w:p w14:paraId="77A15DC0" w14:textId="77777777" w:rsidR="00CD7542" w:rsidRDefault="00CD7542" w:rsidP="002F7585">
            <w:pPr>
              <w:pStyle w:val="TableBullet1"/>
              <w:ind w:left="85"/>
            </w:pPr>
            <w:r>
              <w:t xml:space="preserve">AEMO will be responsible for determining the zones that will be used in the capacity trading platform and the auction. The Capacity Transfer and Auction Procedures will set out the arrangements AEMO will use to assess, consult on and determine the zones, while the NGR will set out the principles AEMO is to employ when making a decision about zones and the obligations that non-exempt service providers will have to assist AEMO. </w:t>
            </w:r>
          </w:p>
          <w:p w14:paraId="04968212" w14:textId="77777777" w:rsidR="00CD7542" w:rsidRDefault="00CD7542" w:rsidP="002F7585">
            <w:pPr>
              <w:pStyle w:val="TableBodyText"/>
            </w:pPr>
            <w:r>
              <w:t>Amongst other things, the proposed principles in the NGR state that when determining whether two or more service points should form part of a zone, AEMO may have regard to:</w:t>
            </w:r>
          </w:p>
          <w:p w14:paraId="1D088EA2" w14:textId="77777777" w:rsidR="00CD7542" w:rsidRDefault="00CD7542" w:rsidP="003C2D90">
            <w:pPr>
              <w:pStyle w:val="TableBullet1"/>
              <w:numPr>
                <w:ilvl w:val="0"/>
                <w:numId w:val="21"/>
              </w:numPr>
              <w:spacing w:after="80"/>
              <w:rPr>
                <w:lang w:eastAsia="fr-CA"/>
              </w:rPr>
            </w:pPr>
            <w:r>
              <w:rPr>
                <w:lang w:eastAsia="fr-CA"/>
              </w:rPr>
              <w:t>the impact of the proposed grouping of points on trade in auction and exchange products, including the impact on demand or liquidity; and</w:t>
            </w:r>
          </w:p>
          <w:p w14:paraId="6C54A920" w14:textId="77777777" w:rsidR="00CD7542" w:rsidRDefault="00CD7542" w:rsidP="003C2D90">
            <w:pPr>
              <w:pStyle w:val="TableBullet1"/>
              <w:numPr>
                <w:ilvl w:val="0"/>
                <w:numId w:val="21"/>
              </w:numPr>
              <w:spacing w:after="80"/>
              <w:rPr>
                <w:lang w:eastAsia="fr-CA"/>
              </w:rPr>
            </w:pPr>
            <w:r>
              <w:rPr>
                <w:lang w:eastAsia="fr-CA"/>
              </w:rPr>
              <w:t xml:space="preserve">the ability for transportation capacity to be transferred under the proposed grouping between service points within the zone. </w:t>
            </w:r>
          </w:p>
          <w:p w14:paraId="06E92D62" w14:textId="77777777" w:rsidR="00CD7542" w:rsidRDefault="00CD7542" w:rsidP="002F7585">
            <w:pPr>
              <w:pStyle w:val="TableBullet1"/>
              <w:ind w:left="85"/>
            </w:pPr>
            <w:r>
              <w:t>The NGR will also require non-exempt service providers to provide AEMO with the information it reasonably requires for the assessment of the proposed zone and to undertake any modelling or assessment of proposed zones required by AEMO.</w:t>
            </w:r>
          </w:p>
          <w:p w14:paraId="3A7ECCB6" w14:textId="77777777" w:rsidR="00CD7542" w:rsidRPr="00584741" w:rsidRDefault="00CD7542" w:rsidP="002F7585">
            <w:pPr>
              <w:pStyle w:val="TableBullet1"/>
              <w:ind w:left="85"/>
            </w:pPr>
            <w:r>
              <w:t>Once the zones are established, AEMO will be required to publish information about the ability to transfer capacity between points within each zone, whether over time, at particular times or in particular conditions and include them in the Transportation service point register.</w:t>
            </w:r>
          </w:p>
        </w:tc>
      </w:tr>
    </w:tbl>
    <w:p w14:paraId="2C2CD04E" w14:textId="77777777" w:rsidR="00CD7542" w:rsidRDefault="00CD7542" w:rsidP="00CD7542">
      <w:pPr>
        <w:sectPr w:rsidR="00CD7542" w:rsidSect="00436621">
          <w:pgSz w:w="16839" w:h="11907" w:orient="landscape"/>
          <w:pgMar w:top="973" w:right="1418" w:bottom="851" w:left="1701" w:header="567" w:footer="132" w:gutter="0"/>
          <w:cols w:space="720"/>
        </w:sectPr>
      </w:pPr>
    </w:p>
    <w:p w14:paraId="4E401501" w14:textId="77777777" w:rsidR="00CD7542" w:rsidRDefault="00CD7542" w:rsidP="00CD7542">
      <w:pPr>
        <w:pStyle w:val="Heading3"/>
      </w:pPr>
      <w:r>
        <w:lastRenderedPageBreak/>
        <w:t>Exemptions</w:t>
      </w:r>
    </w:p>
    <w:p w14:paraId="0B72AAF2" w14:textId="77777777" w:rsidR="00CD7542" w:rsidRDefault="00CD7542" w:rsidP="00CD7542">
      <w:pPr>
        <w:pStyle w:val="BodyText"/>
      </w:pPr>
      <w:r>
        <w:t>The GMRG’s final recommendations provided for service providers to obtain exemptions from:</w:t>
      </w:r>
    </w:p>
    <w:p w14:paraId="4914C8C0" w14:textId="77357F80" w:rsidR="00CD7542" w:rsidRDefault="00CD7542" w:rsidP="00CD7542">
      <w:pPr>
        <w:pStyle w:val="ListBullet"/>
        <w:rPr>
          <w:rFonts w:ascii="Times New Roman" w:hAnsi="Times New Roman"/>
          <w:sz w:val="24"/>
          <w:szCs w:val="24"/>
        </w:rPr>
      </w:pPr>
      <w:r>
        <w:t>the obligation to publish a standard operational agreement in those cases where the transportation facility does not provide third party access, or is used to service a single end-user facility;</w:t>
      </w:r>
      <w:r>
        <w:rPr>
          <w:rStyle w:val="FootnoteReference"/>
        </w:rPr>
        <w:footnoteReference w:id="15"/>
      </w:r>
      <w:r>
        <w:rPr>
          <w:rFonts w:ascii="Times New Roman" w:hAnsi="Times New Roman"/>
          <w:sz w:val="24"/>
          <w:szCs w:val="24"/>
        </w:rPr>
        <w:t xml:space="preserve"> </w:t>
      </w:r>
      <w:r w:rsidRPr="00DA1931">
        <w:rPr>
          <w:rFonts w:asciiTheme="majorHAnsi" w:hAnsiTheme="majorHAnsi" w:cstheme="majorHAnsi"/>
        </w:rPr>
        <w:t>and</w:t>
      </w:r>
    </w:p>
    <w:p w14:paraId="3D66487D" w14:textId="77777777" w:rsidR="00CD7542" w:rsidRDefault="00CD7542" w:rsidP="00CD7542">
      <w:pPr>
        <w:pStyle w:val="ListBullet"/>
      </w:pPr>
      <w:r>
        <w:t>the auction in those cases where transportation facility has a nameplate capacity rating less than 10 TJ/day, is not providing third party access, or is servicing a single end-user facility.</w:t>
      </w:r>
      <w:r>
        <w:rPr>
          <w:rStyle w:val="FootnoteReference"/>
        </w:rPr>
        <w:footnoteReference w:id="16"/>
      </w:r>
      <w:r w:rsidRPr="006B3801">
        <w:rPr>
          <w:rFonts w:ascii="Times New Roman" w:hAnsi="Times New Roman"/>
          <w:sz w:val="24"/>
          <w:szCs w:val="24"/>
        </w:rPr>
        <w:t xml:space="preserve"> </w:t>
      </w:r>
    </w:p>
    <w:p w14:paraId="17F7BBFA" w14:textId="77777777" w:rsidR="00CD7542" w:rsidRDefault="00CD7542" w:rsidP="00CD7542">
      <w:pPr>
        <w:pStyle w:val="BodyText"/>
      </w:pPr>
      <w:r>
        <w:t xml:space="preserve">Following the release of these recommendations, questions have been raised about the lack of alignment between the exemption criteria applying to the obligation to publish a standard operational agreement and participate in the auction, and the lack of alignment with the criteria in Part 23 of the NGR. The GMRG has therefore given further thought to this issue and is now proposing to: </w:t>
      </w:r>
    </w:p>
    <w:p w14:paraId="15F33420" w14:textId="77777777" w:rsidR="00CD7542" w:rsidRDefault="00CD7542" w:rsidP="00CD7542">
      <w:pPr>
        <w:pStyle w:val="ListBullet"/>
      </w:pPr>
      <w:r>
        <w:t xml:space="preserve">Apply the same exemption criteria to the obligation to publish and the auction: The GMRG is proposing this change to reduce the complexities of the arrangements. </w:t>
      </w:r>
    </w:p>
    <w:p w14:paraId="2E235BFC" w14:textId="77777777" w:rsidR="00CD7542" w:rsidRDefault="00CD7542" w:rsidP="003F5961">
      <w:pPr>
        <w:pStyle w:val="ListBullet"/>
        <w:numPr>
          <w:ilvl w:val="0"/>
          <w:numId w:val="32"/>
        </w:numPr>
      </w:pPr>
      <w:r>
        <w:t>Replace the “single end-user facility” criterion with the “single shipper” criterion used in Part 23 of the NGR: The GMRG is proposing this change because if there is only one shipper using the facility and no other shipper is seeking access, there will be no value associated with applying the auction or the obligation to publish, but it will impose costs on the end-users of that facility.</w:t>
      </w:r>
    </w:p>
    <w:p w14:paraId="1D8C9A68" w14:textId="77777777" w:rsidR="00CD7542" w:rsidRDefault="00CD7542" w:rsidP="00CD7542">
      <w:pPr>
        <w:pStyle w:val="ListBullet"/>
      </w:pPr>
      <w:r>
        <w:t>Retain the 10 TJ/day nameplate capacity threshold rather than adopting the threshold in Part 23 (average daily injections over a two year period are less than 10 TJ/day): The GMRG is proposing to retain the 10 TJ/day nameplate capacity threshold because it is consistent with the threshold that will apply in the Bulletin Board and alignment with the reporting obligations is more important in this case than alignment with Part 23 (i.e. because information published on the Bulletin Board will be important inputs into a shipper’s risk assessment).</w:t>
      </w:r>
    </w:p>
    <w:p w14:paraId="360C42AD" w14:textId="77777777" w:rsidR="00CD7542" w:rsidRDefault="00CD7542" w:rsidP="00CD7542">
      <w:pPr>
        <w:pStyle w:val="ListBullet"/>
      </w:pPr>
      <w:r>
        <w:t xml:space="preserve">Adopt a new definition of the term ‘compression facility’ in the NGR: The GMRG is proposing this change to ensure the reforms only capture stand-alone compression facilities, such as the Moomba, Wallumbilla, Ballera and Iona facilities, and not integrated compression facilities or compression facilities that are used upstream or for other purposes. </w:t>
      </w:r>
    </w:p>
    <w:p w14:paraId="0F66B7D9" w14:textId="77777777" w:rsidR="00CD7542" w:rsidRDefault="00CD7542" w:rsidP="00CD7542">
      <w:pPr>
        <w:pStyle w:val="BodyText"/>
      </w:pPr>
      <w:r>
        <w:t>The proposed rules therefore provide for:</w:t>
      </w:r>
    </w:p>
    <w:p w14:paraId="72A7C0DE" w14:textId="77777777" w:rsidR="00CD7542" w:rsidRDefault="00CD7542" w:rsidP="003F5961">
      <w:pPr>
        <w:pStyle w:val="ListNumber"/>
        <w:numPr>
          <w:ilvl w:val="0"/>
          <w:numId w:val="41"/>
        </w:numPr>
        <w:spacing w:before="0"/>
        <w:ind w:left="357" w:hanging="357"/>
      </w:pPr>
      <w:r>
        <w:t xml:space="preserve">Automatic exemptions to be obtained by: </w:t>
      </w:r>
    </w:p>
    <w:p w14:paraId="289EF7F7" w14:textId="77777777" w:rsidR="00CD7542" w:rsidRPr="002654B4" w:rsidRDefault="00CD7542" w:rsidP="003F5961">
      <w:pPr>
        <w:pStyle w:val="BodyTextSmall"/>
        <w:numPr>
          <w:ilvl w:val="0"/>
          <w:numId w:val="42"/>
        </w:numPr>
        <w:spacing w:before="0"/>
        <w:rPr>
          <w:sz w:val="22"/>
        </w:rPr>
      </w:pPr>
      <w:r w:rsidRPr="002654B4">
        <w:rPr>
          <w:sz w:val="22"/>
        </w:rPr>
        <w:t>distribution pipelines;</w:t>
      </w:r>
    </w:p>
    <w:p w14:paraId="759B872F" w14:textId="77777777" w:rsidR="00CD7542" w:rsidRPr="002654B4" w:rsidRDefault="00CD7542" w:rsidP="003F5961">
      <w:pPr>
        <w:pStyle w:val="BodyTextSmall"/>
        <w:numPr>
          <w:ilvl w:val="0"/>
          <w:numId w:val="42"/>
        </w:numPr>
        <w:spacing w:before="0"/>
        <w:rPr>
          <w:sz w:val="22"/>
        </w:rPr>
      </w:pPr>
      <w:r w:rsidRPr="002654B4">
        <w:rPr>
          <w:sz w:val="22"/>
        </w:rPr>
        <w:lastRenderedPageBreak/>
        <w:t xml:space="preserve">the </w:t>
      </w:r>
      <w:r>
        <w:rPr>
          <w:sz w:val="22"/>
        </w:rPr>
        <w:t>DTS</w:t>
      </w:r>
      <w:r w:rsidRPr="002654B4">
        <w:rPr>
          <w:sz w:val="22"/>
        </w:rPr>
        <w:t>; and</w:t>
      </w:r>
    </w:p>
    <w:p w14:paraId="6A9E08B6" w14:textId="77777777" w:rsidR="00CD7542" w:rsidRPr="002654B4" w:rsidRDefault="00CD7542" w:rsidP="003F5961">
      <w:pPr>
        <w:pStyle w:val="BodyTextSmall"/>
        <w:numPr>
          <w:ilvl w:val="0"/>
          <w:numId w:val="42"/>
        </w:numPr>
        <w:spacing w:before="0"/>
        <w:rPr>
          <w:sz w:val="22"/>
        </w:rPr>
      </w:pPr>
      <w:r w:rsidRPr="002654B4">
        <w:rPr>
          <w:sz w:val="22"/>
        </w:rPr>
        <w:t>compression facilities that are not used to transport gas between transmission pipeline</w:t>
      </w:r>
      <w:r>
        <w:rPr>
          <w:sz w:val="22"/>
        </w:rPr>
        <w:t>s</w:t>
      </w:r>
      <w:r w:rsidRPr="002654B4">
        <w:rPr>
          <w:sz w:val="22"/>
        </w:rPr>
        <w:t>; and</w:t>
      </w:r>
    </w:p>
    <w:p w14:paraId="4BC12B06" w14:textId="77777777" w:rsidR="00CD7542" w:rsidRDefault="00CD7542" w:rsidP="003F5961">
      <w:pPr>
        <w:pStyle w:val="ListNumber"/>
        <w:numPr>
          <w:ilvl w:val="0"/>
          <w:numId w:val="41"/>
        </w:numPr>
        <w:spacing w:before="0"/>
        <w:ind w:left="357" w:hanging="357"/>
      </w:pPr>
      <w:r>
        <w:t>Transportation facilities to obtain an exemption from the AER if:</w:t>
      </w:r>
    </w:p>
    <w:p w14:paraId="4C9C5727" w14:textId="77777777" w:rsidR="00CD7542" w:rsidRPr="002654B4" w:rsidRDefault="00CD7542" w:rsidP="003F5961">
      <w:pPr>
        <w:pStyle w:val="BodyTextSmall"/>
        <w:numPr>
          <w:ilvl w:val="0"/>
          <w:numId w:val="43"/>
        </w:numPr>
        <w:spacing w:before="0"/>
        <w:rPr>
          <w:sz w:val="22"/>
        </w:rPr>
      </w:pPr>
      <w:r w:rsidRPr="002654B4">
        <w:rPr>
          <w:sz w:val="22"/>
        </w:rPr>
        <w:t>the facility is not providing third party access;</w:t>
      </w:r>
    </w:p>
    <w:p w14:paraId="24C84212" w14:textId="77777777" w:rsidR="00CD7542" w:rsidRPr="002654B4" w:rsidRDefault="00CD7542" w:rsidP="003F5961">
      <w:pPr>
        <w:pStyle w:val="BodyTextSmall"/>
        <w:numPr>
          <w:ilvl w:val="0"/>
          <w:numId w:val="43"/>
        </w:numPr>
        <w:spacing w:before="0"/>
        <w:rPr>
          <w:sz w:val="22"/>
        </w:rPr>
      </w:pPr>
      <w:r w:rsidRPr="002654B4">
        <w:rPr>
          <w:sz w:val="22"/>
        </w:rPr>
        <w:t>the facility has a nameplate capacity rating less than 10 TJ/day; or</w:t>
      </w:r>
    </w:p>
    <w:p w14:paraId="319B6A48" w14:textId="77777777" w:rsidR="00CD7542" w:rsidRPr="002654B4" w:rsidRDefault="00CD7542" w:rsidP="003F5961">
      <w:pPr>
        <w:pStyle w:val="BodyTextSmall"/>
        <w:numPr>
          <w:ilvl w:val="0"/>
          <w:numId w:val="43"/>
        </w:numPr>
        <w:spacing w:before="0"/>
        <w:ind w:left="714" w:hanging="357"/>
        <w:rPr>
          <w:sz w:val="22"/>
        </w:rPr>
      </w:pPr>
      <w:r w:rsidRPr="002654B4">
        <w:rPr>
          <w:sz w:val="22"/>
        </w:rPr>
        <w:t>the facility is servicing a single shipper.</w:t>
      </w:r>
    </w:p>
    <w:p w14:paraId="32491969" w14:textId="77777777" w:rsidR="00CD7542" w:rsidRDefault="00CD7542" w:rsidP="00CD7542">
      <w:pPr>
        <w:pStyle w:val="BodyText"/>
      </w:pPr>
      <w:r>
        <w:t>The NGR also provide for the AER to revoke exemptions if circumstances change and these exemption criteria are no longer met. If this occurs, facility operators will become subject to the obligation to publish a standard operational agreement and the auction. Before becoming subject to the auction, facility operators will need to do a range of things (e.g. register with AEMO and put in place any systems that may be required). The NGR therefore provides these facilities four months to carry out these activities.</w:t>
      </w:r>
    </w:p>
    <w:p w14:paraId="687E7484" w14:textId="77777777" w:rsidR="00D44441" w:rsidRDefault="00CD7542" w:rsidP="00D44441">
      <w:pPr>
        <w:pStyle w:val="BodyText"/>
      </w:pPr>
      <w:r>
        <w:t xml:space="preserve">It is important to note that the single shipper and 10 TJ/day exemptions outlined above only exempt the facilities from the obligation to publish a standard operational agreement and do </w:t>
      </w:r>
      <w:r w:rsidRPr="00A72039">
        <w:rPr>
          <w:b/>
        </w:rPr>
        <w:t>not</w:t>
      </w:r>
      <w:r>
        <w:t xml:space="preserve"> exempt the facilities from having to offer to enter into such an agreement if requested to do so by a prospective shipper. If such a request is received, the service provider will have 60 business days to develop and offer the standard operational agreement. </w:t>
      </w:r>
    </w:p>
    <w:p w14:paraId="49E796FE" w14:textId="5648DFDE" w:rsidR="00D44441" w:rsidRDefault="00D44441" w:rsidP="00D44441">
      <w:pPr>
        <w:pStyle w:val="BodyText"/>
      </w:pPr>
      <w:r>
        <w:t xml:space="preserve">The other important point to note about these criteria is that if a prospective shipper approaches a single shipper facility to gain access to secondary capacity, then as soon as such an agreement is entered into, the facility will cease to be a single shipper facility and will no longer qualify for an exemption. In addition to having an obligation to publish a standard operational agreement, the transportation facility would become subject to the auction (assuming it does not meet any of the other exemption criteria). </w:t>
      </w:r>
    </w:p>
    <w:p w14:paraId="54987347" w14:textId="77777777" w:rsidR="00D44441" w:rsidRDefault="00D44441" w:rsidP="00D44441">
      <w:pPr>
        <w:pStyle w:val="BodyText"/>
      </w:pPr>
      <w:r>
        <w:t>As outlined above, the GMRG is interested in hearing stakeholders’ views on this refined approach to exemptions and has set out a number of specific questions it would like feedback on in the box below.</w:t>
      </w:r>
    </w:p>
    <w:tbl>
      <w:tblPr>
        <w:tblStyle w:val="PullOutBoxTable"/>
        <w:tblpPr w:leftFromText="180" w:rightFromText="180" w:vertAnchor="text" w:horzAnchor="margin" w:tblpY="130"/>
        <w:tblW w:w="5000" w:type="pct"/>
        <w:shd w:val="clear" w:color="auto" w:fill="B7E7FF"/>
        <w:tblCellMar>
          <w:top w:w="28" w:type="dxa"/>
          <w:bottom w:w="28" w:type="dxa"/>
        </w:tblCellMar>
        <w:tblLook w:val="0600" w:firstRow="0" w:lastRow="0" w:firstColumn="0" w:lastColumn="0" w:noHBand="1" w:noVBand="1"/>
        <w:tblCaption w:val="Box 4.1: Questions on exemptions"/>
        <w:tblDescription w:val="Box 4.1: Questions on exemptions"/>
      </w:tblPr>
      <w:tblGrid>
        <w:gridCol w:w="8788"/>
      </w:tblGrid>
      <w:tr w:rsidR="00D44441" w:rsidRPr="00F12295" w14:paraId="63831ABE" w14:textId="77777777" w:rsidTr="00D44441">
        <w:trPr>
          <w:tblHeader/>
        </w:trPr>
        <w:tc>
          <w:tcPr>
            <w:tcW w:w="5000" w:type="pct"/>
            <w:shd w:val="clear" w:color="auto" w:fill="auto"/>
            <w:hideMark/>
          </w:tcPr>
          <w:p w14:paraId="4B6E5A18" w14:textId="77777777" w:rsidR="00D44441" w:rsidRPr="002A1ED1" w:rsidRDefault="00D44441" w:rsidP="00D44441">
            <w:pPr>
              <w:pStyle w:val="ListNumber"/>
              <w:numPr>
                <w:ilvl w:val="0"/>
                <w:numId w:val="0"/>
              </w:numPr>
              <w:tabs>
                <w:tab w:val="left" w:pos="720"/>
              </w:tabs>
              <w:rPr>
                <w:rFonts w:eastAsiaTheme="majorEastAsia"/>
                <w:b/>
              </w:rPr>
            </w:pPr>
            <w:r w:rsidRPr="002A1ED1">
              <w:rPr>
                <w:b/>
              </w:rPr>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1</w:t>
            </w:r>
            <w:r w:rsidRPr="002A1ED1">
              <w:rPr>
                <w:b/>
                <w:noProof/>
              </w:rPr>
              <w:fldChar w:fldCharType="end"/>
            </w:r>
            <w:r w:rsidRPr="002A1ED1">
              <w:rPr>
                <w:b/>
              </w:rPr>
              <w:t xml:space="preserve">: </w:t>
            </w:r>
            <w:r w:rsidRPr="002A1ED1">
              <w:rPr>
                <w:b/>
                <w:bCs/>
              </w:rPr>
              <w:t>Questions on exemptions</w:t>
            </w:r>
          </w:p>
        </w:tc>
      </w:tr>
      <w:tr w:rsidR="00D44441" w:rsidRPr="00F12295" w14:paraId="7F2C7B2D" w14:textId="77777777" w:rsidTr="00D44441">
        <w:trPr>
          <w:tblHeader/>
        </w:trPr>
        <w:tc>
          <w:tcPr>
            <w:tcW w:w="5000" w:type="pct"/>
            <w:shd w:val="clear" w:color="auto" w:fill="B7E7FF"/>
          </w:tcPr>
          <w:p w14:paraId="37A5C490" w14:textId="77777777" w:rsidR="00D44441" w:rsidRPr="00F12295" w:rsidRDefault="00D44441" w:rsidP="00D44441">
            <w:pPr>
              <w:pStyle w:val="ListNumber"/>
              <w:numPr>
                <w:ilvl w:val="0"/>
                <w:numId w:val="29"/>
              </w:numPr>
              <w:tabs>
                <w:tab w:val="left" w:pos="720"/>
              </w:tabs>
              <w:ind w:left="357" w:hanging="357"/>
              <w:rPr>
                <w:rFonts w:eastAsiaTheme="majorEastAsia"/>
              </w:rPr>
            </w:pPr>
            <w:r w:rsidRPr="00F12295">
              <w:rPr>
                <w:rFonts w:eastAsiaTheme="majorEastAsia"/>
              </w:rPr>
              <w:t>Having regard to the objectives of the capacity trading reforms and the Energy Council’s approval of the GMRG’s recommendation on coverage of the auction, do you agree with the proposal to:</w:t>
            </w:r>
          </w:p>
          <w:p w14:paraId="6D72A479" w14:textId="77777777" w:rsidR="00D44441" w:rsidRPr="00D44441" w:rsidRDefault="00D44441" w:rsidP="00D44441">
            <w:pPr>
              <w:pStyle w:val="TableBullet2"/>
              <w:numPr>
                <w:ilvl w:val="1"/>
                <w:numId w:val="7"/>
              </w:numPr>
              <w:spacing w:before="120" w:after="120"/>
              <w:ind w:right="0"/>
              <w:rPr>
                <w:rFonts w:eastAsiaTheme="majorEastAsia"/>
                <w:sz w:val="22"/>
              </w:rPr>
            </w:pPr>
            <w:r w:rsidRPr="00D44441">
              <w:rPr>
                <w:rFonts w:eastAsiaTheme="majorEastAsia"/>
                <w:sz w:val="22"/>
              </w:rPr>
              <w:t>Apply the same exemption criteria to the obligation to publish a standard operational agreement and the auction? If not, why?</w:t>
            </w:r>
          </w:p>
          <w:p w14:paraId="2E117C3A" w14:textId="4AD6E13C" w:rsidR="00D44441" w:rsidRPr="00072E3F" w:rsidRDefault="00D44441" w:rsidP="00072E3F">
            <w:pPr>
              <w:pStyle w:val="TableBullet2"/>
              <w:numPr>
                <w:ilvl w:val="1"/>
                <w:numId w:val="7"/>
              </w:numPr>
              <w:spacing w:before="120" w:after="120"/>
              <w:ind w:right="0"/>
              <w:rPr>
                <w:rFonts w:eastAsiaTheme="majorEastAsia"/>
                <w:sz w:val="22"/>
              </w:rPr>
            </w:pPr>
            <w:r w:rsidRPr="00D44441">
              <w:rPr>
                <w:rFonts w:eastAsiaTheme="majorEastAsia"/>
                <w:sz w:val="22"/>
              </w:rPr>
              <w:t>Replace the single end-user facility criterion, with a single shipper criterion? If not, why?</w:t>
            </w:r>
          </w:p>
          <w:p w14:paraId="621C9FD4" w14:textId="3378A40D" w:rsidR="00072E3F" w:rsidRPr="00072E3F" w:rsidRDefault="00072E3F" w:rsidP="00072E3F">
            <w:pPr>
              <w:pStyle w:val="ListNumber"/>
              <w:numPr>
                <w:ilvl w:val="0"/>
                <w:numId w:val="29"/>
              </w:numPr>
              <w:tabs>
                <w:tab w:val="left" w:pos="720"/>
              </w:tabs>
              <w:ind w:left="357" w:hanging="357"/>
              <w:rPr>
                <w:rFonts w:eastAsiaTheme="majorEastAsia"/>
              </w:rPr>
            </w:pPr>
            <w:r w:rsidRPr="00072E3F">
              <w:rPr>
                <w:rFonts w:eastAsiaTheme="majorEastAsia"/>
              </w:rPr>
              <w:t>Do you think the following definition of ‘Part 24 compression service facility’ will achieve the objective of capturing stand-alone compressors, such as the Moomba, Ballera, Wallumbilla and Iona compression facilities, but excluding other compression facilities (e.g. compression facilities that form part of the pipeline that</w:t>
            </w:r>
          </w:p>
        </w:tc>
      </w:tr>
    </w:tbl>
    <w:tbl>
      <w:tblPr>
        <w:tblStyle w:val="PullOutBoxTable"/>
        <w:tblpPr w:leftFromText="181" w:rightFromText="181" w:vertAnchor="page" w:tblpY="1946"/>
        <w:tblOverlap w:val="never"/>
        <w:tblW w:w="5000" w:type="pct"/>
        <w:shd w:val="clear" w:color="auto" w:fill="B7E7FF"/>
        <w:tblCellMar>
          <w:top w:w="28" w:type="dxa"/>
          <w:bottom w:w="28" w:type="dxa"/>
        </w:tblCellMar>
        <w:tblLook w:val="0600" w:firstRow="0" w:lastRow="0" w:firstColumn="0" w:lastColumn="0" w:noHBand="1" w:noVBand="1"/>
        <w:tblCaption w:val="Box 4.1: Questions on exemptions"/>
        <w:tblDescription w:val="Box 4.1: Questions on exemptions"/>
      </w:tblPr>
      <w:tblGrid>
        <w:gridCol w:w="8788"/>
      </w:tblGrid>
      <w:tr w:rsidR="001755BE" w:rsidRPr="00F12295" w14:paraId="4893FBE2" w14:textId="77777777" w:rsidTr="00D44441">
        <w:trPr>
          <w:tblHeader/>
        </w:trPr>
        <w:tc>
          <w:tcPr>
            <w:tcW w:w="5000" w:type="pct"/>
            <w:shd w:val="clear" w:color="auto" w:fill="auto"/>
            <w:hideMark/>
          </w:tcPr>
          <w:p w14:paraId="46D73188" w14:textId="77777777" w:rsidR="001755BE" w:rsidRPr="002A1ED1" w:rsidRDefault="001755BE" w:rsidP="00D44441">
            <w:pPr>
              <w:pStyle w:val="ListNumber"/>
              <w:numPr>
                <w:ilvl w:val="0"/>
                <w:numId w:val="0"/>
              </w:numPr>
              <w:tabs>
                <w:tab w:val="left" w:pos="720"/>
              </w:tabs>
              <w:rPr>
                <w:rFonts w:eastAsiaTheme="majorEastAsia"/>
                <w:b/>
              </w:rPr>
            </w:pPr>
            <w:r w:rsidRPr="002A1ED1">
              <w:rPr>
                <w:b/>
              </w:rPr>
              <w:lastRenderedPageBreak/>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1</w:t>
            </w:r>
            <w:r w:rsidRPr="002A1ED1">
              <w:rPr>
                <w:b/>
                <w:noProof/>
              </w:rPr>
              <w:fldChar w:fldCharType="end"/>
            </w:r>
            <w:r w:rsidRPr="002A1ED1">
              <w:rPr>
                <w:b/>
              </w:rPr>
              <w:t xml:space="preserve">: </w:t>
            </w:r>
            <w:r w:rsidRPr="002A1ED1">
              <w:rPr>
                <w:b/>
                <w:bCs/>
              </w:rPr>
              <w:t>Questions on exemptions</w:t>
            </w:r>
          </w:p>
        </w:tc>
      </w:tr>
      <w:tr w:rsidR="001755BE" w:rsidRPr="00F12295" w14:paraId="1F9C96CE" w14:textId="77777777" w:rsidTr="00D44441">
        <w:trPr>
          <w:tblHeader/>
        </w:trPr>
        <w:tc>
          <w:tcPr>
            <w:tcW w:w="5000" w:type="pct"/>
            <w:shd w:val="clear" w:color="auto" w:fill="B7E7FF"/>
          </w:tcPr>
          <w:p w14:paraId="36263760" w14:textId="77777777" w:rsidR="001755BE" w:rsidRDefault="001755BE" w:rsidP="00072E3F">
            <w:pPr>
              <w:pStyle w:val="ListNumber"/>
              <w:numPr>
                <w:ilvl w:val="0"/>
                <w:numId w:val="0"/>
              </w:numPr>
              <w:tabs>
                <w:tab w:val="left" w:pos="720"/>
              </w:tabs>
              <w:ind w:left="357"/>
              <w:rPr>
                <w:rFonts w:eastAsiaTheme="majorEastAsia"/>
              </w:rPr>
            </w:pPr>
            <w:r w:rsidRPr="001755BE">
              <w:rPr>
                <w:rFonts w:eastAsiaTheme="majorEastAsia"/>
              </w:rPr>
              <w:t>are used to provide an integrated service and upstream compression facilities? If not, please explain what amendments you think need to be made to this definition.</w:t>
            </w:r>
          </w:p>
          <w:p w14:paraId="008475D8" w14:textId="77777777" w:rsidR="00072E3F" w:rsidRDefault="00072E3F" w:rsidP="00072E3F">
            <w:pPr>
              <w:pStyle w:val="ListNumber"/>
              <w:numPr>
                <w:ilvl w:val="0"/>
                <w:numId w:val="0"/>
              </w:numPr>
              <w:tabs>
                <w:tab w:val="left" w:pos="720"/>
              </w:tabs>
              <w:ind w:left="823"/>
              <w:rPr>
                <w:i/>
              </w:rPr>
            </w:pPr>
            <w:r w:rsidRPr="00F12295">
              <w:rPr>
                <w:b/>
                <w:i/>
              </w:rPr>
              <w:t xml:space="preserve">Part 24 compression service facility </w:t>
            </w:r>
            <w:r w:rsidRPr="00F12295">
              <w:rPr>
                <w:i/>
              </w:rPr>
              <w:t>means a compression service facility that is or may be used to transport natural gas between a transmission pipeline operating at lower pressure and a transmission pipeline operating at higher pressure in order to facilitate the flow of natural gas between two or more receipt or delivery points where the receipt or delivery points are located on different transmission pipelines.</w:t>
            </w:r>
          </w:p>
          <w:p w14:paraId="65F1842F" w14:textId="77777777" w:rsidR="00072E3F" w:rsidRDefault="00072E3F" w:rsidP="00072E3F">
            <w:pPr>
              <w:pStyle w:val="ListNumber"/>
              <w:numPr>
                <w:ilvl w:val="0"/>
                <w:numId w:val="29"/>
              </w:numPr>
              <w:tabs>
                <w:tab w:val="left" w:pos="720"/>
              </w:tabs>
              <w:ind w:left="357" w:hanging="357"/>
              <w:rPr>
                <w:rFonts w:eastAsiaTheme="majorEastAsia"/>
              </w:rPr>
            </w:pPr>
            <w:r w:rsidRPr="00F12295">
              <w:rPr>
                <w:rFonts w:eastAsiaTheme="majorEastAsia"/>
              </w:rPr>
              <w:t>Do you agree with the proposal to allow facilities with a nameplate rating less than 10 TJ/day and single shipper facilities, up to 60 business days to develop and offer a standard operational agreement? If not, why?</w:t>
            </w:r>
          </w:p>
          <w:p w14:paraId="34619BA3" w14:textId="7D68DC0F" w:rsidR="00072E3F" w:rsidRPr="00072E3F" w:rsidRDefault="00072E3F" w:rsidP="00072E3F">
            <w:pPr>
              <w:pStyle w:val="ListNumber"/>
              <w:numPr>
                <w:ilvl w:val="0"/>
                <w:numId w:val="29"/>
              </w:numPr>
              <w:tabs>
                <w:tab w:val="left" w:pos="720"/>
              </w:tabs>
              <w:ind w:left="357" w:hanging="357"/>
              <w:rPr>
                <w:rFonts w:eastAsiaTheme="majorEastAsia"/>
              </w:rPr>
            </w:pPr>
            <w:r w:rsidRPr="00072E3F">
              <w:rPr>
                <w:rFonts w:eastAsiaTheme="majorEastAsia"/>
              </w:rPr>
              <w:t>Do you agree with the proposal to allow a single shipper exemption to be revoked if another shipper enters into an operational TSA with the service provider? If not, please explain why.</w:t>
            </w:r>
          </w:p>
        </w:tc>
      </w:tr>
    </w:tbl>
    <w:p w14:paraId="384AE11C" w14:textId="77777777" w:rsidR="00CD7542" w:rsidRDefault="00CD7542" w:rsidP="00CD7542">
      <w:pPr>
        <w:pStyle w:val="Heading3"/>
      </w:pPr>
      <w:r>
        <w:t>Governance model for the Code</w:t>
      </w:r>
    </w:p>
    <w:p w14:paraId="2BAABF46" w14:textId="77777777" w:rsidR="00CD7542" w:rsidRDefault="00CD7542" w:rsidP="00CD7542">
      <w:pPr>
        <w:pStyle w:val="BodyText"/>
      </w:pPr>
      <w:r>
        <w:t xml:space="preserve">As outlined in section 3.2, the final recommendations provided for the adoption of a hybrid governance model for the Code. While this governance model has been retained in the legal and regulatory framework, the GMRG has made some refinements to the AER’s powers under this governance model. In short, the AER will no longer be limited to approving, rejecting or remitting a recommendation by the OTS Code Panel on changes to the Code. It will also have the power to modify the Code on its own initiative, following consultation. </w:t>
      </w:r>
    </w:p>
    <w:p w14:paraId="50789A93" w14:textId="77777777" w:rsidR="00CD7542" w:rsidRDefault="00CD7542" w:rsidP="00CD7542">
      <w:pPr>
        <w:pStyle w:val="BodyText"/>
      </w:pPr>
      <w:r>
        <w:t xml:space="preserve">This refinement has been made to allow the AER, as regulator, to play a more proactive role in overseeing modifications to the Code, where required. </w:t>
      </w:r>
    </w:p>
    <w:p w14:paraId="3DCED172" w14:textId="77777777" w:rsidR="00CD7542" w:rsidRDefault="00CD7542" w:rsidP="00CD7542">
      <w:pPr>
        <w:pStyle w:val="BodyText"/>
      </w:pPr>
      <w:r>
        <w:t>The intention in affording the AER this right is not to circumvent the role that the OTS Code Panel plays in the Code modification process. Rather, the intention is to provide the OTS Code Panel with an additional incentive to work effectively. Importantly, where the AER proposes to modify the Code on its own initiative, it is required to consult with the OTS Code Panel in relation to the modification (unless the modification is non-material, relates to urgent matters or has been consulted on previously). To ensure that the AER has regard to other stakeholder feedback, the AER is also required to consult with other stakeholders and AEMO, unless the above exemptions from consultation apply.</w:t>
      </w:r>
    </w:p>
    <w:p w14:paraId="4245C64D" w14:textId="77777777" w:rsidR="00CD7542" w:rsidRDefault="00CD7542" w:rsidP="00CD7542">
      <w:pPr>
        <w:pStyle w:val="BodyText"/>
      </w:pPr>
      <w:r>
        <w:t xml:space="preserve">The GMRG considers that this refinement to the AER’s role provides an appropriate balance between ensuring that industry, through the OTS Code Panel, has a central role in determining the contents of the Code, and allowing the AER, as regulator, to ensure that the Code is operating as intended and in furtherance of the National Gas Objective (NGO). </w:t>
      </w:r>
    </w:p>
    <w:p w14:paraId="09D5412E" w14:textId="77777777" w:rsidR="00CD7542" w:rsidRDefault="00CD7542" w:rsidP="00CD7542">
      <w:pPr>
        <w:pStyle w:val="BodyText"/>
      </w:pPr>
      <w:r>
        <w:t>The GMRG is interested in obtaining stakeholders’ views on this refinement and on the proposed composition and operation of the OTS Code Panel. Some specific questions the GMRG is seeking feedback on are set out in the box below.</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4.2: Questions on the governance model for the code"/>
        <w:tblDescription w:val="Questions on the governance model for the code"/>
      </w:tblPr>
      <w:tblGrid>
        <w:gridCol w:w="8788"/>
      </w:tblGrid>
      <w:tr w:rsidR="00CD7542" w:rsidRPr="00F12295" w14:paraId="5DEC0597" w14:textId="77777777" w:rsidTr="00261C12">
        <w:trPr>
          <w:tblHeader/>
        </w:trPr>
        <w:tc>
          <w:tcPr>
            <w:tcW w:w="5000" w:type="pct"/>
            <w:shd w:val="clear" w:color="auto" w:fill="auto"/>
            <w:hideMark/>
          </w:tcPr>
          <w:p w14:paraId="0184C7A7" w14:textId="147A3299" w:rsidR="00CD7542" w:rsidRPr="002A1ED1" w:rsidRDefault="002A1ED1" w:rsidP="002A1ED1">
            <w:pPr>
              <w:pStyle w:val="ListNumber"/>
              <w:numPr>
                <w:ilvl w:val="0"/>
                <w:numId w:val="0"/>
              </w:numPr>
              <w:tabs>
                <w:tab w:val="left" w:pos="720"/>
              </w:tabs>
              <w:rPr>
                <w:rFonts w:eastAsiaTheme="majorEastAsia"/>
                <w:b/>
              </w:rPr>
            </w:pPr>
            <w:r w:rsidRPr="002A1ED1">
              <w:rPr>
                <w:b/>
              </w:rPr>
              <w:lastRenderedPageBreak/>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2</w:t>
            </w:r>
            <w:r w:rsidRPr="002A1ED1">
              <w:rPr>
                <w:b/>
                <w:noProof/>
              </w:rPr>
              <w:fldChar w:fldCharType="end"/>
            </w:r>
            <w:r w:rsidRPr="002A1ED1">
              <w:rPr>
                <w:b/>
              </w:rPr>
              <w:t xml:space="preserve">: </w:t>
            </w:r>
            <w:r w:rsidRPr="002A1ED1">
              <w:rPr>
                <w:b/>
                <w:bCs/>
              </w:rPr>
              <w:t>Questions on governance model for the Code</w:t>
            </w:r>
          </w:p>
        </w:tc>
      </w:tr>
      <w:tr w:rsidR="007E196C" w:rsidRPr="00F12295" w14:paraId="5F709A82" w14:textId="77777777" w:rsidTr="007E196C">
        <w:trPr>
          <w:tblHeader/>
        </w:trPr>
        <w:tc>
          <w:tcPr>
            <w:tcW w:w="5000" w:type="pct"/>
            <w:shd w:val="clear" w:color="auto" w:fill="B7E7FF"/>
          </w:tcPr>
          <w:p w14:paraId="4A1D9119" w14:textId="77777777" w:rsidR="007E196C" w:rsidRDefault="007E196C" w:rsidP="007E196C">
            <w:pPr>
              <w:pStyle w:val="ListNumber"/>
              <w:numPr>
                <w:ilvl w:val="0"/>
                <w:numId w:val="29"/>
              </w:numPr>
              <w:tabs>
                <w:tab w:val="left" w:pos="720"/>
              </w:tabs>
              <w:ind w:left="357" w:hanging="357"/>
              <w:rPr>
                <w:rFonts w:eastAsiaTheme="majorEastAsia"/>
              </w:rPr>
            </w:pPr>
            <w:r w:rsidRPr="00F12295">
              <w:rPr>
                <w:rFonts w:eastAsiaTheme="majorEastAsia"/>
              </w:rPr>
              <w:t xml:space="preserve">Do you agree with the proposal to allow the AER to play a more proactive role in overseeing modifications to the Code? If not, please explain why. </w:t>
            </w:r>
          </w:p>
          <w:p w14:paraId="70D967D0" w14:textId="6B5436A2" w:rsidR="007E196C" w:rsidRPr="002A1ED1" w:rsidRDefault="007E196C" w:rsidP="007E196C">
            <w:pPr>
              <w:pStyle w:val="ListNumber"/>
              <w:numPr>
                <w:ilvl w:val="0"/>
                <w:numId w:val="29"/>
              </w:numPr>
              <w:tabs>
                <w:tab w:val="left" w:pos="720"/>
              </w:tabs>
              <w:ind w:left="357" w:hanging="357"/>
              <w:rPr>
                <w:b/>
              </w:rPr>
            </w:pPr>
            <w:r w:rsidRPr="00261C12">
              <w:rPr>
                <w:rFonts w:eastAsiaTheme="majorEastAsia"/>
              </w:rPr>
              <w:t>Do you agree with the proposed composition of the OTS Code Panel, which will comprise: two service providers, two shippers (one of which must be a large end-user) and AEMO? If not, please explain why and the changes you would suggest be made to the composition of the OTS Code Panel.</w:t>
            </w:r>
          </w:p>
        </w:tc>
      </w:tr>
    </w:tbl>
    <w:p w14:paraId="429F6D57" w14:textId="77777777" w:rsidR="00CD7542" w:rsidRDefault="00CD7542" w:rsidP="00CD7542">
      <w:pPr>
        <w:pStyle w:val="Heading3"/>
      </w:pPr>
      <w:r>
        <w:t>Measures to address contractual limitations in facility agreements</w:t>
      </w:r>
    </w:p>
    <w:p w14:paraId="79326EBB" w14:textId="77777777" w:rsidR="00CD7542" w:rsidRDefault="00CD7542" w:rsidP="00CD7542">
      <w:pPr>
        <w:spacing w:line="240" w:lineRule="auto"/>
        <w:rPr>
          <w:rFonts w:ascii="Times New Roman" w:hAnsi="Times New Roman"/>
          <w:sz w:val="24"/>
          <w:szCs w:val="24"/>
        </w:rPr>
      </w:pPr>
      <w:r>
        <w:rPr>
          <w:rFonts w:asciiTheme="majorHAnsi" w:hAnsiTheme="majorHAnsi" w:cstheme="majorHAnsi"/>
          <w:szCs w:val="18"/>
        </w:rPr>
        <w:t xml:space="preserve">In the final recommendations, the GMRG noted that it was difficult to see any legitimate reason for the inclusion of clauses in facility agreements that prevent or otherwise impede the trade of capacity </w:t>
      </w:r>
      <w:r>
        <w:t>if the shipper selling the capacity remains liable to pay for the capacity it contracted for.</w:t>
      </w:r>
      <w:r>
        <w:rPr>
          <w:rStyle w:val="FootnoteReference"/>
        </w:rPr>
        <w:footnoteReference w:id="17"/>
      </w:r>
      <w:r>
        <w:t xml:space="preserve"> Given the potential for such clauses to impede trade and restrict competition in the secondary market, the GMRG </w:t>
      </w:r>
      <w:r>
        <w:rPr>
          <w:lang w:eastAsia="fr-CA"/>
        </w:rPr>
        <w:t xml:space="preserve">recommended that provisions be included in the NGL/NGR to provide for </w:t>
      </w:r>
      <w:r>
        <w:t>users to transfer some or all of their capacity without the service provider’s consent if these conditions are met.</w:t>
      </w:r>
      <w:r w:rsidRPr="006B3801">
        <w:rPr>
          <w:rStyle w:val="BodyTextChar"/>
        </w:rPr>
        <w:t xml:space="preserve"> </w:t>
      </w:r>
      <w:r>
        <w:rPr>
          <w:rStyle w:val="FootnoteReference"/>
        </w:rPr>
        <w:footnoteReference w:id="18"/>
      </w:r>
      <w:r>
        <w:rPr>
          <w:rFonts w:ascii="Times New Roman" w:hAnsi="Times New Roman"/>
          <w:sz w:val="24"/>
          <w:szCs w:val="24"/>
        </w:rPr>
        <w:t xml:space="preserve"> </w:t>
      </w:r>
    </w:p>
    <w:p w14:paraId="1ECEEAC1" w14:textId="77777777" w:rsidR="00CD7542" w:rsidRDefault="00CD7542" w:rsidP="00CD7542">
      <w:pPr>
        <w:pStyle w:val="BodyText"/>
        <w:rPr>
          <w:lang w:eastAsia="fr-CA"/>
        </w:rPr>
      </w:pPr>
      <w:r>
        <w:rPr>
          <w:lang w:eastAsia="fr-CA"/>
        </w:rPr>
        <w:t xml:space="preserve">In subsequent discussions with stakeholders, it has become clear that service providers would prefer to amend facility agreements on a case-by-case basis to accommodate capacity trading, rather than have terms read into those agreements through the NGL, NGR or Code. The GMRG is therefore proposing to include provisions in the NGR that will require service providers, within 30 days of receiving a request from a shipper in respect of its facility agreement, to give the shipper an amending agreement that: </w:t>
      </w:r>
    </w:p>
    <w:p w14:paraId="0310BA78" w14:textId="77777777" w:rsidR="00CD7542" w:rsidRDefault="00CD7542" w:rsidP="003F5961">
      <w:pPr>
        <w:pStyle w:val="ListBullet"/>
        <w:numPr>
          <w:ilvl w:val="0"/>
          <w:numId w:val="32"/>
        </w:numPr>
      </w:pPr>
      <w:r>
        <w:t>Enables the shipper to sell any spare capacity it may have under the agreement through an operational TSA.</w:t>
      </w:r>
    </w:p>
    <w:p w14:paraId="33CE4498" w14:textId="77777777" w:rsidR="00CD7542" w:rsidRDefault="00CD7542" w:rsidP="003F5961">
      <w:pPr>
        <w:pStyle w:val="ListBullet"/>
        <w:numPr>
          <w:ilvl w:val="0"/>
          <w:numId w:val="32"/>
        </w:numPr>
      </w:pPr>
      <w:r>
        <w:t>Gives effect to other principles in the NGR that are designed to facilitate capacity trading and the auction, which include a requirement that:</w:t>
      </w:r>
    </w:p>
    <w:p w14:paraId="0B2A3B23" w14:textId="77777777" w:rsidR="00CD7542" w:rsidRDefault="00CD7542" w:rsidP="00CD7542">
      <w:pPr>
        <w:pStyle w:val="ListBullet2"/>
      </w:pPr>
      <w:r>
        <w:t>the shipper’s transportation services be capable of being unbundled (e.g. a service including a stand-alone compression service and pipeline service should be capable of being sold separately);</w:t>
      </w:r>
    </w:p>
    <w:p w14:paraId="6E2B75DE" w14:textId="77777777" w:rsidR="00CD7542" w:rsidRDefault="00CD7542" w:rsidP="00CD7542">
      <w:pPr>
        <w:pStyle w:val="ListBullet2"/>
      </w:pPr>
      <w:r>
        <w:t>trades be allowed to occur through either the capacity trading platform or bilaterally;</w:t>
      </w:r>
    </w:p>
    <w:p w14:paraId="1455C2C8" w14:textId="77777777" w:rsidR="00CD7542" w:rsidRDefault="00CD7542" w:rsidP="00CD7542">
      <w:pPr>
        <w:pStyle w:val="ListBullet2"/>
      </w:pPr>
      <w:r>
        <w:t>the shipper be able to transfer hourly entitlements, imbalance entitlements and other contractual entitlements through a bilateral trade, if the transfer can occur in a manner consistent with the safe and reliable operation of the facility;</w:t>
      </w:r>
    </w:p>
    <w:p w14:paraId="391E3352" w14:textId="77777777" w:rsidR="00CD7542" w:rsidRDefault="00CD7542" w:rsidP="00CD7542">
      <w:pPr>
        <w:pStyle w:val="ListBullet2"/>
      </w:pPr>
      <w:r>
        <w:t>any provisions regulating the service provider’s obligation to give effect to the operational transfer be reasonable;</w:t>
      </w:r>
    </w:p>
    <w:p w14:paraId="56A3A143" w14:textId="77777777" w:rsidR="00CD7542" w:rsidRDefault="00CD7542" w:rsidP="00CD7542">
      <w:pPr>
        <w:pStyle w:val="ListBullet2"/>
      </w:pPr>
      <w:r>
        <w:lastRenderedPageBreak/>
        <w:t>the shipper not be made liable for the use of any capacity it has sold or for any act or omission by the other shipper; and</w:t>
      </w:r>
    </w:p>
    <w:p w14:paraId="5E6E6453" w14:textId="77777777" w:rsidR="00CD7542" w:rsidRDefault="00CD7542" w:rsidP="00CD7542">
      <w:pPr>
        <w:pStyle w:val="ListBullet2"/>
      </w:pPr>
      <w:r>
        <w:t>no indemnity or equivalent provision be sought from the shipper on account of any sale of capacity by means of an operational transfer.</w:t>
      </w:r>
    </w:p>
    <w:p w14:paraId="4C0BADF3" w14:textId="77777777" w:rsidR="00CD7542" w:rsidRDefault="00CD7542" w:rsidP="00CD7542">
      <w:pPr>
        <w:pStyle w:val="BodyText"/>
      </w:pPr>
      <w:r>
        <w:t>The GMRG is also proposing that a provision be included in the NGR that requires any facility agreements entered into after the commencement of these reforms, to allow the shipper to sell capacity under an operational TSA and to give effect to the principles listed above.</w:t>
      </w:r>
    </w:p>
    <w:p w14:paraId="771D2F65" w14:textId="77777777" w:rsidR="00CD7542" w:rsidRDefault="00CD7542" w:rsidP="00CD7542">
      <w:pPr>
        <w:pStyle w:val="BodyText"/>
      </w:pPr>
      <w:r>
        <w:t>The GMRG is interested in hearing stakeholders’ views on this approach and has set out a number of questions in the box below.</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4.3: Questions on measures to overcome contractual limitations  "/>
        <w:tblDescription w:val="Questions on measures to overcome contractual limitations  "/>
      </w:tblPr>
      <w:tblGrid>
        <w:gridCol w:w="8788"/>
      </w:tblGrid>
      <w:tr w:rsidR="002A1ED1" w:rsidRPr="00F12295" w14:paraId="2996F8A0" w14:textId="77777777" w:rsidTr="001755BE">
        <w:trPr>
          <w:tblHeader/>
        </w:trPr>
        <w:tc>
          <w:tcPr>
            <w:tcW w:w="5000" w:type="pct"/>
            <w:shd w:val="clear" w:color="auto" w:fill="auto"/>
          </w:tcPr>
          <w:p w14:paraId="53ACDC94" w14:textId="634731FE" w:rsidR="002A1ED1" w:rsidRPr="00F12295" w:rsidRDefault="001755BE" w:rsidP="002A1ED1">
            <w:pPr>
              <w:pStyle w:val="ListNumber"/>
              <w:numPr>
                <w:ilvl w:val="0"/>
                <w:numId w:val="0"/>
              </w:numPr>
              <w:tabs>
                <w:tab w:val="left" w:pos="720"/>
              </w:tabs>
              <w:rPr>
                <w:rFonts w:eastAsiaTheme="majorEastAsia"/>
              </w:rPr>
            </w:pPr>
            <w:r>
              <w:rPr>
                <w:b/>
              </w:rPr>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3</w:t>
            </w:r>
            <w:r w:rsidRPr="002A1ED1">
              <w:rPr>
                <w:b/>
                <w:noProof/>
              </w:rPr>
              <w:fldChar w:fldCharType="end"/>
            </w:r>
            <w:r w:rsidRPr="002A1ED1">
              <w:rPr>
                <w:b/>
              </w:rPr>
              <w:t xml:space="preserve">: </w:t>
            </w:r>
            <w:r w:rsidRPr="002A1ED1">
              <w:rPr>
                <w:b/>
                <w:bCs/>
              </w:rPr>
              <w:t xml:space="preserve">Questions on measures to overcome contractual limitations  </w:t>
            </w:r>
          </w:p>
        </w:tc>
      </w:tr>
      <w:tr w:rsidR="00EA690D" w:rsidRPr="00F12295" w14:paraId="03E5E13C" w14:textId="77777777" w:rsidTr="002A1ED1">
        <w:tc>
          <w:tcPr>
            <w:tcW w:w="5000" w:type="pct"/>
            <w:shd w:val="clear" w:color="auto" w:fill="B7E7FF"/>
          </w:tcPr>
          <w:p w14:paraId="5C2264C1" w14:textId="31517B08" w:rsidR="00EA690D" w:rsidRPr="00F12295" w:rsidRDefault="00EA690D" w:rsidP="00EA690D">
            <w:pPr>
              <w:pStyle w:val="ListNumber"/>
              <w:numPr>
                <w:ilvl w:val="0"/>
                <w:numId w:val="29"/>
              </w:numPr>
              <w:tabs>
                <w:tab w:val="left" w:pos="720"/>
              </w:tabs>
              <w:ind w:left="357" w:hanging="357"/>
              <w:rPr>
                <w:rFonts w:eastAsiaTheme="majorEastAsia"/>
              </w:rPr>
            </w:pPr>
            <w:r w:rsidRPr="00F12295">
              <w:rPr>
                <w:rFonts w:eastAsiaTheme="majorEastAsia"/>
              </w:rPr>
              <w:t>Do you agree with the proposal to use a request and negotiate framework, rather than a standard form agreement model or more prescriptive provisions in the NGR to overcome the limitations on capacity trading in facility agreements? If not, please explain why.</w:t>
            </w:r>
          </w:p>
          <w:p w14:paraId="2E8015D5" w14:textId="77777777" w:rsidR="00EA690D" w:rsidRPr="00F12295" w:rsidRDefault="00EA690D" w:rsidP="00EA690D">
            <w:pPr>
              <w:pStyle w:val="ListNumber"/>
              <w:numPr>
                <w:ilvl w:val="0"/>
                <w:numId w:val="29"/>
              </w:numPr>
              <w:tabs>
                <w:tab w:val="left" w:pos="720"/>
              </w:tabs>
              <w:ind w:left="357" w:hanging="357"/>
              <w:rPr>
                <w:rFonts w:eastAsiaTheme="majorEastAsia"/>
              </w:rPr>
            </w:pPr>
            <w:r w:rsidRPr="00F12295">
              <w:rPr>
                <w:rFonts w:eastAsiaTheme="majorEastAsia"/>
              </w:rPr>
              <w:t xml:space="preserve">Do you think the 30-day period allowed for service providers to respond to a shipper seeking </w:t>
            </w:r>
            <w:r w:rsidRPr="00F12295">
              <w:rPr>
                <w:lang w:eastAsia="fr-CA"/>
              </w:rPr>
              <w:t>an amending agreement is appropriate? If not, why?</w:t>
            </w:r>
          </w:p>
          <w:p w14:paraId="02D25E6E" w14:textId="77777777" w:rsidR="00EA690D" w:rsidRPr="00F12295" w:rsidRDefault="00EA690D" w:rsidP="00EA690D">
            <w:pPr>
              <w:pStyle w:val="ListNumber"/>
              <w:numPr>
                <w:ilvl w:val="0"/>
                <w:numId w:val="29"/>
              </w:numPr>
              <w:tabs>
                <w:tab w:val="left" w:pos="720"/>
              </w:tabs>
              <w:ind w:left="357" w:hanging="357"/>
              <w:rPr>
                <w:rFonts w:eastAsiaTheme="majorEastAsia"/>
              </w:rPr>
            </w:pPr>
            <w:r w:rsidRPr="00F12295">
              <w:rPr>
                <w:rFonts w:eastAsiaTheme="majorEastAsia"/>
              </w:rPr>
              <w:t>Do you agree with the principles that service providers will be required to give effect to when amending the facility agreement in rule 642?</w:t>
            </w:r>
          </w:p>
          <w:p w14:paraId="5B7D5177" w14:textId="77777777" w:rsidR="00EA690D" w:rsidRPr="00F12295" w:rsidRDefault="00EA690D" w:rsidP="00EA690D">
            <w:pPr>
              <w:pStyle w:val="ListNumber"/>
              <w:numPr>
                <w:ilvl w:val="0"/>
                <w:numId w:val="29"/>
              </w:numPr>
              <w:tabs>
                <w:tab w:val="left" w:pos="720"/>
              </w:tabs>
              <w:ind w:left="357" w:hanging="357"/>
              <w:rPr>
                <w:rFonts w:eastAsiaTheme="majorEastAsia"/>
              </w:rPr>
            </w:pPr>
            <w:r w:rsidRPr="00F12295">
              <w:rPr>
                <w:rFonts w:eastAsiaTheme="majorEastAsia"/>
              </w:rPr>
              <w:t>Do you agree with the proposal to require service providers to comply with the change in receipt and delivery point provisions in rule 643?</w:t>
            </w:r>
          </w:p>
          <w:p w14:paraId="71AB2237" w14:textId="77777777" w:rsidR="00EA690D" w:rsidRPr="00F12295" w:rsidRDefault="00EA690D" w:rsidP="00EA690D">
            <w:pPr>
              <w:pStyle w:val="ListNumber"/>
              <w:numPr>
                <w:ilvl w:val="0"/>
                <w:numId w:val="29"/>
              </w:numPr>
              <w:tabs>
                <w:tab w:val="left" w:pos="720"/>
              </w:tabs>
              <w:ind w:left="357" w:hanging="357"/>
              <w:rPr>
                <w:rFonts w:eastAsiaTheme="majorEastAsia"/>
              </w:rPr>
            </w:pPr>
            <w:r w:rsidRPr="00F12295">
              <w:rPr>
                <w:rFonts w:eastAsiaTheme="majorEastAsia"/>
              </w:rPr>
              <w:t xml:space="preserve">Do you agree with the proposal in rule 643(6) to restrict the ability of service providers to make its consent on a receipt or delivery point change conditional on obtaining the </w:t>
            </w:r>
            <w:r w:rsidRPr="00F12295">
              <w:t>consent of a third party but only:</w:t>
            </w:r>
          </w:p>
          <w:p w14:paraId="4D4C7C9C" w14:textId="77777777" w:rsidR="00EA690D" w:rsidRPr="00F12295" w:rsidRDefault="00EA690D" w:rsidP="00EA690D">
            <w:pPr>
              <w:pStyle w:val="Heading3"/>
              <w:keepNext w:val="0"/>
              <w:keepLines w:val="0"/>
              <w:numPr>
                <w:ilvl w:val="2"/>
                <w:numId w:val="48"/>
              </w:numPr>
              <w:spacing w:before="120" w:after="120" w:line="269" w:lineRule="auto"/>
              <w:ind w:left="924" w:hanging="567"/>
              <w:contextualSpacing w:val="0"/>
              <w:outlineLvl w:val="2"/>
              <w:rPr>
                <w:b w:val="0"/>
                <w:color w:val="auto"/>
                <w:sz w:val="22"/>
              </w:rPr>
            </w:pPr>
            <w:r w:rsidRPr="00F12295">
              <w:rPr>
                <w:b w:val="0"/>
                <w:color w:val="auto"/>
                <w:sz w:val="22"/>
              </w:rPr>
              <w:t xml:space="preserve">where the transportation service provider would be in breach of contract if it gave effect to the request without the consent of the third party; and </w:t>
            </w:r>
          </w:p>
          <w:p w14:paraId="0A55446B" w14:textId="77777777" w:rsidR="00EA690D" w:rsidRPr="00F12295" w:rsidRDefault="00EA690D" w:rsidP="00EA690D">
            <w:pPr>
              <w:pStyle w:val="Heading3"/>
              <w:keepNext w:val="0"/>
              <w:keepLines w:val="0"/>
              <w:numPr>
                <w:ilvl w:val="2"/>
                <w:numId w:val="48"/>
              </w:numPr>
              <w:spacing w:before="120" w:after="120" w:line="269" w:lineRule="auto"/>
              <w:ind w:left="924" w:hanging="567"/>
              <w:contextualSpacing w:val="0"/>
              <w:outlineLvl w:val="2"/>
              <w:rPr>
                <w:b w:val="0"/>
                <w:color w:val="auto"/>
                <w:sz w:val="22"/>
              </w:rPr>
            </w:pPr>
            <w:r w:rsidRPr="00F12295">
              <w:rPr>
                <w:b w:val="0"/>
                <w:color w:val="auto"/>
                <w:sz w:val="22"/>
              </w:rPr>
              <w:t>if the third party is another transportation facility user or an associate of another transportation facility user, the requirement to obtain that person's consent arises under a contractual provision entered into before 3 January 2018.</w:t>
            </w:r>
          </w:p>
          <w:p w14:paraId="5A442901" w14:textId="042E64E3" w:rsidR="00EA690D" w:rsidRPr="00F12295" w:rsidRDefault="00EA690D" w:rsidP="00AB5ABC">
            <w:pPr>
              <w:pStyle w:val="ListNumber"/>
              <w:numPr>
                <w:ilvl w:val="0"/>
                <w:numId w:val="0"/>
              </w:numPr>
              <w:tabs>
                <w:tab w:val="left" w:pos="720"/>
              </w:tabs>
              <w:ind w:left="357"/>
              <w:rPr>
                <w:rFonts w:eastAsiaTheme="majorEastAsia"/>
              </w:rPr>
            </w:pPr>
            <w:r w:rsidRPr="00F12295">
              <w:rPr>
                <w:rFonts w:eastAsiaTheme="majorEastAsia"/>
              </w:rPr>
              <w:t>If not, why?</w:t>
            </w:r>
          </w:p>
        </w:tc>
      </w:tr>
    </w:tbl>
    <w:p w14:paraId="0A50B582" w14:textId="77777777" w:rsidR="00CD7542" w:rsidRPr="0088684C" w:rsidRDefault="00CD7542" w:rsidP="00CD7542">
      <w:pPr>
        <w:pStyle w:val="Heading3"/>
      </w:pPr>
      <w:r w:rsidRPr="0088684C">
        <w:t>Governance arrangements for the specification of zones</w:t>
      </w:r>
    </w:p>
    <w:p w14:paraId="554FE06A" w14:textId="77777777" w:rsidR="00CD7542" w:rsidRDefault="00CD7542" w:rsidP="00CD7542">
      <w:pPr>
        <w:pStyle w:val="BodyText"/>
      </w:pPr>
      <w:r>
        <w:t xml:space="preserve">In the final recommendations, the GMRG noted that the success of the capacity trading platform and the reforms more generally would be critically dependent on the zones that are established for each transportation facility. The GMRG therefore recommended that the development of zones should be </w:t>
      </w:r>
      <w:bookmarkStart w:id="99" w:name="_Hlk504988606"/>
      <w:r>
        <w:t xml:space="preserve">guided by the overarching objectives of the capacity </w:t>
      </w:r>
      <w:r>
        <w:lastRenderedPageBreak/>
        <w:t>trading reform package and the principle that the bounds of the zones should seek to maximise the pool of prospective buyers and sellers of capacity, subject to:</w:t>
      </w:r>
      <w:r>
        <w:rPr>
          <w:rStyle w:val="FootnoteReference"/>
        </w:rPr>
        <w:footnoteReference w:id="19"/>
      </w:r>
      <w:r>
        <w:t xml:space="preserve"> </w:t>
      </w:r>
    </w:p>
    <w:p w14:paraId="74613871" w14:textId="77777777" w:rsidR="00CD7542" w:rsidRDefault="00CD7542" w:rsidP="00CD7542">
      <w:pPr>
        <w:pStyle w:val="ListBullet"/>
      </w:pPr>
      <w:r>
        <w:t xml:space="preserve">the need for capacity to be transferred between points within the zone on a one-for-one basis if there is physical capacity at the relevant point; </w:t>
      </w:r>
    </w:p>
    <w:p w14:paraId="50BF4382" w14:textId="77777777" w:rsidR="00CD7542" w:rsidRDefault="00CD7542" w:rsidP="00CD7542">
      <w:pPr>
        <w:pStyle w:val="ListBullet"/>
      </w:pPr>
      <w:r>
        <w:t>any risk that secondary shippers will not be able to access capacity at a receipt or delivery point within the zone being at an acceptable level; and</w:t>
      </w:r>
    </w:p>
    <w:p w14:paraId="548DA0D3" w14:textId="77777777" w:rsidR="00CD7542" w:rsidRDefault="00CD7542" w:rsidP="00CD7542">
      <w:pPr>
        <w:pStyle w:val="ListBullet"/>
      </w:pPr>
      <w:r>
        <w:t>the operational and technical requirements necessary for the safe and reliable operation of the pipeline and being able to adapt to future operational changes to the pipeline (i.e. to minimise changes to the zonal definition over time).</w:t>
      </w:r>
    </w:p>
    <w:bookmarkEnd w:id="99"/>
    <w:p w14:paraId="585FAD3F" w14:textId="77777777" w:rsidR="00CD7542" w:rsidRDefault="00CD7542" w:rsidP="00CD7542">
      <w:pPr>
        <w:pStyle w:val="BodyText"/>
      </w:pPr>
      <w:r>
        <w:t>The GMRG also recommended that changes to zonal definitions be subject to the same hybrid governance arrangements that will apply to the Code, with the industry-based panel assessing the proposed change before making a recommendation to the AER, who would then be responsible for approving the change.</w:t>
      </w:r>
    </w:p>
    <w:p w14:paraId="6986279F" w14:textId="585F17AF" w:rsidR="00CD7542" w:rsidRDefault="00CD7542" w:rsidP="00CD7542">
      <w:pPr>
        <w:pStyle w:val="BodyText"/>
      </w:pPr>
      <w:r>
        <w:t>In subsequent discussions with service providers, concerns were raised about the involvement of an industry-based panel in the specification of zones, with a number noting that the specification of zones was largely a</w:t>
      </w:r>
      <w:r w:rsidR="00F163DB">
        <w:t xml:space="preserve">n operational matter and should, to the extent possible, </w:t>
      </w:r>
      <w:r>
        <w:t xml:space="preserve">be left to service providers. Concerns were also raised about the potential for this process to result in the provision of confidential information on pipeline developments to an industry-based panel. A number of service providers therefore suggested the adoption of an alternative governance framework, under which service providers would propose zones and AEMO would be responsible for approving the zones and carrying out any consultation on the zones. </w:t>
      </w:r>
    </w:p>
    <w:p w14:paraId="5AAAE184" w14:textId="77777777" w:rsidR="00CD7542" w:rsidRDefault="00CD7542" w:rsidP="00CD7542">
      <w:pPr>
        <w:pStyle w:val="BodyText"/>
      </w:pPr>
      <w:r>
        <w:t>While the approach proposed by service providers had some initial appeal, it has become clear through the preliminary work carried out by some service providers on zones, that operational considerations may be given greater weight than market considerations under this propose-respond model.  While operational constraints are important considerations in defining zones, and, in particular, the ability to understand whether capacity can be transferred on a one-for-one (or approximately one-for-one) basis between points within a zone, the zones are not intended to impact on those operational constraints; rather, the impact of operational constraints in a zone are intended to be assessed and weighed against the benefits to the market in grouping points within a zone.</w:t>
      </w:r>
    </w:p>
    <w:p w14:paraId="689A6E3A" w14:textId="77777777" w:rsidR="00CD7542" w:rsidRDefault="00CD7542" w:rsidP="00CD7542">
      <w:pPr>
        <w:pStyle w:val="BodyText"/>
      </w:pPr>
      <w:r>
        <w:t>In some cases, this may result in greater weight being placed on the benefits of the grouping, even though capacity cannot be transferred on a one-for-one basis within the zone, because the benefit of being able to trade with more parties in the zone is perceived to outweigh the commercial risk to shippers in buying capacity on a zonal basis. In other cases, however, the commercial risk may be considered too high and a narrower zonal definition may be adopted.</w:t>
      </w:r>
    </w:p>
    <w:p w14:paraId="078388C8" w14:textId="77777777" w:rsidR="00CD7542" w:rsidRDefault="00CD7542" w:rsidP="00CD7542">
      <w:pPr>
        <w:pStyle w:val="BodyText"/>
      </w:pPr>
      <w:r>
        <w:t xml:space="preserve">Given the trade-offs that may be involved in defining the bounds of the zones, the GMRG has given further thought to whether an alternative governance arrangement could be implemented that would result in a more balanced approach to the specification of zones.  </w:t>
      </w:r>
    </w:p>
    <w:p w14:paraId="5C230EBC" w14:textId="77777777" w:rsidR="00CD7542" w:rsidRDefault="00CD7542" w:rsidP="00CD7542">
      <w:pPr>
        <w:pStyle w:val="BodyText"/>
      </w:pPr>
      <w:r>
        <w:lastRenderedPageBreak/>
        <w:t>The alternative that the GMRG is proposing, which is reflected in the legal and regulatory framework, accords AEMO responsibility for determining the zones that will be used for the capacity trading platform and auction by type (i.e. receipt zones or delivery zones). In determining the bounds of the zones, AEMO will be required to apply the following principles, which will be set out in the NGR:</w:t>
      </w:r>
    </w:p>
    <w:p w14:paraId="47F93756" w14:textId="77777777" w:rsidR="00CD7542" w:rsidRDefault="00CD7542" w:rsidP="00CD7542">
      <w:pPr>
        <w:pStyle w:val="ListBullet"/>
      </w:pPr>
      <w:r>
        <w:t>a zone may consist of one service point;</w:t>
      </w:r>
    </w:p>
    <w:p w14:paraId="3ECCAD71" w14:textId="77777777" w:rsidR="00CD7542" w:rsidRDefault="00CD7542" w:rsidP="00CD7542">
      <w:pPr>
        <w:pStyle w:val="ListBullet"/>
      </w:pPr>
      <w:r>
        <w:t>two or more service points may be grouped in a zone when to do so seems reasonably likely to promote efficient trade in and use of transportation capacity;</w:t>
      </w:r>
    </w:p>
    <w:p w14:paraId="4D26A1AA" w14:textId="77777777" w:rsidR="00CD7542" w:rsidRDefault="00CD7542" w:rsidP="00CD7542">
      <w:pPr>
        <w:pStyle w:val="ListBullet"/>
      </w:pPr>
      <w:r>
        <w:t>in determining a grouping as provided for in paragraph (b), AEMO may have regard to any matter relevant to that determination including:</w:t>
      </w:r>
    </w:p>
    <w:p w14:paraId="5E14D9E3" w14:textId="77777777" w:rsidR="00CD7542" w:rsidRDefault="00CD7542" w:rsidP="00CD7542">
      <w:pPr>
        <w:pStyle w:val="ListBullet2"/>
      </w:pPr>
      <w:r>
        <w:t>the impact of the proposed grouping on trade in products offered through the capacity trading platform or the auction including the impact on demand or liquidity; and</w:t>
      </w:r>
    </w:p>
    <w:p w14:paraId="60F7BF37" w14:textId="77777777" w:rsidR="00CD7542" w:rsidRDefault="00CD7542" w:rsidP="00CD7542">
      <w:pPr>
        <w:pStyle w:val="ListBullet2"/>
      </w:pPr>
      <w:r>
        <w:t>the ability for transportation capacity to be transferred under the proposed grouping between service points within the zone, whether over time or at particular times or in particular conditions;</w:t>
      </w:r>
    </w:p>
    <w:p w14:paraId="1B6F9473" w14:textId="77777777" w:rsidR="00CD7542" w:rsidRDefault="00CD7542" w:rsidP="00CD7542">
      <w:pPr>
        <w:pStyle w:val="ListBullet"/>
      </w:pPr>
      <w:r>
        <w:t>service points used for delivery of gas and receipt of gas must be grouped into zones within their respective categories (i.e. a receipt zone will only contain receipt points and a delivery zone will only contain delivery points);</w:t>
      </w:r>
    </w:p>
    <w:p w14:paraId="229EAFBC" w14:textId="77777777" w:rsidR="00CD7542" w:rsidRDefault="00CD7542" w:rsidP="00CD7542">
      <w:pPr>
        <w:pStyle w:val="ListBullet"/>
      </w:pPr>
      <w:r w:rsidRPr="00331C19">
        <w:t>a</w:t>
      </w:r>
      <w:r>
        <w:t xml:space="preserve"> service point</w:t>
      </w:r>
      <w:r>
        <w:rPr>
          <w:i/>
        </w:rPr>
        <w:t xml:space="preserve"> </w:t>
      </w:r>
      <w:r>
        <w:t>cannot be in more than one delivery point zone or receipt point zone (but if the point is used both for delivery and receipt, may be in both a delivery point zone and a receipt point zone); and</w:t>
      </w:r>
    </w:p>
    <w:p w14:paraId="3CC87C5D" w14:textId="77777777" w:rsidR="00CD7542" w:rsidRDefault="00CD7542" w:rsidP="00CD7542">
      <w:pPr>
        <w:pStyle w:val="ListBullet"/>
      </w:pPr>
      <w:r>
        <w:t>a service point</w:t>
      </w:r>
      <w:r w:rsidRPr="001A39E8">
        <w:rPr>
          <w:i/>
        </w:rPr>
        <w:t xml:space="preserve"> </w:t>
      </w:r>
      <w:r>
        <w:t>can be in both a delivery point zone and a receipt point zone where a pipeline is bidirectional.</w:t>
      </w:r>
    </w:p>
    <w:p w14:paraId="7257D70C" w14:textId="77777777" w:rsidR="00CD7542" w:rsidRDefault="00CD7542" w:rsidP="00CD7542">
      <w:pPr>
        <w:pStyle w:val="BodyText"/>
      </w:pPr>
      <w:r>
        <w:t>The NGR will also require non-exempt service providers to provide AEMO with the information it reasonably requires for the assessment of the proposed zones and to undertake any modelling or assessment of proposed zones required by AEMO.</w:t>
      </w:r>
    </w:p>
    <w:p w14:paraId="2EE1CA57" w14:textId="77777777" w:rsidR="00CD7542" w:rsidRDefault="00CD7542" w:rsidP="00CD7542">
      <w:pPr>
        <w:pStyle w:val="BodyText"/>
      </w:pPr>
      <w:r>
        <w:t xml:space="preserve">Where a zone consists of more than one point, AEMO will require modelling (which the service provider may be asked to provide) to determine the extent to which the grouping may result in a buyer not being able to access the capacity (i.e. because capacity may not be able to be transferred on a one-for-one basis across all points in the zone). AEMO will then consult on a proposed grouping, in accordance with the process set out in the Capacity Transfer and Auction </w:t>
      </w:r>
      <w:r w:rsidR="001D776E">
        <w:t>Procedures and</w:t>
      </w:r>
      <w:r>
        <w:t xml:space="preserve"> seek market participants’ views on the risks of not being able to have capacity transferred on a one-for-one basis and to understand whether that risk deters use of a proposed zone. </w:t>
      </w:r>
    </w:p>
    <w:p w14:paraId="271C4380" w14:textId="77777777" w:rsidR="00CD7542" w:rsidRDefault="00CD7542" w:rsidP="00CD7542">
      <w:pPr>
        <w:pStyle w:val="BodyText"/>
      </w:pPr>
      <w:r>
        <w:t>Once AEMO has made its decision on the specification of zones, it must publish information about the ability to transfer capacity between points within each zone, whether over time, at particular times or in particular conditions.</w:t>
      </w:r>
    </w:p>
    <w:p w14:paraId="02563B74" w14:textId="77777777" w:rsidR="00CD7542" w:rsidRDefault="00CD7542" w:rsidP="00CD7542">
      <w:pPr>
        <w:pStyle w:val="BodyText"/>
      </w:pPr>
      <w:r>
        <w:t>The GMRG is interested in obtaining stakeholder feedback on this alternative approach and has set out a number of specific questions it would like to obtain feedback on in the box below.</w:t>
      </w:r>
    </w:p>
    <w:tbl>
      <w:tblPr>
        <w:tblStyle w:val="PullOutBoxTable"/>
        <w:tblW w:w="5000" w:type="pct"/>
        <w:shd w:val="clear" w:color="auto" w:fill="B7E7FF"/>
        <w:tblCellMar>
          <w:top w:w="57" w:type="dxa"/>
          <w:bottom w:w="57" w:type="dxa"/>
        </w:tblCellMar>
        <w:tblLook w:val="0600" w:firstRow="0" w:lastRow="0" w:firstColumn="0" w:lastColumn="0" w:noHBand="1" w:noVBand="1"/>
        <w:tblCaption w:val="Box 4.4: Questions on the governance arrangements for zones"/>
        <w:tblDescription w:val="Box 4.4: Questions on the governance arrangements for zones"/>
      </w:tblPr>
      <w:tblGrid>
        <w:gridCol w:w="8788"/>
      </w:tblGrid>
      <w:tr w:rsidR="00AB5ABC" w:rsidRPr="00F12295" w14:paraId="2DDDEB8D" w14:textId="77777777" w:rsidTr="00AB5ABC">
        <w:trPr>
          <w:tblHeader/>
        </w:trPr>
        <w:tc>
          <w:tcPr>
            <w:tcW w:w="5000" w:type="pct"/>
            <w:shd w:val="clear" w:color="auto" w:fill="auto"/>
          </w:tcPr>
          <w:p w14:paraId="56203D56" w14:textId="21762D12" w:rsidR="00AB5ABC" w:rsidRPr="00F12295" w:rsidRDefault="00AB5ABC" w:rsidP="00AB5ABC">
            <w:pPr>
              <w:pStyle w:val="ListNumber"/>
              <w:numPr>
                <w:ilvl w:val="0"/>
                <w:numId w:val="0"/>
              </w:numPr>
              <w:tabs>
                <w:tab w:val="left" w:pos="720"/>
              </w:tabs>
              <w:spacing w:before="0"/>
              <w:rPr>
                <w:rFonts w:eastAsiaTheme="majorEastAsia"/>
              </w:rPr>
            </w:pPr>
            <w:r w:rsidRPr="002A1ED1">
              <w:rPr>
                <w:b/>
              </w:rPr>
              <w:lastRenderedPageBreak/>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4</w:t>
            </w:r>
            <w:r w:rsidRPr="002A1ED1">
              <w:rPr>
                <w:b/>
                <w:noProof/>
              </w:rPr>
              <w:fldChar w:fldCharType="end"/>
            </w:r>
            <w:r w:rsidRPr="002A1ED1">
              <w:rPr>
                <w:b/>
              </w:rPr>
              <w:t xml:space="preserve">: </w:t>
            </w:r>
            <w:r w:rsidRPr="002A1ED1">
              <w:rPr>
                <w:b/>
                <w:bCs/>
              </w:rPr>
              <w:t>Questions on the governance arrangements for zones</w:t>
            </w:r>
          </w:p>
        </w:tc>
      </w:tr>
      <w:tr w:rsidR="00AB5ABC" w:rsidRPr="00F12295" w14:paraId="275500D0" w14:textId="77777777" w:rsidTr="00AB5ABC">
        <w:tc>
          <w:tcPr>
            <w:tcW w:w="5000" w:type="pct"/>
            <w:shd w:val="clear" w:color="auto" w:fill="B7E7FF"/>
          </w:tcPr>
          <w:p w14:paraId="12725E48" w14:textId="77777777" w:rsidR="00AB5ABC" w:rsidRPr="00F12295" w:rsidRDefault="00AB5ABC" w:rsidP="00AB5ABC">
            <w:pPr>
              <w:pStyle w:val="ListNumber"/>
              <w:numPr>
                <w:ilvl w:val="0"/>
                <w:numId w:val="29"/>
              </w:numPr>
              <w:tabs>
                <w:tab w:val="left" w:pos="720"/>
              </w:tabs>
              <w:ind w:left="357" w:hanging="357"/>
              <w:rPr>
                <w:rFonts w:eastAsiaTheme="majorEastAsia"/>
              </w:rPr>
            </w:pPr>
            <w:r w:rsidRPr="00F12295">
              <w:rPr>
                <w:rFonts w:eastAsiaTheme="majorEastAsia"/>
              </w:rPr>
              <w:t>Do you agree with the GMRG’s proposed change to the governance arrangements for the specification of zones? If not, please explain why and set out the arrangements that you think should be employed.</w:t>
            </w:r>
          </w:p>
          <w:p w14:paraId="4897B8FD" w14:textId="77777777" w:rsidR="00AB5ABC" w:rsidRPr="00F12295" w:rsidRDefault="00AB5ABC" w:rsidP="00AB5ABC">
            <w:pPr>
              <w:pStyle w:val="ListNumber"/>
              <w:numPr>
                <w:ilvl w:val="0"/>
                <w:numId w:val="29"/>
              </w:numPr>
              <w:tabs>
                <w:tab w:val="left" w:pos="720"/>
              </w:tabs>
              <w:ind w:left="357" w:hanging="357"/>
              <w:rPr>
                <w:rFonts w:eastAsiaTheme="majorEastAsia"/>
              </w:rPr>
            </w:pPr>
            <w:r w:rsidRPr="00F12295">
              <w:rPr>
                <w:rFonts w:eastAsiaTheme="majorEastAsia"/>
              </w:rPr>
              <w:t>Do you agree with the specification of the principles that AEMO would be required to have regard to when determining the allocation of service points to zones? If not, please set out why and any amendments you would propose to these principles.</w:t>
            </w:r>
          </w:p>
          <w:p w14:paraId="7FA08AA9" w14:textId="77777777" w:rsidR="00AB5ABC" w:rsidRDefault="00AB5ABC" w:rsidP="00AB5ABC">
            <w:pPr>
              <w:pStyle w:val="ListNumber"/>
              <w:numPr>
                <w:ilvl w:val="0"/>
                <w:numId w:val="29"/>
              </w:numPr>
              <w:tabs>
                <w:tab w:val="left" w:pos="720"/>
              </w:tabs>
              <w:ind w:left="357" w:hanging="357"/>
              <w:rPr>
                <w:rFonts w:eastAsiaTheme="majorEastAsia"/>
              </w:rPr>
            </w:pPr>
            <w:r w:rsidRPr="00F12295">
              <w:rPr>
                <w:rFonts w:eastAsiaTheme="majorEastAsia"/>
              </w:rPr>
              <w:t>Do you agree with the information disclosure obligations that service providers would be subject to under the NGR?</w:t>
            </w:r>
          </w:p>
          <w:p w14:paraId="30AAE662" w14:textId="4CF483E8" w:rsidR="00AB5ABC" w:rsidRPr="00F12295" w:rsidRDefault="00AB5ABC" w:rsidP="00AB5ABC">
            <w:pPr>
              <w:pStyle w:val="ListNumber"/>
              <w:numPr>
                <w:ilvl w:val="0"/>
                <w:numId w:val="29"/>
              </w:numPr>
              <w:tabs>
                <w:tab w:val="left" w:pos="720"/>
              </w:tabs>
              <w:ind w:left="357" w:hanging="357"/>
              <w:rPr>
                <w:rFonts w:eastAsiaTheme="majorEastAsia"/>
              </w:rPr>
            </w:pPr>
            <w:r w:rsidRPr="002A1ED1">
              <w:rPr>
                <w:rFonts w:eastAsiaTheme="majorEastAsia"/>
              </w:rPr>
              <w:t>Do you think any additional guidance on the specification of zones is required in the NGR?</w:t>
            </w:r>
          </w:p>
        </w:tc>
      </w:tr>
    </w:tbl>
    <w:p w14:paraId="4D7F90A8" w14:textId="77777777" w:rsidR="00CD7542" w:rsidRDefault="00CD7542" w:rsidP="00CD7542">
      <w:pPr>
        <w:pStyle w:val="Heading3"/>
      </w:pPr>
      <w:r>
        <w:t>Other matters</w:t>
      </w:r>
    </w:p>
    <w:p w14:paraId="31DD6542" w14:textId="77777777" w:rsidR="00CD7542" w:rsidRDefault="00CD7542" w:rsidP="00CD7542">
      <w:pPr>
        <w:pStyle w:val="BodyText"/>
      </w:pPr>
      <w:r>
        <w:t xml:space="preserve">In the discussions the GMRG has had since the final recommendations were made, questions have been raised by a number of stakeholders about whether any additional oversight of the service provider cost recovery arrangements is required to mitigate the risks of: </w:t>
      </w:r>
    </w:p>
    <w:p w14:paraId="158261DB" w14:textId="77777777" w:rsidR="00CD7542" w:rsidRDefault="00CD7542" w:rsidP="00CD7542">
      <w:pPr>
        <w:pStyle w:val="ListBullet"/>
      </w:pPr>
      <w:r>
        <w:t xml:space="preserve">‘gold plating’ of systems; and </w:t>
      </w:r>
    </w:p>
    <w:p w14:paraId="45F0CFF9" w14:textId="77777777" w:rsidR="00CD7542" w:rsidRDefault="00CD7542" w:rsidP="00CD7542">
      <w:pPr>
        <w:pStyle w:val="ListBullet"/>
      </w:pPr>
      <w:r>
        <w:t xml:space="preserve">service providers seeking to recover more than the incremental costs from shippers. </w:t>
      </w:r>
    </w:p>
    <w:p w14:paraId="42674CE3" w14:textId="77777777" w:rsidR="00CD7542" w:rsidRDefault="00CD7542" w:rsidP="00CD7542">
      <w:pPr>
        <w:pStyle w:val="BodyText"/>
        <w:rPr>
          <w:rFonts w:asciiTheme="majorHAnsi" w:hAnsiTheme="majorHAnsi" w:cstheme="majorHAnsi"/>
        </w:rPr>
      </w:pPr>
      <w:r>
        <w:t xml:space="preserve">The cost recovery provisions that have been proposed in the NGR currently provide for service providers to have a reasonable opportunity to </w:t>
      </w:r>
      <w:r>
        <w:rPr>
          <w:rFonts w:asciiTheme="majorHAnsi" w:hAnsiTheme="majorHAnsi" w:cstheme="majorHAnsi"/>
        </w:rPr>
        <w:t xml:space="preserve">recover the reasonable </w:t>
      </w:r>
      <w:r w:rsidRPr="00BE3465">
        <w:rPr>
          <w:rFonts w:asciiTheme="majorHAnsi" w:hAnsiTheme="majorHAnsi" w:cstheme="majorHAnsi"/>
          <w:b/>
        </w:rPr>
        <w:t>incremental</w:t>
      </w:r>
      <w:r>
        <w:rPr>
          <w:rFonts w:asciiTheme="majorHAnsi" w:hAnsiTheme="majorHAnsi" w:cstheme="majorHAnsi"/>
        </w:rPr>
        <w:t xml:space="preserve"> costs associated with establishing and maintaining: </w:t>
      </w:r>
    </w:p>
    <w:p w14:paraId="0FFD7A9B" w14:textId="77777777" w:rsidR="00CD7542" w:rsidRDefault="00CD7542" w:rsidP="00CD7542">
      <w:pPr>
        <w:pStyle w:val="ListBullet"/>
      </w:pPr>
      <w:r>
        <w:t>the standard operational agreements for its facilities; and</w:t>
      </w:r>
    </w:p>
    <w:p w14:paraId="0A55537E" w14:textId="77777777" w:rsidR="00CD7542" w:rsidRDefault="00CD7542" w:rsidP="00CD7542">
      <w:pPr>
        <w:pStyle w:val="ListBullet"/>
      </w:pPr>
      <w:r>
        <w:t>systems and processes required to comply with its obligations under the NGR and Capacity Transfer and Auction Procedures.</w:t>
      </w:r>
    </w:p>
    <w:p w14:paraId="0670D1AF" w14:textId="77777777" w:rsidR="00CD7542" w:rsidRDefault="00CD7542" w:rsidP="00CD7542">
      <w:pPr>
        <w:pStyle w:val="BodyText"/>
        <w:rPr>
          <w:rFonts w:asciiTheme="majorHAnsi" w:hAnsiTheme="majorHAnsi" w:cstheme="majorHAnsi"/>
        </w:rPr>
      </w:pPr>
      <w:r>
        <w:rPr>
          <w:rFonts w:asciiTheme="majorHAnsi" w:hAnsiTheme="majorHAnsi" w:cstheme="majorHAnsi"/>
        </w:rPr>
        <w:t xml:space="preserve">The cost recovery provisions also state that: </w:t>
      </w:r>
    </w:p>
    <w:p w14:paraId="3128CFF0" w14:textId="77777777" w:rsidR="00CD7542" w:rsidRDefault="00CD7542" w:rsidP="00CD7542">
      <w:pPr>
        <w:pStyle w:val="ListBullet"/>
      </w:pPr>
      <w:r>
        <w:t>the costs must not be recovered more than once and that any auction revenue received by the facility operator must be treated as a contribution to the recovery of costs; and</w:t>
      </w:r>
    </w:p>
    <w:p w14:paraId="05BDE7DB" w14:textId="77777777" w:rsidR="00CD7542" w:rsidRDefault="00CD7542" w:rsidP="00CD7542">
      <w:pPr>
        <w:pStyle w:val="ListBullet"/>
      </w:pPr>
      <w:r>
        <w:t xml:space="preserve">the charges levied by the service providers, must: </w:t>
      </w:r>
    </w:p>
    <w:p w14:paraId="617482D7" w14:textId="77777777" w:rsidR="00CD7542" w:rsidRDefault="00CD7542" w:rsidP="00CD7542">
      <w:pPr>
        <w:pStyle w:val="ListBullet2"/>
      </w:pPr>
      <w:r>
        <w:t>as far as practicable reflect the outcomes of a workably competitive market;</w:t>
      </w:r>
    </w:p>
    <w:p w14:paraId="4DCC5A7B" w14:textId="77777777" w:rsidR="00CD7542" w:rsidRDefault="00CD7542" w:rsidP="00CD7542">
      <w:pPr>
        <w:pStyle w:val="ListBullet2"/>
      </w:pPr>
      <w:r>
        <w:t xml:space="preserve">allocate the costs among shippers in a reasonable manner; and </w:t>
      </w:r>
    </w:p>
    <w:p w14:paraId="33B7FB7F" w14:textId="77777777" w:rsidR="00CD7542" w:rsidRDefault="00CD7542" w:rsidP="00CD7542">
      <w:pPr>
        <w:pStyle w:val="ListBullet2"/>
      </w:pPr>
      <w:r>
        <w:t xml:space="preserve">provide for the recovery of costs over time in a manner that promotes efficient trade in, and utilisation of, capacity. </w:t>
      </w:r>
    </w:p>
    <w:p w14:paraId="343816AC" w14:textId="77777777" w:rsidR="00CD7542" w:rsidRDefault="00CD7542" w:rsidP="00CD7542">
      <w:pPr>
        <w:pStyle w:val="BodyText"/>
      </w:pPr>
      <w:r>
        <w:rPr>
          <w:rFonts w:asciiTheme="majorHAnsi" w:hAnsiTheme="majorHAnsi" w:cstheme="majorHAnsi"/>
          <w:szCs w:val="18"/>
        </w:rPr>
        <w:t xml:space="preserve">Provision has also been made in the NGR for the </w:t>
      </w:r>
      <w:r w:rsidRPr="00624B98">
        <w:rPr>
          <w:rFonts w:asciiTheme="majorHAnsi" w:hAnsiTheme="majorHAnsi" w:cstheme="majorHAnsi"/>
          <w:szCs w:val="18"/>
        </w:rPr>
        <w:t>AER to</w:t>
      </w:r>
      <w:r>
        <w:rPr>
          <w:rFonts w:asciiTheme="majorHAnsi" w:hAnsiTheme="majorHAnsi" w:cstheme="majorHAnsi"/>
          <w:szCs w:val="18"/>
        </w:rPr>
        <w:t xml:space="preserve"> </w:t>
      </w:r>
      <w:r w:rsidRPr="00624B98">
        <w:rPr>
          <w:rFonts w:asciiTheme="majorHAnsi" w:hAnsiTheme="majorHAnsi" w:cstheme="majorHAnsi"/>
          <w:szCs w:val="18"/>
        </w:rPr>
        <w:t xml:space="preserve">conduct </w:t>
      </w:r>
      <w:r>
        <w:rPr>
          <w:rFonts w:asciiTheme="majorHAnsi" w:hAnsiTheme="majorHAnsi" w:cstheme="majorHAnsi"/>
          <w:szCs w:val="18"/>
        </w:rPr>
        <w:t xml:space="preserve">an </w:t>
      </w:r>
      <w:r w:rsidRPr="00CE403E">
        <w:rPr>
          <w:rFonts w:asciiTheme="majorHAnsi" w:hAnsiTheme="majorHAnsi" w:cstheme="majorHAnsi"/>
          <w:i/>
          <w:szCs w:val="18"/>
        </w:rPr>
        <w:t>ex post</w:t>
      </w:r>
      <w:r>
        <w:rPr>
          <w:rFonts w:asciiTheme="majorHAnsi" w:hAnsiTheme="majorHAnsi" w:cstheme="majorHAnsi"/>
          <w:szCs w:val="18"/>
        </w:rPr>
        <w:t xml:space="preserve"> </w:t>
      </w:r>
      <w:r w:rsidRPr="00624B98">
        <w:rPr>
          <w:rFonts w:asciiTheme="majorHAnsi" w:hAnsiTheme="majorHAnsi" w:cstheme="majorHAnsi"/>
          <w:szCs w:val="18"/>
        </w:rPr>
        <w:t>review of a service provider’s charges if it has concerns about the</w:t>
      </w:r>
      <w:r>
        <w:rPr>
          <w:rFonts w:asciiTheme="majorHAnsi" w:hAnsiTheme="majorHAnsi" w:cstheme="majorHAnsi"/>
          <w:szCs w:val="18"/>
        </w:rPr>
        <w:t>ir</w:t>
      </w:r>
      <w:r w:rsidRPr="00624B98">
        <w:rPr>
          <w:rFonts w:asciiTheme="majorHAnsi" w:hAnsiTheme="majorHAnsi" w:cstheme="majorHAnsi"/>
          <w:szCs w:val="18"/>
        </w:rPr>
        <w:t xml:space="preserve"> level (or if concerns are raised by an interested party) and </w:t>
      </w:r>
      <w:r>
        <w:rPr>
          <w:rFonts w:asciiTheme="majorHAnsi" w:hAnsiTheme="majorHAnsi" w:cstheme="majorHAnsi"/>
          <w:szCs w:val="18"/>
        </w:rPr>
        <w:t xml:space="preserve">to </w:t>
      </w:r>
      <w:r w:rsidRPr="00624B98">
        <w:rPr>
          <w:rFonts w:asciiTheme="majorHAnsi" w:hAnsiTheme="majorHAnsi" w:cstheme="majorHAnsi"/>
          <w:szCs w:val="18"/>
        </w:rPr>
        <w:t>require amendments if it finds that they do not comply with the pricing principle</w:t>
      </w:r>
      <w:r>
        <w:rPr>
          <w:rFonts w:asciiTheme="majorHAnsi" w:hAnsiTheme="majorHAnsi" w:cstheme="majorHAnsi"/>
          <w:szCs w:val="18"/>
        </w:rPr>
        <w:t>s</w:t>
      </w:r>
      <w:r w:rsidRPr="00624B98">
        <w:rPr>
          <w:rFonts w:asciiTheme="majorHAnsi" w:hAnsiTheme="majorHAnsi" w:cstheme="majorHAnsi"/>
          <w:szCs w:val="18"/>
        </w:rPr>
        <w:t xml:space="preserve"> </w:t>
      </w:r>
      <w:r>
        <w:rPr>
          <w:rFonts w:asciiTheme="majorHAnsi" w:hAnsiTheme="majorHAnsi" w:cstheme="majorHAnsi"/>
          <w:szCs w:val="18"/>
        </w:rPr>
        <w:t>in the NGR</w:t>
      </w:r>
      <w:r w:rsidRPr="00624B98">
        <w:rPr>
          <w:rFonts w:asciiTheme="majorHAnsi" w:hAnsiTheme="majorHAnsi" w:cstheme="majorHAnsi"/>
          <w:szCs w:val="18"/>
        </w:rPr>
        <w:t>.</w:t>
      </w:r>
      <w:r>
        <w:rPr>
          <w:rFonts w:asciiTheme="majorHAnsi" w:hAnsiTheme="majorHAnsi" w:cstheme="majorHAnsi"/>
          <w:szCs w:val="18"/>
        </w:rPr>
        <w:t xml:space="preserve"> An </w:t>
      </w:r>
      <w:r w:rsidRPr="00CE403E">
        <w:rPr>
          <w:rFonts w:asciiTheme="majorHAnsi" w:hAnsiTheme="majorHAnsi" w:cstheme="majorHAnsi"/>
          <w:i/>
          <w:szCs w:val="18"/>
        </w:rPr>
        <w:t>ex post</w:t>
      </w:r>
      <w:r>
        <w:rPr>
          <w:rFonts w:asciiTheme="majorHAnsi" w:hAnsiTheme="majorHAnsi" w:cstheme="majorHAnsi"/>
          <w:szCs w:val="18"/>
        </w:rPr>
        <w:t xml:space="preserve"> review was proposed in the GMRG’s final </w:t>
      </w:r>
      <w:r>
        <w:rPr>
          <w:rFonts w:asciiTheme="majorHAnsi" w:hAnsiTheme="majorHAnsi" w:cstheme="majorHAnsi"/>
          <w:szCs w:val="18"/>
        </w:rPr>
        <w:lastRenderedPageBreak/>
        <w:t xml:space="preserve">recommendations because it was concerned that the costs of requiring an </w:t>
      </w:r>
      <w:r w:rsidRPr="00CE403E">
        <w:rPr>
          <w:rFonts w:asciiTheme="majorHAnsi" w:hAnsiTheme="majorHAnsi" w:cstheme="majorHAnsi"/>
          <w:i/>
          <w:szCs w:val="18"/>
        </w:rPr>
        <w:t>ex ante</w:t>
      </w:r>
      <w:r>
        <w:rPr>
          <w:rFonts w:asciiTheme="majorHAnsi" w:hAnsiTheme="majorHAnsi" w:cstheme="majorHAnsi"/>
          <w:szCs w:val="18"/>
        </w:rPr>
        <w:t xml:space="preserve"> review may outweigh the benefits. Given the questions that have subsequently been raised about this issue, the GMRG is interested in understanding whether stakeholders think </w:t>
      </w:r>
      <w:r>
        <w:t xml:space="preserve">the </w:t>
      </w:r>
      <w:r w:rsidRPr="00CE403E">
        <w:rPr>
          <w:i/>
        </w:rPr>
        <w:t>ex post</w:t>
      </w:r>
      <w:r>
        <w:t xml:space="preserve"> approach is still appropriate, or if a greater level of oversight is required and, if so, whether this should take the form of:</w:t>
      </w:r>
    </w:p>
    <w:p w14:paraId="66CA8EA9" w14:textId="77777777" w:rsidR="00CD7542" w:rsidRDefault="00CD7542" w:rsidP="00CD7542">
      <w:pPr>
        <w:pStyle w:val="ListBullet"/>
      </w:pPr>
      <w:r>
        <w:t xml:space="preserve">an </w:t>
      </w:r>
      <w:r w:rsidRPr="004F36CD">
        <w:rPr>
          <w:i/>
        </w:rPr>
        <w:t>ex ante</w:t>
      </w:r>
      <w:r>
        <w:t xml:space="preserve"> review process by the AER; </w:t>
      </w:r>
    </w:p>
    <w:p w14:paraId="03CFE2DB" w14:textId="77777777" w:rsidR="00CD7542" w:rsidRDefault="00CD7542" w:rsidP="00CD7542">
      <w:pPr>
        <w:pStyle w:val="ListBullet"/>
      </w:pPr>
      <w:r>
        <w:t>a requirement for an independent auditor to confirm that the service provider is only seeking to recover the ‘incremental’ costs; or</w:t>
      </w:r>
    </w:p>
    <w:p w14:paraId="593EAFE4" w14:textId="77777777" w:rsidR="00CD7542" w:rsidRDefault="00CD7542" w:rsidP="00CD7542">
      <w:pPr>
        <w:pStyle w:val="ListBullet"/>
      </w:pPr>
      <w:r>
        <w:t>another form of review.</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4.5: Questions on service provider cost recovery arrangements"/>
        <w:tblDescription w:val="Questions on service provider cost recovery arrangements"/>
      </w:tblPr>
      <w:tblGrid>
        <w:gridCol w:w="8788"/>
      </w:tblGrid>
      <w:tr w:rsidR="00AB5ABC" w:rsidRPr="00F12295" w14:paraId="56849774" w14:textId="77777777" w:rsidTr="00AB5ABC">
        <w:trPr>
          <w:tblHeader/>
        </w:trPr>
        <w:tc>
          <w:tcPr>
            <w:tcW w:w="5000" w:type="pct"/>
            <w:shd w:val="clear" w:color="auto" w:fill="auto"/>
          </w:tcPr>
          <w:p w14:paraId="496F866B" w14:textId="12E91AE1" w:rsidR="00AB5ABC" w:rsidRPr="00F12295" w:rsidRDefault="00AB5ABC" w:rsidP="00AB5ABC">
            <w:pPr>
              <w:pStyle w:val="ListNumber"/>
              <w:numPr>
                <w:ilvl w:val="0"/>
                <w:numId w:val="0"/>
              </w:numPr>
              <w:tabs>
                <w:tab w:val="left" w:pos="720"/>
              </w:tabs>
              <w:rPr>
                <w:rFonts w:eastAsiaTheme="majorEastAsia"/>
              </w:rPr>
            </w:pPr>
            <w:r w:rsidRPr="002A1ED1">
              <w:rPr>
                <w:b/>
              </w:rPr>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4</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5</w:t>
            </w:r>
            <w:r w:rsidRPr="002A1ED1">
              <w:rPr>
                <w:b/>
                <w:noProof/>
              </w:rPr>
              <w:fldChar w:fldCharType="end"/>
            </w:r>
            <w:r w:rsidRPr="002A1ED1">
              <w:rPr>
                <w:b/>
              </w:rPr>
              <w:t xml:space="preserve">: </w:t>
            </w:r>
            <w:r w:rsidRPr="002A1ED1">
              <w:rPr>
                <w:b/>
                <w:bCs/>
              </w:rPr>
              <w:t>Questions on service provider cost recovery arrangements</w:t>
            </w:r>
          </w:p>
        </w:tc>
      </w:tr>
      <w:tr w:rsidR="00AB5ABC" w:rsidRPr="00F12295" w14:paraId="3EB078DB" w14:textId="77777777" w:rsidTr="002A1ED1">
        <w:tc>
          <w:tcPr>
            <w:tcW w:w="5000" w:type="pct"/>
            <w:shd w:val="clear" w:color="auto" w:fill="B7E7FF"/>
          </w:tcPr>
          <w:p w14:paraId="6906A338" w14:textId="3EA16BD8" w:rsidR="00AB5ABC" w:rsidRPr="00F12295" w:rsidRDefault="00AB5ABC" w:rsidP="002A1ED1">
            <w:pPr>
              <w:pStyle w:val="ListNumber"/>
              <w:numPr>
                <w:ilvl w:val="0"/>
                <w:numId w:val="29"/>
              </w:numPr>
              <w:tabs>
                <w:tab w:val="left" w:pos="720"/>
              </w:tabs>
              <w:ind w:left="357" w:hanging="357"/>
              <w:rPr>
                <w:rFonts w:eastAsiaTheme="majorEastAsia"/>
              </w:rPr>
            </w:pPr>
            <w:r w:rsidRPr="00F12295">
              <w:rPr>
                <w:rFonts w:eastAsiaTheme="majorEastAsia"/>
              </w:rPr>
              <w:t>Do you think the proposed service provider cost recovery arrangements provide sufficient protection against the risk of ‘gold plating’ or ‘cost shifting’? If not, please explain why and identify any other measures you think should be employed.</w:t>
            </w:r>
          </w:p>
        </w:tc>
      </w:tr>
    </w:tbl>
    <w:p w14:paraId="3F6E0E12" w14:textId="77777777" w:rsidR="00CD7542" w:rsidRDefault="00CD7542" w:rsidP="00CD7542">
      <w:pPr>
        <w:pStyle w:val="Heading2"/>
      </w:pPr>
      <w:bookmarkStart w:id="100" w:name="_Toc509239433"/>
      <w:r>
        <w:t>Proposed legal and regulatory framework</w:t>
      </w:r>
      <w:bookmarkEnd w:id="100"/>
    </w:p>
    <w:p w14:paraId="7C1E9A48" w14:textId="77777777" w:rsidR="00CD7542" w:rsidRDefault="00CD7542" w:rsidP="00CD7542">
      <w:pPr>
        <w:pStyle w:val="BodyText"/>
      </w:pPr>
      <w:r>
        <w:t xml:space="preserve">To implement the reforms set out in this chapter, a number of changes will need to be made to the NGL, the Regulations and the NGR and the Code will also need to be implemented. Further detail on these measures is provided below. </w:t>
      </w:r>
    </w:p>
    <w:p w14:paraId="3D11C2E1" w14:textId="77777777" w:rsidR="00CD7542" w:rsidRDefault="00CD7542" w:rsidP="00CD7542">
      <w:pPr>
        <w:pStyle w:val="Heading3"/>
      </w:pPr>
      <w:r>
        <w:t>Proposed changes to the NGL</w:t>
      </w:r>
    </w:p>
    <w:p w14:paraId="6D6DFBFD" w14:textId="77777777" w:rsidR="00CD7542" w:rsidRDefault="00CD7542" w:rsidP="00CD7542">
      <w:pPr>
        <w:pStyle w:val="BodyText"/>
      </w:pPr>
      <w:r>
        <w:t>Changes to the NGL are required to expand the functions and powers of the AEMC, the AER and AEMO and will involve:</w:t>
      </w:r>
      <w:r>
        <w:rPr>
          <w:rStyle w:val="FootnoteReference"/>
        </w:rPr>
        <w:footnoteReference w:id="20"/>
      </w:r>
    </w:p>
    <w:p w14:paraId="2F691957" w14:textId="77777777" w:rsidR="00CD7542" w:rsidRDefault="00CD7542" w:rsidP="003F5961">
      <w:pPr>
        <w:pStyle w:val="ListBullet"/>
        <w:numPr>
          <w:ilvl w:val="0"/>
          <w:numId w:val="32"/>
        </w:numPr>
      </w:pPr>
      <w:r>
        <w:rPr>
          <w:lang w:eastAsia="fr-CA"/>
        </w:rPr>
        <w:t>extending the subject matter of the NGR</w:t>
      </w:r>
      <w:r>
        <w:rPr>
          <w:rStyle w:val="FootnoteReference"/>
          <w:lang w:eastAsia="fr-CA"/>
        </w:rPr>
        <w:footnoteReference w:id="21"/>
      </w:r>
      <w:r>
        <w:rPr>
          <w:lang w:eastAsia="fr-CA"/>
        </w:rPr>
        <w:t xml:space="preserve"> and the scope of the AEMC’s rule making functions</w:t>
      </w:r>
      <w:r>
        <w:rPr>
          <w:rStyle w:val="FootnoteReference"/>
          <w:lang w:eastAsia="fr-CA"/>
        </w:rPr>
        <w:footnoteReference w:id="22"/>
      </w:r>
    </w:p>
    <w:p w14:paraId="6DFDDEF7" w14:textId="77777777" w:rsidR="00CD7542" w:rsidRDefault="00CD7542" w:rsidP="003F5961">
      <w:pPr>
        <w:pStyle w:val="ListBullet"/>
        <w:numPr>
          <w:ilvl w:val="0"/>
          <w:numId w:val="32"/>
        </w:numPr>
      </w:pPr>
      <w:r>
        <w:rPr>
          <w:lang w:eastAsia="fr-CA"/>
        </w:rPr>
        <w:t>according the AER the power to make and amend the Code;</w:t>
      </w:r>
      <w:r>
        <w:rPr>
          <w:rStyle w:val="FootnoteReference"/>
        </w:rPr>
        <w:footnoteReference w:id="23"/>
      </w:r>
    </w:p>
    <w:p w14:paraId="3F5FAB0F" w14:textId="77777777" w:rsidR="00CD7542" w:rsidRDefault="00CD7542" w:rsidP="003F5961">
      <w:pPr>
        <w:pStyle w:val="ListBullet"/>
        <w:numPr>
          <w:ilvl w:val="0"/>
          <w:numId w:val="33"/>
        </w:numPr>
      </w:pPr>
      <w:r>
        <w:t xml:space="preserve">amending AEMO’s functions and powers to allow it to: </w:t>
      </w:r>
    </w:p>
    <w:p w14:paraId="543225B5" w14:textId="77777777" w:rsidR="00CD7542" w:rsidRDefault="00CD7542" w:rsidP="00CD7542">
      <w:pPr>
        <w:pStyle w:val="ListBullet2"/>
      </w:pPr>
      <w:r>
        <w:t>establish, operate and administer transaction support arrangements</w:t>
      </w:r>
      <w:r>
        <w:rPr>
          <w:rStyle w:val="FootnoteReference"/>
        </w:rPr>
        <w:footnoteReference w:id="24"/>
      </w:r>
      <w:r>
        <w:t xml:space="preserve"> and conduct relevant trials;</w:t>
      </w:r>
      <w:r>
        <w:rPr>
          <w:rStyle w:val="FootnoteReference"/>
        </w:rPr>
        <w:footnoteReference w:id="25"/>
      </w:r>
    </w:p>
    <w:p w14:paraId="22DD60A1" w14:textId="77777777" w:rsidR="00CD7542" w:rsidRDefault="00CD7542" w:rsidP="00CD7542">
      <w:pPr>
        <w:pStyle w:val="ListBullet2"/>
      </w:pPr>
      <w:r>
        <w:t xml:space="preserve">make the Capacity Transfer and Auction Procedures (which will be a form of statutory instrument), set out what those Procedures do, require AEMO and people </w:t>
      </w:r>
      <w:r>
        <w:lastRenderedPageBreak/>
        <w:t>to whom those Procedures apply to comply with the Procedures, and set out what AEMO is required to do if it suspects the Procedures have been breached;</w:t>
      </w:r>
      <w:r>
        <w:rPr>
          <w:rStyle w:val="FootnoteReference"/>
        </w:rPr>
        <w:footnoteReference w:id="26"/>
      </w:r>
      <w:r>
        <w:t xml:space="preserve"> and</w:t>
      </w:r>
    </w:p>
    <w:p w14:paraId="21D0CC18" w14:textId="77777777" w:rsidR="00CD7542" w:rsidRDefault="00CD7542" w:rsidP="00CD7542">
      <w:pPr>
        <w:pStyle w:val="ListBullet2"/>
      </w:pPr>
      <w:r>
        <w:t>disclose protected information if necessary for the proper operation of a capacity auction or the Capacity Transfer and Auction Procedures.</w:t>
      </w:r>
      <w:r>
        <w:rPr>
          <w:rStyle w:val="FootnoteReference"/>
        </w:rPr>
        <w:footnoteReference w:id="27"/>
      </w:r>
    </w:p>
    <w:p w14:paraId="623272C2" w14:textId="77777777" w:rsidR="00CD7542" w:rsidRDefault="00CD7542" w:rsidP="00CD7542">
      <w:pPr>
        <w:pStyle w:val="ListBullet"/>
        <w:numPr>
          <w:ilvl w:val="0"/>
          <w:numId w:val="0"/>
        </w:numPr>
      </w:pPr>
      <w:r>
        <w:t>A new chapter (Chapter 7A Access to operational transportation services) in the NGL is also required to:</w:t>
      </w:r>
    </w:p>
    <w:p w14:paraId="4469659A" w14:textId="77777777" w:rsidR="00CD7542" w:rsidRDefault="00CD7542" w:rsidP="003F5961">
      <w:pPr>
        <w:pStyle w:val="ListBullet"/>
        <w:numPr>
          <w:ilvl w:val="0"/>
          <w:numId w:val="33"/>
        </w:numPr>
        <w:rPr>
          <w:lang w:eastAsia="fr-CA"/>
        </w:rPr>
      </w:pPr>
      <w:r>
        <w:rPr>
          <w:lang w:eastAsia="fr-CA"/>
        </w:rPr>
        <w:t>set out certain matters relating to the standard terms for operational transportation services, including:</w:t>
      </w:r>
    </w:p>
    <w:p w14:paraId="1A6B98B8" w14:textId="77777777" w:rsidR="00CD7542" w:rsidRDefault="00CD7542" w:rsidP="00CD7542">
      <w:pPr>
        <w:pStyle w:val="ListBullet2"/>
        <w:rPr>
          <w:lang w:eastAsia="fr-CA"/>
        </w:rPr>
      </w:pPr>
      <w:r>
        <w:rPr>
          <w:lang w:eastAsia="fr-CA"/>
        </w:rPr>
        <w:t>the requirements to publish, update and offer to enter into these agreements;</w:t>
      </w:r>
      <w:r>
        <w:rPr>
          <w:rStyle w:val="FootnoteReference"/>
          <w:lang w:eastAsia="fr-CA"/>
        </w:rPr>
        <w:footnoteReference w:id="28"/>
      </w:r>
    </w:p>
    <w:p w14:paraId="2CCE812B" w14:textId="77777777" w:rsidR="00CD7542" w:rsidRDefault="00CD7542" w:rsidP="00CD7542">
      <w:pPr>
        <w:pStyle w:val="ListBullet2"/>
        <w:rPr>
          <w:lang w:eastAsia="fr-CA"/>
        </w:rPr>
      </w:pPr>
      <w:r>
        <w:rPr>
          <w:lang w:eastAsia="fr-CA"/>
        </w:rPr>
        <w:t>providing for the NGR to set out exemptions from requirements to publish and offer to enter into those agreements;</w:t>
      </w:r>
    </w:p>
    <w:p w14:paraId="093E1C8D" w14:textId="77777777" w:rsidR="00CD7542" w:rsidRDefault="00CD7542" w:rsidP="00CD7542">
      <w:pPr>
        <w:pStyle w:val="ListBullet2"/>
        <w:rPr>
          <w:lang w:eastAsia="fr-CA"/>
        </w:rPr>
      </w:pPr>
      <w:r>
        <w:rPr>
          <w:lang w:eastAsia="fr-CA"/>
        </w:rPr>
        <w:t xml:space="preserve">setting </w:t>
      </w:r>
      <w:r>
        <w:rPr>
          <w:rFonts w:asciiTheme="majorHAnsi" w:hAnsiTheme="majorHAnsi" w:cstheme="majorHAnsi"/>
        </w:rPr>
        <w:t>out various matters that the NGR may make provision for in relation to standard operational agreements;</w:t>
      </w:r>
      <w:r>
        <w:rPr>
          <w:rStyle w:val="FootnoteReference"/>
        </w:rPr>
        <w:footnoteReference w:id="29"/>
      </w:r>
      <w:r>
        <w:rPr>
          <w:lang w:eastAsia="fr-CA"/>
        </w:rPr>
        <w:t xml:space="preserve"> and</w:t>
      </w:r>
    </w:p>
    <w:p w14:paraId="2ED9FD1A" w14:textId="531C6F89" w:rsidR="00CD7542" w:rsidRDefault="00CD7542" w:rsidP="00CD7542">
      <w:pPr>
        <w:pStyle w:val="ListBullet2"/>
        <w:rPr>
          <w:lang w:eastAsia="fr-CA"/>
        </w:rPr>
      </w:pPr>
      <w:r>
        <w:rPr>
          <w:lang w:eastAsia="fr-CA"/>
        </w:rPr>
        <w:t xml:space="preserve">confirming that </w:t>
      </w:r>
      <w:r>
        <w:rPr>
          <w:rFonts w:asciiTheme="majorHAnsi" w:hAnsiTheme="majorHAnsi" w:cstheme="majorHAnsi"/>
        </w:rPr>
        <w:t xml:space="preserve">a transportation service provider may enter into an operational TSA that differs from its standard operational agreement; </w:t>
      </w:r>
    </w:p>
    <w:p w14:paraId="7BCFAAE7" w14:textId="77777777" w:rsidR="00CD7542" w:rsidRDefault="00CD7542" w:rsidP="003F5961">
      <w:pPr>
        <w:pStyle w:val="ListBullet"/>
        <w:numPr>
          <w:ilvl w:val="0"/>
          <w:numId w:val="34"/>
        </w:numPr>
        <w:rPr>
          <w:lang w:eastAsia="fr-CA"/>
        </w:rPr>
      </w:pPr>
      <w:r>
        <w:rPr>
          <w:lang w:eastAsia="fr-CA"/>
        </w:rPr>
        <w:t>set out key matters concerning the Code, including:</w:t>
      </w:r>
      <w:r>
        <w:rPr>
          <w:rStyle w:val="FootnoteReference"/>
        </w:rPr>
        <w:footnoteReference w:id="30"/>
      </w:r>
    </w:p>
    <w:p w14:paraId="68DC65AA" w14:textId="77777777" w:rsidR="00CD7542" w:rsidRDefault="00CD7542" w:rsidP="00CD7542">
      <w:pPr>
        <w:pStyle w:val="ListBullet2"/>
        <w:rPr>
          <w:lang w:eastAsia="fr-CA"/>
        </w:rPr>
      </w:pPr>
      <w:r>
        <w:rPr>
          <w:lang w:eastAsia="fr-CA"/>
        </w:rPr>
        <w:t>providing for the AER to amend and replace the initial and subsequent versions of the Code; and</w:t>
      </w:r>
    </w:p>
    <w:p w14:paraId="6A350D70" w14:textId="77777777" w:rsidR="00CD7542" w:rsidRDefault="00CD7542" w:rsidP="00CD7542">
      <w:pPr>
        <w:pStyle w:val="ListBullet2"/>
        <w:rPr>
          <w:lang w:eastAsia="fr-CA"/>
        </w:rPr>
      </w:pPr>
      <w:r>
        <w:rPr>
          <w:lang w:eastAsia="fr-CA"/>
        </w:rPr>
        <w:t>the matters that the Code must, must not and may deal with; and</w:t>
      </w:r>
    </w:p>
    <w:p w14:paraId="105163FF" w14:textId="77777777" w:rsidR="00CD7542" w:rsidRDefault="00CD7542" w:rsidP="003F5961">
      <w:pPr>
        <w:pStyle w:val="ListBullet"/>
        <w:numPr>
          <w:ilvl w:val="0"/>
          <w:numId w:val="34"/>
        </w:numPr>
        <w:rPr>
          <w:lang w:eastAsia="fr-CA"/>
        </w:rPr>
      </w:pPr>
      <w:r>
        <w:rPr>
          <w:lang w:eastAsia="fr-CA"/>
        </w:rPr>
        <w:t>address other matters related to operational transportation services that are intended to facilitate capacity trading and the auction, including:</w:t>
      </w:r>
      <w:r w:rsidRPr="00DD365F">
        <w:rPr>
          <w:rStyle w:val="FootnoteReference"/>
        </w:rPr>
        <w:t xml:space="preserve"> </w:t>
      </w:r>
      <w:r>
        <w:rPr>
          <w:rStyle w:val="FootnoteReference"/>
        </w:rPr>
        <w:footnoteReference w:id="31"/>
      </w:r>
    </w:p>
    <w:p w14:paraId="1D75ED1A" w14:textId="77777777" w:rsidR="00CD7542" w:rsidRDefault="00CD7542" w:rsidP="00CD7542">
      <w:pPr>
        <w:pStyle w:val="ListBullet2"/>
        <w:rPr>
          <w:lang w:eastAsia="fr-CA"/>
        </w:rPr>
      </w:pPr>
      <w:r>
        <w:rPr>
          <w:lang w:eastAsia="fr-CA"/>
        </w:rPr>
        <w:t>setting out the service requirements that may be specified in the NGR;</w:t>
      </w:r>
    </w:p>
    <w:p w14:paraId="5015D284" w14:textId="77777777" w:rsidR="00CD7542" w:rsidRDefault="00CD7542" w:rsidP="00CD7542">
      <w:pPr>
        <w:pStyle w:val="ListBullet2"/>
        <w:rPr>
          <w:lang w:eastAsia="fr-CA"/>
        </w:rPr>
      </w:pPr>
      <w:r>
        <w:rPr>
          <w:lang w:eastAsia="fr-CA"/>
        </w:rPr>
        <w:t>requiring sellers in bilateral trades to state the terms on which they will arrange for the trade to be conducted using an operational TSA if requested by the buyer; and</w:t>
      </w:r>
    </w:p>
    <w:p w14:paraId="7039E426" w14:textId="77777777" w:rsidR="00CD7542" w:rsidRDefault="00CD7542" w:rsidP="00CD7542">
      <w:pPr>
        <w:pStyle w:val="ListBullet2"/>
        <w:rPr>
          <w:lang w:eastAsia="fr-CA"/>
        </w:rPr>
      </w:pPr>
      <w:r>
        <w:rPr>
          <w:lang w:eastAsia="fr-CA"/>
        </w:rPr>
        <w:t>preventing service providers, shippers and their associates from engaging in conduct that prevents or hinders access to an operational service.</w:t>
      </w:r>
    </w:p>
    <w:p w14:paraId="77F2699B" w14:textId="77777777" w:rsidR="00CD7542" w:rsidRDefault="00CD7542" w:rsidP="00CD7542">
      <w:pPr>
        <w:pStyle w:val="BodyText"/>
      </w:pPr>
      <w:r>
        <w:t xml:space="preserve">Changes to the NGL are also required to: </w:t>
      </w:r>
    </w:p>
    <w:p w14:paraId="29CA5D6A" w14:textId="77777777" w:rsidR="00CD7542" w:rsidRDefault="00CD7542" w:rsidP="00CD7542">
      <w:pPr>
        <w:pStyle w:val="ListBullet"/>
      </w:pPr>
      <w:r>
        <w:t>provide for the registration of service providers and their transportation service facilities;</w:t>
      </w:r>
      <w:r>
        <w:rPr>
          <w:rStyle w:val="FootnoteReference"/>
        </w:rPr>
        <w:footnoteReference w:id="32"/>
      </w:r>
      <w:r>
        <w:t xml:space="preserve"> and </w:t>
      </w:r>
    </w:p>
    <w:p w14:paraId="536E79F5" w14:textId="77777777" w:rsidR="00CD7542" w:rsidRDefault="00CD7542" w:rsidP="00CD7542">
      <w:pPr>
        <w:pStyle w:val="ListBullet"/>
      </w:pPr>
      <w:r>
        <w:t>include auction participants and transportation service providers as “Registered participants”, so that provisions concerning payments owing to and from AEMO apply to these parties.</w:t>
      </w:r>
      <w:r>
        <w:rPr>
          <w:rStyle w:val="FootnoteReference"/>
        </w:rPr>
        <w:footnoteReference w:id="33"/>
      </w:r>
    </w:p>
    <w:p w14:paraId="50498CA9" w14:textId="77777777" w:rsidR="00CD7542" w:rsidRDefault="00CD7542" w:rsidP="00CD7542">
      <w:pPr>
        <w:pStyle w:val="Heading3"/>
      </w:pPr>
      <w:r>
        <w:lastRenderedPageBreak/>
        <w:t>Proposed changes to the NGR</w:t>
      </w:r>
    </w:p>
    <w:p w14:paraId="30A61560" w14:textId="77777777" w:rsidR="00CD7542" w:rsidRDefault="00CD7542" w:rsidP="00CD7542">
      <w:pPr>
        <w:pStyle w:val="BodyText"/>
      </w:pPr>
      <w:r>
        <w:t xml:space="preserve">The proposed changes to the NGR are set out in </w:t>
      </w:r>
      <w:r>
        <w:rPr>
          <w:b/>
        </w:rPr>
        <w:t>Part 24 (Facilitating capacity trade and the capacity auction),</w:t>
      </w:r>
      <w:r>
        <w:t xml:space="preserve"> which is a new part that will be added to the NGR. </w:t>
      </w:r>
    </w:p>
    <w:p w14:paraId="6E8EBF84" w14:textId="77777777" w:rsidR="00CD7542" w:rsidRDefault="00CD7542" w:rsidP="00CD7542">
      <w:pPr>
        <w:pStyle w:val="BodyText"/>
      </w:pPr>
      <w:r>
        <w:t>Division 2 of Part 24, which sets out the rules relating to the Code, includes provisions that:</w:t>
      </w:r>
    </w:p>
    <w:p w14:paraId="75561B45" w14:textId="77777777" w:rsidR="00CD7542" w:rsidRDefault="00CD7542" w:rsidP="003F5961">
      <w:pPr>
        <w:pStyle w:val="ListBullet"/>
        <w:numPr>
          <w:ilvl w:val="0"/>
          <w:numId w:val="35"/>
        </w:numPr>
        <w:rPr>
          <w:lang w:eastAsia="fr-CA"/>
        </w:rPr>
      </w:pPr>
      <w:r>
        <w:rPr>
          <w:lang w:eastAsia="fr-CA"/>
        </w:rPr>
        <w:t>set out the scope and subject matter of the Code, and the principles to be applied when determining standard terms and facility specific terms;</w:t>
      </w:r>
      <w:r>
        <w:rPr>
          <w:rStyle w:val="FootnoteReference"/>
        </w:rPr>
        <w:footnoteReference w:id="34"/>
      </w:r>
      <w:r>
        <w:rPr>
          <w:lang w:eastAsia="fr-CA"/>
        </w:rPr>
        <w:t xml:space="preserve"> </w:t>
      </w:r>
    </w:p>
    <w:p w14:paraId="03610AB3" w14:textId="77777777" w:rsidR="00CD7542" w:rsidRDefault="00CD7542" w:rsidP="003F5961">
      <w:pPr>
        <w:pStyle w:val="ListBullet"/>
        <w:numPr>
          <w:ilvl w:val="0"/>
          <w:numId w:val="35"/>
        </w:numPr>
        <w:rPr>
          <w:lang w:eastAsia="fr-CA"/>
        </w:rPr>
      </w:pPr>
      <w:r>
        <w:rPr>
          <w:lang w:eastAsia="fr-CA"/>
        </w:rPr>
        <w:t>specify the membership categories for the OTS Code Panel;</w:t>
      </w:r>
      <w:r>
        <w:rPr>
          <w:rStyle w:val="FootnoteReference"/>
        </w:rPr>
        <w:footnoteReference w:id="35"/>
      </w:r>
    </w:p>
    <w:p w14:paraId="3CE42668" w14:textId="77777777" w:rsidR="00CD7542" w:rsidRDefault="00CD7542" w:rsidP="003F5961">
      <w:pPr>
        <w:pStyle w:val="ListBullet"/>
        <w:numPr>
          <w:ilvl w:val="0"/>
          <w:numId w:val="35"/>
        </w:numPr>
        <w:rPr>
          <w:lang w:eastAsia="fr-CA"/>
        </w:rPr>
      </w:pPr>
      <w:r>
        <w:rPr>
          <w:lang w:eastAsia="fr-CA"/>
        </w:rPr>
        <w:t>provide for AEMO to establish and chair the OTS Code Panel and to develop, maintain and publish its election procedures and operation manual;</w:t>
      </w:r>
      <w:r>
        <w:rPr>
          <w:rStyle w:val="FootnoteReference"/>
        </w:rPr>
        <w:footnoteReference w:id="36"/>
      </w:r>
      <w:r>
        <w:rPr>
          <w:lang w:eastAsia="fr-CA"/>
        </w:rPr>
        <w:t xml:space="preserve"> and</w:t>
      </w:r>
    </w:p>
    <w:p w14:paraId="17A23229" w14:textId="77777777" w:rsidR="00CD7542" w:rsidRDefault="00CD7542" w:rsidP="003F5961">
      <w:pPr>
        <w:pStyle w:val="ListBullet"/>
        <w:numPr>
          <w:ilvl w:val="0"/>
          <w:numId w:val="35"/>
        </w:numPr>
        <w:rPr>
          <w:lang w:eastAsia="fr-CA"/>
        </w:rPr>
      </w:pPr>
      <w:r>
        <w:rPr>
          <w:lang w:eastAsia="fr-CA"/>
        </w:rPr>
        <w:t xml:space="preserve">provide for the AER to make and amend the </w:t>
      </w:r>
      <w:r>
        <w:t xml:space="preserve">Code </w:t>
      </w:r>
      <w:r>
        <w:rPr>
          <w:lang w:eastAsia="fr-CA"/>
        </w:rPr>
        <w:t>on the advice of the OTS Code Panel or on its own initiative.</w:t>
      </w:r>
      <w:r>
        <w:rPr>
          <w:rStyle w:val="FootnoteReference"/>
        </w:rPr>
        <w:footnoteReference w:id="37"/>
      </w:r>
      <w:r>
        <w:rPr>
          <w:lang w:eastAsia="fr-CA"/>
        </w:rPr>
        <w:t xml:space="preserve"> </w:t>
      </w:r>
    </w:p>
    <w:p w14:paraId="446B0238" w14:textId="77777777" w:rsidR="00CD7542" w:rsidRDefault="00CD7542" w:rsidP="00CD7542">
      <w:pPr>
        <w:pStyle w:val="BodyText"/>
        <w:rPr>
          <w:lang w:eastAsia="fr-CA"/>
        </w:rPr>
      </w:pPr>
      <w:r>
        <w:rPr>
          <w:lang w:eastAsia="fr-CA"/>
        </w:rPr>
        <w:t xml:space="preserve">Division 3 of Part 24, which sets out the exemptions and registration framework, contains provisions that: </w:t>
      </w:r>
    </w:p>
    <w:p w14:paraId="58410871" w14:textId="77777777" w:rsidR="00CD7542" w:rsidRDefault="00CD7542" w:rsidP="003F5961">
      <w:pPr>
        <w:pStyle w:val="ListBullet"/>
        <w:numPr>
          <w:ilvl w:val="0"/>
          <w:numId w:val="35"/>
        </w:numPr>
        <w:rPr>
          <w:lang w:eastAsia="fr-CA"/>
        </w:rPr>
      </w:pPr>
      <w:r>
        <w:rPr>
          <w:lang w:eastAsia="fr-CA"/>
        </w:rPr>
        <w:t>set out the registration framework for service providers and transportation facilities;</w:t>
      </w:r>
      <w:r>
        <w:rPr>
          <w:rStyle w:val="FootnoteReference"/>
        </w:rPr>
        <w:footnoteReference w:id="38"/>
      </w:r>
      <w:r>
        <w:rPr>
          <w:lang w:eastAsia="fr-CA"/>
        </w:rPr>
        <w:t xml:space="preserve"> </w:t>
      </w:r>
    </w:p>
    <w:p w14:paraId="51EDB8AE" w14:textId="77777777" w:rsidR="00CD7542" w:rsidRDefault="00CD7542" w:rsidP="003F5961">
      <w:pPr>
        <w:pStyle w:val="ListBullet"/>
        <w:numPr>
          <w:ilvl w:val="0"/>
          <w:numId w:val="35"/>
        </w:numPr>
        <w:rPr>
          <w:lang w:eastAsia="fr-CA"/>
        </w:rPr>
      </w:pPr>
      <w:r>
        <w:rPr>
          <w:lang w:eastAsia="fr-CA"/>
        </w:rPr>
        <w:t>specify the exemptions that will be available for the obligation to publish a standard operational agreement and the auction;</w:t>
      </w:r>
      <w:r>
        <w:rPr>
          <w:rStyle w:val="FootnoteReference"/>
        </w:rPr>
        <w:footnoteReference w:id="39"/>
      </w:r>
      <w:r>
        <w:rPr>
          <w:lang w:eastAsia="fr-CA"/>
        </w:rPr>
        <w:t xml:space="preserve"> and</w:t>
      </w:r>
    </w:p>
    <w:p w14:paraId="27D2DF0D" w14:textId="77777777" w:rsidR="00CD7542" w:rsidRDefault="00CD7542" w:rsidP="003F5961">
      <w:pPr>
        <w:pStyle w:val="ListBullet"/>
        <w:numPr>
          <w:ilvl w:val="0"/>
          <w:numId w:val="35"/>
        </w:numPr>
        <w:rPr>
          <w:lang w:eastAsia="fr-CA"/>
        </w:rPr>
      </w:pPr>
      <w:r>
        <w:rPr>
          <w:lang w:eastAsia="fr-CA"/>
        </w:rPr>
        <w:t>set out the role the AER is to play in the exemptions framework.</w:t>
      </w:r>
      <w:r>
        <w:rPr>
          <w:rStyle w:val="FootnoteReference"/>
        </w:rPr>
        <w:footnoteReference w:id="40"/>
      </w:r>
      <w:r>
        <w:rPr>
          <w:lang w:eastAsia="fr-CA"/>
        </w:rPr>
        <w:t xml:space="preserve"> </w:t>
      </w:r>
    </w:p>
    <w:p w14:paraId="5FC3C884" w14:textId="77777777" w:rsidR="00CD7542" w:rsidRDefault="00CD7542" w:rsidP="00CD7542">
      <w:pPr>
        <w:pStyle w:val="BodyText"/>
      </w:pPr>
      <w:r>
        <w:t xml:space="preserve">Division 4 of Part 24 sets out a number of matters that can be included in the Capacity Transfer and Auction Procedures and also provides for: </w:t>
      </w:r>
    </w:p>
    <w:p w14:paraId="74F06523" w14:textId="77777777" w:rsidR="00CD7542" w:rsidRDefault="00CD7542" w:rsidP="00CD7542">
      <w:pPr>
        <w:pStyle w:val="ListBullet"/>
      </w:pPr>
      <w:r>
        <w:t>service providers to provide AEMO with information on facility agreements and service points;</w:t>
      </w:r>
      <w:r>
        <w:rPr>
          <w:rStyle w:val="FootnoteReference"/>
        </w:rPr>
        <w:footnoteReference w:id="41"/>
      </w:r>
    </w:p>
    <w:p w14:paraId="4564F337" w14:textId="77777777" w:rsidR="00CD7542" w:rsidRDefault="00CD7542" w:rsidP="00CD7542">
      <w:pPr>
        <w:pStyle w:val="ListBullet"/>
      </w:pPr>
      <w:r>
        <w:t>AEMO to determine the zones that will be used in the capacity trading platform and auction in accordance with the principles specified in this division;</w:t>
      </w:r>
      <w:r>
        <w:rPr>
          <w:rStyle w:val="FootnoteReference"/>
        </w:rPr>
        <w:footnoteReference w:id="42"/>
      </w:r>
      <w:r>
        <w:t xml:space="preserve"> and</w:t>
      </w:r>
    </w:p>
    <w:p w14:paraId="4CD3566D" w14:textId="77777777" w:rsidR="00CD7542" w:rsidRDefault="00CD7542" w:rsidP="00CD7542">
      <w:pPr>
        <w:pStyle w:val="ListBullet"/>
        <w:rPr>
          <w:lang w:eastAsia="fr-CA"/>
        </w:rPr>
      </w:pPr>
      <w:r>
        <w:rPr>
          <w:lang w:eastAsia="fr-CA"/>
        </w:rPr>
        <w:t>AEMO to develop a transportation service point register, which will set out the service points, pipeline segments and zones used in the capacity trading platform and auction.</w:t>
      </w:r>
      <w:r>
        <w:rPr>
          <w:rStyle w:val="FootnoteReference"/>
          <w:lang w:eastAsia="fr-CA"/>
        </w:rPr>
        <w:footnoteReference w:id="43"/>
      </w:r>
    </w:p>
    <w:p w14:paraId="62A77E72" w14:textId="77777777" w:rsidR="00CD7542" w:rsidRDefault="00CD7542" w:rsidP="00CD7542">
      <w:pPr>
        <w:pStyle w:val="ListBullet"/>
        <w:numPr>
          <w:ilvl w:val="0"/>
          <w:numId w:val="0"/>
        </w:numPr>
        <w:rPr>
          <w:lang w:eastAsia="fr-CA"/>
        </w:rPr>
      </w:pPr>
      <w:r>
        <w:rPr>
          <w:lang w:eastAsia="fr-CA"/>
        </w:rPr>
        <w:t xml:space="preserve">Division 5 of Part 24, which </w:t>
      </w:r>
      <w:r>
        <w:t>sets out the obligations of service providers in relation to standard operational agreements, which includes provisions that:</w:t>
      </w:r>
    </w:p>
    <w:p w14:paraId="4EAAB600" w14:textId="77777777" w:rsidR="00CD7542" w:rsidRDefault="00CD7542" w:rsidP="003F5961">
      <w:pPr>
        <w:pStyle w:val="ListBullet"/>
        <w:numPr>
          <w:ilvl w:val="0"/>
          <w:numId w:val="35"/>
        </w:numPr>
        <w:rPr>
          <w:lang w:eastAsia="fr-CA"/>
        </w:rPr>
      </w:pPr>
      <w:r>
        <w:rPr>
          <w:lang w:eastAsia="fr-CA"/>
        </w:rPr>
        <w:lastRenderedPageBreak/>
        <w:t>require service providers to develop, publish and amend standard operational agreements and, ensure those agreements comply with the Code and the principles in the NGR when making and amending their standard operational agreement;</w:t>
      </w:r>
      <w:r>
        <w:rPr>
          <w:rStyle w:val="FootnoteReference"/>
        </w:rPr>
        <w:footnoteReference w:id="44"/>
      </w:r>
    </w:p>
    <w:p w14:paraId="06150EFF" w14:textId="77777777" w:rsidR="00CD7542" w:rsidRDefault="00CD7542" w:rsidP="003F5961">
      <w:pPr>
        <w:pStyle w:val="ListBullet"/>
        <w:numPr>
          <w:ilvl w:val="0"/>
          <w:numId w:val="35"/>
        </w:numPr>
        <w:rPr>
          <w:lang w:eastAsia="fr-CA"/>
        </w:rPr>
      </w:pPr>
      <w:r>
        <w:rPr>
          <w:lang w:eastAsia="fr-CA"/>
        </w:rPr>
        <w:t>require service providers to offer to enter into standard operational agreements to prospective shippers, and specify the circumstances in which a service provider is not required to offer to enter into such an agreement;</w:t>
      </w:r>
      <w:r>
        <w:rPr>
          <w:rStyle w:val="FootnoteReference"/>
        </w:rPr>
        <w:footnoteReference w:id="45"/>
      </w:r>
    </w:p>
    <w:p w14:paraId="70ECFCD0" w14:textId="77777777" w:rsidR="00CD7542" w:rsidRDefault="00CD7542" w:rsidP="003F5961">
      <w:pPr>
        <w:pStyle w:val="ListBullet"/>
        <w:numPr>
          <w:ilvl w:val="0"/>
          <w:numId w:val="35"/>
        </w:numPr>
        <w:rPr>
          <w:lang w:eastAsia="fr-CA"/>
        </w:rPr>
      </w:pPr>
      <w:r>
        <w:rPr>
          <w:lang w:eastAsia="fr-CA"/>
        </w:rPr>
        <w:t>set out the service provider cost recovery arrangements;</w:t>
      </w:r>
      <w:r>
        <w:rPr>
          <w:rStyle w:val="FootnoteReference"/>
        </w:rPr>
        <w:footnoteReference w:id="46"/>
      </w:r>
      <w:r>
        <w:rPr>
          <w:lang w:eastAsia="fr-CA"/>
        </w:rPr>
        <w:t xml:space="preserve"> and</w:t>
      </w:r>
    </w:p>
    <w:p w14:paraId="4EABAFE6" w14:textId="77777777" w:rsidR="00CD7542" w:rsidRDefault="00CD7542" w:rsidP="003F5961">
      <w:pPr>
        <w:pStyle w:val="ListBullet"/>
        <w:numPr>
          <w:ilvl w:val="0"/>
          <w:numId w:val="35"/>
        </w:numPr>
        <w:rPr>
          <w:lang w:eastAsia="fr-CA"/>
        </w:rPr>
      </w:pPr>
      <w:r>
        <w:rPr>
          <w:lang w:eastAsia="fr-CA"/>
        </w:rPr>
        <w:t>provide for the AER to review the standard operational agreements and the fees charged under these agreements.</w:t>
      </w:r>
      <w:r>
        <w:rPr>
          <w:rStyle w:val="FootnoteReference"/>
        </w:rPr>
        <w:footnoteReference w:id="47"/>
      </w:r>
      <w:r>
        <w:rPr>
          <w:lang w:eastAsia="fr-CA"/>
        </w:rPr>
        <w:t xml:space="preserve"> </w:t>
      </w:r>
    </w:p>
    <w:p w14:paraId="2B87D99B" w14:textId="04EFC83E" w:rsidR="00CD7542" w:rsidRDefault="00CD7542" w:rsidP="00CD7542">
      <w:pPr>
        <w:pStyle w:val="BodyText"/>
        <w:rPr>
          <w:lang w:eastAsia="fr-CA"/>
        </w:rPr>
      </w:pPr>
      <w:r>
        <w:t>Division 6 of Part 24, which sets out a number of other obligations service providers have in relation to facility agreements, include</w:t>
      </w:r>
      <w:r w:rsidR="004E4C48">
        <w:t>s</w:t>
      </w:r>
      <w:r>
        <w:t xml:space="preserve"> provisions that:</w:t>
      </w:r>
    </w:p>
    <w:p w14:paraId="15B3DAFD" w14:textId="77777777" w:rsidR="00CD7542" w:rsidRDefault="00CD7542" w:rsidP="003F5961">
      <w:pPr>
        <w:pStyle w:val="ListBullet"/>
        <w:numPr>
          <w:ilvl w:val="0"/>
          <w:numId w:val="35"/>
        </w:numPr>
        <w:rPr>
          <w:lang w:eastAsia="fr-CA"/>
        </w:rPr>
      </w:pPr>
      <w:r>
        <w:rPr>
          <w:lang w:eastAsia="fr-CA"/>
        </w:rPr>
        <w:t>require service providers, on request from capacity holders, to offer to amend primary GTAs and operational TSAs to make certain changes accommodating secondary capacity trading;</w:t>
      </w:r>
      <w:r>
        <w:rPr>
          <w:rStyle w:val="FootnoteReference"/>
        </w:rPr>
        <w:footnoteReference w:id="48"/>
      </w:r>
      <w:r>
        <w:rPr>
          <w:lang w:eastAsia="fr-CA"/>
        </w:rPr>
        <w:t xml:space="preserve"> and</w:t>
      </w:r>
    </w:p>
    <w:p w14:paraId="2FE4E0EC" w14:textId="77777777" w:rsidR="00CD7542" w:rsidRDefault="00CD7542" w:rsidP="003F5961">
      <w:pPr>
        <w:pStyle w:val="ListBullet"/>
        <w:numPr>
          <w:ilvl w:val="0"/>
          <w:numId w:val="35"/>
        </w:numPr>
        <w:rPr>
          <w:lang w:eastAsia="fr-CA"/>
        </w:rPr>
      </w:pPr>
      <w:r>
        <w:rPr>
          <w:lang w:eastAsia="fr-CA"/>
        </w:rPr>
        <w:t>specify principles to be applied by service providers when responding to requests to change receipt and delivery points.</w:t>
      </w:r>
      <w:r>
        <w:rPr>
          <w:rStyle w:val="FootnoteReference"/>
        </w:rPr>
        <w:footnoteReference w:id="49"/>
      </w:r>
      <w:r>
        <w:rPr>
          <w:lang w:eastAsia="fr-CA"/>
        </w:rPr>
        <w:t xml:space="preserve"> </w:t>
      </w:r>
    </w:p>
    <w:p w14:paraId="7A957C5F" w14:textId="77777777" w:rsidR="00CD7542" w:rsidRDefault="00CD7542" w:rsidP="00CD7542">
      <w:pPr>
        <w:pStyle w:val="BodyText"/>
      </w:pPr>
      <w:r>
        <w:t xml:space="preserve">To deal with some of the transitional issues associated with these measures, a number of transitional rules are included in Schedule 5. These transitional rules: </w:t>
      </w:r>
    </w:p>
    <w:p w14:paraId="53D14305" w14:textId="7DE1B475" w:rsidR="00CD7542" w:rsidRDefault="00CD7542" w:rsidP="003F5961">
      <w:pPr>
        <w:pStyle w:val="ListBullet"/>
        <w:numPr>
          <w:ilvl w:val="0"/>
          <w:numId w:val="35"/>
        </w:numPr>
        <w:rPr>
          <w:lang w:eastAsia="fr-CA"/>
        </w:rPr>
      </w:pPr>
      <w:r>
        <w:rPr>
          <w:lang w:eastAsia="fr-CA"/>
        </w:rPr>
        <w:t>prevent any modification to the Code taking effect within 12 months of the amendments to the NGR commencing unless the AER considers that the modification to the Code:</w:t>
      </w:r>
    </w:p>
    <w:p w14:paraId="1E04F00F" w14:textId="56D4E6B6" w:rsidR="00CD7542" w:rsidRDefault="00CD7542" w:rsidP="00CD7542">
      <w:pPr>
        <w:pStyle w:val="ListBullet2"/>
        <w:rPr>
          <w:lang w:eastAsia="fr-CA"/>
        </w:rPr>
      </w:pPr>
      <w:r>
        <w:rPr>
          <w:lang w:eastAsia="fr-CA"/>
        </w:rPr>
        <w:t xml:space="preserve">is urgently necessary to ensure the proper operation of the capacity auction or the gas trading exchange or the safe and reliable operation of </w:t>
      </w:r>
      <w:r w:rsidR="00302600">
        <w:rPr>
          <w:lang w:eastAsia="fr-CA"/>
        </w:rPr>
        <w:t xml:space="preserve">one </w:t>
      </w:r>
      <w:r>
        <w:rPr>
          <w:lang w:eastAsia="fr-CA"/>
        </w:rPr>
        <w:t>or more transportation facilities; or</w:t>
      </w:r>
    </w:p>
    <w:p w14:paraId="3E7A2FBD" w14:textId="77777777" w:rsidR="00CD7542" w:rsidRDefault="00CD7542" w:rsidP="00CD7542">
      <w:pPr>
        <w:pStyle w:val="ListBullet2"/>
        <w:rPr>
          <w:lang w:eastAsia="fr-CA"/>
        </w:rPr>
      </w:pPr>
      <w:r>
        <w:rPr>
          <w:lang w:eastAsia="fr-CA"/>
        </w:rPr>
        <w:t>is non-material (that is, the modification corrects a minor error in the Code or is unlikely to have a significant financial or operational impact).</w:t>
      </w:r>
    </w:p>
    <w:p w14:paraId="708639A7" w14:textId="77777777" w:rsidR="00CD7542" w:rsidRDefault="00CD7542" w:rsidP="003F5961">
      <w:pPr>
        <w:pStyle w:val="ListBullet"/>
        <w:numPr>
          <w:ilvl w:val="0"/>
          <w:numId w:val="36"/>
        </w:numPr>
        <w:rPr>
          <w:lang w:eastAsia="fr-CA"/>
        </w:rPr>
      </w:pPr>
      <w:r>
        <w:rPr>
          <w:lang w:eastAsia="fr-CA"/>
        </w:rPr>
        <w:t xml:space="preserve">provide the AER the power to grant transitional exemptions from the obligation to publish and offer to enter into standard operational agreements and to participate in the auction (to cover the period after commencement of the Rules between an exemption application being made and the AER making a decision); </w:t>
      </w:r>
    </w:p>
    <w:p w14:paraId="685EAD42" w14:textId="77777777" w:rsidR="00CD7542" w:rsidRDefault="00CD7542" w:rsidP="003F5961">
      <w:pPr>
        <w:pStyle w:val="ListBullet"/>
        <w:numPr>
          <w:ilvl w:val="0"/>
          <w:numId w:val="36"/>
        </w:numPr>
      </w:pPr>
      <w:r>
        <w:rPr>
          <w:lang w:eastAsia="fr-CA"/>
        </w:rPr>
        <w:t>clarify that non-exempt transportation service facilities commissioned on or before Part 24 commences must be registered within 20 business days of the commencement of this Part; and</w:t>
      </w:r>
    </w:p>
    <w:p w14:paraId="1329A4E8" w14:textId="63D0D09A" w:rsidR="00CD7542" w:rsidRDefault="00CD7542" w:rsidP="003F5961">
      <w:pPr>
        <w:pStyle w:val="ListBullet"/>
        <w:numPr>
          <w:ilvl w:val="0"/>
          <w:numId w:val="36"/>
        </w:numPr>
        <w:rPr>
          <w:lang w:eastAsia="fr-CA"/>
        </w:rPr>
      </w:pPr>
      <w:r>
        <w:lastRenderedPageBreak/>
        <w:t xml:space="preserve">require AEMO to maintain and publish a register of service points, zones and pipeline segments </w:t>
      </w:r>
      <w:r w:rsidRPr="0016236E">
        <w:t xml:space="preserve">by 1 December 2018 </w:t>
      </w:r>
      <w:r>
        <w:t>(</w:t>
      </w:r>
      <w:r w:rsidRPr="0016236E">
        <w:t>or</w:t>
      </w:r>
      <w:r>
        <w:t xml:space="preserve">, if </w:t>
      </w:r>
      <w:r w:rsidR="0089473A">
        <w:t xml:space="preserve">amendments to </w:t>
      </w:r>
      <w:r>
        <w:t xml:space="preserve">the NGL commence after that date, then 20 business days after the commencement date).  </w:t>
      </w:r>
    </w:p>
    <w:p w14:paraId="3FA80949" w14:textId="77777777" w:rsidR="00CD7542" w:rsidRDefault="00CD7542" w:rsidP="00CD7542">
      <w:pPr>
        <w:pStyle w:val="Heading3"/>
      </w:pPr>
      <w:r>
        <w:t>Proposed changes to the Regulations</w:t>
      </w:r>
    </w:p>
    <w:p w14:paraId="2C79076B" w14:textId="77777777" w:rsidR="00CD7542" w:rsidRDefault="00CD7542" w:rsidP="00CD7542">
      <w:pPr>
        <w:pStyle w:val="BodyText"/>
      </w:pPr>
      <w:r>
        <w:t xml:space="preserve">Changes to the Regulations will be required to specify those provisions in the NGL and NGR that will be classified as civil penalty or conduct provisions, which will be set out in </w:t>
      </w:r>
      <w:r>
        <w:rPr>
          <w:b/>
        </w:rPr>
        <w:t>Schedule 3</w:t>
      </w:r>
      <w:r>
        <w:t xml:space="preserve"> and </w:t>
      </w:r>
      <w:r>
        <w:rPr>
          <w:b/>
        </w:rPr>
        <w:t>Schedule 4</w:t>
      </w:r>
      <w:r>
        <w:t xml:space="preserve"> </w:t>
      </w:r>
      <w:r>
        <w:rPr>
          <w:b/>
        </w:rPr>
        <w:t>of the Regulations</w:t>
      </w:r>
      <w:r>
        <w:t>. A list of the provisions in the NGL and NGR that are expected to be classified as civil penalty provisions is provided in Appendix A.</w:t>
      </w:r>
    </w:p>
    <w:p w14:paraId="3A1E5BCE" w14:textId="77777777" w:rsidR="00CD7542" w:rsidRDefault="00CD7542" w:rsidP="00CD7542">
      <w:pPr>
        <w:pStyle w:val="Heading3"/>
      </w:pPr>
      <w:r>
        <w:t>Operational Transportation Services Code</w:t>
      </w:r>
    </w:p>
    <w:p w14:paraId="39B4AFB3" w14:textId="77777777" w:rsidR="00CD7542" w:rsidRDefault="00CD7542" w:rsidP="00CD7542">
      <w:pPr>
        <w:pStyle w:val="BodyText"/>
      </w:pPr>
      <w:r>
        <w:t>The Code will cover the following matters:</w:t>
      </w:r>
    </w:p>
    <w:p w14:paraId="63C532E7" w14:textId="77777777" w:rsidR="00CD7542" w:rsidRDefault="00CD7542" w:rsidP="003F5961">
      <w:pPr>
        <w:pStyle w:val="ListBullet"/>
        <w:numPr>
          <w:ilvl w:val="0"/>
          <w:numId w:val="36"/>
        </w:numPr>
        <w:rPr>
          <w:lang w:eastAsia="fr-CA"/>
        </w:rPr>
      </w:pPr>
      <w:r>
        <w:rPr>
          <w:lang w:eastAsia="fr-CA"/>
        </w:rPr>
        <w:t xml:space="preserve">the form of agreement incorporating the standard terms and the facility specific terms; </w:t>
      </w:r>
    </w:p>
    <w:p w14:paraId="1F3EAFB2" w14:textId="77777777" w:rsidR="00CD7542" w:rsidRDefault="00CD7542" w:rsidP="003F5961">
      <w:pPr>
        <w:pStyle w:val="ListBullet"/>
        <w:numPr>
          <w:ilvl w:val="0"/>
          <w:numId w:val="36"/>
        </w:numPr>
        <w:rPr>
          <w:lang w:eastAsia="fr-CA"/>
        </w:rPr>
      </w:pPr>
      <w:r>
        <w:rPr>
          <w:lang w:eastAsia="fr-CA"/>
        </w:rPr>
        <w:t xml:space="preserve">standard terms that must be included in all standard operational agreements, which include: </w:t>
      </w:r>
    </w:p>
    <w:p w14:paraId="42E70918" w14:textId="77777777" w:rsidR="00CD7542" w:rsidRDefault="00CD7542" w:rsidP="00CD7542">
      <w:pPr>
        <w:pStyle w:val="ListBullet2"/>
        <w:rPr>
          <w:lang w:eastAsia="fr-CA"/>
        </w:rPr>
      </w:pPr>
      <w:r>
        <w:rPr>
          <w:lang w:eastAsia="fr-CA"/>
        </w:rPr>
        <w:t xml:space="preserve">a description of the standard operational transportation services (including auction services); and </w:t>
      </w:r>
    </w:p>
    <w:p w14:paraId="3454B7DC" w14:textId="77777777" w:rsidR="00CD7542" w:rsidRDefault="00CD7542" w:rsidP="00CD7542">
      <w:pPr>
        <w:pStyle w:val="ListBullet2"/>
        <w:rPr>
          <w:lang w:eastAsia="fr-CA"/>
        </w:rPr>
      </w:pPr>
      <w:r>
        <w:rPr>
          <w:lang w:eastAsia="fr-CA"/>
        </w:rPr>
        <w:t xml:space="preserve">other terms and conditions described as standard terms in the Code; and </w:t>
      </w:r>
    </w:p>
    <w:p w14:paraId="311E3A1B" w14:textId="77777777" w:rsidR="00CD7542" w:rsidRDefault="00CD7542" w:rsidP="003F5961">
      <w:pPr>
        <w:pStyle w:val="ListBullet"/>
        <w:numPr>
          <w:ilvl w:val="0"/>
          <w:numId w:val="36"/>
        </w:numPr>
        <w:rPr>
          <w:lang w:eastAsia="fr-CA"/>
        </w:rPr>
      </w:pPr>
      <w:r>
        <w:rPr>
          <w:lang w:eastAsia="fr-CA"/>
        </w:rPr>
        <w:t xml:space="preserve">matters to be included as facility specific terms in the standard operational agreement and the requirements for such terms. </w:t>
      </w:r>
    </w:p>
    <w:p w14:paraId="6FA7E6B6" w14:textId="77777777" w:rsidR="00CD7542" w:rsidRDefault="00CD7542" w:rsidP="00CD7542">
      <w:pPr>
        <w:pStyle w:val="BodyText"/>
        <w:rPr>
          <w:lang w:eastAsia="fr-CA"/>
        </w:rPr>
      </w:pPr>
      <w:r>
        <w:rPr>
          <w:lang w:eastAsia="fr-CA"/>
        </w:rPr>
        <w:t xml:space="preserve">Under the NGR, the Code must, to the extent reasonably practicable, provide for the terms and conditions for the provision of a standard operational transportation service to be specified in the standard terms (in preference to facility specific terms). </w:t>
      </w:r>
    </w:p>
    <w:bookmarkEnd w:id="94"/>
    <w:bookmarkEnd w:id="95"/>
    <w:p w14:paraId="174ACA35" w14:textId="77777777" w:rsidR="007260A1" w:rsidRDefault="007260A1" w:rsidP="0062242C">
      <w:pPr>
        <w:pStyle w:val="BodyText"/>
      </w:pPr>
      <w:r>
        <w:br w:type="page"/>
      </w:r>
    </w:p>
    <w:p w14:paraId="2B3C10EC" w14:textId="77777777" w:rsidR="00110FC0" w:rsidRDefault="00110FC0" w:rsidP="00CF729D">
      <w:pPr>
        <w:pStyle w:val="Heading1"/>
        <w:spacing w:before="60" w:after="60"/>
      </w:pPr>
      <w:bookmarkStart w:id="101" w:name="_Toc509239434"/>
      <w:r>
        <w:lastRenderedPageBreak/>
        <w:t>Day-Ahead Auction</w:t>
      </w:r>
      <w:bookmarkEnd w:id="96"/>
      <w:bookmarkEnd w:id="101"/>
      <w:r>
        <w:t xml:space="preserve"> </w:t>
      </w:r>
    </w:p>
    <w:p w14:paraId="3A61F405" w14:textId="77777777" w:rsidR="00FD3070" w:rsidRDefault="00FD3070" w:rsidP="00CF729D">
      <w:pPr>
        <w:pStyle w:val="BodyText"/>
        <w:spacing w:before="60" w:after="60" w:line="259" w:lineRule="auto"/>
        <w:rPr>
          <w:rFonts w:cs="Arial"/>
        </w:rPr>
      </w:pPr>
      <w:r>
        <w:t xml:space="preserve">The day-ahead auction of contracted but un-nominated capacity is a key element of the capacity trading reform package and is expected to </w:t>
      </w:r>
      <w:r>
        <w:rPr>
          <w:rFonts w:cs="Arial"/>
        </w:rPr>
        <w:t>improve the efficiency with which short-term transportation capacity is allocated and used, by making this capacity available on a daily basis to shippers that value it most. The auction is expected to achieve this objective by:</w:t>
      </w:r>
      <w:r w:rsidRPr="00110FC0">
        <w:rPr>
          <w:vertAlign w:val="superscript"/>
        </w:rPr>
        <w:footnoteReference w:id="50"/>
      </w:r>
      <w:r>
        <w:rPr>
          <w:rFonts w:cs="Arial"/>
        </w:rPr>
        <w:t xml:space="preserve"> </w:t>
      </w:r>
    </w:p>
    <w:p w14:paraId="5ADB25D4" w14:textId="77777777" w:rsidR="00FD3070" w:rsidRDefault="00FD3070" w:rsidP="00756C62">
      <w:pPr>
        <w:pStyle w:val="ListBullet"/>
        <w:numPr>
          <w:ilvl w:val="0"/>
          <w:numId w:val="22"/>
        </w:numPr>
        <w:spacing w:line="259" w:lineRule="auto"/>
        <w:ind w:left="357" w:hanging="357"/>
        <w:rPr>
          <w:rFonts w:eastAsiaTheme="minorEastAsia"/>
        </w:rPr>
      </w:pPr>
      <w:r>
        <w:rPr>
          <w:rFonts w:eastAsiaTheme="minorEastAsia"/>
        </w:rPr>
        <w:t xml:space="preserve">improving the incentives that firm capacity holders have to release any spare capacity they may have </w:t>
      </w:r>
      <w:r w:rsidR="00067F90">
        <w:rPr>
          <w:rFonts w:eastAsiaTheme="minorEastAsia"/>
        </w:rPr>
        <w:t xml:space="preserve">through secondary trading </w:t>
      </w:r>
      <w:r>
        <w:rPr>
          <w:rFonts w:eastAsiaTheme="minorEastAsia"/>
        </w:rPr>
        <w:t>prior to the auction; and</w:t>
      </w:r>
    </w:p>
    <w:p w14:paraId="244710D5" w14:textId="77777777" w:rsidR="00FD3070" w:rsidRDefault="00FD3070" w:rsidP="00756C62">
      <w:pPr>
        <w:pStyle w:val="ListBullet"/>
        <w:numPr>
          <w:ilvl w:val="0"/>
          <w:numId w:val="22"/>
        </w:numPr>
        <w:spacing w:line="259" w:lineRule="auto"/>
        <w:ind w:left="357" w:hanging="357"/>
        <w:rPr>
          <w:rFonts w:eastAsiaTheme="minorEastAsia"/>
        </w:rPr>
      </w:pPr>
      <w:r>
        <w:rPr>
          <w:rFonts w:eastAsiaTheme="minorEastAsia"/>
        </w:rPr>
        <w:t>limiting the ability of service providers to price short-term capacity products above the levels that would be expected in a workably competitive market.</w:t>
      </w:r>
    </w:p>
    <w:p w14:paraId="555D748C" w14:textId="77777777" w:rsidR="00FD3070" w:rsidRPr="008F7A39" w:rsidRDefault="00FD3070" w:rsidP="008F7A39">
      <w:pPr>
        <w:pStyle w:val="BodyText"/>
        <w:spacing w:line="259" w:lineRule="auto"/>
      </w:pPr>
      <w:r>
        <w:t>The auction, which will be operated and administered by AEMO, is also expected to ove</w:t>
      </w:r>
      <w:r w:rsidRPr="008F7A39">
        <w:t>rcome the co-ordination failures that can otherwise be associated with procuring day-ahead capacity.</w:t>
      </w:r>
    </w:p>
    <w:p w14:paraId="7D4D0F66" w14:textId="77777777" w:rsidR="009D2C06" w:rsidRPr="008F7A39" w:rsidRDefault="00FD3070" w:rsidP="008F7A39">
      <w:pPr>
        <w:pStyle w:val="BodyText"/>
        <w:spacing w:line="259" w:lineRule="auto"/>
      </w:pPr>
      <w:r w:rsidRPr="008F7A39">
        <w:t>To implement the day-ahead auction, a number of amendments will need to be made to the NGL, the NGR, the Regulations and a range of other AEMO-made instruments</w:t>
      </w:r>
      <w:r w:rsidR="00D52A6C" w:rsidRPr="008F7A39">
        <w:t xml:space="preserve">. AEMO will also need to develop </w:t>
      </w:r>
      <w:r w:rsidR="009D2C06" w:rsidRPr="008F7A39">
        <w:t>the Auction Procedures</w:t>
      </w:r>
      <w:r w:rsidR="00D52A6C" w:rsidRPr="008F7A39">
        <w:t xml:space="preserve">, </w:t>
      </w:r>
      <w:r w:rsidR="008F7A39">
        <w:t xml:space="preserve">which will contain </w:t>
      </w:r>
      <w:r w:rsidR="00D52A6C" w:rsidRPr="008F7A39">
        <w:t>detail on</w:t>
      </w:r>
      <w:r w:rsidR="00E32ADB">
        <w:t>:</w:t>
      </w:r>
    </w:p>
    <w:p w14:paraId="1054B584" w14:textId="77777777" w:rsidR="009D2C06" w:rsidRPr="008F7A39" w:rsidRDefault="00D52A6C" w:rsidP="008F7A39">
      <w:pPr>
        <w:pStyle w:val="ListBullet"/>
        <w:spacing w:line="259" w:lineRule="auto"/>
      </w:pPr>
      <w:r w:rsidRPr="008F7A39">
        <w:t xml:space="preserve">the terms of participation in the auction, including the form of the </w:t>
      </w:r>
      <w:r w:rsidR="004C4906">
        <w:t>A</w:t>
      </w:r>
      <w:r w:rsidR="004C4906" w:rsidRPr="008F7A39">
        <w:t xml:space="preserve">uction </w:t>
      </w:r>
      <w:r w:rsidR="004C4906">
        <w:t>A</w:t>
      </w:r>
      <w:r w:rsidR="004C4906" w:rsidRPr="008F7A39">
        <w:t>greement</w:t>
      </w:r>
      <w:r w:rsidRPr="008F7A39">
        <w:t xml:space="preserve">, the eligibility criteria for signing an </w:t>
      </w:r>
      <w:r w:rsidR="004C4906">
        <w:t>A</w:t>
      </w:r>
      <w:r w:rsidR="004C4906" w:rsidRPr="008F7A39">
        <w:t xml:space="preserve">uction </w:t>
      </w:r>
      <w:r w:rsidR="004C4906">
        <w:t>A</w:t>
      </w:r>
      <w:r w:rsidR="004C4906" w:rsidRPr="008F7A39">
        <w:t xml:space="preserve">greement </w:t>
      </w:r>
      <w:r w:rsidRPr="008F7A39">
        <w:t>and prudential requirements;</w:t>
      </w:r>
    </w:p>
    <w:p w14:paraId="1CC44D5D" w14:textId="77777777" w:rsidR="00D52A6C" w:rsidRPr="008F7A39" w:rsidRDefault="00D52A6C" w:rsidP="008F7A39">
      <w:pPr>
        <w:pStyle w:val="ListBullet"/>
        <w:spacing w:line="259" w:lineRule="auto"/>
      </w:pPr>
      <w:r w:rsidRPr="008F7A39">
        <w:t>matters relating to the conduct of the auction, including information on the methodology used to calculate the auction quantity limits, how the specification of auction products will be determined, the bidding process, the way that auction results will be notified, settlement calculations and how system failures will be dealt with;</w:t>
      </w:r>
    </w:p>
    <w:p w14:paraId="31D8BC68" w14:textId="77777777" w:rsidR="00D52A6C" w:rsidRPr="008F7A39" w:rsidRDefault="00D52A6C" w:rsidP="008F7A39">
      <w:pPr>
        <w:pStyle w:val="ListBullet"/>
        <w:spacing w:line="259" w:lineRule="auto"/>
      </w:pPr>
      <w:r w:rsidRPr="008F7A39">
        <w:t>the information to be exchanged with auction facility operators and how the auction results will be given effect; and</w:t>
      </w:r>
    </w:p>
    <w:p w14:paraId="62C0B087" w14:textId="77777777" w:rsidR="00D52A6C" w:rsidRPr="008F7A39" w:rsidRDefault="00D52A6C" w:rsidP="008F7A39">
      <w:pPr>
        <w:pStyle w:val="ListBullet"/>
        <w:spacing w:line="259" w:lineRule="auto"/>
      </w:pPr>
      <w:r w:rsidRPr="008F7A39">
        <w:t>the auction related information that AEMO will publish on the Bulletin Board.</w:t>
      </w:r>
    </w:p>
    <w:p w14:paraId="15412794" w14:textId="77777777" w:rsidR="00FD3070" w:rsidRPr="008F7A39" w:rsidRDefault="00FD3070" w:rsidP="008F7A39">
      <w:pPr>
        <w:pStyle w:val="BodyText"/>
        <w:spacing w:line="259" w:lineRule="auto"/>
      </w:pPr>
      <w:r w:rsidRPr="008F7A39">
        <w:t xml:space="preserve">Further detail on the </w:t>
      </w:r>
      <w:r w:rsidR="00BA7528" w:rsidRPr="008F7A39">
        <w:t xml:space="preserve">proposed </w:t>
      </w:r>
      <w:r w:rsidRPr="008F7A39">
        <w:t xml:space="preserve">amendments </w:t>
      </w:r>
      <w:r w:rsidR="00D52A6C" w:rsidRPr="008F7A39">
        <w:t xml:space="preserve">to the NGL, NGR and Regulations </w:t>
      </w:r>
      <w:r w:rsidRPr="008F7A39">
        <w:t xml:space="preserve">is provided in the remainder of this chapter, which commences with an overview of the design of the </w:t>
      </w:r>
      <w:r w:rsidR="00D52A6C" w:rsidRPr="008F7A39">
        <w:t xml:space="preserve">auction </w:t>
      </w:r>
      <w:r w:rsidRPr="008F7A39">
        <w:t xml:space="preserve">that was approved by the Energy Council in early January and the refinements </w:t>
      </w:r>
      <w:r w:rsidR="00BA7528" w:rsidRPr="008F7A39">
        <w:t xml:space="preserve">that have subsequently been made </w:t>
      </w:r>
      <w:r w:rsidR="00067F90">
        <w:t xml:space="preserve">on which </w:t>
      </w:r>
      <w:r w:rsidR="00AF5DD8" w:rsidRPr="008F7A39">
        <w:t>the GMRG is seeking feedback</w:t>
      </w:r>
      <w:r w:rsidRPr="008F7A39">
        <w:t xml:space="preserve">.  </w:t>
      </w:r>
    </w:p>
    <w:p w14:paraId="7F9807E4" w14:textId="77777777" w:rsidR="00110FC0" w:rsidRPr="008F7A39" w:rsidRDefault="00333568" w:rsidP="00756C62">
      <w:pPr>
        <w:pStyle w:val="Heading2"/>
        <w:numPr>
          <w:ilvl w:val="1"/>
          <w:numId w:val="20"/>
        </w:numPr>
        <w:spacing w:before="120" w:after="120" w:line="259" w:lineRule="auto"/>
        <w:ind w:left="624"/>
      </w:pPr>
      <w:bookmarkStart w:id="102" w:name="_Toc508702026"/>
      <w:bookmarkStart w:id="103" w:name="_Toc509239435"/>
      <w:r w:rsidRPr="008F7A39">
        <w:t xml:space="preserve">Overview </w:t>
      </w:r>
      <w:r w:rsidR="00110FC0" w:rsidRPr="008F7A39">
        <w:t>of the day-ahead auction</w:t>
      </w:r>
      <w:bookmarkEnd w:id="102"/>
      <w:bookmarkEnd w:id="103"/>
    </w:p>
    <w:p w14:paraId="0673BFB3" w14:textId="77777777" w:rsidR="00110FC0" w:rsidRDefault="007260A1" w:rsidP="002F7585">
      <w:pPr>
        <w:pStyle w:val="BodyText"/>
        <w:spacing w:before="0" w:after="0" w:line="259" w:lineRule="auto"/>
      </w:pPr>
      <w:r>
        <w:fldChar w:fldCharType="begin"/>
      </w:r>
      <w:r>
        <w:instrText xml:space="preserve"> REF _Ref508819772 \h </w:instrText>
      </w:r>
      <w:r>
        <w:fldChar w:fldCharType="separate"/>
      </w:r>
      <w:r w:rsidR="00830BE4">
        <w:t xml:space="preserve">Table </w:t>
      </w:r>
      <w:r w:rsidR="00830BE4">
        <w:rPr>
          <w:noProof/>
        </w:rPr>
        <w:t>5</w:t>
      </w:r>
      <w:r w:rsidR="00830BE4">
        <w:t>.</w:t>
      </w:r>
      <w:r w:rsidR="00830BE4">
        <w:rPr>
          <w:noProof/>
        </w:rPr>
        <w:t>1</w:t>
      </w:r>
      <w:r>
        <w:fldChar w:fldCharType="end"/>
      </w:r>
      <w:r>
        <w:t xml:space="preserve"> </w:t>
      </w:r>
      <w:r w:rsidR="00110FC0">
        <w:t xml:space="preserve">contains a summary of the key elements of the day-ahead auction, which with the exception of the refinements identified in the grey shaded rows, are consistent with recommendations that were approved by the Energy Council on 3 January 2018. </w:t>
      </w:r>
      <w:r w:rsidR="00067F90">
        <w:t xml:space="preserve">The </w:t>
      </w:r>
      <w:r w:rsidR="008F7A39">
        <w:t xml:space="preserve">refinements that have been made to the design of the day-ahead auction will </w:t>
      </w:r>
      <w:r w:rsidR="00067F90">
        <w:t xml:space="preserve">require the approval of </w:t>
      </w:r>
      <w:r w:rsidR="008F7A39">
        <w:t xml:space="preserve">the Energy Council. The GMRG is therefore seeking feedback on these refinements and a number of other matters set out below. </w:t>
      </w:r>
      <w:r w:rsidR="002F7585">
        <w:t xml:space="preserve"> </w:t>
      </w:r>
      <w:r w:rsidR="0055731F">
        <w:t xml:space="preserve">Further information on the auction </w:t>
      </w:r>
      <w:r w:rsidR="008F7A39">
        <w:t xml:space="preserve">design </w:t>
      </w:r>
      <w:r w:rsidR="0055731F">
        <w:t xml:space="preserve">can be found in the </w:t>
      </w:r>
      <w:r w:rsidR="0055731F" w:rsidRPr="0055731F">
        <w:rPr>
          <w:i/>
        </w:rPr>
        <w:t>Final Recommendations: Design of the Day-Ahead Auction of Contracted but Un-Nominated Capacity</w:t>
      </w:r>
      <w:r w:rsidR="0055731F">
        <w:rPr>
          <w:i/>
        </w:rPr>
        <w:t>.</w:t>
      </w:r>
      <w:r w:rsidR="0055731F">
        <w:rPr>
          <w:rStyle w:val="FootnoteReference"/>
          <w:i/>
        </w:rPr>
        <w:footnoteReference w:id="51"/>
      </w:r>
      <w:r w:rsidR="008F7A39">
        <w:rPr>
          <w:i/>
        </w:rPr>
        <w:t xml:space="preserve"> </w:t>
      </w:r>
    </w:p>
    <w:p w14:paraId="218DF1E6" w14:textId="77777777" w:rsidR="00110FC0" w:rsidRDefault="00110FC0" w:rsidP="00110FC0">
      <w:pPr>
        <w:sectPr w:rsidR="00110FC0" w:rsidSect="00436621">
          <w:footerReference w:type="default" r:id="rId44"/>
          <w:pgSz w:w="11907" w:h="16839"/>
          <w:pgMar w:top="1361" w:right="1418" w:bottom="992" w:left="1701" w:header="567" w:footer="397" w:gutter="0"/>
          <w:cols w:space="720"/>
        </w:sectPr>
      </w:pPr>
    </w:p>
    <w:p w14:paraId="5D85BD0D" w14:textId="77777777" w:rsidR="00110FC0" w:rsidRDefault="00110FC0" w:rsidP="00110FC0">
      <w:pPr>
        <w:pStyle w:val="Caption"/>
        <w:spacing w:before="0" w:after="0"/>
      </w:pPr>
      <w:bookmarkStart w:id="104" w:name="_Ref508819772"/>
      <w:r>
        <w:lastRenderedPageBreak/>
        <w:t xml:space="preserve">Table </w:t>
      </w:r>
      <w:fldSimple w:instr=" STYLEREF 1 \s ">
        <w:r w:rsidR="00830BE4">
          <w:rPr>
            <w:noProof/>
          </w:rPr>
          <w:t>5</w:t>
        </w:r>
      </w:fldSimple>
      <w:r w:rsidR="00676D5D">
        <w:t>.</w:t>
      </w:r>
      <w:fldSimple w:instr=" SEQ Table \* ARABIC \s 1 ">
        <w:r w:rsidR="00830BE4">
          <w:rPr>
            <w:noProof/>
          </w:rPr>
          <w:t>1</w:t>
        </w:r>
      </w:fldSimple>
      <w:bookmarkEnd w:id="104"/>
      <w:r>
        <w:t>: Design of the day-ahead auction</w:t>
      </w:r>
    </w:p>
    <w:tbl>
      <w:tblPr>
        <w:tblStyle w:val="TableGrid"/>
        <w:tblW w:w="14460" w:type="dxa"/>
        <w:tblInd w:w="-426" w:type="dxa"/>
        <w:tblLook w:val="04A0" w:firstRow="1" w:lastRow="0" w:firstColumn="1" w:lastColumn="0" w:noHBand="0" w:noVBand="1"/>
        <w:tblCaption w:val="Table 5.1: Design of the day-ahead auction"/>
        <w:tblDescription w:val="Table outlining the design of the day-ahead auction"/>
      </w:tblPr>
      <w:tblGrid>
        <w:gridCol w:w="426"/>
        <w:gridCol w:w="1701"/>
        <w:gridCol w:w="12333"/>
      </w:tblGrid>
      <w:tr w:rsidR="00110FC0" w14:paraId="0D211158" w14:textId="77777777" w:rsidTr="0087212A">
        <w:trPr>
          <w:cnfStyle w:val="100000000000" w:firstRow="1" w:lastRow="0" w:firstColumn="0" w:lastColumn="0" w:oddVBand="0" w:evenVBand="0" w:oddHBand="0" w:evenHBand="0" w:firstRowFirstColumn="0" w:firstRowLastColumn="0" w:lastRowFirstColumn="0" w:lastRowLastColumn="0"/>
          <w:tblHeader/>
        </w:trPr>
        <w:tc>
          <w:tcPr>
            <w:tcW w:w="2127" w:type="dxa"/>
            <w:gridSpan w:val="2"/>
            <w:tcBorders>
              <w:top w:val="single" w:sz="4" w:space="0" w:color="auto"/>
              <w:left w:val="nil"/>
              <w:bottom w:val="single" w:sz="4" w:space="0" w:color="auto"/>
              <w:right w:val="single" w:sz="4" w:space="0" w:color="auto"/>
            </w:tcBorders>
            <w:shd w:val="clear" w:color="auto" w:fill="0099CC"/>
            <w:hideMark/>
          </w:tcPr>
          <w:p w14:paraId="6EB273E9" w14:textId="77777777" w:rsidR="00110FC0" w:rsidRDefault="00110FC0" w:rsidP="002F7585">
            <w:pPr>
              <w:pStyle w:val="BodyText"/>
              <w:spacing w:before="20" w:after="20" w:line="252" w:lineRule="auto"/>
              <w:rPr>
                <w:rFonts w:cs="Arial"/>
                <w:b w:val="0"/>
                <w:color w:val="FFFFFF" w:themeColor="background1"/>
                <w:szCs w:val="18"/>
              </w:rPr>
            </w:pPr>
            <w:r>
              <w:rPr>
                <w:rFonts w:cs="Arial"/>
                <w:color w:val="FFFFFF" w:themeColor="background1"/>
                <w:szCs w:val="18"/>
              </w:rPr>
              <w:t>Design Element</w:t>
            </w:r>
          </w:p>
        </w:tc>
        <w:tc>
          <w:tcPr>
            <w:tcW w:w="12333" w:type="dxa"/>
            <w:tcBorders>
              <w:top w:val="single" w:sz="4" w:space="0" w:color="auto"/>
              <w:left w:val="single" w:sz="4" w:space="0" w:color="auto"/>
              <w:bottom w:val="single" w:sz="4" w:space="0" w:color="auto"/>
              <w:right w:val="nil"/>
            </w:tcBorders>
            <w:shd w:val="clear" w:color="auto" w:fill="0099CC"/>
            <w:hideMark/>
          </w:tcPr>
          <w:p w14:paraId="4F15A9D4" w14:textId="77777777" w:rsidR="00110FC0" w:rsidRDefault="00F751EA" w:rsidP="002F7585">
            <w:pPr>
              <w:pStyle w:val="BodyText"/>
              <w:spacing w:before="20" w:after="20" w:line="252" w:lineRule="auto"/>
              <w:rPr>
                <w:rFonts w:cs="Arial"/>
                <w:b w:val="0"/>
                <w:color w:val="FFFFFF" w:themeColor="background1"/>
                <w:szCs w:val="18"/>
              </w:rPr>
            </w:pPr>
            <w:r>
              <w:rPr>
                <w:rFonts w:cs="Arial"/>
                <w:color w:val="FFFFFF" w:themeColor="background1"/>
                <w:szCs w:val="18"/>
              </w:rPr>
              <w:t>Detail</w:t>
            </w:r>
          </w:p>
        </w:tc>
      </w:tr>
      <w:tr w:rsidR="00F650CC" w14:paraId="3ACCFFE9" w14:textId="77777777" w:rsidTr="0087212A">
        <w:trPr>
          <w:trHeight w:val="285"/>
        </w:trPr>
        <w:tc>
          <w:tcPr>
            <w:tcW w:w="2127" w:type="dxa"/>
            <w:gridSpan w:val="2"/>
            <w:tcBorders>
              <w:top w:val="single" w:sz="4" w:space="0" w:color="auto"/>
              <w:left w:val="nil"/>
              <w:right w:val="single" w:sz="4" w:space="0" w:color="auto"/>
            </w:tcBorders>
            <w:shd w:val="clear" w:color="auto" w:fill="F2F2F2" w:themeFill="background1" w:themeFillShade="F2"/>
            <w:hideMark/>
          </w:tcPr>
          <w:p w14:paraId="48A322F4" w14:textId="77777777" w:rsidR="00F650CC" w:rsidRDefault="00F650CC" w:rsidP="002F7585">
            <w:pPr>
              <w:pStyle w:val="BodyText"/>
              <w:spacing w:before="20" w:after="20" w:line="252" w:lineRule="auto"/>
              <w:rPr>
                <w:rFonts w:cs="Arial"/>
                <w:b/>
                <w:szCs w:val="18"/>
              </w:rPr>
            </w:pPr>
            <w:r>
              <w:rPr>
                <w:rFonts w:cs="Arial"/>
                <w:b/>
                <w:szCs w:val="18"/>
              </w:rPr>
              <w:t xml:space="preserve">Auction coverage </w:t>
            </w:r>
          </w:p>
        </w:tc>
        <w:tc>
          <w:tcPr>
            <w:tcW w:w="12333" w:type="dxa"/>
            <w:tcBorders>
              <w:top w:val="single" w:sz="4" w:space="0" w:color="auto"/>
              <w:left w:val="single" w:sz="4" w:space="0" w:color="auto"/>
              <w:right w:val="nil"/>
            </w:tcBorders>
            <w:shd w:val="clear" w:color="auto" w:fill="F2F2F2" w:themeFill="background1" w:themeFillShade="F2"/>
            <w:hideMark/>
          </w:tcPr>
          <w:p w14:paraId="3580B725" w14:textId="77777777" w:rsidR="00067F90" w:rsidRDefault="00F650CC" w:rsidP="002F7585">
            <w:pPr>
              <w:pStyle w:val="TableBodyText"/>
              <w:spacing w:before="20" w:after="20" w:line="252" w:lineRule="auto"/>
            </w:pPr>
            <w:r>
              <w:t xml:space="preserve">The exemption criteria for the auction will be the same as </w:t>
            </w:r>
            <w:r w:rsidR="00E32ADB">
              <w:t>they are</w:t>
            </w:r>
            <w:r>
              <w:t xml:space="preserve"> under Part 24 of the NGR (see Chapter 4). The auction will therefore only apply to transportation facilities with a nameplate capacity of 10 TJ/day and above that are providing third party access and servicing more than one user</w:t>
            </w:r>
            <w:r w:rsidR="00067F90">
              <w:t>.</w:t>
            </w:r>
          </w:p>
          <w:p w14:paraId="25FECB61" w14:textId="77777777" w:rsidR="00F650CC" w:rsidRDefault="00067F90" w:rsidP="002F7585">
            <w:pPr>
              <w:pStyle w:val="TableBodyText"/>
              <w:spacing w:before="20" w:after="20" w:line="252" w:lineRule="auto"/>
            </w:pPr>
            <w:r>
              <w:t xml:space="preserve">Automatic exemptions will also be available to </w:t>
            </w:r>
            <w:r w:rsidR="00E32ADB">
              <w:t xml:space="preserve">distribution pipelines, the </w:t>
            </w:r>
            <w:r>
              <w:t xml:space="preserve">DTS </w:t>
            </w:r>
            <w:r w:rsidR="00E32ADB">
              <w:t xml:space="preserve">and compression facilities that </w:t>
            </w:r>
            <w:r>
              <w:t xml:space="preserve">do not meet the specification in the NGR. </w:t>
            </w:r>
          </w:p>
        </w:tc>
      </w:tr>
      <w:tr w:rsidR="0087212A" w14:paraId="7CF955C3" w14:textId="77777777" w:rsidTr="0087212A">
        <w:trPr>
          <w:cnfStyle w:val="000000010000" w:firstRow="0" w:lastRow="0" w:firstColumn="0" w:lastColumn="0" w:oddVBand="0" w:evenVBand="0" w:oddHBand="0" w:evenHBand="1" w:firstRowFirstColumn="0" w:firstRowLastColumn="0" w:lastRowFirstColumn="0" w:lastRowLastColumn="0"/>
          <w:trHeight w:val="847"/>
        </w:trPr>
        <w:tc>
          <w:tcPr>
            <w:tcW w:w="2127" w:type="dxa"/>
            <w:gridSpan w:val="2"/>
            <w:tcBorders>
              <w:top w:val="single" w:sz="4" w:space="0" w:color="auto"/>
              <w:left w:val="nil"/>
              <w:bottom w:val="single" w:sz="4" w:space="0" w:color="auto"/>
              <w:right w:val="single" w:sz="4" w:space="0" w:color="auto"/>
            </w:tcBorders>
            <w:shd w:val="clear" w:color="auto" w:fill="FFFFFF" w:themeFill="background1"/>
            <w:hideMark/>
          </w:tcPr>
          <w:p w14:paraId="658265E8" w14:textId="77777777" w:rsidR="0087212A" w:rsidRDefault="0087212A" w:rsidP="002F7585">
            <w:pPr>
              <w:pStyle w:val="BodyText"/>
              <w:spacing w:before="20" w:after="20" w:line="252" w:lineRule="auto"/>
              <w:rPr>
                <w:rFonts w:cs="Arial"/>
                <w:b/>
                <w:szCs w:val="18"/>
              </w:rPr>
            </w:pPr>
            <w:r>
              <w:rPr>
                <w:rFonts w:cs="Arial"/>
                <w:b/>
                <w:szCs w:val="18"/>
              </w:rPr>
              <w:t>Operation of the auction</w:t>
            </w:r>
          </w:p>
        </w:tc>
        <w:tc>
          <w:tcPr>
            <w:tcW w:w="12333" w:type="dxa"/>
            <w:tcBorders>
              <w:top w:val="single" w:sz="4" w:space="0" w:color="auto"/>
              <w:left w:val="single" w:sz="4" w:space="0" w:color="auto"/>
              <w:right w:val="nil"/>
            </w:tcBorders>
            <w:shd w:val="clear" w:color="auto" w:fill="FFFFFF" w:themeFill="background1"/>
            <w:hideMark/>
          </w:tcPr>
          <w:p w14:paraId="568C746F" w14:textId="77777777" w:rsidR="0087212A" w:rsidRDefault="0087212A" w:rsidP="002F7585">
            <w:pPr>
              <w:pStyle w:val="TableBodyText"/>
              <w:spacing w:before="20" w:after="80" w:line="252" w:lineRule="auto"/>
              <w:rPr>
                <w:szCs w:val="18"/>
              </w:rPr>
            </w:pPr>
            <w:r>
              <w:rPr>
                <w:szCs w:val="18"/>
              </w:rPr>
              <w:t xml:space="preserve">AEMO will be responsible for establishing, operating and administering the auction, which will </w:t>
            </w:r>
            <w:r>
              <w:t xml:space="preserve">utilise </w:t>
            </w:r>
            <w:r w:rsidRPr="00F13A4A">
              <w:t>the existing GSH settlemen</w:t>
            </w:r>
            <w:r>
              <w:t xml:space="preserve">t, prudential and reporting frameworks and allow shippers’ prudential requirements to be aggregated across gas, secondary capacity and auction products. </w:t>
            </w:r>
          </w:p>
          <w:p w14:paraId="655BA987" w14:textId="77777777" w:rsidR="0087212A" w:rsidRDefault="0087212A" w:rsidP="002F7585">
            <w:pPr>
              <w:pStyle w:val="TableBodyText"/>
              <w:spacing w:before="20" w:after="20" w:line="252" w:lineRule="auto"/>
              <w:rPr>
                <w:szCs w:val="18"/>
              </w:rPr>
            </w:pPr>
            <w:r>
              <w:rPr>
                <w:szCs w:val="18"/>
              </w:rPr>
              <w:t xml:space="preserve">AEMO will also be responsible for publishing information pre and post-auction. The information to be published will be set out in the Auction Procedures but is expected to include information on: </w:t>
            </w:r>
          </w:p>
          <w:p w14:paraId="08838CC5" w14:textId="77777777" w:rsidR="0087212A" w:rsidRPr="00920928" w:rsidRDefault="0087212A" w:rsidP="00920928">
            <w:pPr>
              <w:pStyle w:val="TableBullet1"/>
              <w:widowControl w:val="0"/>
              <w:numPr>
                <w:ilvl w:val="0"/>
                <w:numId w:val="21"/>
              </w:numPr>
              <w:spacing w:before="20" w:after="20" w:line="252" w:lineRule="auto"/>
              <w:rPr>
                <w:szCs w:val="18"/>
              </w:rPr>
            </w:pPr>
            <w:r w:rsidRPr="00920928">
              <w:rPr>
                <w:szCs w:val="18"/>
              </w:rPr>
              <w:t>the products that will be available in the auction and the auction quantities prior to the auction being conducted; and</w:t>
            </w:r>
          </w:p>
          <w:p w14:paraId="39BC042F" w14:textId="77777777" w:rsidR="0087212A" w:rsidRPr="0087212A" w:rsidRDefault="0087212A" w:rsidP="003F5961">
            <w:pPr>
              <w:pStyle w:val="TableBullet1"/>
              <w:numPr>
                <w:ilvl w:val="0"/>
                <w:numId w:val="38"/>
              </w:numPr>
              <w:spacing w:before="20" w:after="20" w:line="252" w:lineRule="auto"/>
              <w:rPr>
                <w:rFonts w:ascii="Times New Roman" w:hAnsi="Times New Roman"/>
                <w:sz w:val="24"/>
                <w:szCs w:val="24"/>
              </w:rPr>
            </w:pPr>
            <w:r w:rsidRPr="0087212A">
              <w:rPr>
                <w:szCs w:val="18"/>
              </w:rPr>
              <w:t xml:space="preserve">the results of the auction (e.g. clearing prices, quantities of auction capacity allocated and, where relevant, curtailed auction MDQ), which until sufficient liquidity develops in this market, </w:t>
            </w:r>
            <w:r>
              <w:rPr>
                <w:szCs w:val="18"/>
              </w:rPr>
              <w:t>will not include the bid stack</w:t>
            </w:r>
            <w:r w:rsidRPr="0087212A">
              <w:rPr>
                <w:szCs w:val="18"/>
              </w:rPr>
              <w:t xml:space="preserve">.  </w:t>
            </w:r>
          </w:p>
        </w:tc>
      </w:tr>
      <w:tr w:rsidR="0087212A" w14:paraId="4ADB9FA7" w14:textId="77777777" w:rsidTr="0087212A">
        <w:trPr>
          <w:trHeight w:val="56"/>
        </w:trPr>
        <w:tc>
          <w:tcPr>
            <w:tcW w:w="2127" w:type="dxa"/>
            <w:gridSpan w:val="2"/>
            <w:tcBorders>
              <w:top w:val="single" w:sz="4" w:space="0" w:color="auto"/>
              <w:left w:val="nil"/>
              <w:bottom w:val="single" w:sz="4" w:space="0" w:color="auto"/>
              <w:right w:val="single" w:sz="4" w:space="0" w:color="auto"/>
            </w:tcBorders>
            <w:shd w:val="clear" w:color="auto" w:fill="FFFFFF" w:themeFill="background1"/>
          </w:tcPr>
          <w:p w14:paraId="045C201E" w14:textId="77777777" w:rsidR="0087212A" w:rsidRDefault="0087212A" w:rsidP="002F7585">
            <w:pPr>
              <w:pStyle w:val="BodyText"/>
              <w:spacing w:before="20" w:after="20" w:line="252" w:lineRule="auto"/>
              <w:rPr>
                <w:rFonts w:cs="Arial"/>
                <w:b/>
                <w:szCs w:val="18"/>
              </w:rPr>
            </w:pPr>
            <w:r>
              <w:rPr>
                <w:rFonts w:cs="Arial"/>
                <w:b/>
                <w:szCs w:val="18"/>
              </w:rPr>
              <w:t xml:space="preserve">Auction participation </w:t>
            </w:r>
          </w:p>
        </w:tc>
        <w:tc>
          <w:tcPr>
            <w:tcW w:w="12333" w:type="dxa"/>
            <w:tcBorders>
              <w:left w:val="single" w:sz="4" w:space="0" w:color="auto"/>
              <w:bottom w:val="single" w:sz="4" w:space="0" w:color="auto"/>
              <w:right w:val="nil"/>
            </w:tcBorders>
            <w:shd w:val="clear" w:color="auto" w:fill="FFFFFF" w:themeFill="background1"/>
          </w:tcPr>
          <w:p w14:paraId="5D48BF31" w14:textId="77777777" w:rsidR="0087212A" w:rsidRDefault="0087212A" w:rsidP="002F7585">
            <w:pPr>
              <w:pStyle w:val="TableBodyText"/>
              <w:spacing w:before="20" w:after="20" w:line="252" w:lineRule="auto"/>
              <w:rPr>
                <w:szCs w:val="18"/>
              </w:rPr>
            </w:pPr>
            <w:r>
              <w:rPr>
                <w:szCs w:val="18"/>
              </w:rPr>
              <w:t xml:space="preserve">To participate in the auction and utilise the capacity procured in the auction, shippers </w:t>
            </w:r>
            <w:r w:rsidR="00F71AC6">
              <w:rPr>
                <w:szCs w:val="18"/>
              </w:rPr>
              <w:t xml:space="preserve">will be required to </w:t>
            </w:r>
            <w:r>
              <w:rPr>
                <w:szCs w:val="18"/>
              </w:rPr>
              <w:t xml:space="preserve">enter into an </w:t>
            </w:r>
            <w:r w:rsidR="004C4906">
              <w:rPr>
                <w:szCs w:val="18"/>
              </w:rPr>
              <w:t xml:space="preserve">Auction Agreement </w:t>
            </w:r>
            <w:r>
              <w:rPr>
                <w:szCs w:val="18"/>
              </w:rPr>
              <w:t xml:space="preserve">with AEMO and have an operational transportation </w:t>
            </w:r>
            <w:r w:rsidR="00067F90">
              <w:rPr>
                <w:szCs w:val="18"/>
              </w:rPr>
              <w:t xml:space="preserve">services </w:t>
            </w:r>
            <w:r>
              <w:rPr>
                <w:szCs w:val="18"/>
              </w:rPr>
              <w:t xml:space="preserve">agreement in place with the relevant service provider (see </w:t>
            </w:r>
            <w:r>
              <w:rPr>
                <w:szCs w:val="18"/>
              </w:rPr>
              <w:fldChar w:fldCharType="begin"/>
            </w:r>
            <w:r>
              <w:rPr>
                <w:szCs w:val="18"/>
              </w:rPr>
              <w:instrText xml:space="preserve"> REF _Ref491414461 \h </w:instrText>
            </w:r>
            <w:r>
              <w:rPr>
                <w:szCs w:val="18"/>
              </w:rPr>
            </w:r>
            <w:r>
              <w:rPr>
                <w:szCs w:val="18"/>
              </w:rPr>
              <w:fldChar w:fldCharType="separate"/>
            </w:r>
            <w:r w:rsidR="00830BE4">
              <w:t xml:space="preserve">Table </w:t>
            </w:r>
            <w:r w:rsidR="00830BE4">
              <w:rPr>
                <w:noProof/>
              </w:rPr>
              <w:t>2</w:t>
            </w:r>
            <w:r w:rsidR="00830BE4">
              <w:t>.</w:t>
            </w:r>
            <w:r w:rsidR="00830BE4">
              <w:rPr>
                <w:noProof/>
              </w:rPr>
              <w:t>1</w:t>
            </w:r>
            <w:r>
              <w:rPr>
                <w:szCs w:val="18"/>
              </w:rPr>
              <w:fldChar w:fldCharType="end"/>
            </w:r>
            <w:r>
              <w:rPr>
                <w:szCs w:val="18"/>
              </w:rPr>
              <w:t xml:space="preserve"> for more detail).</w:t>
            </w:r>
          </w:p>
        </w:tc>
      </w:tr>
      <w:tr w:rsidR="00110FC0" w14:paraId="4D5F1A56" w14:textId="77777777" w:rsidTr="0087212A">
        <w:trPr>
          <w:cnfStyle w:val="000000010000" w:firstRow="0" w:lastRow="0" w:firstColumn="0" w:lastColumn="0" w:oddVBand="0" w:evenVBand="0" w:oddHBand="0" w:evenHBand="1" w:firstRowFirstColumn="0" w:firstRowLastColumn="0" w:lastRowFirstColumn="0" w:lastRowLastColumn="0"/>
          <w:trHeight w:val="974"/>
        </w:trPr>
        <w:tc>
          <w:tcPr>
            <w:tcW w:w="426" w:type="dxa"/>
            <w:vMerge w:val="restart"/>
            <w:tcBorders>
              <w:top w:val="single" w:sz="4" w:space="0" w:color="auto"/>
              <w:left w:val="nil"/>
              <w:bottom w:val="single" w:sz="4" w:space="0" w:color="auto"/>
              <w:right w:val="single" w:sz="4" w:space="0" w:color="auto"/>
            </w:tcBorders>
            <w:shd w:val="clear" w:color="auto" w:fill="FFFFFF" w:themeFill="background1"/>
            <w:textDirection w:val="btLr"/>
            <w:hideMark/>
          </w:tcPr>
          <w:p w14:paraId="6688B63D" w14:textId="77777777" w:rsidR="00110FC0" w:rsidRDefault="00110FC0" w:rsidP="002F7585">
            <w:pPr>
              <w:pStyle w:val="BodyText"/>
              <w:spacing w:before="20" w:after="20" w:line="252" w:lineRule="auto"/>
              <w:jc w:val="center"/>
              <w:rPr>
                <w:rFonts w:cs="Arial"/>
                <w:b/>
                <w:szCs w:val="18"/>
              </w:rPr>
            </w:pPr>
            <w:r>
              <w:rPr>
                <w:rFonts w:cs="Arial"/>
                <w:b/>
                <w:szCs w:val="18"/>
              </w:rPr>
              <w:t>Auction services</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C42392" w14:textId="77777777" w:rsidR="00110FC0" w:rsidRDefault="00596F30" w:rsidP="002F7585">
            <w:pPr>
              <w:pStyle w:val="BodyText"/>
              <w:spacing w:before="20" w:after="20" w:line="252" w:lineRule="auto"/>
              <w:rPr>
                <w:rFonts w:cs="Arial"/>
                <w:b/>
                <w:szCs w:val="18"/>
              </w:rPr>
            </w:pPr>
            <w:r>
              <w:rPr>
                <w:rFonts w:cs="Arial"/>
                <w:b/>
                <w:szCs w:val="18"/>
              </w:rPr>
              <w:t>Auction services</w:t>
            </w:r>
          </w:p>
        </w:tc>
        <w:tc>
          <w:tcPr>
            <w:tcW w:w="12333" w:type="dxa"/>
            <w:tcBorders>
              <w:top w:val="single" w:sz="4" w:space="0" w:color="auto"/>
              <w:left w:val="single" w:sz="4" w:space="0" w:color="auto"/>
              <w:bottom w:val="single" w:sz="4" w:space="0" w:color="auto"/>
              <w:right w:val="nil"/>
            </w:tcBorders>
            <w:shd w:val="clear" w:color="auto" w:fill="FFFFFF" w:themeFill="background1"/>
            <w:hideMark/>
          </w:tcPr>
          <w:p w14:paraId="7095509B" w14:textId="77777777" w:rsidR="00110FC0" w:rsidRDefault="00110FC0" w:rsidP="002F7585">
            <w:pPr>
              <w:pStyle w:val="TableBullet1"/>
              <w:widowControl w:val="0"/>
              <w:tabs>
                <w:tab w:val="left" w:pos="720"/>
              </w:tabs>
              <w:spacing w:before="20" w:after="20" w:line="252" w:lineRule="auto"/>
              <w:ind w:left="312" w:hanging="227"/>
              <w:rPr>
                <w:szCs w:val="18"/>
              </w:rPr>
            </w:pPr>
            <w:r>
              <w:rPr>
                <w:szCs w:val="18"/>
              </w:rPr>
              <w:t>Participants will be able to use the auction to procure:</w:t>
            </w:r>
          </w:p>
          <w:p w14:paraId="2B424FD5" w14:textId="77777777" w:rsidR="00110FC0" w:rsidRDefault="00067F90" w:rsidP="002F7585">
            <w:pPr>
              <w:pStyle w:val="TableBullet1"/>
              <w:widowControl w:val="0"/>
              <w:numPr>
                <w:ilvl w:val="0"/>
                <w:numId w:val="21"/>
              </w:numPr>
              <w:spacing w:before="20" w:after="20" w:line="252" w:lineRule="auto"/>
              <w:rPr>
                <w:szCs w:val="18"/>
              </w:rPr>
            </w:pPr>
            <w:r>
              <w:rPr>
                <w:szCs w:val="18"/>
              </w:rPr>
              <w:t>F</w:t>
            </w:r>
            <w:r w:rsidR="00110FC0">
              <w:rPr>
                <w:szCs w:val="18"/>
              </w:rPr>
              <w:t xml:space="preserve">orward haul transportation services (with separate products offered in both directions on bi-directional pipelines). </w:t>
            </w:r>
          </w:p>
          <w:p w14:paraId="29FD6C3B" w14:textId="77777777" w:rsidR="00110FC0" w:rsidRDefault="00067F90" w:rsidP="002F7585">
            <w:pPr>
              <w:pStyle w:val="TableBullet1"/>
              <w:widowControl w:val="0"/>
              <w:numPr>
                <w:ilvl w:val="0"/>
                <w:numId w:val="21"/>
              </w:numPr>
              <w:spacing w:before="20" w:after="20" w:line="252" w:lineRule="auto"/>
              <w:rPr>
                <w:szCs w:val="18"/>
              </w:rPr>
            </w:pPr>
            <w:r>
              <w:rPr>
                <w:szCs w:val="18"/>
              </w:rPr>
              <w:t>Stand-alone c</w:t>
            </w:r>
            <w:r w:rsidR="00110FC0">
              <w:rPr>
                <w:szCs w:val="18"/>
              </w:rPr>
              <w:t>ompression services.</w:t>
            </w:r>
          </w:p>
          <w:p w14:paraId="7A2DE2B4" w14:textId="77777777" w:rsidR="00110FC0" w:rsidRDefault="00067F90" w:rsidP="002F7585">
            <w:pPr>
              <w:pStyle w:val="TableBullet1"/>
              <w:widowControl w:val="0"/>
              <w:numPr>
                <w:ilvl w:val="0"/>
                <w:numId w:val="21"/>
              </w:numPr>
              <w:spacing w:before="20" w:after="20" w:line="252" w:lineRule="auto"/>
              <w:rPr>
                <w:szCs w:val="18"/>
              </w:rPr>
            </w:pPr>
            <w:r>
              <w:rPr>
                <w:rFonts w:eastAsiaTheme="majorEastAsia"/>
                <w:szCs w:val="18"/>
              </w:rPr>
              <w:t>B</w:t>
            </w:r>
            <w:r w:rsidR="00110FC0">
              <w:rPr>
                <w:rFonts w:eastAsiaTheme="majorEastAsia"/>
                <w:szCs w:val="18"/>
              </w:rPr>
              <w:t>ackhaul services available on single direction pipelines (or parts of pipelines).</w:t>
            </w:r>
          </w:p>
        </w:tc>
      </w:tr>
      <w:tr w:rsidR="0029403B" w14:paraId="1F313906" w14:textId="77777777" w:rsidTr="0087212A">
        <w:trPr>
          <w:trHeight w:val="933"/>
        </w:trPr>
        <w:tc>
          <w:tcPr>
            <w:tcW w:w="0" w:type="auto"/>
            <w:vMerge/>
            <w:tcBorders>
              <w:top w:val="single" w:sz="4" w:space="0" w:color="auto"/>
              <w:left w:val="nil"/>
              <w:bottom w:val="single" w:sz="4" w:space="0" w:color="auto"/>
              <w:right w:val="single" w:sz="4" w:space="0" w:color="auto"/>
            </w:tcBorders>
            <w:vAlign w:val="center"/>
            <w:hideMark/>
          </w:tcPr>
          <w:p w14:paraId="54823453" w14:textId="77777777" w:rsidR="0029403B" w:rsidRDefault="0029403B" w:rsidP="002F7585">
            <w:pPr>
              <w:spacing w:before="20" w:after="20" w:line="252" w:lineRule="auto"/>
              <w:rPr>
                <w:rFonts w:cs="Arial"/>
                <w:b/>
                <w:szCs w:val="18"/>
              </w:rPr>
            </w:pPr>
          </w:p>
        </w:tc>
        <w:tc>
          <w:tcPr>
            <w:tcW w:w="1701" w:type="dxa"/>
            <w:vMerge w:val="restart"/>
            <w:tcBorders>
              <w:top w:val="single" w:sz="4" w:space="0" w:color="auto"/>
              <w:left w:val="single" w:sz="4" w:space="0" w:color="auto"/>
              <w:right w:val="single" w:sz="4" w:space="0" w:color="auto"/>
            </w:tcBorders>
            <w:shd w:val="clear" w:color="auto" w:fill="FFFFFF" w:themeFill="background1"/>
            <w:hideMark/>
          </w:tcPr>
          <w:p w14:paraId="221E4140" w14:textId="77777777" w:rsidR="0029403B" w:rsidRPr="00436621" w:rsidRDefault="0029403B" w:rsidP="002F7585">
            <w:pPr>
              <w:pStyle w:val="BodyText"/>
              <w:spacing w:before="20" w:after="20" w:line="252" w:lineRule="auto"/>
              <w:rPr>
                <w:rFonts w:cs="Arial"/>
                <w:b/>
                <w:szCs w:val="18"/>
              </w:rPr>
            </w:pPr>
            <w:r w:rsidRPr="00436621">
              <w:rPr>
                <w:rFonts w:cs="Arial"/>
                <w:b/>
                <w:szCs w:val="18"/>
              </w:rPr>
              <w:t>Auction service priorities and grandfathered rights</w:t>
            </w:r>
          </w:p>
        </w:tc>
        <w:tc>
          <w:tcPr>
            <w:tcW w:w="12333" w:type="dxa"/>
            <w:tcBorders>
              <w:top w:val="single" w:sz="4" w:space="0" w:color="auto"/>
              <w:left w:val="single" w:sz="4" w:space="0" w:color="auto"/>
              <w:bottom w:val="single" w:sz="4" w:space="0" w:color="auto"/>
              <w:right w:val="nil"/>
            </w:tcBorders>
            <w:shd w:val="clear" w:color="auto" w:fill="FFFFFF" w:themeFill="background1"/>
            <w:hideMark/>
          </w:tcPr>
          <w:p w14:paraId="7DB9F9B5" w14:textId="77777777" w:rsidR="0029403B" w:rsidRPr="00436621" w:rsidRDefault="0029403B" w:rsidP="002F7585">
            <w:pPr>
              <w:pStyle w:val="TableBullet1"/>
              <w:spacing w:before="20" w:after="20" w:line="252" w:lineRule="auto"/>
              <w:ind w:left="312" w:hanging="227"/>
              <w:rPr>
                <w:b/>
              </w:rPr>
            </w:pPr>
            <w:r w:rsidRPr="00436621">
              <w:rPr>
                <w:b/>
              </w:rPr>
              <w:t>Priority principles</w:t>
            </w:r>
          </w:p>
          <w:p w14:paraId="62AD7D34" w14:textId="77777777" w:rsidR="0029403B" w:rsidRPr="00436621" w:rsidRDefault="0029403B" w:rsidP="002F7585">
            <w:pPr>
              <w:pStyle w:val="TableBullet1"/>
              <w:spacing w:before="20" w:after="20" w:line="252" w:lineRule="auto"/>
              <w:ind w:left="312" w:hanging="227"/>
            </w:pPr>
            <w:r w:rsidRPr="00436621">
              <w:t>Auction services will be subject to the following priority principles:</w:t>
            </w:r>
          </w:p>
          <w:p w14:paraId="34A915D3" w14:textId="77777777" w:rsidR="0029403B" w:rsidRPr="00920928" w:rsidRDefault="0029403B" w:rsidP="00920928">
            <w:pPr>
              <w:pStyle w:val="TableBullet1"/>
              <w:widowControl w:val="0"/>
              <w:numPr>
                <w:ilvl w:val="0"/>
                <w:numId w:val="21"/>
              </w:numPr>
              <w:spacing w:before="20" w:after="20" w:line="252" w:lineRule="auto"/>
              <w:rPr>
                <w:szCs w:val="18"/>
              </w:rPr>
            </w:pPr>
            <w:r w:rsidRPr="00920928">
              <w:rPr>
                <w:szCs w:val="18"/>
              </w:rPr>
              <w:t xml:space="preserve">In the case of contracted capacity, auction services will rank below firm and grandfathered transportation rights and renomination rights (firm and reasonable endeavours), but above all the other lower tier transportation and renomination rights from a scheduling, curtailment and renomination rights perspective. </w:t>
            </w:r>
          </w:p>
          <w:p w14:paraId="55B702A3" w14:textId="77777777" w:rsidR="0029403B" w:rsidRPr="00920928" w:rsidRDefault="0029403B" w:rsidP="00920928">
            <w:pPr>
              <w:pStyle w:val="TableBullet1"/>
              <w:widowControl w:val="0"/>
              <w:numPr>
                <w:ilvl w:val="0"/>
                <w:numId w:val="21"/>
              </w:numPr>
              <w:spacing w:before="20" w:after="20" w:line="252" w:lineRule="auto"/>
              <w:rPr>
                <w:szCs w:val="18"/>
              </w:rPr>
            </w:pPr>
            <w:r w:rsidRPr="00920928">
              <w:rPr>
                <w:szCs w:val="18"/>
              </w:rPr>
              <w:t xml:space="preserve">If there is a more general shortfall in the </w:t>
            </w:r>
            <w:r w:rsidR="00F71AC6" w:rsidRPr="00920928">
              <w:rPr>
                <w:szCs w:val="18"/>
              </w:rPr>
              <w:t xml:space="preserve">facility’s </w:t>
            </w:r>
            <w:r w:rsidRPr="00920928">
              <w:rPr>
                <w:szCs w:val="18"/>
              </w:rPr>
              <w:t>capacity</w:t>
            </w:r>
            <w:r w:rsidR="00F71AC6" w:rsidRPr="00920928">
              <w:rPr>
                <w:szCs w:val="18"/>
              </w:rPr>
              <w:t xml:space="preserve">, which affects both the contracted and uncontracted capacity </w:t>
            </w:r>
            <w:r w:rsidRPr="00920928">
              <w:rPr>
                <w:szCs w:val="18"/>
              </w:rPr>
              <w:t>on a day (including in the case of backhaul, by reason of a reduction in net forward haul flows), the auction service will be curtailed after lower tier services.</w:t>
            </w:r>
          </w:p>
          <w:p w14:paraId="68ED0FE3" w14:textId="77777777" w:rsidR="0029403B" w:rsidRPr="00436621" w:rsidRDefault="0029403B" w:rsidP="002F7585">
            <w:pPr>
              <w:pStyle w:val="TableBodyText"/>
              <w:spacing w:before="20" w:after="20" w:line="252" w:lineRule="auto"/>
            </w:pPr>
            <w:r w:rsidRPr="00436621">
              <w:t>The NGR will require service providers to comply with these priority principles to the extent it is operationally and technical</w:t>
            </w:r>
            <w:r w:rsidR="00067F90">
              <w:t>ly</w:t>
            </w:r>
            <w:r w:rsidRPr="00436621">
              <w:t xml:space="preserve"> feasible to do so.</w:t>
            </w:r>
            <w:r w:rsidR="00C00168">
              <w:t xml:space="preserve"> The NGR will also prohibit service providers from scheduling lower tier services earlier than the auction service.</w:t>
            </w:r>
          </w:p>
          <w:p w14:paraId="69876E26" w14:textId="77777777" w:rsidR="0029403B" w:rsidRPr="00436621" w:rsidRDefault="00F13A4A" w:rsidP="002F7585">
            <w:pPr>
              <w:pStyle w:val="TableBodyText"/>
              <w:spacing w:before="20" w:after="20" w:line="252" w:lineRule="auto"/>
              <w:rPr>
                <w:color w:val="000000"/>
                <w:szCs w:val="18"/>
              </w:rPr>
            </w:pPr>
            <w:r>
              <w:rPr>
                <w:color w:val="000000"/>
                <w:szCs w:val="18"/>
              </w:rPr>
              <w:t>D</w:t>
            </w:r>
            <w:r w:rsidR="0029403B" w:rsidRPr="00436621">
              <w:rPr>
                <w:color w:val="000000"/>
                <w:szCs w:val="18"/>
              </w:rPr>
              <w:t>uring the gas day service providers will be able to sell any unutilised auction capacity on an interruptible basis, but this capacity will rank below the auction product from a curtailment and renominations right perspective.</w:t>
            </w:r>
          </w:p>
          <w:p w14:paraId="0B999D39" w14:textId="77777777" w:rsidR="0029403B" w:rsidRPr="00436621" w:rsidRDefault="00B6464C" w:rsidP="002F7585">
            <w:pPr>
              <w:pStyle w:val="TableBodyText"/>
              <w:spacing w:before="20" w:after="20" w:line="252" w:lineRule="auto"/>
            </w:pPr>
            <w:r>
              <w:t xml:space="preserve">See </w:t>
            </w:r>
            <w:r w:rsidR="00F71AC6">
              <w:t xml:space="preserve">the </w:t>
            </w:r>
            <w:r>
              <w:t xml:space="preserve">Key Terms table on page iv for the </w:t>
            </w:r>
            <w:r w:rsidR="00F71AC6">
              <w:t>definition of terms, such as ‘firm’ and ‘lower tier services’</w:t>
            </w:r>
            <w:r>
              <w:t>.</w:t>
            </w:r>
          </w:p>
        </w:tc>
      </w:tr>
      <w:tr w:rsidR="0029403B" w14:paraId="6BD45454" w14:textId="77777777" w:rsidTr="0087212A">
        <w:trPr>
          <w:cnfStyle w:val="000000010000" w:firstRow="0" w:lastRow="0" w:firstColumn="0" w:lastColumn="0" w:oddVBand="0" w:evenVBand="0" w:oddHBand="0" w:evenHBand="1" w:firstRowFirstColumn="0" w:firstRowLastColumn="0" w:lastRowFirstColumn="0" w:lastRowLastColumn="0"/>
          <w:trHeight w:val="380"/>
        </w:trPr>
        <w:tc>
          <w:tcPr>
            <w:tcW w:w="0" w:type="auto"/>
            <w:vMerge/>
            <w:tcBorders>
              <w:top w:val="single" w:sz="4" w:space="0" w:color="auto"/>
              <w:left w:val="nil"/>
              <w:bottom w:val="single" w:sz="4" w:space="0" w:color="auto"/>
              <w:right w:val="single" w:sz="4" w:space="0" w:color="auto"/>
            </w:tcBorders>
            <w:vAlign w:val="center"/>
            <w:hideMark/>
          </w:tcPr>
          <w:p w14:paraId="3E656030" w14:textId="77777777" w:rsidR="0029403B" w:rsidRDefault="0029403B" w:rsidP="002F7585">
            <w:pPr>
              <w:spacing w:before="20" w:after="20" w:line="252" w:lineRule="auto"/>
              <w:rPr>
                <w:rFonts w:cs="Arial"/>
                <w:b/>
                <w:szCs w:val="18"/>
              </w:rPr>
            </w:pPr>
          </w:p>
        </w:tc>
        <w:tc>
          <w:tcPr>
            <w:tcW w:w="1701" w:type="dxa"/>
            <w:vMerge/>
            <w:tcBorders>
              <w:left w:val="single" w:sz="4" w:space="0" w:color="auto"/>
              <w:bottom w:val="single" w:sz="4" w:space="0" w:color="auto"/>
              <w:right w:val="single" w:sz="4" w:space="0" w:color="auto"/>
            </w:tcBorders>
            <w:hideMark/>
          </w:tcPr>
          <w:p w14:paraId="5227F671" w14:textId="77777777" w:rsidR="0029403B" w:rsidRPr="0099361D" w:rsidRDefault="0029403B" w:rsidP="002F7585">
            <w:pPr>
              <w:pStyle w:val="BodyText"/>
              <w:spacing w:before="20" w:after="20" w:line="252" w:lineRule="auto"/>
              <w:rPr>
                <w:rFonts w:cs="Arial"/>
                <w:b/>
                <w:szCs w:val="18"/>
              </w:rPr>
            </w:pPr>
          </w:p>
        </w:tc>
        <w:tc>
          <w:tcPr>
            <w:tcW w:w="12333" w:type="dxa"/>
            <w:tcBorders>
              <w:top w:val="single" w:sz="4" w:space="0" w:color="auto"/>
              <w:left w:val="single" w:sz="4" w:space="0" w:color="auto"/>
              <w:bottom w:val="single" w:sz="4" w:space="0" w:color="auto"/>
              <w:right w:val="nil"/>
            </w:tcBorders>
            <w:hideMark/>
          </w:tcPr>
          <w:p w14:paraId="62262132" w14:textId="77777777" w:rsidR="0029403B" w:rsidRPr="0099361D" w:rsidRDefault="0029403B" w:rsidP="002F7585">
            <w:pPr>
              <w:pStyle w:val="TableBodyText"/>
              <w:spacing w:before="0" w:after="0" w:line="252" w:lineRule="auto"/>
            </w:pPr>
            <w:r w:rsidRPr="0029403B">
              <w:rPr>
                <w:b/>
              </w:rPr>
              <w:t>Grandfather</w:t>
            </w:r>
            <w:r w:rsidRPr="00436621">
              <w:rPr>
                <w:b/>
              </w:rPr>
              <w:t>ed</w:t>
            </w:r>
            <w:r w:rsidRPr="0029403B">
              <w:t xml:space="preserve"> </w:t>
            </w:r>
            <w:r w:rsidRPr="0029403B">
              <w:rPr>
                <w:b/>
              </w:rPr>
              <w:t>rights</w:t>
            </w:r>
            <w:r w:rsidRPr="0029403B">
              <w:t xml:space="preserve"> </w:t>
            </w:r>
            <w:r w:rsidRPr="0029403B">
              <w:br/>
              <w:t xml:space="preserve">Transitional arrangements will be put in place to treat certain transportation rights held by gas fired generators when used at their generation site as ‘firm’ transportation rights for the purposes of calculating the auction quantity limits and determining the auction service priorities. These transitional arrangements </w:t>
            </w:r>
            <w:r w:rsidR="00F13A4A">
              <w:t xml:space="preserve">are proposed to </w:t>
            </w:r>
            <w:r w:rsidRPr="0029403B">
              <w:t>be</w:t>
            </w:r>
            <w:r w:rsidRPr="0099361D">
              <w:t xml:space="preserve"> available for a </w:t>
            </w:r>
            <w:r w:rsidR="001D776E" w:rsidRPr="0099361D">
              <w:t>two-year</w:t>
            </w:r>
            <w:r w:rsidRPr="0099361D">
              <w:t xml:space="preserve"> period (e.g. 1 March 2019 to 28 February 2021) and will only apply to transportation rights that were acquired under a primary facility agreement on or before 3 January 2018</w:t>
            </w:r>
            <w:r>
              <w:t xml:space="preserve"> (see section </w:t>
            </w:r>
            <w:r>
              <w:fldChar w:fldCharType="begin"/>
            </w:r>
            <w:r>
              <w:instrText xml:space="preserve"> REF _Ref509029038 \r \h </w:instrText>
            </w:r>
            <w:r>
              <w:fldChar w:fldCharType="separate"/>
            </w:r>
            <w:r w:rsidR="00830BE4">
              <w:t>5.1.1</w:t>
            </w:r>
            <w:r>
              <w:fldChar w:fldCharType="end"/>
            </w:r>
            <w:r>
              <w:t xml:space="preserve"> for more detail)</w:t>
            </w:r>
            <w:r w:rsidRPr="0099361D">
              <w:t xml:space="preserve">. </w:t>
            </w:r>
          </w:p>
        </w:tc>
      </w:tr>
      <w:tr w:rsidR="0029403B" w14:paraId="021FF317" w14:textId="77777777" w:rsidTr="00067F90">
        <w:trPr>
          <w:trHeight w:val="70"/>
        </w:trPr>
        <w:tc>
          <w:tcPr>
            <w:tcW w:w="0" w:type="auto"/>
            <w:vMerge/>
            <w:tcBorders>
              <w:top w:val="single" w:sz="4" w:space="0" w:color="auto"/>
              <w:left w:val="nil"/>
              <w:bottom w:val="single" w:sz="4" w:space="0" w:color="auto"/>
              <w:right w:val="single" w:sz="4" w:space="0" w:color="auto"/>
            </w:tcBorders>
            <w:vAlign w:val="center"/>
          </w:tcPr>
          <w:p w14:paraId="4BB3FA33" w14:textId="77777777" w:rsidR="0029403B" w:rsidRDefault="0029403B" w:rsidP="002F7585">
            <w:pPr>
              <w:spacing w:before="20" w:after="20" w:line="252" w:lineRule="auto"/>
              <w:rPr>
                <w:rFonts w:cs="Arial"/>
                <w:b/>
                <w:szCs w:val="18"/>
              </w:rPr>
            </w:pP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14:paraId="52924EB8" w14:textId="77777777" w:rsidR="0029403B" w:rsidRPr="0099361D" w:rsidRDefault="0029403B" w:rsidP="002F7585">
            <w:pPr>
              <w:pStyle w:val="BodyText"/>
              <w:spacing w:before="0" w:after="0" w:line="252" w:lineRule="auto"/>
              <w:rPr>
                <w:rFonts w:cs="Arial"/>
                <w:b/>
                <w:szCs w:val="18"/>
              </w:rPr>
            </w:pPr>
            <w:r>
              <w:rPr>
                <w:rFonts w:cs="Arial"/>
                <w:b/>
                <w:szCs w:val="18"/>
              </w:rPr>
              <w:t>Other features of the auction service</w:t>
            </w:r>
          </w:p>
        </w:tc>
        <w:tc>
          <w:tcPr>
            <w:tcW w:w="12333" w:type="dxa"/>
            <w:tcBorders>
              <w:top w:val="single" w:sz="4" w:space="0" w:color="auto"/>
              <w:left w:val="single" w:sz="4" w:space="0" w:color="auto"/>
              <w:bottom w:val="single" w:sz="4" w:space="0" w:color="auto"/>
              <w:right w:val="nil"/>
            </w:tcBorders>
            <w:shd w:val="clear" w:color="auto" w:fill="FFFFFF" w:themeFill="background1"/>
          </w:tcPr>
          <w:p w14:paraId="51E2BAAA" w14:textId="77777777" w:rsidR="0029403B" w:rsidRPr="0099361D" w:rsidRDefault="0029403B" w:rsidP="002F7585">
            <w:pPr>
              <w:pStyle w:val="TableBodyText"/>
              <w:spacing w:before="0" w:after="0" w:line="252" w:lineRule="auto"/>
            </w:pPr>
            <w:r>
              <w:t>The standard auction product will have a maximum hourly quantity (MHQ) factor equal to the MHQ factor set out in the service provider’s standard operational agreement, a reasonable endeavours renomination right and a zero imbalance allowance. If the auction participant requires additional hourly flexibility or an imbalance allowance it can negotiate with the service provider for the provision of this additional flexibility.</w:t>
            </w:r>
          </w:p>
        </w:tc>
      </w:tr>
      <w:tr w:rsidR="00F751EA" w14:paraId="19C85D40" w14:textId="77777777" w:rsidTr="0087212A">
        <w:trPr>
          <w:cnfStyle w:val="000000010000" w:firstRow="0" w:lastRow="0" w:firstColumn="0" w:lastColumn="0" w:oddVBand="0" w:evenVBand="0" w:oddHBand="0" w:evenHBand="1" w:firstRowFirstColumn="0" w:firstRowLastColumn="0" w:lastRowFirstColumn="0" w:lastRowLastColumn="0"/>
          <w:trHeight w:val="2037"/>
        </w:trPr>
        <w:tc>
          <w:tcPr>
            <w:tcW w:w="0" w:type="auto"/>
            <w:vMerge/>
            <w:tcBorders>
              <w:top w:val="single" w:sz="4" w:space="0" w:color="auto"/>
              <w:left w:val="nil"/>
              <w:bottom w:val="single" w:sz="4" w:space="0" w:color="auto"/>
              <w:right w:val="single" w:sz="4" w:space="0" w:color="auto"/>
            </w:tcBorders>
            <w:vAlign w:val="center"/>
            <w:hideMark/>
          </w:tcPr>
          <w:p w14:paraId="1EBD58FA" w14:textId="77777777" w:rsidR="00F751EA" w:rsidRDefault="00F751EA" w:rsidP="002F7585">
            <w:pPr>
              <w:spacing w:before="20" w:line="252" w:lineRule="auto"/>
              <w:rPr>
                <w:rFonts w:cs="Arial"/>
                <w:b/>
                <w:szCs w:val="18"/>
              </w:rPr>
            </w:pPr>
          </w:p>
        </w:tc>
        <w:tc>
          <w:tcPr>
            <w:tcW w:w="1701" w:type="dxa"/>
            <w:tcBorders>
              <w:top w:val="single" w:sz="4" w:space="0" w:color="auto"/>
              <w:left w:val="single" w:sz="4" w:space="0" w:color="auto"/>
              <w:bottom w:val="single" w:sz="4" w:space="0" w:color="auto"/>
              <w:right w:val="single" w:sz="4" w:space="0" w:color="auto"/>
            </w:tcBorders>
            <w:hideMark/>
          </w:tcPr>
          <w:p w14:paraId="610B3B53" w14:textId="77777777" w:rsidR="00F751EA" w:rsidRPr="0029403B" w:rsidRDefault="00F751EA" w:rsidP="002F7585">
            <w:pPr>
              <w:pStyle w:val="BodyText"/>
              <w:spacing w:before="20" w:after="20" w:line="252" w:lineRule="auto"/>
              <w:rPr>
                <w:rFonts w:cs="Arial"/>
                <w:b/>
                <w:szCs w:val="18"/>
              </w:rPr>
            </w:pPr>
            <w:r w:rsidRPr="0029403B">
              <w:rPr>
                <w:rFonts w:cs="Arial"/>
                <w:b/>
                <w:szCs w:val="18"/>
              </w:rPr>
              <w:t xml:space="preserve">Contract path </w:t>
            </w:r>
            <w:r w:rsidR="0055731F">
              <w:rPr>
                <w:rFonts w:cs="Arial"/>
                <w:b/>
                <w:szCs w:val="18"/>
              </w:rPr>
              <w:t>specification</w:t>
            </w:r>
          </w:p>
        </w:tc>
        <w:tc>
          <w:tcPr>
            <w:tcW w:w="12333" w:type="dxa"/>
            <w:tcBorders>
              <w:top w:val="single" w:sz="4" w:space="0" w:color="auto"/>
              <w:left w:val="single" w:sz="4" w:space="0" w:color="auto"/>
              <w:right w:val="nil"/>
            </w:tcBorders>
            <w:hideMark/>
          </w:tcPr>
          <w:p w14:paraId="06EFBB18" w14:textId="77777777" w:rsidR="00F751EA" w:rsidRPr="0029403B" w:rsidRDefault="00F751EA" w:rsidP="002F7585">
            <w:pPr>
              <w:pStyle w:val="TableBodyText"/>
              <w:spacing w:before="20" w:after="20" w:line="252" w:lineRule="auto"/>
              <w:rPr>
                <w:color w:val="000000"/>
                <w:szCs w:val="18"/>
              </w:rPr>
            </w:pPr>
            <w:r w:rsidRPr="0055731F">
              <w:rPr>
                <w:b/>
                <w:color w:val="000000"/>
                <w:szCs w:val="18"/>
              </w:rPr>
              <w:t>Forward haul and compression auction services</w:t>
            </w:r>
            <w:r w:rsidRPr="0029403B">
              <w:rPr>
                <w:color w:val="000000"/>
                <w:szCs w:val="18"/>
              </w:rPr>
              <w:t xml:space="preserve"> will be sold using a hybrid point-to-point and zonal model. </w:t>
            </w:r>
            <w:r w:rsidRPr="0029403B">
              <w:rPr>
                <w:color w:val="000000"/>
                <w:szCs w:val="18"/>
                <w:lang w:val="en-US"/>
              </w:rPr>
              <w:t xml:space="preserve">The hybrid model will allow auction participants to bid on a point-to-point basis for any unused capacity at individual receipt or delivery points, but their ability to secure capacity at those points will, in the case of pipelines, depend on whether there is sufficient: </w:t>
            </w:r>
          </w:p>
          <w:p w14:paraId="35E93653" w14:textId="77777777" w:rsidR="00F751EA" w:rsidRPr="0029403B" w:rsidRDefault="00F751EA" w:rsidP="002F7585">
            <w:pPr>
              <w:pStyle w:val="TableBullet1"/>
              <w:numPr>
                <w:ilvl w:val="0"/>
                <w:numId w:val="21"/>
              </w:numPr>
              <w:spacing w:before="20" w:after="20" w:line="252" w:lineRule="auto"/>
            </w:pPr>
            <w:r w:rsidRPr="0029403B">
              <w:rPr>
                <w:lang w:val="en-US"/>
              </w:rPr>
              <w:t xml:space="preserve">CBU capacity available in the receipt </w:t>
            </w:r>
            <w:r w:rsidR="00526526">
              <w:rPr>
                <w:lang w:val="en-US"/>
              </w:rPr>
              <w:t xml:space="preserve">point </w:t>
            </w:r>
            <w:r w:rsidRPr="0029403B">
              <w:rPr>
                <w:lang w:val="en-US"/>
              </w:rPr>
              <w:t xml:space="preserve">zone and delivery </w:t>
            </w:r>
            <w:r w:rsidR="00526526">
              <w:rPr>
                <w:lang w:val="en-US"/>
              </w:rPr>
              <w:t xml:space="preserve">point </w:t>
            </w:r>
            <w:r w:rsidRPr="0029403B">
              <w:rPr>
                <w:lang w:val="en-US"/>
              </w:rPr>
              <w:t>zone they wish to use; and</w:t>
            </w:r>
          </w:p>
          <w:p w14:paraId="4ED5E73E" w14:textId="77777777" w:rsidR="00F751EA" w:rsidRPr="0029403B" w:rsidRDefault="00F751EA" w:rsidP="002F7585">
            <w:pPr>
              <w:pStyle w:val="TableBullet1"/>
              <w:numPr>
                <w:ilvl w:val="0"/>
                <w:numId w:val="21"/>
              </w:numPr>
              <w:spacing w:before="20" w:after="20" w:line="252" w:lineRule="auto"/>
            </w:pPr>
            <w:r w:rsidRPr="0029403B">
              <w:rPr>
                <w:lang w:val="en-US"/>
              </w:rPr>
              <w:t>CBU capacity along the segments of the pipeline they need to use.</w:t>
            </w:r>
          </w:p>
          <w:p w14:paraId="7F150E3C" w14:textId="77777777" w:rsidR="00F751EA" w:rsidRPr="0055731F" w:rsidRDefault="00F751EA" w:rsidP="002F7585">
            <w:pPr>
              <w:pStyle w:val="TableBullet1"/>
              <w:spacing w:before="20" w:after="20" w:line="252" w:lineRule="auto"/>
              <w:ind w:left="85"/>
              <w:rPr>
                <w:b/>
              </w:rPr>
            </w:pPr>
            <w:r w:rsidRPr="0029403B">
              <w:t>For compressors, access to unused capacity at a point will depend on whether there is sufficient CBU capacity available in the compression zone.</w:t>
            </w:r>
          </w:p>
          <w:p w14:paraId="65D01665" w14:textId="77777777" w:rsidR="00F751EA" w:rsidRPr="0029403B" w:rsidRDefault="00F751EA" w:rsidP="002F7585">
            <w:pPr>
              <w:pStyle w:val="TableBodyText"/>
              <w:spacing w:before="0" w:after="20" w:line="252" w:lineRule="auto"/>
              <w:rPr>
                <w:color w:val="000000"/>
                <w:szCs w:val="18"/>
              </w:rPr>
            </w:pPr>
            <w:r w:rsidRPr="0055731F">
              <w:rPr>
                <w:b/>
                <w:color w:val="000000"/>
                <w:szCs w:val="18"/>
              </w:rPr>
              <w:t>Backhaul services</w:t>
            </w:r>
            <w:r w:rsidRPr="0029403B">
              <w:rPr>
                <w:color w:val="000000"/>
                <w:szCs w:val="18"/>
              </w:rPr>
              <w:t xml:space="preserve"> will be sold on a point-to-point basis between points that AEMO determines should be included in the auction from time to time</w:t>
            </w:r>
            <w:r w:rsidR="00B6464C">
              <w:rPr>
                <w:color w:val="000000"/>
                <w:szCs w:val="18"/>
              </w:rPr>
              <w:t xml:space="preserve">. In contrast to forward haul and compression services, the availability of backhaul services will not be constrained by CBU capacity. It will instead depend on whether there are sufficient firm net forward haul flows between the points </w:t>
            </w:r>
            <w:r w:rsidR="00067F90">
              <w:rPr>
                <w:color w:val="000000"/>
                <w:szCs w:val="18"/>
              </w:rPr>
              <w:t xml:space="preserve">on </w:t>
            </w:r>
            <w:r w:rsidR="004E66E7">
              <w:rPr>
                <w:color w:val="000000"/>
                <w:szCs w:val="18"/>
              </w:rPr>
              <w:t xml:space="preserve">which </w:t>
            </w:r>
            <w:r w:rsidR="00B6464C">
              <w:rPr>
                <w:color w:val="000000"/>
                <w:szCs w:val="18"/>
              </w:rPr>
              <w:t xml:space="preserve">the backhaul service is to be provided </w:t>
            </w:r>
            <w:r w:rsidRPr="0029403B">
              <w:rPr>
                <w:color w:val="000000"/>
                <w:szCs w:val="18"/>
              </w:rPr>
              <w:t xml:space="preserve">(see section </w:t>
            </w:r>
            <w:r w:rsidR="00D14BBB">
              <w:rPr>
                <w:color w:val="000000"/>
                <w:szCs w:val="18"/>
              </w:rPr>
              <w:t>5.1.2</w:t>
            </w:r>
            <w:r w:rsidRPr="0029403B">
              <w:rPr>
                <w:color w:val="000000"/>
                <w:szCs w:val="18"/>
              </w:rPr>
              <w:t>).</w:t>
            </w:r>
          </w:p>
          <w:p w14:paraId="7AF8119B" w14:textId="77777777" w:rsidR="00F751EA" w:rsidRPr="0029403B" w:rsidRDefault="00526526" w:rsidP="002F7585">
            <w:pPr>
              <w:pStyle w:val="TableBodyText"/>
              <w:spacing w:before="0" w:after="20" w:line="252" w:lineRule="auto"/>
            </w:pPr>
            <w:r w:rsidRPr="00526526">
              <w:rPr>
                <w:b/>
                <w:szCs w:val="18"/>
              </w:rPr>
              <w:t>Other</w:t>
            </w:r>
            <w:r>
              <w:rPr>
                <w:b/>
                <w:szCs w:val="18"/>
              </w:rPr>
              <w:t>:</w:t>
            </w:r>
            <w:r>
              <w:rPr>
                <w:szCs w:val="18"/>
              </w:rPr>
              <w:t xml:space="preserve"> </w:t>
            </w:r>
            <w:r w:rsidR="00B6464C">
              <w:rPr>
                <w:szCs w:val="18"/>
              </w:rPr>
              <w:t xml:space="preserve">To </w:t>
            </w:r>
            <w:r w:rsidR="00F751EA" w:rsidRPr="0029403B">
              <w:rPr>
                <w:szCs w:val="18"/>
              </w:rPr>
              <w:t xml:space="preserve">ensure that </w:t>
            </w:r>
            <w:r w:rsidR="00B6464C">
              <w:rPr>
                <w:szCs w:val="18"/>
              </w:rPr>
              <w:t xml:space="preserve">the publication of </w:t>
            </w:r>
            <w:r w:rsidR="00F751EA" w:rsidRPr="0029403B">
              <w:rPr>
                <w:szCs w:val="18"/>
              </w:rPr>
              <w:t xml:space="preserve">information </w:t>
            </w:r>
            <w:r w:rsidR="00B6464C">
              <w:rPr>
                <w:szCs w:val="18"/>
              </w:rPr>
              <w:t xml:space="preserve">in advance of the auction </w:t>
            </w:r>
            <w:r w:rsidR="00F751EA" w:rsidRPr="0029403B">
              <w:rPr>
                <w:szCs w:val="18"/>
              </w:rPr>
              <w:t>does not directly or indirectly disclose a nomination made by a market generating unit as defined in the National Electricity Rules</w:t>
            </w:r>
            <w:r w:rsidR="00B6464C">
              <w:rPr>
                <w:szCs w:val="18"/>
              </w:rPr>
              <w:t>, AEMO will be able to implement measures to protect this information</w:t>
            </w:r>
            <w:r w:rsidR="00F751EA" w:rsidRPr="0029403B">
              <w:rPr>
                <w:szCs w:val="18"/>
              </w:rPr>
              <w:t>.</w:t>
            </w:r>
          </w:p>
        </w:tc>
      </w:tr>
      <w:tr w:rsidR="00110FC0" w14:paraId="225DC55B" w14:textId="77777777" w:rsidTr="0087212A">
        <w:trPr>
          <w:trHeight w:val="1655"/>
        </w:trPr>
        <w:tc>
          <w:tcPr>
            <w:tcW w:w="426" w:type="dxa"/>
            <w:vMerge w:val="restart"/>
            <w:tcBorders>
              <w:top w:val="single" w:sz="4" w:space="0" w:color="auto"/>
              <w:left w:val="nil"/>
              <w:bottom w:val="single" w:sz="4" w:space="0" w:color="auto"/>
              <w:right w:val="single" w:sz="4" w:space="0" w:color="auto"/>
            </w:tcBorders>
            <w:shd w:val="clear" w:color="auto" w:fill="FFFFFF" w:themeFill="background1"/>
            <w:textDirection w:val="btLr"/>
            <w:hideMark/>
          </w:tcPr>
          <w:p w14:paraId="36AE1021" w14:textId="77777777" w:rsidR="00110FC0" w:rsidRDefault="00110FC0" w:rsidP="002F7585">
            <w:pPr>
              <w:pStyle w:val="BodyText"/>
              <w:keepNext/>
              <w:spacing w:before="20" w:after="20" w:line="252" w:lineRule="auto"/>
              <w:jc w:val="center"/>
              <w:rPr>
                <w:rFonts w:cs="Arial"/>
                <w:b/>
                <w:szCs w:val="18"/>
              </w:rPr>
            </w:pPr>
            <w:r>
              <w:rPr>
                <w:rFonts w:cs="Arial"/>
                <w:b/>
                <w:szCs w:val="18"/>
              </w:rPr>
              <w:t>Auction format</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AD9E73" w14:textId="77777777" w:rsidR="00110FC0" w:rsidRPr="00436621" w:rsidRDefault="00110FC0" w:rsidP="002F7585">
            <w:pPr>
              <w:pStyle w:val="BodyText"/>
              <w:keepNext/>
              <w:spacing w:before="20" w:after="20" w:line="252" w:lineRule="auto"/>
              <w:rPr>
                <w:rFonts w:cs="Arial"/>
                <w:b/>
                <w:szCs w:val="18"/>
              </w:rPr>
            </w:pPr>
            <w:r w:rsidRPr="00436621">
              <w:rPr>
                <w:rFonts w:cs="Arial"/>
                <w:b/>
                <w:szCs w:val="18"/>
              </w:rPr>
              <w:t>Auction design</w:t>
            </w:r>
            <w:r w:rsidR="0029403B" w:rsidRPr="00436621">
              <w:rPr>
                <w:rFonts w:cs="Arial"/>
                <w:b/>
                <w:szCs w:val="18"/>
              </w:rPr>
              <w:t xml:space="preserve"> principles</w:t>
            </w:r>
          </w:p>
        </w:tc>
        <w:tc>
          <w:tcPr>
            <w:tcW w:w="12333" w:type="dxa"/>
            <w:tcBorders>
              <w:top w:val="single" w:sz="4" w:space="0" w:color="auto"/>
              <w:left w:val="single" w:sz="4" w:space="0" w:color="auto"/>
              <w:bottom w:val="single" w:sz="4" w:space="0" w:color="auto"/>
              <w:right w:val="nil"/>
            </w:tcBorders>
            <w:shd w:val="clear" w:color="auto" w:fill="FFFFFF" w:themeFill="background1"/>
            <w:hideMark/>
          </w:tcPr>
          <w:p w14:paraId="75A48128" w14:textId="77777777" w:rsidR="00110FC0" w:rsidRPr="00436621" w:rsidRDefault="00110FC0" w:rsidP="002F7585">
            <w:pPr>
              <w:pStyle w:val="TableBodyText"/>
              <w:keepNext/>
              <w:spacing w:before="20" w:after="20" w:line="252" w:lineRule="auto"/>
              <w:rPr>
                <w:szCs w:val="18"/>
              </w:rPr>
            </w:pPr>
            <w:r w:rsidRPr="00436621">
              <w:rPr>
                <w:szCs w:val="18"/>
              </w:rPr>
              <w:t xml:space="preserve">The </w:t>
            </w:r>
            <w:r w:rsidR="00F751EA" w:rsidRPr="00436621">
              <w:rPr>
                <w:szCs w:val="18"/>
              </w:rPr>
              <w:t xml:space="preserve">day-ahead </w:t>
            </w:r>
            <w:r w:rsidRPr="00436621">
              <w:rPr>
                <w:szCs w:val="18"/>
              </w:rPr>
              <w:t xml:space="preserve">auction will take the form of a partial combinatorial auction </w:t>
            </w:r>
            <w:r w:rsidR="0035435B">
              <w:rPr>
                <w:szCs w:val="18"/>
              </w:rPr>
              <w:t>(</w:t>
            </w:r>
            <w:r w:rsidRPr="00436621">
              <w:rPr>
                <w:szCs w:val="18"/>
              </w:rPr>
              <w:t>which will allow capacity to be procured across multiple pipelines and compressors, irrespective of location or asset ownership</w:t>
            </w:r>
            <w:r w:rsidR="0035435B">
              <w:rPr>
                <w:szCs w:val="18"/>
              </w:rPr>
              <w:t>) with static backhaul (i.e. auction backhaul services are allocated in a static manner against net forward haul firm flows and do not take into account forward haul flows generated through the auction)</w:t>
            </w:r>
            <w:r w:rsidR="00B6464C">
              <w:rPr>
                <w:szCs w:val="18"/>
              </w:rPr>
              <w:t xml:space="preserve">. The auction will also </w:t>
            </w:r>
            <w:r w:rsidRPr="00436621">
              <w:rPr>
                <w:szCs w:val="18"/>
              </w:rPr>
              <w:t>provide for:</w:t>
            </w:r>
          </w:p>
          <w:p w14:paraId="42FBE480" w14:textId="77777777" w:rsidR="00110FC0" w:rsidRPr="00436621" w:rsidRDefault="0029403B" w:rsidP="002F7585">
            <w:pPr>
              <w:pStyle w:val="TableBullet1"/>
              <w:numPr>
                <w:ilvl w:val="0"/>
                <w:numId w:val="21"/>
              </w:numPr>
              <w:spacing w:after="20" w:line="252" w:lineRule="auto"/>
            </w:pPr>
            <w:r w:rsidRPr="00436621">
              <w:t>a single round sealed bid process</w:t>
            </w:r>
            <w:r w:rsidR="00436621">
              <w:t xml:space="preserve"> with a </w:t>
            </w:r>
            <w:r w:rsidR="00110FC0" w:rsidRPr="00436621">
              <w:t>zero reserve price</w:t>
            </w:r>
            <w:r w:rsidR="00436621">
              <w:t xml:space="preserve"> (</w:t>
            </w:r>
            <w:r w:rsidR="00110FC0" w:rsidRPr="00436621">
              <w:t xml:space="preserve">compressor fuel </w:t>
            </w:r>
            <w:r w:rsidR="00436621">
              <w:t xml:space="preserve">will </w:t>
            </w:r>
            <w:r w:rsidR="00110FC0" w:rsidRPr="00436621">
              <w:t xml:space="preserve">either </w:t>
            </w:r>
            <w:r w:rsidR="00436621">
              <w:t xml:space="preserve">be </w:t>
            </w:r>
            <w:r w:rsidR="00110FC0" w:rsidRPr="00436621">
              <w:t xml:space="preserve">provided in-kind by the auction </w:t>
            </w:r>
            <w:r w:rsidR="00436621" w:rsidRPr="00436621">
              <w:t>participant</w:t>
            </w:r>
            <w:r w:rsidR="00110FC0" w:rsidRPr="00436621">
              <w:t xml:space="preserve">, or by the </w:t>
            </w:r>
            <w:r w:rsidR="00436621" w:rsidRPr="00436621">
              <w:t xml:space="preserve">auction </w:t>
            </w:r>
            <w:r w:rsidR="00110FC0" w:rsidRPr="00436621">
              <w:t xml:space="preserve">facility operator with the costs recovered </w:t>
            </w:r>
            <w:r w:rsidR="00436621" w:rsidRPr="00436621">
              <w:t>separately</w:t>
            </w:r>
            <w:r w:rsidR="00436621">
              <w:t>)</w:t>
            </w:r>
            <w:r w:rsidR="00110FC0" w:rsidRPr="00436621">
              <w:t>;</w:t>
            </w:r>
          </w:p>
          <w:p w14:paraId="5479DDD6" w14:textId="77777777" w:rsidR="00110FC0" w:rsidRPr="00436621" w:rsidRDefault="00110FC0" w:rsidP="002F7585">
            <w:pPr>
              <w:pStyle w:val="TableBullet1"/>
              <w:numPr>
                <w:ilvl w:val="0"/>
                <w:numId w:val="21"/>
              </w:numPr>
              <w:spacing w:after="20" w:line="252" w:lineRule="auto"/>
            </w:pPr>
            <w:r w:rsidRPr="00436621">
              <w:t>a pay-as-cleared pricing rule, which will be determined by the lowest accepted bids in the auction;</w:t>
            </w:r>
            <w:r w:rsidR="00B6464C">
              <w:t xml:space="preserve"> and</w:t>
            </w:r>
          </w:p>
          <w:p w14:paraId="624044B0" w14:textId="77777777" w:rsidR="004D2751" w:rsidRPr="0055731F" w:rsidRDefault="00110FC0" w:rsidP="002F7585">
            <w:pPr>
              <w:pStyle w:val="TableBullet1"/>
              <w:numPr>
                <w:ilvl w:val="0"/>
                <w:numId w:val="21"/>
              </w:numPr>
              <w:spacing w:after="20" w:line="252" w:lineRule="auto"/>
              <w:rPr>
                <w:szCs w:val="18"/>
              </w:rPr>
            </w:pPr>
            <w:r w:rsidRPr="00436621">
              <w:t xml:space="preserve">auction winners to be determined using the </w:t>
            </w:r>
            <w:r w:rsidR="00F751EA" w:rsidRPr="00436621">
              <w:t>revenue</w:t>
            </w:r>
            <w:r w:rsidRPr="00436621">
              <w:t>-maximising combination of bids</w:t>
            </w:r>
            <w:r w:rsidR="009B6DB9">
              <w:t>,</w:t>
            </w:r>
            <w:r w:rsidR="0055731F">
              <w:t xml:space="preserve"> </w:t>
            </w:r>
            <w:r w:rsidR="009B6DB9">
              <w:t xml:space="preserve">with </w:t>
            </w:r>
            <w:r w:rsidRPr="00436621">
              <w:t xml:space="preserve">auction proceeds to be allocated to service providers on the </w:t>
            </w:r>
            <w:r w:rsidR="0055731F">
              <w:t xml:space="preserve">basis of the </w:t>
            </w:r>
            <w:r w:rsidRPr="00436621">
              <w:t xml:space="preserve">revenues achieved by the </w:t>
            </w:r>
            <w:r w:rsidR="0055731F">
              <w:t xml:space="preserve">products </w:t>
            </w:r>
            <w:r w:rsidRPr="00436621">
              <w:t xml:space="preserve">provided by each </w:t>
            </w:r>
            <w:r w:rsidR="00167460">
              <w:t xml:space="preserve">auction </w:t>
            </w:r>
            <w:r w:rsidRPr="00436621">
              <w:t>facility operator.</w:t>
            </w:r>
          </w:p>
          <w:p w14:paraId="56980DFF" w14:textId="77777777" w:rsidR="0035435B" w:rsidRPr="00436621" w:rsidRDefault="0029403B" w:rsidP="002F7585">
            <w:pPr>
              <w:pStyle w:val="TableBullet1"/>
              <w:spacing w:after="20" w:line="252" w:lineRule="auto"/>
              <w:ind w:left="85"/>
              <w:rPr>
                <w:szCs w:val="18"/>
              </w:rPr>
            </w:pPr>
            <w:r w:rsidRPr="00436621">
              <w:rPr>
                <w:szCs w:val="18"/>
              </w:rPr>
              <w:t>The NGR will require the auction established by AEMO to give effect to these design principles.</w:t>
            </w:r>
          </w:p>
        </w:tc>
      </w:tr>
      <w:tr w:rsidR="00110FC0" w14:paraId="5AA7B302" w14:textId="77777777" w:rsidTr="0087212A">
        <w:trPr>
          <w:cnfStyle w:val="000000010000" w:firstRow="0" w:lastRow="0" w:firstColumn="0" w:lastColumn="0" w:oddVBand="0" w:evenVBand="0" w:oddHBand="0" w:evenHBand="1" w:firstRowFirstColumn="0" w:firstRowLastColumn="0" w:lastRowFirstColumn="0" w:lastRowLastColumn="0"/>
          <w:trHeight w:val="252"/>
        </w:trPr>
        <w:tc>
          <w:tcPr>
            <w:tcW w:w="0" w:type="auto"/>
            <w:vMerge/>
            <w:tcBorders>
              <w:top w:val="single" w:sz="4" w:space="0" w:color="auto"/>
              <w:left w:val="nil"/>
              <w:bottom w:val="single" w:sz="4" w:space="0" w:color="auto"/>
              <w:right w:val="single" w:sz="4" w:space="0" w:color="auto"/>
            </w:tcBorders>
            <w:vAlign w:val="center"/>
            <w:hideMark/>
          </w:tcPr>
          <w:p w14:paraId="0269061C" w14:textId="77777777" w:rsidR="00110FC0" w:rsidRDefault="00110FC0" w:rsidP="002F7585">
            <w:pPr>
              <w:spacing w:line="252" w:lineRule="auto"/>
              <w:rPr>
                <w:rFonts w:cs="Arial"/>
                <w:b/>
                <w:szCs w:val="18"/>
              </w:rPr>
            </w:pPr>
          </w:p>
        </w:tc>
        <w:tc>
          <w:tcPr>
            <w:tcW w:w="1701" w:type="dxa"/>
            <w:tcBorders>
              <w:top w:val="single" w:sz="4" w:space="0" w:color="auto"/>
              <w:left w:val="single" w:sz="4" w:space="0" w:color="auto"/>
              <w:bottom w:val="single" w:sz="4" w:space="0" w:color="auto"/>
              <w:right w:val="single" w:sz="4" w:space="0" w:color="auto"/>
            </w:tcBorders>
            <w:hideMark/>
          </w:tcPr>
          <w:p w14:paraId="121C0FAE" w14:textId="77777777" w:rsidR="00110FC0" w:rsidRPr="00436621" w:rsidRDefault="00110FC0" w:rsidP="002F7585">
            <w:pPr>
              <w:pStyle w:val="BodyText"/>
              <w:spacing w:before="20" w:after="20" w:line="252" w:lineRule="auto"/>
              <w:rPr>
                <w:rFonts w:cs="Arial"/>
                <w:b/>
                <w:szCs w:val="18"/>
              </w:rPr>
            </w:pPr>
            <w:r w:rsidRPr="00436621">
              <w:rPr>
                <w:rFonts w:cs="Arial"/>
                <w:b/>
                <w:szCs w:val="18"/>
              </w:rPr>
              <w:t xml:space="preserve">Auction quantity </w:t>
            </w:r>
          </w:p>
        </w:tc>
        <w:tc>
          <w:tcPr>
            <w:tcW w:w="12333" w:type="dxa"/>
            <w:tcBorders>
              <w:top w:val="single" w:sz="4" w:space="0" w:color="auto"/>
              <w:left w:val="single" w:sz="4" w:space="0" w:color="auto"/>
              <w:bottom w:val="single" w:sz="4" w:space="0" w:color="auto"/>
              <w:right w:val="nil"/>
            </w:tcBorders>
            <w:hideMark/>
          </w:tcPr>
          <w:p w14:paraId="59923FD5" w14:textId="77777777" w:rsidR="00110FC0" w:rsidRPr="00436621" w:rsidRDefault="0029403B" w:rsidP="002F7585">
            <w:pPr>
              <w:pStyle w:val="TableBullet1"/>
              <w:tabs>
                <w:tab w:val="left" w:pos="720"/>
              </w:tabs>
              <w:spacing w:after="20" w:line="252" w:lineRule="auto"/>
              <w:ind w:left="85"/>
              <w:rPr>
                <w:szCs w:val="18"/>
              </w:rPr>
            </w:pPr>
            <w:r w:rsidRPr="00436621">
              <w:rPr>
                <w:szCs w:val="18"/>
              </w:rPr>
              <w:t>The methodology to be used to calculate the auction quantity limits will be set out in the Auction Procedures. When developing the methodology</w:t>
            </w:r>
            <w:r w:rsidR="00FA56F3" w:rsidRPr="00436621">
              <w:rPr>
                <w:szCs w:val="18"/>
              </w:rPr>
              <w:t>, AEMO will be required</w:t>
            </w:r>
            <w:r w:rsidRPr="00436621">
              <w:rPr>
                <w:szCs w:val="18"/>
              </w:rPr>
              <w:t xml:space="preserve"> to give effect to </w:t>
            </w:r>
            <w:r w:rsidR="00FA56F3" w:rsidRPr="00436621">
              <w:rPr>
                <w:szCs w:val="18"/>
              </w:rPr>
              <w:t xml:space="preserve">the </w:t>
            </w:r>
            <w:r w:rsidRPr="00436621">
              <w:rPr>
                <w:szCs w:val="18"/>
              </w:rPr>
              <w:t xml:space="preserve">principles </w:t>
            </w:r>
            <w:r w:rsidR="00FA56F3" w:rsidRPr="00436621">
              <w:rPr>
                <w:szCs w:val="18"/>
              </w:rPr>
              <w:t xml:space="preserve">set out </w:t>
            </w:r>
            <w:r w:rsidRPr="00436621">
              <w:rPr>
                <w:szCs w:val="18"/>
              </w:rPr>
              <w:t>in the NGR</w:t>
            </w:r>
            <w:r w:rsidR="00FA56F3" w:rsidRPr="00436621">
              <w:rPr>
                <w:szCs w:val="18"/>
              </w:rPr>
              <w:t xml:space="preserve">. </w:t>
            </w:r>
          </w:p>
        </w:tc>
      </w:tr>
      <w:tr w:rsidR="00110FC0" w14:paraId="5D58AE7F" w14:textId="77777777" w:rsidTr="0087212A">
        <w:trPr>
          <w:trHeight w:val="237"/>
        </w:trPr>
        <w:tc>
          <w:tcPr>
            <w:tcW w:w="0" w:type="auto"/>
            <w:vMerge/>
            <w:tcBorders>
              <w:top w:val="single" w:sz="4" w:space="0" w:color="auto"/>
              <w:left w:val="nil"/>
              <w:bottom w:val="single" w:sz="4" w:space="0" w:color="auto"/>
              <w:right w:val="single" w:sz="4" w:space="0" w:color="auto"/>
            </w:tcBorders>
            <w:vAlign w:val="center"/>
            <w:hideMark/>
          </w:tcPr>
          <w:p w14:paraId="6E8B2B64" w14:textId="77777777" w:rsidR="00110FC0" w:rsidRDefault="00110FC0" w:rsidP="002F7585">
            <w:pPr>
              <w:spacing w:line="252" w:lineRule="auto"/>
              <w:rPr>
                <w:rFonts w:cs="Arial"/>
                <w:b/>
                <w:szCs w:val="18"/>
              </w:rPr>
            </w:pP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0C8919" w14:textId="77777777" w:rsidR="00110FC0" w:rsidRPr="00436621" w:rsidRDefault="00110FC0" w:rsidP="002F7585">
            <w:pPr>
              <w:pStyle w:val="BodyText"/>
              <w:spacing w:before="20" w:after="20" w:line="252" w:lineRule="auto"/>
              <w:rPr>
                <w:rFonts w:cs="Arial"/>
                <w:b/>
                <w:szCs w:val="18"/>
              </w:rPr>
            </w:pPr>
            <w:r w:rsidRPr="00436621">
              <w:rPr>
                <w:rFonts w:cs="Arial"/>
                <w:b/>
                <w:szCs w:val="18"/>
              </w:rPr>
              <w:t>Treatment of curtailment</w:t>
            </w:r>
          </w:p>
        </w:tc>
        <w:tc>
          <w:tcPr>
            <w:tcW w:w="12333" w:type="dxa"/>
            <w:tcBorders>
              <w:top w:val="single" w:sz="4" w:space="0" w:color="auto"/>
              <w:left w:val="single" w:sz="4" w:space="0" w:color="auto"/>
              <w:bottom w:val="single" w:sz="4" w:space="0" w:color="auto"/>
              <w:right w:val="nil"/>
            </w:tcBorders>
            <w:shd w:val="clear" w:color="auto" w:fill="FFFFFF" w:themeFill="background1"/>
            <w:hideMark/>
          </w:tcPr>
          <w:p w14:paraId="37F461F8" w14:textId="77777777" w:rsidR="00110FC0" w:rsidRPr="00436621" w:rsidRDefault="00110FC0" w:rsidP="002F7585">
            <w:pPr>
              <w:pStyle w:val="TableBullet1"/>
              <w:tabs>
                <w:tab w:val="left" w:pos="720"/>
              </w:tabs>
              <w:spacing w:after="20" w:line="252" w:lineRule="auto"/>
              <w:ind w:left="85"/>
              <w:rPr>
                <w:szCs w:val="18"/>
              </w:rPr>
            </w:pPr>
            <w:r w:rsidRPr="00436621">
              <w:rPr>
                <w:szCs w:val="18"/>
              </w:rPr>
              <w:t xml:space="preserve">Because the auction product will not be a firm product, </w:t>
            </w:r>
            <w:r w:rsidR="00FA56F3" w:rsidRPr="00436621">
              <w:rPr>
                <w:szCs w:val="18"/>
              </w:rPr>
              <w:t xml:space="preserve">the following </w:t>
            </w:r>
            <w:r w:rsidRPr="00436621">
              <w:rPr>
                <w:szCs w:val="18"/>
              </w:rPr>
              <w:t xml:space="preserve">additional measures </w:t>
            </w:r>
            <w:r w:rsidR="00B6464C">
              <w:rPr>
                <w:szCs w:val="18"/>
              </w:rPr>
              <w:t xml:space="preserve">will be available </w:t>
            </w:r>
            <w:r w:rsidRPr="00436621">
              <w:rPr>
                <w:szCs w:val="18"/>
              </w:rPr>
              <w:t xml:space="preserve">to deal with the risk of curtailment, which could occur as a result of renominations by firm capacity holders or </w:t>
            </w:r>
            <w:r w:rsidR="00B6464C">
              <w:rPr>
                <w:szCs w:val="18"/>
              </w:rPr>
              <w:t xml:space="preserve">more general </w:t>
            </w:r>
            <w:r w:rsidRPr="00436621">
              <w:rPr>
                <w:szCs w:val="18"/>
              </w:rPr>
              <w:t xml:space="preserve">technical </w:t>
            </w:r>
            <w:r w:rsidR="00B6464C">
              <w:rPr>
                <w:szCs w:val="18"/>
              </w:rPr>
              <w:t xml:space="preserve">or operational </w:t>
            </w:r>
            <w:r w:rsidRPr="00436621">
              <w:rPr>
                <w:szCs w:val="18"/>
              </w:rPr>
              <w:t>constraints:</w:t>
            </w:r>
          </w:p>
          <w:p w14:paraId="355F3180" w14:textId="77777777" w:rsidR="00CD619F" w:rsidRPr="00436621" w:rsidRDefault="00CD619F" w:rsidP="002F7585">
            <w:pPr>
              <w:pStyle w:val="TableBullet1"/>
              <w:numPr>
                <w:ilvl w:val="0"/>
                <w:numId w:val="21"/>
              </w:numPr>
              <w:spacing w:after="20" w:line="252" w:lineRule="auto"/>
              <w:rPr>
                <w:szCs w:val="18"/>
              </w:rPr>
            </w:pPr>
            <w:r w:rsidRPr="00436621">
              <w:rPr>
                <w:szCs w:val="18"/>
              </w:rPr>
              <w:t>A</w:t>
            </w:r>
            <w:r w:rsidR="00110FC0" w:rsidRPr="00436621">
              <w:rPr>
                <w:szCs w:val="18"/>
              </w:rPr>
              <w:t xml:space="preserve">uction </w:t>
            </w:r>
            <w:r w:rsidRPr="00436621">
              <w:rPr>
                <w:szCs w:val="18"/>
              </w:rPr>
              <w:t xml:space="preserve">participants </w:t>
            </w:r>
            <w:r w:rsidR="00FA56F3" w:rsidRPr="00436621">
              <w:rPr>
                <w:szCs w:val="18"/>
              </w:rPr>
              <w:t xml:space="preserve">will </w:t>
            </w:r>
            <w:r w:rsidR="00110FC0" w:rsidRPr="00436621">
              <w:rPr>
                <w:szCs w:val="18"/>
              </w:rPr>
              <w:t xml:space="preserve">be able to try and avoid curtailment by procuring </w:t>
            </w:r>
            <w:r w:rsidR="00B6464C">
              <w:rPr>
                <w:szCs w:val="18"/>
              </w:rPr>
              <w:t>uncontracted</w:t>
            </w:r>
            <w:r w:rsidR="00110FC0" w:rsidRPr="00436621">
              <w:rPr>
                <w:szCs w:val="18"/>
              </w:rPr>
              <w:t xml:space="preserve"> capacity from the service provider of the asset that is experiencing the curtailment if such capacity is available </w:t>
            </w:r>
            <w:r w:rsidRPr="00436621">
              <w:rPr>
                <w:szCs w:val="18"/>
              </w:rPr>
              <w:t>(this will be a matter for negotiation and not mandated in the NGR).</w:t>
            </w:r>
          </w:p>
          <w:p w14:paraId="1FFABD24" w14:textId="77777777" w:rsidR="00110FC0" w:rsidRPr="00436621" w:rsidRDefault="00CD619F" w:rsidP="002F7585">
            <w:pPr>
              <w:pStyle w:val="TableBullet1"/>
              <w:numPr>
                <w:ilvl w:val="0"/>
                <w:numId w:val="21"/>
              </w:numPr>
              <w:spacing w:after="20" w:line="252" w:lineRule="auto"/>
              <w:rPr>
                <w:szCs w:val="18"/>
              </w:rPr>
            </w:pPr>
            <w:r w:rsidRPr="00436621">
              <w:rPr>
                <w:szCs w:val="18"/>
              </w:rPr>
              <w:t>I</w:t>
            </w:r>
            <w:r w:rsidR="00110FC0" w:rsidRPr="00436621">
              <w:rPr>
                <w:szCs w:val="18"/>
              </w:rPr>
              <w:t xml:space="preserve">f </w:t>
            </w:r>
            <w:r w:rsidRPr="00436621">
              <w:rPr>
                <w:szCs w:val="18"/>
              </w:rPr>
              <w:t xml:space="preserve">auction participants are unable to procure primary capacity, </w:t>
            </w:r>
            <w:r w:rsidR="00110FC0" w:rsidRPr="00436621">
              <w:rPr>
                <w:szCs w:val="18"/>
              </w:rPr>
              <w:t xml:space="preserve">they </w:t>
            </w:r>
            <w:r w:rsidRPr="00436621">
              <w:rPr>
                <w:szCs w:val="18"/>
              </w:rPr>
              <w:t xml:space="preserve">will be </w:t>
            </w:r>
            <w:r w:rsidR="00FA56F3" w:rsidRPr="00436621">
              <w:rPr>
                <w:szCs w:val="18"/>
              </w:rPr>
              <w:t xml:space="preserve">able </w:t>
            </w:r>
            <w:r w:rsidR="00110FC0" w:rsidRPr="00436621">
              <w:rPr>
                <w:szCs w:val="18"/>
              </w:rPr>
              <w:t xml:space="preserve">to choose whether they are only curtailed on that </w:t>
            </w:r>
            <w:r w:rsidR="00FA56F3" w:rsidRPr="00436621">
              <w:rPr>
                <w:szCs w:val="18"/>
              </w:rPr>
              <w:t>product</w:t>
            </w:r>
            <w:r w:rsidR="00110FC0" w:rsidRPr="00436621">
              <w:rPr>
                <w:szCs w:val="18"/>
              </w:rPr>
              <w:t>; or curtailed across all products included in the winning bid</w:t>
            </w:r>
            <w:r w:rsidR="00FA56F3" w:rsidRPr="00436621">
              <w:rPr>
                <w:szCs w:val="18"/>
              </w:rPr>
              <w:t xml:space="preserve"> (to operationalise this option, shippers will </w:t>
            </w:r>
            <w:r w:rsidRPr="00436621">
              <w:rPr>
                <w:szCs w:val="18"/>
              </w:rPr>
              <w:t>renominate down on the other products).</w:t>
            </w:r>
          </w:p>
          <w:p w14:paraId="7136C60C" w14:textId="77777777" w:rsidR="0029403B" w:rsidRPr="00AA1AE6" w:rsidRDefault="00CD619F" w:rsidP="002F7585">
            <w:pPr>
              <w:pStyle w:val="TableBullet1"/>
              <w:numPr>
                <w:ilvl w:val="0"/>
                <w:numId w:val="21"/>
              </w:numPr>
              <w:spacing w:before="20" w:after="20" w:line="252" w:lineRule="auto"/>
              <w:rPr>
                <w:szCs w:val="18"/>
              </w:rPr>
            </w:pPr>
            <w:r w:rsidRPr="00436621">
              <w:rPr>
                <w:szCs w:val="18"/>
              </w:rPr>
              <w:t>I</w:t>
            </w:r>
            <w:r w:rsidR="00110FC0" w:rsidRPr="00436621">
              <w:rPr>
                <w:szCs w:val="18"/>
              </w:rPr>
              <w:t xml:space="preserve">f curtailment is required, it </w:t>
            </w:r>
            <w:r w:rsidR="00FA56F3" w:rsidRPr="00436621">
              <w:rPr>
                <w:szCs w:val="18"/>
              </w:rPr>
              <w:t>will</w:t>
            </w:r>
            <w:r w:rsidR="00110FC0" w:rsidRPr="00436621">
              <w:rPr>
                <w:szCs w:val="18"/>
              </w:rPr>
              <w:t xml:space="preserve"> occur on a pro-rata basis and auction </w:t>
            </w:r>
            <w:r w:rsidRPr="00436621">
              <w:rPr>
                <w:szCs w:val="18"/>
              </w:rPr>
              <w:t>participants</w:t>
            </w:r>
            <w:r w:rsidR="00110FC0" w:rsidRPr="00436621">
              <w:rPr>
                <w:szCs w:val="18"/>
              </w:rPr>
              <w:t xml:space="preserve"> </w:t>
            </w:r>
            <w:r w:rsidR="00FA56F3" w:rsidRPr="00436621">
              <w:rPr>
                <w:szCs w:val="18"/>
              </w:rPr>
              <w:t xml:space="preserve">will not be required to pay </w:t>
            </w:r>
            <w:r w:rsidRPr="00436621">
              <w:rPr>
                <w:szCs w:val="18"/>
              </w:rPr>
              <w:t xml:space="preserve">for </w:t>
            </w:r>
            <w:r w:rsidR="00FA56F3" w:rsidRPr="00436621">
              <w:rPr>
                <w:szCs w:val="18"/>
              </w:rPr>
              <w:t xml:space="preserve">the </w:t>
            </w:r>
            <w:r w:rsidRPr="00436621">
              <w:rPr>
                <w:szCs w:val="18"/>
              </w:rPr>
              <w:t xml:space="preserve">curtailed </w:t>
            </w:r>
            <w:r w:rsidR="00110FC0" w:rsidRPr="00436621">
              <w:rPr>
                <w:szCs w:val="18"/>
              </w:rPr>
              <w:t>capacity</w:t>
            </w:r>
            <w:r w:rsidRPr="00436621">
              <w:rPr>
                <w:szCs w:val="18"/>
              </w:rPr>
              <w:t xml:space="preserve"> or the capacity that has been renominated down on other products. </w:t>
            </w:r>
          </w:p>
        </w:tc>
      </w:tr>
      <w:tr w:rsidR="00436621" w14:paraId="7E45BC41" w14:textId="77777777" w:rsidTr="0087212A">
        <w:trPr>
          <w:cnfStyle w:val="000000010000" w:firstRow="0" w:lastRow="0" w:firstColumn="0" w:lastColumn="0" w:oddVBand="0" w:evenVBand="0" w:oddHBand="0" w:evenHBand="1" w:firstRowFirstColumn="0" w:firstRowLastColumn="0" w:lastRowFirstColumn="0" w:lastRowLastColumn="0"/>
          <w:trHeight w:val="56"/>
        </w:trPr>
        <w:tc>
          <w:tcPr>
            <w:tcW w:w="2127" w:type="dxa"/>
            <w:gridSpan w:val="2"/>
            <w:tcBorders>
              <w:top w:val="single" w:sz="4" w:space="0" w:color="auto"/>
              <w:left w:val="nil"/>
              <w:right w:val="single" w:sz="4" w:space="0" w:color="auto"/>
            </w:tcBorders>
            <w:shd w:val="clear" w:color="auto" w:fill="FFFFFF" w:themeFill="background1"/>
            <w:hideMark/>
          </w:tcPr>
          <w:p w14:paraId="2E2B2CF5" w14:textId="77777777" w:rsidR="00436621" w:rsidRPr="00436621" w:rsidRDefault="00436621" w:rsidP="002F7585">
            <w:pPr>
              <w:pStyle w:val="BodyText"/>
              <w:spacing w:before="20" w:after="20" w:line="252" w:lineRule="auto"/>
              <w:rPr>
                <w:rFonts w:cs="Arial"/>
                <w:b/>
                <w:szCs w:val="18"/>
              </w:rPr>
            </w:pPr>
            <w:r>
              <w:rPr>
                <w:rFonts w:cs="Arial"/>
                <w:b/>
                <w:szCs w:val="18"/>
              </w:rPr>
              <w:t>Market conduct related rules</w:t>
            </w:r>
          </w:p>
        </w:tc>
        <w:tc>
          <w:tcPr>
            <w:tcW w:w="12333" w:type="dxa"/>
            <w:tcBorders>
              <w:top w:val="single" w:sz="4" w:space="0" w:color="auto"/>
              <w:left w:val="single" w:sz="4" w:space="0" w:color="auto"/>
              <w:right w:val="nil"/>
            </w:tcBorders>
            <w:shd w:val="clear" w:color="auto" w:fill="FFFFFF" w:themeFill="background1"/>
          </w:tcPr>
          <w:p w14:paraId="49687F48" w14:textId="77777777" w:rsidR="00436621" w:rsidRPr="00436621" w:rsidRDefault="00436621" w:rsidP="002F7585">
            <w:pPr>
              <w:pStyle w:val="TableBullet1"/>
              <w:tabs>
                <w:tab w:val="left" w:pos="720"/>
              </w:tabs>
              <w:spacing w:after="20" w:line="252" w:lineRule="auto"/>
              <w:ind w:left="85"/>
              <w:rPr>
                <w:szCs w:val="18"/>
              </w:rPr>
            </w:pPr>
            <w:r w:rsidRPr="00436621">
              <w:rPr>
                <w:lang w:eastAsia="fr-CA"/>
              </w:rPr>
              <w:t>Auction participants will be required to comply with similar general requirements (e.g. not to act fraudulently, dishonestly or in bad faith) and market conduct rules (e.g. an auction participant must not manipulate or attempt to manipulate the auction) to those applying in the GSH.</w:t>
            </w:r>
          </w:p>
          <w:p w14:paraId="48E7C38C" w14:textId="77777777" w:rsidR="00436621" w:rsidRPr="00436621" w:rsidRDefault="00436621" w:rsidP="002F7585">
            <w:pPr>
              <w:pStyle w:val="TableBullet1"/>
              <w:tabs>
                <w:tab w:val="left" w:pos="720"/>
              </w:tabs>
              <w:spacing w:line="252" w:lineRule="auto"/>
              <w:ind w:left="85"/>
              <w:rPr>
                <w:szCs w:val="18"/>
              </w:rPr>
            </w:pPr>
            <w:r w:rsidRPr="00436621">
              <w:rPr>
                <w:szCs w:val="18"/>
              </w:rPr>
              <w:t>To ameliorate the gaming risks associated with nominations and renomination rights</w:t>
            </w:r>
            <w:r>
              <w:rPr>
                <w:szCs w:val="18"/>
              </w:rPr>
              <w:t xml:space="preserve"> (</w:t>
            </w:r>
            <w:r w:rsidR="00B6464C">
              <w:rPr>
                <w:szCs w:val="18"/>
              </w:rPr>
              <w:t xml:space="preserve">e.g. </w:t>
            </w:r>
            <w:r w:rsidRPr="00436621">
              <w:rPr>
                <w:szCs w:val="18"/>
              </w:rPr>
              <w:t>capacity holders may try to deliberately withhold capacity from the auction by over nominating on gas day D-1 then re-nominating down on gas day D</w:t>
            </w:r>
            <w:r w:rsidR="00B6464C">
              <w:rPr>
                <w:szCs w:val="18"/>
              </w:rPr>
              <w:t>,</w:t>
            </w:r>
            <w:r w:rsidR="00DA1108">
              <w:rPr>
                <w:szCs w:val="18"/>
              </w:rPr>
              <w:t xml:space="preserve"> or </w:t>
            </w:r>
            <w:r w:rsidR="00B6464C">
              <w:rPr>
                <w:szCs w:val="18"/>
              </w:rPr>
              <w:t xml:space="preserve">try to </w:t>
            </w:r>
            <w:r w:rsidR="00DA1108">
              <w:rPr>
                <w:szCs w:val="18"/>
              </w:rPr>
              <w:t>cause another shipper to be curtailed on the gas day by renominating up on the gas day</w:t>
            </w:r>
            <w:r w:rsidRPr="00436621">
              <w:rPr>
                <w:szCs w:val="18"/>
              </w:rPr>
              <w:t xml:space="preserve">), shippers will be prohibited from </w:t>
            </w:r>
            <w:r w:rsidRPr="00436621">
              <w:rPr>
                <w:lang w:eastAsia="fr-CA"/>
              </w:rPr>
              <w:t xml:space="preserve">making a nomination or renomination that is false, misleading or likely to mislead. </w:t>
            </w:r>
          </w:p>
        </w:tc>
      </w:tr>
    </w:tbl>
    <w:p w14:paraId="5454071E" w14:textId="77777777" w:rsidR="00436621" w:rsidRPr="00DA1108" w:rsidRDefault="00436621" w:rsidP="00110FC0">
      <w:pPr>
        <w:rPr>
          <w:sz w:val="2"/>
          <w:szCs w:val="2"/>
        </w:rPr>
      </w:pPr>
    </w:p>
    <w:p w14:paraId="36A1ED54" w14:textId="77777777" w:rsidR="00436621" w:rsidRPr="00DA1108" w:rsidRDefault="00436621" w:rsidP="00110FC0">
      <w:pPr>
        <w:rPr>
          <w:sz w:val="2"/>
          <w:szCs w:val="2"/>
        </w:rPr>
        <w:sectPr w:rsidR="00436621" w:rsidRPr="00DA1108" w:rsidSect="0055731F">
          <w:footerReference w:type="default" r:id="rId45"/>
          <w:pgSz w:w="16839" w:h="11907" w:orient="landscape"/>
          <w:pgMar w:top="1361" w:right="1418" w:bottom="709" w:left="1701" w:header="567" w:footer="272" w:gutter="0"/>
          <w:cols w:space="720"/>
        </w:sectPr>
      </w:pPr>
    </w:p>
    <w:p w14:paraId="7D1A8AC6" w14:textId="77777777" w:rsidR="00110FC0" w:rsidRDefault="00110FC0" w:rsidP="00756C62">
      <w:pPr>
        <w:pStyle w:val="Heading3"/>
        <w:numPr>
          <w:ilvl w:val="2"/>
          <w:numId w:val="20"/>
        </w:numPr>
      </w:pPr>
      <w:bookmarkStart w:id="105" w:name="_Ref509029038"/>
      <w:r>
        <w:lastRenderedPageBreak/>
        <w:t>Grandfathered rights</w:t>
      </w:r>
      <w:bookmarkEnd w:id="105"/>
    </w:p>
    <w:p w14:paraId="7E4AD745" w14:textId="77777777" w:rsidR="00CD1856" w:rsidRPr="00CD1856" w:rsidRDefault="0000281A" w:rsidP="00EA6752">
      <w:pPr>
        <w:pStyle w:val="BodyText"/>
        <w:rPr>
          <w:rFonts w:cs="Arial"/>
          <w:color w:val="000000"/>
          <w:sz w:val="18"/>
          <w:szCs w:val="18"/>
        </w:rPr>
      </w:pPr>
      <w:r>
        <w:t>During the consultation process that was conducted in October 2017, concerns were raised by some stakeholders about the potential for the prioritisation of the auction product ahead of the as ava</w:t>
      </w:r>
      <w:r w:rsidRPr="00883558">
        <w:t xml:space="preserve">ilable and authorised overrun rights held by gas fired generators </w:t>
      </w:r>
      <w:r w:rsidR="009B6DB9">
        <w:t>to</w:t>
      </w:r>
      <w:r w:rsidR="009B6DB9" w:rsidRPr="00883558">
        <w:t xml:space="preserve"> </w:t>
      </w:r>
      <w:r w:rsidRPr="00883558">
        <w:t xml:space="preserve">have a deleterious effect on the National Electricity Market (NEM). </w:t>
      </w:r>
      <w:r w:rsidR="00CD1856" w:rsidRPr="00883558">
        <w:t xml:space="preserve">Through this process, the GMRG was also advised that </w:t>
      </w:r>
      <w:r w:rsidR="00CD1856" w:rsidRPr="00883558">
        <w:rPr>
          <w:rFonts w:cs="Arial"/>
          <w:color w:val="000000"/>
        </w:rPr>
        <w:t xml:space="preserve">some </w:t>
      </w:r>
      <w:r w:rsidR="00B140CA" w:rsidRPr="00883558">
        <w:rPr>
          <w:rFonts w:cs="Arial"/>
          <w:color w:val="000000"/>
        </w:rPr>
        <w:t xml:space="preserve">service providers </w:t>
      </w:r>
      <w:r w:rsidR="00CD1856" w:rsidRPr="00883558">
        <w:rPr>
          <w:rFonts w:cs="Arial"/>
          <w:color w:val="000000"/>
        </w:rPr>
        <w:t>have a firm obligation to make capacity available to gas fired generators with an as available service and/or an authorised overrun service</w:t>
      </w:r>
      <w:r w:rsidR="00883558">
        <w:rPr>
          <w:rFonts w:cs="Arial"/>
          <w:color w:val="000000"/>
        </w:rPr>
        <w:t xml:space="preserve"> if nominated</w:t>
      </w:r>
      <w:r w:rsidR="00CD1856" w:rsidRPr="00883558">
        <w:rPr>
          <w:rFonts w:cs="Arial"/>
          <w:color w:val="000000"/>
        </w:rPr>
        <w:t xml:space="preserve">. </w:t>
      </w:r>
    </w:p>
    <w:p w14:paraId="18317053" w14:textId="77777777" w:rsidR="0000281A" w:rsidRDefault="00B140CA" w:rsidP="00EA6752">
      <w:pPr>
        <w:pStyle w:val="BodyText"/>
      </w:pPr>
      <w:r w:rsidRPr="00B140CA">
        <w:rPr>
          <w:rFonts w:cs="Arial"/>
          <w:color w:val="000000"/>
        </w:rPr>
        <w:t>Given the conditions prevailing in the NEM at the time the recommendations were made, the GMRG was of the view that some caution should be exercised</w:t>
      </w:r>
      <w:r>
        <w:rPr>
          <w:rFonts w:cs="Arial"/>
          <w:color w:val="000000"/>
        </w:rPr>
        <w:t xml:space="preserve">. The GMRG </w:t>
      </w:r>
      <w:r w:rsidRPr="00B140CA">
        <w:rPr>
          <w:rFonts w:cs="Arial"/>
          <w:color w:val="000000"/>
        </w:rPr>
        <w:t xml:space="preserve">therefore recommended that </w:t>
      </w:r>
      <w:r w:rsidR="0000281A" w:rsidRPr="00B140CA">
        <w:t xml:space="preserve">existing as available and authorised overrun rights </w:t>
      </w:r>
      <w:r w:rsidR="009B6DB9">
        <w:t xml:space="preserve">should </w:t>
      </w:r>
      <w:r>
        <w:t xml:space="preserve">rank ahead of the auction product for a transitional period in those cases </w:t>
      </w:r>
      <w:r w:rsidR="0000281A" w:rsidRPr="00B140CA">
        <w:t>where a service provider would be in breach of existing commitments if it scheduled these services after the auction product</w:t>
      </w:r>
      <w:r>
        <w:t xml:space="preserve">. The GMRG went on to note that </w:t>
      </w:r>
      <w:r w:rsidR="0000281A">
        <w:t xml:space="preserve">as confidence in the auction </w:t>
      </w:r>
      <w:r w:rsidR="00883558">
        <w:t>grew</w:t>
      </w:r>
      <w:r w:rsidR="0000281A">
        <w:t xml:space="preserve">, gas-fired generators </w:t>
      </w:r>
      <w:r>
        <w:t xml:space="preserve">could </w:t>
      </w:r>
      <w:r w:rsidR="0000281A">
        <w:t xml:space="preserve">be expected to make greater use of the auction and secondary capacity purchased through the capacity trading platform. </w:t>
      </w:r>
      <w:r>
        <w:t xml:space="preserve">The need to grandfather these rights was therefore </w:t>
      </w:r>
      <w:r w:rsidR="0000281A">
        <w:t>only</w:t>
      </w:r>
      <w:r w:rsidR="00EA6752">
        <w:t xml:space="preserve"> viewed </w:t>
      </w:r>
      <w:r w:rsidR="0000281A">
        <w:t>as a transitional measure.</w:t>
      </w:r>
      <w:r>
        <w:rPr>
          <w:rStyle w:val="FootnoteReference"/>
        </w:rPr>
        <w:footnoteReference w:id="52"/>
      </w:r>
      <w:r w:rsidR="0000281A">
        <w:t xml:space="preserve"> </w:t>
      </w:r>
    </w:p>
    <w:p w14:paraId="3BAED62D" w14:textId="77777777" w:rsidR="00EA6752" w:rsidRPr="00EA6752" w:rsidRDefault="00EA6752" w:rsidP="00EA6752">
      <w:pPr>
        <w:pStyle w:val="BodyText"/>
      </w:pPr>
      <w:r w:rsidRPr="00EA6752">
        <w:t xml:space="preserve">At the time </w:t>
      </w:r>
      <w:r>
        <w:t>this</w:t>
      </w:r>
      <w:r w:rsidRPr="00EA6752">
        <w:t xml:space="preserve"> recommendation </w:t>
      </w:r>
      <w:r>
        <w:t xml:space="preserve">was </w:t>
      </w:r>
      <w:r w:rsidRPr="00EA6752">
        <w:t>made</w:t>
      </w:r>
      <w:r>
        <w:t>,</w:t>
      </w:r>
      <w:r w:rsidRPr="00EA6752">
        <w:t xml:space="preserve"> </w:t>
      </w:r>
      <w:r>
        <w:t xml:space="preserve">the GMRG understood that this </w:t>
      </w:r>
      <w:r w:rsidRPr="00EA6752">
        <w:t xml:space="preserve">transitional measure would only apply to a small subset of </w:t>
      </w:r>
      <w:r>
        <w:t xml:space="preserve">‘firm’ </w:t>
      </w:r>
      <w:r w:rsidRPr="00EA6752">
        <w:t xml:space="preserve">as available and </w:t>
      </w:r>
      <w:r w:rsidR="00883558">
        <w:t xml:space="preserve">authorised </w:t>
      </w:r>
      <w:r w:rsidRPr="00EA6752">
        <w:t>overrun rights. However, subsequent consultation has revealed it is not possible to distinguish between the firmness of these rights</w:t>
      </w:r>
      <w:r w:rsidR="00F708DF">
        <w:t xml:space="preserve"> </w:t>
      </w:r>
      <w:r w:rsidR="00067F90">
        <w:t>with any precision</w:t>
      </w:r>
      <w:r w:rsidR="00F708DF">
        <w:t>,</w:t>
      </w:r>
      <w:r w:rsidRPr="00EA6752">
        <w:t xml:space="preserve"> and that as the recommendation was drafted, service providers </w:t>
      </w:r>
      <w:r w:rsidR="00F708DF">
        <w:t>may</w:t>
      </w:r>
      <w:r w:rsidR="00F708DF" w:rsidRPr="00EA6752">
        <w:t xml:space="preserve"> </w:t>
      </w:r>
      <w:r w:rsidRPr="00EA6752">
        <w:t xml:space="preserve">seek to rank all </w:t>
      </w:r>
      <w:r w:rsidR="00F708DF">
        <w:t xml:space="preserve">or most </w:t>
      </w:r>
      <w:r w:rsidRPr="00EA6752">
        <w:t>as available and authorised overrun rights ahead of the auction product</w:t>
      </w:r>
      <w:r>
        <w:t xml:space="preserve">. Such an outcome </w:t>
      </w:r>
      <w:r w:rsidRPr="00EA6752">
        <w:t xml:space="preserve">would be contrary to </w:t>
      </w:r>
      <w:r>
        <w:t xml:space="preserve">the policy </w:t>
      </w:r>
      <w:r w:rsidRPr="00EA6752">
        <w:t>intent</w:t>
      </w:r>
      <w:r>
        <w:t xml:space="preserve">, which </w:t>
      </w:r>
      <w:r w:rsidR="00F13A4A">
        <w:t xml:space="preserve">is </w:t>
      </w:r>
      <w:r>
        <w:t>for the auction service to rank as closely as possible behind firm services</w:t>
      </w:r>
      <w:r w:rsidR="00883558">
        <w:t xml:space="preserve"> so that firm capacity holders have a strong incentive to release any spare capacity they may have prior to the auction</w:t>
      </w:r>
      <w:r w:rsidRPr="00EA6752">
        <w:t xml:space="preserve">. </w:t>
      </w:r>
      <w:r>
        <w:t>The GMRG has therefore given further thought to the scope of the grandfathered rights.</w:t>
      </w:r>
    </w:p>
    <w:p w14:paraId="3D5B54C3" w14:textId="77777777" w:rsidR="000A603E" w:rsidRPr="000575CC" w:rsidRDefault="00EA6752" w:rsidP="00883558">
      <w:pPr>
        <w:pStyle w:val="BodyText"/>
      </w:pPr>
      <w:r w:rsidRPr="000575CC">
        <w:t>In doing so, the GMRG has considered</w:t>
      </w:r>
      <w:r w:rsidR="000A603E" w:rsidRPr="000575CC">
        <w:t>:</w:t>
      </w:r>
      <w:r w:rsidR="00883558" w:rsidRPr="000575CC">
        <w:t xml:space="preserve"> </w:t>
      </w:r>
    </w:p>
    <w:p w14:paraId="73CFA390" w14:textId="77777777" w:rsidR="000A603E" w:rsidRPr="000575CC" w:rsidRDefault="00EA6752" w:rsidP="000A603E">
      <w:pPr>
        <w:pStyle w:val="ListBullet"/>
      </w:pPr>
      <w:r w:rsidRPr="000575CC">
        <w:t xml:space="preserve">the original intent of the recommendation, which was to </w:t>
      </w:r>
      <w:r w:rsidR="00883558" w:rsidRPr="000575CC">
        <w:t xml:space="preserve">provide gas-fired generators </w:t>
      </w:r>
      <w:r w:rsidR="004E3C88" w:rsidRPr="000575CC">
        <w:t xml:space="preserve">some </w:t>
      </w:r>
      <w:r w:rsidR="00883558" w:rsidRPr="000575CC">
        <w:t>additional time to transition to the new arrangements to minimise any potential impact on the NEM</w:t>
      </w:r>
      <w:r w:rsidR="000A603E" w:rsidRPr="000575CC">
        <w:t>; and</w:t>
      </w:r>
    </w:p>
    <w:p w14:paraId="7FC2CCA3" w14:textId="77777777" w:rsidR="000A603E" w:rsidRPr="000575CC" w:rsidRDefault="000A603E" w:rsidP="000A603E">
      <w:pPr>
        <w:pStyle w:val="ListBullet"/>
      </w:pPr>
      <w:r w:rsidRPr="000575CC">
        <w:t>the way in which the transition to the new arrangements is expected to occur and the impact it is expected to have on the ability of shippers to manage demand risks, which have to date been managed through as available and authorised overrun services.</w:t>
      </w:r>
    </w:p>
    <w:p w14:paraId="6F3176D5" w14:textId="77777777" w:rsidR="003A7C03" w:rsidRPr="000575CC" w:rsidRDefault="000A603E" w:rsidP="00883558">
      <w:pPr>
        <w:pStyle w:val="BodyText"/>
      </w:pPr>
      <w:r w:rsidRPr="000575CC">
        <w:t xml:space="preserve">In relation to the latter of these matters, the GMRG understands from discussions it has had with some stakeholders that there is a concern that the standardised capacity products that will be available on the capacity trading platform and day-ahead auction will not be a direct substitute for the services they currently use to manage demand risks. </w:t>
      </w:r>
      <w:r w:rsidR="00F13A4A">
        <w:t xml:space="preserve">It is important to note though that </w:t>
      </w:r>
      <w:r w:rsidRPr="000575CC">
        <w:t xml:space="preserve">while the products sold through these mechanisms will be standardised, </w:t>
      </w:r>
      <w:r w:rsidR="00F708DF">
        <w:t xml:space="preserve">shippers </w:t>
      </w:r>
      <w:r w:rsidRPr="000575CC">
        <w:t xml:space="preserve">can </w:t>
      </w:r>
      <w:r w:rsidR="000575CC">
        <w:t xml:space="preserve">achieve similar levels of flexibility to what they currently have </w:t>
      </w:r>
      <w:r w:rsidR="000575CC">
        <w:lastRenderedPageBreak/>
        <w:t xml:space="preserve">by </w:t>
      </w:r>
      <w:r w:rsidRPr="000575CC">
        <w:t>supplement</w:t>
      </w:r>
      <w:r w:rsidR="000575CC">
        <w:t>ing the standardised service</w:t>
      </w:r>
      <w:r w:rsidRPr="000575CC">
        <w:t xml:space="preserve"> </w:t>
      </w:r>
      <w:r w:rsidR="000575CC">
        <w:t xml:space="preserve">with </w:t>
      </w:r>
      <w:r w:rsidRPr="000575CC">
        <w:t>other services</w:t>
      </w:r>
      <w:r w:rsidR="000575CC">
        <w:t xml:space="preserve"> provided by service providers or procured through bilateral capacity trades</w:t>
      </w:r>
      <w:r w:rsidR="003A7C03" w:rsidRPr="000575CC">
        <w:t xml:space="preserve">. </w:t>
      </w:r>
    </w:p>
    <w:p w14:paraId="57A8BFB1" w14:textId="77777777" w:rsidR="000575CC" w:rsidRDefault="000575CC" w:rsidP="003A7C03">
      <w:pPr>
        <w:pStyle w:val="BodyText"/>
      </w:pPr>
      <w:r>
        <w:t>For example, a</w:t>
      </w:r>
      <w:r w:rsidR="003A7C03" w:rsidRPr="000575CC">
        <w:t xml:space="preserve"> shipper that requires a greater level of hourly flexibility and imbalance entitlement than provided for </w:t>
      </w:r>
      <w:r w:rsidR="00F708DF">
        <w:t xml:space="preserve">under a standard operational transportation service </w:t>
      </w:r>
      <w:r w:rsidR="003A7C03" w:rsidRPr="000575CC">
        <w:t>in the standard operational agreement could</w:t>
      </w:r>
      <w:r w:rsidR="000F6354">
        <w:t>, under the current drafting of the Code</w:t>
      </w:r>
      <w:r>
        <w:t>:</w:t>
      </w:r>
      <w:r w:rsidR="003A7C03" w:rsidRPr="000575CC">
        <w:t xml:space="preserve"> </w:t>
      </w:r>
    </w:p>
    <w:p w14:paraId="7FCEBBF1" w14:textId="77777777" w:rsidR="003A7C03" w:rsidRDefault="00F13A4A" w:rsidP="00066EE0">
      <w:pPr>
        <w:pStyle w:val="ListBullet"/>
      </w:pPr>
      <w:r>
        <w:t>n</w:t>
      </w:r>
      <w:r w:rsidR="003A7C03" w:rsidRPr="000575CC">
        <w:t>egotiate with the service provider to obtain a higher maximum hourly quantity (MHQ) factor and a greater imbalance allowance than provided for in the standard operational agreement</w:t>
      </w:r>
      <w:r>
        <w:t>;</w:t>
      </w:r>
      <w:r>
        <w:rPr>
          <w:rStyle w:val="FootnoteReference"/>
        </w:rPr>
        <w:footnoteReference w:id="53"/>
      </w:r>
      <w:r w:rsidR="003A7C03" w:rsidRPr="000575CC">
        <w:t xml:space="preserve"> </w:t>
      </w:r>
      <w:r>
        <w:t>or</w:t>
      </w:r>
    </w:p>
    <w:p w14:paraId="390D1A2A" w14:textId="77777777" w:rsidR="000575CC" w:rsidRDefault="00F13A4A" w:rsidP="00066EE0">
      <w:pPr>
        <w:pStyle w:val="ListBullet"/>
      </w:pPr>
      <w:r>
        <w:t>e</w:t>
      </w:r>
      <w:r w:rsidR="000575CC">
        <w:t>nter into a bilateral trade with another shipper to acquire higher hourly and imbalance entitlement</w:t>
      </w:r>
      <w:r w:rsidR="00066EE0">
        <w:t>s than provided for in the standard operational agreement.</w:t>
      </w:r>
      <w:r>
        <w:rPr>
          <w:rStyle w:val="FootnoteReference"/>
        </w:rPr>
        <w:footnoteReference w:id="54"/>
      </w:r>
      <w:r w:rsidR="00066EE0">
        <w:t xml:space="preserve"> </w:t>
      </w:r>
    </w:p>
    <w:p w14:paraId="46B1A2C9" w14:textId="77777777" w:rsidR="000575CC" w:rsidRDefault="00066EE0" w:rsidP="003A7C03">
      <w:pPr>
        <w:pStyle w:val="BodyText"/>
      </w:pPr>
      <w:r>
        <w:t xml:space="preserve">As </w:t>
      </w:r>
      <w:r w:rsidR="000F6354">
        <w:t xml:space="preserve">this </w:t>
      </w:r>
      <w:r>
        <w:t>example highlight</w:t>
      </w:r>
      <w:r w:rsidR="000F6354">
        <w:t>s</w:t>
      </w:r>
      <w:r>
        <w:t>, shippers will still be able to manage demand risks under the new arrangements</w:t>
      </w:r>
      <w:r w:rsidR="00F708DF">
        <w:t xml:space="preserve"> – </w:t>
      </w:r>
      <w:r>
        <w:t xml:space="preserve">it is just the manner in which </w:t>
      </w:r>
      <w:r w:rsidR="00067F90">
        <w:t xml:space="preserve">this is done </w:t>
      </w:r>
      <w:r w:rsidR="00D742A3">
        <w:t xml:space="preserve">that </w:t>
      </w:r>
      <w:r w:rsidR="00067F90">
        <w:t>would change</w:t>
      </w:r>
      <w:r>
        <w:t>.</w:t>
      </w:r>
    </w:p>
    <w:p w14:paraId="27BED795" w14:textId="77777777" w:rsidR="00066EE0" w:rsidRDefault="00EA6752" w:rsidP="009719DA">
      <w:pPr>
        <w:pStyle w:val="BodyText"/>
      </w:pPr>
      <w:r>
        <w:t xml:space="preserve">Having regard to </w:t>
      </w:r>
      <w:r w:rsidR="00066EE0">
        <w:t xml:space="preserve">the </w:t>
      </w:r>
      <w:r>
        <w:t>matters</w:t>
      </w:r>
      <w:r w:rsidR="00066EE0">
        <w:t xml:space="preserve"> set out above</w:t>
      </w:r>
      <w:r>
        <w:t xml:space="preserve">, the GMRG is </w:t>
      </w:r>
      <w:r w:rsidR="00066EE0">
        <w:t xml:space="preserve">of the view that the </w:t>
      </w:r>
      <w:r>
        <w:t xml:space="preserve">scope of the grandfathered rights </w:t>
      </w:r>
      <w:r w:rsidR="00066EE0">
        <w:t xml:space="preserve">should be limited </w:t>
      </w:r>
      <w:r>
        <w:t>to</w:t>
      </w:r>
      <w:r w:rsidR="000455FE">
        <w:t>:</w:t>
      </w:r>
    </w:p>
    <w:p w14:paraId="5F612B72" w14:textId="77777777" w:rsidR="00066EE0" w:rsidRDefault="00F3517C" w:rsidP="003F5961">
      <w:pPr>
        <w:pStyle w:val="ListNumber"/>
        <w:numPr>
          <w:ilvl w:val="0"/>
          <w:numId w:val="39"/>
        </w:numPr>
      </w:pPr>
      <w:r>
        <w:t xml:space="preserve">transportation </w:t>
      </w:r>
      <w:r w:rsidR="00EA6752" w:rsidRPr="00EA6752">
        <w:t>rights</w:t>
      </w:r>
      <w:r>
        <w:t xml:space="preserve"> </w:t>
      </w:r>
      <w:r w:rsidR="00066EE0" w:rsidRPr="00EA6752">
        <w:t xml:space="preserve">used for the transportation of gas </w:t>
      </w:r>
      <w:r w:rsidR="00066EE0">
        <w:t xml:space="preserve">by a gas fired generator </w:t>
      </w:r>
      <w:r w:rsidR="00066EE0" w:rsidRPr="00EA6752">
        <w:t xml:space="preserve">to </w:t>
      </w:r>
      <w:r w:rsidR="00066EE0">
        <w:t xml:space="preserve">its </w:t>
      </w:r>
      <w:r w:rsidR="00066EE0" w:rsidRPr="00EA6752">
        <w:t>generation site</w:t>
      </w:r>
      <w:r w:rsidR="00066EE0">
        <w:t xml:space="preserve"> that </w:t>
      </w:r>
      <w:r>
        <w:t xml:space="preserve">in </w:t>
      </w:r>
      <w:r w:rsidR="00067F90">
        <w:t xml:space="preserve">normal operating conditions </w:t>
      </w:r>
      <w:r>
        <w:t>will be treated as firm once scheduled</w:t>
      </w:r>
      <w:r w:rsidRPr="00EA6752">
        <w:t xml:space="preserve"> </w:t>
      </w:r>
      <w:r>
        <w:t>(e.g. as available and authorised overruns)</w:t>
      </w:r>
      <w:r w:rsidR="00066EE0">
        <w:t>;</w:t>
      </w:r>
      <w:r w:rsidR="000455FE">
        <w:t xml:space="preserve"> and</w:t>
      </w:r>
    </w:p>
    <w:p w14:paraId="2DCC96B9" w14:textId="77777777" w:rsidR="009719DA" w:rsidRDefault="000455FE" w:rsidP="003F5961">
      <w:pPr>
        <w:pStyle w:val="ListNumber"/>
        <w:numPr>
          <w:ilvl w:val="0"/>
          <w:numId w:val="39"/>
        </w:numPr>
      </w:pPr>
      <w:r>
        <w:t xml:space="preserve">transportation </w:t>
      </w:r>
      <w:r w:rsidR="009719DA">
        <w:t xml:space="preserve">rights </w:t>
      </w:r>
      <w:r>
        <w:t xml:space="preserve">of the nature described in (a) that </w:t>
      </w:r>
      <w:r w:rsidR="009719DA">
        <w:t>were acquired under a primary facility agreement entered into on or before 3 January 2018 (or through an option to acquire the right in such an agreement)</w:t>
      </w:r>
      <w:r>
        <w:t>.</w:t>
      </w:r>
      <w:r>
        <w:rPr>
          <w:rStyle w:val="FootnoteReference"/>
        </w:rPr>
        <w:footnoteReference w:id="55"/>
      </w:r>
    </w:p>
    <w:p w14:paraId="1CBEF6AC" w14:textId="77777777" w:rsidR="000455FE" w:rsidRDefault="000455FE" w:rsidP="000455FE">
      <w:pPr>
        <w:pStyle w:val="BodyText"/>
      </w:pPr>
      <w:r>
        <w:t>This limitation is reflected in the Part 4 of the transitional rules (Schedule 5), which also state</w:t>
      </w:r>
      <w:r w:rsidR="00C00168">
        <w:t>s</w:t>
      </w:r>
      <w:r>
        <w:t xml:space="preserve"> that the grandfathered rights will only</w:t>
      </w:r>
      <w:r w:rsidR="00C00168">
        <w:t xml:space="preserve"> be treated as ‘firm’ services for the purposes of service priorities and auction quantity calculations for a </w:t>
      </w:r>
      <w:r w:rsidR="00837070">
        <w:t>two-year</w:t>
      </w:r>
      <w:r w:rsidR="00C00168">
        <w:t xml:space="preserve"> period </w:t>
      </w:r>
      <w:r w:rsidR="00F708DF">
        <w:t>from commencement of the auction</w:t>
      </w:r>
      <w:r w:rsidR="00C00168">
        <w:t xml:space="preserve">. </w:t>
      </w:r>
    </w:p>
    <w:p w14:paraId="6509F88D" w14:textId="77777777" w:rsidR="00CD0148" w:rsidRDefault="000455FE" w:rsidP="000455FE">
      <w:pPr>
        <w:pStyle w:val="BodyText"/>
      </w:pPr>
      <w:r>
        <w:t>The GMRG understands that allowing these rights to be grandfathered could increase some of the risks associated with the auction product (i.e. because these rights will rank ahead of the auction product and result in less CBU capacity being released</w:t>
      </w:r>
      <w:r w:rsidR="00C00168">
        <w:rPr>
          <w:rStyle w:val="FootnoteReference"/>
        </w:rPr>
        <w:footnoteReference w:id="56"/>
      </w:r>
      <w:r>
        <w:t xml:space="preserve"> into the auction). </w:t>
      </w:r>
      <w:r w:rsidR="00067F90">
        <w:t>H</w:t>
      </w:r>
      <w:r w:rsidR="00C00168">
        <w:t xml:space="preserve">owever, </w:t>
      </w:r>
      <w:r w:rsidR="000F6354">
        <w:t xml:space="preserve">it is important to recognise that </w:t>
      </w:r>
      <w:r w:rsidR="00CD0148">
        <w:t xml:space="preserve">if gas fired generators are able to acquire capacity through the capacity trading platform or auction at a lower cost (including the cost of any supplementary services they require) than their as available or authorised </w:t>
      </w:r>
      <w:r w:rsidR="00CD0148">
        <w:lastRenderedPageBreak/>
        <w:t xml:space="preserve">overrun service, they are unlikely to utilise these rights. It should not therefore be assumed that these rights will always be exercised. </w:t>
      </w:r>
    </w:p>
    <w:p w14:paraId="4A9131C8" w14:textId="77777777" w:rsidR="00CD0148" w:rsidRDefault="00CD0148" w:rsidP="000455FE">
      <w:pPr>
        <w:pStyle w:val="BodyText"/>
      </w:pPr>
      <w:r>
        <w:t xml:space="preserve">As noted above, the Energy Council will need to approve the proposed change in scope of the grandfathered rights. The GMRG is therefore interested in obtaining any feedback stakeholders may have on this issue, including on the proposal to grandfather the rights for a </w:t>
      </w:r>
      <w:r w:rsidR="00837070">
        <w:t>two-year</w:t>
      </w:r>
      <w:r>
        <w:t xml:space="preserve"> period. </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5.1: Questions on grandfathered rights"/>
        <w:tblDescription w:val="Questions on grandfathered rights"/>
      </w:tblPr>
      <w:tblGrid>
        <w:gridCol w:w="8789"/>
      </w:tblGrid>
      <w:tr w:rsidR="00CD0148" w14:paraId="68518275" w14:textId="77777777" w:rsidTr="002A1ED1">
        <w:trPr>
          <w:tblHeader/>
        </w:trPr>
        <w:tc>
          <w:tcPr>
            <w:tcW w:w="5000" w:type="pct"/>
            <w:shd w:val="clear" w:color="auto" w:fill="auto"/>
            <w:hideMark/>
          </w:tcPr>
          <w:p w14:paraId="67093C0C" w14:textId="5F8A6559" w:rsidR="00CD0148" w:rsidRPr="002A1ED1" w:rsidRDefault="002A1ED1" w:rsidP="002A1ED1">
            <w:pPr>
              <w:pStyle w:val="ListNumber"/>
              <w:numPr>
                <w:ilvl w:val="0"/>
                <w:numId w:val="0"/>
              </w:numPr>
              <w:tabs>
                <w:tab w:val="left" w:pos="720"/>
              </w:tabs>
              <w:rPr>
                <w:rFonts w:eastAsiaTheme="majorEastAsia"/>
                <w:b/>
                <w:sz w:val="20"/>
                <w:szCs w:val="20"/>
              </w:rPr>
            </w:pPr>
            <w:r w:rsidRPr="002A1ED1">
              <w:rPr>
                <w:b/>
              </w:rPr>
              <w:t xml:space="preserve">Box </w:t>
            </w:r>
            <w:r w:rsidRPr="002A1ED1">
              <w:rPr>
                <w:b/>
              </w:rPr>
              <w:fldChar w:fldCharType="begin"/>
            </w:r>
            <w:r w:rsidRPr="002A1ED1">
              <w:rPr>
                <w:b/>
              </w:rPr>
              <w:instrText xml:space="preserve"> STYLEREF 1 \s </w:instrText>
            </w:r>
            <w:r w:rsidRPr="002A1ED1">
              <w:rPr>
                <w:b/>
              </w:rPr>
              <w:fldChar w:fldCharType="separate"/>
            </w:r>
            <w:r w:rsidRPr="002A1ED1">
              <w:rPr>
                <w:b/>
                <w:noProof/>
              </w:rPr>
              <w:t>5</w:t>
            </w:r>
            <w:r w:rsidRPr="002A1ED1">
              <w:rPr>
                <w:b/>
                <w:noProof/>
              </w:rPr>
              <w:fldChar w:fldCharType="end"/>
            </w:r>
            <w:r w:rsidRPr="002A1ED1">
              <w:rPr>
                <w:b/>
              </w:rPr>
              <w:t>.</w:t>
            </w:r>
            <w:r w:rsidRPr="002A1ED1">
              <w:rPr>
                <w:b/>
              </w:rPr>
              <w:fldChar w:fldCharType="begin"/>
            </w:r>
            <w:r w:rsidRPr="002A1ED1">
              <w:rPr>
                <w:b/>
              </w:rPr>
              <w:instrText xml:space="preserve"> SEQ Box \* ARABIC \s 1 </w:instrText>
            </w:r>
            <w:r w:rsidRPr="002A1ED1">
              <w:rPr>
                <w:b/>
              </w:rPr>
              <w:fldChar w:fldCharType="separate"/>
            </w:r>
            <w:r w:rsidRPr="002A1ED1">
              <w:rPr>
                <w:b/>
                <w:noProof/>
              </w:rPr>
              <w:t>1</w:t>
            </w:r>
            <w:r w:rsidRPr="002A1ED1">
              <w:rPr>
                <w:b/>
                <w:noProof/>
              </w:rPr>
              <w:fldChar w:fldCharType="end"/>
            </w:r>
            <w:r w:rsidRPr="002A1ED1">
              <w:rPr>
                <w:b/>
              </w:rPr>
              <w:t xml:space="preserve">: </w:t>
            </w:r>
            <w:r w:rsidRPr="002A1ED1">
              <w:rPr>
                <w:b/>
                <w:bCs/>
              </w:rPr>
              <w:t>Questions on grandfathered rights</w:t>
            </w:r>
          </w:p>
        </w:tc>
      </w:tr>
      <w:tr w:rsidR="002A1ED1" w14:paraId="2D19DAC8" w14:textId="77777777" w:rsidTr="002A1ED1">
        <w:tc>
          <w:tcPr>
            <w:tcW w:w="5000" w:type="pct"/>
            <w:shd w:val="clear" w:color="auto" w:fill="B7E7FF"/>
          </w:tcPr>
          <w:p w14:paraId="3C817D5B" w14:textId="77777777" w:rsidR="002A1ED1" w:rsidRPr="00F12295" w:rsidRDefault="002A1ED1" w:rsidP="002A1ED1">
            <w:pPr>
              <w:pStyle w:val="ListNumber"/>
              <w:numPr>
                <w:ilvl w:val="0"/>
                <w:numId w:val="29"/>
              </w:numPr>
              <w:tabs>
                <w:tab w:val="left" w:pos="720"/>
              </w:tabs>
              <w:ind w:left="357" w:hanging="357"/>
              <w:rPr>
                <w:rFonts w:eastAsiaTheme="majorEastAsia"/>
              </w:rPr>
            </w:pPr>
            <w:r w:rsidRPr="00F12295">
              <w:rPr>
                <w:rFonts w:eastAsiaTheme="majorEastAsia"/>
              </w:rPr>
              <w:t>Do you think the proposal to limit the availability of grandfathered rights to gas fired generators for use at their generation plant is appropriate? If not, please explain why.</w:t>
            </w:r>
          </w:p>
          <w:p w14:paraId="735238FD" w14:textId="77777777" w:rsidR="002A1ED1" w:rsidRDefault="002A1ED1" w:rsidP="002A1ED1">
            <w:pPr>
              <w:pStyle w:val="ListNumber"/>
              <w:numPr>
                <w:ilvl w:val="0"/>
                <w:numId w:val="29"/>
              </w:numPr>
              <w:tabs>
                <w:tab w:val="left" w:pos="720"/>
              </w:tabs>
              <w:ind w:left="357" w:hanging="357"/>
              <w:rPr>
                <w:rFonts w:eastAsiaTheme="majorEastAsia"/>
              </w:rPr>
            </w:pPr>
            <w:r w:rsidRPr="00F12295">
              <w:rPr>
                <w:rFonts w:eastAsiaTheme="majorEastAsia"/>
              </w:rPr>
              <w:t>Do you think the proposed two-year transitional period for grandfathered rights is appropriate? If not, please explain why.</w:t>
            </w:r>
          </w:p>
          <w:p w14:paraId="4F91F2BB" w14:textId="346137D9" w:rsidR="002A1ED1" w:rsidRPr="002A1ED1" w:rsidRDefault="002A1ED1" w:rsidP="002A1ED1">
            <w:pPr>
              <w:pStyle w:val="ListNumber"/>
              <w:numPr>
                <w:ilvl w:val="0"/>
                <w:numId w:val="29"/>
              </w:numPr>
              <w:tabs>
                <w:tab w:val="left" w:pos="720"/>
              </w:tabs>
              <w:ind w:left="357" w:hanging="357"/>
              <w:rPr>
                <w:rFonts w:eastAsiaTheme="majorEastAsia"/>
              </w:rPr>
            </w:pPr>
            <w:r w:rsidRPr="002A1ED1">
              <w:rPr>
                <w:rFonts w:eastAsiaTheme="majorEastAsia"/>
              </w:rPr>
              <w:t>Are there any other limitations that you think should be placed on the availability and/or use of grandfathered rights?</w:t>
            </w:r>
          </w:p>
        </w:tc>
      </w:tr>
    </w:tbl>
    <w:p w14:paraId="1A06A423" w14:textId="77777777" w:rsidR="00110FC0" w:rsidRDefault="00110FC0" w:rsidP="00756C62">
      <w:pPr>
        <w:pStyle w:val="Heading3"/>
        <w:numPr>
          <w:ilvl w:val="2"/>
          <w:numId w:val="20"/>
        </w:numPr>
      </w:pPr>
      <w:r>
        <w:t xml:space="preserve">Contract path </w:t>
      </w:r>
      <w:r w:rsidR="006C09D6">
        <w:t>specification</w:t>
      </w:r>
    </w:p>
    <w:p w14:paraId="0BD3A032" w14:textId="77777777" w:rsidR="00CA3160" w:rsidRPr="00CA3160" w:rsidRDefault="00CA3160" w:rsidP="00CA3160">
      <w:pPr>
        <w:pStyle w:val="BodyText"/>
        <w:rPr>
          <w:b/>
          <w:color w:val="0099CC"/>
        </w:rPr>
      </w:pPr>
      <w:r w:rsidRPr="00CA3160">
        <w:rPr>
          <w:b/>
          <w:color w:val="0099CC"/>
        </w:rPr>
        <w:t>Forward haul and compression auction services</w:t>
      </w:r>
    </w:p>
    <w:p w14:paraId="50B54A99" w14:textId="77777777" w:rsidR="009D1221" w:rsidRPr="009D1221" w:rsidRDefault="009D1221" w:rsidP="009D1221">
      <w:pPr>
        <w:pStyle w:val="BodyText"/>
      </w:pPr>
      <w:r w:rsidRPr="009D1221">
        <w:rPr>
          <w:lang w:val="en-US"/>
        </w:rPr>
        <w:t xml:space="preserve">In the original auction proposals developed by </w:t>
      </w:r>
      <w:r w:rsidR="00D742A3">
        <w:rPr>
          <w:lang w:val="en-US"/>
        </w:rPr>
        <w:t xml:space="preserve">the </w:t>
      </w:r>
      <w:r w:rsidR="00D742A3" w:rsidRPr="009D1221">
        <w:rPr>
          <w:lang w:val="en-US"/>
        </w:rPr>
        <w:t>A</w:t>
      </w:r>
      <w:r w:rsidR="00D742A3">
        <w:rPr>
          <w:lang w:val="en-US"/>
        </w:rPr>
        <w:t xml:space="preserve">ustralian </w:t>
      </w:r>
      <w:r w:rsidR="00D742A3" w:rsidRPr="009D1221">
        <w:rPr>
          <w:lang w:val="en-US"/>
        </w:rPr>
        <w:t>P</w:t>
      </w:r>
      <w:r w:rsidR="00D742A3">
        <w:rPr>
          <w:lang w:val="en-US"/>
        </w:rPr>
        <w:t xml:space="preserve">ipelines and </w:t>
      </w:r>
      <w:r w:rsidR="00D742A3" w:rsidRPr="009D1221">
        <w:rPr>
          <w:lang w:val="en-US"/>
        </w:rPr>
        <w:t>G</w:t>
      </w:r>
      <w:r w:rsidR="00D742A3">
        <w:rPr>
          <w:lang w:val="en-US"/>
        </w:rPr>
        <w:t xml:space="preserve">as </w:t>
      </w:r>
      <w:r w:rsidR="00D742A3" w:rsidRPr="009D1221">
        <w:rPr>
          <w:lang w:val="en-US"/>
        </w:rPr>
        <w:t>A</w:t>
      </w:r>
      <w:r w:rsidR="00D742A3">
        <w:rPr>
          <w:lang w:val="en-US"/>
        </w:rPr>
        <w:t>ssociation (</w:t>
      </w:r>
      <w:r w:rsidRPr="009D1221">
        <w:rPr>
          <w:lang w:val="en-US"/>
        </w:rPr>
        <w:t>APGA</w:t>
      </w:r>
      <w:r w:rsidR="00D742A3">
        <w:rPr>
          <w:lang w:val="en-US"/>
        </w:rPr>
        <w:t>)</w:t>
      </w:r>
      <w:r w:rsidRPr="009D1221">
        <w:rPr>
          <w:lang w:val="en-US"/>
        </w:rPr>
        <w:t xml:space="preserve"> and AEMO in early 2017: </w:t>
      </w:r>
    </w:p>
    <w:p w14:paraId="55FB9E68" w14:textId="77777777" w:rsidR="006C09D6" w:rsidRPr="009D1221" w:rsidRDefault="006C09D6" w:rsidP="009D1221">
      <w:pPr>
        <w:pStyle w:val="ListBullet"/>
      </w:pPr>
      <w:r w:rsidRPr="009D1221">
        <w:rPr>
          <w:lang w:val="en-US"/>
        </w:rPr>
        <w:t>APGA proposed the adoption of a point-to-point approach</w:t>
      </w:r>
      <w:r w:rsidR="00F708DF">
        <w:rPr>
          <w:lang w:val="en-US"/>
        </w:rPr>
        <w:t xml:space="preserve"> </w:t>
      </w:r>
      <w:r w:rsidR="00F708DF" w:rsidRPr="009D1221">
        <w:rPr>
          <w:lang w:val="en-US"/>
        </w:rPr>
        <w:t>to allocating capacity</w:t>
      </w:r>
      <w:r w:rsidRPr="009D1221">
        <w:rPr>
          <w:lang w:val="en-US"/>
        </w:rPr>
        <w:t>; and</w:t>
      </w:r>
    </w:p>
    <w:p w14:paraId="30F8D8EB" w14:textId="77777777" w:rsidR="006C09D6" w:rsidRPr="009D1221" w:rsidRDefault="006C09D6" w:rsidP="009D1221">
      <w:pPr>
        <w:pStyle w:val="ListBullet"/>
      </w:pPr>
      <w:r w:rsidRPr="009D1221">
        <w:rPr>
          <w:lang w:val="en-US"/>
        </w:rPr>
        <w:t>AEMO proposed the adoption of a pure zonal approach to allocating capacity.</w:t>
      </w:r>
    </w:p>
    <w:p w14:paraId="55A680BE" w14:textId="77777777" w:rsidR="009D1221" w:rsidRPr="009D1221" w:rsidRDefault="009D1221" w:rsidP="009D1221">
      <w:pPr>
        <w:pStyle w:val="BodyText"/>
      </w:pPr>
      <w:r w:rsidRPr="009D1221">
        <w:rPr>
          <w:lang w:val="en-US"/>
        </w:rPr>
        <w:t>Through the consultation process, the GMRG also raised the prospect of using a point-to-point approach with some zoning of substitutable points and sought feedback from stakeholders.</w:t>
      </w:r>
      <w:r>
        <w:rPr>
          <w:lang w:val="en-US"/>
        </w:rPr>
        <w:t xml:space="preserve"> </w:t>
      </w:r>
      <w:r w:rsidRPr="009D1221">
        <w:t>Stakeholders were divided in their views on this issue, with</w:t>
      </w:r>
      <w:r>
        <w:t>:</w:t>
      </w:r>
      <w:r>
        <w:rPr>
          <w:rStyle w:val="FootnoteReference"/>
        </w:rPr>
        <w:footnoteReference w:id="57"/>
      </w:r>
      <w:r w:rsidRPr="009D1221">
        <w:t xml:space="preserve"> </w:t>
      </w:r>
    </w:p>
    <w:p w14:paraId="6FA5DCE6" w14:textId="77777777" w:rsidR="006C09D6" w:rsidRPr="009D1221" w:rsidRDefault="006C09D6" w:rsidP="009D1221">
      <w:pPr>
        <w:pStyle w:val="ListBullet"/>
      </w:pPr>
      <w:r w:rsidRPr="009D1221">
        <w:t>APA</w:t>
      </w:r>
      <w:r w:rsidR="00D742A3">
        <w:t xml:space="preserve"> Group</w:t>
      </w:r>
      <w:r w:rsidRPr="009D1221">
        <w:t xml:space="preserve">, Jemena, </w:t>
      </w:r>
      <w:r w:rsidR="00D742A3">
        <w:t>Tasmania Gas Pipeline</w:t>
      </w:r>
      <w:r w:rsidRPr="009D1221">
        <w:t>, Origin</w:t>
      </w:r>
      <w:r w:rsidR="00D742A3">
        <w:t xml:space="preserve"> Energy</w:t>
      </w:r>
      <w:r w:rsidRPr="009D1221">
        <w:t>, A</w:t>
      </w:r>
      <w:r w:rsidR="00D742A3">
        <w:t xml:space="preserve">ustralia </w:t>
      </w:r>
      <w:r w:rsidRPr="009D1221">
        <w:t>P</w:t>
      </w:r>
      <w:r w:rsidR="00D742A3">
        <w:t xml:space="preserve">acific </w:t>
      </w:r>
      <w:r w:rsidRPr="009D1221">
        <w:t>LNG and Santos supporting the point-to-point approach with zoning of substitutable points, because they believed it would be simpler and cost less to implement than the zonal model and give rise to lower delivery risks for auction winners.</w:t>
      </w:r>
    </w:p>
    <w:p w14:paraId="491868A1" w14:textId="77777777" w:rsidR="006C09D6" w:rsidRPr="009D1221" w:rsidRDefault="006C09D6" w:rsidP="009D1221">
      <w:pPr>
        <w:pStyle w:val="ListBullet"/>
      </w:pPr>
      <w:r w:rsidRPr="009D1221">
        <w:t>AGL, Alinta</w:t>
      </w:r>
      <w:r w:rsidR="00D742A3">
        <w:t xml:space="preserve"> Energy</w:t>
      </w:r>
      <w:r w:rsidRPr="009D1221">
        <w:t xml:space="preserve">, Engie, Stanwell and Shell supporting the zonal approach, because they believed </w:t>
      </w:r>
      <w:r w:rsidR="008D3E5E">
        <w:t xml:space="preserve">the </w:t>
      </w:r>
      <w:r w:rsidRPr="009D1221">
        <w:t xml:space="preserve">same approach used for the capacity trading platform should be used in the auction. </w:t>
      </w:r>
    </w:p>
    <w:p w14:paraId="4872B2BE" w14:textId="77777777" w:rsidR="006C09D6" w:rsidRPr="009D1221" w:rsidRDefault="006C09D6" w:rsidP="009D1221">
      <w:pPr>
        <w:pStyle w:val="ListBullet"/>
      </w:pPr>
      <w:r w:rsidRPr="009D1221">
        <w:t xml:space="preserve">Epic </w:t>
      </w:r>
      <w:r w:rsidR="00D742A3">
        <w:t xml:space="preserve">Energy </w:t>
      </w:r>
      <w:r w:rsidRPr="009D1221">
        <w:t>also supported the zonal model, because it thought it would be simpler to implement and provide more flexibility for auction participants (particularly those at single user points, who under a point-to-point approach may be unable to procure any capacity through the auction</w:t>
      </w:r>
      <w:r w:rsidR="008D3E5E">
        <w:t>)</w:t>
      </w:r>
      <w:r w:rsidRPr="009D1221">
        <w:t>.</w:t>
      </w:r>
    </w:p>
    <w:p w14:paraId="733FFD16" w14:textId="77777777" w:rsidR="006C09D6" w:rsidRPr="009D1221" w:rsidRDefault="006C09D6" w:rsidP="009D1221">
      <w:pPr>
        <w:pStyle w:val="ListBullet"/>
      </w:pPr>
      <w:r w:rsidRPr="009D1221">
        <w:lastRenderedPageBreak/>
        <w:t xml:space="preserve">AEMO and ERM </w:t>
      </w:r>
      <w:r w:rsidR="00D742A3">
        <w:t xml:space="preserve">Power </w:t>
      </w:r>
      <w:r w:rsidR="008D3E5E" w:rsidRPr="009D1221">
        <w:t>not</w:t>
      </w:r>
      <w:r w:rsidR="008D3E5E">
        <w:t>ed</w:t>
      </w:r>
      <w:r w:rsidR="008D3E5E" w:rsidRPr="009D1221">
        <w:t xml:space="preserve"> </w:t>
      </w:r>
      <w:r w:rsidRPr="009D1221">
        <w:t>that a combination of approaches may be required, but further work should be carried out on the options during the next stage of development.</w:t>
      </w:r>
    </w:p>
    <w:p w14:paraId="78DD1B91" w14:textId="77777777" w:rsidR="009D1221" w:rsidRPr="009D1221" w:rsidRDefault="009D1221" w:rsidP="009D1221">
      <w:pPr>
        <w:pStyle w:val="BodyText"/>
      </w:pPr>
      <w:r w:rsidRPr="009D1221">
        <w:t>Having regard to this feedback, the GMRG’s final recommendation was that further work be carried out in early 2018, in conjunction with AEMO, service providers and other stakeholders, to specify the approach to be used to allocate capacity through the auction.</w:t>
      </w:r>
      <w:r>
        <w:rPr>
          <w:rStyle w:val="FootnoteReference"/>
        </w:rPr>
        <w:footnoteReference w:id="58"/>
      </w:r>
    </w:p>
    <w:p w14:paraId="55777D24" w14:textId="77777777" w:rsidR="009D1221" w:rsidRPr="009D1221" w:rsidRDefault="009D1221" w:rsidP="009D1221">
      <w:pPr>
        <w:pStyle w:val="BodyText"/>
      </w:pPr>
      <w:r w:rsidRPr="009D1221">
        <w:rPr>
          <w:lang w:val="en-US"/>
        </w:rPr>
        <w:t xml:space="preserve">As the feedback stakeholders </w:t>
      </w:r>
      <w:r>
        <w:rPr>
          <w:lang w:val="en-US"/>
        </w:rPr>
        <w:t xml:space="preserve">provided </w:t>
      </w:r>
      <w:r w:rsidRPr="009D1221">
        <w:rPr>
          <w:lang w:val="en-US"/>
        </w:rPr>
        <w:t>highlights, there are pros and cons associated with</w:t>
      </w:r>
      <w:r w:rsidR="00526526">
        <w:rPr>
          <w:lang w:val="en-US"/>
        </w:rPr>
        <w:t xml:space="preserve"> both a pure point-to-point and a pure zonal approach. For example</w:t>
      </w:r>
      <w:r w:rsidRPr="009D1221">
        <w:rPr>
          <w:lang w:val="en-US"/>
        </w:rPr>
        <w:t>:</w:t>
      </w:r>
    </w:p>
    <w:p w14:paraId="6408A478" w14:textId="77777777" w:rsidR="00526526" w:rsidRPr="00526526" w:rsidRDefault="00526526" w:rsidP="006C09D6">
      <w:pPr>
        <w:pStyle w:val="ListBullet"/>
      </w:pPr>
      <w:r w:rsidRPr="00526526">
        <w:rPr>
          <w:lang w:val="en-US"/>
        </w:rPr>
        <w:t xml:space="preserve">Under the </w:t>
      </w:r>
      <w:r w:rsidR="006C09D6" w:rsidRPr="00526526">
        <w:rPr>
          <w:lang w:val="en-US"/>
        </w:rPr>
        <w:t>pure point-to-point approach</w:t>
      </w:r>
      <w:r w:rsidRPr="00526526">
        <w:rPr>
          <w:lang w:val="en-US"/>
        </w:rPr>
        <w:t xml:space="preserve">, auction participants can secure capacity at the receipt and delivery points they require so delivery risk is low. This approach does not, however, yield the most efficient allocation of CBU capacity when it is released from a single user point, because other </w:t>
      </w:r>
      <w:r w:rsidR="006C09D6" w:rsidRPr="00526526">
        <w:rPr>
          <w:lang w:val="en-US"/>
        </w:rPr>
        <w:t xml:space="preserve">shippers </w:t>
      </w:r>
      <w:r w:rsidRPr="00526526">
        <w:rPr>
          <w:lang w:val="en-US"/>
        </w:rPr>
        <w:t xml:space="preserve">will </w:t>
      </w:r>
      <w:r w:rsidR="006C09D6" w:rsidRPr="00526526">
        <w:rPr>
          <w:lang w:val="en-US"/>
        </w:rPr>
        <w:t xml:space="preserve">be </w:t>
      </w:r>
      <w:r>
        <w:rPr>
          <w:lang w:val="en-US"/>
        </w:rPr>
        <w:t>un</w:t>
      </w:r>
      <w:r w:rsidR="006C09D6" w:rsidRPr="00526526">
        <w:rPr>
          <w:lang w:val="en-US"/>
        </w:rPr>
        <w:t xml:space="preserve">able to </w:t>
      </w:r>
      <w:r>
        <w:rPr>
          <w:lang w:val="en-US"/>
        </w:rPr>
        <w:t xml:space="preserve">utilise </w:t>
      </w:r>
      <w:r w:rsidR="006C09D6" w:rsidRPr="00526526">
        <w:rPr>
          <w:lang w:val="en-US"/>
        </w:rPr>
        <w:t xml:space="preserve">this capacity. </w:t>
      </w:r>
      <w:r w:rsidR="00C274B9">
        <w:rPr>
          <w:lang w:val="en-US"/>
        </w:rPr>
        <w:t>It does not therefore provide shippers at these points with a strong incentive to release capacity ahead of the auction.</w:t>
      </w:r>
    </w:p>
    <w:p w14:paraId="3A9A79FE" w14:textId="77777777" w:rsidR="006C09D6" w:rsidRPr="009D1221" w:rsidRDefault="00526526" w:rsidP="00526526">
      <w:pPr>
        <w:pStyle w:val="ListBullet"/>
        <w:numPr>
          <w:ilvl w:val="0"/>
          <w:numId w:val="0"/>
        </w:numPr>
        <w:ind w:left="357"/>
      </w:pPr>
      <w:r>
        <w:rPr>
          <w:lang w:val="en-US"/>
        </w:rPr>
        <w:t xml:space="preserve">This can be seen in the following example, which assumes that </w:t>
      </w:r>
      <w:r w:rsidR="004C6D62" w:rsidRPr="00526526">
        <w:rPr>
          <w:iCs/>
          <w:lang w:val="en-US"/>
        </w:rPr>
        <w:t>Origin</w:t>
      </w:r>
      <w:r>
        <w:rPr>
          <w:iCs/>
          <w:lang w:val="en-US"/>
        </w:rPr>
        <w:t>’s Quarantine power station and Engie’s Pelican Point power station are located at single user delivery points but are in the same delivery zone on the</w:t>
      </w:r>
      <w:r w:rsidR="008D3E5E">
        <w:rPr>
          <w:iCs/>
          <w:lang w:val="en-US"/>
        </w:rPr>
        <w:t xml:space="preserve"> </w:t>
      </w:r>
      <w:r w:rsidR="008D3E5E">
        <w:t>Moomba to Adelaide Pipeline System</w:t>
      </w:r>
      <w:r>
        <w:rPr>
          <w:iCs/>
          <w:lang w:val="en-US"/>
        </w:rPr>
        <w:t xml:space="preserve"> </w:t>
      </w:r>
      <w:r w:rsidR="008D3E5E">
        <w:rPr>
          <w:iCs/>
          <w:lang w:val="en-US"/>
        </w:rPr>
        <w:t>(</w:t>
      </w:r>
      <w:r>
        <w:rPr>
          <w:iCs/>
          <w:lang w:val="en-US"/>
        </w:rPr>
        <w:t>MAPS</w:t>
      </w:r>
      <w:r w:rsidR="008D3E5E">
        <w:rPr>
          <w:iCs/>
          <w:lang w:val="en-US"/>
        </w:rPr>
        <w:t>)</w:t>
      </w:r>
      <w:r>
        <w:rPr>
          <w:iCs/>
          <w:lang w:val="en-US"/>
        </w:rPr>
        <w:t xml:space="preserve">. In this example, Origin decides </w:t>
      </w:r>
      <w:r w:rsidR="006C09D6" w:rsidRPr="00526526">
        <w:rPr>
          <w:iCs/>
          <w:lang w:val="en-US"/>
        </w:rPr>
        <w:t xml:space="preserve">not </w:t>
      </w:r>
      <w:r>
        <w:rPr>
          <w:iCs/>
          <w:lang w:val="en-US"/>
        </w:rPr>
        <w:t xml:space="preserve">to </w:t>
      </w:r>
      <w:r w:rsidR="006C09D6" w:rsidRPr="00526526">
        <w:rPr>
          <w:iCs/>
          <w:lang w:val="en-US"/>
        </w:rPr>
        <w:t xml:space="preserve">nominate </w:t>
      </w:r>
      <w:r>
        <w:rPr>
          <w:iCs/>
          <w:lang w:val="en-US"/>
        </w:rPr>
        <w:t xml:space="preserve">to use </w:t>
      </w:r>
      <w:r w:rsidR="006C09D6" w:rsidRPr="00526526">
        <w:rPr>
          <w:iCs/>
          <w:lang w:val="en-US"/>
        </w:rPr>
        <w:t xml:space="preserve">all </w:t>
      </w:r>
      <w:r>
        <w:rPr>
          <w:iCs/>
          <w:lang w:val="en-US"/>
        </w:rPr>
        <w:t xml:space="preserve">of </w:t>
      </w:r>
      <w:r w:rsidR="006C09D6" w:rsidRPr="00526526">
        <w:rPr>
          <w:iCs/>
          <w:lang w:val="en-US"/>
        </w:rPr>
        <w:t xml:space="preserve">its </w:t>
      </w:r>
      <w:r>
        <w:rPr>
          <w:iCs/>
          <w:lang w:val="en-US"/>
        </w:rPr>
        <w:t xml:space="preserve">contracted </w:t>
      </w:r>
      <w:r w:rsidR="006C09D6" w:rsidRPr="00526526">
        <w:rPr>
          <w:iCs/>
          <w:lang w:val="en-US"/>
        </w:rPr>
        <w:t xml:space="preserve">capacity </w:t>
      </w:r>
      <w:r w:rsidR="004C6D62" w:rsidRPr="00526526">
        <w:rPr>
          <w:iCs/>
          <w:lang w:val="en-US"/>
        </w:rPr>
        <w:t xml:space="preserve">at Quarantine </w:t>
      </w:r>
      <w:r>
        <w:rPr>
          <w:iCs/>
          <w:lang w:val="en-US"/>
        </w:rPr>
        <w:t xml:space="preserve">and </w:t>
      </w:r>
      <w:r w:rsidR="006C09D6" w:rsidRPr="00526526">
        <w:rPr>
          <w:iCs/>
          <w:lang w:val="en-US"/>
        </w:rPr>
        <w:t xml:space="preserve">5 TJ </w:t>
      </w:r>
      <w:r>
        <w:rPr>
          <w:iCs/>
          <w:lang w:val="en-US"/>
        </w:rPr>
        <w:t xml:space="preserve">is </w:t>
      </w:r>
      <w:r w:rsidR="006C09D6" w:rsidRPr="00526526">
        <w:rPr>
          <w:iCs/>
          <w:lang w:val="en-US"/>
        </w:rPr>
        <w:t>released into the auction</w:t>
      </w:r>
      <w:r>
        <w:rPr>
          <w:iCs/>
          <w:lang w:val="en-US"/>
        </w:rPr>
        <w:t xml:space="preserve">, while Engie is using all of its contracted capacity but there is 10 TJ of unused capacity at its delivery point. </w:t>
      </w:r>
      <w:r w:rsidR="000F6354">
        <w:rPr>
          <w:iCs/>
          <w:lang w:val="en-US"/>
        </w:rPr>
        <w:t>Under the point-to-point approach</w:t>
      </w:r>
      <w:r>
        <w:rPr>
          <w:iCs/>
          <w:lang w:val="en-US"/>
        </w:rPr>
        <w:t xml:space="preserve">, </w:t>
      </w:r>
      <w:r w:rsidR="004C6D62" w:rsidRPr="00526526">
        <w:rPr>
          <w:iCs/>
          <w:lang w:val="en-US"/>
        </w:rPr>
        <w:t xml:space="preserve">Engie </w:t>
      </w:r>
      <w:r w:rsidR="006C09D6" w:rsidRPr="00526526">
        <w:rPr>
          <w:iCs/>
          <w:lang w:val="en-US"/>
        </w:rPr>
        <w:t xml:space="preserve">would be unable to use </w:t>
      </w:r>
      <w:r w:rsidR="004C6D62" w:rsidRPr="00526526">
        <w:rPr>
          <w:iCs/>
          <w:lang w:val="en-US"/>
        </w:rPr>
        <w:t xml:space="preserve">the </w:t>
      </w:r>
      <w:r>
        <w:rPr>
          <w:iCs/>
          <w:lang w:val="en-US"/>
        </w:rPr>
        <w:t xml:space="preserve">5 TJ of </w:t>
      </w:r>
      <w:r w:rsidR="006C09D6" w:rsidRPr="00526526">
        <w:rPr>
          <w:iCs/>
          <w:lang w:val="en-US"/>
        </w:rPr>
        <w:t xml:space="preserve">capacity </w:t>
      </w:r>
      <w:r>
        <w:rPr>
          <w:iCs/>
          <w:lang w:val="en-US"/>
        </w:rPr>
        <w:t xml:space="preserve">released </w:t>
      </w:r>
      <w:r w:rsidR="000F6354">
        <w:rPr>
          <w:iCs/>
          <w:lang w:val="en-US"/>
        </w:rPr>
        <w:t xml:space="preserve">in </w:t>
      </w:r>
      <w:r>
        <w:rPr>
          <w:iCs/>
          <w:lang w:val="en-US"/>
        </w:rPr>
        <w:t xml:space="preserve">the auction because there is no </w:t>
      </w:r>
      <w:r w:rsidR="006C09D6" w:rsidRPr="00526526">
        <w:rPr>
          <w:iCs/>
          <w:lang w:val="en-US"/>
        </w:rPr>
        <w:t xml:space="preserve">CBU capacity at its delivery point. </w:t>
      </w:r>
    </w:p>
    <w:p w14:paraId="5346DC6A" w14:textId="77777777" w:rsidR="00633B02" w:rsidRPr="00633B02" w:rsidRDefault="00633B02" w:rsidP="00633B02">
      <w:pPr>
        <w:pStyle w:val="ListBullet"/>
      </w:pPr>
      <w:r w:rsidRPr="00633B02">
        <w:rPr>
          <w:lang w:val="en-US"/>
        </w:rPr>
        <w:t>Under a</w:t>
      </w:r>
      <w:r w:rsidR="006C09D6" w:rsidRPr="00633B02">
        <w:rPr>
          <w:lang w:val="en-US"/>
        </w:rPr>
        <w:t xml:space="preserve"> pure zonal approach</w:t>
      </w:r>
      <w:r w:rsidRPr="00633B02">
        <w:rPr>
          <w:lang w:val="en-US"/>
        </w:rPr>
        <w:t xml:space="preserve">, </w:t>
      </w:r>
      <w:r>
        <w:rPr>
          <w:lang w:val="en-US"/>
        </w:rPr>
        <w:t xml:space="preserve">if there is </w:t>
      </w:r>
      <w:r w:rsidRPr="009D1221">
        <w:rPr>
          <w:lang w:val="en-US"/>
        </w:rPr>
        <w:t xml:space="preserve">CBU capacity at a zonal </w:t>
      </w:r>
      <w:r>
        <w:rPr>
          <w:lang w:val="en-US"/>
        </w:rPr>
        <w:t xml:space="preserve">and pipeline segment </w:t>
      </w:r>
      <w:r w:rsidRPr="009D1221">
        <w:rPr>
          <w:lang w:val="en-US"/>
        </w:rPr>
        <w:t xml:space="preserve">level and unused physical capacity at receipt and delivery points, the capacity released in the auction can still be used even though the CBU capacity at </w:t>
      </w:r>
      <w:r>
        <w:rPr>
          <w:lang w:val="en-US"/>
        </w:rPr>
        <w:t xml:space="preserve">individual </w:t>
      </w:r>
      <w:r w:rsidRPr="009D1221">
        <w:rPr>
          <w:lang w:val="en-US"/>
        </w:rPr>
        <w:t>points may be zero.</w:t>
      </w:r>
      <w:r>
        <w:rPr>
          <w:lang w:val="en-US"/>
        </w:rPr>
        <w:t xml:space="preserve"> </w:t>
      </w:r>
      <w:r w:rsidR="000F6354">
        <w:rPr>
          <w:lang w:val="en-US"/>
        </w:rPr>
        <w:t>This approach</w:t>
      </w:r>
      <w:r>
        <w:rPr>
          <w:lang w:val="en-US"/>
        </w:rPr>
        <w:t xml:space="preserve"> therefore overcomes the limitation of the pure point-to-point approach. There is, however, a risk under this approach that </w:t>
      </w:r>
      <w:r w:rsidR="00952E69">
        <w:rPr>
          <w:lang w:val="en-US"/>
        </w:rPr>
        <w:t>winning bidders</w:t>
      </w:r>
      <w:r w:rsidRPr="00633B02">
        <w:rPr>
          <w:lang w:val="en-US"/>
        </w:rPr>
        <w:t xml:space="preserve"> will not gain access to the receipt and delivery points they require</w:t>
      </w:r>
      <w:r>
        <w:rPr>
          <w:lang w:val="en-US"/>
        </w:rPr>
        <w:t xml:space="preserve"> and so will pay for capacity they may be unable to use</w:t>
      </w:r>
      <w:r w:rsidR="000F6354">
        <w:rPr>
          <w:lang w:val="en-US"/>
        </w:rPr>
        <w:t xml:space="preserve"> </w:t>
      </w:r>
      <w:r w:rsidR="000F6354" w:rsidRPr="00633B02">
        <w:rPr>
          <w:lang w:val="en-US"/>
        </w:rPr>
        <w:t>(i.e. because they will secure zonal capacity and then have to separately seek access to the receipt and delivery points)</w:t>
      </w:r>
      <w:r>
        <w:rPr>
          <w:lang w:val="en-US"/>
        </w:rPr>
        <w:t>.</w:t>
      </w:r>
    </w:p>
    <w:p w14:paraId="6082B1DC" w14:textId="77777777" w:rsidR="009D1221" w:rsidRPr="009D1221" w:rsidRDefault="004C6D62" w:rsidP="009D1221">
      <w:pPr>
        <w:pStyle w:val="BodyText"/>
      </w:pPr>
      <w:r>
        <w:rPr>
          <w:lang w:val="en-US"/>
        </w:rPr>
        <w:t xml:space="preserve">Given the limitations with both models, the GMRG and AEMO have worked together to develop a hybrid model </w:t>
      </w:r>
      <w:r w:rsidR="006C09D6">
        <w:rPr>
          <w:lang w:val="en-US"/>
        </w:rPr>
        <w:t xml:space="preserve">for the forward haul and compression auction services </w:t>
      </w:r>
      <w:r>
        <w:rPr>
          <w:lang w:val="en-US"/>
        </w:rPr>
        <w:t xml:space="preserve">that </w:t>
      </w:r>
      <w:r w:rsidR="009D1221" w:rsidRPr="009D1221">
        <w:rPr>
          <w:lang w:val="en-US"/>
        </w:rPr>
        <w:t>harness</w:t>
      </w:r>
      <w:r>
        <w:rPr>
          <w:lang w:val="en-US"/>
        </w:rPr>
        <w:t>es</w:t>
      </w:r>
      <w:r w:rsidR="009D1221" w:rsidRPr="009D1221">
        <w:rPr>
          <w:lang w:val="en-US"/>
        </w:rPr>
        <w:t xml:space="preserve"> the benefits of both options while also overcoming their limitations. </w:t>
      </w:r>
    </w:p>
    <w:p w14:paraId="10EE3F95" w14:textId="77777777" w:rsidR="004C6D62" w:rsidRPr="004C6D62" w:rsidRDefault="004C6D62" w:rsidP="004C6D62">
      <w:pPr>
        <w:pStyle w:val="BodyText"/>
      </w:pPr>
      <w:r w:rsidRPr="004C6D62">
        <w:rPr>
          <w:lang w:val="en-US"/>
        </w:rPr>
        <w:t>The hybrid model that has been developed will allow auction participants to bid for any unused capacity at individual receipt or delivery points, but their ability to secure capacity at those points will</w:t>
      </w:r>
      <w:r w:rsidR="00633B02">
        <w:rPr>
          <w:lang w:val="en-US"/>
        </w:rPr>
        <w:t>, in the case of a pipeline</w:t>
      </w:r>
      <w:r w:rsidR="00856AD6">
        <w:rPr>
          <w:lang w:val="en-US"/>
        </w:rPr>
        <w:t>,</w:t>
      </w:r>
      <w:r w:rsidRPr="004C6D62">
        <w:rPr>
          <w:lang w:val="en-US"/>
        </w:rPr>
        <w:t xml:space="preserve"> depend on whether there is sufficient: </w:t>
      </w:r>
    </w:p>
    <w:p w14:paraId="1F09F7DF" w14:textId="77777777" w:rsidR="006C09D6" w:rsidRPr="004C6D62" w:rsidRDefault="006C09D6" w:rsidP="004C6D62">
      <w:pPr>
        <w:pStyle w:val="ListBullet"/>
      </w:pPr>
      <w:r w:rsidRPr="004C6D62">
        <w:rPr>
          <w:lang w:val="en-US"/>
        </w:rPr>
        <w:t xml:space="preserve">CBU capacity available in the </w:t>
      </w:r>
      <w:r w:rsidR="004C6D62">
        <w:rPr>
          <w:lang w:val="en-US"/>
        </w:rPr>
        <w:t>r</w:t>
      </w:r>
      <w:r w:rsidRPr="004C6D62">
        <w:rPr>
          <w:lang w:val="en-US"/>
        </w:rPr>
        <w:t xml:space="preserve">eceipt </w:t>
      </w:r>
      <w:r w:rsidR="00526526">
        <w:rPr>
          <w:lang w:val="en-US"/>
        </w:rPr>
        <w:t>point z</w:t>
      </w:r>
      <w:r w:rsidRPr="004C6D62">
        <w:rPr>
          <w:lang w:val="en-US"/>
        </w:rPr>
        <w:t xml:space="preserve">one and </w:t>
      </w:r>
      <w:r w:rsidR="00526526">
        <w:rPr>
          <w:lang w:val="en-US"/>
        </w:rPr>
        <w:t>d</w:t>
      </w:r>
      <w:r w:rsidRPr="004C6D62">
        <w:rPr>
          <w:lang w:val="en-US"/>
        </w:rPr>
        <w:t xml:space="preserve">elivery </w:t>
      </w:r>
      <w:r w:rsidR="00526526">
        <w:rPr>
          <w:lang w:val="en-US"/>
        </w:rPr>
        <w:t>p</w:t>
      </w:r>
      <w:r w:rsidRPr="004C6D62">
        <w:rPr>
          <w:lang w:val="en-US"/>
        </w:rPr>
        <w:t xml:space="preserve">oint </w:t>
      </w:r>
      <w:r w:rsidR="00526526">
        <w:rPr>
          <w:lang w:val="en-US"/>
        </w:rPr>
        <w:t>z</w:t>
      </w:r>
      <w:r w:rsidRPr="004C6D62">
        <w:rPr>
          <w:lang w:val="en-US"/>
        </w:rPr>
        <w:t>one they wish to use; and</w:t>
      </w:r>
    </w:p>
    <w:p w14:paraId="5C76D717" w14:textId="77777777" w:rsidR="006C09D6" w:rsidRPr="004C6D62" w:rsidRDefault="006C09D6" w:rsidP="004C6D62">
      <w:pPr>
        <w:pStyle w:val="ListBullet"/>
      </w:pPr>
      <w:r w:rsidRPr="004C6D62">
        <w:rPr>
          <w:lang w:val="en-US"/>
        </w:rPr>
        <w:t xml:space="preserve">CBU capacity on the pipeline segments connecting the receipt point </w:t>
      </w:r>
      <w:r w:rsidR="00633B02">
        <w:rPr>
          <w:lang w:val="en-US"/>
        </w:rPr>
        <w:t xml:space="preserve">zone </w:t>
      </w:r>
      <w:r w:rsidRPr="004C6D62">
        <w:rPr>
          <w:lang w:val="en-US"/>
        </w:rPr>
        <w:t>and delivery point</w:t>
      </w:r>
      <w:r w:rsidR="00633B02">
        <w:rPr>
          <w:lang w:val="en-US"/>
        </w:rPr>
        <w:t xml:space="preserve"> zone</w:t>
      </w:r>
      <w:r w:rsidRPr="004C6D62">
        <w:rPr>
          <w:lang w:val="en-US"/>
        </w:rPr>
        <w:t>.</w:t>
      </w:r>
    </w:p>
    <w:p w14:paraId="56266638" w14:textId="77777777" w:rsidR="00633B02" w:rsidRDefault="004C6D62" w:rsidP="00633B02">
      <w:pPr>
        <w:pStyle w:val="BodyText"/>
        <w:rPr>
          <w:lang w:val="en-US"/>
        </w:rPr>
      </w:pPr>
      <w:r w:rsidRPr="004C6D62">
        <w:rPr>
          <w:lang w:val="en-US"/>
        </w:rPr>
        <w:lastRenderedPageBreak/>
        <w:t xml:space="preserve">In </w:t>
      </w:r>
      <w:r w:rsidR="00633B02">
        <w:rPr>
          <w:lang w:val="en-US"/>
        </w:rPr>
        <w:t xml:space="preserve">the case of a compression facility, the </w:t>
      </w:r>
      <w:r w:rsidR="00633B02" w:rsidRPr="004C6D62">
        <w:rPr>
          <w:lang w:val="en-US"/>
        </w:rPr>
        <w:t xml:space="preserve">ability to </w:t>
      </w:r>
      <w:r w:rsidR="00633B02">
        <w:rPr>
          <w:lang w:val="en-US"/>
        </w:rPr>
        <w:t xml:space="preserve">secure unused </w:t>
      </w:r>
      <w:r w:rsidR="00633B02" w:rsidRPr="004C6D62">
        <w:rPr>
          <w:lang w:val="en-US"/>
        </w:rPr>
        <w:t xml:space="preserve">capacity at </w:t>
      </w:r>
      <w:r w:rsidR="00633B02">
        <w:rPr>
          <w:lang w:val="en-US"/>
        </w:rPr>
        <w:t xml:space="preserve">a compression receipt point or compression delivery </w:t>
      </w:r>
      <w:r w:rsidR="00633B02" w:rsidRPr="004C6D62">
        <w:rPr>
          <w:lang w:val="en-US"/>
        </w:rPr>
        <w:t xml:space="preserve">point </w:t>
      </w:r>
      <w:r w:rsidR="00633B02">
        <w:rPr>
          <w:lang w:val="en-US"/>
        </w:rPr>
        <w:t xml:space="preserve">through the auction </w:t>
      </w:r>
      <w:r w:rsidR="00633B02" w:rsidRPr="004C6D62">
        <w:rPr>
          <w:lang w:val="en-US"/>
        </w:rPr>
        <w:t>will</w:t>
      </w:r>
      <w:r w:rsidR="00633B02">
        <w:rPr>
          <w:lang w:val="en-US"/>
        </w:rPr>
        <w:t xml:space="preserve"> </w:t>
      </w:r>
      <w:r w:rsidR="00633B02" w:rsidRPr="004C6D62">
        <w:rPr>
          <w:lang w:val="en-US"/>
        </w:rPr>
        <w:t>depend on whether there is sufficient</w:t>
      </w:r>
      <w:r w:rsidR="00633B02">
        <w:rPr>
          <w:lang w:val="en-US"/>
        </w:rPr>
        <w:t xml:space="preserve"> CBU capacity in the compression zone.</w:t>
      </w:r>
    </w:p>
    <w:p w14:paraId="1A2C5C85" w14:textId="77777777" w:rsidR="006C09D6" w:rsidRPr="00633B02" w:rsidRDefault="00633B02" w:rsidP="004F24B8">
      <w:pPr>
        <w:pStyle w:val="BodyText"/>
      </w:pPr>
      <w:r w:rsidRPr="00633B02">
        <w:rPr>
          <w:lang w:val="en-US"/>
        </w:rPr>
        <w:t>In contrast to the</w:t>
      </w:r>
      <w:r>
        <w:rPr>
          <w:lang w:val="en-US"/>
        </w:rPr>
        <w:t xml:space="preserve"> </w:t>
      </w:r>
      <w:r w:rsidR="006C09D6" w:rsidRPr="00633B02">
        <w:rPr>
          <w:lang w:val="en-US"/>
        </w:rPr>
        <w:t>pure point-to-point model, the hybrid model yields a more efficient allocation of capacity because</w:t>
      </w:r>
      <w:r w:rsidR="004F24B8">
        <w:rPr>
          <w:lang w:val="en-US"/>
        </w:rPr>
        <w:t>, in a similar manner to the capacity trading platform,</w:t>
      </w:r>
      <w:r w:rsidR="006C09D6" w:rsidRPr="00633B02">
        <w:rPr>
          <w:lang w:val="en-US"/>
        </w:rPr>
        <w:t xml:space="preserve"> it allows </w:t>
      </w:r>
      <w:r w:rsidR="004F24B8">
        <w:rPr>
          <w:lang w:val="en-US"/>
        </w:rPr>
        <w:t xml:space="preserve">CBU capacity from individual points to be moved to other points within the zone if there is unused capacity at those points and sufficient pipeline segment CBU.  The hybrid model also overcomes the delivery </w:t>
      </w:r>
      <w:r w:rsidR="006C09D6" w:rsidRPr="00633B02">
        <w:rPr>
          <w:lang w:val="en-US"/>
        </w:rPr>
        <w:t xml:space="preserve">risk </w:t>
      </w:r>
      <w:r w:rsidR="004F24B8">
        <w:rPr>
          <w:lang w:val="en-US"/>
        </w:rPr>
        <w:t xml:space="preserve">associated with the pure zonal model, </w:t>
      </w:r>
      <w:r w:rsidR="006C09D6" w:rsidRPr="00633B02">
        <w:rPr>
          <w:lang w:val="en-US"/>
        </w:rPr>
        <w:t xml:space="preserve">because when </w:t>
      </w:r>
      <w:r w:rsidR="00067F90">
        <w:rPr>
          <w:lang w:val="en-US"/>
        </w:rPr>
        <w:t xml:space="preserve">a shipper wins </w:t>
      </w:r>
      <w:r w:rsidR="006C09D6" w:rsidRPr="00633B02">
        <w:rPr>
          <w:lang w:val="en-US"/>
        </w:rPr>
        <w:t xml:space="preserve">capacity </w:t>
      </w:r>
      <w:r w:rsidR="00067F90">
        <w:rPr>
          <w:lang w:val="en-US"/>
        </w:rPr>
        <w:t xml:space="preserve">it </w:t>
      </w:r>
      <w:r w:rsidR="006C09D6" w:rsidRPr="00633B02">
        <w:rPr>
          <w:lang w:val="en-US"/>
        </w:rPr>
        <w:t>know</w:t>
      </w:r>
      <w:r w:rsidR="00067F90">
        <w:rPr>
          <w:lang w:val="en-US"/>
        </w:rPr>
        <w:t>s</w:t>
      </w:r>
      <w:r w:rsidR="006C09D6" w:rsidRPr="00633B02">
        <w:rPr>
          <w:lang w:val="en-US"/>
        </w:rPr>
        <w:t xml:space="preserve"> </w:t>
      </w:r>
      <w:r w:rsidR="00067F90">
        <w:rPr>
          <w:lang w:val="en-US"/>
        </w:rPr>
        <w:t xml:space="preserve">it has </w:t>
      </w:r>
      <w:r w:rsidR="006C09D6" w:rsidRPr="00633B02">
        <w:rPr>
          <w:lang w:val="en-US"/>
        </w:rPr>
        <w:t xml:space="preserve">secured capacity at the points </w:t>
      </w:r>
      <w:r w:rsidR="00067F90">
        <w:rPr>
          <w:lang w:val="en-US"/>
        </w:rPr>
        <w:t xml:space="preserve">it </w:t>
      </w:r>
      <w:r w:rsidR="006C09D6" w:rsidRPr="00633B02">
        <w:rPr>
          <w:lang w:val="en-US"/>
        </w:rPr>
        <w:t>require</w:t>
      </w:r>
      <w:r w:rsidR="00067F90">
        <w:rPr>
          <w:lang w:val="en-US"/>
        </w:rPr>
        <w:t>s</w:t>
      </w:r>
      <w:r w:rsidR="006C09D6" w:rsidRPr="00633B02">
        <w:rPr>
          <w:lang w:val="en-US"/>
        </w:rPr>
        <w:t>.</w:t>
      </w:r>
    </w:p>
    <w:p w14:paraId="32E61C8E" w14:textId="77777777" w:rsidR="00633B02" w:rsidRDefault="004F24B8" w:rsidP="00633B02">
      <w:pPr>
        <w:pStyle w:val="BodyText"/>
      </w:pPr>
      <w:r>
        <w:t xml:space="preserve">A simplified example of the way in which the hybrid model is intended to operate </w:t>
      </w:r>
      <w:r w:rsidR="006C09D6">
        <w:t xml:space="preserve">in relation to forward haul services </w:t>
      </w:r>
      <w:r>
        <w:t xml:space="preserve">is provided in </w:t>
      </w:r>
      <w:r>
        <w:fldChar w:fldCharType="begin"/>
      </w:r>
      <w:r>
        <w:instrText xml:space="preserve"> REF _Ref509127433 \h </w:instrText>
      </w:r>
      <w:r>
        <w:fldChar w:fldCharType="separate"/>
      </w:r>
      <w:r w:rsidR="00830BE4">
        <w:t xml:space="preserve">Box </w:t>
      </w:r>
      <w:r w:rsidR="00830BE4">
        <w:rPr>
          <w:noProof/>
        </w:rPr>
        <w:t>5</w:t>
      </w:r>
      <w:r w:rsidR="00830BE4">
        <w:t>.</w:t>
      </w:r>
      <w:r w:rsidR="00830BE4">
        <w:rPr>
          <w:noProof/>
        </w:rPr>
        <w:t>2</w:t>
      </w:r>
      <w:r>
        <w:fldChar w:fldCharType="end"/>
      </w:r>
      <w:r>
        <w:t>.</w:t>
      </w:r>
    </w:p>
    <w:tbl>
      <w:tblPr>
        <w:tblStyle w:val="PullOutBoxTable"/>
        <w:tblW w:w="5000" w:type="pct"/>
        <w:tblLook w:val="0600" w:firstRow="0" w:lastRow="0" w:firstColumn="0" w:lastColumn="0" w:noHBand="1" w:noVBand="1"/>
        <w:tblCaption w:val="Box 5.2: Hybrid model example"/>
        <w:tblDescription w:val="Image depicting hybrid model example"/>
      </w:tblPr>
      <w:tblGrid>
        <w:gridCol w:w="8789"/>
      </w:tblGrid>
      <w:tr w:rsidR="00001A9B" w14:paraId="1CB37473" w14:textId="77777777" w:rsidTr="00001A9B">
        <w:trPr>
          <w:tblHeader/>
        </w:trPr>
        <w:tc>
          <w:tcPr>
            <w:tcW w:w="5000" w:type="pct"/>
            <w:shd w:val="clear" w:color="auto" w:fill="auto"/>
          </w:tcPr>
          <w:p w14:paraId="1E64D105" w14:textId="7531ECDC" w:rsidR="00001A9B" w:rsidRPr="00001A9B" w:rsidRDefault="00001A9B" w:rsidP="00001A9B">
            <w:pPr>
              <w:pStyle w:val="PullOutBoxBodyText"/>
            </w:pPr>
            <w:bookmarkStart w:id="106" w:name="ReturnHere"/>
            <w:bookmarkStart w:id="107" w:name="_Ref509127433"/>
            <w:bookmarkEnd w:id="106"/>
            <w:r w:rsidRPr="00001A9B">
              <w:rPr>
                <w:b/>
              </w:rPr>
              <w:t xml:space="preserve">Box </w:t>
            </w:r>
            <w:r w:rsidRPr="00001A9B">
              <w:rPr>
                <w:b/>
              </w:rPr>
              <w:fldChar w:fldCharType="begin"/>
            </w:r>
            <w:r w:rsidRPr="00001A9B">
              <w:rPr>
                <w:b/>
              </w:rPr>
              <w:instrText xml:space="preserve"> STYLEREF 1 \s </w:instrText>
            </w:r>
            <w:r w:rsidRPr="00001A9B">
              <w:rPr>
                <w:b/>
              </w:rPr>
              <w:fldChar w:fldCharType="separate"/>
            </w:r>
            <w:r w:rsidRPr="00001A9B">
              <w:rPr>
                <w:b/>
                <w:noProof/>
              </w:rPr>
              <w:t>5</w:t>
            </w:r>
            <w:r w:rsidRPr="00001A9B">
              <w:rPr>
                <w:b/>
                <w:noProof/>
              </w:rPr>
              <w:fldChar w:fldCharType="end"/>
            </w:r>
            <w:r w:rsidRPr="00001A9B">
              <w:rPr>
                <w:b/>
              </w:rPr>
              <w:t>.</w:t>
            </w:r>
            <w:r w:rsidRPr="00001A9B">
              <w:rPr>
                <w:b/>
              </w:rPr>
              <w:fldChar w:fldCharType="begin"/>
            </w:r>
            <w:r w:rsidRPr="00001A9B">
              <w:rPr>
                <w:b/>
              </w:rPr>
              <w:instrText xml:space="preserve"> SEQ Box \* ARABIC \s 1 </w:instrText>
            </w:r>
            <w:r w:rsidRPr="00001A9B">
              <w:rPr>
                <w:b/>
              </w:rPr>
              <w:fldChar w:fldCharType="separate"/>
            </w:r>
            <w:r w:rsidRPr="00001A9B">
              <w:rPr>
                <w:b/>
                <w:noProof/>
              </w:rPr>
              <w:t>2</w:t>
            </w:r>
            <w:r w:rsidRPr="00001A9B">
              <w:rPr>
                <w:b/>
                <w:noProof/>
              </w:rPr>
              <w:fldChar w:fldCharType="end"/>
            </w:r>
            <w:bookmarkEnd w:id="107"/>
            <w:r w:rsidRPr="00001A9B">
              <w:rPr>
                <w:b/>
              </w:rPr>
              <w:t>: Hybrid model example</w:t>
            </w:r>
          </w:p>
        </w:tc>
      </w:tr>
      <w:tr w:rsidR="00001A9B" w14:paraId="03F947DA" w14:textId="77777777" w:rsidTr="004F24B8">
        <w:tc>
          <w:tcPr>
            <w:tcW w:w="5000" w:type="pct"/>
          </w:tcPr>
          <w:p w14:paraId="7457AFD6" w14:textId="77777777" w:rsidR="00001A9B" w:rsidRPr="004F24B8" w:rsidRDefault="00001A9B" w:rsidP="00001A9B">
            <w:pPr>
              <w:pStyle w:val="PullOutBoxBodyText"/>
              <w:spacing w:after="120"/>
              <w:rPr>
                <w:sz w:val="21"/>
                <w:szCs w:val="21"/>
              </w:rPr>
            </w:pPr>
            <w:r w:rsidRPr="004F24B8">
              <w:rPr>
                <w:sz w:val="21"/>
                <w:szCs w:val="21"/>
                <w:lang w:val="en-US"/>
              </w:rPr>
              <w:t>In this example:</w:t>
            </w:r>
          </w:p>
          <w:p w14:paraId="63018FD0" w14:textId="77777777" w:rsidR="00001A9B" w:rsidRPr="004F24B8" w:rsidRDefault="00001A9B" w:rsidP="005F5D2E">
            <w:pPr>
              <w:pStyle w:val="TableBullet1"/>
              <w:numPr>
                <w:ilvl w:val="0"/>
                <w:numId w:val="49"/>
              </w:numPr>
              <w:spacing w:before="120" w:after="120"/>
              <w:ind w:left="397"/>
              <w:rPr>
                <w:rFonts w:eastAsiaTheme="minorEastAsia"/>
                <w:sz w:val="21"/>
                <w:szCs w:val="21"/>
              </w:rPr>
            </w:pPr>
            <w:r w:rsidRPr="004F24B8">
              <w:rPr>
                <w:rFonts w:eastAsiaTheme="minorEastAsia"/>
                <w:sz w:val="21"/>
                <w:szCs w:val="21"/>
                <w:lang w:val="en-US"/>
              </w:rPr>
              <w:t>Beta does not use 7.5 TJ of its contracted capacity so 7.5 TJ of receipt point, delivery point and pipeline segment capacity is released into the auction; and</w:t>
            </w:r>
          </w:p>
          <w:p w14:paraId="75AB74CC" w14:textId="77777777" w:rsidR="00001A9B" w:rsidRDefault="00001A9B" w:rsidP="005F5D2E">
            <w:pPr>
              <w:pStyle w:val="TableBullet1"/>
              <w:numPr>
                <w:ilvl w:val="0"/>
                <w:numId w:val="49"/>
              </w:numPr>
              <w:spacing w:before="120" w:after="120"/>
              <w:ind w:left="397"/>
              <w:rPr>
                <w:noProof/>
              </w:rPr>
            </w:pPr>
            <w:r w:rsidRPr="004F24B8">
              <w:rPr>
                <w:rFonts w:eastAsiaTheme="minorEastAsia"/>
                <w:sz w:val="21"/>
                <w:szCs w:val="21"/>
                <w:lang w:val="en-US"/>
              </w:rPr>
              <w:t>Alpha wants to transport an addition</w:t>
            </w:r>
            <w:r>
              <w:rPr>
                <w:rFonts w:eastAsiaTheme="minorEastAsia"/>
                <w:sz w:val="21"/>
                <w:szCs w:val="21"/>
                <w:lang w:val="en-US"/>
              </w:rPr>
              <w:t>al</w:t>
            </w:r>
            <w:r w:rsidRPr="004F24B8">
              <w:rPr>
                <w:rFonts w:eastAsiaTheme="minorEastAsia"/>
                <w:sz w:val="21"/>
                <w:szCs w:val="21"/>
                <w:lang w:val="en-US"/>
              </w:rPr>
              <w:t xml:space="preserve"> 5 TJ of gas to its site, so puts in a bid for capacity at receipt point W1 and 5 TJ at its delivery point.</w:t>
            </w:r>
            <w:r>
              <w:rPr>
                <w:noProof/>
              </w:rPr>
              <w:t xml:space="preserve"> </w:t>
            </w:r>
          </w:p>
          <w:p w14:paraId="4DF70E21" w14:textId="4DACB783" w:rsidR="00001A9B" w:rsidRPr="004F24B8" w:rsidRDefault="00001A9B" w:rsidP="00001A9B">
            <w:pPr>
              <w:pStyle w:val="TableBullet1"/>
              <w:spacing w:before="120" w:after="120"/>
              <w:ind w:left="-170"/>
              <w:rPr>
                <w:rFonts w:eastAsiaTheme="minorEastAsia"/>
                <w:sz w:val="21"/>
                <w:szCs w:val="21"/>
              </w:rPr>
            </w:pPr>
            <w:r>
              <w:rPr>
                <w:noProof/>
              </w:rPr>
              <w:drawing>
                <wp:inline distT="0" distB="0" distL="0" distR="0" wp14:anchorId="6687626A" wp14:editId="72D774EA">
                  <wp:extent cx="5553075" cy="2590800"/>
                  <wp:effectExtent l="0" t="0" r="9525" b="0"/>
                  <wp:docPr id="5" name="Picture 5" descr="Image depicting hybrid model example" title="Hybrid model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57441" cy="2592837"/>
                          </a:xfrm>
                          <a:prstGeom prst="rect">
                            <a:avLst/>
                          </a:prstGeom>
                          <a:noFill/>
                        </pic:spPr>
                      </pic:pic>
                    </a:graphicData>
                  </a:graphic>
                </wp:inline>
              </w:drawing>
            </w:r>
          </w:p>
          <w:p w14:paraId="63F34AA4" w14:textId="77777777" w:rsidR="00001A9B" w:rsidRPr="004F24B8" w:rsidRDefault="00001A9B" w:rsidP="00001A9B">
            <w:pPr>
              <w:pStyle w:val="PullOutBoxBodyText"/>
              <w:spacing w:after="120"/>
              <w:rPr>
                <w:sz w:val="21"/>
                <w:szCs w:val="21"/>
              </w:rPr>
            </w:pPr>
            <w:r w:rsidRPr="004F24B8">
              <w:rPr>
                <w:sz w:val="21"/>
                <w:szCs w:val="21"/>
                <w:lang w:val="en-US"/>
              </w:rPr>
              <w:t xml:space="preserve">As the blue table </w:t>
            </w:r>
            <w:r>
              <w:rPr>
                <w:sz w:val="21"/>
                <w:szCs w:val="21"/>
                <w:lang w:val="en-US"/>
              </w:rPr>
              <w:t xml:space="preserve">at the bottom of the diagram </w:t>
            </w:r>
            <w:r w:rsidRPr="004F24B8">
              <w:rPr>
                <w:sz w:val="21"/>
                <w:szCs w:val="21"/>
                <w:lang w:val="en-US"/>
              </w:rPr>
              <w:t xml:space="preserve">shows, there is no CBU capacity at Alpha’s delivery point, so under a point-to-point approach it would not be able to procure capacity in the auction. </w:t>
            </w:r>
            <w:r>
              <w:rPr>
                <w:sz w:val="21"/>
                <w:szCs w:val="21"/>
                <w:lang w:val="en-US"/>
              </w:rPr>
              <w:t xml:space="preserve">However, </w:t>
            </w:r>
            <w:r w:rsidRPr="004F24B8">
              <w:rPr>
                <w:sz w:val="21"/>
                <w:szCs w:val="21"/>
                <w:lang w:val="en-US"/>
              </w:rPr>
              <w:t xml:space="preserve">under the hybrid model Alpha could win the capacity released by Beta, because there is: </w:t>
            </w:r>
          </w:p>
          <w:p w14:paraId="07835617" w14:textId="77777777" w:rsidR="00001A9B" w:rsidRPr="004F24B8" w:rsidRDefault="00001A9B" w:rsidP="005F5D2E">
            <w:pPr>
              <w:pStyle w:val="TableBullet1"/>
              <w:numPr>
                <w:ilvl w:val="0"/>
                <w:numId w:val="50"/>
              </w:numPr>
              <w:spacing w:before="120" w:after="120"/>
              <w:ind w:left="397"/>
              <w:rPr>
                <w:rFonts w:eastAsiaTheme="minorEastAsia"/>
                <w:sz w:val="21"/>
                <w:szCs w:val="21"/>
              </w:rPr>
            </w:pPr>
            <w:r w:rsidRPr="004F24B8">
              <w:rPr>
                <w:rFonts w:eastAsiaTheme="minorEastAsia"/>
                <w:sz w:val="21"/>
                <w:szCs w:val="21"/>
                <w:lang w:val="en-US"/>
              </w:rPr>
              <w:t>40 TJ of unused capacity at its delivery point</w:t>
            </w:r>
            <w:r>
              <w:rPr>
                <w:rFonts w:eastAsiaTheme="minorEastAsia"/>
                <w:sz w:val="21"/>
                <w:szCs w:val="21"/>
                <w:lang w:val="en-US"/>
              </w:rPr>
              <w:t xml:space="preserve"> (Alpha site)</w:t>
            </w:r>
            <w:r w:rsidRPr="004F24B8">
              <w:rPr>
                <w:rFonts w:eastAsiaTheme="minorEastAsia"/>
                <w:sz w:val="21"/>
                <w:szCs w:val="21"/>
                <w:lang w:val="en-US"/>
              </w:rPr>
              <w:t>;</w:t>
            </w:r>
          </w:p>
          <w:p w14:paraId="548A6D7F" w14:textId="77777777" w:rsidR="00001A9B" w:rsidRPr="004F24B8" w:rsidRDefault="00001A9B" w:rsidP="005F5D2E">
            <w:pPr>
              <w:pStyle w:val="TableBullet1"/>
              <w:numPr>
                <w:ilvl w:val="0"/>
                <w:numId w:val="50"/>
              </w:numPr>
              <w:spacing w:before="120" w:after="120"/>
              <w:ind w:left="397"/>
              <w:rPr>
                <w:rFonts w:eastAsiaTheme="minorEastAsia"/>
                <w:sz w:val="21"/>
                <w:szCs w:val="21"/>
              </w:rPr>
            </w:pPr>
            <w:r w:rsidRPr="004F24B8">
              <w:rPr>
                <w:rFonts w:eastAsiaTheme="minorEastAsia"/>
                <w:sz w:val="21"/>
                <w:szCs w:val="21"/>
                <w:lang w:val="en-US"/>
              </w:rPr>
              <w:t xml:space="preserve">7.5 TJ of zonal CBU capacity in Receipt Zone A and Delivery Zone A; and </w:t>
            </w:r>
          </w:p>
          <w:p w14:paraId="2E120291" w14:textId="5D97835E" w:rsidR="00001A9B" w:rsidRPr="004F24B8" w:rsidRDefault="00001A9B" w:rsidP="005F5D2E">
            <w:pPr>
              <w:pStyle w:val="PullOutBoxBodyText"/>
              <w:numPr>
                <w:ilvl w:val="0"/>
                <w:numId w:val="50"/>
              </w:numPr>
              <w:spacing w:after="120"/>
              <w:ind w:left="397"/>
              <w:rPr>
                <w:sz w:val="21"/>
                <w:szCs w:val="21"/>
                <w:lang w:val="en-US"/>
              </w:rPr>
            </w:pPr>
            <w:r w:rsidRPr="004F24B8">
              <w:rPr>
                <w:sz w:val="21"/>
                <w:szCs w:val="21"/>
                <w:lang w:val="en-US"/>
              </w:rPr>
              <w:t>7.5 TJ of pipeline segment CBU capacity.</w:t>
            </w:r>
          </w:p>
        </w:tc>
      </w:tr>
    </w:tbl>
    <w:p w14:paraId="778E2975" w14:textId="77777777" w:rsidR="00C274B9" w:rsidRDefault="000F6354" w:rsidP="00C274B9">
      <w:pPr>
        <w:pStyle w:val="BodyText"/>
      </w:pPr>
      <w:r>
        <w:t xml:space="preserve">Of the three options outlined above, the hybrid model </w:t>
      </w:r>
      <w:r w:rsidR="00C274B9">
        <w:t>is more consistent with:</w:t>
      </w:r>
    </w:p>
    <w:p w14:paraId="23D9647E" w14:textId="77777777" w:rsidR="00C274B9" w:rsidRPr="00C274B9" w:rsidRDefault="00C274B9" w:rsidP="00C274B9">
      <w:pPr>
        <w:pStyle w:val="ListBullet"/>
      </w:pPr>
      <w:r w:rsidRPr="00C274B9">
        <w:lastRenderedPageBreak/>
        <w:t xml:space="preserve">the objective of the capacity trading reforms, which were described by the AEMC as being to improve the efficiency with which transportation capacity is allocated and utilised and </w:t>
      </w:r>
      <w:r w:rsidR="00EC7F00">
        <w:t xml:space="preserve">to </w:t>
      </w:r>
      <w:r w:rsidRPr="00C274B9">
        <w:t>foster the development of a more liquid market for secondary capacity;</w:t>
      </w:r>
    </w:p>
    <w:p w14:paraId="65F0FA55" w14:textId="77777777" w:rsidR="00C274B9" w:rsidRPr="00B874F7" w:rsidRDefault="00C274B9" w:rsidP="00C274B9">
      <w:pPr>
        <w:pStyle w:val="ListBullet"/>
        <w:rPr>
          <w:iCs/>
        </w:rPr>
      </w:pPr>
      <w:r w:rsidRPr="00B874F7">
        <w:t xml:space="preserve">the </w:t>
      </w:r>
      <w:r w:rsidR="000F6354">
        <w:t>NGO</w:t>
      </w:r>
      <w:r w:rsidRPr="00B874F7">
        <w:t xml:space="preserve">, which is to </w:t>
      </w:r>
      <w:r w:rsidRPr="00B874F7">
        <w:rPr>
          <w:iCs/>
        </w:rPr>
        <w:t xml:space="preserve">promote efficient investment in, and efficient operation and use of, natural gas services for the </w:t>
      </w:r>
      <w:r w:rsidR="00837070" w:rsidRPr="00B874F7">
        <w:rPr>
          <w:iCs/>
        </w:rPr>
        <w:t>long-term</w:t>
      </w:r>
      <w:r w:rsidRPr="00B874F7">
        <w:rPr>
          <w:iCs/>
        </w:rPr>
        <w:t xml:space="preserve"> interests of consumers of natural gas with respect to price, quality, safety, reliability and security of supply of natural gas; and</w:t>
      </w:r>
    </w:p>
    <w:p w14:paraId="68C0706F" w14:textId="77777777" w:rsidR="00C274B9" w:rsidRDefault="00C274B9" w:rsidP="00C274B9">
      <w:pPr>
        <w:pStyle w:val="ListBullet"/>
        <w:rPr>
          <w:bCs/>
        </w:rPr>
      </w:pPr>
      <w:r w:rsidRPr="00C274B9">
        <w:t>the Energy Council’s Vision of the direction gas market development should take to meet the NGO</w:t>
      </w:r>
      <w:r w:rsidRPr="00C274B9">
        <w:rPr>
          <w:rStyle w:val="FootnoteReference"/>
          <w:bCs/>
        </w:rPr>
        <w:t xml:space="preserve"> </w:t>
      </w:r>
      <w:r w:rsidRPr="00C274B9">
        <w:rPr>
          <w:bCs/>
        </w:rPr>
        <w:t xml:space="preserve">and the </w:t>
      </w:r>
      <w:r w:rsidRPr="00C274B9">
        <w:t>outcomes the Energy Council a</w:t>
      </w:r>
      <w:r w:rsidRPr="002406DE">
        <w:t>greed to pursue in the next phase of gas market reform</w:t>
      </w:r>
      <w:r>
        <w:t>.</w:t>
      </w:r>
      <w:r w:rsidRPr="00C274B9">
        <w:rPr>
          <w:rStyle w:val="FootnoteReference"/>
          <w:bCs/>
          <w:sz w:val="19"/>
          <w:szCs w:val="19"/>
        </w:rPr>
        <w:t xml:space="preserve"> </w:t>
      </w:r>
      <w:r w:rsidRPr="00BF0784">
        <w:rPr>
          <w:rStyle w:val="FootnoteReference"/>
          <w:bCs/>
          <w:sz w:val="19"/>
          <w:szCs w:val="19"/>
        </w:rPr>
        <w:footnoteReference w:id="59"/>
      </w:r>
    </w:p>
    <w:p w14:paraId="39A63F32" w14:textId="77777777" w:rsidR="00C274B9" w:rsidRDefault="00C274B9" w:rsidP="00D14BBB">
      <w:pPr>
        <w:pStyle w:val="BodyText"/>
      </w:pPr>
      <w:r>
        <w:t xml:space="preserve">The GMRG is therefore proposing to </w:t>
      </w:r>
      <w:r w:rsidR="00067F90">
        <w:t xml:space="preserve">recommend </w:t>
      </w:r>
      <w:r>
        <w:t>this model for the forward haul and compression auction services. The GMRG is, however, interested in hearing stakeholders’ views on this mode</w:t>
      </w:r>
      <w:r w:rsidR="00EC7F00">
        <w:t>l</w:t>
      </w:r>
      <w:r>
        <w:t xml:space="preserve"> and has set out some specific questions it would like feedback on in the box below.</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5.3: Questions on the contract path specification"/>
        <w:tblDescription w:val="Questions on the contract path specification"/>
      </w:tblPr>
      <w:tblGrid>
        <w:gridCol w:w="8789"/>
      </w:tblGrid>
      <w:tr w:rsidR="00AB5ABC" w:rsidRPr="00F12295" w14:paraId="3FBE9135" w14:textId="77777777" w:rsidTr="00F8722C">
        <w:trPr>
          <w:tblHeader/>
        </w:trPr>
        <w:tc>
          <w:tcPr>
            <w:tcW w:w="5000" w:type="pct"/>
            <w:shd w:val="clear" w:color="auto" w:fill="auto"/>
          </w:tcPr>
          <w:p w14:paraId="36F0677A" w14:textId="340E9878" w:rsidR="00AB5ABC" w:rsidRPr="00F12295" w:rsidRDefault="00AB5ABC" w:rsidP="00AB5ABC">
            <w:pPr>
              <w:pStyle w:val="ListNumber"/>
              <w:numPr>
                <w:ilvl w:val="0"/>
                <w:numId w:val="0"/>
              </w:numPr>
              <w:tabs>
                <w:tab w:val="left" w:pos="720"/>
              </w:tabs>
              <w:rPr>
                <w:rFonts w:eastAsiaTheme="majorEastAsia"/>
              </w:rPr>
            </w:pPr>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5</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3</w:t>
            </w:r>
            <w:r w:rsidRPr="00667654">
              <w:rPr>
                <w:b/>
                <w:noProof/>
              </w:rPr>
              <w:fldChar w:fldCharType="end"/>
            </w:r>
            <w:r w:rsidRPr="00667654">
              <w:rPr>
                <w:b/>
              </w:rPr>
              <w:t xml:space="preserve">: </w:t>
            </w:r>
            <w:r w:rsidRPr="00667654">
              <w:rPr>
                <w:b/>
                <w:bCs/>
              </w:rPr>
              <w:t>Questions on the contract path specification</w:t>
            </w:r>
          </w:p>
        </w:tc>
      </w:tr>
      <w:tr w:rsidR="00AB5ABC" w:rsidRPr="00F12295" w14:paraId="669AC851" w14:textId="77777777" w:rsidTr="00667654">
        <w:tc>
          <w:tcPr>
            <w:tcW w:w="5000" w:type="pct"/>
            <w:shd w:val="clear" w:color="auto" w:fill="B7E7FF"/>
          </w:tcPr>
          <w:p w14:paraId="07E895D6" w14:textId="77777777" w:rsidR="00AB5ABC" w:rsidRPr="00F12295" w:rsidRDefault="00AB5ABC" w:rsidP="00AB5ABC">
            <w:pPr>
              <w:pStyle w:val="ListNumber"/>
              <w:numPr>
                <w:ilvl w:val="0"/>
                <w:numId w:val="29"/>
              </w:numPr>
              <w:tabs>
                <w:tab w:val="left" w:pos="720"/>
              </w:tabs>
              <w:ind w:left="357" w:hanging="357"/>
              <w:rPr>
                <w:rFonts w:eastAsiaTheme="majorEastAsia"/>
              </w:rPr>
            </w:pPr>
            <w:r w:rsidRPr="00F12295">
              <w:rPr>
                <w:rFonts w:eastAsiaTheme="majorEastAsia"/>
              </w:rPr>
              <w:t xml:space="preserve">Do you agree with the GMRG’s proposal to use the hybrid model for forward haul and compression services? If not, please explain why and in doing so: </w:t>
            </w:r>
          </w:p>
          <w:p w14:paraId="00C8F0C9" w14:textId="77777777" w:rsidR="00AB5ABC" w:rsidRDefault="00AB5ABC" w:rsidP="00F8722C">
            <w:pPr>
              <w:pStyle w:val="TableBullet2"/>
              <w:numPr>
                <w:ilvl w:val="1"/>
                <w:numId w:val="7"/>
              </w:numPr>
              <w:spacing w:before="120" w:after="120"/>
              <w:ind w:right="0"/>
              <w:rPr>
                <w:rFonts w:eastAsiaTheme="majorEastAsia"/>
                <w:sz w:val="22"/>
              </w:rPr>
            </w:pPr>
            <w:r w:rsidRPr="00F12295">
              <w:rPr>
                <w:rFonts w:eastAsiaTheme="majorEastAsia"/>
                <w:sz w:val="22"/>
              </w:rPr>
              <w:t xml:space="preserve">set out the approach you think should be employed; and </w:t>
            </w:r>
          </w:p>
          <w:p w14:paraId="18DCB865" w14:textId="575EBFAF" w:rsidR="00F8722C" w:rsidRPr="00F8722C" w:rsidRDefault="00AB5ABC" w:rsidP="00F8722C">
            <w:pPr>
              <w:pStyle w:val="TableBullet2"/>
              <w:numPr>
                <w:ilvl w:val="1"/>
                <w:numId w:val="7"/>
              </w:numPr>
              <w:spacing w:before="120" w:after="120"/>
              <w:ind w:right="0"/>
              <w:rPr>
                <w:rFonts w:eastAsiaTheme="majorEastAsia"/>
                <w:sz w:val="22"/>
              </w:rPr>
            </w:pPr>
            <w:r w:rsidRPr="00667654">
              <w:rPr>
                <w:rFonts w:eastAsiaTheme="majorEastAsia"/>
                <w:sz w:val="22"/>
              </w:rPr>
              <w:t>why you think this approach is more consistent with the objectives of the capacity trading reform package, the NGO and the Energy Council’s Vision.</w:t>
            </w:r>
          </w:p>
        </w:tc>
      </w:tr>
    </w:tbl>
    <w:p w14:paraId="35E7D33B" w14:textId="77777777" w:rsidR="00CA3160" w:rsidRPr="00CA3160" w:rsidRDefault="00CA3160" w:rsidP="00CA3160">
      <w:pPr>
        <w:pStyle w:val="BodyText"/>
        <w:keepNext/>
        <w:rPr>
          <w:b/>
          <w:color w:val="0099CC"/>
        </w:rPr>
      </w:pPr>
      <w:r>
        <w:rPr>
          <w:b/>
          <w:color w:val="0099CC"/>
        </w:rPr>
        <w:t>Back</w:t>
      </w:r>
      <w:r w:rsidRPr="00CA3160">
        <w:rPr>
          <w:b/>
          <w:color w:val="0099CC"/>
        </w:rPr>
        <w:t>haul auction services</w:t>
      </w:r>
    </w:p>
    <w:p w14:paraId="199F5F9E" w14:textId="77777777" w:rsidR="00D14BBB" w:rsidRDefault="00D14BBB" w:rsidP="00CA3160">
      <w:pPr>
        <w:pStyle w:val="BodyText"/>
      </w:pPr>
      <w:r w:rsidRPr="00D14BBB">
        <w:t>Auction backhaul services will be available on single direction pipelines (or parts of bi-directional pipelines that are single direction)</w:t>
      </w:r>
      <w:r>
        <w:t xml:space="preserve"> between the backhaul receipt and delivery points that AEMO determines should be included in the auction from time to time. </w:t>
      </w:r>
    </w:p>
    <w:p w14:paraId="1223FA6E" w14:textId="77777777" w:rsidR="00CA3160" w:rsidRDefault="00963237" w:rsidP="00CA3160">
      <w:pPr>
        <w:pStyle w:val="BodyText"/>
      </w:pPr>
      <w:r>
        <w:t>Like forward haul auction services, bids for backhaul auction services will be made on a point-to-point basis. However, i</w:t>
      </w:r>
      <w:r w:rsidR="006C09D6" w:rsidRPr="006C09D6">
        <w:t xml:space="preserve">n contrast to </w:t>
      </w:r>
      <w:r>
        <w:t xml:space="preserve">the </w:t>
      </w:r>
      <w:r w:rsidR="006C09D6" w:rsidRPr="006C09D6">
        <w:t xml:space="preserve">forward haul auction </w:t>
      </w:r>
      <w:r>
        <w:t>service</w:t>
      </w:r>
      <w:r w:rsidR="006C09D6" w:rsidRPr="006C09D6">
        <w:t xml:space="preserve">, which </w:t>
      </w:r>
      <w:r>
        <w:t>is</w:t>
      </w:r>
      <w:r w:rsidR="00CA3160">
        <w:t xml:space="preserve"> </w:t>
      </w:r>
      <w:r w:rsidR="006C09D6" w:rsidRPr="006C09D6">
        <w:t xml:space="preserve">supplied </w:t>
      </w:r>
      <w:r w:rsidR="006C09D6">
        <w:t xml:space="preserve">from </w:t>
      </w:r>
      <w:r w:rsidR="0035435B">
        <w:t>CBU capacity</w:t>
      </w:r>
      <w:r w:rsidR="006C09D6" w:rsidRPr="006C09D6">
        <w:t xml:space="preserve">, the backhaul auction </w:t>
      </w:r>
      <w:r>
        <w:t xml:space="preserve">service </w:t>
      </w:r>
      <w:r w:rsidR="006C09D6" w:rsidRPr="006C09D6">
        <w:t xml:space="preserve">will be allocated in a </w:t>
      </w:r>
      <w:r w:rsidR="006C09D6" w:rsidRPr="00963237">
        <w:rPr>
          <w:iCs/>
        </w:rPr>
        <w:t>static</w:t>
      </w:r>
      <w:r>
        <w:rPr>
          <w:rStyle w:val="FootnoteReference"/>
          <w:iCs/>
        </w:rPr>
        <w:footnoteReference w:id="60"/>
      </w:r>
      <w:r w:rsidR="006C09D6" w:rsidRPr="006C09D6">
        <w:t xml:space="preserve"> manner against the </w:t>
      </w:r>
      <w:r>
        <w:t xml:space="preserve">scheduled </w:t>
      </w:r>
      <w:r w:rsidR="0035435B">
        <w:t>net</w:t>
      </w:r>
      <w:r>
        <w:rPr>
          <w:rStyle w:val="FootnoteReference"/>
        </w:rPr>
        <w:footnoteReference w:id="61"/>
      </w:r>
      <w:r w:rsidR="0035435B">
        <w:t xml:space="preserve"> </w:t>
      </w:r>
      <w:r w:rsidR="006C09D6" w:rsidRPr="006C09D6">
        <w:t xml:space="preserve">forward haul </w:t>
      </w:r>
      <w:r>
        <w:t>firm</w:t>
      </w:r>
      <w:r>
        <w:rPr>
          <w:rStyle w:val="FootnoteReference"/>
        </w:rPr>
        <w:footnoteReference w:id="62"/>
      </w:r>
      <w:r>
        <w:t xml:space="preserve"> flow</w:t>
      </w:r>
      <w:r w:rsidR="006C09D6" w:rsidRPr="006C09D6">
        <w:t>.</w:t>
      </w:r>
      <w:r w:rsidR="0035435B">
        <w:t xml:space="preserve"> </w:t>
      </w:r>
      <w:r w:rsidR="00CA3160">
        <w:t xml:space="preserve">If there is </w:t>
      </w:r>
      <w:r>
        <w:t>sufficient net forward haul flow</w:t>
      </w:r>
      <w:r w:rsidR="00CA3160">
        <w:t xml:space="preserve"> between the points on the pipeline </w:t>
      </w:r>
      <w:r w:rsidR="00EC7F00">
        <w:t xml:space="preserve">through which </w:t>
      </w:r>
      <w:r w:rsidR="00CA3160">
        <w:t>the backhaul service is to be provided and, where relevant, unused capacity at the backhaul receipt and delivery points,</w:t>
      </w:r>
      <w:r w:rsidR="00CA3160">
        <w:rPr>
          <w:rStyle w:val="FootnoteReference"/>
        </w:rPr>
        <w:footnoteReference w:id="63"/>
      </w:r>
      <w:r w:rsidR="00CA3160">
        <w:t xml:space="preserve"> then the auction participant will be able </w:t>
      </w:r>
      <w:r w:rsidR="00EC7F00">
        <w:t xml:space="preserve">to </w:t>
      </w:r>
      <w:r w:rsidR="00CA3160">
        <w:t xml:space="preserve">bid for the service. Given the potential </w:t>
      </w:r>
      <w:r w:rsidR="00CA3160">
        <w:lastRenderedPageBreak/>
        <w:t xml:space="preserve">for the users of </w:t>
      </w:r>
      <w:r>
        <w:t xml:space="preserve">backhaul and forward haul auction services </w:t>
      </w:r>
      <w:r w:rsidR="00CA3160">
        <w:t xml:space="preserve">to compete for access at some points, backhaul auction services will be allocated at the same time as forward haul </w:t>
      </w:r>
      <w:r w:rsidR="00D14BBB">
        <w:t xml:space="preserve">auction </w:t>
      </w:r>
      <w:r w:rsidR="00CA3160">
        <w:t>services.</w:t>
      </w:r>
    </w:p>
    <w:p w14:paraId="094B1320" w14:textId="77777777" w:rsidR="00D14BBB" w:rsidRDefault="00D14BBB" w:rsidP="00CA3160">
      <w:pPr>
        <w:pStyle w:val="BodyText"/>
      </w:pPr>
      <w:r>
        <w:t>Through the consultation that the GMRG and AEMO have held with service providers, it has become clear that there are some additional complexities associated with backhaul services</w:t>
      </w:r>
      <w:r w:rsidR="00C274B9">
        <w:t xml:space="preserve"> and that it may not be feasible to offer backhaul services between every receipt and delivery point</w:t>
      </w:r>
      <w:r>
        <w:t xml:space="preserve">. </w:t>
      </w:r>
      <w:r w:rsidR="00C274B9">
        <w:t xml:space="preserve">The </w:t>
      </w:r>
      <w:r>
        <w:t xml:space="preserve">GMRG is </w:t>
      </w:r>
      <w:r w:rsidR="00C274B9">
        <w:t xml:space="preserve">therefore </w:t>
      </w:r>
      <w:r>
        <w:t xml:space="preserve">proposing </w:t>
      </w:r>
      <w:r w:rsidR="00067F90">
        <w:t xml:space="preserve">that </w:t>
      </w:r>
      <w:r>
        <w:t>AEMO determine the backhaul receipt and delivery points to be included in the auction from time to time.  The GMRG is, however, interested in obtaining feedback on this proposal and the more general approach to allocating backhaul services through the auction.</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5.4: Questions on backhaul auction services"/>
        <w:tblDescription w:val="Questions on backhaul auction services"/>
      </w:tblPr>
      <w:tblGrid>
        <w:gridCol w:w="8789"/>
      </w:tblGrid>
      <w:tr w:rsidR="00F8722C" w14:paraId="58189111" w14:textId="77777777" w:rsidTr="00F8722C">
        <w:trPr>
          <w:tblHeader/>
        </w:trPr>
        <w:tc>
          <w:tcPr>
            <w:tcW w:w="5000" w:type="pct"/>
            <w:shd w:val="clear" w:color="auto" w:fill="auto"/>
          </w:tcPr>
          <w:p w14:paraId="3823FFC9" w14:textId="79D6F867" w:rsidR="00F8722C" w:rsidRPr="00F12295" w:rsidRDefault="00F8722C" w:rsidP="00F8722C">
            <w:pPr>
              <w:pStyle w:val="ListNumber"/>
              <w:numPr>
                <w:ilvl w:val="0"/>
                <w:numId w:val="0"/>
              </w:numPr>
              <w:tabs>
                <w:tab w:val="left" w:pos="720"/>
              </w:tabs>
              <w:spacing w:before="0"/>
              <w:rPr>
                <w:rFonts w:eastAsiaTheme="majorEastAsia"/>
              </w:rPr>
            </w:pPr>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5</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4</w:t>
            </w:r>
            <w:r w:rsidRPr="00667654">
              <w:rPr>
                <w:b/>
                <w:noProof/>
              </w:rPr>
              <w:fldChar w:fldCharType="end"/>
            </w:r>
            <w:r w:rsidRPr="00667654">
              <w:rPr>
                <w:b/>
              </w:rPr>
              <w:t xml:space="preserve">: </w:t>
            </w:r>
            <w:r w:rsidRPr="00667654">
              <w:rPr>
                <w:b/>
                <w:bCs/>
              </w:rPr>
              <w:t>Questions on backhaul auction services</w:t>
            </w:r>
          </w:p>
        </w:tc>
      </w:tr>
      <w:tr w:rsidR="00F8722C" w14:paraId="0C6D3036" w14:textId="77777777" w:rsidTr="00667654">
        <w:tc>
          <w:tcPr>
            <w:tcW w:w="5000" w:type="pct"/>
            <w:shd w:val="clear" w:color="auto" w:fill="B7E7FF"/>
          </w:tcPr>
          <w:p w14:paraId="7AE041AC" w14:textId="77777777" w:rsidR="00F8722C" w:rsidRDefault="00F8722C" w:rsidP="00F8722C">
            <w:pPr>
              <w:pStyle w:val="ListNumber"/>
              <w:numPr>
                <w:ilvl w:val="0"/>
                <w:numId w:val="29"/>
              </w:numPr>
              <w:tabs>
                <w:tab w:val="left" w:pos="720"/>
              </w:tabs>
              <w:ind w:left="357" w:hanging="357"/>
              <w:rPr>
                <w:rFonts w:eastAsiaTheme="majorEastAsia"/>
              </w:rPr>
            </w:pPr>
            <w:r w:rsidRPr="00F12295">
              <w:rPr>
                <w:rFonts w:eastAsiaTheme="majorEastAsia"/>
              </w:rPr>
              <w:t>Do you agree with the proposal to allow AEMO to determine the backhaul receipt and delivery points to be included in the auction? If not, please explain why.</w:t>
            </w:r>
          </w:p>
          <w:p w14:paraId="39ABBC8D" w14:textId="084460EB" w:rsidR="00F8722C" w:rsidRPr="00F12295" w:rsidRDefault="00F8722C" w:rsidP="00F8722C">
            <w:pPr>
              <w:pStyle w:val="ListNumber"/>
              <w:numPr>
                <w:ilvl w:val="0"/>
                <w:numId w:val="29"/>
              </w:numPr>
              <w:tabs>
                <w:tab w:val="left" w:pos="720"/>
              </w:tabs>
              <w:ind w:left="357" w:hanging="357"/>
              <w:rPr>
                <w:rFonts w:eastAsiaTheme="majorEastAsia"/>
              </w:rPr>
            </w:pPr>
            <w:r w:rsidRPr="00667654">
              <w:rPr>
                <w:rFonts w:eastAsiaTheme="majorEastAsia"/>
              </w:rPr>
              <w:t>If AEMO is to determine the backhaul points to be included in the auction, do you think any principles need to be included in the NGR to guide this decision, or should it just be carried out by reference to the Part 25 objective and the NGO?</w:t>
            </w:r>
          </w:p>
        </w:tc>
      </w:tr>
    </w:tbl>
    <w:p w14:paraId="3540379D" w14:textId="77777777" w:rsidR="00110FC0" w:rsidRDefault="00110FC0" w:rsidP="00756C62">
      <w:pPr>
        <w:pStyle w:val="Heading3"/>
        <w:numPr>
          <w:ilvl w:val="2"/>
          <w:numId w:val="20"/>
        </w:numPr>
      </w:pPr>
      <w:r>
        <w:t>Methodology used to calculate auction quantity limits</w:t>
      </w:r>
      <w:r w:rsidR="00B6464C">
        <w:rPr>
          <w:rStyle w:val="FootnoteReference"/>
        </w:rPr>
        <w:footnoteReference w:id="64"/>
      </w:r>
      <w:r>
        <w:t xml:space="preserve"> </w:t>
      </w:r>
    </w:p>
    <w:p w14:paraId="7BA250A2" w14:textId="77777777" w:rsidR="003A3D22" w:rsidRDefault="0055731F" w:rsidP="003A3D22">
      <w:pPr>
        <w:pStyle w:val="BodyText"/>
      </w:pPr>
      <w:r>
        <w:t xml:space="preserve">At the time the </w:t>
      </w:r>
      <w:r w:rsidRPr="00032B04">
        <w:t>final recommendation</w:t>
      </w:r>
      <w:r>
        <w:t>s on the design of the day-ahead auction were made, it was unclear whether a point-to-point, zonal or hybrid contract path specification would be adopted</w:t>
      </w:r>
      <w:r w:rsidR="003A3D22">
        <w:t xml:space="preserve"> and if the approach would differ across pipelines</w:t>
      </w:r>
      <w:r>
        <w:t xml:space="preserve">. </w:t>
      </w:r>
      <w:r w:rsidR="003A3D22">
        <w:t>There was therefore some uncertainty as to how the auction quantity limits</w:t>
      </w:r>
      <w:r w:rsidRPr="00032B04">
        <w:t xml:space="preserve"> </w:t>
      </w:r>
      <w:r w:rsidR="003A3D22">
        <w:t>would be calculated</w:t>
      </w:r>
      <w:r w:rsidR="00B6464C">
        <w:t xml:space="preserve">. Given this uncertainty, the </w:t>
      </w:r>
      <w:r w:rsidR="00516D33">
        <w:t xml:space="preserve">final recommendations provided for service providers to </w:t>
      </w:r>
      <w:r w:rsidR="00002BA1">
        <w:t xml:space="preserve">develop </w:t>
      </w:r>
      <w:r w:rsidR="00516D33">
        <w:t xml:space="preserve">the methodology </w:t>
      </w:r>
      <w:r w:rsidR="00002BA1">
        <w:t xml:space="preserve">that would be </w:t>
      </w:r>
      <w:r w:rsidR="00516D33">
        <w:t>used to calculate the auction quantities</w:t>
      </w:r>
      <w:r w:rsidR="00B6464C">
        <w:t xml:space="preserve"> </w:t>
      </w:r>
      <w:r w:rsidR="00002BA1">
        <w:t xml:space="preserve">for their facility and to have this </w:t>
      </w:r>
      <w:r w:rsidR="00B6464C">
        <w:t>approved by AEMO</w:t>
      </w:r>
      <w:r w:rsidR="003A3D22">
        <w:t xml:space="preserve">. </w:t>
      </w:r>
      <w:r w:rsidR="00516D33">
        <w:t xml:space="preserve">The final recommendations also noted the </w:t>
      </w:r>
      <w:r w:rsidR="003A3D22">
        <w:t xml:space="preserve">need for further work to be carried out </w:t>
      </w:r>
      <w:r w:rsidR="00516D33">
        <w:t xml:space="preserve">on this issue </w:t>
      </w:r>
      <w:r w:rsidR="003A3D22">
        <w:t>in early 2018 in parallel with the work on the contract path specification.</w:t>
      </w:r>
      <w:r w:rsidR="003A3D22">
        <w:rPr>
          <w:rStyle w:val="FootnoteReference"/>
        </w:rPr>
        <w:footnoteReference w:id="65"/>
      </w:r>
      <w:r w:rsidR="003A3D22">
        <w:t xml:space="preserve"> </w:t>
      </w:r>
    </w:p>
    <w:p w14:paraId="1CFC4573" w14:textId="77777777" w:rsidR="00516D33" w:rsidRDefault="003A3D22" w:rsidP="00516D33">
      <w:pPr>
        <w:pStyle w:val="BodyText"/>
      </w:pPr>
      <w:r>
        <w:t xml:space="preserve">Through the work that has been carried out on the </w:t>
      </w:r>
      <w:r w:rsidR="00002BA1">
        <w:t xml:space="preserve">contract path specification, </w:t>
      </w:r>
      <w:r w:rsidR="00516D33">
        <w:t xml:space="preserve">it </w:t>
      </w:r>
      <w:r>
        <w:t>has become clear that</w:t>
      </w:r>
      <w:r w:rsidR="00516D33">
        <w:t xml:space="preserve"> </w:t>
      </w:r>
      <w:r w:rsidRPr="000A621D">
        <w:t>determining the auction quantity</w:t>
      </w:r>
      <w:r>
        <w:t xml:space="preserve"> limits</w:t>
      </w:r>
      <w:r w:rsidRPr="000A621D">
        <w:t xml:space="preserve"> </w:t>
      </w:r>
      <w:r w:rsidR="00002BA1">
        <w:t xml:space="preserve">will be quite mechanical </w:t>
      </w:r>
      <w:r w:rsidR="00516D33">
        <w:t>and t</w:t>
      </w:r>
      <w:r w:rsidRPr="000A621D">
        <w:t xml:space="preserve">here would be benefit in having a common and transparent process for </w:t>
      </w:r>
      <w:r w:rsidR="00516D33">
        <w:t xml:space="preserve">calculating auction quantity limits </w:t>
      </w:r>
      <w:r w:rsidRPr="000A621D">
        <w:t>to</w:t>
      </w:r>
      <w:r w:rsidR="00516D33">
        <w:t>:</w:t>
      </w:r>
      <w:r w:rsidRPr="000A621D">
        <w:t xml:space="preserve"> </w:t>
      </w:r>
    </w:p>
    <w:p w14:paraId="15010427" w14:textId="77777777" w:rsidR="00516D33" w:rsidRDefault="003A3D22" w:rsidP="00516D33">
      <w:pPr>
        <w:pStyle w:val="ListBullet"/>
      </w:pPr>
      <w:r w:rsidRPr="000A621D">
        <w:t xml:space="preserve">avoid </w:t>
      </w:r>
      <w:r w:rsidR="00516D33">
        <w:t xml:space="preserve">any </w:t>
      </w:r>
      <w:r w:rsidRPr="000A621D">
        <w:t xml:space="preserve">inconsistencies </w:t>
      </w:r>
      <w:r w:rsidR="00516D33">
        <w:t xml:space="preserve">in approach </w:t>
      </w:r>
      <w:r w:rsidRPr="000A621D">
        <w:t xml:space="preserve">across different </w:t>
      </w:r>
      <w:r w:rsidR="00516D33">
        <w:t>auction facilities;</w:t>
      </w:r>
    </w:p>
    <w:p w14:paraId="6309088F" w14:textId="77777777" w:rsidR="00516D33" w:rsidRDefault="00516D33" w:rsidP="00516D33">
      <w:pPr>
        <w:pStyle w:val="ListBullet"/>
        <w:rPr>
          <w:rFonts w:cs="Arial"/>
          <w:szCs w:val="18"/>
        </w:rPr>
      </w:pPr>
      <w:r w:rsidRPr="000A621D">
        <w:rPr>
          <w:rFonts w:cs="Arial"/>
          <w:szCs w:val="18"/>
        </w:rPr>
        <w:t xml:space="preserve">provide </w:t>
      </w:r>
      <w:r w:rsidR="00067F90">
        <w:rPr>
          <w:rFonts w:cs="Arial"/>
          <w:szCs w:val="18"/>
        </w:rPr>
        <w:t xml:space="preserve">auction facility operators </w:t>
      </w:r>
      <w:r w:rsidRPr="000A621D">
        <w:rPr>
          <w:rFonts w:cs="Arial"/>
          <w:szCs w:val="18"/>
        </w:rPr>
        <w:t>with more certainty regarding their obligations</w:t>
      </w:r>
      <w:r>
        <w:rPr>
          <w:rFonts w:cs="Arial"/>
          <w:szCs w:val="18"/>
        </w:rPr>
        <w:t>; and</w:t>
      </w:r>
    </w:p>
    <w:p w14:paraId="6C9A3F39" w14:textId="77777777" w:rsidR="00516D33" w:rsidRPr="00516D33" w:rsidRDefault="00516D33" w:rsidP="00516D33">
      <w:pPr>
        <w:pStyle w:val="ListBullet"/>
      </w:pPr>
      <w:r>
        <w:t xml:space="preserve">reduce the scope for gaming and </w:t>
      </w:r>
      <w:r>
        <w:rPr>
          <w:rFonts w:cs="Arial"/>
          <w:szCs w:val="18"/>
        </w:rPr>
        <w:t>enable compliance with the methodology to be more effectively monitored and enforced.</w:t>
      </w:r>
    </w:p>
    <w:p w14:paraId="74784F69" w14:textId="77777777" w:rsidR="009D3701" w:rsidRDefault="00516D33" w:rsidP="003A3D22">
      <w:pPr>
        <w:pStyle w:val="BodyText"/>
        <w:rPr>
          <w:rFonts w:cs="Arial"/>
          <w:szCs w:val="18"/>
        </w:rPr>
      </w:pPr>
      <w:r>
        <w:rPr>
          <w:rFonts w:cs="Arial"/>
          <w:szCs w:val="18"/>
        </w:rPr>
        <w:lastRenderedPageBreak/>
        <w:t xml:space="preserve">The GMRG is therefore proposing that the </w:t>
      </w:r>
      <w:r w:rsidR="00520C94">
        <w:rPr>
          <w:rFonts w:cs="Arial"/>
          <w:szCs w:val="18"/>
        </w:rPr>
        <w:t>methodology used to calculate the auction quantity limits be prescribed in the Auction Procedures</w:t>
      </w:r>
      <w:r w:rsidR="00002BA1">
        <w:rPr>
          <w:rFonts w:cs="Arial"/>
          <w:szCs w:val="18"/>
        </w:rPr>
        <w:t xml:space="preserve"> that AEMO will be required to prepare</w:t>
      </w:r>
      <w:r w:rsidR="00A32ACA">
        <w:rPr>
          <w:rFonts w:cs="Arial"/>
          <w:szCs w:val="18"/>
        </w:rPr>
        <w:t>. The Auction P</w:t>
      </w:r>
      <w:r w:rsidR="00520C94">
        <w:rPr>
          <w:rFonts w:cs="Arial"/>
          <w:szCs w:val="18"/>
        </w:rPr>
        <w:t xml:space="preserve">rocedures </w:t>
      </w:r>
      <w:r w:rsidR="00A32ACA">
        <w:rPr>
          <w:rFonts w:cs="Arial"/>
          <w:szCs w:val="18"/>
        </w:rPr>
        <w:t xml:space="preserve">will </w:t>
      </w:r>
      <w:r w:rsidR="00520C94">
        <w:rPr>
          <w:rFonts w:cs="Arial"/>
          <w:szCs w:val="18"/>
        </w:rPr>
        <w:t xml:space="preserve">also set out the information that </w:t>
      </w:r>
      <w:r w:rsidR="00067F90">
        <w:rPr>
          <w:rFonts w:cs="Arial"/>
          <w:szCs w:val="18"/>
        </w:rPr>
        <w:t xml:space="preserve">auction facility operators </w:t>
      </w:r>
      <w:r w:rsidR="00520C94">
        <w:rPr>
          <w:rFonts w:cs="Arial"/>
          <w:szCs w:val="18"/>
        </w:rPr>
        <w:t xml:space="preserve">will be required to provide </w:t>
      </w:r>
      <w:r w:rsidR="00CD5FA7">
        <w:rPr>
          <w:rFonts w:cs="Arial"/>
          <w:szCs w:val="18"/>
        </w:rPr>
        <w:t xml:space="preserve">to </w:t>
      </w:r>
      <w:r w:rsidR="00520C94">
        <w:rPr>
          <w:rFonts w:cs="Arial"/>
          <w:szCs w:val="18"/>
        </w:rPr>
        <w:t>AEMO each day to enable the auction quantity limits to be calculated. When developing the methodology, AEMO will be required to give effect to the auction quantity principles specified in the NGR</w:t>
      </w:r>
      <w:r w:rsidR="00A32ACA">
        <w:rPr>
          <w:rFonts w:cs="Arial"/>
          <w:szCs w:val="18"/>
        </w:rPr>
        <w:t xml:space="preserve">. </w:t>
      </w:r>
      <w:r w:rsidR="009D3701">
        <w:rPr>
          <w:rFonts w:cs="Arial"/>
          <w:szCs w:val="18"/>
        </w:rPr>
        <w:t>T</w:t>
      </w:r>
      <w:r w:rsidR="00A32ACA">
        <w:rPr>
          <w:rFonts w:cs="Arial"/>
          <w:szCs w:val="18"/>
        </w:rPr>
        <w:t>hese principles</w:t>
      </w:r>
      <w:r w:rsidR="009D3701">
        <w:rPr>
          <w:rFonts w:cs="Arial"/>
          <w:szCs w:val="18"/>
        </w:rPr>
        <w:t xml:space="preserve"> will</w:t>
      </w:r>
      <w:r w:rsidR="00002BA1">
        <w:rPr>
          <w:rFonts w:cs="Arial"/>
          <w:szCs w:val="18"/>
        </w:rPr>
        <w:t xml:space="preserve"> </w:t>
      </w:r>
      <w:r w:rsidR="00A32ACA">
        <w:rPr>
          <w:rFonts w:cs="Arial"/>
          <w:szCs w:val="18"/>
        </w:rPr>
        <w:t>provide for the implementation of</w:t>
      </w:r>
      <w:r w:rsidR="009D3701">
        <w:rPr>
          <w:rFonts w:cs="Arial"/>
          <w:szCs w:val="18"/>
        </w:rPr>
        <w:t>:</w:t>
      </w:r>
      <w:r w:rsidR="00A32ACA">
        <w:rPr>
          <w:rFonts w:cs="Arial"/>
          <w:szCs w:val="18"/>
        </w:rPr>
        <w:t xml:space="preserve"> </w:t>
      </w:r>
    </w:p>
    <w:p w14:paraId="468B69F4" w14:textId="77777777" w:rsidR="009D3701" w:rsidRDefault="00520C94" w:rsidP="009D3701">
      <w:pPr>
        <w:pStyle w:val="ListBullet"/>
      </w:pPr>
      <w:r w:rsidRPr="00436621">
        <w:t>the hybrid model for forward haul and compression auction services</w:t>
      </w:r>
      <w:r w:rsidR="009D3701">
        <w:t xml:space="preserve"> by requiring:</w:t>
      </w:r>
    </w:p>
    <w:p w14:paraId="6D6C8463" w14:textId="77777777" w:rsidR="009D3701" w:rsidRDefault="009D3701" w:rsidP="00FF6A77">
      <w:pPr>
        <w:pStyle w:val="ListBullet2"/>
      </w:pPr>
      <w:r>
        <w:t xml:space="preserve">the </w:t>
      </w:r>
      <w:r w:rsidR="00FF6A77">
        <w:t xml:space="preserve">following </w:t>
      </w:r>
      <w:r>
        <w:t>auction quantity limits to be calculated for each pipeline</w:t>
      </w:r>
      <w:r w:rsidR="00FF6A77">
        <w:t xml:space="preserve"> each day</w:t>
      </w:r>
      <w:r>
        <w:t xml:space="preserve">: </w:t>
      </w:r>
    </w:p>
    <w:p w14:paraId="771FC67E" w14:textId="77777777" w:rsidR="009D3701" w:rsidRDefault="009D3701" w:rsidP="003F5961">
      <w:pPr>
        <w:pStyle w:val="BodyText"/>
        <w:numPr>
          <w:ilvl w:val="0"/>
          <w:numId w:val="37"/>
        </w:numPr>
        <w:spacing w:before="120"/>
        <w:rPr>
          <w:szCs w:val="18"/>
        </w:rPr>
      </w:pPr>
      <w:r>
        <w:rPr>
          <w:szCs w:val="18"/>
        </w:rPr>
        <w:t>the unused capacity at each receipt and delivery point</w:t>
      </w:r>
      <w:r w:rsidR="00002BA1">
        <w:rPr>
          <w:szCs w:val="18"/>
        </w:rPr>
        <w:t>, which is calculated as the physical capacity at each point less scheduled firm flows to each point</w:t>
      </w:r>
      <w:r>
        <w:rPr>
          <w:szCs w:val="18"/>
        </w:rPr>
        <w:t>;</w:t>
      </w:r>
    </w:p>
    <w:p w14:paraId="190ECBC8" w14:textId="77777777" w:rsidR="009D3701" w:rsidRDefault="009D3701" w:rsidP="003F5961">
      <w:pPr>
        <w:pStyle w:val="BodyText"/>
        <w:numPr>
          <w:ilvl w:val="0"/>
          <w:numId w:val="37"/>
        </w:numPr>
        <w:spacing w:before="120"/>
        <w:rPr>
          <w:szCs w:val="18"/>
        </w:rPr>
      </w:pPr>
      <w:r>
        <w:rPr>
          <w:szCs w:val="18"/>
        </w:rPr>
        <w:t>the pipeline zone forward haul limit</w:t>
      </w:r>
      <w:r w:rsidR="00002BA1">
        <w:rPr>
          <w:szCs w:val="18"/>
        </w:rPr>
        <w:t>, which is calculated as the sum of the CBU capacity at each point in the zone</w:t>
      </w:r>
      <w:r>
        <w:rPr>
          <w:szCs w:val="18"/>
        </w:rPr>
        <w:t>;</w:t>
      </w:r>
      <w:r w:rsidR="00520C94" w:rsidRPr="00436621">
        <w:rPr>
          <w:szCs w:val="18"/>
        </w:rPr>
        <w:t xml:space="preserve"> and </w:t>
      </w:r>
    </w:p>
    <w:p w14:paraId="67AC82CF" w14:textId="77777777" w:rsidR="009D3701" w:rsidRDefault="009D3701" w:rsidP="003F5961">
      <w:pPr>
        <w:pStyle w:val="BodyText"/>
        <w:numPr>
          <w:ilvl w:val="0"/>
          <w:numId w:val="37"/>
        </w:numPr>
        <w:spacing w:before="120"/>
        <w:rPr>
          <w:szCs w:val="18"/>
        </w:rPr>
      </w:pPr>
      <w:r>
        <w:rPr>
          <w:szCs w:val="18"/>
        </w:rPr>
        <w:t>the pipeline segment forward haul limit</w:t>
      </w:r>
      <w:r w:rsidR="00002BA1">
        <w:rPr>
          <w:szCs w:val="18"/>
        </w:rPr>
        <w:t>, which is the CBU capacity in the pipeline segment connecting two zones</w:t>
      </w:r>
      <w:r w:rsidR="00CD5FA7">
        <w:rPr>
          <w:szCs w:val="18"/>
        </w:rPr>
        <w:t>;</w:t>
      </w:r>
    </w:p>
    <w:p w14:paraId="60232028" w14:textId="77777777" w:rsidR="00FF6A77" w:rsidRDefault="00FF6A77" w:rsidP="00FF6A77">
      <w:pPr>
        <w:pStyle w:val="ListBullet2"/>
      </w:pPr>
      <w:r>
        <w:t xml:space="preserve">the following auction quantity limits to be calculated for each compression facility each day: </w:t>
      </w:r>
    </w:p>
    <w:p w14:paraId="3E957A05" w14:textId="77777777" w:rsidR="009D3701" w:rsidRDefault="009D3701" w:rsidP="003F5961">
      <w:pPr>
        <w:pStyle w:val="BodyText"/>
        <w:numPr>
          <w:ilvl w:val="0"/>
          <w:numId w:val="37"/>
        </w:numPr>
        <w:spacing w:before="120"/>
        <w:rPr>
          <w:szCs w:val="18"/>
        </w:rPr>
      </w:pPr>
      <w:r>
        <w:rPr>
          <w:szCs w:val="18"/>
        </w:rPr>
        <w:t xml:space="preserve">the unused capacity at each </w:t>
      </w:r>
      <w:r w:rsidR="00FF6A77">
        <w:rPr>
          <w:szCs w:val="18"/>
        </w:rPr>
        <w:t xml:space="preserve">compression </w:t>
      </w:r>
      <w:r>
        <w:rPr>
          <w:szCs w:val="18"/>
        </w:rPr>
        <w:t>receipt and delivery point;</w:t>
      </w:r>
      <w:r w:rsidR="00FF6A77">
        <w:rPr>
          <w:szCs w:val="18"/>
        </w:rPr>
        <w:t xml:space="preserve"> and</w:t>
      </w:r>
    </w:p>
    <w:p w14:paraId="0776E358" w14:textId="77777777" w:rsidR="009D3701" w:rsidRDefault="009D3701" w:rsidP="003F5961">
      <w:pPr>
        <w:pStyle w:val="BodyText"/>
        <w:numPr>
          <w:ilvl w:val="0"/>
          <w:numId w:val="37"/>
        </w:numPr>
        <w:spacing w:before="120"/>
        <w:rPr>
          <w:szCs w:val="18"/>
        </w:rPr>
      </w:pPr>
      <w:r>
        <w:rPr>
          <w:szCs w:val="18"/>
        </w:rPr>
        <w:t xml:space="preserve">the </w:t>
      </w:r>
      <w:r w:rsidR="00FF6A77">
        <w:rPr>
          <w:szCs w:val="18"/>
        </w:rPr>
        <w:t xml:space="preserve">compression </w:t>
      </w:r>
      <w:r>
        <w:rPr>
          <w:szCs w:val="18"/>
        </w:rPr>
        <w:t>zone limit;</w:t>
      </w:r>
      <w:r w:rsidRPr="00436621">
        <w:rPr>
          <w:szCs w:val="18"/>
        </w:rPr>
        <w:t xml:space="preserve"> and </w:t>
      </w:r>
    </w:p>
    <w:p w14:paraId="76FC4C0E" w14:textId="77777777" w:rsidR="00FF6A77" w:rsidRPr="00002BA1" w:rsidRDefault="00FF6A77" w:rsidP="0087212A">
      <w:pPr>
        <w:pStyle w:val="ListBullet"/>
        <w:rPr>
          <w:rFonts w:ascii="Times New Roman" w:hAnsi="Times New Roman"/>
        </w:rPr>
      </w:pPr>
      <w:r w:rsidRPr="00436621">
        <w:t xml:space="preserve">the </w:t>
      </w:r>
      <w:r>
        <w:t>static backhaul model</w:t>
      </w:r>
      <w:r w:rsidRPr="00FF6A77">
        <w:rPr>
          <w:szCs w:val="18"/>
        </w:rPr>
        <w:t xml:space="preserve">, by requiring the </w:t>
      </w:r>
      <w:r>
        <w:t>backhaul auction quantity limit to be a measure of the maximum quantity of backhaul service it is feasible to provide on the gas day, which will be limited by the scheduled quantity of firm net forward haul flows.</w:t>
      </w:r>
    </w:p>
    <w:p w14:paraId="47FEB1EB" w14:textId="77777777" w:rsidR="00002BA1" w:rsidRPr="00002BA1" w:rsidRDefault="00002BA1" w:rsidP="00002BA1">
      <w:pPr>
        <w:pStyle w:val="BodyText"/>
      </w:pPr>
      <w:r w:rsidRPr="00002BA1">
        <w:t>The principles will also recognise that if the operational capacity of individual receipt or delivery points is lower than the physical capacity, or the operational capacity of the pipeline/</w:t>
      </w:r>
      <w:r w:rsidR="00CD5FA7" w:rsidRPr="00002BA1">
        <w:t>compress</w:t>
      </w:r>
      <w:r w:rsidR="00CD5FA7">
        <w:t>ion facility</w:t>
      </w:r>
      <w:r w:rsidR="00CD5FA7" w:rsidRPr="00002BA1">
        <w:t xml:space="preserve"> </w:t>
      </w:r>
      <w:r w:rsidRPr="00002BA1">
        <w:t>is lower than the CBU capacity, then the limits will be capped by the operational capacity.</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5.5: Questions on the methodology used to calculate auction quantity limits"/>
        <w:tblDescription w:val="Box 5.5: Questions on the methodology used to calculate auction quantity limits"/>
      </w:tblPr>
      <w:tblGrid>
        <w:gridCol w:w="8789"/>
      </w:tblGrid>
      <w:tr w:rsidR="00F8722C" w14:paraId="3F9D4211" w14:textId="77777777" w:rsidTr="00F8722C">
        <w:trPr>
          <w:tblHeader/>
        </w:trPr>
        <w:tc>
          <w:tcPr>
            <w:tcW w:w="5000" w:type="pct"/>
            <w:shd w:val="clear" w:color="auto" w:fill="auto"/>
          </w:tcPr>
          <w:p w14:paraId="496194FB" w14:textId="31AABE28" w:rsidR="00F8722C" w:rsidRPr="00C75630" w:rsidRDefault="00F8722C" w:rsidP="00F8722C">
            <w:pPr>
              <w:pStyle w:val="ListNumber"/>
              <w:numPr>
                <w:ilvl w:val="0"/>
                <w:numId w:val="0"/>
              </w:numPr>
              <w:tabs>
                <w:tab w:val="left" w:pos="720"/>
              </w:tabs>
              <w:spacing w:before="0"/>
              <w:rPr>
                <w:rFonts w:eastAsiaTheme="majorEastAsia"/>
              </w:rPr>
            </w:pPr>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5</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5</w:t>
            </w:r>
            <w:r w:rsidRPr="00667654">
              <w:rPr>
                <w:b/>
                <w:noProof/>
              </w:rPr>
              <w:fldChar w:fldCharType="end"/>
            </w:r>
            <w:r w:rsidRPr="00667654">
              <w:rPr>
                <w:b/>
              </w:rPr>
              <w:t xml:space="preserve">: </w:t>
            </w:r>
            <w:r w:rsidRPr="00667654">
              <w:rPr>
                <w:b/>
                <w:bCs/>
              </w:rPr>
              <w:t>Questions on the methodology used to calculate auction quantity limits</w:t>
            </w:r>
          </w:p>
        </w:tc>
      </w:tr>
      <w:tr w:rsidR="00F8722C" w14:paraId="29B450C4" w14:textId="77777777" w:rsidTr="00667654">
        <w:tc>
          <w:tcPr>
            <w:tcW w:w="5000" w:type="pct"/>
            <w:shd w:val="clear" w:color="auto" w:fill="B7E7FF"/>
          </w:tcPr>
          <w:p w14:paraId="489517A8" w14:textId="77777777" w:rsidR="00F8722C" w:rsidRDefault="00F8722C" w:rsidP="00F8722C">
            <w:pPr>
              <w:pStyle w:val="ListNumber"/>
              <w:numPr>
                <w:ilvl w:val="0"/>
                <w:numId w:val="29"/>
              </w:numPr>
              <w:tabs>
                <w:tab w:val="left" w:pos="720"/>
              </w:tabs>
              <w:ind w:left="357" w:hanging="357"/>
              <w:rPr>
                <w:rFonts w:eastAsiaTheme="majorEastAsia"/>
              </w:rPr>
            </w:pPr>
            <w:r w:rsidRPr="00C75630">
              <w:rPr>
                <w:rFonts w:eastAsiaTheme="majorEastAsia"/>
              </w:rPr>
              <w:t>Do you agree with the proposal to require the methodology to be used to calculate the auction quantity limits to be specified in the A</w:t>
            </w:r>
            <w:r>
              <w:rPr>
                <w:rFonts w:eastAsiaTheme="majorEastAsia"/>
              </w:rPr>
              <w:t>uction Procedures? If not, why?</w:t>
            </w:r>
          </w:p>
          <w:p w14:paraId="78211F22" w14:textId="1AB9574F" w:rsidR="00F8722C" w:rsidRPr="00C75630" w:rsidRDefault="00F8722C" w:rsidP="00F8722C">
            <w:pPr>
              <w:pStyle w:val="ListNumber"/>
              <w:numPr>
                <w:ilvl w:val="0"/>
                <w:numId w:val="29"/>
              </w:numPr>
              <w:tabs>
                <w:tab w:val="left" w:pos="720"/>
              </w:tabs>
              <w:spacing w:after="0"/>
              <w:ind w:left="357" w:hanging="357"/>
              <w:rPr>
                <w:rFonts w:eastAsiaTheme="majorEastAsia"/>
              </w:rPr>
            </w:pPr>
            <w:r w:rsidRPr="00667654">
              <w:rPr>
                <w:rFonts w:eastAsiaTheme="majorEastAsia"/>
              </w:rPr>
              <w:t>Do you think any additional principles need to be included in the NGR to guide AEMO’s development of this methodology? If so, please specify the principles and why you think they are required.</w:t>
            </w:r>
          </w:p>
        </w:tc>
      </w:tr>
    </w:tbl>
    <w:p w14:paraId="66E00E75" w14:textId="77777777" w:rsidR="00093D9A" w:rsidRDefault="00093D9A" w:rsidP="00756C62">
      <w:pPr>
        <w:pStyle w:val="Heading3"/>
        <w:numPr>
          <w:ilvl w:val="2"/>
          <w:numId w:val="20"/>
        </w:numPr>
      </w:pPr>
      <w:r>
        <w:t>Other matters</w:t>
      </w:r>
    </w:p>
    <w:p w14:paraId="3C979B69" w14:textId="77777777" w:rsidR="00C830BE" w:rsidRDefault="00C830BE" w:rsidP="00C830BE">
      <w:pPr>
        <w:pStyle w:val="BodyText"/>
      </w:pPr>
      <w:r>
        <w:t xml:space="preserve">In addition to the refinements outlined above, the GMRG is interested in hearing stakeholders’ views on whether: </w:t>
      </w:r>
    </w:p>
    <w:p w14:paraId="1F31DD1E" w14:textId="77777777" w:rsidR="00C830BE" w:rsidRDefault="00C830BE" w:rsidP="00C830BE">
      <w:pPr>
        <w:pStyle w:val="ListBullet"/>
      </w:pPr>
      <w:r>
        <w:t xml:space="preserve">the proposed balance between the auction provisions that will be in the </w:t>
      </w:r>
      <w:r w:rsidR="00ED5D74">
        <w:t xml:space="preserve">NGL, the </w:t>
      </w:r>
      <w:r>
        <w:t>NGR</w:t>
      </w:r>
      <w:r w:rsidR="00654913">
        <w:t>,</w:t>
      </w:r>
      <w:r>
        <w:t xml:space="preserve"> the Auction Procedures</w:t>
      </w:r>
      <w:r w:rsidR="00654913">
        <w:t>, the Auction Agreement and Code</w:t>
      </w:r>
      <w:r>
        <w:t xml:space="preserve"> is appropriate; and</w:t>
      </w:r>
    </w:p>
    <w:p w14:paraId="56FC96CC" w14:textId="77777777" w:rsidR="00C830BE" w:rsidRDefault="00C830BE" w:rsidP="00C830BE">
      <w:pPr>
        <w:pStyle w:val="ListBullet"/>
      </w:pPr>
      <w:r>
        <w:t>additional transparency measures are required so that auction participants can</w:t>
      </w:r>
      <w:r w:rsidR="00002BA1">
        <w:t xml:space="preserve"> better</w:t>
      </w:r>
      <w:r>
        <w:t xml:space="preserve"> understand the risks associated with the auction products.</w:t>
      </w:r>
    </w:p>
    <w:p w14:paraId="3331F437" w14:textId="77777777" w:rsidR="00093D9A" w:rsidRPr="00093D9A" w:rsidRDefault="00C830BE" w:rsidP="00093D9A">
      <w:pPr>
        <w:pStyle w:val="Heading6"/>
        <w:rPr>
          <w:color w:val="0099CC"/>
        </w:rPr>
      </w:pPr>
      <w:r>
        <w:rPr>
          <w:color w:val="0099CC"/>
        </w:rPr>
        <w:lastRenderedPageBreak/>
        <w:t xml:space="preserve">Proposed balance between the </w:t>
      </w:r>
      <w:r w:rsidR="00654913">
        <w:rPr>
          <w:color w:val="0099CC"/>
        </w:rPr>
        <w:t xml:space="preserve">legal and regulatory instruments </w:t>
      </w:r>
    </w:p>
    <w:p w14:paraId="1E72AF3C" w14:textId="77777777" w:rsidR="00E65A42" w:rsidRDefault="001D45B7" w:rsidP="00093D9A">
      <w:pPr>
        <w:pStyle w:val="BodyText"/>
      </w:pPr>
      <w:r>
        <w:t>When</w:t>
      </w:r>
      <w:r w:rsidR="004C4906">
        <w:t xml:space="preserve"> </w:t>
      </w:r>
      <w:r w:rsidR="00C830BE">
        <w:t xml:space="preserve">developing the </w:t>
      </w:r>
      <w:r w:rsidR="00E65A42">
        <w:t xml:space="preserve">legal and regulatory arrangements for </w:t>
      </w:r>
      <w:r w:rsidR="00C830BE">
        <w:t xml:space="preserve">the </w:t>
      </w:r>
      <w:r w:rsidR="00E65A42">
        <w:t>auction</w:t>
      </w:r>
      <w:r w:rsidR="00C830BE">
        <w:t>, the GMRG has been cognisant of the need to</w:t>
      </w:r>
      <w:r w:rsidR="00E65A42">
        <w:t xml:space="preserve"> strike the right balance between:</w:t>
      </w:r>
      <w:r w:rsidR="00C830BE">
        <w:t xml:space="preserve"> </w:t>
      </w:r>
    </w:p>
    <w:p w14:paraId="30B94EB0" w14:textId="77777777" w:rsidR="0057353D" w:rsidRDefault="00E65A42" w:rsidP="009E13AB">
      <w:pPr>
        <w:pStyle w:val="ListBullet"/>
      </w:pPr>
      <w:r>
        <w:t>providing AEMO</w:t>
      </w:r>
      <w:r w:rsidR="00654913">
        <w:t>, the AER, service providers, auction participants</w:t>
      </w:r>
      <w:r>
        <w:t xml:space="preserve"> and </w:t>
      </w:r>
      <w:r w:rsidR="00654913">
        <w:t xml:space="preserve">other </w:t>
      </w:r>
      <w:r>
        <w:t xml:space="preserve">market participants with sufficient </w:t>
      </w:r>
      <w:r w:rsidR="00ED5D74">
        <w:t>guidance</w:t>
      </w:r>
      <w:r>
        <w:t xml:space="preserve"> in</w:t>
      </w:r>
      <w:r w:rsidR="009E13AB">
        <w:t xml:space="preserve"> </w:t>
      </w:r>
      <w:r w:rsidR="00D742A3">
        <w:t xml:space="preserve">the </w:t>
      </w:r>
      <w:r w:rsidR="009E13AB">
        <w:t xml:space="preserve">NGL and the NGR </w:t>
      </w:r>
      <w:r>
        <w:t>about the</w:t>
      </w:r>
      <w:r w:rsidR="00ED5D74">
        <w:t>ir</w:t>
      </w:r>
      <w:r>
        <w:t xml:space="preserve"> </w:t>
      </w:r>
      <w:r w:rsidR="00654913">
        <w:t xml:space="preserve">respective </w:t>
      </w:r>
      <w:r w:rsidR="00ED5D74">
        <w:t xml:space="preserve">functions, </w:t>
      </w:r>
      <w:r>
        <w:t>powers and obligations</w:t>
      </w:r>
      <w:r w:rsidR="009E13AB">
        <w:t xml:space="preserve"> and </w:t>
      </w:r>
      <w:r>
        <w:t>how the auction is intended to operate</w:t>
      </w:r>
      <w:r w:rsidR="00ED5D74">
        <w:t xml:space="preserve">; </w:t>
      </w:r>
      <w:r w:rsidR="0057353D">
        <w:t>and</w:t>
      </w:r>
    </w:p>
    <w:p w14:paraId="500C9120" w14:textId="77777777" w:rsidR="0057353D" w:rsidRDefault="00ED5D74" w:rsidP="00654913">
      <w:pPr>
        <w:pStyle w:val="ListBullet"/>
      </w:pPr>
      <w:r>
        <w:t>providing sufficient flexibility in the arrangements to</w:t>
      </w:r>
      <w:r w:rsidR="0057353D">
        <w:t>:</w:t>
      </w:r>
      <w:r>
        <w:t xml:space="preserve"> </w:t>
      </w:r>
    </w:p>
    <w:p w14:paraId="0D2854A4" w14:textId="77777777" w:rsidR="0057353D" w:rsidRDefault="00ED5D74" w:rsidP="0057353D">
      <w:pPr>
        <w:pStyle w:val="ListBullet2"/>
      </w:pPr>
      <w:r>
        <w:t xml:space="preserve">enable AEMO to operate </w:t>
      </w:r>
      <w:r w:rsidR="0057353D">
        <w:t xml:space="preserve">and administer </w:t>
      </w:r>
      <w:r>
        <w:t>the auction effectively on a day-to-day basis</w:t>
      </w:r>
      <w:r w:rsidR="0057353D">
        <w:t xml:space="preserve"> and over time; and</w:t>
      </w:r>
    </w:p>
    <w:p w14:paraId="5F43CD26" w14:textId="77777777" w:rsidR="0057353D" w:rsidRDefault="0057353D" w:rsidP="0057353D">
      <w:pPr>
        <w:pStyle w:val="ListBullet2"/>
      </w:pPr>
      <w:r>
        <w:t xml:space="preserve">accommodate differences in </w:t>
      </w:r>
      <w:r w:rsidR="00ED5D74">
        <w:t>technical</w:t>
      </w:r>
      <w:r>
        <w:t xml:space="preserve"> and </w:t>
      </w:r>
      <w:r w:rsidR="00ED5D74">
        <w:t xml:space="preserve">operational </w:t>
      </w:r>
      <w:r>
        <w:t>conditions across auction facilities.</w:t>
      </w:r>
    </w:p>
    <w:p w14:paraId="47222623" w14:textId="77777777" w:rsidR="00002BA1" w:rsidRDefault="00002BA1" w:rsidP="00093D9A">
      <w:pPr>
        <w:pStyle w:val="BodyText"/>
      </w:pPr>
      <w:r>
        <w:t>This has resulted in</w:t>
      </w:r>
      <w:r w:rsidR="00F67057">
        <w:t>,</w:t>
      </w:r>
      <w:r>
        <w:t xml:space="preserve"> for example:</w:t>
      </w:r>
    </w:p>
    <w:p w14:paraId="041DE5CF" w14:textId="77777777" w:rsidR="00067F90" w:rsidRDefault="00067F90" w:rsidP="00067F90">
      <w:pPr>
        <w:pStyle w:val="ListBullet"/>
      </w:pPr>
      <w:r>
        <w:t>the NGR setting out the principles that AEMO must give effect to when implementing the auction in the Auction Procedures including the detailed allocation methodology and settlement calculations; and</w:t>
      </w:r>
    </w:p>
    <w:p w14:paraId="0A05E88E" w14:textId="77777777" w:rsidR="00067F90" w:rsidRDefault="00067F90" w:rsidP="00067F90">
      <w:pPr>
        <w:pStyle w:val="ListBullet"/>
      </w:pPr>
      <w:r>
        <w:t>the NGR setting out the principles that AEMO must give effect to when developing the methodology for the auction quantity limits, while the Auction Procedures will set out the detailed methodology.</w:t>
      </w:r>
    </w:p>
    <w:p w14:paraId="1FB74576" w14:textId="77777777" w:rsidR="00654913" w:rsidRDefault="009E13AB" w:rsidP="00093D9A">
      <w:pPr>
        <w:pStyle w:val="BodyText"/>
      </w:pPr>
      <w:r>
        <w:t xml:space="preserve">The GMRG is interested in obtaining stakeholders’ feedback on the balance that has been struck between </w:t>
      </w:r>
      <w:r w:rsidR="0073013D">
        <w:t>the NGL, NGR, Auction Procedures, Auction Agreement and Code and if any refinements may be required.</w:t>
      </w:r>
    </w:p>
    <w:tbl>
      <w:tblPr>
        <w:tblStyle w:val="PullOutBoxTable"/>
        <w:tblW w:w="5161" w:type="pct"/>
        <w:shd w:val="clear" w:color="auto" w:fill="B7E7FF"/>
        <w:tblCellMar>
          <w:top w:w="85" w:type="dxa"/>
          <w:bottom w:w="85" w:type="dxa"/>
        </w:tblCellMar>
        <w:tblLook w:val="0600" w:firstRow="0" w:lastRow="0" w:firstColumn="0" w:lastColumn="0" w:noHBand="1" w:noVBand="1"/>
        <w:tblCaption w:val="Box 5.6: Questions on proposed balance between legal and regulatory instruments"/>
        <w:tblDescription w:val="Box 5.6: Questions on proposed balance between legal and regulatory instruments"/>
      </w:tblPr>
      <w:tblGrid>
        <w:gridCol w:w="9072"/>
      </w:tblGrid>
      <w:tr w:rsidR="00F8722C" w14:paraId="44EF2352" w14:textId="77777777" w:rsidTr="00F8722C">
        <w:trPr>
          <w:tblHeader/>
        </w:trPr>
        <w:tc>
          <w:tcPr>
            <w:tcW w:w="5000" w:type="pct"/>
            <w:shd w:val="clear" w:color="auto" w:fill="auto"/>
          </w:tcPr>
          <w:p w14:paraId="399FDD07" w14:textId="69A62199" w:rsidR="00F8722C" w:rsidRPr="00F12295" w:rsidRDefault="00F8722C" w:rsidP="00F8722C">
            <w:pPr>
              <w:pStyle w:val="ListNumber"/>
              <w:numPr>
                <w:ilvl w:val="0"/>
                <w:numId w:val="0"/>
              </w:numPr>
              <w:tabs>
                <w:tab w:val="left" w:pos="720"/>
              </w:tabs>
              <w:rPr>
                <w:rFonts w:eastAsiaTheme="majorEastAsia"/>
              </w:rPr>
            </w:pPr>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5</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6</w:t>
            </w:r>
            <w:r w:rsidRPr="00667654">
              <w:rPr>
                <w:b/>
                <w:noProof/>
              </w:rPr>
              <w:fldChar w:fldCharType="end"/>
            </w:r>
            <w:r w:rsidRPr="00667654">
              <w:rPr>
                <w:b/>
              </w:rPr>
              <w:t xml:space="preserve">: </w:t>
            </w:r>
            <w:r w:rsidRPr="00667654">
              <w:rPr>
                <w:b/>
                <w:bCs/>
              </w:rPr>
              <w:t>Questions on proposed balance between legal and regulatory instruments</w:t>
            </w:r>
          </w:p>
        </w:tc>
      </w:tr>
      <w:tr w:rsidR="00F8722C" w14:paraId="740E569C" w14:textId="77777777" w:rsidTr="00667654">
        <w:tc>
          <w:tcPr>
            <w:tcW w:w="5000" w:type="pct"/>
            <w:shd w:val="clear" w:color="auto" w:fill="B7E7FF"/>
          </w:tcPr>
          <w:p w14:paraId="63D6B1C3" w14:textId="77777777" w:rsidR="00F8722C" w:rsidRDefault="00F8722C" w:rsidP="00F8722C">
            <w:pPr>
              <w:pStyle w:val="ListNumber"/>
              <w:numPr>
                <w:ilvl w:val="0"/>
                <w:numId w:val="29"/>
              </w:numPr>
              <w:tabs>
                <w:tab w:val="left" w:pos="720"/>
              </w:tabs>
              <w:ind w:left="357" w:hanging="357"/>
              <w:rPr>
                <w:rFonts w:eastAsiaTheme="majorEastAsia"/>
              </w:rPr>
            </w:pPr>
            <w:r w:rsidRPr="00F12295">
              <w:rPr>
                <w:rFonts w:eastAsiaTheme="majorEastAsia"/>
              </w:rPr>
              <w:t>Do you think the balance that has been struck between the various legal and regulatory instrument is appropriate? If not, what changes do you think need to be ma</w:t>
            </w:r>
            <w:r>
              <w:rPr>
                <w:rFonts w:eastAsiaTheme="majorEastAsia"/>
              </w:rPr>
              <w:t>de to achieve a better balance?</w:t>
            </w:r>
          </w:p>
          <w:p w14:paraId="0BBD3105" w14:textId="3E6E7CD4" w:rsidR="00F8722C" w:rsidRPr="00F12295" w:rsidRDefault="00F8722C" w:rsidP="00F8722C">
            <w:pPr>
              <w:pStyle w:val="ListNumber"/>
              <w:numPr>
                <w:ilvl w:val="0"/>
                <w:numId w:val="29"/>
              </w:numPr>
              <w:tabs>
                <w:tab w:val="left" w:pos="720"/>
              </w:tabs>
              <w:ind w:left="357" w:hanging="357"/>
              <w:rPr>
                <w:rFonts w:eastAsiaTheme="majorEastAsia"/>
              </w:rPr>
            </w:pPr>
            <w:r w:rsidRPr="00F12295">
              <w:t>Do you think there are any contractual or other legal impediments to prevent auction facility operators giving effect to the results of the auction and auction service priorities?  If so, what are they and how do you think they could be addressed?</w:t>
            </w:r>
          </w:p>
        </w:tc>
      </w:tr>
    </w:tbl>
    <w:p w14:paraId="00ED27D4" w14:textId="77777777" w:rsidR="00110FC0" w:rsidRPr="00093D9A" w:rsidRDefault="00C830BE" w:rsidP="00093D9A">
      <w:pPr>
        <w:pStyle w:val="Heading6"/>
        <w:rPr>
          <w:color w:val="0099CC"/>
        </w:rPr>
      </w:pPr>
      <w:r>
        <w:rPr>
          <w:color w:val="0099CC"/>
        </w:rPr>
        <w:t xml:space="preserve">Other </w:t>
      </w:r>
      <w:r w:rsidR="00A111DF" w:rsidRPr="00093D9A">
        <w:rPr>
          <w:color w:val="0099CC"/>
        </w:rPr>
        <w:t>t</w:t>
      </w:r>
      <w:r w:rsidR="00110FC0" w:rsidRPr="00093D9A">
        <w:rPr>
          <w:color w:val="0099CC"/>
        </w:rPr>
        <w:t xml:space="preserve">ransparency </w:t>
      </w:r>
      <w:r>
        <w:rPr>
          <w:color w:val="0099CC"/>
        </w:rPr>
        <w:t>measures</w:t>
      </w:r>
    </w:p>
    <w:p w14:paraId="251D99E7" w14:textId="77777777" w:rsidR="00663B20" w:rsidRDefault="0087212A" w:rsidP="00110FC0">
      <w:pPr>
        <w:pStyle w:val="BodyText"/>
      </w:pPr>
      <w:r>
        <w:t>T</w:t>
      </w:r>
      <w:r w:rsidR="006C0D58">
        <w:t>he proposed design of the day-ahead auction</w:t>
      </w:r>
      <w:r>
        <w:t xml:space="preserve"> provides for </w:t>
      </w:r>
      <w:r w:rsidR="006C0D58">
        <w:t xml:space="preserve">AEMO </w:t>
      </w:r>
      <w:r>
        <w:t>to specify the information that will be published pre- and post-auction in the Auction Procedures. While there are some obvious pieces of information that AEMO would be expected to publish (e.g. capacity</w:t>
      </w:r>
      <w:r w:rsidR="00C1138E">
        <w:t xml:space="preserve"> available in the auction, clearing prices and capacity sold in the auction), the GMRG is interested in getting stakeholders’ feedback on whether</w:t>
      </w:r>
      <w:r w:rsidR="00663B20">
        <w:t xml:space="preserve"> there is likely to be any value in requiring information on:</w:t>
      </w:r>
    </w:p>
    <w:p w14:paraId="7BA5FAFF" w14:textId="77777777" w:rsidR="00C1138E" w:rsidRDefault="00C1138E" w:rsidP="00663B20">
      <w:pPr>
        <w:pStyle w:val="ListBullet"/>
      </w:pPr>
      <w:r>
        <w:t>intra-day curtailments of the capacity sold in the auction to be published on the Bulletin Board during the gas day</w:t>
      </w:r>
      <w:r w:rsidR="0057344D">
        <w:t xml:space="preserve">; </w:t>
      </w:r>
      <w:r w:rsidR="00067F90">
        <w:t>or</w:t>
      </w:r>
    </w:p>
    <w:p w14:paraId="299B0A4D" w14:textId="77777777" w:rsidR="00DB3F14" w:rsidRDefault="00663B20" w:rsidP="00663B20">
      <w:pPr>
        <w:pStyle w:val="ListBullet"/>
      </w:pPr>
      <w:r>
        <w:lastRenderedPageBreak/>
        <w:t>the grandfathered rights scheduled ahead of the auction to be published on the Bulletin Board after the gas day</w:t>
      </w:r>
      <w:r w:rsidR="0057344D">
        <w:t>.</w:t>
      </w:r>
    </w:p>
    <w:p w14:paraId="3BE6FF5E" w14:textId="77777777" w:rsidR="00C1138E" w:rsidRDefault="00663B20" w:rsidP="00110FC0">
      <w:pPr>
        <w:pStyle w:val="BodyText"/>
      </w:pPr>
      <w:r>
        <w:t xml:space="preserve">As with any type of reporting obligation, there </w:t>
      </w:r>
      <w:r w:rsidR="000F6354">
        <w:t>would</w:t>
      </w:r>
      <w:r>
        <w:t xml:space="preserve"> be costs associated with </w:t>
      </w:r>
      <w:r w:rsidR="00F67057">
        <w:t>publishing</w:t>
      </w:r>
      <w:r>
        <w:t xml:space="preserve"> this information. The GMRG would therefore like to understand what the benefits of publishing this information are likely to be and if there are any ways that the reporting obligation could be minimised (e.g. by restricting </w:t>
      </w:r>
      <w:r w:rsidR="00A111DF">
        <w:t xml:space="preserve">the </w:t>
      </w:r>
      <w:r>
        <w:t xml:space="preserve">reporting on intra-day curtailments </w:t>
      </w:r>
      <w:r w:rsidR="00A111DF">
        <w:t xml:space="preserve">of capacity sold in the auction </w:t>
      </w:r>
      <w:r>
        <w:t xml:space="preserve">to material </w:t>
      </w:r>
      <w:r w:rsidR="00A111DF">
        <w:t xml:space="preserve">intra-day curtailments). </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5.7: Questions on the auction transparency measures"/>
        <w:tblDescription w:val="Box 5.7: Questions on the auction transparency measures"/>
      </w:tblPr>
      <w:tblGrid>
        <w:gridCol w:w="8789"/>
      </w:tblGrid>
      <w:tr w:rsidR="00F8722C" w14:paraId="408643D7" w14:textId="77777777" w:rsidTr="00F8722C">
        <w:trPr>
          <w:tblHeader/>
        </w:trPr>
        <w:tc>
          <w:tcPr>
            <w:tcW w:w="5000" w:type="pct"/>
            <w:shd w:val="clear" w:color="auto" w:fill="auto"/>
          </w:tcPr>
          <w:p w14:paraId="43E84405" w14:textId="0B16C3E9" w:rsidR="00F8722C" w:rsidRPr="00F12295" w:rsidRDefault="00F8722C" w:rsidP="00F8722C">
            <w:pPr>
              <w:pStyle w:val="ListNumber"/>
              <w:numPr>
                <w:ilvl w:val="0"/>
                <w:numId w:val="0"/>
              </w:numPr>
              <w:tabs>
                <w:tab w:val="left" w:pos="720"/>
              </w:tabs>
              <w:rPr>
                <w:rFonts w:eastAsiaTheme="majorEastAsia"/>
              </w:rPr>
            </w:pPr>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5</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7</w:t>
            </w:r>
            <w:r w:rsidRPr="00667654">
              <w:rPr>
                <w:b/>
                <w:noProof/>
              </w:rPr>
              <w:fldChar w:fldCharType="end"/>
            </w:r>
            <w:r w:rsidRPr="00667654">
              <w:rPr>
                <w:b/>
              </w:rPr>
              <w:t xml:space="preserve">: </w:t>
            </w:r>
            <w:r w:rsidRPr="00667654">
              <w:rPr>
                <w:b/>
                <w:bCs/>
              </w:rPr>
              <w:t>Questions on the auction transparency measures</w:t>
            </w:r>
          </w:p>
        </w:tc>
      </w:tr>
      <w:tr w:rsidR="00F8722C" w14:paraId="41488C74" w14:textId="77777777" w:rsidTr="00667654">
        <w:tc>
          <w:tcPr>
            <w:tcW w:w="5000" w:type="pct"/>
            <w:shd w:val="clear" w:color="auto" w:fill="B7E7FF"/>
          </w:tcPr>
          <w:p w14:paraId="52CD1020" w14:textId="77777777" w:rsidR="00F8722C" w:rsidRPr="00F12295" w:rsidRDefault="00F8722C" w:rsidP="00F8722C">
            <w:pPr>
              <w:pStyle w:val="ListNumber"/>
              <w:numPr>
                <w:ilvl w:val="0"/>
                <w:numId w:val="29"/>
              </w:numPr>
              <w:tabs>
                <w:tab w:val="left" w:pos="720"/>
              </w:tabs>
              <w:ind w:left="357" w:hanging="357"/>
              <w:rPr>
                <w:rFonts w:eastAsiaTheme="majorEastAsia"/>
              </w:rPr>
            </w:pPr>
            <w:r w:rsidRPr="00F12295">
              <w:rPr>
                <w:rFonts w:eastAsiaTheme="majorEastAsia"/>
              </w:rPr>
              <w:t xml:space="preserve">Do you think information on intra-day curtailments to capacity sold in the auction should be published on the Bulletin Board during the gas day? If so: </w:t>
            </w:r>
          </w:p>
          <w:p w14:paraId="1FF0880C" w14:textId="77777777" w:rsidR="00F8722C" w:rsidRPr="00F12295" w:rsidRDefault="00F8722C" w:rsidP="00F8722C">
            <w:pPr>
              <w:pStyle w:val="TableBullet2"/>
              <w:numPr>
                <w:ilvl w:val="1"/>
                <w:numId w:val="7"/>
              </w:numPr>
              <w:spacing w:before="120" w:after="120"/>
              <w:ind w:right="0"/>
              <w:rPr>
                <w:rFonts w:eastAsiaTheme="majorEastAsia"/>
                <w:sz w:val="22"/>
              </w:rPr>
            </w:pPr>
            <w:r w:rsidRPr="00F12295">
              <w:rPr>
                <w:rFonts w:eastAsiaTheme="majorEastAsia"/>
                <w:sz w:val="22"/>
              </w:rPr>
              <w:t>What benefit do you think it would provide?</w:t>
            </w:r>
          </w:p>
          <w:p w14:paraId="69A007D4" w14:textId="77777777" w:rsidR="00F8722C" w:rsidRPr="00F12295" w:rsidRDefault="00F8722C" w:rsidP="00F8722C">
            <w:pPr>
              <w:pStyle w:val="TableBullet2"/>
              <w:numPr>
                <w:ilvl w:val="1"/>
                <w:numId w:val="7"/>
              </w:numPr>
              <w:spacing w:before="120" w:after="120"/>
              <w:ind w:right="0"/>
              <w:rPr>
                <w:rFonts w:eastAsiaTheme="majorEastAsia"/>
                <w:sz w:val="22"/>
              </w:rPr>
            </w:pPr>
            <w:r w:rsidRPr="00F12295">
              <w:rPr>
                <w:rFonts w:eastAsiaTheme="majorEastAsia"/>
                <w:sz w:val="22"/>
              </w:rPr>
              <w:t>Do you think the obligation to report this information should be limited to material curtailments (e.g. where the capacity sold in the auction is curtailed by more than 10%)?</w:t>
            </w:r>
          </w:p>
          <w:p w14:paraId="3B593731" w14:textId="77777777" w:rsidR="00F8722C" w:rsidRPr="00F12295" w:rsidRDefault="00F8722C" w:rsidP="00F8722C">
            <w:pPr>
              <w:pStyle w:val="ListNumber"/>
              <w:numPr>
                <w:ilvl w:val="0"/>
                <w:numId w:val="29"/>
              </w:numPr>
              <w:tabs>
                <w:tab w:val="left" w:pos="720"/>
              </w:tabs>
              <w:ind w:left="357" w:hanging="357"/>
              <w:rPr>
                <w:rFonts w:eastAsiaTheme="majorEastAsia"/>
              </w:rPr>
            </w:pPr>
            <w:r w:rsidRPr="00F12295">
              <w:rPr>
                <w:rFonts w:eastAsiaTheme="majorEastAsia"/>
              </w:rPr>
              <w:t>Do you think information on the grandfathered rights that have been scheduled ahead of the auction should be published on the Bulletin Board after the gas day? If so, what benefit do you think it would provide?</w:t>
            </w:r>
          </w:p>
          <w:p w14:paraId="0BB88810" w14:textId="68A73135" w:rsidR="00F8722C" w:rsidRPr="00F12295" w:rsidRDefault="00F8722C" w:rsidP="00F8722C">
            <w:pPr>
              <w:pStyle w:val="ListNumber"/>
              <w:numPr>
                <w:ilvl w:val="0"/>
                <w:numId w:val="29"/>
              </w:numPr>
              <w:tabs>
                <w:tab w:val="left" w:pos="720"/>
              </w:tabs>
              <w:ind w:left="357" w:hanging="357"/>
              <w:rPr>
                <w:rFonts w:eastAsiaTheme="majorEastAsia"/>
              </w:rPr>
            </w:pPr>
            <w:r w:rsidRPr="00F8722C">
              <w:rPr>
                <w:rFonts w:eastAsiaTheme="majorEastAsia"/>
              </w:rPr>
              <w:t>Are there are any other types of information that you think could be published that have not already been identified, which would allow auction participants to better understand the risks?</w:t>
            </w:r>
            <w:r w:rsidRPr="00F12295">
              <w:t xml:space="preserve">  </w:t>
            </w:r>
          </w:p>
        </w:tc>
      </w:tr>
    </w:tbl>
    <w:p w14:paraId="10A409D4" w14:textId="77777777" w:rsidR="00110FC0" w:rsidRDefault="00AF5DD8" w:rsidP="00756C62">
      <w:pPr>
        <w:pStyle w:val="Heading2"/>
        <w:numPr>
          <w:ilvl w:val="1"/>
          <w:numId w:val="20"/>
        </w:numPr>
        <w:ind w:left="624"/>
      </w:pPr>
      <w:bookmarkStart w:id="108" w:name="_Toc508702027"/>
      <w:bookmarkStart w:id="109" w:name="_Toc509239436"/>
      <w:r>
        <w:t>Proposed l</w:t>
      </w:r>
      <w:r w:rsidR="00110FC0">
        <w:t xml:space="preserve">egal and regulatory </w:t>
      </w:r>
      <w:r w:rsidR="00BB59A5">
        <w:t>framework</w:t>
      </w:r>
      <w:bookmarkEnd w:id="108"/>
      <w:bookmarkEnd w:id="109"/>
      <w:r w:rsidR="00110FC0">
        <w:t xml:space="preserve"> </w:t>
      </w:r>
    </w:p>
    <w:p w14:paraId="0019D1E0" w14:textId="77777777" w:rsidR="00110FC0" w:rsidRDefault="00110FC0" w:rsidP="00110FC0">
      <w:pPr>
        <w:pStyle w:val="BodyText"/>
      </w:pPr>
      <w:r>
        <w:t xml:space="preserve">To implement the day-ahead auction, changes will need to be made to the NGL, the </w:t>
      </w:r>
      <w:r w:rsidR="00AF5DD8">
        <w:t xml:space="preserve">NGR and </w:t>
      </w:r>
      <w:r>
        <w:t xml:space="preserve">Regulations. </w:t>
      </w:r>
      <w:r w:rsidR="00AF5DD8">
        <w:t>AEMO will also need to develop t</w:t>
      </w:r>
      <w:r>
        <w:t>he Auction Procedures (</w:t>
      </w:r>
      <w:r w:rsidR="00AF5DD8">
        <w:t xml:space="preserve">which will include the </w:t>
      </w:r>
      <w:r w:rsidR="00B76BEE">
        <w:t>A</w:t>
      </w:r>
      <w:r w:rsidR="00AF5DD8">
        <w:t xml:space="preserve">uction </w:t>
      </w:r>
      <w:r w:rsidR="00B76BEE">
        <w:t>A</w:t>
      </w:r>
      <w:r w:rsidR="00AF5DD8">
        <w:t>greement</w:t>
      </w:r>
      <w:r>
        <w:t xml:space="preserve">) </w:t>
      </w:r>
      <w:r w:rsidR="00AF5DD8">
        <w:t>and amend a number of other procedures</w:t>
      </w:r>
      <w:r>
        <w:t xml:space="preserve">. Further detail on the proposed changes to the NGL, NGR and Regulations is provided below. </w:t>
      </w:r>
    </w:p>
    <w:p w14:paraId="79953944" w14:textId="77777777" w:rsidR="00110FC0" w:rsidRDefault="00110FC0" w:rsidP="00756C62">
      <w:pPr>
        <w:pStyle w:val="Heading3"/>
        <w:numPr>
          <w:ilvl w:val="2"/>
          <w:numId w:val="20"/>
        </w:numPr>
      </w:pPr>
      <w:r>
        <w:t>Proposed changes to the NGL</w:t>
      </w:r>
    </w:p>
    <w:p w14:paraId="6CC2DD10" w14:textId="77777777" w:rsidR="00110FC0" w:rsidRDefault="00110FC0" w:rsidP="00110FC0">
      <w:pPr>
        <w:pStyle w:val="BodyText"/>
      </w:pPr>
      <w:r>
        <w:t>Changes to the NGL are required to:</w:t>
      </w:r>
    </w:p>
    <w:p w14:paraId="0AA7A3EE" w14:textId="77777777" w:rsidR="00110FC0" w:rsidRDefault="00110FC0" w:rsidP="00756C62">
      <w:pPr>
        <w:pStyle w:val="ListBullet"/>
        <w:numPr>
          <w:ilvl w:val="0"/>
          <w:numId w:val="22"/>
        </w:numPr>
        <w:ind w:left="357" w:hanging="357"/>
      </w:pPr>
      <w:r>
        <w:t>extend the subject matter of the NGR</w:t>
      </w:r>
      <w:r>
        <w:rPr>
          <w:rStyle w:val="FootnoteReference"/>
        </w:rPr>
        <w:footnoteReference w:id="66"/>
      </w:r>
      <w:r>
        <w:t xml:space="preserve"> and the scope of the AEMC’s rule making functions</w:t>
      </w:r>
      <w:r>
        <w:rPr>
          <w:rStyle w:val="FootnoteReference"/>
        </w:rPr>
        <w:footnoteReference w:id="67"/>
      </w:r>
      <w:r>
        <w:t xml:space="preserve"> to include the day-ahead auction; </w:t>
      </w:r>
    </w:p>
    <w:p w14:paraId="5C489157" w14:textId="77777777" w:rsidR="008B1E4A" w:rsidRDefault="00110FC0" w:rsidP="00756C62">
      <w:pPr>
        <w:pStyle w:val="ListBullet"/>
        <w:numPr>
          <w:ilvl w:val="0"/>
          <w:numId w:val="22"/>
        </w:numPr>
        <w:ind w:left="357" w:hanging="357"/>
      </w:pPr>
      <w:r>
        <w:t>specify the new functions and powers of AEMO in relation to the day-ahead auction</w:t>
      </w:r>
      <w:r w:rsidR="008B1E4A">
        <w:t xml:space="preserve">, which </w:t>
      </w:r>
      <w:r w:rsidR="008B1E4A">
        <w:rPr>
          <w:lang w:eastAsia="fr-CA"/>
        </w:rPr>
        <w:t>include:</w:t>
      </w:r>
      <w:r w:rsidR="00700283" w:rsidRPr="00700283">
        <w:rPr>
          <w:rStyle w:val="FootnoteReference"/>
        </w:rPr>
        <w:t xml:space="preserve"> </w:t>
      </w:r>
      <w:r w:rsidR="00700283">
        <w:rPr>
          <w:rStyle w:val="FootnoteReference"/>
        </w:rPr>
        <w:footnoteReference w:id="68"/>
      </w:r>
      <w:r w:rsidR="008B1E4A">
        <w:rPr>
          <w:lang w:eastAsia="fr-CA"/>
        </w:rPr>
        <w:t xml:space="preserve"> </w:t>
      </w:r>
    </w:p>
    <w:p w14:paraId="66FC9311" w14:textId="77777777" w:rsidR="008B1E4A" w:rsidRDefault="008B1E4A" w:rsidP="008B1E4A">
      <w:pPr>
        <w:pStyle w:val="ListBullet2"/>
      </w:pPr>
      <w:r>
        <w:rPr>
          <w:lang w:eastAsia="fr-CA"/>
        </w:rPr>
        <w:t>establishing, operating and administering the auction;</w:t>
      </w:r>
    </w:p>
    <w:p w14:paraId="02A2D290" w14:textId="77777777" w:rsidR="008B1E4A" w:rsidRDefault="008B1E4A" w:rsidP="008B1E4A">
      <w:pPr>
        <w:pStyle w:val="ListBullet2"/>
      </w:pPr>
      <w:r>
        <w:rPr>
          <w:lang w:eastAsia="fr-CA"/>
        </w:rPr>
        <w:t xml:space="preserve">making and administering </w:t>
      </w:r>
      <w:r w:rsidR="004C4906">
        <w:rPr>
          <w:lang w:eastAsia="fr-CA"/>
        </w:rPr>
        <w:t>A</w:t>
      </w:r>
      <w:r>
        <w:rPr>
          <w:lang w:eastAsia="fr-CA"/>
        </w:rPr>
        <w:t xml:space="preserve">uction </w:t>
      </w:r>
      <w:r w:rsidR="004C4906">
        <w:rPr>
          <w:lang w:eastAsia="fr-CA"/>
        </w:rPr>
        <w:t>Agreements</w:t>
      </w:r>
      <w:r>
        <w:rPr>
          <w:lang w:eastAsia="fr-CA"/>
        </w:rPr>
        <w:t xml:space="preserve">; </w:t>
      </w:r>
    </w:p>
    <w:p w14:paraId="3B749A8E" w14:textId="77777777" w:rsidR="008B1E4A" w:rsidRDefault="008B1E4A" w:rsidP="008B1E4A">
      <w:pPr>
        <w:pStyle w:val="ListBullet2"/>
      </w:pPr>
      <w:r>
        <w:rPr>
          <w:lang w:eastAsia="fr-CA"/>
        </w:rPr>
        <w:lastRenderedPageBreak/>
        <w:t xml:space="preserve">making, amending or revoking the </w:t>
      </w:r>
      <w:r w:rsidR="0057344D">
        <w:rPr>
          <w:lang w:eastAsia="fr-CA"/>
        </w:rPr>
        <w:t>Auction Procedures</w:t>
      </w:r>
      <w:r w:rsidR="00027274">
        <w:rPr>
          <w:lang w:eastAsia="fr-CA"/>
        </w:rPr>
        <w:t>;</w:t>
      </w:r>
      <w:r>
        <w:rPr>
          <w:lang w:eastAsia="fr-CA"/>
        </w:rPr>
        <w:t xml:space="preserve"> </w:t>
      </w:r>
    </w:p>
    <w:p w14:paraId="035A14EE" w14:textId="77777777" w:rsidR="00700283" w:rsidRDefault="00700283" w:rsidP="008B1E4A">
      <w:pPr>
        <w:pStyle w:val="ListBullet2"/>
      </w:pPr>
      <w:r>
        <w:rPr>
          <w:lang w:eastAsia="fr-CA"/>
        </w:rPr>
        <w:t xml:space="preserve">subject to the NGR and procedures, </w:t>
      </w:r>
      <w:r w:rsidR="008B1E4A">
        <w:rPr>
          <w:lang w:eastAsia="fr-CA"/>
        </w:rPr>
        <w:t xml:space="preserve">suspending </w:t>
      </w:r>
      <w:r>
        <w:rPr>
          <w:lang w:eastAsia="fr-CA"/>
        </w:rPr>
        <w:t xml:space="preserve">an </w:t>
      </w:r>
      <w:r w:rsidR="008B1E4A">
        <w:rPr>
          <w:lang w:eastAsia="fr-CA"/>
        </w:rPr>
        <w:t>auction</w:t>
      </w:r>
      <w:r>
        <w:rPr>
          <w:lang w:eastAsia="fr-CA"/>
        </w:rPr>
        <w:t>;</w:t>
      </w:r>
      <w:r w:rsidR="00027274">
        <w:rPr>
          <w:lang w:eastAsia="fr-CA"/>
        </w:rPr>
        <w:t xml:space="preserve"> and</w:t>
      </w:r>
    </w:p>
    <w:p w14:paraId="31E1A2B0" w14:textId="77777777" w:rsidR="00110FC0" w:rsidRDefault="008B1E4A" w:rsidP="008B1E4A">
      <w:pPr>
        <w:pStyle w:val="ListBullet2"/>
      </w:pPr>
      <w:r>
        <w:rPr>
          <w:lang w:eastAsia="fr-CA"/>
        </w:rPr>
        <w:t>trad</w:t>
      </w:r>
      <w:r w:rsidR="00700283">
        <w:rPr>
          <w:lang w:eastAsia="fr-CA"/>
        </w:rPr>
        <w:t>ing</w:t>
      </w:r>
      <w:r>
        <w:rPr>
          <w:lang w:eastAsia="fr-CA"/>
        </w:rPr>
        <w:t xml:space="preserve"> in transportation capacity</w:t>
      </w:r>
      <w:r w:rsidR="00700283">
        <w:rPr>
          <w:lang w:eastAsia="fr-CA"/>
        </w:rPr>
        <w:t xml:space="preserve"> to the extent necessary or desirable for the efficient operation of the auction</w:t>
      </w:r>
      <w:r w:rsidR="00110FC0">
        <w:t>;</w:t>
      </w:r>
    </w:p>
    <w:p w14:paraId="382B0491" w14:textId="77777777" w:rsidR="00110FC0" w:rsidRDefault="00110FC0" w:rsidP="00756C62">
      <w:pPr>
        <w:pStyle w:val="ListBullet"/>
        <w:numPr>
          <w:ilvl w:val="0"/>
          <w:numId w:val="22"/>
        </w:numPr>
        <w:ind w:left="357" w:hanging="357"/>
      </w:pPr>
      <w:r>
        <w:t xml:space="preserve">impose an obligation on service providers, </w:t>
      </w:r>
      <w:r w:rsidR="00F67057">
        <w:t xml:space="preserve">shippers </w:t>
      </w:r>
      <w:r>
        <w:t xml:space="preserve">and auction participants to provide AEMO with the information </w:t>
      </w:r>
      <w:r w:rsidR="00AF5DD8">
        <w:t xml:space="preserve">it </w:t>
      </w:r>
      <w:r>
        <w:t>require</w:t>
      </w:r>
      <w:r w:rsidR="00AF5DD8">
        <w:t>s</w:t>
      </w:r>
      <w:r>
        <w:t xml:space="preserve"> to operate and administer the auction and prohibit the provision of information these parties know is false or misleading;</w:t>
      </w:r>
      <w:r>
        <w:rPr>
          <w:rStyle w:val="FootnoteReference"/>
        </w:rPr>
        <w:footnoteReference w:id="69"/>
      </w:r>
    </w:p>
    <w:p w14:paraId="655B0537" w14:textId="77777777" w:rsidR="00110FC0" w:rsidRDefault="00110FC0" w:rsidP="00756C62">
      <w:pPr>
        <w:pStyle w:val="ListBullet"/>
        <w:numPr>
          <w:ilvl w:val="0"/>
          <w:numId w:val="22"/>
        </w:numPr>
        <w:ind w:left="357" w:hanging="357"/>
      </w:pPr>
      <w:r>
        <w:t xml:space="preserve">prohibit </w:t>
      </w:r>
      <w:r w:rsidR="00F67057">
        <w:t xml:space="preserve">shippers </w:t>
      </w:r>
      <w:r>
        <w:t>from providing service providers with information that is required for the operation and administration of the auction that they know is false or misleading;</w:t>
      </w:r>
      <w:r>
        <w:rPr>
          <w:rStyle w:val="FootnoteReference"/>
        </w:rPr>
        <w:footnoteReference w:id="70"/>
      </w:r>
      <w:r>
        <w:t xml:space="preserve"> </w:t>
      </w:r>
    </w:p>
    <w:p w14:paraId="6FE40750" w14:textId="77777777" w:rsidR="00110FC0" w:rsidRDefault="00110FC0" w:rsidP="00756C62">
      <w:pPr>
        <w:pStyle w:val="ListBullet"/>
        <w:numPr>
          <w:ilvl w:val="0"/>
          <w:numId w:val="22"/>
        </w:numPr>
        <w:ind w:left="357" w:hanging="357"/>
      </w:pPr>
      <w:r>
        <w:t xml:space="preserve">provide service providers and AEMO immunity from civil monetary liability to </w:t>
      </w:r>
      <w:r w:rsidR="00EA5C1E">
        <w:t xml:space="preserve">shippers </w:t>
      </w:r>
      <w:r>
        <w:t>for selling capacity in the auction in accordance with the NGR;</w:t>
      </w:r>
      <w:r>
        <w:rPr>
          <w:rStyle w:val="FootnoteReference"/>
        </w:rPr>
        <w:footnoteReference w:id="71"/>
      </w:r>
      <w:r>
        <w:t xml:space="preserve"> and</w:t>
      </w:r>
    </w:p>
    <w:p w14:paraId="19F97D54" w14:textId="77777777" w:rsidR="00110FC0" w:rsidRDefault="00110FC0" w:rsidP="00756C62">
      <w:pPr>
        <w:pStyle w:val="ListBullet"/>
        <w:numPr>
          <w:ilvl w:val="0"/>
          <w:numId w:val="22"/>
        </w:numPr>
        <w:ind w:left="357" w:hanging="357"/>
      </w:pPr>
      <w:r>
        <w:t xml:space="preserve">allow AEMO to make the Capacity Transfer and Auction Procedures to support the operation of the auction and require service providers, </w:t>
      </w:r>
      <w:r w:rsidR="00EA5C1E">
        <w:t xml:space="preserve">shippers </w:t>
      </w:r>
      <w:r>
        <w:t>and auction participants to comply with these procedures (see Chapter 4 for more detail).</w:t>
      </w:r>
      <w:r>
        <w:rPr>
          <w:rStyle w:val="FootnoteReference"/>
        </w:rPr>
        <w:footnoteReference w:id="72"/>
      </w:r>
    </w:p>
    <w:p w14:paraId="1349BD56" w14:textId="77777777" w:rsidR="00110FC0" w:rsidRDefault="00110FC0" w:rsidP="00110FC0">
      <w:pPr>
        <w:pStyle w:val="BodyText"/>
      </w:pPr>
      <w:r>
        <w:t xml:space="preserve">With the exception of </w:t>
      </w:r>
      <w:r w:rsidR="0057344D">
        <w:t xml:space="preserve">the </w:t>
      </w:r>
      <w:r>
        <w:t xml:space="preserve">item </w:t>
      </w:r>
      <w:r w:rsidR="0057344D">
        <w:t>mentioned in the first bullet point</w:t>
      </w:r>
      <w:r>
        <w:t xml:space="preserve">, all the other items listed above will require changes to </w:t>
      </w:r>
      <w:r>
        <w:rPr>
          <w:b/>
        </w:rPr>
        <w:t>Part 6 (Role of AEMO under the National Gas Law) of the NGL</w:t>
      </w:r>
      <w:r>
        <w:t xml:space="preserve">. </w:t>
      </w:r>
    </w:p>
    <w:p w14:paraId="0EF13A1A" w14:textId="77777777" w:rsidR="00110FC0" w:rsidRDefault="00110FC0" w:rsidP="00110FC0">
      <w:pPr>
        <w:pStyle w:val="BodyText"/>
      </w:pPr>
      <w:r>
        <w:t xml:space="preserve">Note that while the obligations in the NGL apply to all transportation service providers, the scope of the obligations is narrowed in the NGR to the operators of auction facilities, which </w:t>
      </w:r>
      <w:r w:rsidR="0057344D">
        <w:t xml:space="preserve">are </w:t>
      </w:r>
      <w:r>
        <w:t xml:space="preserve">defined in Part 25 of the NGR as transportation </w:t>
      </w:r>
      <w:r w:rsidR="0057344D">
        <w:t xml:space="preserve">facilities </w:t>
      </w:r>
      <w:r>
        <w:t xml:space="preserve">that </w:t>
      </w:r>
      <w:r w:rsidR="0057344D">
        <w:t xml:space="preserve">have </w:t>
      </w:r>
      <w:r>
        <w:t>not obtained an exemption under Part 24 of the NGR</w:t>
      </w:r>
      <w:r w:rsidR="00EA5C1E">
        <w:t xml:space="preserve"> (</w:t>
      </w:r>
      <w:r w:rsidR="0057344D">
        <w:t xml:space="preserve">each being </w:t>
      </w:r>
      <w:r w:rsidR="00EA5C1E">
        <w:t>referred to in the NGR as a ‘Part 24 facility’)</w:t>
      </w:r>
      <w:r>
        <w:t>.</w:t>
      </w:r>
    </w:p>
    <w:p w14:paraId="574EB137" w14:textId="77777777" w:rsidR="00110FC0" w:rsidRDefault="00110FC0" w:rsidP="00756C62">
      <w:pPr>
        <w:pStyle w:val="Heading3"/>
        <w:numPr>
          <w:ilvl w:val="2"/>
          <w:numId w:val="20"/>
        </w:numPr>
      </w:pPr>
      <w:r>
        <w:t xml:space="preserve">Proposed changes to the NGR </w:t>
      </w:r>
    </w:p>
    <w:p w14:paraId="00F1668C" w14:textId="77777777" w:rsidR="00110FC0" w:rsidRDefault="00110FC0" w:rsidP="00110FC0">
      <w:pPr>
        <w:pStyle w:val="BodyText"/>
      </w:pPr>
      <w:r>
        <w:t>Changes to the NGR</w:t>
      </w:r>
      <w:r>
        <w:rPr>
          <w:b/>
        </w:rPr>
        <w:t xml:space="preserve"> </w:t>
      </w:r>
      <w:r>
        <w:t xml:space="preserve">are required to: </w:t>
      </w:r>
    </w:p>
    <w:p w14:paraId="47F7BAFC" w14:textId="77777777" w:rsidR="00700283" w:rsidRDefault="00700283" w:rsidP="00756C62">
      <w:pPr>
        <w:pStyle w:val="ListBullet"/>
        <w:numPr>
          <w:ilvl w:val="0"/>
          <w:numId w:val="22"/>
        </w:numPr>
        <w:ind w:left="357" w:hanging="357"/>
      </w:pPr>
      <w:r>
        <w:t>set out the objective of the auction, which is to “improve the efficiency with which transportation capacity is allocated and foster the development of a more liquid secondary market for transportation capacity”;</w:t>
      </w:r>
      <w:r>
        <w:rPr>
          <w:rStyle w:val="FootnoteReference"/>
        </w:rPr>
        <w:footnoteReference w:id="73"/>
      </w:r>
    </w:p>
    <w:p w14:paraId="05CD433F" w14:textId="77777777" w:rsidR="00110FC0" w:rsidRDefault="00110FC0" w:rsidP="00756C62">
      <w:pPr>
        <w:pStyle w:val="ListBullet"/>
        <w:numPr>
          <w:ilvl w:val="0"/>
          <w:numId w:val="22"/>
        </w:numPr>
        <w:ind w:left="357" w:hanging="357"/>
      </w:pPr>
      <w:r>
        <w:t xml:space="preserve">provide for the establishment, operation and administration of the auction by AEMO and set out the scope of the Auction Procedures and the standard form </w:t>
      </w:r>
      <w:r w:rsidR="00B76BEE">
        <w:t>A</w:t>
      </w:r>
      <w:r>
        <w:t xml:space="preserve">uction </w:t>
      </w:r>
      <w:r w:rsidR="00B76BEE">
        <w:t>A</w:t>
      </w:r>
      <w:r>
        <w:t>greement that AEMO will be required to develop and the fees it can recover;</w:t>
      </w:r>
      <w:r>
        <w:rPr>
          <w:rStyle w:val="FootnoteReference"/>
        </w:rPr>
        <w:t xml:space="preserve"> </w:t>
      </w:r>
      <w:r>
        <w:rPr>
          <w:rStyle w:val="FootnoteReference"/>
        </w:rPr>
        <w:footnoteReference w:id="74"/>
      </w:r>
    </w:p>
    <w:p w14:paraId="2E9983D5" w14:textId="77777777" w:rsidR="00EA5C1E" w:rsidRDefault="00110FC0" w:rsidP="00756C62">
      <w:pPr>
        <w:pStyle w:val="ListBullet"/>
        <w:numPr>
          <w:ilvl w:val="0"/>
          <w:numId w:val="22"/>
        </w:numPr>
        <w:ind w:left="357" w:hanging="357"/>
      </w:pPr>
      <w:r>
        <w:t>specify the services to be auctioned</w:t>
      </w:r>
      <w:r w:rsidR="00EA5C1E">
        <w:t xml:space="preserve"> and</w:t>
      </w:r>
      <w:r>
        <w:t xml:space="preserve"> the auction service priority principles</w:t>
      </w:r>
      <w:r w:rsidR="00EA5C1E">
        <w:t xml:space="preserve"> that auction facility operators must give effect to if it is operationally and technically feasible to do so;</w:t>
      </w:r>
    </w:p>
    <w:p w14:paraId="526341D8" w14:textId="77777777" w:rsidR="00110FC0" w:rsidRDefault="00EA5C1E" w:rsidP="00756C62">
      <w:pPr>
        <w:pStyle w:val="ListBullet"/>
        <w:numPr>
          <w:ilvl w:val="0"/>
          <w:numId w:val="22"/>
        </w:numPr>
        <w:ind w:left="357" w:hanging="357"/>
      </w:pPr>
      <w:r>
        <w:lastRenderedPageBreak/>
        <w:t xml:space="preserve">set out the </w:t>
      </w:r>
      <w:r w:rsidR="00110FC0">
        <w:t xml:space="preserve">auction design principles </w:t>
      </w:r>
      <w:r>
        <w:t xml:space="preserve">that AEMO must give effect to when establishing and operating the auction </w:t>
      </w:r>
      <w:r w:rsidR="00110FC0">
        <w:t xml:space="preserve">and </w:t>
      </w:r>
      <w:r>
        <w:t xml:space="preserve">the </w:t>
      </w:r>
      <w:r w:rsidR="00110FC0">
        <w:t>auction quantity limits</w:t>
      </w:r>
      <w:r>
        <w:t xml:space="preserve"> principles that it must give effect to when developing the methodology to be used to calculate the auction quantity limits</w:t>
      </w:r>
      <w:r w:rsidR="00110FC0">
        <w:t>;</w:t>
      </w:r>
      <w:r w:rsidR="00110FC0">
        <w:rPr>
          <w:rStyle w:val="FootnoteReference"/>
        </w:rPr>
        <w:footnoteReference w:id="75"/>
      </w:r>
    </w:p>
    <w:p w14:paraId="44E1CF8A" w14:textId="77777777" w:rsidR="00110FC0" w:rsidRDefault="00110FC0" w:rsidP="00756C62">
      <w:pPr>
        <w:pStyle w:val="ListBullet"/>
        <w:numPr>
          <w:ilvl w:val="0"/>
          <w:numId w:val="22"/>
        </w:numPr>
        <w:ind w:left="357" w:hanging="357"/>
      </w:pPr>
      <w:r>
        <w:t>set out the obligations that auction facility operators will have to provide information to AEMO and to give effect to the auction results;</w:t>
      </w:r>
      <w:r>
        <w:rPr>
          <w:rStyle w:val="FootnoteReference"/>
        </w:rPr>
        <w:footnoteReference w:id="76"/>
      </w:r>
    </w:p>
    <w:p w14:paraId="25E3B355" w14:textId="77777777" w:rsidR="00110FC0" w:rsidRDefault="00110FC0" w:rsidP="00756C62">
      <w:pPr>
        <w:pStyle w:val="ListBullet"/>
        <w:numPr>
          <w:ilvl w:val="0"/>
          <w:numId w:val="22"/>
        </w:numPr>
        <w:ind w:left="357" w:hanging="357"/>
      </w:pPr>
      <w:r>
        <w:t>specify the standard that will apply to any information that a person is required to provide to AEMO or the AER;</w:t>
      </w:r>
      <w:r>
        <w:rPr>
          <w:rStyle w:val="FootnoteReference"/>
        </w:rPr>
        <w:footnoteReference w:id="77"/>
      </w:r>
    </w:p>
    <w:p w14:paraId="2B638152" w14:textId="77777777" w:rsidR="00CD3029" w:rsidRDefault="00110FC0" w:rsidP="00756C62">
      <w:pPr>
        <w:pStyle w:val="ListBullet"/>
        <w:numPr>
          <w:ilvl w:val="0"/>
          <w:numId w:val="22"/>
        </w:numPr>
        <w:ind w:left="357" w:hanging="357"/>
      </w:pPr>
      <w:r>
        <w:t xml:space="preserve">set out the </w:t>
      </w:r>
      <w:r w:rsidR="00EA5C1E">
        <w:t xml:space="preserve">general requirements and </w:t>
      </w:r>
      <w:r>
        <w:t>market conduct rules that will apply to auction</w:t>
      </w:r>
      <w:r w:rsidR="00EA5C1E">
        <w:t xml:space="preserve"> participants</w:t>
      </w:r>
      <w:r w:rsidR="00CD3029">
        <w:t xml:space="preserve"> and the AER’s role in monitoring compliance with these requirements and </w:t>
      </w:r>
      <w:r w:rsidR="00EB2158">
        <w:t>the NGR</w:t>
      </w:r>
      <w:r w:rsidR="00CD3029">
        <w:t>;</w:t>
      </w:r>
      <w:r w:rsidR="00CD3029">
        <w:rPr>
          <w:rStyle w:val="FootnoteReference"/>
        </w:rPr>
        <w:footnoteReference w:id="78"/>
      </w:r>
    </w:p>
    <w:p w14:paraId="2364FE88" w14:textId="77777777" w:rsidR="00110FC0" w:rsidRDefault="00CD3029" w:rsidP="00756C62">
      <w:pPr>
        <w:pStyle w:val="ListBullet"/>
        <w:numPr>
          <w:ilvl w:val="0"/>
          <w:numId w:val="22"/>
        </w:numPr>
        <w:ind w:left="357" w:hanging="357"/>
      </w:pPr>
      <w:r>
        <w:t xml:space="preserve">impose an obligation on </w:t>
      </w:r>
      <w:r w:rsidR="00EA5C1E">
        <w:t xml:space="preserve">shippers </w:t>
      </w:r>
      <w:r>
        <w:t xml:space="preserve">not to make day-ahead </w:t>
      </w:r>
      <w:r w:rsidR="00110FC0">
        <w:t xml:space="preserve">nominations </w:t>
      </w:r>
      <w:r>
        <w:t xml:space="preserve">or </w:t>
      </w:r>
      <w:r w:rsidR="00110FC0">
        <w:t>renominations</w:t>
      </w:r>
      <w:r>
        <w:t xml:space="preserve"> that are false or misleading or likely to mislead</w:t>
      </w:r>
      <w:r w:rsidR="006B3C51">
        <w:t xml:space="preserve">, </w:t>
      </w:r>
      <w:r>
        <w:t xml:space="preserve">and </w:t>
      </w:r>
      <w:r w:rsidR="006B3C51">
        <w:t xml:space="preserve">require </w:t>
      </w:r>
      <w:r>
        <w:t xml:space="preserve">service providers and shippers </w:t>
      </w:r>
      <w:r w:rsidR="006B3C51">
        <w:t xml:space="preserve">to </w:t>
      </w:r>
      <w:r>
        <w:t xml:space="preserve">make and maintain </w:t>
      </w:r>
      <w:r w:rsidR="006B3C51">
        <w:t xml:space="preserve">records </w:t>
      </w:r>
      <w:r>
        <w:t xml:space="preserve">on nominations and/or renominations in accordance with guidelines issued by the </w:t>
      </w:r>
      <w:r w:rsidR="00110FC0">
        <w:t>AER;</w:t>
      </w:r>
      <w:r w:rsidR="00110FC0">
        <w:rPr>
          <w:rStyle w:val="FootnoteReference"/>
        </w:rPr>
        <w:footnoteReference w:id="79"/>
      </w:r>
      <w:r w:rsidR="00110FC0">
        <w:t xml:space="preserve"> and </w:t>
      </w:r>
    </w:p>
    <w:p w14:paraId="748575C7" w14:textId="77777777" w:rsidR="00110FC0" w:rsidRDefault="00110FC0" w:rsidP="00756C62">
      <w:pPr>
        <w:pStyle w:val="ListBullet"/>
        <w:numPr>
          <w:ilvl w:val="0"/>
          <w:numId w:val="22"/>
        </w:numPr>
        <w:ind w:left="357" w:hanging="357"/>
      </w:pPr>
      <w:r>
        <w:t xml:space="preserve">provide for the payment of auction revenues to </w:t>
      </w:r>
      <w:r w:rsidR="00AF5DD8">
        <w:t>auction facility operators</w:t>
      </w:r>
      <w:r>
        <w:t>.</w:t>
      </w:r>
      <w:r>
        <w:rPr>
          <w:rStyle w:val="FootnoteReference"/>
        </w:rPr>
        <w:footnoteReference w:id="80"/>
      </w:r>
    </w:p>
    <w:p w14:paraId="3F045359" w14:textId="77777777" w:rsidR="00F2230C" w:rsidRDefault="00110FC0" w:rsidP="00110FC0">
      <w:pPr>
        <w:pStyle w:val="BodyText"/>
      </w:pPr>
      <w:r>
        <w:t xml:space="preserve">These changes are set out in </w:t>
      </w:r>
      <w:r>
        <w:rPr>
          <w:b/>
        </w:rPr>
        <w:t>Part 25 (Capacity Auction),</w:t>
      </w:r>
      <w:r>
        <w:t xml:space="preserve"> which is a new part that will be added to the NGR. </w:t>
      </w:r>
    </w:p>
    <w:p w14:paraId="23FE4125" w14:textId="77777777" w:rsidR="00F71AC6" w:rsidRDefault="00F71AC6" w:rsidP="00F71AC6">
      <w:pPr>
        <w:pStyle w:val="BodyText"/>
      </w:pPr>
      <w:r>
        <w:t>To deal with some of the transitional issues associated with the auction, a number of transitional rules will be set out in Schedule 5, including the commencement dates for Part 25 and the auction and what is to occur in the intervening period</w:t>
      </w:r>
      <w:r w:rsidR="00EA5C1E">
        <w:t xml:space="preserve"> (auction transition period)</w:t>
      </w:r>
      <w:r>
        <w:t>. The transitional rules also set out:</w:t>
      </w:r>
    </w:p>
    <w:p w14:paraId="6C15EAAD" w14:textId="77777777" w:rsidR="00F71AC6" w:rsidRDefault="00F71AC6" w:rsidP="00F71AC6">
      <w:pPr>
        <w:pStyle w:val="ListBullet"/>
      </w:pPr>
      <w:r>
        <w:t xml:space="preserve">The transitional arrangements that will apply to the ‘grandfathered’ rights, which the GMRG is </w:t>
      </w:r>
      <w:r w:rsidR="00067F90">
        <w:t xml:space="preserve">proposing </w:t>
      </w:r>
      <w:r>
        <w:t xml:space="preserve">only be available in the limited circumstances described in section </w:t>
      </w:r>
      <w:r>
        <w:fldChar w:fldCharType="begin"/>
      </w:r>
      <w:r>
        <w:instrText xml:space="preserve"> REF _Ref509029038 \r \h </w:instrText>
      </w:r>
      <w:r>
        <w:fldChar w:fldCharType="separate"/>
      </w:r>
      <w:r w:rsidR="00830BE4">
        <w:t>5.1.1</w:t>
      </w:r>
      <w:r>
        <w:fldChar w:fldCharType="end"/>
      </w:r>
      <w:r>
        <w:t xml:space="preserve"> for a maximum of two years.</w:t>
      </w:r>
      <w:r>
        <w:rPr>
          <w:rStyle w:val="FootnoteReference"/>
        </w:rPr>
        <w:footnoteReference w:id="81"/>
      </w:r>
    </w:p>
    <w:p w14:paraId="1FD8DE91" w14:textId="77777777" w:rsidR="0099483D" w:rsidRDefault="00CD3029" w:rsidP="00F71AC6">
      <w:pPr>
        <w:pStyle w:val="ListBullet"/>
      </w:pPr>
      <w:r>
        <w:t>The commencement dates for the obligation that shippers and auction facility operators will have to keep records of nominations and/or renominations and the date by which the AER will be required to develop and publish an initial guideline on the information to be recorded.</w:t>
      </w:r>
      <w:r>
        <w:rPr>
          <w:rStyle w:val="FootnoteReference"/>
        </w:rPr>
        <w:footnoteReference w:id="82"/>
      </w:r>
    </w:p>
    <w:p w14:paraId="5DDF33EB" w14:textId="77777777" w:rsidR="00F71AC6" w:rsidRDefault="00F71AC6" w:rsidP="00F71AC6">
      <w:pPr>
        <w:pStyle w:val="ListBullet"/>
      </w:pPr>
      <w:r>
        <w:t>The reporting obligations that compression service facility operators registered under Part 24 will be required to comply with to enable auction participants to understand the risks associated with the compression auction product. The reporting obligations, which are similar to the Bulletin Board reporting obligations that pipeline service providers are subject to, will commence on 1 February 2019 and end when the facility is registered as a Bulletin Board facility under Part 18.</w:t>
      </w:r>
      <w:r>
        <w:rPr>
          <w:rStyle w:val="FootnoteReference"/>
        </w:rPr>
        <w:footnoteReference w:id="83"/>
      </w:r>
    </w:p>
    <w:p w14:paraId="56D7B701" w14:textId="77777777" w:rsidR="00F71AC6" w:rsidRDefault="00F71AC6" w:rsidP="00F71AC6">
      <w:pPr>
        <w:pStyle w:val="BodyText"/>
      </w:pPr>
      <w:r>
        <w:rPr>
          <w:rFonts w:asciiTheme="majorHAnsi" w:hAnsiTheme="majorHAnsi" w:cstheme="majorHAnsi"/>
          <w:szCs w:val="18"/>
          <w:lang w:eastAsia="fr-CA"/>
        </w:rPr>
        <w:lastRenderedPageBreak/>
        <w:t xml:space="preserve">In relation to the latter of these transitional rules, the reporting obligation has been included in the Part 25 transitional rules rather than Part 18 because a separate amendment to the NGL is currently being progressed that will expand the scope of the Bulletin Board reporting obligations to include compressors. When this amendment is made, the AEMC will consider the second stage of its proposed Part 18 rule change, which </w:t>
      </w:r>
      <w:r w:rsidR="00EA5C1E">
        <w:rPr>
          <w:rFonts w:asciiTheme="majorHAnsi" w:hAnsiTheme="majorHAnsi" w:cstheme="majorHAnsi"/>
          <w:szCs w:val="18"/>
          <w:lang w:eastAsia="fr-CA"/>
        </w:rPr>
        <w:t xml:space="preserve">provides for </w:t>
      </w:r>
      <w:r>
        <w:rPr>
          <w:rFonts w:asciiTheme="majorHAnsi" w:hAnsiTheme="majorHAnsi" w:cstheme="majorHAnsi"/>
          <w:szCs w:val="18"/>
          <w:lang w:eastAsia="fr-CA"/>
        </w:rPr>
        <w:t xml:space="preserve">similar obligations </w:t>
      </w:r>
      <w:r w:rsidR="00EA5C1E">
        <w:rPr>
          <w:rFonts w:asciiTheme="majorHAnsi" w:hAnsiTheme="majorHAnsi" w:cstheme="majorHAnsi"/>
          <w:szCs w:val="18"/>
          <w:lang w:eastAsia="fr-CA"/>
        </w:rPr>
        <w:t xml:space="preserve">to be applied to </w:t>
      </w:r>
      <w:r>
        <w:rPr>
          <w:rFonts w:asciiTheme="majorHAnsi" w:hAnsiTheme="majorHAnsi" w:cstheme="majorHAnsi"/>
          <w:szCs w:val="18"/>
          <w:lang w:eastAsia="fr-CA"/>
        </w:rPr>
        <w:t xml:space="preserve">compression </w:t>
      </w:r>
      <w:r w:rsidR="00D234CC">
        <w:rPr>
          <w:rFonts w:asciiTheme="majorHAnsi" w:hAnsiTheme="majorHAnsi" w:cstheme="majorHAnsi"/>
          <w:szCs w:val="18"/>
          <w:lang w:eastAsia="fr-CA"/>
        </w:rPr>
        <w:t xml:space="preserve">service </w:t>
      </w:r>
      <w:r>
        <w:rPr>
          <w:rFonts w:asciiTheme="majorHAnsi" w:hAnsiTheme="majorHAnsi" w:cstheme="majorHAnsi"/>
          <w:szCs w:val="18"/>
          <w:lang w:eastAsia="fr-CA"/>
        </w:rPr>
        <w:t>facility operators. Once the new rules are implemented and the compression facilities are registered under Part 18, this transitional rule will lapse.</w:t>
      </w:r>
    </w:p>
    <w:p w14:paraId="2C948C23" w14:textId="77777777" w:rsidR="00110FC0" w:rsidRDefault="00110FC0" w:rsidP="00110FC0">
      <w:pPr>
        <w:pStyle w:val="BodyText"/>
      </w:pPr>
      <w:r>
        <w:t xml:space="preserve">The provisions in Part 25 </w:t>
      </w:r>
      <w:r w:rsidR="006E3CBE">
        <w:t xml:space="preserve">and the transitional rules </w:t>
      </w:r>
      <w:r>
        <w:t xml:space="preserve">should be read in conjunction with: </w:t>
      </w:r>
    </w:p>
    <w:p w14:paraId="59D0EE55" w14:textId="77777777" w:rsidR="00110FC0" w:rsidRDefault="00110FC0" w:rsidP="00756C62">
      <w:pPr>
        <w:pStyle w:val="ListBullet"/>
        <w:numPr>
          <w:ilvl w:val="0"/>
          <w:numId w:val="22"/>
        </w:numPr>
        <w:ind w:left="357" w:hanging="357"/>
      </w:pPr>
      <w:r>
        <w:t>Part 24 (Facilitating capacity trades and the capacity auction) of the NGR, which, amongst other things sets out:</w:t>
      </w:r>
    </w:p>
    <w:p w14:paraId="3F5427FE" w14:textId="77777777" w:rsidR="00110FC0" w:rsidRDefault="00110FC0" w:rsidP="00756C62">
      <w:pPr>
        <w:pStyle w:val="ListBullet2"/>
        <w:numPr>
          <w:ilvl w:val="0"/>
          <w:numId w:val="23"/>
        </w:numPr>
        <w:ind w:left="714" w:hanging="357"/>
      </w:pPr>
      <w:r>
        <w:t>The circumstances in which an exemption from the auction can be obtained (note that if a facility is an exempt transportation facility under Part 24 of the NGR then it is also exempt from the auction).</w:t>
      </w:r>
      <w:r>
        <w:rPr>
          <w:rStyle w:val="FootnoteReference"/>
        </w:rPr>
        <w:footnoteReference w:id="84"/>
      </w:r>
      <w:r>
        <w:t xml:space="preserve"> </w:t>
      </w:r>
    </w:p>
    <w:p w14:paraId="1A8F1172" w14:textId="77777777" w:rsidR="00110FC0" w:rsidRDefault="00110FC0" w:rsidP="00756C62">
      <w:pPr>
        <w:pStyle w:val="ListBullet2"/>
        <w:numPr>
          <w:ilvl w:val="0"/>
          <w:numId w:val="23"/>
        </w:numPr>
        <w:ind w:left="714" w:hanging="357"/>
      </w:pPr>
      <w:r>
        <w:t>The auction related matters that must be dealt with in the Code</w:t>
      </w:r>
      <w:r>
        <w:rPr>
          <w:rStyle w:val="FootnoteReference"/>
        </w:rPr>
        <w:footnoteReference w:id="85"/>
      </w:r>
      <w:r>
        <w:t xml:space="preserve"> and the obligation that service providers have to ensure their facility specific terms comply with the auction service priority principles.</w:t>
      </w:r>
      <w:r>
        <w:rPr>
          <w:rStyle w:val="FootnoteReference"/>
        </w:rPr>
        <w:footnoteReference w:id="86"/>
      </w:r>
    </w:p>
    <w:p w14:paraId="7D9CF18A" w14:textId="77777777" w:rsidR="00110FC0" w:rsidRDefault="00110FC0" w:rsidP="00756C62">
      <w:pPr>
        <w:pStyle w:val="ListBullet2"/>
        <w:numPr>
          <w:ilvl w:val="0"/>
          <w:numId w:val="23"/>
        </w:numPr>
        <w:ind w:left="714" w:hanging="357"/>
      </w:pPr>
      <w:r>
        <w:t>A number of matters to be dealt with in the Capacity Transfer and Auction Procedures, including:</w:t>
      </w:r>
      <w:r>
        <w:rPr>
          <w:rStyle w:val="FootnoteReference"/>
        </w:rPr>
        <w:t xml:space="preserve"> </w:t>
      </w:r>
      <w:r>
        <w:rPr>
          <w:rStyle w:val="FootnoteReference"/>
        </w:rPr>
        <w:footnoteReference w:id="87"/>
      </w:r>
      <w:r>
        <w:t xml:space="preserve"> </w:t>
      </w:r>
    </w:p>
    <w:p w14:paraId="08EB4501" w14:textId="77777777" w:rsidR="00110FC0" w:rsidRDefault="00110FC0" w:rsidP="00756C62">
      <w:pPr>
        <w:pStyle w:val="ListBullet3"/>
        <w:numPr>
          <w:ilvl w:val="0"/>
          <w:numId w:val="24"/>
        </w:numPr>
      </w:pPr>
      <w:r>
        <w:t>the process for obtaining information on the facility agreements to be used to give effect to capacity procured through the auction;</w:t>
      </w:r>
      <w:r>
        <w:rPr>
          <w:rStyle w:val="FootnoteReference"/>
        </w:rPr>
        <w:t xml:space="preserve"> </w:t>
      </w:r>
    </w:p>
    <w:p w14:paraId="44C2F33B" w14:textId="77777777" w:rsidR="00110FC0" w:rsidRDefault="00110FC0" w:rsidP="00756C62">
      <w:pPr>
        <w:pStyle w:val="ListBullet2"/>
        <w:numPr>
          <w:ilvl w:val="0"/>
          <w:numId w:val="24"/>
        </w:numPr>
      </w:pPr>
      <w:r>
        <w:t xml:space="preserve">the process for determining the zones, pipeline segments and service points that will be used in the auction; and </w:t>
      </w:r>
    </w:p>
    <w:p w14:paraId="05F9FD4C" w14:textId="77777777" w:rsidR="00110FC0" w:rsidRDefault="00110FC0" w:rsidP="00756C62">
      <w:pPr>
        <w:pStyle w:val="ListBullet2"/>
        <w:numPr>
          <w:ilvl w:val="0"/>
          <w:numId w:val="24"/>
        </w:numPr>
      </w:pPr>
      <w:r>
        <w:t>the arrangements that will apply to capacity procured through the auction at a DWGM interface point.</w:t>
      </w:r>
    </w:p>
    <w:p w14:paraId="6276FE6F" w14:textId="77777777" w:rsidR="00110FC0" w:rsidRDefault="00110FC0" w:rsidP="00110FC0">
      <w:pPr>
        <w:pStyle w:val="ListBullet"/>
        <w:numPr>
          <w:ilvl w:val="0"/>
          <w:numId w:val="0"/>
        </w:numPr>
        <w:ind w:left="357"/>
      </w:pPr>
      <w:r>
        <w:t xml:space="preserve">Further detail on these provisions can be found in Chapter 4. </w:t>
      </w:r>
    </w:p>
    <w:p w14:paraId="0A0BE083" w14:textId="77777777" w:rsidR="00110FC0" w:rsidRDefault="00110FC0" w:rsidP="00756C62">
      <w:pPr>
        <w:pStyle w:val="ListBullet"/>
        <w:numPr>
          <w:ilvl w:val="0"/>
          <w:numId w:val="22"/>
        </w:numPr>
        <w:ind w:left="357" w:hanging="357"/>
      </w:pPr>
      <w:r>
        <w:t xml:space="preserve">The proposed amendments to Part 18 (Natural Gas Services Bulletin Board) of the NGR and the transitional rules associated with this part of the NGR, which require: </w:t>
      </w:r>
    </w:p>
    <w:p w14:paraId="04B0C28E" w14:textId="77777777" w:rsidR="00110FC0" w:rsidRDefault="009A0A3F" w:rsidP="00756C62">
      <w:pPr>
        <w:pStyle w:val="ListBullet2"/>
        <w:numPr>
          <w:ilvl w:val="0"/>
          <w:numId w:val="23"/>
        </w:numPr>
        <w:ind w:left="714" w:hanging="357"/>
      </w:pPr>
      <w:r>
        <w:t>S</w:t>
      </w:r>
      <w:r w:rsidR="00110FC0">
        <w:t>ervice providers to provide AEMO with information on the nameplate rating, short-term and medium-term capacity outlook for each receipt and delivery point.</w:t>
      </w:r>
      <w:r w:rsidR="00110FC0">
        <w:rPr>
          <w:rStyle w:val="FootnoteReference"/>
        </w:rPr>
        <w:footnoteReference w:id="88"/>
      </w:r>
      <w:r w:rsidR="00110FC0">
        <w:t xml:space="preserve"> This information, coupled with historic daily flow data at a receipt and delivery point level, will enable auction participants and capacity trading platform users to assess the risks associated with trying to use the capacity procured through either mechanism </w:t>
      </w:r>
      <w:r w:rsidR="00027274">
        <w:t xml:space="preserve">at </w:t>
      </w:r>
      <w:r w:rsidR="00110FC0">
        <w:t xml:space="preserve">a particular point, given they will have lower priority at those points. </w:t>
      </w:r>
    </w:p>
    <w:p w14:paraId="0C248793" w14:textId="77777777" w:rsidR="00110FC0" w:rsidRDefault="00110FC0" w:rsidP="00756C62">
      <w:pPr>
        <w:pStyle w:val="ListBullet2"/>
        <w:numPr>
          <w:ilvl w:val="0"/>
          <w:numId w:val="23"/>
        </w:numPr>
        <w:ind w:left="714" w:hanging="357"/>
      </w:pPr>
      <w:r>
        <w:t xml:space="preserve">Remote transportation facilities that would otherwise be excluded from the Bulletin Board reporting obligations but are unable to obtain an exemption under Part 24 of </w:t>
      </w:r>
      <w:r>
        <w:lastRenderedPageBreak/>
        <w:t>the NGR, to be subject to the reporting obligations.</w:t>
      </w:r>
      <w:r>
        <w:rPr>
          <w:rStyle w:val="FootnoteReference"/>
        </w:rPr>
        <w:footnoteReference w:id="89"/>
      </w:r>
      <w:r>
        <w:t xml:space="preserve"> The extension of the reporting obligation to these facilities will enable auction participants and capacity trading platform users that utilise these pipelines to assess the risks associated with trying to use the capacity procured through either </w:t>
      </w:r>
      <w:r w:rsidR="007C2F4C">
        <w:t>the auction or capacity trading platform</w:t>
      </w:r>
      <w:r>
        <w:t xml:space="preserve">. </w:t>
      </w:r>
    </w:p>
    <w:p w14:paraId="7071B88A" w14:textId="77777777" w:rsidR="00110FC0" w:rsidRDefault="00110FC0" w:rsidP="00756C62">
      <w:pPr>
        <w:pStyle w:val="ListBullet2"/>
        <w:numPr>
          <w:ilvl w:val="0"/>
          <w:numId w:val="23"/>
        </w:numPr>
        <w:ind w:left="714" w:hanging="357"/>
      </w:pPr>
      <w:r>
        <w:t>AEMO to publish the auction information specified in the Auction Procedures (e.g. auction results and auction quantity limits) on the Bulletin Board.</w:t>
      </w:r>
      <w:r>
        <w:rPr>
          <w:rStyle w:val="FootnoteReference"/>
        </w:rPr>
        <w:footnoteReference w:id="90"/>
      </w:r>
      <w:r>
        <w:t xml:space="preserve"> </w:t>
      </w:r>
    </w:p>
    <w:p w14:paraId="55C1716E" w14:textId="77777777" w:rsidR="00110FC0" w:rsidRDefault="00110FC0" w:rsidP="004736C6">
      <w:pPr>
        <w:pStyle w:val="BodyText"/>
      </w:pPr>
      <w:r>
        <w:t>Further detail on these provisions can be found in Chapter 7.</w:t>
      </w:r>
    </w:p>
    <w:p w14:paraId="792966FE" w14:textId="77777777" w:rsidR="00110FC0" w:rsidRDefault="00110FC0" w:rsidP="00756C62">
      <w:pPr>
        <w:pStyle w:val="Heading3"/>
        <w:numPr>
          <w:ilvl w:val="2"/>
          <w:numId w:val="20"/>
        </w:numPr>
      </w:pPr>
      <w:r>
        <w:t xml:space="preserve">Proposed changes to the Regulations </w:t>
      </w:r>
    </w:p>
    <w:p w14:paraId="44611CE7" w14:textId="77777777" w:rsidR="00110FC0" w:rsidRDefault="00110FC0" w:rsidP="00110FC0">
      <w:pPr>
        <w:pStyle w:val="BodyText"/>
      </w:pPr>
      <w:r>
        <w:t>Changes to the Regulations will be required to specify:</w:t>
      </w:r>
    </w:p>
    <w:p w14:paraId="5C9EA2DB" w14:textId="77777777" w:rsidR="00110FC0" w:rsidRDefault="00110FC0" w:rsidP="00756C62">
      <w:pPr>
        <w:pStyle w:val="ListBullet"/>
        <w:numPr>
          <w:ilvl w:val="0"/>
          <w:numId w:val="22"/>
        </w:numPr>
        <w:ind w:left="357" w:hanging="357"/>
      </w:pPr>
      <w:r>
        <w:t xml:space="preserve">the maximum civil monetary liabilities that will apply to parties providing capacity auction information to AEMO, which will be set out in </w:t>
      </w:r>
      <w:r>
        <w:rPr>
          <w:b/>
        </w:rPr>
        <w:t>Regulation 10</w:t>
      </w:r>
      <w:r>
        <w:t>; and</w:t>
      </w:r>
    </w:p>
    <w:p w14:paraId="4CDA9CB3" w14:textId="77777777" w:rsidR="00110FC0" w:rsidRDefault="00110FC0" w:rsidP="00756C62">
      <w:pPr>
        <w:pStyle w:val="ListBullet"/>
        <w:numPr>
          <w:ilvl w:val="0"/>
          <w:numId w:val="22"/>
        </w:numPr>
        <w:ind w:left="357" w:hanging="357"/>
      </w:pPr>
      <w:r>
        <w:t xml:space="preserve">those provisions in the NGL and NGR that will be classified as civil penalty or conduct provisions, which will be set out in </w:t>
      </w:r>
      <w:r>
        <w:rPr>
          <w:b/>
        </w:rPr>
        <w:t>Schedule 3</w:t>
      </w:r>
      <w:r>
        <w:t xml:space="preserve"> and </w:t>
      </w:r>
      <w:r>
        <w:rPr>
          <w:b/>
        </w:rPr>
        <w:t>Schedule 4</w:t>
      </w:r>
      <w:r>
        <w:t xml:space="preserve"> </w:t>
      </w:r>
      <w:r>
        <w:rPr>
          <w:b/>
        </w:rPr>
        <w:t>of the Regulations</w:t>
      </w:r>
      <w:r>
        <w:t>.</w:t>
      </w:r>
    </w:p>
    <w:p w14:paraId="79BA6381" w14:textId="77777777" w:rsidR="004736C6" w:rsidRDefault="004736C6" w:rsidP="004736C6">
      <w:pPr>
        <w:pStyle w:val="BodyText"/>
      </w:pPr>
      <w:r>
        <w:t xml:space="preserve">A list of the provisions in the NGL and NGR that are expected to be classified as civil penalty provisions is provided in </w:t>
      </w:r>
      <w:r w:rsidR="00F02668">
        <w:t>Appendix A</w:t>
      </w:r>
      <w:r>
        <w:t>.</w:t>
      </w:r>
    </w:p>
    <w:p w14:paraId="7E883BF4" w14:textId="77777777" w:rsidR="007260A1" w:rsidRDefault="007260A1" w:rsidP="007260A1">
      <w:pPr>
        <w:pStyle w:val="BodyText"/>
      </w:pPr>
      <w:bookmarkStart w:id="110" w:name="_Toc508702029"/>
      <w:r>
        <w:br w:type="page"/>
      </w:r>
    </w:p>
    <w:p w14:paraId="4B70F5A7" w14:textId="77777777" w:rsidR="00110FC0" w:rsidRDefault="00110FC0" w:rsidP="00756C62">
      <w:pPr>
        <w:pStyle w:val="Heading1"/>
        <w:numPr>
          <w:ilvl w:val="0"/>
          <w:numId w:val="20"/>
        </w:numPr>
        <w:spacing w:before="240" w:after="120"/>
        <w:ind w:left="624"/>
      </w:pPr>
      <w:bookmarkStart w:id="111" w:name="_Toc509239437"/>
      <w:r>
        <w:lastRenderedPageBreak/>
        <w:t>Capacity Trading Platform</w:t>
      </w:r>
      <w:bookmarkEnd w:id="110"/>
      <w:bookmarkEnd w:id="111"/>
      <w:r>
        <w:t xml:space="preserve"> </w:t>
      </w:r>
    </w:p>
    <w:p w14:paraId="478CE4CE" w14:textId="77777777" w:rsidR="009D1ABB" w:rsidRDefault="009D1ABB" w:rsidP="009D1ABB">
      <w:pPr>
        <w:pStyle w:val="BodyText"/>
        <w:rPr>
          <w:rFonts w:cs="Arial"/>
        </w:rPr>
      </w:pPr>
      <w:bookmarkStart w:id="112" w:name="_Toc508702030"/>
      <w:r>
        <w:t xml:space="preserve">The capacity trading platform is a key element of the capacity trading reform package that will enable </w:t>
      </w:r>
      <w:r w:rsidR="00EA5C1E">
        <w:t xml:space="preserve">shippers </w:t>
      </w:r>
      <w:r>
        <w:t xml:space="preserve">to </w:t>
      </w:r>
      <w:r>
        <w:rPr>
          <w:rFonts w:cs="Arial"/>
        </w:rPr>
        <w:t xml:space="preserve">trade any spare secondary transportation capacity they may have prior to the nomination cut-off time on gas day D-1 using either: </w:t>
      </w:r>
    </w:p>
    <w:p w14:paraId="03328436" w14:textId="77777777" w:rsidR="009D1ABB" w:rsidRDefault="0063763F" w:rsidP="00756C62">
      <w:pPr>
        <w:pStyle w:val="ListBullet"/>
        <w:numPr>
          <w:ilvl w:val="0"/>
          <w:numId w:val="22"/>
        </w:numPr>
        <w:ind w:left="357" w:hanging="357"/>
      </w:pPr>
      <w:r>
        <w:rPr>
          <w:b/>
        </w:rPr>
        <w:t>e</w:t>
      </w:r>
      <w:r w:rsidR="009D1ABB">
        <w:rPr>
          <w:b/>
        </w:rPr>
        <w:t>xchange</w:t>
      </w:r>
      <w:r>
        <w:rPr>
          <w:b/>
        </w:rPr>
        <w:t xml:space="preserve"> based trading</w:t>
      </w:r>
      <w:r w:rsidR="009D1ABB">
        <w:rPr>
          <w:b/>
        </w:rPr>
        <w:t xml:space="preserve">, </w:t>
      </w:r>
      <w:r w:rsidR="009D1ABB">
        <w:t>which will be used to facilitate the trade of standardised transportation products through either screen trading or the pre-matched trade service;</w:t>
      </w:r>
      <w:r w:rsidR="009D1ABB">
        <w:rPr>
          <w:rStyle w:val="FootnoteReference"/>
        </w:rPr>
        <w:footnoteReference w:id="91"/>
      </w:r>
      <w:r w:rsidR="009D1ABB">
        <w:t xml:space="preserve"> or </w:t>
      </w:r>
    </w:p>
    <w:p w14:paraId="4406C922" w14:textId="77777777" w:rsidR="009D1ABB" w:rsidRDefault="009D1ABB" w:rsidP="00756C62">
      <w:pPr>
        <w:pStyle w:val="ListBullet"/>
        <w:numPr>
          <w:ilvl w:val="0"/>
          <w:numId w:val="22"/>
        </w:numPr>
        <w:ind w:left="357" w:hanging="357"/>
      </w:pPr>
      <w:r>
        <w:rPr>
          <w:b/>
        </w:rPr>
        <w:t>the listing service</w:t>
      </w:r>
      <w:r>
        <w:t xml:space="preserve">, which will be used to facilitate the trade of more bespoke transportation products through bilateral (off-market) trades. </w:t>
      </w:r>
    </w:p>
    <w:p w14:paraId="535EFC10" w14:textId="77777777" w:rsidR="009D1ABB" w:rsidRPr="00067F90" w:rsidRDefault="009D1ABB" w:rsidP="009D1ABB">
      <w:pPr>
        <w:pStyle w:val="BodyText"/>
      </w:pPr>
      <w:r>
        <w:t>The c</w:t>
      </w:r>
      <w:r w:rsidRPr="00067F90">
        <w:t xml:space="preserve">apacity trading platform, which will be operated and administered by AEMO and form part of the GSH, is intended to reduce the search and transaction costs that shippers may otherwise face when trying to trade secondary capacity. </w:t>
      </w:r>
    </w:p>
    <w:p w14:paraId="7DF8D311" w14:textId="77777777" w:rsidR="00DD1BC2" w:rsidRPr="00067F90" w:rsidRDefault="009D1ABB" w:rsidP="009D1ABB">
      <w:pPr>
        <w:pStyle w:val="BodyText"/>
      </w:pPr>
      <w:r w:rsidRPr="00067F90">
        <w:t xml:space="preserve">To implement the capacity trading platform, a number of amendments </w:t>
      </w:r>
      <w:r w:rsidR="00067F90">
        <w:t xml:space="preserve">are required </w:t>
      </w:r>
      <w:r w:rsidRPr="00067F90">
        <w:t xml:space="preserve">to the NGL, </w:t>
      </w:r>
      <w:r w:rsidR="00DD1BC2" w:rsidRPr="00067F90">
        <w:t xml:space="preserve">the Regulations and </w:t>
      </w:r>
      <w:r w:rsidRPr="00067F90">
        <w:t xml:space="preserve">the NGR and a range of other AEMO-made subordinate instruments.  </w:t>
      </w:r>
      <w:r w:rsidR="00DD1BC2" w:rsidRPr="00067F90">
        <w:t>AEMO will also need to develop the Capacity Transfer and Auction Procedures, which, amongst other things</w:t>
      </w:r>
      <w:r w:rsidR="007C2F4C" w:rsidRPr="00067F90">
        <w:t>,</w:t>
      </w:r>
      <w:r w:rsidR="00DD1BC2" w:rsidRPr="00067F90">
        <w:t xml:space="preserve"> will set out the transaction support arrangements that will underpin the capacity trading platform (see Chapter 4 for more detail). </w:t>
      </w:r>
    </w:p>
    <w:p w14:paraId="4DC62A89" w14:textId="77777777" w:rsidR="009D1ABB" w:rsidRDefault="009D1ABB" w:rsidP="009D1ABB">
      <w:pPr>
        <w:pStyle w:val="BodyText"/>
      </w:pPr>
      <w:r w:rsidRPr="00067F90">
        <w:t xml:space="preserve">Further detail on </w:t>
      </w:r>
      <w:r w:rsidR="00DD1BC2" w:rsidRPr="00067F90">
        <w:t xml:space="preserve">the </w:t>
      </w:r>
      <w:r w:rsidR="00BA7528" w:rsidRPr="00067F90">
        <w:t xml:space="preserve">proposed </w:t>
      </w:r>
      <w:r w:rsidRPr="00067F90">
        <w:t xml:space="preserve">amendments </w:t>
      </w:r>
      <w:r w:rsidR="00DD1BC2" w:rsidRPr="00067F90">
        <w:t xml:space="preserve">to the NGL, Regulations and NGR </w:t>
      </w:r>
      <w:r w:rsidRPr="00067F90">
        <w:t>is provided in the remainder of this chapter, which commences with a brief overview of the design of the capacity trading platform that was approved by the Energy Council at its 24 November 2017 meeting.</w:t>
      </w:r>
      <w:r>
        <w:t xml:space="preserve">  </w:t>
      </w:r>
    </w:p>
    <w:p w14:paraId="465AB13F" w14:textId="77777777" w:rsidR="00110FC0" w:rsidRDefault="00333568" w:rsidP="00756C62">
      <w:pPr>
        <w:pStyle w:val="Heading2"/>
        <w:numPr>
          <w:ilvl w:val="1"/>
          <w:numId w:val="20"/>
        </w:numPr>
        <w:ind w:left="624"/>
      </w:pPr>
      <w:bookmarkStart w:id="113" w:name="_Toc509239438"/>
      <w:r>
        <w:t xml:space="preserve">Overview </w:t>
      </w:r>
      <w:r w:rsidR="00110FC0">
        <w:t>of the capacity trading platform</w:t>
      </w:r>
      <w:bookmarkEnd w:id="112"/>
      <w:bookmarkEnd w:id="113"/>
    </w:p>
    <w:p w14:paraId="204E91CF" w14:textId="77777777" w:rsidR="00F00DEB" w:rsidRDefault="00A81DBD" w:rsidP="009D1ABB">
      <w:pPr>
        <w:pStyle w:val="BodyText"/>
      </w:pPr>
      <w:r>
        <w:fldChar w:fldCharType="begin"/>
      </w:r>
      <w:r>
        <w:instrText xml:space="preserve"> REF _Ref508823283 \h </w:instrText>
      </w:r>
      <w:r>
        <w:fldChar w:fldCharType="separate"/>
      </w:r>
      <w:r w:rsidR="00830BE4">
        <w:t xml:space="preserve">Table </w:t>
      </w:r>
      <w:r w:rsidR="00830BE4">
        <w:rPr>
          <w:noProof/>
        </w:rPr>
        <w:t>6</w:t>
      </w:r>
      <w:r w:rsidR="00830BE4">
        <w:t>.</w:t>
      </w:r>
      <w:r w:rsidR="00830BE4">
        <w:rPr>
          <w:noProof/>
        </w:rPr>
        <w:t>1</w:t>
      </w:r>
      <w:r>
        <w:fldChar w:fldCharType="end"/>
      </w:r>
      <w:r>
        <w:t xml:space="preserve"> </w:t>
      </w:r>
      <w:r w:rsidR="00110FC0">
        <w:t xml:space="preserve">contains a summary of the </w:t>
      </w:r>
      <w:r w:rsidR="009D1ABB">
        <w:t xml:space="preserve">key features of the </w:t>
      </w:r>
      <w:r w:rsidR="00110FC0">
        <w:t xml:space="preserve">capacity trading platform.  </w:t>
      </w:r>
    </w:p>
    <w:p w14:paraId="013C7677" w14:textId="77777777" w:rsidR="00067F90" w:rsidRDefault="009D1ABB" w:rsidP="009D1ABB">
      <w:pPr>
        <w:pStyle w:val="BodyText"/>
      </w:pPr>
      <w:r>
        <w:t>As this table highlights, the initial set of services to be listed on the exchange will include firm forward haul services, firm stand-alone compression services and firm park (storage) services. While it will be possible to add other products to the exchange over time</w:t>
      </w:r>
      <w:r w:rsidR="00F00DEB">
        <w:t xml:space="preserve"> or to extend the term of the existing set of products</w:t>
      </w:r>
      <w:r>
        <w:t xml:space="preserve">, it is worth noting that, </w:t>
      </w:r>
      <w:r w:rsidR="00110FC0">
        <w:t xml:space="preserve">as a practical matter, a product can only be listed </w:t>
      </w:r>
      <w:r>
        <w:t xml:space="preserve">on the exchange </w:t>
      </w:r>
      <w:r w:rsidR="00110FC0">
        <w:t xml:space="preserve">if it can be 'delivered'. </w:t>
      </w:r>
    </w:p>
    <w:p w14:paraId="0799528E" w14:textId="77777777" w:rsidR="00110FC0" w:rsidRDefault="00110FC0" w:rsidP="009D1ABB">
      <w:pPr>
        <w:pStyle w:val="BodyText"/>
      </w:pPr>
      <w:r>
        <w:t xml:space="preserve">In the case of transportation services, 'delivery' requires the service provider to agree to give effect to the trade. The reach of the platform is therefore constrained by the </w:t>
      </w:r>
      <w:r w:rsidR="009D1ABB">
        <w:t xml:space="preserve">specification of the standardised services provided for in the </w:t>
      </w:r>
      <w:r>
        <w:t>Code (</w:t>
      </w:r>
      <w:r w:rsidR="009D1ABB">
        <w:t xml:space="preserve">see </w:t>
      </w:r>
      <w:r>
        <w:t>Chapter 4)</w:t>
      </w:r>
      <w:r w:rsidR="009D1ABB">
        <w:t xml:space="preserve">. Any proposal to add different types of transportation services to the exchange (e.g. a loan service) </w:t>
      </w:r>
      <w:r w:rsidR="00067F90">
        <w:t xml:space="preserve">would </w:t>
      </w:r>
      <w:r w:rsidR="009D1ABB">
        <w:t>require changes to also be made to the Code (</w:t>
      </w:r>
      <w:r>
        <w:t>unless a service provider volunteers to put in place arrangements that allow other products to be traded</w:t>
      </w:r>
      <w:r w:rsidR="009D1ABB">
        <w:t>)</w:t>
      </w:r>
      <w:r>
        <w:t>.</w:t>
      </w:r>
    </w:p>
    <w:p w14:paraId="2000C238" w14:textId="77777777" w:rsidR="00F00DEB" w:rsidRDefault="00F00DEB" w:rsidP="009D1ABB">
      <w:pPr>
        <w:pStyle w:val="BodyText"/>
      </w:pPr>
    </w:p>
    <w:p w14:paraId="582798E6" w14:textId="77777777" w:rsidR="00721A64" w:rsidRDefault="00721A64" w:rsidP="00721A64">
      <w:pPr>
        <w:pStyle w:val="Caption"/>
        <w:spacing w:before="0" w:after="0"/>
      </w:pPr>
      <w:bookmarkStart w:id="114" w:name="_Ref508823283"/>
      <w:r>
        <w:lastRenderedPageBreak/>
        <w:t xml:space="preserve">Table </w:t>
      </w:r>
      <w:fldSimple w:instr=" STYLEREF 1 \s ">
        <w:r w:rsidR="00830BE4">
          <w:rPr>
            <w:noProof/>
          </w:rPr>
          <w:t>6</w:t>
        </w:r>
      </w:fldSimple>
      <w:r w:rsidR="00676D5D">
        <w:t>.</w:t>
      </w:r>
      <w:fldSimple w:instr=" SEQ Table \* ARABIC \s 1 ">
        <w:r w:rsidR="00830BE4">
          <w:rPr>
            <w:noProof/>
          </w:rPr>
          <w:t>1</w:t>
        </w:r>
      </w:fldSimple>
      <w:bookmarkEnd w:id="114"/>
      <w:r>
        <w:t>: Design of the capacity trading platform</w:t>
      </w:r>
    </w:p>
    <w:tbl>
      <w:tblPr>
        <w:tblStyle w:val="TableGrid"/>
        <w:tblW w:w="9498" w:type="dxa"/>
        <w:tblInd w:w="-284" w:type="dxa"/>
        <w:tblLook w:val="04A0" w:firstRow="1" w:lastRow="0" w:firstColumn="1" w:lastColumn="0" w:noHBand="0" w:noVBand="1"/>
        <w:tblCaption w:val="Table B.2"/>
        <w:tblDescription w:val="Summary of the GMRG’s final recommendations on the capacity trading platform "/>
      </w:tblPr>
      <w:tblGrid>
        <w:gridCol w:w="1565"/>
        <w:gridCol w:w="7933"/>
      </w:tblGrid>
      <w:tr w:rsidR="00721A64" w:rsidRPr="00267A0F" w14:paraId="78A22FCC" w14:textId="77777777" w:rsidTr="00C93481">
        <w:trPr>
          <w:cnfStyle w:val="100000000000" w:firstRow="1" w:lastRow="0" w:firstColumn="0" w:lastColumn="0" w:oddVBand="0" w:evenVBand="0" w:oddHBand="0" w:evenHBand="0" w:firstRowFirstColumn="0" w:firstRowLastColumn="0" w:lastRowFirstColumn="0" w:lastRowLastColumn="0"/>
          <w:tblHeader/>
        </w:trPr>
        <w:tc>
          <w:tcPr>
            <w:tcW w:w="1565" w:type="dxa"/>
            <w:tcBorders>
              <w:top w:val="single" w:sz="4" w:space="0" w:color="auto"/>
              <w:left w:val="nil"/>
              <w:bottom w:val="single" w:sz="4" w:space="0" w:color="auto"/>
              <w:right w:val="single" w:sz="4" w:space="0" w:color="auto"/>
            </w:tcBorders>
            <w:shd w:val="clear" w:color="auto" w:fill="0099CC"/>
            <w:hideMark/>
          </w:tcPr>
          <w:p w14:paraId="02219ABE" w14:textId="77777777" w:rsidR="00721A64" w:rsidRPr="00267A0F" w:rsidRDefault="00721A64" w:rsidP="00267A0F">
            <w:pPr>
              <w:pStyle w:val="BodyText"/>
              <w:spacing w:before="20" w:after="80" w:line="249" w:lineRule="auto"/>
              <w:rPr>
                <w:rFonts w:asciiTheme="majorHAnsi" w:hAnsiTheme="majorHAnsi" w:cstheme="majorHAnsi"/>
                <w:b w:val="0"/>
                <w:color w:val="FFFFFF" w:themeColor="background1"/>
                <w:sz w:val="19"/>
                <w:szCs w:val="19"/>
              </w:rPr>
            </w:pPr>
            <w:r w:rsidRPr="00267A0F">
              <w:rPr>
                <w:rFonts w:asciiTheme="majorHAnsi" w:hAnsiTheme="majorHAnsi" w:cstheme="majorHAnsi"/>
                <w:color w:val="FFFFFF" w:themeColor="background1"/>
                <w:sz w:val="19"/>
                <w:szCs w:val="19"/>
              </w:rPr>
              <w:t>Design Element</w:t>
            </w:r>
          </w:p>
        </w:tc>
        <w:tc>
          <w:tcPr>
            <w:tcW w:w="7933" w:type="dxa"/>
            <w:tcBorders>
              <w:top w:val="single" w:sz="4" w:space="0" w:color="auto"/>
              <w:left w:val="single" w:sz="4" w:space="0" w:color="auto"/>
              <w:bottom w:val="single" w:sz="4" w:space="0" w:color="auto"/>
              <w:right w:val="nil"/>
            </w:tcBorders>
            <w:shd w:val="clear" w:color="auto" w:fill="0099CC"/>
            <w:hideMark/>
          </w:tcPr>
          <w:p w14:paraId="5E3A2B76" w14:textId="77777777" w:rsidR="00721A64" w:rsidRPr="00267A0F" w:rsidRDefault="00721A64" w:rsidP="00267A0F">
            <w:pPr>
              <w:pStyle w:val="BodyText"/>
              <w:spacing w:before="20" w:after="80" w:line="249" w:lineRule="auto"/>
              <w:rPr>
                <w:rFonts w:asciiTheme="majorHAnsi" w:hAnsiTheme="majorHAnsi" w:cstheme="majorHAnsi"/>
                <w:b w:val="0"/>
                <w:color w:val="FFFFFF" w:themeColor="background1"/>
                <w:sz w:val="19"/>
                <w:szCs w:val="19"/>
              </w:rPr>
            </w:pPr>
            <w:r w:rsidRPr="00267A0F">
              <w:rPr>
                <w:rFonts w:asciiTheme="majorHAnsi" w:hAnsiTheme="majorHAnsi" w:cstheme="majorHAnsi"/>
                <w:color w:val="FFFFFF" w:themeColor="background1"/>
                <w:sz w:val="19"/>
                <w:szCs w:val="19"/>
              </w:rPr>
              <w:t>Detail</w:t>
            </w:r>
          </w:p>
        </w:tc>
      </w:tr>
      <w:tr w:rsidR="00721A64" w:rsidRPr="00267A0F" w14:paraId="571BF3D9" w14:textId="77777777" w:rsidTr="00067F90">
        <w:tc>
          <w:tcPr>
            <w:tcW w:w="1565" w:type="dxa"/>
            <w:tcBorders>
              <w:top w:val="single" w:sz="4" w:space="0" w:color="auto"/>
              <w:left w:val="nil"/>
              <w:bottom w:val="single" w:sz="4" w:space="0" w:color="auto"/>
              <w:right w:val="single" w:sz="4" w:space="0" w:color="auto"/>
            </w:tcBorders>
            <w:shd w:val="clear" w:color="auto" w:fill="FFFFFF" w:themeFill="background1"/>
            <w:hideMark/>
          </w:tcPr>
          <w:p w14:paraId="0110A577" w14:textId="77777777" w:rsidR="00721A64" w:rsidRPr="00267A0F" w:rsidRDefault="00721A64" w:rsidP="00267A0F">
            <w:pPr>
              <w:pStyle w:val="TableBodyText"/>
              <w:keepNext/>
              <w:spacing w:after="80"/>
              <w:rPr>
                <w:rFonts w:asciiTheme="majorHAnsi" w:hAnsiTheme="majorHAnsi" w:cstheme="majorHAnsi"/>
                <w:b/>
                <w:sz w:val="19"/>
                <w:szCs w:val="19"/>
              </w:rPr>
            </w:pPr>
            <w:r w:rsidRPr="00267A0F">
              <w:rPr>
                <w:rFonts w:asciiTheme="majorHAnsi" w:hAnsiTheme="majorHAnsi" w:cstheme="majorHAnsi"/>
                <w:b/>
                <w:sz w:val="19"/>
                <w:szCs w:val="19"/>
              </w:rPr>
              <w:t>Operation of the capacity trading platform</w:t>
            </w:r>
          </w:p>
        </w:tc>
        <w:tc>
          <w:tcPr>
            <w:tcW w:w="7933" w:type="dxa"/>
            <w:tcBorders>
              <w:top w:val="single" w:sz="4" w:space="0" w:color="auto"/>
              <w:left w:val="single" w:sz="4" w:space="0" w:color="auto"/>
              <w:bottom w:val="single" w:sz="4" w:space="0" w:color="auto"/>
              <w:right w:val="nil"/>
            </w:tcBorders>
            <w:shd w:val="clear" w:color="auto" w:fill="FFFFFF" w:themeFill="background1"/>
            <w:hideMark/>
          </w:tcPr>
          <w:p w14:paraId="76A87F8C" w14:textId="77777777" w:rsidR="00721A64" w:rsidRPr="00267A0F" w:rsidRDefault="00721A64" w:rsidP="00267A0F">
            <w:pPr>
              <w:pStyle w:val="TableBodyText"/>
              <w:keepNext/>
              <w:spacing w:after="80"/>
              <w:rPr>
                <w:rFonts w:asciiTheme="majorHAnsi" w:hAnsiTheme="majorHAnsi" w:cstheme="majorHAnsi"/>
                <w:sz w:val="19"/>
                <w:szCs w:val="19"/>
                <w:lang w:eastAsia="fr-CA"/>
              </w:rPr>
            </w:pPr>
            <w:r w:rsidRPr="00267A0F">
              <w:rPr>
                <w:rFonts w:asciiTheme="majorHAnsi" w:hAnsiTheme="majorHAnsi" w:cstheme="majorHAnsi"/>
                <w:sz w:val="19"/>
                <w:szCs w:val="19"/>
              </w:rPr>
              <w:t>The capacity trading platform will be operated by AEMO and form part of the exchange. The capacity trading platform will provide for both:</w:t>
            </w:r>
          </w:p>
          <w:p w14:paraId="39321C57" w14:textId="77777777" w:rsidR="00721A64" w:rsidRPr="00267A0F" w:rsidRDefault="00721A64" w:rsidP="00756C62">
            <w:pPr>
              <w:pStyle w:val="TableBullet1"/>
              <w:keepNext/>
              <w:numPr>
                <w:ilvl w:val="0"/>
                <w:numId w:val="21"/>
              </w:numPr>
              <w:spacing w:after="80"/>
              <w:rPr>
                <w:rFonts w:asciiTheme="majorHAnsi" w:hAnsiTheme="majorHAnsi" w:cstheme="majorHAnsi"/>
                <w:sz w:val="19"/>
                <w:szCs w:val="19"/>
              </w:rPr>
            </w:pPr>
            <w:r w:rsidRPr="00267A0F">
              <w:rPr>
                <w:rFonts w:asciiTheme="majorHAnsi" w:hAnsiTheme="majorHAnsi" w:cstheme="majorHAnsi"/>
                <w:b/>
                <w:sz w:val="19"/>
                <w:szCs w:val="19"/>
              </w:rPr>
              <w:t>Exchange-based trading</w:t>
            </w:r>
            <w:r w:rsidRPr="00267A0F">
              <w:rPr>
                <w:rFonts w:asciiTheme="majorHAnsi" w:hAnsiTheme="majorHAnsi" w:cstheme="majorHAnsi"/>
                <w:sz w:val="19"/>
                <w:szCs w:val="19"/>
              </w:rPr>
              <w:t xml:space="preserve"> of commonly traded transportation (pipeline and compression) products, which can be conducted through either:</w:t>
            </w:r>
          </w:p>
          <w:p w14:paraId="52760BFF" w14:textId="77777777" w:rsidR="00721A64" w:rsidRPr="00267A0F" w:rsidRDefault="00721A64" w:rsidP="00756C62">
            <w:pPr>
              <w:pStyle w:val="TableBullet2"/>
              <w:keepNext/>
              <w:numPr>
                <w:ilvl w:val="1"/>
                <w:numId w:val="25"/>
              </w:numPr>
              <w:spacing w:after="80"/>
              <w:rPr>
                <w:sz w:val="19"/>
                <w:szCs w:val="19"/>
              </w:rPr>
            </w:pPr>
            <w:r w:rsidRPr="00267A0F">
              <w:rPr>
                <w:sz w:val="19"/>
                <w:szCs w:val="19"/>
              </w:rPr>
              <w:t xml:space="preserve">the screen trade service, which allows participants to place anonymous bids or offers for standardised products that are automatically matched; or </w:t>
            </w:r>
          </w:p>
          <w:p w14:paraId="15B7200A" w14:textId="77777777" w:rsidR="00721A64" w:rsidRPr="00267A0F" w:rsidRDefault="00721A64" w:rsidP="00756C62">
            <w:pPr>
              <w:pStyle w:val="TableBullet2"/>
              <w:keepNext/>
              <w:numPr>
                <w:ilvl w:val="1"/>
                <w:numId w:val="25"/>
              </w:numPr>
              <w:spacing w:after="80"/>
              <w:rPr>
                <w:sz w:val="19"/>
                <w:szCs w:val="19"/>
              </w:rPr>
            </w:pPr>
            <w:r w:rsidRPr="00267A0F">
              <w:rPr>
                <w:sz w:val="19"/>
                <w:szCs w:val="19"/>
              </w:rPr>
              <w:t xml:space="preserve">the pre-matched trade service, which allows participants to bring a bilateral trade in one of the </w:t>
            </w:r>
            <w:r w:rsidR="006C63B6">
              <w:rPr>
                <w:sz w:val="19"/>
                <w:szCs w:val="19"/>
              </w:rPr>
              <w:t>listed</w:t>
            </w:r>
            <w:r w:rsidRPr="00267A0F">
              <w:rPr>
                <w:sz w:val="19"/>
                <w:szCs w:val="19"/>
              </w:rPr>
              <w:t xml:space="preserve"> products to the exchange for settlement.</w:t>
            </w:r>
          </w:p>
          <w:p w14:paraId="2D54D06A" w14:textId="77777777" w:rsidR="00721A64" w:rsidRPr="00267A0F" w:rsidRDefault="00721A64" w:rsidP="00267A0F">
            <w:pPr>
              <w:pStyle w:val="TableBullet1"/>
              <w:keepNext/>
              <w:tabs>
                <w:tab w:val="left" w:pos="720"/>
              </w:tabs>
              <w:spacing w:after="80"/>
              <w:ind w:left="312"/>
              <w:rPr>
                <w:rFonts w:asciiTheme="majorHAnsi" w:hAnsiTheme="majorHAnsi" w:cstheme="majorHAnsi"/>
                <w:sz w:val="19"/>
                <w:szCs w:val="19"/>
              </w:rPr>
            </w:pPr>
            <w:r w:rsidRPr="00267A0F">
              <w:rPr>
                <w:rFonts w:asciiTheme="majorHAnsi" w:hAnsiTheme="majorHAnsi" w:cstheme="majorHAnsi"/>
                <w:sz w:val="19"/>
                <w:szCs w:val="19"/>
              </w:rPr>
              <w:t>The screen trade service will operate on a fully anonymous basis (i.e. the names of counterparties will not be revealed pre</w:t>
            </w:r>
            <w:r w:rsidR="00D742A3">
              <w:rPr>
                <w:rFonts w:asciiTheme="majorHAnsi" w:hAnsiTheme="majorHAnsi" w:cstheme="majorHAnsi"/>
                <w:sz w:val="19"/>
                <w:szCs w:val="19"/>
              </w:rPr>
              <w:t xml:space="preserve"> </w:t>
            </w:r>
            <w:r w:rsidRPr="00267A0F">
              <w:rPr>
                <w:rFonts w:asciiTheme="majorHAnsi" w:hAnsiTheme="majorHAnsi" w:cstheme="majorHAnsi"/>
                <w:sz w:val="19"/>
                <w:szCs w:val="19"/>
              </w:rPr>
              <w:t xml:space="preserve">or post-transaction), with AEMO informing </w:t>
            </w:r>
            <w:r w:rsidRPr="00267A0F">
              <w:rPr>
                <w:sz w:val="19"/>
                <w:szCs w:val="19"/>
                <w:lang w:eastAsia="fr-CA"/>
              </w:rPr>
              <w:t>the service provider of the trade and the service provider then confirming and giving effect to the trade.</w:t>
            </w:r>
            <w:r w:rsidR="00267A0F" w:rsidRPr="00267A0F">
              <w:rPr>
                <w:sz w:val="19"/>
                <w:szCs w:val="19"/>
                <w:lang w:eastAsia="fr-CA"/>
              </w:rPr>
              <w:t xml:space="preserve"> The process for validating trades will be set out in the transaction support arrangements that will form part of the Capacity Transfer and Auction Procedures.</w:t>
            </w:r>
          </w:p>
          <w:p w14:paraId="29CC2F80" w14:textId="77777777" w:rsidR="00721A64" w:rsidRPr="00267A0F" w:rsidRDefault="00721A64" w:rsidP="00756C62">
            <w:pPr>
              <w:pStyle w:val="TableBullet1"/>
              <w:keepNext/>
              <w:numPr>
                <w:ilvl w:val="0"/>
                <w:numId w:val="21"/>
              </w:numPr>
              <w:spacing w:after="80"/>
              <w:rPr>
                <w:rFonts w:asciiTheme="majorHAnsi" w:hAnsiTheme="majorHAnsi" w:cstheme="majorHAnsi"/>
                <w:sz w:val="19"/>
                <w:szCs w:val="19"/>
              </w:rPr>
            </w:pPr>
            <w:r w:rsidRPr="00267A0F">
              <w:rPr>
                <w:rFonts w:asciiTheme="majorHAnsi" w:hAnsiTheme="majorHAnsi" w:cstheme="majorHAnsi"/>
                <w:b/>
                <w:sz w:val="19"/>
                <w:szCs w:val="19"/>
              </w:rPr>
              <w:t>A listing service</w:t>
            </w:r>
            <w:r w:rsidRPr="00267A0F">
              <w:rPr>
                <w:rFonts w:asciiTheme="majorHAnsi" w:hAnsiTheme="majorHAnsi" w:cstheme="majorHAnsi"/>
                <w:sz w:val="19"/>
                <w:szCs w:val="19"/>
              </w:rPr>
              <w:t xml:space="preserve"> that shippers can use to list </w:t>
            </w:r>
            <w:r w:rsidR="00137DB5" w:rsidRPr="00267A0F">
              <w:rPr>
                <w:rFonts w:asciiTheme="majorHAnsi" w:hAnsiTheme="majorHAnsi" w:cstheme="majorHAnsi"/>
                <w:sz w:val="19"/>
                <w:szCs w:val="19"/>
              </w:rPr>
              <w:t xml:space="preserve">other </w:t>
            </w:r>
            <w:r w:rsidRPr="00267A0F">
              <w:rPr>
                <w:rFonts w:asciiTheme="majorHAnsi" w:hAnsiTheme="majorHAnsi" w:cstheme="majorHAnsi"/>
                <w:sz w:val="19"/>
                <w:szCs w:val="19"/>
              </w:rPr>
              <w:t>products and imbalance trades.</w:t>
            </w:r>
          </w:p>
          <w:p w14:paraId="194715CC" w14:textId="77777777" w:rsidR="00721A64" w:rsidRPr="00267A0F" w:rsidRDefault="00721A64" w:rsidP="00267A0F">
            <w:pPr>
              <w:pStyle w:val="TableBullet1"/>
              <w:keepNext/>
              <w:tabs>
                <w:tab w:val="left" w:pos="720"/>
              </w:tabs>
              <w:spacing w:after="80"/>
              <w:ind w:left="85"/>
              <w:rPr>
                <w:rFonts w:asciiTheme="majorHAnsi" w:hAnsiTheme="majorHAnsi" w:cstheme="majorHAnsi"/>
                <w:sz w:val="19"/>
                <w:szCs w:val="19"/>
              </w:rPr>
            </w:pPr>
            <w:r w:rsidRPr="00267A0F">
              <w:rPr>
                <w:rFonts w:asciiTheme="majorHAnsi" w:hAnsiTheme="majorHAnsi" w:cstheme="majorHAnsi"/>
                <w:sz w:val="19"/>
                <w:szCs w:val="19"/>
              </w:rPr>
              <w:t>Trades conducted through the exchange will utilise existing GSH settlement, prudential and reporting frameworks, which means participants will receive one settlement statement for all traded products and be able to aggregate their prudential requirements across gas and secondary capacity products.</w:t>
            </w:r>
          </w:p>
        </w:tc>
      </w:tr>
      <w:tr w:rsidR="0063763F" w:rsidRPr="00267A0F" w14:paraId="0C6E08F4" w14:textId="77777777" w:rsidTr="00067F90">
        <w:trPr>
          <w:cnfStyle w:val="000000010000" w:firstRow="0" w:lastRow="0" w:firstColumn="0" w:lastColumn="0" w:oddVBand="0" w:evenVBand="0" w:oddHBand="0" w:evenHBand="1" w:firstRowFirstColumn="0" w:firstRowLastColumn="0" w:lastRowFirstColumn="0" w:lastRowLastColumn="0"/>
        </w:trPr>
        <w:tc>
          <w:tcPr>
            <w:tcW w:w="1565" w:type="dxa"/>
            <w:tcBorders>
              <w:top w:val="single" w:sz="4" w:space="0" w:color="auto"/>
              <w:left w:val="nil"/>
              <w:bottom w:val="single" w:sz="4" w:space="0" w:color="auto"/>
              <w:right w:val="single" w:sz="4" w:space="0" w:color="auto"/>
            </w:tcBorders>
            <w:shd w:val="clear" w:color="auto" w:fill="FFFFFF" w:themeFill="background1"/>
            <w:hideMark/>
          </w:tcPr>
          <w:p w14:paraId="6666A345" w14:textId="77777777" w:rsidR="0063763F" w:rsidRPr="00267A0F" w:rsidRDefault="0063763F" w:rsidP="0063763F">
            <w:pPr>
              <w:pStyle w:val="BodyText"/>
              <w:keepNext/>
              <w:spacing w:before="60" w:after="80"/>
              <w:rPr>
                <w:rFonts w:asciiTheme="majorHAnsi" w:hAnsiTheme="majorHAnsi" w:cstheme="majorHAnsi"/>
                <w:b/>
                <w:sz w:val="19"/>
                <w:szCs w:val="19"/>
              </w:rPr>
            </w:pPr>
            <w:r w:rsidRPr="00267A0F">
              <w:rPr>
                <w:rFonts w:asciiTheme="majorHAnsi" w:hAnsiTheme="majorHAnsi" w:cstheme="majorHAnsi"/>
                <w:b/>
                <w:sz w:val="19"/>
                <w:szCs w:val="19"/>
              </w:rPr>
              <w:t xml:space="preserve">Initial set of services to be listed on the exchange </w:t>
            </w:r>
          </w:p>
        </w:tc>
        <w:tc>
          <w:tcPr>
            <w:tcW w:w="7933" w:type="dxa"/>
            <w:tcBorders>
              <w:top w:val="single" w:sz="4" w:space="0" w:color="auto"/>
              <w:left w:val="single" w:sz="4" w:space="0" w:color="auto"/>
              <w:bottom w:val="single" w:sz="4" w:space="0" w:color="auto"/>
              <w:right w:val="nil"/>
            </w:tcBorders>
            <w:shd w:val="clear" w:color="auto" w:fill="FFFFFF" w:themeFill="background1"/>
            <w:hideMark/>
          </w:tcPr>
          <w:p w14:paraId="0A928D4C" w14:textId="77777777" w:rsidR="0063763F" w:rsidRPr="00267A0F" w:rsidRDefault="0063763F" w:rsidP="0063763F">
            <w:pPr>
              <w:pStyle w:val="TableBodyText"/>
              <w:keepNext/>
              <w:spacing w:after="80"/>
              <w:rPr>
                <w:rFonts w:asciiTheme="majorHAnsi" w:hAnsiTheme="majorHAnsi" w:cstheme="majorHAnsi"/>
                <w:b/>
                <w:sz w:val="19"/>
                <w:szCs w:val="19"/>
              </w:rPr>
            </w:pPr>
            <w:r w:rsidRPr="00267A0F">
              <w:rPr>
                <w:rFonts w:asciiTheme="majorHAnsi" w:hAnsiTheme="majorHAnsi" w:cstheme="majorHAnsi"/>
                <w:sz w:val="19"/>
                <w:szCs w:val="19"/>
              </w:rPr>
              <w:t xml:space="preserve">The initial set of standardised products to be sold on the exchange include: </w:t>
            </w:r>
          </w:p>
          <w:p w14:paraId="3343606C" w14:textId="77777777" w:rsidR="0063763F" w:rsidRPr="00267A0F" w:rsidRDefault="0063763F" w:rsidP="00756C62">
            <w:pPr>
              <w:pStyle w:val="TableBullet1"/>
              <w:keepNext/>
              <w:numPr>
                <w:ilvl w:val="0"/>
                <w:numId w:val="21"/>
              </w:numPr>
              <w:spacing w:after="80"/>
              <w:rPr>
                <w:rFonts w:asciiTheme="majorHAnsi" w:hAnsiTheme="majorHAnsi" w:cstheme="majorHAnsi"/>
                <w:sz w:val="19"/>
                <w:szCs w:val="19"/>
              </w:rPr>
            </w:pPr>
            <w:r w:rsidRPr="00267A0F">
              <w:rPr>
                <w:rFonts w:asciiTheme="majorHAnsi" w:hAnsiTheme="majorHAnsi" w:cstheme="majorHAnsi"/>
                <w:sz w:val="19"/>
                <w:szCs w:val="19"/>
              </w:rPr>
              <w:t>firm forward haul services on all major transmission pipelines (if the pipeline is bi-directional, services will be available in both directions);</w:t>
            </w:r>
          </w:p>
          <w:p w14:paraId="3AD6D179" w14:textId="77777777" w:rsidR="0063763F" w:rsidRPr="00267A0F" w:rsidRDefault="0063763F" w:rsidP="00756C62">
            <w:pPr>
              <w:pStyle w:val="TableBullet1"/>
              <w:keepNext/>
              <w:numPr>
                <w:ilvl w:val="0"/>
                <w:numId w:val="21"/>
              </w:numPr>
              <w:spacing w:after="80"/>
              <w:rPr>
                <w:rFonts w:asciiTheme="majorHAnsi" w:hAnsiTheme="majorHAnsi" w:cstheme="majorHAnsi"/>
                <w:sz w:val="19"/>
                <w:szCs w:val="19"/>
              </w:rPr>
            </w:pPr>
            <w:r w:rsidRPr="00267A0F">
              <w:rPr>
                <w:rFonts w:asciiTheme="majorHAnsi" w:hAnsiTheme="majorHAnsi" w:cstheme="majorHAnsi"/>
                <w:sz w:val="19"/>
                <w:szCs w:val="19"/>
              </w:rPr>
              <w:t xml:space="preserve">firm stand-alone compression services; and </w:t>
            </w:r>
          </w:p>
          <w:p w14:paraId="5E2ED84F" w14:textId="77777777" w:rsidR="0063763F" w:rsidRPr="00267A0F" w:rsidRDefault="0063763F" w:rsidP="00756C62">
            <w:pPr>
              <w:pStyle w:val="TableBullet1"/>
              <w:keepNext/>
              <w:numPr>
                <w:ilvl w:val="0"/>
                <w:numId w:val="21"/>
              </w:numPr>
              <w:spacing w:after="80"/>
              <w:rPr>
                <w:rFonts w:asciiTheme="majorHAnsi" w:hAnsiTheme="majorHAnsi" w:cstheme="majorHAnsi"/>
                <w:sz w:val="19"/>
                <w:szCs w:val="19"/>
              </w:rPr>
            </w:pPr>
            <w:r w:rsidRPr="00267A0F">
              <w:rPr>
                <w:rFonts w:asciiTheme="majorHAnsi" w:hAnsiTheme="majorHAnsi" w:cstheme="majorHAnsi"/>
                <w:sz w:val="19"/>
                <w:szCs w:val="19"/>
              </w:rPr>
              <w:t>firm park (storage) services on all the major transmission pipelines that offer this service.</w:t>
            </w:r>
          </w:p>
          <w:p w14:paraId="462D483C" w14:textId="77777777" w:rsidR="0063763F" w:rsidRPr="00267A0F" w:rsidRDefault="0063763F" w:rsidP="0063763F">
            <w:pPr>
              <w:pStyle w:val="TableBodyText"/>
              <w:keepNext/>
              <w:spacing w:after="80"/>
              <w:rPr>
                <w:rFonts w:asciiTheme="majorHAnsi" w:hAnsiTheme="majorHAnsi" w:cstheme="majorHAnsi"/>
                <w:sz w:val="19"/>
                <w:szCs w:val="19"/>
              </w:rPr>
            </w:pPr>
            <w:r w:rsidRPr="00267A0F">
              <w:rPr>
                <w:rFonts w:asciiTheme="majorHAnsi" w:hAnsiTheme="majorHAnsi" w:cstheme="majorHAnsi"/>
                <w:sz w:val="19"/>
                <w:szCs w:val="19"/>
              </w:rPr>
              <w:t>These services will have a minimum contract size of 500 GJ/day and</w:t>
            </w:r>
            <w:r>
              <w:rPr>
                <w:rFonts w:asciiTheme="majorHAnsi" w:hAnsiTheme="majorHAnsi" w:cstheme="majorHAnsi"/>
                <w:sz w:val="19"/>
                <w:szCs w:val="19"/>
              </w:rPr>
              <w:t xml:space="preserve"> will</w:t>
            </w:r>
            <w:r w:rsidRPr="00267A0F">
              <w:rPr>
                <w:rFonts w:asciiTheme="majorHAnsi" w:hAnsiTheme="majorHAnsi" w:cstheme="majorHAnsi"/>
                <w:sz w:val="19"/>
                <w:szCs w:val="19"/>
              </w:rPr>
              <w:t xml:space="preserve"> be available as:</w:t>
            </w:r>
          </w:p>
          <w:p w14:paraId="5238F119" w14:textId="77777777" w:rsidR="0063763F" w:rsidRPr="00920928" w:rsidRDefault="0063763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a day-ahead product;</w:t>
            </w:r>
          </w:p>
          <w:p w14:paraId="6D863AF9" w14:textId="77777777" w:rsidR="0063763F" w:rsidRPr="00920928" w:rsidRDefault="0063763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a daily product (available on a 6-day rolling basis);</w:t>
            </w:r>
          </w:p>
          <w:p w14:paraId="51915C11" w14:textId="77777777" w:rsidR="0063763F" w:rsidRPr="00920928" w:rsidRDefault="0063763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 xml:space="preserve">a weekly product (available on a </w:t>
            </w:r>
            <w:r w:rsidR="00837070" w:rsidRPr="00920928">
              <w:rPr>
                <w:rFonts w:asciiTheme="majorHAnsi" w:hAnsiTheme="majorHAnsi" w:cstheme="majorHAnsi"/>
                <w:sz w:val="19"/>
                <w:szCs w:val="19"/>
              </w:rPr>
              <w:t>4-week</w:t>
            </w:r>
            <w:r w:rsidRPr="00920928">
              <w:rPr>
                <w:rFonts w:asciiTheme="majorHAnsi" w:hAnsiTheme="majorHAnsi" w:cstheme="majorHAnsi"/>
                <w:sz w:val="19"/>
                <w:szCs w:val="19"/>
              </w:rPr>
              <w:t xml:space="preserve"> rolling basis); and </w:t>
            </w:r>
          </w:p>
          <w:p w14:paraId="5085CA85" w14:textId="77777777" w:rsidR="0063763F" w:rsidRPr="00920928" w:rsidRDefault="0063763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 xml:space="preserve">a monthly product (available on a </w:t>
            </w:r>
            <w:r w:rsidR="00837070" w:rsidRPr="00920928">
              <w:rPr>
                <w:rFonts w:asciiTheme="majorHAnsi" w:hAnsiTheme="majorHAnsi" w:cstheme="majorHAnsi"/>
                <w:sz w:val="19"/>
                <w:szCs w:val="19"/>
              </w:rPr>
              <w:t>3-month</w:t>
            </w:r>
            <w:r w:rsidRPr="00920928">
              <w:rPr>
                <w:rFonts w:asciiTheme="majorHAnsi" w:hAnsiTheme="majorHAnsi" w:cstheme="majorHAnsi"/>
                <w:sz w:val="19"/>
                <w:szCs w:val="19"/>
              </w:rPr>
              <w:t xml:space="preserve"> rolling basis). </w:t>
            </w:r>
          </w:p>
          <w:p w14:paraId="37B7420F" w14:textId="77777777" w:rsidR="0063763F" w:rsidRPr="00267A0F" w:rsidRDefault="0063763F" w:rsidP="0063763F">
            <w:pPr>
              <w:pStyle w:val="TableBodyText"/>
              <w:keepNext/>
              <w:spacing w:after="80"/>
              <w:rPr>
                <w:rFonts w:asciiTheme="majorHAnsi" w:hAnsiTheme="majorHAnsi" w:cstheme="majorHAnsi"/>
                <w:sz w:val="19"/>
                <w:szCs w:val="19"/>
              </w:rPr>
            </w:pPr>
            <w:r w:rsidRPr="00267A0F">
              <w:rPr>
                <w:rFonts w:asciiTheme="majorHAnsi" w:hAnsiTheme="majorHAnsi" w:cstheme="majorHAnsi"/>
                <w:sz w:val="19"/>
                <w:szCs w:val="19"/>
              </w:rPr>
              <w:t xml:space="preserve">The standard terms and conditions on which the buyer can use these products will be set out in the service provider’s </w:t>
            </w:r>
            <w:r>
              <w:rPr>
                <w:rFonts w:asciiTheme="majorHAnsi" w:hAnsiTheme="majorHAnsi" w:cstheme="majorHAnsi"/>
                <w:sz w:val="19"/>
                <w:szCs w:val="19"/>
              </w:rPr>
              <w:t>standard operational agreement</w:t>
            </w:r>
            <w:r w:rsidRPr="00267A0F">
              <w:rPr>
                <w:rFonts w:asciiTheme="majorHAnsi" w:hAnsiTheme="majorHAnsi" w:cstheme="majorHAnsi"/>
                <w:sz w:val="19"/>
                <w:szCs w:val="19"/>
              </w:rPr>
              <w:t xml:space="preserve">, which, amongst other things, will specify the maximum hourly flexibility the buyer will have and provide the buyer with a reasonable endeavours renomination right. </w:t>
            </w:r>
          </w:p>
        </w:tc>
      </w:tr>
      <w:tr w:rsidR="00721A64" w:rsidRPr="00267A0F" w14:paraId="79CDC56E" w14:textId="77777777" w:rsidTr="00067F90">
        <w:tc>
          <w:tcPr>
            <w:tcW w:w="1565" w:type="dxa"/>
            <w:tcBorders>
              <w:top w:val="single" w:sz="4" w:space="0" w:color="auto"/>
              <w:left w:val="nil"/>
              <w:bottom w:val="single" w:sz="4" w:space="0" w:color="auto"/>
              <w:right w:val="single" w:sz="4" w:space="0" w:color="auto"/>
            </w:tcBorders>
            <w:shd w:val="clear" w:color="auto" w:fill="FFFFFF" w:themeFill="background1"/>
            <w:hideMark/>
          </w:tcPr>
          <w:p w14:paraId="745A2166" w14:textId="77777777" w:rsidR="00721A64" w:rsidRPr="00C93481" w:rsidRDefault="00721A64" w:rsidP="00267A0F">
            <w:pPr>
              <w:pStyle w:val="BodyText"/>
              <w:spacing w:before="60" w:after="80"/>
              <w:rPr>
                <w:rFonts w:asciiTheme="majorHAnsi" w:hAnsiTheme="majorHAnsi" w:cstheme="majorHAnsi"/>
                <w:b/>
                <w:sz w:val="19"/>
                <w:szCs w:val="19"/>
              </w:rPr>
            </w:pPr>
            <w:r w:rsidRPr="00C93481">
              <w:rPr>
                <w:rFonts w:asciiTheme="majorHAnsi" w:hAnsiTheme="majorHAnsi" w:cstheme="majorHAnsi"/>
                <w:b/>
                <w:sz w:val="19"/>
                <w:szCs w:val="19"/>
              </w:rPr>
              <w:t>Contract path model</w:t>
            </w:r>
          </w:p>
        </w:tc>
        <w:tc>
          <w:tcPr>
            <w:tcW w:w="7933" w:type="dxa"/>
            <w:tcBorders>
              <w:top w:val="single" w:sz="4" w:space="0" w:color="auto"/>
              <w:left w:val="single" w:sz="4" w:space="0" w:color="auto"/>
              <w:bottom w:val="single" w:sz="4" w:space="0" w:color="auto"/>
              <w:right w:val="nil"/>
            </w:tcBorders>
            <w:shd w:val="clear" w:color="auto" w:fill="FFFFFF" w:themeFill="background1"/>
            <w:hideMark/>
          </w:tcPr>
          <w:p w14:paraId="40C03F10" w14:textId="77777777" w:rsidR="00267A0F" w:rsidRPr="00C93481" w:rsidRDefault="00721A64" w:rsidP="00267A0F">
            <w:pPr>
              <w:pStyle w:val="TableBodyText"/>
              <w:spacing w:after="80"/>
              <w:rPr>
                <w:sz w:val="19"/>
                <w:szCs w:val="19"/>
              </w:rPr>
            </w:pPr>
            <w:r w:rsidRPr="00C93481">
              <w:rPr>
                <w:rFonts w:asciiTheme="majorHAnsi" w:hAnsiTheme="majorHAnsi" w:cstheme="majorHAnsi"/>
                <w:sz w:val="19"/>
                <w:szCs w:val="19"/>
              </w:rPr>
              <w:t xml:space="preserve">Forward haul services will be traded using the zonal model with secondary firm rights at receipt and delivery points to maximise the pool of prospective buyers and sellers of these services. </w:t>
            </w:r>
            <w:r w:rsidR="00267A0F" w:rsidRPr="00C93481">
              <w:rPr>
                <w:rFonts w:asciiTheme="majorHAnsi" w:hAnsiTheme="majorHAnsi" w:cstheme="majorHAnsi"/>
                <w:sz w:val="19"/>
                <w:szCs w:val="19"/>
              </w:rPr>
              <w:t>Under the zonal model</w:t>
            </w:r>
            <w:r w:rsidR="00D742A3">
              <w:rPr>
                <w:rFonts w:asciiTheme="majorHAnsi" w:hAnsiTheme="majorHAnsi" w:cstheme="majorHAnsi"/>
                <w:sz w:val="19"/>
                <w:szCs w:val="19"/>
              </w:rPr>
              <w:t>:</w:t>
            </w:r>
            <w:r w:rsidR="00267A0F" w:rsidRPr="00C93481">
              <w:rPr>
                <w:rFonts w:asciiTheme="majorHAnsi" w:hAnsiTheme="majorHAnsi" w:cstheme="majorHAnsi"/>
                <w:sz w:val="19"/>
                <w:szCs w:val="19"/>
              </w:rPr>
              <w:t xml:space="preserve"> </w:t>
            </w:r>
          </w:p>
          <w:p w14:paraId="2A403024" w14:textId="77777777" w:rsidR="00267A0F" w:rsidRPr="00920928" w:rsidRDefault="00267A0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primary shippers will be able to sell point-to-point capacity on a zone-to-zone basis; and</w:t>
            </w:r>
          </w:p>
          <w:p w14:paraId="7B839B0F" w14:textId="77777777" w:rsidR="00267A0F" w:rsidRPr="00920928" w:rsidRDefault="00267A0F" w:rsidP="00920928">
            <w:pPr>
              <w:pStyle w:val="TableBullet1"/>
              <w:keepNext/>
              <w:numPr>
                <w:ilvl w:val="0"/>
                <w:numId w:val="21"/>
              </w:numPr>
              <w:spacing w:after="80"/>
              <w:rPr>
                <w:rFonts w:asciiTheme="majorHAnsi" w:hAnsiTheme="majorHAnsi" w:cstheme="majorHAnsi"/>
                <w:sz w:val="19"/>
                <w:szCs w:val="19"/>
              </w:rPr>
            </w:pPr>
            <w:r w:rsidRPr="00920928">
              <w:rPr>
                <w:rFonts w:asciiTheme="majorHAnsi" w:hAnsiTheme="majorHAnsi" w:cstheme="majorHAnsi"/>
                <w:sz w:val="19"/>
                <w:szCs w:val="19"/>
              </w:rPr>
              <w:t>secondary shippers will be able to acquire capacity on a zone-to-zone basis.</w:t>
            </w:r>
            <w:r w:rsidRPr="00920928">
              <w:rPr>
                <w:rFonts w:asciiTheme="majorHAnsi" w:hAnsiTheme="majorHAnsi" w:cstheme="majorHAnsi"/>
              </w:rPr>
              <w:t>.</w:t>
            </w:r>
            <w:r w:rsidRPr="00920928">
              <w:rPr>
                <w:rFonts w:asciiTheme="majorHAnsi" w:hAnsiTheme="majorHAnsi" w:cstheme="majorHAnsi"/>
                <w:sz w:val="19"/>
                <w:szCs w:val="19"/>
              </w:rPr>
              <w:t xml:space="preserve"> </w:t>
            </w:r>
          </w:p>
          <w:p w14:paraId="02E08151" w14:textId="77777777" w:rsidR="00267A0F" w:rsidRPr="00C93481" w:rsidRDefault="00267A0F" w:rsidP="00C93481">
            <w:pPr>
              <w:pStyle w:val="BodyText"/>
              <w:spacing w:before="60" w:after="80"/>
              <w:rPr>
                <w:rFonts w:asciiTheme="majorHAnsi" w:hAnsiTheme="majorHAnsi" w:cstheme="majorHAnsi"/>
                <w:color w:val="000000"/>
                <w:sz w:val="19"/>
                <w:szCs w:val="19"/>
              </w:rPr>
            </w:pPr>
            <w:r w:rsidRPr="00C93481">
              <w:rPr>
                <w:sz w:val="19"/>
                <w:szCs w:val="19"/>
              </w:rPr>
              <w:t>The secondary firm rights concept is required under the zonal model, because the capacity that is sold by the primary shipper may be released from a different receipt or delivery point in the zone to the point the secondary shipper intends to use in that zone</w:t>
            </w:r>
            <w:r w:rsidR="00C93481" w:rsidRPr="00C93481">
              <w:rPr>
                <w:sz w:val="19"/>
                <w:szCs w:val="19"/>
              </w:rPr>
              <w:t xml:space="preserve"> and </w:t>
            </w:r>
            <w:r w:rsidRPr="00C93481">
              <w:rPr>
                <w:sz w:val="19"/>
                <w:szCs w:val="19"/>
              </w:rPr>
              <w:t>the capacity of individual points within a zone will usually be lower than the zonal capacity.</w:t>
            </w:r>
            <w:r w:rsidR="00C93481" w:rsidRPr="00C93481">
              <w:rPr>
                <w:sz w:val="19"/>
                <w:szCs w:val="19"/>
              </w:rPr>
              <w:t xml:space="preserve"> </w:t>
            </w:r>
            <w:r w:rsidRPr="00C93481">
              <w:rPr>
                <w:sz w:val="19"/>
                <w:szCs w:val="19"/>
              </w:rPr>
              <w:t>To deal with these limitations of the zonal model, while also recognising the firm rights that primary shippers have to use receipt and delivery points, the secondary firm rights concept allows secondary shippers to use any receipt or delivery points within a zone but their rights at those points are subordinate to primary shippers with firm rights at those points.</w:t>
            </w:r>
          </w:p>
        </w:tc>
      </w:tr>
      <w:tr w:rsidR="00721A64" w:rsidRPr="00267A0F" w14:paraId="4434CC6B" w14:textId="77777777" w:rsidTr="00067F90">
        <w:trPr>
          <w:cnfStyle w:val="000000010000" w:firstRow="0" w:lastRow="0" w:firstColumn="0" w:lastColumn="0" w:oddVBand="0" w:evenVBand="0" w:oddHBand="0" w:evenHBand="1" w:firstRowFirstColumn="0" w:firstRowLastColumn="0" w:lastRowFirstColumn="0" w:lastRowLastColumn="0"/>
        </w:trPr>
        <w:tc>
          <w:tcPr>
            <w:tcW w:w="1565" w:type="dxa"/>
            <w:tcBorders>
              <w:top w:val="single" w:sz="4" w:space="0" w:color="auto"/>
              <w:left w:val="nil"/>
              <w:bottom w:val="single" w:sz="4" w:space="0" w:color="auto"/>
              <w:right w:val="single" w:sz="4" w:space="0" w:color="auto"/>
            </w:tcBorders>
            <w:shd w:val="clear" w:color="auto" w:fill="FFFFFF" w:themeFill="background1"/>
            <w:hideMark/>
          </w:tcPr>
          <w:p w14:paraId="661C1854" w14:textId="77777777" w:rsidR="00721A64" w:rsidRPr="00267A0F" w:rsidRDefault="00721A64" w:rsidP="00267A0F">
            <w:pPr>
              <w:pStyle w:val="BodyText"/>
              <w:keepNext/>
              <w:spacing w:before="60" w:after="80"/>
              <w:rPr>
                <w:rFonts w:asciiTheme="majorHAnsi" w:hAnsiTheme="majorHAnsi" w:cstheme="majorHAnsi"/>
                <w:b/>
                <w:sz w:val="19"/>
                <w:szCs w:val="19"/>
              </w:rPr>
            </w:pPr>
            <w:r w:rsidRPr="00267A0F">
              <w:rPr>
                <w:rFonts w:asciiTheme="majorHAnsi" w:hAnsiTheme="majorHAnsi" w:cstheme="majorHAnsi"/>
                <w:b/>
                <w:sz w:val="19"/>
                <w:szCs w:val="19"/>
              </w:rPr>
              <w:lastRenderedPageBreak/>
              <w:t>Management of financial and delivery default risks</w:t>
            </w:r>
          </w:p>
        </w:tc>
        <w:tc>
          <w:tcPr>
            <w:tcW w:w="7933" w:type="dxa"/>
            <w:tcBorders>
              <w:top w:val="single" w:sz="4" w:space="0" w:color="auto"/>
              <w:left w:val="single" w:sz="4" w:space="0" w:color="auto"/>
              <w:bottom w:val="single" w:sz="4" w:space="0" w:color="auto"/>
              <w:right w:val="nil"/>
            </w:tcBorders>
            <w:shd w:val="clear" w:color="auto" w:fill="FFFFFF" w:themeFill="background1"/>
            <w:hideMark/>
          </w:tcPr>
          <w:p w14:paraId="5EDE39BD" w14:textId="77777777" w:rsidR="00721A64" w:rsidRPr="00267A0F" w:rsidRDefault="00721A64" w:rsidP="00267A0F">
            <w:pPr>
              <w:pStyle w:val="TableBodyText"/>
              <w:keepNext/>
              <w:spacing w:after="80"/>
              <w:rPr>
                <w:rFonts w:asciiTheme="majorHAnsi" w:hAnsiTheme="majorHAnsi" w:cstheme="majorHAnsi"/>
                <w:sz w:val="19"/>
                <w:szCs w:val="19"/>
              </w:rPr>
            </w:pPr>
            <w:r w:rsidRPr="00267A0F">
              <w:rPr>
                <w:rFonts w:asciiTheme="majorHAnsi" w:hAnsiTheme="majorHAnsi" w:cstheme="majorHAnsi"/>
                <w:sz w:val="19"/>
                <w:szCs w:val="19"/>
              </w:rPr>
              <w:t>There are two key risks that buyers using the exchange will be exposed to:</w:t>
            </w:r>
          </w:p>
          <w:p w14:paraId="0E59DEBB" w14:textId="77777777" w:rsidR="00721A64" w:rsidRPr="00267A0F" w:rsidRDefault="00721A64" w:rsidP="00756C62">
            <w:pPr>
              <w:pStyle w:val="TableBullet1"/>
              <w:keepNext/>
              <w:numPr>
                <w:ilvl w:val="0"/>
                <w:numId w:val="25"/>
              </w:numPr>
              <w:spacing w:after="80"/>
              <w:rPr>
                <w:rFonts w:asciiTheme="majorHAnsi" w:hAnsiTheme="majorHAnsi" w:cstheme="majorHAnsi"/>
                <w:sz w:val="19"/>
                <w:szCs w:val="19"/>
              </w:rPr>
            </w:pPr>
            <w:r w:rsidRPr="00267A0F">
              <w:rPr>
                <w:rFonts w:asciiTheme="majorHAnsi" w:hAnsiTheme="majorHAnsi" w:cstheme="majorHAnsi"/>
                <w:sz w:val="19"/>
                <w:szCs w:val="19"/>
              </w:rPr>
              <w:t>The seller’s primary facility agreement is terminated by the service provider: In this case, the service provider will be obliged to honour the transaction for up to 14 days after the primary facility agreement is terminated and receive a price determined by AEMO in return for doing so. This measure is necessary because the buyer will not know the seller’s identity so will be unable to carry out its own assessment of the financial viability of its counterparty prior to entering into the trade. By keeping the trade on foot for two weeks, buyers will have time to find alternative arrangements, which will promote an orderly transition and minimise the impact of default on the gas market. If rather than being terminated, the seller’s primary facility agreement is suspended, the service provider will be obliged to honour the trade for the term of the trade.</w:t>
            </w:r>
          </w:p>
          <w:p w14:paraId="28C261F5" w14:textId="77777777" w:rsidR="00721A64" w:rsidRPr="00267A0F" w:rsidRDefault="00067F90" w:rsidP="00756C62">
            <w:pPr>
              <w:pStyle w:val="TableBullet1"/>
              <w:keepNext/>
              <w:numPr>
                <w:ilvl w:val="0"/>
                <w:numId w:val="25"/>
              </w:numPr>
              <w:spacing w:after="80"/>
              <w:rPr>
                <w:rFonts w:asciiTheme="majorHAnsi" w:hAnsiTheme="majorHAnsi" w:cstheme="majorHAnsi"/>
                <w:sz w:val="19"/>
                <w:szCs w:val="19"/>
              </w:rPr>
            </w:pPr>
            <w:r w:rsidRPr="00267A0F">
              <w:rPr>
                <w:rFonts w:asciiTheme="majorHAnsi" w:hAnsiTheme="majorHAnsi" w:cstheme="majorHAnsi"/>
                <w:sz w:val="19"/>
                <w:szCs w:val="19"/>
              </w:rPr>
              <w:t xml:space="preserve">The seller short-sells capacity: In this case, the </w:t>
            </w:r>
            <w:r>
              <w:rPr>
                <w:rFonts w:asciiTheme="majorHAnsi" w:hAnsiTheme="majorHAnsi" w:cstheme="majorHAnsi"/>
                <w:sz w:val="19"/>
                <w:szCs w:val="19"/>
              </w:rPr>
              <w:t xml:space="preserve">arrangements in the Capacity Transfer and Auction Procedures will give </w:t>
            </w:r>
            <w:r w:rsidRPr="00267A0F">
              <w:rPr>
                <w:rFonts w:asciiTheme="majorHAnsi" w:hAnsiTheme="majorHAnsi" w:cstheme="majorHAnsi"/>
                <w:sz w:val="19"/>
                <w:szCs w:val="19"/>
              </w:rPr>
              <w:t>the seller a short period of time to rectify the position</w:t>
            </w:r>
            <w:r>
              <w:rPr>
                <w:rFonts w:asciiTheme="majorHAnsi" w:hAnsiTheme="majorHAnsi" w:cstheme="majorHAnsi"/>
                <w:sz w:val="19"/>
                <w:szCs w:val="19"/>
              </w:rPr>
              <w:t>. I</w:t>
            </w:r>
            <w:r w:rsidRPr="00267A0F">
              <w:rPr>
                <w:rFonts w:asciiTheme="majorHAnsi" w:hAnsiTheme="majorHAnsi" w:cstheme="majorHAnsi"/>
                <w:sz w:val="19"/>
                <w:szCs w:val="19"/>
              </w:rPr>
              <w:t xml:space="preserve">f it </w:t>
            </w:r>
            <w:r>
              <w:rPr>
                <w:rFonts w:asciiTheme="majorHAnsi" w:hAnsiTheme="majorHAnsi" w:cstheme="majorHAnsi"/>
                <w:sz w:val="19"/>
                <w:szCs w:val="19"/>
              </w:rPr>
              <w:t xml:space="preserve">cannot </w:t>
            </w:r>
            <w:r w:rsidRPr="00267A0F">
              <w:rPr>
                <w:rFonts w:asciiTheme="majorHAnsi" w:hAnsiTheme="majorHAnsi" w:cstheme="majorHAnsi"/>
                <w:sz w:val="19"/>
                <w:szCs w:val="19"/>
              </w:rPr>
              <w:t xml:space="preserve">be rectified, the trade will be cancelled and the buyer(s) </w:t>
            </w:r>
            <w:r>
              <w:rPr>
                <w:rFonts w:asciiTheme="majorHAnsi" w:hAnsiTheme="majorHAnsi" w:cstheme="majorHAnsi"/>
                <w:sz w:val="19"/>
                <w:szCs w:val="19"/>
              </w:rPr>
              <w:t xml:space="preserve">will be </w:t>
            </w:r>
            <w:r w:rsidRPr="00267A0F">
              <w:rPr>
                <w:rFonts w:asciiTheme="majorHAnsi" w:hAnsiTheme="majorHAnsi" w:cstheme="majorHAnsi"/>
                <w:sz w:val="19"/>
                <w:szCs w:val="19"/>
              </w:rPr>
              <w:t>compensated with the collateral posted by the short-seller. Because individual counterparties will not be known, if a trade is cancelled all secondary shippers’ capacity would be pro-rated down.</w:t>
            </w:r>
            <w:r>
              <w:rPr>
                <w:rFonts w:asciiTheme="majorHAnsi" w:hAnsiTheme="majorHAnsi" w:cstheme="majorHAnsi"/>
                <w:sz w:val="19"/>
                <w:szCs w:val="19"/>
              </w:rPr>
              <w:t xml:space="preserve"> </w:t>
            </w:r>
            <w:r w:rsidR="00721A64" w:rsidRPr="00267A0F">
              <w:rPr>
                <w:rFonts w:asciiTheme="majorHAnsi" w:hAnsiTheme="majorHAnsi" w:cstheme="majorHAnsi"/>
                <w:sz w:val="19"/>
                <w:szCs w:val="19"/>
              </w:rPr>
              <w:t>This measure is necessary because, in contrast to other markets, there will not be a capacity register that AEMO can use to validate that the seller has the capacity prior to the trade occurring (note that while this feature was consulted upon, stakeholders were of the view that the costs of establishing such a register would outweigh the benefits). It is worth noting that other elements of the GSH, such as the market conduct rules and other prudential controls, should discourage any uncovered speculative trading from occurring. The risk of short-selling occurring should therefore be relatively low.</w:t>
            </w:r>
          </w:p>
        </w:tc>
      </w:tr>
    </w:tbl>
    <w:p w14:paraId="38930B99" w14:textId="77777777" w:rsidR="00110FC0" w:rsidRDefault="00110FC0" w:rsidP="00756C62">
      <w:pPr>
        <w:pStyle w:val="Heading2"/>
        <w:numPr>
          <w:ilvl w:val="1"/>
          <w:numId w:val="20"/>
        </w:numPr>
        <w:spacing w:before="240" w:after="120"/>
        <w:ind w:left="624"/>
      </w:pPr>
      <w:bookmarkStart w:id="115" w:name="_Toc508702031"/>
      <w:bookmarkStart w:id="116" w:name="_Toc509239439"/>
      <w:r>
        <w:t xml:space="preserve">Proposed legal and regulatory </w:t>
      </w:r>
      <w:r w:rsidR="00BB59A5">
        <w:t>framework</w:t>
      </w:r>
      <w:bookmarkEnd w:id="115"/>
      <w:bookmarkEnd w:id="116"/>
      <w:r>
        <w:t xml:space="preserve"> </w:t>
      </w:r>
    </w:p>
    <w:p w14:paraId="7C30C78B" w14:textId="77777777" w:rsidR="00110FC0" w:rsidRDefault="0063763F" w:rsidP="00110FC0">
      <w:pPr>
        <w:pStyle w:val="BodyText"/>
      </w:pPr>
      <w:r>
        <w:t xml:space="preserve">In contrast to the day-ahead auction, implementing the capacity trading platform will require limited changes to the existing legal and regulatory framework because it will form part of the </w:t>
      </w:r>
      <w:r w:rsidR="006C63B6">
        <w:t xml:space="preserve">gas </w:t>
      </w:r>
      <w:r w:rsidRPr="00EB2158">
        <w:t>trading exchange</w:t>
      </w:r>
      <w:r>
        <w:t xml:space="preserve">, which is already part of that framework </w:t>
      </w:r>
      <w:r w:rsidR="00110FC0">
        <w:t xml:space="preserve">(see </w:t>
      </w:r>
      <w:r w:rsidR="00110FC0">
        <w:fldChar w:fldCharType="begin"/>
      </w:r>
      <w:r w:rsidR="00110FC0">
        <w:instrText xml:space="preserve"> REF _Ref508683078 \h </w:instrText>
      </w:r>
      <w:r w:rsidR="00110FC0">
        <w:fldChar w:fldCharType="separate"/>
      </w:r>
      <w:r w:rsidR="00830BE4">
        <w:t xml:space="preserve">Table </w:t>
      </w:r>
      <w:r w:rsidR="00830BE4">
        <w:rPr>
          <w:noProof/>
        </w:rPr>
        <w:t>6</w:t>
      </w:r>
      <w:r w:rsidR="00830BE4">
        <w:t>.</w:t>
      </w:r>
      <w:r w:rsidR="00830BE4">
        <w:rPr>
          <w:noProof/>
        </w:rPr>
        <w:t>2</w:t>
      </w:r>
      <w:r w:rsidR="00110FC0">
        <w:fldChar w:fldCharType="end"/>
      </w:r>
      <w:r w:rsidR="00110FC0">
        <w:t xml:space="preserve">). </w:t>
      </w:r>
    </w:p>
    <w:p w14:paraId="76640CF7" w14:textId="77777777" w:rsidR="00110FC0" w:rsidRDefault="00110FC0" w:rsidP="00110FC0">
      <w:pPr>
        <w:pStyle w:val="Caption"/>
        <w:spacing w:after="0"/>
      </w:pPr>
      <w:bookmarkStart w:id="117" w:name="_Ref508683078"/>
      <w:r>
        <w:lastRenderedPageBreak/>
        <w:t xml:space="preserve">Table </w:t>
      </w:r>
      <w:fldSimple w:instr=" STYLEREF 1 \s ">
        <w:r w:rsidR="00830BE4">
          <w:rPr>
            <w:noProof/>
          </w:rPr>
          <w:t>6</w:t>
        </w:r>
      </w:fldSimple>
      <w:r w:rsidR="00676D5D">
        <w:t>.</w:t>
      </w:r>
      <w:fldSimple w:instr=" SEQ Table \* ARABIC \s 1 ">
        <w:r w:rsidR="00830BE4">
          <w:rPr>
            <w:noProof/>
          </w:rPr>
          <w:t>2</w:t>
        </w:r>
      </w:fldSimple>
      <w:bookmarkEnd w:id="117"/>
      <w:r>
        <w:t xml:space="preserve">: </w:t>
      </w:r>
      <w:r w:rsidR="00267A0F">
        <w:t>Existing</w:t>
      </w:r>
      <w:r>
        <w:t xml:space="preserve"> GSH legal and regulatory framework </w:t>
      </w:r>
    </w:p>
    <w:tbl>
      <w:tblPr>
        <w:tblStyle w:val="TableGrid"/>
        <w:tblW w:w="5050" w:type="pct"/>
        <w:tblLook w:val="0420" w:firstRow="1" w:lastRow="0" w:firstColumn="0" w:lastColumn="0" w:noHBand="0" w:noVBand="1"/>
        <w:tblCaption w:val="Table E.2"/>
        <w:tblDescription w:val="Current GSH governance framework "/>
      </w:tblPr>
      <w:tblGrid>
        <w:gridCol w:w="1127"/>
        <w:gridCol w:w="7750"/>
      </w:tblGrid>
      <w:tr w:rsidR="00110FC0" w14:paraId="1931A93E" w14:textId="77777777" w:rsidTr="00110FC0">
        <w:trPr>
          <w:cnfStyle w:val="100000000000" w:firstRow="1" w:lastRow="0" w:firstColumn="0" w:lastColumn="0" w:oddVBand="0" w:evenVBand="0" w:oddHBand="0" w:evenHBand="0" w:firstRowFirstColumn="0" w:firstRowLastColumn="0" w:lastRowFirstColumn="0" w:lastRowLastColumn="0"/>
          <w:cantSplit/>
          <w:tblHeader/>
        </w:trPr>
        <w:tc>
          <w:tcPr>
            <w:tcW w:w="635" w:type="pct"/>
            <w:tcBorders>
              <w:top w:val="single" w:sz="4" w:space="0" w:color="auto"/>
              <w:left w:val="nil"/>
              <w:bottom w:val="single" w:sz="4" w:space="0" w:color="auto"/>
              <w:right w:val="single" w:sz="4" w:space="0" w:color="auto"/>
            </w:tcBorders>
            <w:shd w:val="clear" w:color="auto" w:fill="0099CC"/>
            <w:hideMark/>
          </w:tcPr>
          <w:p w14:paraId="7752481A" w14:textId="77777777" w:rsidR="00110FC0" w:rsidRDefault="00110FC0">
            <w:pPr>
              <w:pStyle w:val="TableHeading"/>
              <w:keepNext/>
              <w:spacing w:after="120"/>
              <w:rPr>
                <w:szCs w:val="18"/>
                <w:lang w:eastAsia="fr-CA"/>
              </w:rPr>
            </w:pPr>
            <w:r>
              <w:rPr>
                <w:szCs w:val="18"/>
                <w:lang w:eastAsia="fr-CA"/>
              </w:rPr>
              <w:t>Instrument</w:t>
            </w:r>
          </w:p>
        </w:tc>
        <w:tc>
          <w:tcPr>
            <w:tcW w:w="4365" w:type="pct"/>
            <w:tcBorders>
              <w:top w:val="single" w:sz="4" w:space="0" w:color="auto"/>
              <w:left w:val="single" w:sz="4" w:space="0" w:color="auto"/>
              <w:bottom w:val="single" w:sz="4" w:space="0" w:color="auto"/>
              <w:right w:val="nil"/>
            </w:tcBorders>
            <w:shd w:val="clear" w:color="auto" w:fill="0099CC"/>
            <w:hideMark/>
          </w:tcPr>
          <w:p w14:paraId="2AA50EB3" w14:textId="77777777" w:rsidR="00110FC0" w:rsidRDefault="00110FC0">
            <w:pPr>
              <w:pStyle w:val="TableHeading"/>
              <w:keepNext/>
              <w:spacing w:after="120"/>
              <w:rPr>
                <w:szCs w:val="18"/>
                <w:lang w:eastAsia="fr-CA"/>
              </w:rPr>
            </w:pPr>
            <w:r>
              <w:rPr>
                <w:szCs w:val="18"/>
                <w:lang w:eastAsia="fr-CA"/>
              </w:rPr>
              <w:t>Description</w:t>
            </w:r>
          </w:p>
        </w:tc>
      </w:tr>
      <w:tr w:rsidR="0063763F" w14:paraId="773BFFBE" w14:textId="77777777" w:rsidTr="00110FC0">
        <w:trPr>
          <w:cantSplit/>
        </w:trPr>
        <w:tc>
          <w:tcPr>
            <w:tcW w:w="635" w:type="pct"/>
            <w:tcBorders>
              <w:top w:val="single" w:sz="4" w:space="0" w:color="auto"/>
              <w:left w:val="nil"/>
              <w:bottom w:val="single" w:sz="4" w:space="0" w:color="auto"/>
              <w:right w:val="single" w:sz="4" w:space="0" w:color="auto"/>
            </w:tcBorders>
            <w:hideMark/>
          </w:tcPr>
          <w:p w14:paraId="21367C8D" w14:textId="77777777" w:rsidR="0063763F" w:rsidRDefault="0063763F" w:rsidP="0063763F">
            <w:pPr>
              <w:pStyle w:val="TableBodyText"/>
              <w:keepNext/>
              <w:spacing w:after="120"/>
              <w:rPr>
                <w:szCs w:val="18"/>
                <w:lang w:eastAsia="fr-CA"/>
              </w:rPr>
            </w:pPr>
            <w:r>
              <w:rPr>
                <w:szCs w:val="18"/>
                <w:lang w:eastAsia="fr-CA"/>
              </w:rPr>
              <w:t>NGL (</w:t>
            </w:r>
            <w:r w:rsidR="0089473A">
              <w:rPr>
                <w:szCs w:val="18"/>
                <w:lang w:eastAsia="fr-CA"/>
              </w:rPr>
              <w:t xml:space="preserve">Chapter 2, </w:t>
            </w:r>
            <w:r>
              <w:rPr>
                <w:szCs w:val="18"/>
                <w:lang w:eastAsia="fr-CA"/>
              </w:rPr>
              <w:t>Part 6 Division 2B)</w:t>
            </w:r>
          </w:p>
        </w:tc>
        <w:tc>
          <w:tcPr>
            <w:tcW w:w="4365" w:type="pct"/>
            <w:tcBorders>
              <w:top w:val="single" w:sz="4" w:space="0" w:color="auto"/>
              <w:left w:val="single" w:sz="4" w:space="0" w:color="auto"/>
              <w:bottom w:val="single" w:sz="4" w:space="0" w:color="auto"/>
              <w:right w:val="nil"/>
            </w:tcBorders>
            <w:hideMark/>
          </w:tcPr>
          <w:p w14:paraId="4254FC92" w14:textId="77777777" w:rsidR="0063763F" w:rsidRDefault="0063763F" w:rsidP="0063763F">
            <w:pPr>
              <w:pStyle w:val="TableBodyText"/>
              <w:spacing w:after="120"/>
              <w:rPr>
                <w:szCs w:val="18"/>
                <w:lang w:eastAsia="fr-CA"/>
              </w:rPr>
            </w:pPr>
            <w:r>
              <w:rPr>
                <w:szCs w:val="18"/>
              </w:rPr>
              <w:t xml:space="preserve">AEMO operates the GSH as one of its statutory functions under section 91BRK of the NGL. This section of the NGL </w:t>
            </w:r>
            <w:r>
              <w:rPr>
                <w:szCs w:val="18"/>
                <w:lang w:eastAsia="fr-CA"/>
              </w:rPr>
              <w:t xml:space="preserve">provides for AEMO to establish, operate and administer ‘gas trading exchanges’, which are defined as facilities through which persons may elect to buy and sell natural gas or related goods or services, including pipeline capacity. </w:t>
            </w:r>
          </w:p>
          <w:p w14:paraId="516A5497" w14:textId="77777777" w:rsidR="0063763F" w:rsidRDefault="0063763F" w:rsidP="0063763F">
            <w:pPr>
              <w:pStyle w:val="TableBodyText"/>
              <w:keepNext/>
              <w:spacing w:after="120"/>
              <w:rPr>
                <w:szCs w:val="18"/>
                <w:lang w:eastAsia="fr-CA"/>
              </w:rPr>
            </w:pPr>
            <w:r>
              <w:rPr>
                <w:szCs w:val="18"/>
                <w:lang w:eastAsia="fr-CA"/>
              </w:rPr>
              <w:t xml:space="preserve">This section of the NGL also allows </w:t>
            </w:r>
            <w:r>
              <w:rPr>
                <w:rFonts w:eastAsiaTheme="majorEastAsia"/>
                <w:szCs w:val="18"/>
              </w:rPr>
              <w:t xml:space="preserve">AEMO to make and administer </w:t>
            </w:r>
            <w:r w:rsidR="00067F90">
              <w:rPr>
                <w:rFonts w:eastAsiaTheme="majorEastAsia"/>
                <w:szCs w:val="18"/>
              </w:rPr>
              <w:t xml:space="preserve">the </w:t>
            </w:r>
            <w:r>
              <w:rPr>
                <w:rFonts w:eastAsiaTheme="majorEastAsia"/>
                <w:szCs w:val="18"/>
              </w:rPr>
              <w:t>Exchange Agreement for the purposes of the exchange.  AEMO’s gas trading exchange functions and the operation of the gas trading exchange are included as subjects for the NGR (s.74(1)(aaa)).</w:t>
            </w:r>
          </w:p>
        </w:tc>
      </w:tr>
      <w:tr w:rsidR="0063763F" w14:paraId="056B7B9F" w14:textId="77777777" w:rsidTr="00110FC0">
        <w:trPr>
          <w:cnfStyle w:val="000000010000" w:firstRow="0" w:lastRow="0" w:firstColumn="0" w:lastColumn="0" w:oddVBand="0" w:evenVBand="0" w:oddHBand="0" w:evenHBand="1" w:firstRowFirstColumn="0" w:firstRowLastColumn="0" w:lastRowFirstColumn="0" w:lastRowLastColumn="0"/>
          <w:cantSplit/>
        </w:trPr>
        <w:tc>
          <w:tcPr>
            <w:tcW w:w="635" w:type="pct"/>
            <w:tcBorders>
              <w:top w:val="single" w:sz="4" w:space="0" w:color="auto"/>
              <w:left w:val="nil"/>
              <w:bottom w:val="single" w:sz="4" w:space="0" w:color="auto"/>
              <w:right w:val="single" w:sz="4" w:space="0" w:color="auto"/>
            </w:tcBorders>
            <w:hideMark/>
          </w:tcPr>
          <w:p w14:paraId="53CF0286" w14:textId="77777777" w:rsidR="0063763F" w:rsidRDefault="0063763F" w:rsidP="0063763F">
            <w:pPr>
              <w:pStyle w:val="TableBodyText"/>
              <w:spacing w:after="120"/>
              <w:rPr>
                <w:szCs w:val="18"/>
                <w:lang w:eastAsia="fr-CA"/>
              </w:rPr>
            </w:pPr>
            <w:r>
              <w:rPr>
                <w:szCs w:val="18"/>
                <w:lang w:eastAsia="fr-CA"/>
              </w:rPr>
              <w:t>Part 22 of the NGR</w:t>
            </w:r>
          </w:p>
        </w:tc>
        <w:tc>
          <w:tcPr>
            <w:tcW w:w="4365" w:type="pct"/>
            <w:tcBorders>
              <w:top w:val="single" w:sz="4" w:space="0" w:color="auto"/>
              <w:left w:val="single" w:sz="4" w:space="0" w:color="auto"/>
              <w:bottom w:val="single" w:sz="4" w:space="0" w:color="auto"/>
              <w:right w:val="nil"/>
            </w:tcBorders>
            <w:hideMark/>
          </w:tcPr>
          <w:p w14:paraId="47A0BB1A" w14:textId="77777777" w:rsidR="0063763F" w:rsidRDefault="0063763F" w:rsidP="0063763F">
            <w:pPr>
              <w:pStyle w:val="TableBodyText"/>
              <w:spacing w:after="120"/>
              <w:rPr>
                <w:rFonts w:eastAsiaTheme="majorEastAsia"/>
                <w:szCs w:val="18"/>
              </w:rPr>
            </w:pPr>
            <w:r>
              <w:rPr>
                <w:rFonts w:eastAsiaTheme="majorEastAsia"/>
                <w:szCs w:val="18"/>
              </w:rPr>
              <w:t xml:space="preserve">Part 22 of the NGR contains rules applicable to the GSH.  Matters covered in Part 22 include: </w:t>
            </w:r>
          </w:p>
          <w:p w14:paraId="7C36A7E9"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high level design parameters for the exchange;</w:t>
            </w:r>
          </w:p>
          <w:p w14:paraId="57D4A32F"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arrangements for the determination of charges for delivery failures;</w:t>
            </w:r>
          </w:p>
          <w:p w14:paraId="13852090"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 xml:space="preserve">arrangements for becoming a member; </w:t>
            </w:r>
          </w:p>
          <w:p w14:paraId="753EE9A9"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AEMO’s power to suspend a member;</w:t>
            </w:r>
          </w:p>
          <w:p w14:paraId="0996DED3"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 xml:space="preserve">the subject matter for the </w:t>
            </w:r>
            <w:r w:rsidR="00B76BEE">
              <w:rPr>
                <w:rFonts w:eastAsiaTheme="majorEastAsia"/>
                <w:szCs w:val="18"/>
              </w:rPr>
              <w:t>E</w:t>
            </w:r>
            <w:r>
              <w:rPr>
                <w:rFonts w:eastAsiaTheme="majorEastAsia"/>
                <w:szCs w:val="18"/>
              </w:rPr>
              <w:t xml:space="preserve">xchange </w:t>
            </w:r>
            <w:r w:rsidR="00B76BEE">
              <w:rPr>
                <w:rFonts w:eastAsiaTheme="majorEastAsia"/>
                <w:szCs w:val="18"/>
              </w:rPr>
              <w:t>A</w:t>
            </w:r>
            <w:r>
              <w:rPr>
                <w:rFonts w:eastAsiaTheme="majorEastAsia"/>
                <w:szCs w:val="18"/>
              </w:rPr>
              <w:t xml:space="preserve">greement; and </w:t>
            </w:r>
          </w:p>
          <w:p w14:paraId="7BEF03D0" w14:textId="77777777" w:rsidR="0063763F" w:rsidRDefault="0063763F" w:rsidP="00756C62">
            <w:pPr>
              <w:pStyle w:val="TableBullet1"/>
              <w:numPr>
                <w:ilvl w:val="0"/>
                <w:numId w:val="21"/>
              </w:numPr>
              <w:spacing w:after="120"/>
              <w:rPr>
                <w:rFonts w:eastAsiaTheme="majorEastAsia"/>
                <w:szCs w:val="18"/>
              </w:rPr>
            </w:pPr>
            <w:r>
              <w:rPr>
                <w:rFonts w:eastAsiaTheme="majorEastAsia"/>
                <w:szCs w:val="18"/>
              </w:rPr>
              <w:t xml:space="preserve">the market conduct rules. </w:t>
            </w:r>
          </w:p>
          <w:p w14:paraId="1B72477D" w14:textId="77777777" w:rsidR="0063763F" w:rsidRDefault="0063763F" w:rsidP="0063763F">
            <w:pPr>
              <w:pStyle w:val="TableBodyText"/>
              <w:spacing w:after="120"/>
              <w:rPr>
                <w:rFonts w:eastAsiaTheme="majorEastAsia"/>
                <w:szCs w:val="18"/>
              </w:rPr>
            </w:pPr>
            <w:r>
              <w:rPr>
                <w:rFonts w:eastAsiaTheme="majorEastAsia"/>
                <w:szCs w:val="18"/>
              </w:rPr>
              <w:t xml:space="preserve">Part 22 can be amended by the AEMC through the usual rule change process.  </w:t>
            </w:r>
          </w:p>
          <w:p w14:paraId="0A2D42E2" w14:textId="77777777" w:rsidR="0063763F" w:rsidRDefault="0063763F" w:rsidP="0063763F">
            <w:pPr>
              <w:pStyle w:val="TableBodyText"/>
              <w:spacing w:after="120"/>
              <w:rPr>
                <w:rFonts w:eastAsiaTheme="majorEastAsia"/>
                <w:szCs w:val="18"/>
              </w:rPr>
            </w:pPr>
            <w:r>
              <w:rPr>
                <w:rFonts w:eastAsiaTheme="majorEastAsia"/>
                <w:szCs w:val="18"/>
              </w:rPr>
              <w:t>The</w:t>
            </w:r>
            <w:r>
              <w:rPr>
                <w:szCs w:val="18"/>
              </w:rPr>
              <w:t xml:space="preserve"> AER monitors compliance and can investigate and enforce breaches under its ge</w:t>
            </w:r>
            <w:r>
              <w:rPr>
                <w:rFonts w:eastAsiaTheme="majorEastAsia"/>
                <w:szCs w:val="18"/>
              </w:rPr>
              <w:t>neral powers.  It also has a specific duty in Part 22 to monitor compliance with market conduct rules.</w:t>
            </w:r>
          </w:p>
        </w:tc>
      </w:tr>
      <w:tr w:rsidR="0063763F" w14:paraId="6AF69CED" w14:textId="77777777" w:rsidTr="00110FC0">
        <w:trPr>
          <w:cantSplit/>
        </w:trPr>
        <w:tc>
          <w:tcPr>
            <w:tcW w:w="635" w:type="pct"/>
            <w:tcBorders>
              <w:top w:val="single" w:sz="4" w:space="0" w:color="auto"/>
              <w:left w:val="nil"/>
              <w:bottom w:val="single" w:sz="4" w:space="0" w:color="auto"/>
              <w:right w:val="single" w:sz="4" w:space="0" w:color="auto"/>
            </w:tcBorders>
            <w:hideMark/>
          </w:tcPr>
          <w:p w14:paraId="077239FD" w14:textId="77777777" w:rsidR="0063763F" w:rsidRDefault="0063763F" w:rsidP="0063763F">
            <w:pPr>
              <w:pStyle w:val="TableBodyText"/>
              <w:spacing w:after="120"/>
              <w:rPr>
                <w:szCs w:val="18"/>
                <w:lang w:eastAsia="fr-CA"/>
              </w:rPr>
            </w:pPr>
            <w:r>
              <w:rPr>
                <w:szCs w:val="18"/>
                <w:lang w:eastAsia="fr-CA"/>
              </w:rPr>
              <w:t>Exchange Agreement</w:t>
            </w:r>
          </w:p>
        </w:tc>
        <w:tc>
          <w:tcPr>
            <w:tcW w:w="4365" w:type="pct"/>
            <w:tcBorders>
              <w:top w:val="single" w:sz="4" w:space="0" w:color="auto"/>
              <w:left w:val="single" w:sz="4" w:space="0" w:color="auto"/>
              <w:bottom w:val="single" w:sz="4" w:space="0" w:color="auto"/>
              <w:right w:val="nil"/>
            </w:tcBorders>
            <w:hideMark/>
          </w:tcPr>
          <w:p w14:paraId="44274D5E" w14:textId="77777777" w:rsidR="0063763F" w:rsidRDefault="0063763F" w:rsidP="0063763F">
            <w:pPr>
              <w:pStyle w:val="TableBodyText"/>
              <w:spacing w:after="120"/>
              <w:rPr>
                <w:rFonts w:eastAsiaTheme="majorEastAsia"/>
                <w:szCs w:val="18"/>
              </w:rPr>
            </w:pPr>
            <w:r>
              <w:rPr>
                <w:rFonts w:eastAsiaTheme="majorEastAsia"/>
                <w:szCs w:val="18"/>
              </w:rPr>
              <w:t xml:space="preserve">The Exchange Agreement developed by AEMO (in accordance with the NGR and NGL), is a multilateral contract.  It covers admission to the exchange, prudential requirements, operation of the exchange, product definition, delivery obligations and settlement.  Some provisions (e.g. the Settlements and Prudential Methodology) are set out in subsidiary documents.  </w:t>
            </w:r>
          </w:p>
          <w:p w14:paraId="32CFDA4D" w14:textId="77777777" w:rsidR="0063763F" w:rsidRDefault="0063763F" w:rsidP="0063763F">
            <w:pPr>
              <w:pStyle w:val="TableBodyText"/>
              <w:spacing w:after="120"/>
              <w:rPr>
                <w:szCs w:val="18"/>
                <w:lang w:eastAsia="fr-CA"/>
              </w:rPr>
            </w:pPr>
            <w:bookmarkStart w:id="118" w:name="_Hlk499048545"/>
            <w:r>
              <w:rPr>
                <w:rFonts w:eastAsiaTheme="majorEastAsia"/>
                <w:szCs w:val="18"/>
              </w:rPr>
              <w:t>The Exchange Agreement can be amended by AEMO over time to, for example, add new products, remove redundant products, or make refinements to existing products.</w:t>
            </w:r>
            <w:r>
              <w:rPr>
                <w:szCs w:val="18"/>
                <w:lang w:eastAsia="fr-CA"/>
              </w:rPr>
              <w:t xml:space="preserve"> Specifically, rule 540 allows any person to propose an amendment to the Exchange Agreement and states that AEMO can approve the amendment if it is satisfied: (a) the amendment is consistent with the NGL and the NGR; and (b) the amendment is appropriate having regard to the NGO and the compliance costs likely to be incurred by AEMO and participants. Before making a change, AEMO must consult with exchange members and any other persons AEMO thinks would be affected by the proposed amendment. </w:t>
            </w:r>
            <w:bookmarkEnd w:id="118"/>
          </w:p>
        </w:tc>
      </w:tr>
      <w:tr w:rsidR="00110FC0" w14:paraId="05CD4BCD" w14:textId="77777777" w:rsidTr="00110FC0">
        <w:trPr>
          <w:cnfStyle w:val="000000010000" w:firstRow="0" w:lastRow="0" w:firstColumn="0" w:lastColumn="0" w:oddVBand="0" w:evenVBand="0" w:oddHBand="0" w:evenHBand="1" w:firstRowFirstColumn="0" w:firstRowLastColumn="0" w:lastRowFirstColumn="0" w:lastRowLastColumn="0"/>
          <w:cantSplit/>
        </w:trPr>
        <w:tc>
          <w:tcPr>
            <w:tcW w:w="635" w:type="pct"/>
            <w:tcBorders>
              <w:top w:val="single" w:sz="4" w:space="0" w:color="auto"/>
              <w:left w:val="nil"/>
              <w:bottom w:val="single" w:sz="4" w:space="0" w:color="auto"/>
              <w:right w:val="single" w:sz="4" w:space="0" w:color="auto"/>
            </w:tcBorders>
            <w:hideMark/>
          </w:tcPr>
          <w:p w14:paraId="11EF31F4" w14:textId="77777777" w:rsidR="00110FC0" w:rsidRDefault="00110FC0">
            <w:pPr>
              <w:pStyle w:val="TableBodyText"/>
              <w:spacing w:after="120"/>
              <w:rPr>
                <w:szCs w:val="18"/>
                <w:lang w:eastAsia="fr-CA"/>
              </w:rPr>
            </w:pPr>
            <w:bookmarkStart w:id="119" w:name="_Hlk492233680"/>
            <w:r>
              <w:rPr>
                <w:szCs w:val="18"/>
                <w:lang w:eastAsia="fr-CA"/>
              </w:rPr>
              <w:t>GSH Subsidiary Documents</w:t>
            </w:r>
          </w:p>
        </w:tc>
        <w:tc>
          <w:tcPr>
            <w:tcW w:w="4365" w:type="pct"/>
            <w:tcBorders>
              <w:top w:val="single" w:sz="4" w:space="0" w:color="auto"/>
              <w:left w:val="single" w:sz="4" w:space="0" w:color="auto"/>
              <w:bottom w:val="single" w:sz="4" w:space="0" w:color="auto"/>
              <w:right w:val="nil"/>
            </w:tcBorders>
            <w:hideMark/>
          </w:tcPr>
          <w:p w14:paraId="205C08E0" w14:textId="77777777" w:rsidR="00110FC0" w:rsidRDefault="00110FC0">
            <w:pPr>
              <w:pStyle w:val="TableBodyText"/>
              <w:spacing w:after="120"/>
              <w:rPr>
                <w:szCs w:val="18"/>
              </w:rPr>
            </w:pPr>
            <w:r>
              <w:rPr>
                <w:szCs w:val="18"/>
              </w:rPr>
              <w:t xml:space="preserve">AEMO has the power to make procedures in accordance with the Exchange Agreement. The procedures that AEMO has published to date include procedures on: reallocation (the Reallocation Procedure); the interface between systems (the Interface Protocol); exchange fees; and security deposits. </w:t>
            </w:r>
          </w:p>
        </w:tc>
      </w:tr>
    </w:tbl>
    <w:bookmarkEnd w:id="119"/>
    <w:p w14:paraId="2FE1A375" w14:textId="77777777" w:rsidR="00110FC0" w:rsidRDefault="00110FC0" w:rsidP="00110FC0">
      <w:pPr>
        <w:pStyle w:val="BodyText"/>
        <w:rPr>
          <w:rFonts w:cs="Arial"/>
        </w:rPr>
      </w:pPr>
      <w:r>
        <w:t xml:space="preserve">While the implementation of the capacity trading platform will largely rely on the existing legal and regulatory framework, some changes to the NGL, NGR and Regulations will be required </w:t>
      </w:r>
      <w:r>
        <w:rPr>
          <w:rFonts w:cs="Arial"/>
        </w:rPr>
        <w:t xml:space="preserve">to implement the design of the capacity trading platform outlined in </w:t>
      </w:r>
      <w:r w:rsidR="004D62D5">
        <w:rPr>
          <w:rFonts w:cs="Arial"/>
        </w:rPr>
        <w:fldChar w:fldCharType="begin"/>
      </w:r>
      <w:r w:rsidR="004D62D5">
        <w:rPr>
          <w:rFonts w:cs="Arial"/>
        </w:rPr>
        <w:instrText xml:space="preserve"> REF _Ref508823283 \h </w:instrText>
      </w:r>
      <w:r w:rsidR="004D62D5">
        <w:rPr>
          <w:rFonts w:cs="Arial"/>
        </w:rPr>
      </w:r>
      <w:r w:rsidR="004D62D5">
        <w:rPr>
          <w:rFonts w:cs="Arial"/>
        </w:rPr>
        <w:fldChar w:fldCharType="separate"/>
      </w:r>
      <w:r w:rsidR="00830BE4">
        <w:t xml:space="preserve">Table </w:t>
      </w:r>
      <w:r w:rsidR="00830BE4">
        <w:rPr>
          <w:noProof/>
        </w:rPr>
        <w:t>6</w:t>
      </w:r>
      <w:r w:rsidR="00830BE4">
        <w:t>.</w:t>
      </w:r>
      <w:r w:rsidR="00830BE4">
        <w:rPr>
          <w:noProof/>
        </w:rPr>
        <w:t>1</w:t>
      </w:r>
      <w:r w:rsidR="004D62D5">
        <w:rPr>
          <w:rFonts w:cs="Arial"/>
        </w:rPr>
        <w:fldChar w:fldCharType="end"/>
      </w:r>
      <w:r>
        <w:rPr>
          <w:rFonts w:cs="Arial"/>
        </w:rPr>
        <w:t>. AEMO will also need to:</w:t>
      </w:r>
    </w:p>
    <w:p w14:paraId="7E488AE1" w14:textId="77777777" w:rsidR="00110FC0" w:rsidRDefault="00110FC0" w:rsidP="00756C62">
      <w:pPr>
        <w:pStyle w:val="ListBullet"/>
        <w:numPr>
          <w:ilvl w:val="0"/>
          <w:numId w:val="22"/>
        </w:numPr>
        <w:ind w:left="357" w:hanging="357"/>
      </w:pPr>
      <w:r>
        <w:rPr>
          <w:rFonts w:cs="Arial"/>
        </w:rPr>
        <w:t xml:space="preserve">develop the Capacity Transfer and Auction Procedures, which amongst other things, </w:t>
      </w:r>
      <w:r>
        <w:t xml:space="preserve">will set out the transaction support arrangements that will be required to provide for a fully anonymous trading exchange; </w:t>
      </w:r>
    </w:p>
    <w:p w14:paraId="4004CF9A" w14:textId="098F6427" w:rsidR="00110FC0" w:rsidRDefault="00110FC0" w:rsidP="00756C62">
      <w:pPr>
        <w:pStyle w:val="ListBullet"/>
        <w:numPr>
          <w:ilvl w:val="0"/>
          <w:numId w:val="22"/>
        </w:numPr>
        <w:ind w:left="357" w:hanging="357"/>
      </w:pPr>
      <w:r>
        <w:t>amend the Exchange Agreement so that the new capacity products can be listed for trading</w:t>
      </w:r>
      <w:r w:rsidR="0063763F">
        <w:t>; and</w:t>
      </w:r>
    </w:p>
    <w:p w14:paraId="139D1626" w14:textId="77777777" w:rsidR="0063763F" w:rsidRDefault="0063763F" w:rsidP="00756C62">
      <w:pPr>
        <w:pStyle w:val="ListBullet"/>
        <w:numPr>
          <w:ilvl w:val="0"/>
          <w:numId w:val="22"/>
        </w:numPr>
        <w:ind w:left="357" w:hanging="357"/>
      </w:pPr>
      <w:r>
        <w:lastRenderedPageBreak/>
        <w:t>make any necessary changes to other procedures and subsidiary documents to accommodate the capacity trading platform.</w:t>
      </w:r>
    </w:p>
    <w:p w14:paraId="0C67630F" w14:textId="77777777" w:rsidR="00110FC0" w:rsidRDefault="00110FC0" w:rsidP="00110FC0">
      <w:pPr>
        <w:pStyle w:val="BodyText"/>
      </w:pPr>
      <w:r>
        <w:t>Further detail on the proposed changes to the NGL, NGR and Regulations is provided below.</w:t>
      </w:r>
    </w:p>
    <w:p w14:paraId="754FF337" w14:textId="77777777" w:rsidR="00110FC0" w:rsidRDefault="00110FC0" w:rsidP="00756C62">
      <w:pPr>
        <w:pStyle w:val="Heading3"/>
        <w:numPr>
          <w:ilvl w:val="2"/>
          <w:numId w:val="20"/>
        </w:numPr>
      </w:pPr>
      <w:r>
        <w:t>Proposed changes to the NGL</w:t>
      </w:r>
    </w:p>
    <w:p w14:paraId="17326ABC" w14:textId="77777777" w:rsidR="0063763F" w:rsidRDefault="0063763F" w:rsidP="0063763F">
      <w:pPr>
        <w:pStyle w:val="BodyText"/>
      </w:pPr>
      <w:r>
        <w:t xml:space="preserve">As outlined in </w:t>
      </w:r>
      <w:r>
        <w:fldChar w:fldCharType="begin"/>
      </w:r>
      <w:r>
        <w:instrText xml:space="preserve"> REF _Ref508683078 \h </w:instrText>
      </w:r>
      <w:r>
        <w:fldChar w:fldCharType="separate"/>
      </w:r>
      <w:r w:rsidR="00830BE4">
        <w:t xml:space="preserve">Table </w:t>
      </w:r>
      <w:r w:rsidR="00830BE4">
        <w:rPr>
          <w:noProof/>
        </w:rPr>
        <w:t>6</w:t>
      </w:r>
      <w:r w:rsidR="00830BE4">
        <w:t>.</w:t>
      </w:r>
      <w:r w:rsidR="00830BE4">
        <w:rPr>
          <w:noProof/>
        </w:rPr>
        <w:t>2</w:t>
      </w:r>
      <w:r>
        <w:fldChar w:fldCharType="end"/>
      </w:r>
      <w:r>
        <w:t xml:space="preserve">, the definition of gas trading exchange in the NGL already provides for the trade of related goods and services including pipeline capacity. The primary changes to the NGL to implement the capacity trading platform are </w:t>
      </w:r>
      <w:r w:rsidR="00067F90">
        <w:t>those that</w:t>
      </w:r>
      <w:r>
        <w:t>:</w:t>
      </w:r>
    </w:p>
    <w:p w14:paraId="04357B8D" w14:textId="77777777" w:rsidR="0063763F" w:rsidRDefault="0063763F" w:rsidP="00756C62">
      <w:pPr>
        <w:pStyle w:val="ListBullet"/>
        <w:numPr>
          <w:ilvl w:val="0"/>
          <w:numId w:val="22"/>
        </w:numPr>
        <w:ind w:left="357" w:hanging="357"/>
      </w:pPr>
      <w:r>
        <w:t>allow the NGR to specify what will occur if a seller’s primary facility agreement is terminated or suspended;</w:t>
      </w:r>
      <w:r>
        <w:rPr>
          <w:rStyle w:val="FootnoteReference"/>
        </w:rPr>
        <w:footnoteReference w:id="92"/>
      </w:r>
      <w:r>
        <w:t xml:space="preserve"> and</w:t>
      </w:r>
    </w:p>
    <w:p w14:paraId="12D18E1E" w14:textId="77777777" w:rsidR="0063763F" w:rsidRDefault="0063763F" w:rsidP="00756C62">
      <w:pPr>
        <w:pStyle w:val="ListBullet"/>
        <w:numPr>
          <w:ilvl w:val="0"/>
          <w:numId w:val="22"/>
        </w:numPr>
        <w:ind w:left="357" w:hanging="357"/>
      </w:pPr>
      <w:r>
        <w:t>extend the subject matter of the NGR</w:t>
      </w:r>
      <w:r>
        <w:rPr>
          <w:rStyle w:val="FootnoteReference"/>
        </w:rPr>
        <w:footnoteReference w:id="93"/>
      </w:r>
      <w:r>
        <w:t xml:space="preserve"> and the scope of the AEMC’s rule making functions</w:t>
      </w:r>
      <w:r>
        <w:rPr>
          <w:rStyle w:val="FootnoteReference"/>
        </w:rPr>
        <w:footnoteReference w:id="94"/>
      </w:r>
      <w:r>
        <w:t xml:space="preserve"> to include transaction support arrangements and provide for these arrangements to be set out in the Capacity Transfer and Auction Procedures, with which service providers are required by the NGL to comply.</w:t>
      </w:r>
      <w:r>
        <w:rPr>
          <w:rStyle w:val="FootnoteReference"/>
        </w:rPr>
        <w:footnoteReference w:id="95"/>
      </w:r>
    </w:p>
    <w:p w14:paraId="0C45C9BA" w14:textId="77777777" w:rsidR="0063763F" w:rsidRDefault="0063763F" w:rsidP="0063763F">
      <w:pPr>
        <w:pStyle w:val="BodyText"/>
      </w:pPr>
      <w:r>
        <w:t xml:space="preserve">Further detail on the latter of these changes can be found in Chapter 4. </w:t>
      </w:r>
    </w:p>
    <w:p w14:paraId="6C589A37" w14:textId="77777777" w:rsidR="00110FC0" w:rsidRDefault="00110FC0" w:rsidP="00756C62">
      <w:pPr>
        <w:pStyle w:val="Heading3"/>
        <w:numPr>
          <w:ilvl w:val="2"/>
          <w:numId w:val="20"/>
        </w:numPr>
      </w:pPr>
      <w:r>
        <w:t xml:space="preserve">Proposed changes to the NGR </w:t>
      </w:r>
    </w:p>
    <w:p w14:paraId="1E213248" w14:textId="77777777" w:rsidR="00110FC0" w:rsidRDefault="00110FC0" w:rsidP="00110FC0">
      <w:pPr>
        <w:pStyle w:val="BodyText"/>
      </w:pPr>
      <w:r>
        <w:t xml:space="preserve">Like the NGL, provisions will need to be included in the NGR to implement the obligations that: </w:t>
      </w:r>
    </w:p>
    <w:p w14:paraId="7A92C932" w14:textId="77777777" w:rsidR="00110FC0" w:rsidRDefault="00903883" w:rsidP="00756C62">
      <w:pPr>
        <w:pStyle w:val="ListBullet"/>
        <w:numPr>
          <w:ilvl w:val="0"/>
          <w:numId w:val="22"/>
        </w:numPr>
        <w:ind w:left="357" w:hanging="357"/>
      </w:pPr>
      <w:r>
        <w:t xml:space="preserve">service providers will have to </w:t>
      </w:r>
      <w:r w:rsidR="00110FC0">
        <w:t>honour transactions conducted through the exchange that are given effect through an operational transportation service agreement:</w:t>
      </w:r>
      <w:r w:rsidR="00E90FCB">
        <w:rPr>
          <w:rStyle w:val="FootnoteReference"/>
        </w:rPr>
        <w:footnoteReference w:id="96"/>
      </w:r>
      <w:r w:rsidR="00110FC0">
        <w:t xml:space="preserve"> </w:t>
      </w:r>
    </w:p>
    <w:p w14:paraId="6C3D8995" w14:textId="77777777" w:rsidR="00110FC0" w:rsidRDefault="00110FC0" w:rsidP="00756C62">
      <w:pPr>
        <w:pStyle w:val="ListBullet2"/>
        <w:numPr>
          <w:ilvl w:val="0"/>
          <w:numId w:val="23"/>
        </w:numPr>
        <w:ind w:left="714" w:hanging="357"/>
      </w:pPr>
      <w:r>
        <w:t xml:space="preserve">for up to 14 days if a seller’s primary facility agreement is terminated and to be paid an amount determined by </w:t>
      </w:r>
      <w:r>
        <w:rPr>
          <w:rFonts w:asciiTheme="majorHAnsi" w:hAnsiTheme="majorHAnsi" w:cstheme="majorHAnsi"/>
          <w:szCs w:val="18"/>
        </w:rPr>
        <w:t>AEMO for doing so</w:t>
      </w:r>
      <w:r>
        <w:t>;</w:t>
      </w:r>
      <w:r>
        <w:rPr>
          <w:rStyle w:val="FootnoteReference"/>
        </w:rPr>
        <w:footnoteReference w:id="97"/>
      </w:r>
      <w:r>
        <w:t xml:space="preserve"> and</w:t>
      </w:r>
    </w:p>
    <w:p w14:paraId="0FD4143D" w14:textId="77777777" w:rsidR="00110FC0" w:rsidRDefault="00110FC0" w:rsidP="00756C62">
      <w:pPr>
        <w:pStyle w:val="ListBullet2"/>
        <w:numPr>
          <w:ilvl w:val="0"/>
          <w:numId w:val="23"/>
        </w:numPr>
        <w:ind w:left="714" w:hanging="357"/>
      </w:pPr>
      <w:r>
        <w:t>for the term of the trade if a seller’s primary facility agreement is suspended</w:t>
      </w:r>
      <w:r w:rsidR="00027274">
        <w:t>; and</w:t>
      </w:r>
      <w:r>
        <w:t xml:space="preserve"> </w:t>
      </w:r>
    </w:p>
    <w:p w14:paraId="56192C6B" w14:textId="77777777" w:rsidR="00110FC0" w:rsidRDefault="00903883" w:rsidP="00756C62">
      <w:pPr>
        <w:pStyle w:val="ListBullet"/>
        <w:numPr>
          <w:ilvl w:val="0"/>
          <w:numId w:val="22"/>
        </w:numPr>
        <w:ind w:left="357" w:hanging="357"/>
      </w:pPr>
      <w:r>
        <w:t xml:space="preserve">service providers will have to </w:t>
      </w:r>
      <w:r w:rsidR="00110FC0">
        <w:t xml:space="preserve">give effect to operational transfers arising as a result of trades carried out through the exchange, subject to any </w:t>
      </w:r>
      <w:r w:rsidR="00C93481">
        <w:t xml:space="preserve">transaction support (e.g. validation) </w:t>
      </w:r>
      <w:r w:rsidR="00110FC0">
        <w:t>arrangements in the Capacity Transfer and Auction Procedures and the terms and conditions of the applicable facility agreement</w:t>
      </w:r>
      <w:r w:rsidR="00110FC0">
        <w:rPr>
          <w:rStyle w:val="CommentReference"/>
          <w:rFonts w:asciiTheme="minorHAnsi" w:eastAsiaTheme="minorHAnsi" w:hAnsiTheme="minorHAnsi" w:cstheme="minorBidi"/>
          <w:lang w:eastAsia="en-US"/>
        </w:rPr>
        <w:t>.</w:t>
      </w:r>
      <w:r w:rsidR="00110FC0">
        <w:rPr>
          <w:rStyle w:val="FootnoteReference"/>
        </w:rPr>
        <w:footnoteReference w:id="98"/>
      </w:r>
      <w:r w:rsidR="00110FC0">
        <w:t xml:space="preserve"> </w:t>
      </w:r>
    </w:p>
    <w:p w14:paraId="1EC9F0EC" w14:textId="77777777" w:rsidR="00110FC0" w:rsidRDefault="00110FC0" w:rsidP="00110FC0">
      <w:pPr>
        <w:pStyle w:val="ListBullet"/>
        <w:numPr>
          <w:ilvl w:val="0"/>
          <w:numId w:val="0"/>
        </w:numPr>
        <w:rPr>
          <w:rStyle w:val="EMR-Term-Local"/>
          <w:rFonts w:eastAsiaTheme="minorHAnsi"/>
        </w:rPr>
      </w:pPr>
      <w:r>
        <w:lastRenderedPageBreak/>
        <w:t>An amendment to the NGR will also be required to give AEMO some flexibility to deal with the recovery of the costs o</w:t>
      </w:r>
      <w:r>
        <w:rPr>
          <w:rStyle w:val="EMR-Term-Local"/>
          <w:rFonts w:eastAsiaTheme="minorHAnsi"/>
          <w:b w:val="0"/>
        </w:rPr>
        <w:t>f establishing, operating and administering the Capacity Transfer and Auction Procedures.</w:t>
      </w:r>
      <w:r>
        <w:rPr>
          <w:rStyle w:val="FootnoteReference"/>
          <w:bCs/>
        </w:rPr>
        <w:footnoteReference w:id="99"/>
      </w:r>
    </w:p>
    <w:p w14:paraId="442C3E5D" w14:textId="77777777" w:rsidR="00110FC0" w:rsidRDefault="00110FC0" w:rsidP="00110FC0">
      <w:pPr>
        <w:pStyle w:val="BodyText"/>
        <w:rPr>
          <w:rFonts w:eastAsiaTheme="minorHAnsi"/>
        </w:rPr>
      </w:pPr>
      <w:r>
        <w:t xml:space="preserve">These changes are set out in Division 2 </w:t>
      </w:r>
      <w:r w:rsidR="00C93481">
        <w:t xml:space="preserve">of </w:t>
      </w:r>
      <w:r>
        <w:rPr>
          <w:b/>
        </w:rPr>
        <w:t xml:space="preserve">Part 22 (Gas Trading Exchange) </w:t>
      </w:r>
      <w:r>
        <w:t xml:space="preserve">and Division 6 </w:t>
      </w:r>
      <w:r w:rsidR="00C93481">
        <w:t xml:space="preserve">of </w:t>
      </w:r>
      <w:r>
        <w:rPr>
          <w:b/>
        </w:rPr>
        <w:t xml:space="preserve">Part 24 (Facilitating capacity trades and the capacity auction). </w:t>
      </w:r>
    </w:p>
    <w:p w14:paraId="70614B33" w14:textId="77777777" w:rsidR="00110FC0" w:rsidRDefault="00110FC0" w:rsidP="00110FC0">
      <w:pPr>
        <w:pStyle w:val="BodyText"/>
      </w:pPr>
      <w:r>
        <w:t xml:space="preserve">These provisions should be read in conjunction with: </w:t>
      </w:r>
    </w:p>
    <w:p w14:paraId="5F8EE66D" w14:textId="77777777" w:rsidR="00110FC0" w:rsidRDefault="00110FC0" w:rsidP="00756C62">
      <w:pPr>
        <w:pStyle w:val="ListBullet"/>
        <w:numPr>
          <w:ilvl w:val="0"/>
          <w:numId w:val="22"/>
        </w:numPr>
        <w:ind w:left="357" w:hanging="357"/>
      </w:pPr>
      <w:r>
        <w:t>Other divisions in Part 24 (Facilitating capacity trades and the capacity auction), which, amongst other things</w:t>
      </w:r>
      <w:r w:rsidR="00903883">
        <w:t>,</w:t>
      </w:r>
      <w:r>
        <w:t xml:space="preserve"> set out:</w:t>
      </w:r>
    </w:p>
    <w:p w14:paraId="082ACA07" w14:textId="77777777" w:rsidR="00110FC0" w:rsidRDefault="00110FC0" w:rsidP="00756C62">
      <w:pPr>
        <w:pStyle w:val="ListBullet2"/>
        <w:numPr>
          <w:ilvl w:val="0"/>
          <w:numId w:val="23"/>
        </w:numPr>
        <w:ind w:left="714" w:hanging="357"/>
      </w:pPr>
      <w:r>
        <w:t>The matters that must be dealt with in the Code,</w:t>
      </w:r>
      <w:r>
        <w:rPr>
          <w:rStyle w:val="FootnoteReference"/>
        </w:rPr>
        <w:footnoteReference w:id="100"/>
      </w:r>
      <w:r>
        <w:t xml:space="preserve"> which include the specification of the standard operational transportation services (</w:t>
      </w:r>
      <w:r w:rsidR="00903883">
        <w:t xml:space="preserve">which include </w:t>
      </w:r>
      <w:r>
        <w:t xml:space="preserve">the services that will be available on the exchange) and the terms </w:t>
      </w:r>
      <w:r w:rsidR="00C93481">
        <w:t xml:space="preserve">on which those </w:t>
      </w:r>
      <w:r>
        <w:t>services</w:t>
      </w:r>
      <w:r w:rsidR="00C93481">
        <w:t xml:space="preserve"> can be used</w:t>
      </w:r>
      <w:r>
        <w:t>.</w:t>
      </w:r>
    </w:p>
    <w:p w14:paraId="6C952DA1" w14:textId="77777777" w:rsidR="00110FC0" w:rsidRDefault="00110FC0" w:rsidP="00756C62">
      <w:pPr>
        <w:pStyle w:val="ListBullet2"/>
        <w:numPr>
          <w:ilvl w:val="0"/>
          <w:numId w:val="23"/>
        </w:numPr>
        <w:ind w:left="714" w:hanging="357"/>
      </w:pPr>
      <w:r>
        <w:t>A number of matters to be dealt with in the Capacity Transfer and Auction Procedures, including:</w:t>
      </w:r>
      <w:r>
        <w:rPr>
          <w:rStyle w:val="FootnoteReference"/>
        </w:rPr>
        <w:t xml:space="preserve"> </w:t>
      </w:r>
      <w:r>
        <w:rPr>
          <w:rStyle w:val="FootnoteReference"/>
        </w:rPr>
        <w:footnoteReference w:id="101"/>
      </w:r>
      <w:r>
        <w:t xml:space="preserve"> </w:t>
      </w:r>
    </w:p>
    <w:p w14:paraId="32047772" w14:textId="77777777" w:rsidR="00110FC0" w:rsidRDefault="00110FC0" w:rsidP="00756C62">
      <w:pPr>
        <w:pStyle w:val="ListBullet3"/>
        <w:numPr>
          <w:ilvl w:val="0"/>
          <w:numId w:val="24"/>
        </w:numPr>
      </w:pPr>
      <w:r>
        <w:t>the process for obtaining information on the transportation facility agreements to be used to give effect to trades conducted through the exchange;</w:t>
      </w:r>
      <w:r>
        <w:rPr>
          <w:rStyle w:val="FootnoteReference"/>
        </w:rPr>
        <w:t xml:space="preserve"> </w:t>
      </w:r>
    </w:p>
    <w:p w14:paraId="706710ED" w14:textId="77777777" w:rsidR="00110FC0" w:rsidRDefault="00110FC0" w:rsidP="00756C62">
      <w:pPr>
        <w:pStyle w:val="ListBullet2"/>
        <w:numPr>
          <w:ilvl w:val="0"/>
          <w:numId w:val="24"/>
        </w:numPr>
      </w:pPr>
      <w:r>
        <w:t xml:space="preserve">the process for determining the zones and service points that will be used for capacity trades; and </w:t>
      </w:r>
    </w:p>
    <w:p w14:paraId="3D013CFF" w14:textId="77777777" w:rsidR="00110FC0" w:rsidRDefault="00110FC0" w:rsidP="00756C62">
      <w:pPr>
        <w:pStyle w:val="ListBullet2"/>
        <w:numPr>
          <w:ilvl w:val="0"/>
          <w:numId w:val="24"/>
        </w:numPr>
      </w:pPr>
      <w:r>
        <w:t>the arrangements that will apply to capacity procured through the capacity trading platform at a DWGM and STTM interface point.</w:t>
      </w:r>
    </w:p>
    <w:p w14:paraId="738DE7DD" w14:textId="77777777" w:rsidR="00110FC0" w:rsidRDefault="00110FC0" w:rsidP="00110FC0">
      <w:pPr>
        <w:pStyle w:val="ListBullet"/>
        <w:numPr>
          <w:ilvl w:val="0"/>
          <w:numId w:val="0"/>
        </w:numPr>
        <w:ind w:left="357"/>
      </w:pPr>
      <w:r>
        <w:t xml:space="preserve">Further detail on these provisions can be found in Chapter 4. </w:t>
      </w:r>
    </w:p>
    <w:p w14:paraId="2604F256" w14:textId="77777777" w:rsidR="00110FC0" w:rsidRDefault="00110FC0" w:rsidP="00756C62">
      <w:pPr>
        <w:pStyle w:val="ListBullet"/>
        <w:numPr>
          <w:ilvl w:val="0"/>
          <w:numId w:val="22"/>
        </w:numPr>
        <w:ind w:left="357" w:hanging="357"/>
      </w:pPr>
      <w:r>
        <w:t xml:space="preserve">The proposed amendments to Part 18 (Natural Gas Services Bulletin Board) of the NGR and the transitional rules, which as noted in Chapters 5 and 7 require additional information to be reported by service providers to enable capacity trading platform users and auction participants to assess the risks associated with capacity procured through either mechanism. </w:t>
      </w:r>
    </w:p>
    <w:p w14:paraId="26D19A32" w14:textId="77777777" w:rsidR="00110FC0" w:rsidRDefault="00110FC0" w:rsidP="00756C62">
      <w:pPr>
        <w:pStyle w:val="Heading3"/>
        <w:numPr>
          <w:ilvl w:val="2"/>
          <w:numId w:val="20"/>
        </w:numPr>
      </w:pPr>
      <w:r>
        <w:t xml:space="preserve">Proposed changes to the Regulations </w:t>
      </w:r>
    </w:p>
    <w:p w14:paraId="5215388B" w14:textId="77777777" w:rsidR="004736C6" w:rsidRDefault="004736C6" w:rsidP="004736C6">
      <w:pPr>
        <w:pStyle w:val="BodyText"/>
      </w:pPr>
      <w:r>
        <w:t xml:space="preserve">Changes to the Regulations will be required to specify those provisions in the NGL and NGR that will be classified as civil penalty or conduct provisions, which will be set out in </w:t>
      </w:r>
      <w:r>
        <w:rPr>
          <w:b/>
        </w:rPr>
        <w:t>Schedule 3</w:t>
      </w:r>
      <w:r>
        <w:t xml:space="preserve"> and </w:t>
      </w:r>
      <w:r>
        <w:rPr>
          <w:b/>
        </w:rPr>
        <w:t>Schedule 4</w:t>
      </w:r>
      <w:r>
        <w:t xml:space="preserve"> </w:t>
      </w:r>
      <w:r>
        <w:rPr>
          <w:b/>
        </w:rPr>
        <w:t>of the Regulations</w:t>
      </w:r>
      <w:r>
        <w:t xml:space="preserve">. A list of the provisions in the NGL and NGR that are expected to be classified as civil penalty provisions is provided in </w:t>
      </w:r>
      <w:r>
        <w:fldChar w:fldCharType="begin"/>
      </w:r>
      <w:r>
        <w:instrText xml:space="preserve"> REF _Ref508819494 \r \h </w:instrText>
      </w:r>
      <w:r>
        <w:fldChar w:fldCharType="separate"/>
      </w:r>
      <w:r w:rsidR="00830BE4">
        <w:t>Appendix A</w:t>
      </w:r>
      <w:r>
        <w:fldChar w:fldCharType="end"/>
      </w:r>
      <w:r>
        <w:t>.</w:t>
      </w:r>
    </w:p>
    <w:p w14:paraId="1327182C" w14:textId="77777777" w:rsidR="007260A1" w:rsidRDefault="007260A1" w:rsidP="007260A1">
      <w:pPr>
        <w:pStyle w:val="BodyText"/>
      </w:pPr>
      <w:r>
        <w:br w:type="page"/>
      </w:r>
    </w:p>
    <w:p w14:paraId="5DD70422" w14:textId="77777777" w:rsidR="00786EAE" w:rsidRDefault="0099756E" w:rsidP="00786EAE">
      <w:pPr>
        <w:pStyle w:val="Heading1"/>
        <w:spacing w:before="240" w:after="120"/>
      </w:pPr>
      <w:bookmarkStart w:id="120" w:name="_Toc509239440"/>
      <w:r>
        <w:lastRenderedPageBreak/>
        <w:t>Reporting Framework for Secondary Capacity Trades and Other Transparency Measures</w:t>
      </w:r>
      <w:bookmarkEnd w:id="120"/>
      <w:r>
        <w:t xml:space="preserve"> </w:t>
      </w:r>
    </w:p>
    <w:p w14:paraId="1CC67661" w14:textId="77777777" w:rsidR="002243E2" w:rsidRDefault="002243E2" w:rsidP="002243E2">
      <w:pPr>
        <w:pStyle w:val="BodyText"/>
      </w:pPr>
      <w:r>
        <w:t>In addition to the measures set out in Chapters 4-</w:t>
      </w:r>
      <w:r w:rsidR="00B337BE">
        <w:t>6</w:t>
      </w:r>
      <w:r>
        <w:t>, the capacity trading reform package provides for</w:t>
      </w:r>
      <w:r w:rsidR="00CE08DD">
        <w:t xml:space="preserve"> a range of transparency related measures, including</w:t>
      </w:r>
      <w:r>
        <w:t>:</w:t>
      </w:r>
    </w:p>
    <w:p w14:paraId="04B81B8B" w14:textId="77777777" w:rsidR="0038708B" w:rsidRDefault="002243E2" w:rsidP="00CE08DD">
      <w:pPr>
        <w:pStyle w:val="ListBullet"/>
      </w:pPr>
      <w:r>
        <w:t xml:space="preserve">the reporting framework for secondary capacity trades, which is intended to reduce information asymmetries and aid the price discovery process (i.e. by providing for the publication of information on all forms of secondary capacity trades shortly after they are entered into); </w:t>
      </w:r>
    </w:p>
    <w:p w14:paraId="26054EBB" w14:textId="77777777" w:rsidR="003B13FE" w:rsidRDefault="0038708B" w:rsidP="00CE08DD">
      <w:pPr>
        <w:pStyle w:val="ListBullet"/>
      </w:pPr>
      <w:r>
        <w:t xml:space="preserve">a requirement for AEMO to publish the auction results and other auction related information on the Bulletin Board; </w:t>
      </w:r>
    </w:p>
    <w:p w14:paraId="34AA2E5B" w14:textId="77777777" w:rsidR="003B13FE" w:rsidRDefault="003B13FE" w:rsidP="003B13FE">
      <w:pPr>
        <w:pStyle w:val="ListBullet"/>
      </w:pPr>
      <w:r>
        <w:t>a requirement for allocation agents to provide AEMO with their contact details and other information on allocation agreements</w:t>
      </w:r>
      <w:r>
        <w:rPr>
          <w:rStyle w:val="FootnoteReference"/>
        </w:rPr>
        <w:footnoteReference w:id="102"/>
      </w:r>
      <w:r>
        <w:t xml:space="preserve"> for publication on the Bulletin Board, which is intended to reduce the barriers to trade by providing greater transparency around these arrangements;</w:t>
      </w:r>
      <w:r w:rsidR="008E3903">
        <w:t xml:space="preserve"> and</w:t>
      </w:r>
    </w:p>
    <w:p w14:paraId="7FC12B67" w14:textId="77777777" w:rsidR="002243E2" w:rsidRDefault="003B13FE" w:rsidP="00CE08DD">
      <w:pPr>
        <w:pStyle w:val="ListBullet"/>
      </w:pPr>
      <w:r>
        <w:t xml:space="preserve">a number of amendments to the Bulletin Board reporting obligations that are required to </w:t>
      </w:r>
      <w:r w:rsidR="00CE08DD">
        <w:t>enable users of the capacity trading platform and day-ahead auction to understand the risks associated with products procured through these mechanisms</w:t>
      </w:r>
      <w:r>
        <w:t>, which include:</w:t>
      </w:r>
    </w:p>
    <w:p w14:paraId="30AB0029" w14:textId="77777777" w:rsidR="00CE08DD" w:rsidRDefault="002243E2" w:rsidP="00CE08DD">
      <w:pPr>
        <w:pStyle w:val="ListBullet2"/>
      </w:pPr>
      <w:r>
        <w:t xml:space="preserve">extending the </w:t>
      </w:r>
      <w:r w:rsidR="00CE08DD">
        <w:t xml:space="preserve">Bulletin Board reporting obligations to </w:t>
      </w:r>
      <w:r w:rsidR="008E3903">
        <w:t xml:space="preserve">service providers operating </w:t>
      </w:r>
      <w:r w:rsidR="00CE08DD">
        <w:t xml:space="preserve">remote transportation facilities that are </w:t>
      </w:r>
      <w:r w:rsidR="008E3903">
        <w:t xml:space="preserve">ineligible for, or </w:t>
      </w:r>
      <w:r w:rsidR="00CE08DD">
        <w:t>unable to obtain</w:t>
      </w:r>
      <w:r w:rsidR="008E3903">
        <w:t>,</w:t>
      </w:r>
      <w:r w:rsidR="00CE08DD">
        <w:t xml:space="preserve"> an exemption under Part 24 of the NGR; </w:t>
      </w:r>
      <w:r w:rsidR="0038708B">
        <w:t>and</w:t>
      </w:r>
    </w:p>
    <w:p w14:paraId="2B31F48B" w14:textId="77777777" w:rsidR="00CE08DD" w:rsidRDefault="003B13FE" w:rsidP="00CE08DD">
      <w:pPr>
        <w:pStyle w:val="ListBullet2"/>
      </w:pPr>
      <w:r>
        <w:t xml:space="preserve">a </w:t>
      </w:r>
      <w:r w:rsidR="00CE08DD">
        <w:t>requir</w:t>
      </w:r>
      <w:r>
        <w:t>ement for</w:t>
      </w:r>
      <w:r w:rsidR="00CE08DD">
        <w:t xml:space="preserve"> service providers to provide AEMO with a greater level of information on receipt and delivery points</w:t>
      </w:r>
      <w:r w:rsidR="0038708B">
        <w:t>.</w:t>
      </w:r>
    </w:p>
    <w:p w14:paraId="367F558F" w14:textId="77777777" w:rsidR="002243E2" w:rsidRDefault="002243E2" w:rsidP="002243E2">
      <w:pPr>
        <w:pStyle w:val="BodyText"/>
      </w:pPr>
      <w:r>
        <w:t>To implement the</w:t>
      </w:r>
      <w:r w:rsidR="0038708B">
        <w:t>se transparency measures,</w:t>
      </w:r>
      <w:r>
        <w:t xml:space="preserve"> a number of amendments need to be made to the NGL, </w:t>
      </w:r>
      <w:r w:rsidR="00B15604">
        <w:t xml:space="preserve">the Regulations, </w:t>
      </w:r>
      <w:r w:rsidR="0038708B">
        <w:t xml:space="preserve">Part 18 of </w:t>
      </w:r>
      <w:r>
        <w:t>the NGR</w:t>
      </w:r>
      <w:r w:rsidR="00B15604">
        <w:t xml:space="preserve">, as well as a number </w:t>
      </w:r>
      <w:r>
        <w:t>of AEMO-made subordinate instruments.  Further detail on these amendments is provided in the remainder of this chapter, which commences with a brief overview of the</w:t>
      </w:r>
      <w:r w:rsidR="0038708B">
        <w:t xml:space="preserve"> transparency measures</w:t>
      </w:r>
      <w:r>
        <w:t xml:space="preserve">.  </w:t>
      </w:r>
    </w:p>
    <w:p w14:paraId="4E02195A" w14:textId="77777777" w:rsidR="00147828" w:rsidRDefault="00333568" w:rsidP="00756C62">
      <w:pPr>
        <w:pStyle w:val="Heading2"/>
        <w:numPr>
          <w:ilvl w:val="1"/>
          <w:numId w:val="20"/>
        </w:numPr>
        <w:ind w:left="624"/>
      </w:pPr>
      <w:bookmarkStart w:id="121" w:name="_Toc509239441"/>
      <w:r>
        <w:t xml:space="preserve">Overview of the </w:t>
      </w:r>
      <w:r w:rsidR="00147828">
        <w:t xml:space="preserve">reporting framework and </w:t>
      </w:r>
      <w:r w:rsidR="0038708B">
        <w:t xml:space="preserve">other </w:t>
      </w:r>
      <w:r w:rsidR="00147828">
        <w:t xml:space="preserve">transparency </w:t>
      </w:r>
      <w:r w:rsidR="0038708B">
        <w:t>measures</w:t>
      </w:r>
      <w:bookmarkEnd w:id="121"/>
    </w:p>
    <w:p w14:paraId="419379B2" w14:textId="77777777" w:rsidR="00590B2E" w:rsidRDefault="0038708B" w:rsidP="0038708B">
      <w:pPr>
        <w:pStyle w:val="BodyText"/>
      </w:pPr>
      <w:r>
        <w:fldChar w:fldCharType="begin"/>
      </w:r>
      <w:r>
        <w:instrText xml:space="preserve"> REF _Ref508864311 \h </w:instrText>
      </w:r>
      <w:r>
        <w:fldChar w:fldCharType="separate"/>
      </w:r>
      <w:r w:rsidR="00830BE4">
        <w:t xml:space="preserve">Table </w:t>
      </w:r>
      <w:r w:rsidR="00830BE4">
        <w:rPr>
          <w:noProof/>
        </w:rPr>
        <w:t>7</w:t>
      </w:r>
      <w:r w:rsidR="00830BE4">
        <w:t>.</w:t>
      </w:r>
      <w:r w:rsidR="00830BE4">
        <w:rPr>
          <w:noProof/>
        </w:rPr>
        <w:t>1</w:t>
      </w:r>
      <w:r>
        <w:fldChar w:fldCharType="end"/>
      </w:r>
      <w:r w:rsidR="00147828">
        <w:t xml:space="preserve"> </w:t>
      </w:r>
      <w:r>
        <w:t xml:space="preserve">provides </w:t>
      </w:r>
      <w:r w:rsidR="00147828">
        <w:t>a summary of the</w:t>
      </w:r>
      <w:r>
        <w:t xml:space="preserve"> key features of the secondary trading </w:t>
      </w:r>
      <w:r w:rsidR="00147828">
        <w:t xml:space="preserve">reporting framework and </w:t>
      </w:r>
      <w:r>
        <w:t xml:space="preserve">other </w:t>
      </w:r>
      <w:r w:rsidR="00147828">
        <w:t>transparency measure</w:t>
      </w:r>
      <w:r>
        <w:t>s that are to be implemented as part of the reform package</w:t>
      </w:r>
      <w:r w:rsidR="00147828">
        <w:t xml:space="preserve">.  </w:t>
      </w:r>
    </w:p>
    <w:p w14:paraId="51B07FFF" w14:textId="77777777" w:rsidR="00147828" w:rsidRDefault="00147828" w:rsidP="00147828">
      <w:pPr>
        <w:pStyle w:val="Caption"/>
        <w:spacing w:before="0" w:after="0"/>
      </w:pPr>
      <w:bookmarkStart w:id="122" w:name="_Ref508864311"/>
      <w:r>
        <w:lastRenderedPageBreak/>
        <w:t xml:space="preserve">Table </w:t>
      </w:r>
      <w:fldSimple w:instr=" STYLEREF 1 \s ">
        <w:r w:rsidR="00830BE4">
          <w:rPr>
            <w:noProof/>
          </w:rPr>
          <w:t>7</w:t>
        </w:r>
      </w:fldSimple>
      <w:r w:rsidR="00676D5D">
        <w:t>.</w:t>
      </w:r>
      <w:fldSimple w:instr=" SEQ Table \* ARABIC \s 1 ">
        <w:r w:rsidR="00830BE4">
          <w:rPr>
            <w:noProof/>
          </w:rPr>
          <w:t>1</w:t>
        </w:r>
      </w:fldSimple>
      <w:bookmarkEnd w:id="122"/>
      <w:r>
        <w:t xml:space="preserve">: </w:t>
      </w:r>
      <w:r w:rsidR="00590B2E">
        <w:t>Summary of t</w:t>
      </w:r>
      <w:r w:rsidR="00D62F6C">
        <w:t xml:space="preserve">ransparency measures </w:t>
      </w:r>
    </w:p>
    <w:tbl>
      <w:tblPr>
        <w:tblW w:w="5087" w:type="pct"/>
        <w:tblCellMar>
          <w:left w:w="0" w:type="dxa"/>
          <w:right w:w="0" w:type="dxa"/>
        </w:tblCellMar>
        <w:tblLook w:val="0420" w:firstRow="1" w:lastRow="0" w:firstColumn="0" w:lastColumn="0" w:noHBand="0" w:noVBand="1"/>
      </w:tblPr>
      <w:tblGrid>
        <w:gridCol w:w="1461"/>
        <w:gridCol w:w="7461"/>
      </w:tblGrid>
      <w:tr w:rsidR="00147828" w:rsidRPr="007F0606" w14:paraId="6C52395C" w14:textId="77777777" w:rsidTr="002E442D">
        <w:trPr>
          <w:trHeight w:val="34"/>
          <w:tblHeader/>
        </w:trPr>
        <w:tc>
          <w:tcPr>
            <w:tcW w:w="819" w:type="pct"/>
            <w:tcBorders>
              <w:top w:val="single" w:sz="4" w:space="0" w:color="auto"/>
              <w:left w:val="single" w:sz="8" w:space="0" w:color="FFFFFF"/>
              <w:bottom w:val="single" w:sz="4" w:space="0" w:color="auto"/>
              <w:right w:val="single" w:sz="4" w:space="0" w:color="auto"/>
            </w:tcBorders>
            <w:shd w:val="clear" w:color="auto" w:fill="0099CC"/>
            <w:tcMar>
              <w:top w:w="72" w:type="dxa"/>
              <w:left w:w="144" w:type="dxa"/>
              <w:bottom w:w="72" w:type="dxa"/>
              <w:right w:w="144" w:type="dxa"/>
            </w:tcMar>
            <w:hideMark/>
          </w:tcPr>
          <w:p w14:paraId="7B2B4DC6" w14:textId="77777777" w:rsidR="00147828" w:rsidRPr="007F0606" w:rsidRDefault="00147828" w:rsidP="001157DF">
            <w:pPr>
              <w:pStyle w:val="BodyText"/>
              <w:keepNext/>
              <w:spacing w:before="0" w:after="0" w:line="252" w:lineRule="auto"/>
              <w:rPr>
                <w:rFonts w:asciiTheme="majorHAnsi" w:hAnsiTheme="majorHAnsi" w:cstheme="majorHAnsi"/>
                <w:color w:val="FFFFFF" w:themeColor="background1"/>
                <w:sz w:val="19"/>
                <w:szCs w:val="19"/>
              </w:rPr>
            </w:pPr>
            <w:r w:rsidRPr="007F0606">
              <w:rPr>
                <w:rFonts w:asciiTheme="majorHAnsi" w:hAnsiTheme="majorHAnsi" w:cstheme="majorHAnsi"/>
                <w:b/>
                <w:bCs/>
                <w:color w:val="FFFFFF" w:themeColor="background1"/>
                <w:sz w:val="19"/>
                <w:szCs w:val="19"/>
              </w:rPr>
              <w:t>Design Element</w:t>
            </w:r>
          </w:p>
        </w:tc>
        <w:tc>
          <w:tcPr>
            <w:tcW w:w="4181" w:type="pct"/>
            <w:tcBorders>
              <w:top w:val="single" w:sz="4" w:space="0" w:color="auto"/>
              <w:left w:val="single" w:sz="4" w:space="0" w:color="auto"/>
              <w:bottom w:val="single" w:sz="4" w:space="0" w:color="auto"/>
              <w:right w:val="single" w:sz="8" w:space="0" w:color="FFFFFF"/>
            </w:tcBorders>
            <w:shd w:val="clear" w:color="auto" w:fill="0099CC"/>
            <w:tcMar>
              <w:top w:w="72" w:type="dxa"/>
              <w:left w:w="144" w:type="dxa"/>
              <w:bottom w:w="72" w:type="dxa"/>
              <w:right w:w="144" w:type="dxa"/>
            </w:tcMar>
            <w:hideMark/>
          </w:tcPr>
          <w:p w14:paraId="47539399" w14:textId="77777777" w:rsidR="00147828" w:rsidRPr="007F0606" w:rsidRDefault="00147828" w:rsidP="001157DF">
            <w:pPr>
              <w:pStyle w:val="BodyText"/>
              <w:keepNext/>
              <w:spacing w:before="0" w:after="0" w:line="252" w:lineRule="auto"/>
              <w:rPr>
                <w:rFonts w:asciiTheme="majorHAnsi" w:hAnsiTheme="majorHAnsi" w:cstheme="majorHAnsi"/>
                <w:color w:val="FFFFFF" w:themeColor="background1"/>
                <w:sz w:val="19"/>
                <w:szCs w:val="19"/>
              </w:rPr>
            </w:pPr>
            <w:r w:rsidRPr="007F0606">
              <w:rPr>
                <w:rFonts w:asciiTheme="majorHAnsi" w:hAnsiTheme="majorHAnsi" w:cstheme="majorHAnsi"/>
                <w:b/>
                <w:bCs/>
                <w:color w:val="FFFFFF" w:themeColor="background1"/>
                <w:sz w:val="19"/>
                <w:szCs w:val="19"/>
              </w:rPr>
              <w:t>Detail</w:t>
            </w:r>
          </w:p>
        </w:tc>
      </w:tr>
      <w:tr w:rsidR="00147828" w:rsidRPr="007F0606" w14:paraId="315D1FB5" w14:textId="77777777" w:rsidTr="003B13FE">
        <w:trPr>
          <w:trHeight w:val="19"/>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296F6407" w14:textId="77777777" w:rsidR="00147828" w:rsidRPr="007F0606" w:rsidRDefault="00147828" w:rsidP="001157DF">
            <w:pPr>
              <w:pStyle w:val="BodyText"/>
              <w:keepNext/>
              <w:spacing w:before="0" w:after="0"/>
              <w:jc w:val="center"/>
              <w:rPr>
                <w:rFonts w:asciiTheme="majorHAnsi" w:hAnsiTheme="majorHAnsi" w:cstheme="majorHAnsi"/>
                <w:b/>
                <w:sz w:val="19"/>
                <w:szCs w:val="19"/>
              </w:rPr>
            </w:pPr>
            <w:r w:rsidRPr="007F0606">
              <w:rPr>
                <w:rFonts w:asciiTheme="majorHAnsi" w:hAnsiTheme="majorHAnsi" w:cstheme="majorHAnsi"/>
                <w:b/>
                <w:color w:val="FFFFFF" w:themeColor="background1"/>
                <w:sz w:val="19"/>
                <w:szCs w:val="19"/>
              </w:rPr>
              <w:t>Reporting framework for secondary capacity trades</w:t>
            </w:r>
          </w:p>
        </w:tc>
      </w:tr>
      <w:tr w:rsidR="00147828" w:rsidRPr="007F0606" w14:paraId="69F1EF09" w14:textId="77777777" w:rsidTr="00B15604">
        <w:trPr>
          <w:trHeight w:val="584"/>
        </w:trPr>
        <w:tc>
          <w:tcPr>
            <w:tcW w:w="819"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hideMark/>
          </w:tcPr>
          <w:p w14:paraId="5C964150" w14:textId="77777777" w:rsidR="00147828" w:rsidRPr="007F0606" w:rsidRDefault="00147828" w:rsidP="003B13FE">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Trades to be reported</w:t>
            </w:r>
          </w:p>
        </w:tc>
        <w:tc>
          <w:tcPr>
            <w:tcW w:w="4181"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hideMark/>
          </w:tcPr>
          <w:p w14:paraId="0B547CBF" w14:textId="77777777" w:rsidR="00147828" w:rsidRPr="007F0606" w:rsidRDefault="00147828" w:rsidP="003B13FE">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Information on the following trades will be reported:</w:t>
            </w:r>
          </w:p>
          <w:p w14:paraId="43426754" w14:textId="77777777" w:rsidR="00147828" w:rsidRPr="007F0606" w:rsidRDefault="00147828" w:rsidP="003B13FE">
            <w:pPr>
              <w:pStyle w:val="TableBullet1"/>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all screen and pre-matched trades carried out through the </w:t>
            </w:r>
            <w:r w:rsidR="00067F90">
              <w:rPr>
                <w:rFonts w:asciiTheme="majorHAnsi" w:hAnsiTheme="majorHAnsi" w:cstheme="majorHAnsi"/>
                <w:sz w:val="19"/>
                <w:szCs w:val="19"/>
              </w:rPr>
              <w:t>exchange</w:t>
            </w:r>
            <w:r w:rsidRPr="007F0606">
              <w:rPr>
                <w:rFonts w:asciiTheme="majorHAnsi" w:hAnsiTheme="majorHAnsi" w:cstheme="majorHAnsi"/>
                <w:sz w:val="19"/>
                <w:szCs w:val="19"/>
              </w:rPr>
              <w:t xml:space="preserve">; and </w:t>
            </w:r>
          </w:p>
          <w:p w14:paraId="6582E757" w14:textId="77777777" w:rsidR="00147828" w:rsidRPr="007F0606" w:rsidRDefault="00147828" w:rsidP="003B13FE">
            <w:pPr>
              <w:pStyle w:val="TableBullet1"/>
              <w:spacing w:before="0" w:after="0"/>
              <w:rPr>
                <w:rFonts w:asciiTheme="majorHAnsi" w:hAnsiTheme="majorHAnsi" w:cstheme="majorHAnsi"/>
                <w:sz w:val="19"/>
                <w:szCs w:val="19"/>
              </w:rPr>
            </w:pPr>
            <w:r w:rsidRPr="007F0606">
              <w:rPr>
                <w:rFonts w:asciiTheme="majorHAnsi" w:hAnsiTheme="majorHAnsi" w:cstheme="majorHAnsi"/>
                <w:sz w:val="19"/>
                <w:szCs w:val="19"/>
              </w:rPr>
              <w:t>bilateral trades of capacity involving forward haul, backhaul, park, loan or compression services</w:t>
            </w:r>
            <w:r w:rsidR="00067F90">
              <w:rPr>
                <w:rFonts w:asciiTheme="majorHAnsi" w:hAnsiTheme="majorHAnsi" w:cstheme="majorHAnsi"/>
                <w:sz w:val="19"/>
                <w:szCs w:val="19"/>
              </w:rPr>
              <w:t xml:space="preserve"> (except on distribution pipelines)</w:t>
            </w:r>
            <w:r w:rsidRPr="007F0606">
              <w:rPr>
                <w:rFonts w:asciiTheme="majorHAnsi" w:hAnsiTheme="majorHAnsi" w:cstheme="majorHAnsi"/>
                <w:sz w:val="19"/>
                <w:szCs w:val="19"/>
              </w:rPr>
              <w:t>.</w:t>
            </w:r>
          </w:p>
        </w:tc>
      </w:tr>
      <w:tr w:rsidR="00B15604" w:rsidRPr="007F0606" w14:paraId="680B7C9C" w14:textId="77777777" w:rsidTr="00B15604">
        <w:trPr>
          <w:trHeight w:val="584"/>
        </w:trPr>
        <w:tc>
          <w:tcPr>
            <w:tcW w:w="819"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14:paraId="016C24D5" w14:textId="77777777" w:rsidR="00B15604" w:rsidRPr="007F0606" w:rsidRDefault="00B15604" w:rsidP="00B15604">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Information to be reported</w:t>
            </w:r>
          </w:p>
        </w:tc>
        <w:tc>
          <w:tcPr>
            <w:tcW w:w="4181"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14:paraId="2CCDBCD2" w14:textId="77777777" w:rsidR="00B15604" w:rsidRPr="007F0606" w:rsidRDefault="00B15604" w:rsidP="00B15604">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The following information on secondary trades will need to be reported:</w:t>
            </w:r>
          </w:p>
          <w:p w14:paraId="6BD19C07"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the trade date and service term;</w:t>
            </w:r>
          </w:p>
          <w:p w14:paraId="635BB8C8"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the transportation facility</w:t>
            </w:r>
            <w:r>
              <w:rPr>
                <w:rFonts w:asciiTheme="majorHAnsi" w:hAnsiTheme="majorHAnsi" w:cstheme="majorHAnsi"/>
                <w:sz w:val="19"/>
                <w:szCs w:val="19"/>
              </w:rPr>
              <w:t xml:space="preserve"> that the trade relates to</w:t>
            </w:r>
            <w:r w:rsidRPr="007F0606">
              <w:rPr>
                <w:rFonts w:asciiTheme="majorHAnsi" w:hAnsiTheme="majorHAnsi" w:cstheme="majorHAnsi"/>
                <w:sz w:val="19"/>
                <w:szCs w:val="19"/>
              </w:rPr>
              <w:t>;</w:t>
            </w:r>
          </w:p>
          <w:p w14:paraId="50CCB908"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the type of service purchased and the priority of the service (e.g. firm, as available, interruptible);</w:t>
            </w:r>
          </w:p>
          <w:p w14:paraId="58E342B8"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the type of trade (e.g. screen traded, pre-matched or bilateral) and </w:t>
            </w:r>
            <w:r>
              <w:rPr>
                <w:rFonts w:asciiTheme="majorHAnsi" w:hAnsiTheme="majorHAnsi" w:cstheme="majorHAnsi"/>
                <w:sz w:val="19"/>
                <w:szCs w:val="19"/>
              </w:rPr>
              <w:t xml:space="preserve">for bilateral trades (those not concluded on the exchange), whether the trade is on the same or substantially the same terms </w:t>
            </w:r>
            <w:r w:rsidRPr="007F0606">
              <w:rPr>
                <w:rFonts w:asciiTheme="majorHAnsi" w:hAnsiTheme="majorHAnsi" w:cstheme="majorHAnsi"/>
                <w:sz w:val="19"/>
                <w:szCs w:val="19"/>
              </w:rPr>
              <w:t>as the standard operational agreement</w:t>
            </w:r>
            <w:r>
              <w:rPr>
                <w:rFonts w:asciiTheme="majorHAnsi" w:hAnsiTheme="majorHAnsi" w:cstheme="majorHAnsi"/>
                <w:sz w:val="19"/>
                <w:szCs w:val="19"/>
              </w:rPr>
              <w:t xml:space="preserve"> for the relevant facility</w:t>
            </w:r>
            <w:r w:rsidRPr="007F0606">
              <w:rPr>
                <w:rFonts w:asciiTheme="majorHAnsi" w:hAnsiTheme="majorHAnsi" w:cstheme="majorHAnsi"/>
                <w:sz w:val="19"/>
                <w:szCs w:val="19"/>
              </w:rPr>
              <w:t>;</w:t>
            </w:r>
          </w:p>
          <w:p w14:paraId="21836C61"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Pr>
                <w:rFonts w:asciiTheme="majorHAnsi" w:hAnsiTheme="majorHAnsi" w:cstheme="majorHAnsi"/>
                <w:sz w:val="19"/>
                <w:szCs w:val="19"/>
              </w:rPr>
              <w:t xml:space="preserve">where relevant, </w:t>
            </w:r>
            <w:r w:rsidRPr="007F0606">
              <w:rPr>
                <w:rFonts w:asciiTheme="majorHAnsi" w:hAnsiTheme="majorHAnsi" w:cstheme="majorHAnsi"/>
                <w:sz w:val="19"/>
                <w:szCs w:val="19"/>
              </w:rPr>
              <w:t xml:space="preserve">the direction of the service and </w:t>
            </w:r>
            <w:r>
              <w:rPr>
                <w:rFonts w:asciiTheme="majorHAnsi" w:hAnsiTheme="majorHAnsi" w:cstheme="majorHAnsi"/>
                <w:sz w:val="19"/>
                <w:szCs w:val="19"/>
              </w:rPr>
              <w:t xml:space="preserve">the points between </w:t>
            </w:r>
            <w:r w:rsidRPr="007F0606">
              <w:rPr>
                <w:rFonts w:asciiTheme="majorHAnsi" w:hAnsiTheme="majorHAnsi" w:cstheme="majorHAnsi"/>
                <w:sz w:val="19"/>
                <w:szCs w:val="19"/>
              </w:rPr>
              <w:t>which gas is transported;</w:t>
            </w:r>
          </w:p>
          <w:p w14:paraId="49E18F6B" w14:textId="77777777" w:rsidR="00B15604" w:rsidRPr="007F0606"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the amount of capacity procured (MDQ</w:t>
            </w:r>
            <w:r>
              <w:rPr>
                <w:rFonts w:asciiTheme="majorHAnsi" w:hAnsiTheme="majorHAnsi" w:cstheme="majorHAnsi"/>
                <w:sz w:val="19"/>
                <w:szCs w:val="19"/>
              </w:rPr>
              <w:t>) and for bilateral trades the maximum hourly quantity (</w:t>
            </w:r>
            <w:r w:rsidRPr="007F0606">
              <w:rPr>
                <w:rFonts w:asciiTheme="majorHAnsi" w:hAnsiTheme="majorHAnsi" w:cstheme="majorHAnsi"/>
                <w:sz w:val="19"/>
                <w:szCs w:val="19"/>
              </w:rPr>
              <w:t>MHQ); and</w:t>
            </w:r>
          </w:p>
          <w:p w14:paraId="6D47CEF7" w14:textId="77777777" w:rsidR="00B15604" w:rsidRDefault="00B15604"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the price paid (including, where relevant, the price structure and price escalation mechanism). </w:t>
            </w:r>
          </w:p>
          <w:p w14:paraId="76DBC46D" w14:textId="5D01F36C" w:rsidR="00B15604" w:rsidRPr="007F0606" w:rsidRDefault="00B15604" w:rsidP="00F163DB">
            <w:pPr>
              <w:pStyle w:val="TableBullet1"/>
              <w:spacing w:before="0" w:after="0"/>
              <w:ind w:left="85"/>
              <w:rPr>
                <w:rFonts w:asciiTheme="majorHAnsi" w:hAnsiTheme="majorHAnsi" w:cstheme="majorHAnsi"/>
                <w:sz w:val="19"/>
                <w:szCs w:val="19"/>
              </w:rPr>
            </w:pPr>
            <w:r>
              <w:rPr>
                <w:rFonts w:asciiTheme="majorHAnsi" w:hAnsiTheme="majorHAnsi" w:cstheme="majorHAnsi"/>
                <w:sz w:val="19"/>
                <w:szCs w:val="19"/>
              </w:rPr>
              <w:t>Note that while information on the receipt and delivery points (or compression service points or in-pipe trade points) is to be reported, AEMO will be required to publish the information on a zonal basis.</w:t>
            </w:r>
          </w:p>
        </w:tc>
      </w:tr>
      <w:tr w:rsidR="00B15604" w:rsidRPr="007F0606" w14:paraId="1FE5EBA1" w14:textId="77777777" w:rsidTr="00B15604">
        <w:trPr>
          <w:trHeight w:val="584"/>
        </w:trPr>
        <w:tc>
          <w:tcPr>
            <w:tcW w:w="819"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14:paraId="1BB865FC" w14:textId="77777777" w:rsidR="00B15604" w:rsidRPr="007F0606" w:rsidRDefault="00B15604" w:rsidP="00B15604">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When and where information is to be reported</w:t>
            </w:r>
          </w:p>
        </w:tc>
        <w:tc>
          <w:tcPr>
            <w:tcW w:w="4181"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14:paraId="0C2D2AF3" w14:textId="77777777" w:rsidR="00B15604" w:rsidRPr="007F0606" w:rsidRDefault="00B15604" w:rsidP="00B15604">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Trades carried out: </w:t>
            </w:r>
          </w:p>
          <w:p w14:paraId="3BD55ACF" w14:textId="77777777" w:rsidR="00B15604" w:rsidRPr="007F0606" w:rsidRDefault="00B15604" w:rsidP="00756C62">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through the </w:t>
            </w:r>
            <w:r>
              <w:rPr>
                <w:rFonts w:asciiTheme="majorHAnsi" w:hAnsiTheme="majorHAnsi" w:cstheme="majorHAnsi"/>
                <w:sz w:val="19"/>
                <w:szCs w:val="19"/>
              </w:rPr>
              <w:t xml:space="preserve">exchange (the </w:t>
            </w:r>
            <w:r w:rsidRPr="007F0606">
              <w:rPr>
                <w:rFonts w:asciiTheme="majorHAnsi" w:hAnsiTheme="majorHAnsi" w:cstheme="majorHAnsi"/>
                <w:sz w:val="19"/>
                <w:szCs w:val="19"/>
              </w:rPr>
              <w:t>trading platform</w:t>
            </w:r>
            <w:r>
              <w:rPr>
                <w:rFonts w:asciiTheme="majorHAnsi" w:hAnsiTheme="majorHAnsi" w:cstheme="majorHAnsi"/>
                <w:sz w:val="19"/>
                <w:szCs w:val="19"/>
              </w:rPr>
              <w:t>)</w:t>
            </w:r>
            <w:r w:rsidRPr="007F0606">
              <w:rPr>
                <w:rFonts w:asciiTheme="majorHAnsi" w:hAnsiTheme="majorHAnsi" w:cstheme="majorHAnsi"/>
                <w:sz w:val="19"/>
                <w:szCs w:val="19"/>
              </w:rPr>
              <w:t xml:space="preserve"> will be reported on the GSH by AEMO as soon as practicable after the trade occurs and published on the Bulletin Board by the end of the gas day; and</w:t>
            </w:r>
          </w:p>
          <w:p w14:paraId="03098953" w14:textId="77777777" w:rsidR="00B15604" w:rsidRPr="007F0606" w:rsidRDefault="00B15604" w:rsidP="00756C62">
            <w:pPr>
              <w:pStyle w:val="TableBullet1"/>
              <w:numPr>
                <w:ilvl w:val="0"/>
                <w:numId w:val="27"/>
              </w:numPr>
              <w:spacing w:before="0" w:after="0"/>
              <w:rPr>
                <w:rFonts w:asciiTheme="majorHAnsi" w:hAnsiTheme="majorHAnsi" w:cstheme="majorHAnsi"/>
                <w:sz w:val="19"/>
                <w:szCs w:val="19"/>
              </w:rPr>
            </w:pPr>
            <w:r w:rsidRPr="007F0606">
              <w:rPr>
                <w:rFonts w:asciiTheme="majorHAnsi" w:hAnsiTheme="majorHAnsi" w:cstheme="majorHAnsi"/>
                <w:sz w:val="19"/>
                <w:szCs w:val="19"/>
              </w:rPr>
              <w:t>bilaterally will be reported to AEMO by the earlier of one day after the trade is executed, and the day prior to the trade commencing (D-1)</w:t>
            </w:r>
            <w:r>
              <w:rPr>
                <w:rFonts w:asciiTheme="majorHAnsi" w:hAnsiTheme="majorHAnsi" w:cstheme="majorHAnsi"/>
                <w:sz w:val="19"/>
                <w:szCs w:val="19"/>
              </w:rPr>
              <w:t>,</w:t>
            </w:r>
            <w:r w:rsidRPr="007F0606">
              <w:rPr>
                <w:rFonts w:asciiTheme="majorHAnsi" w:hAnsiTheme="majorHAnsi" w:cstheme="majorHAnsi"/>
                <w:sz w:val="19"/>
                <w:szCs w:val="19"/>
              </w:rPr>
              <w:t xml:space="preserve"> and published on the Bulletin Board.</w:t>
            </w:r>
          </w:p>
        </w:tc>
      </w:tr>
      <w:tr w:rsidR="00B15604" w:rsidRPr="007F0606" w14:paraId="6FD2A454" w14:textId="77777777" w:rsidTr="00B15604">
        <w:trPr>
          <w:trHeight w:val="584"/>
        </w:trPr>
        <w:tc>
          <w:tcPr>
            <w:tcW w:w="819"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14:paraId="528D34FD" w14:textId="77777777" w:rsidR="00B15604" w:rsidRPr="007F0606" w:rsidRDefault="00B15604" w:rsidP="00B15604">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Responsibility for reporting</w:t>
            </w:r>
          </w:p>
        </w:tc>
        <w:tc>
          <w:tcPr>
            <w:tcW w:w="4181"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14:paraId="0E36B2EB" w14:textId="77777777" w:rsidR="00B15604" w:rsidRPr="007F0606" w:rsidRDefault="00B15604" w:rsidP="00756C62">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AEMO will be responsible for reporting trades carried out through the </w:t>
            </w:r>
            <w:r>
              <w:rPr>
                <w:rFonts w:asciiTheme="majorHAnsi" w:hAnsiTheme="majorHAnsi" w:cstheme="majorHAnsi"/>
                <w:sz w:val="19"/>
                <w:szCs w:val="19"/>
              </w:rPr>
              <w:t>exchange</w:t>
            </w:r>
            <w:r w:rsidRPr="007F0606">
              <w:rPr>
                <w:rFonts w:asciiTheme="majorHAnsi" w:hAnsiTheme="majorHAnsi" w:cstheme="majorHAnsi"/>
                <w:sz w:val="19"/>
                <w:szCs w:val="19"/>
              </w:rPr>
              <w:t xml:space="preserve">; and </w:t>
            </w:r>
          </w:p>
          <w:p w14:paraId="637A8F27" w14:textId="77777777" w:rsidR="00B15604" w:rsidRPr="007F0606" w:rsidRDefault="00B15604" w:rsidP="00756C62">
            <w:pPr>
              <w:pStyle w:val="TableBullet1"/>
              <w:numPr>
                <w:ilvl w:val="0"/>
                <w:numId w:val="27"/>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Sellers will be responsible for reporting bilateral trades, but they will be able to appoint a capacity transaction reporting agent to report on their behalf. </w:t>
            </w:r>
          </w:p>
        </w:tc>
      </w:tr>
      <w:tr w:rsidR="00A623CA" w:rsidRPr="007F0606" w14:paraId="6C0EDC80" w14:textId="77777777" w:rsidTr="007F0606">
        <w:trPr>
          <w:trHeight w:val="238"/>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7EF7308F" w14:textId="77777777" w:rsidR="00A623CA" w:rsidRPr="007F0606" w:rsidRDefault="00A623CA" w:rsidP="003B13FE">
            <w:pPr>
              <w:pStyle w:val="BodyText"/>
              <w:spacing w:before="0" w:after="0"/>
              <w:jc w:val="center"/>
              <w:rPr>
                <w:rFonts w:asciiTheme="majorHAnsi" w:hAnsiTheme="majorHAnsi" w:cstheme="majorHAnsi"/>
                <w:b/>
                <w:sz w:val="19"/>
                <w:szCs w:val="19"/>
              </w:rPr>
            </w:pPr>
            <w:r w:rsidRPr="003B13FE">
              <w:rPr>
                <w:rFonts w:asciiTheme="majorHAnsi" w:hAnsiTheme="majorHAnsi" w:cstheme="majorHAnsi"/>
                <w:b/>
                <w:color w:val="FFFFFF" w:themeColor="background1"/>
                <w:sz w:val="19"/>
                <w:szCs w:val="19"/>
              </w:rPr>
              <w:t>Reporting of auction information on the Bulletin Board</w:t>
            </w:r>
          </w:p>
        </w:tc>
      </w:tr>
      <w:tr w:rsidR="00A623CA" w:rsidRPr="007F0606" w14:paraId="23E56FAA" w14:textId="77777777" w:rsidTr="007F0606">
        <w:trPr>
          <w:trHeight w:val="584"/>
        </w:trPr>
        <w:tc>
          <w:tcPr>
            <w:tcW w:w="819"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tcPr>
          <w:p w14:paraId="112E12C3" w14:textId="77777777" w:rsidR="00A623CA" w:rsidRPr="007F0606" w:rsidRDefault="003B13FE" w:rsidP="003B13FE">
            <w:pPr>
              <w:pStyle w:val="BodyText"/>
              <w:spacing w:before="0" w:after="0"/>
              <w:rPr>
                <w:rFonts w:asciiTheme="majorHAnsi" w:hAnsiTheme="majorHAnsi" w:cstheme="majorHAnsi"/>
                <w:sz w:val="19"/>
                <w:szCs w:val="19"/>
              </w:rPr>
            </w:pPr>
            <w:r>
              <w:rPr>
                <w:rFonts w:asciiTheme="majorHAnsi" w:hAnsiTheme="majorHAnsi" w:cstheme="majorHAnsi"/>
                <w:sz w:val="19"/>
                <w:szCs w:val="19"/>
              </w:rPr>
              <w:t>Responsibility for reporting</w:t>
            </w:r>
          </w:p>
        </w:tc>
        <w:tc>
          <w:tcPr>
            <w:tcW w:w="4181"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tcPr>
          <w:p w14:paraId="2F928AD9" w14:textId="77777777" w:rsidR="00A623CA" w:rsidRPr="00651AFD" w:rsidRDefault="003B13FE" w:rsidP="00651AFD">
            <w:pPr>
              <w:pStyle w:val="BodyText"/>
              <w:spacing w:before="0" w:after="0"/>
              <w:rPr>
                <w:sz w:val="19"/>
                <w:szCs w:val="19"/>
              </w:rPr>
            </w:pPr>
            <w:r w:rsidRPr="00651AFD">
              <w:rPr>
                <w:rFonts w:asciiTheme="majorHAnsi" w:hAnsiTheme="majorHAnsi" w:cstheme="majorHAnsi"/>
                <w:sz w:val="19"/>
                <w:szCs w:val="19"/>
              </w:rPr>
              <w:t>AEMO will be responsible for publishing information on the results of the auction and other information specified in the Auction Procedures on the Bulletin Board.</w:t>
            </w:r>
          </w:p>
        </w:tc>
      </w:tr>
      <w:tr w:rsidR="00147828" w:rsidRPr="007F0606" w14:paraId="08E9AABE" w14:textId="77777777" w:rsidTr="007F0606">
        <w:trPr>
          <w:trHeight w:val="208"/>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33F99584" w14:textId="77777777" w:rsidR="00147828" w:rsidRPr="007F0606" w:rsidRDefault="00147828" w:rsidP="003B13FE">
            <w:pPr>
              <w:pStyle w:val="TableBullet1"/>
              <w:tabs>
                <w:tab w:val="left" w:pos="720"/>
              </w:tabs>
              <w:spacing w:before="0" w:after="0"/>
              <w:ind w:left="312"/>
              <w:jc w:val="center"/>
              <w:rPr>
                <w:rFonts w:asciiTheme="majorHAnsi" w:hAnsiTheme="majorHAnsi" w:cstheme="majorHAnsi"/>
                <w:b/>
                <w:sz w:val="19"/>
                <w:szCs w:val="19"/>
              </w:rPr>
            </w:pPr>
            <w:r w:rsidRPr="007F0606">
              <w:rPr>
                <w:rFonts w:asciiTheme="majorHAnsi" w:hAnsiTheme="majorHAnsi" w:cstheme="majorHAnsi"/>
                <w:b/>
                <w:color w:val="FFFFFF" w:themeColor="background1"/>
                <w:sz w:val="19"/>
                <w:szCs w:val="19"/>
              </w:rPr>
              <w:t>Allocation arrangements</w:t>
            </w:r>
          </w:p>
        </w:tc>
      </w:tr>
      <w:tr w:rsidR="00147828" w:rsidRPr="007F0606" w14:paraId="69B0F402" w14:textId="77777777" w:rsidTr="007F0606">
        <w:trPr>
          <w:trHeight w:val="853"/>
        </w:trPr>
        <w:tc>
          <w:tcPr>
            <w:tcW w:w="819"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14:paraId="074800EF" w14:textId="77777777" w:rsidR="00147828" w:rsidRPr="007F0606" w:rsidRDefault="00147828" w:rsidP="00590B2E">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Information to be reported</w:t>
            </w:r>
          </w:p>
        </w:tc>
        <w:tc>
          <w:tcPr>
            <w:tcW w:w="4181"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14:paraId="7058965B" w14:textId="15A1375B" w:rsidR="00147828" w:rsidRPr="007F0606" w:rsidRDefault="00A623CA" w:rsidP="00590B2E">
            <w:pPr>
              <w:pStyle w:val="BodyText"/>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Allocation agents will be required to provide AEMO with the following information for publication on </w:t>
            </w:r>
            <w:r w:rsidR="00067F90">
              <w:rPr>
                <w:rFonts w:asciiTheme="majorHAnsi" w:hAnsiTheme="majorHAnsi" w:cstheme="majorHAnsi"/>
                <w:sz w:val="19"/>
                <w:szCs w:val="19"/>
              </w:rPr>
              <w:t xml:space="preserve">the </w:t>
            </w:r>
            <w:r w:rsidR="00147828" w:rsidRPr="007F0606">
              <w:rPr>
                <w:rFonts w:asciiTheme="majorHAnsi" w:hAnsiTheme="majorHAnsi" w:cstheme="majorHAnsi"/>
                <w:sz w:val="19"/>
                <w:szCs w:val="19"/>
              </w:rPr>
              <w:t>Bulletin Board</w:t>
            </w:r>
            <w:r w:rsidR="00651AFD">
              <w:rPr>
                <w:rFonts w:asciiTheme="majorHAnsi" w:hAnsiTheme="majorHAnsi" w:cstheme="majorHAnsi"/>
                <w:sz w:val="19"/>
                <w:szCs w:val="19"/>
              </w:rPr>
              <w:t>:</w:t>
            </w:r>
          </w:p>
          <w:p w14:paraId="118D107B" w14:textId="77777777" w:rsidR="00A623CA" w:rsidRPr="007F0606" w:rsidRDefault="00A623CA"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a description of the allocation methodology used at the allocation point;</w:t>
            </w:r>
          </w:p>
          <w:p w14:paraId="6BBDF60E" w14:textId="77777777" w:rsidR="00A623CA" w:rsidRPr="007F0606" w:rsidRDefault="00A623CA"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 xml:space="preserve">a description of the process for joining and leaving the agreement; </w:t>
            </w:r>
          </w:p>
          <w:p w14:paraId="719559D7" w14:textId="77777777" w:rsidR="00A623CA" w:rsidRPr="007F0606" w:rsidRDefault="00A623CA"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a description of any charge to become a party to the agreement; and</w:t>
            </w:r>
          </w:p>
          <w:p w14:paraId="09A47689" w14:textId="77777777" w:rsidR="00A623CA" w:rsidRDefault="00A623CA" w:rsidP="00F163DB">
            <w:pPr>
              <w:pStyle w:val="TableBullet1"/>
              <w:numPr>
                <w:ilvl w:val="0"/>
                <w:numId w:val="21"/>
              </w:numPr>
              <w:spacing w:before="0" w:after="0"/>
              <w:rPr>
                <w:rFonts w:asciiTheme="majorHAnsi" w:hAnsiTheme="majorHAnsi" w:cstheme="majorHAnsi"/>
                <w:sz w:val="19"/>
                <w:szCs w:val="19"/>
              </w:rPr>
            </w:pPr>
            <w:r w:rsidRPr="007F0606">
              <w:rPr>
                <w:rFonts w:asciiTheme="majorHAnsi" w:hAnsiTheme="majorHAnsi" w:cstheme="majorHAnsi"/>
                <w:sz w:val="19"/>
                <w:szCs w:val="19"/>
              </w:rPr>
              <w:t>the allocation agent’s contact details.</w:t>
            </w:r>
          </w:p>
          <w:p w14:paraId="056408C4" w14:textId="77777777" w:rsidR="003B13FE" w:rsidRPr="007F0606" w:rsidRDefault="003B13FE" w:rsidP="00590B2E">
            <w:pPr>
              <w:pStyle w:val="TableBullet1"/>
              <w:spacing w:before="0" w:after="0"/>
              <w:ind w:left="85"/>
              <w:rPr>
                <w:rFonts w:asciiTheme="majorHAnsi" w:hAnsiTheme="majorHAnsi" w:cstheme="majorHAnsi"/>
                <w:sz w:val="19"/>
                <w:szCs w:val="19"/>
              </w:rPr>
            </w:pPr>
            <w:r>
              <w:rPr>
                <w:rFonts w:asciiTheme="majorHAnsi" w:hAnsiTheme="majorHAnsi" w:cstheme="majorHAnsi"/>
                <w:sz w:val="19"/>
                <w:szCs w:val="19"/>
              </w:rPr>
              <w:t>This obligation will be limited to allocation agents that operate at points through which gas is injected into or withdrawn from a Part 24 facility.</w:t>
            </w:r>
          </w:p>
        </w:tc>
      </w:tr>
      <w:tr w:rsidR="00A623CA" w:rsidRPr="007F0606" w14:paraId="1233053A" w14:textId="77777777" w:rsidTr="007F0606">
        <w:trPr>
          <w:trHeight w:val="238"/>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448DE265" w14:textId="77777777" w:rsidR="00A623CA" w:rsidRPr="007F0606" w:rsidRDefault="00A623CA" w:rsidP="003B13FE">
            <w:pPr>
              <w:pStyle w:val="BodyText"/>
              <w:keepNext/>
              <w:spacing w:before="0" w:after="0"/>
              <w:jc w:val="center"/>
              <w:rPr>
                <w:rFonts w:asciiTheme="majorHAnsi" w:hAnsiTheme="majorHAnsi" w:cstheme="majorHAnsi"/>
                <w:b/>
                <w:sz w:val="19"/>
                <w:szCs w:val="19"/>
              </w:rPr>
            </w:pPr>
            <w:r w:rsidRPr="003B13FE">
              <w:rPr>
                <w:rFonts w:asciiTheme="majorHAnsi" w:hAnsiTheme="majorHAnsi" w:cstheme="majorHAnsi"/>
                <w:b/>
                <w:color w:val="FFFFFF" w:themeColor="background1"/>
                <w:sz w:val="19"/>
                <w:szCs w:val="19"/>
              </w:rPr>
              <w:lastRenderedPageBreak/>
              <w:t>Extension of Bulletin Board reporting obligations</w:t>
            </w:r>
          </w:p>
        </w:tc>
      </w:tr>
      <w:tr w:rsidR="00A623CA" w:rsidRPr="007F0606" w14:paraId="3F5D5186" w14:textId="77777777" w:rsidTr="007F0606">
        <w:trPr>
          <w:trHeight w:val="584"/>
        </w:trPr>
        <w:tc>
          <w:tcPr>
            <w:tcW w:w="819"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tcPr>
          <w:p w14:paraId="4A5C2EF4" w14:textId="77777777" w:rsidR="00A623CA" w:rsidRPr="007F0606" w:rsidRDefault="00130028" w:rsidP="003B13FE">
            <w:pPr>
              <w:pStyle w:val="BodyText"/>
              <w:keepNext/>
              <w:spacing w:before="0" w:after="0"/>
              <w:rPr>
                <w:rFonts w:asciiTheme="majorHAnsi" w:hAnsiTheme="majorHAnsi" w:cstheme="majorHAnsi"/>
                <w:sz w:val="19"/>
                <w:szCs w:val="19"/>
              </w:rPr>
            </w:pPr>
            <w:r>
              <w:rPr>
                <w:rFonts w:asciiTheme="majorHAnsi" w:hAnsiTheme="majorHAnsi" w:cstheme="majorHAnsi"/>
                <w:sz w:val="19"/>
                <w:szCs w:val="19"/>
              </w:rPr>
              <w:t>Obligations</w:t>
            </w:r>
          </w:p>
        </w:tc>
        <w:tc>
          <w:tcPr>
            <w:tcW w:w="4181"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tcPr>
          <w:p w14:paraId="4D8218E9" w14:textId="77777777" w:rsidR="003B13FE" w:rsidRPr="00651AFD" w:rsidRDefault="009A0A3F" w:rsidP="00651AFD">
            <w:pPr>
              <w:pStyle w:val="TableBullet1"/>
              <w:spacing w:before="0" w:after="0"/>
              <w:rPr>
                <w:rFonts w:asciiTheme="majorHAnsi" w:hAnsiTheme="majorHAnsi" w:cstheme="majorHAnsi"/>
                <w:sz w:val="19"/>
                <w:szCs w:val="19"/>
              </w:rPr>
            </w:pPr>
            <w:r w:rsidRPr="00651AFD">
              <w:rPr>
                <w:rFonts w:asciiTheme="majorHAnsi" w:hAnsiTheme="majorHAnsi" w:cstheme="majorHAnsi"/>
                <w:sz w:val="19"/>
                <w:szCs w:val="19"/>
              </w:rPr>
              <w:t>S</w:t>
            </w:r>
            <w:r w:rsidR="003B13FE" w:rsidRPr="00651AFD">
              <w:rPr>
                <w:rFonts w:asciiTheme="majorHAnsi" w:hAnsiTheme="majorHAnsi" w:cstheme="majorHAnsi"/>
                <w:sz w:val="19"/>
                <w:szCs w:val="19"/>
              </w:rPr>
              <w:t>ervice providers that are subject to Bulletin Board reporting obligations will be required to provide AEMO with information on the nameplate rating, short-term and medium-term capacity outlook for each receipt and delivery point.</w:t>
            </w:r>
            <w:r w:rsidR="003B13FE" w:rsidRPr="00F163DB">
              <w:rPr>
                <w:rFonts w:asciiTheme="majorHAnsi" w:hAnsiTheme="majorHAnsi" w:cstheme="majorHAnsi"/>
                <w:sz w:val="19"/>
                <w:szCs w:val="19"/>
                <w:vertAlign w:val="superscript"/>
              </w:rPr>
              <w:footnoteReference w:id="103"/>
            </w:r>
            <w:r w:rsidR="003B13FE" w:rsidRPr="00F163DB">
              <w:rPr>
                <w:rFonts w:asciiTheme="majorHAnsi" w:hAnsiTheme="majorHAnsi" w:cstheme="majorHAnsi"/>
                <w:sz w:val="19"/>
                <w:szCs w:val="19"/>
                <w:vertAlign w:val="superscript"/>
              </w:rPr>
              <w:t xml:space="preserve"> </w:t>
            </w:r>
          </w:p>
          <w:p w14:paraId="13028D6C" w14:textId="3B218A9C" w:rsidR="00130028" w:rsidRPr="00651AFD" w:rsidRDefault="008E3903" w:rsidP="00651AFD">
            <w:pPr>
              <w:pStyle w:val="TableBullet1"/>
              <w:spacing w:before="0" w:after="0"/>
              <w:rPr>
                <w:rFonts w:asciiTheme="majorHAnsi" w:hAnsiTheme="majorHAnsi" w:cstheme="majorHAnsi"/>
                <w:sz w:val="19"/>
                <w:szCs w:val="19"/>
              </w:rPr>
            </w:pPr>
            <w:r w:rsidRPr="00651AFD">
              <w:rPr>
                <w:rFonts w:asciiTheme="majorHAnsi" w:hAnsiTheme="majorHAnsi" w:cstheme="majorHAnsi"/>
                <w:sz w:val="19"/>
                <w:szCs w:val="19"/>
              </w:rPr>
              <w:t>Service providers for r</w:t>
            </w:r>
            <w:r w:rsidR="003B13FE" w:rsidRPr="00651AFD">
              <w:rPr>
                <w:rFonts w:asciiTheme="majorHAnsi" w:hAnsiTheme="majorHAnsi" w:cstheme="majorHAnsi"/>
                <w:sz w:val="19"/>
                <w:szCs w:val="19"/>
              </w:rPr>
              <w:t xml:space="preserve">emote transportation facilities that would otherwise be excluded from the Bulletin Board reporting obligations but are </w:t>
            </w:r>
            <w:r w:rsidRPr="00651AFD">
              <w:rPr>
                <w:rFonts w:asciiTheme="majorHAnsi" w:hAnsiTheme="majorHAnsi" w:cstheme="majorHAnsi"/>
                <w:sz w:val="19"/>
                <w:szCs w:val="19"/>
              </w:rPr>
              <w:t xml:space="preserve">ineligible </w:t>
            </w:r>
            <w:r w:rsidRPr="00F92689">
              <w:rPr>
                <w:rFonts w:asciiTheme="majorHAnsi" w:hAnsiTheme="majorHAnsi" w:cstheme="majorHAnsi"/>
                <w:sz w:val="19"/>
                <w:szCs w:val="19"/>
              </w:rPr>
              <w:t xml:space="preserve">for, or </w:t>
            </w:r>
            <w:r w:rsidR="003B13FE" w:rsidRPr="00F92689">
              <w:rPr>
                <w:rFonts w:asciiTheme="majorHAnsi" w:hAnsiTheme="majorHAnsi" w:cstheme="majorHAnsi"/>
                <w:sz w:val="19"/>
                <w:szCs w:val="19"/>
              </w:rPr>
              <w:t>unable to obtain</w:t>
            </w:r>
            <w:r w:rsidR="00262FC8" w:rsidRPr="00F92689">
              <w:rPr>
                <w:rFonts w:asciiTheme="majorHAnsi" w:hAnsiTheme="majorHAnsi" w:cstheme="majorHAnsi"/>
                <w:sz w:val="19"/>
                <w:szCs w:val="19"/>
              </w:rPr>
              <w:t>,</w:t>
            </w:r>
            <w:r w:rsidR="003B13FE" w:rsidRPr="00651AFD">
              <w:rPr>
                <w:rFonts w:asciiTheme="majorHAnsi" w:hAnsiTheme="majorHAnsi" w:cstheme="majorHAnsi"/>
                <w:sz w:val="19"/>
                <w:szCs w:val="19"/>
              </w:rPr>
              <w:t xml:space="preserve"> an exemption under Part 24 of the NGR, </w:t>
            </w:r>
            <w:r w:rsidR="00130028" w:rsidRPr="00651AFD">
              <w:rPr>
                <w:rFonts w:asciiTheme="majorHAnsi" w:hAnsiTheme="majorHAnsi" w:cstheme="majorHAnsi"/>
                <w:sz w:val="19"/>
                <w:szCs w:val="19"/>
              </w:rPr>
              <w:t xml:space="preserve">will </w:t>
            </w:r>
            <w:r w:rsidR="003B13FE" w:rsidRPr="00651AFD">
              <w:rPr>
                <w:rFonts w:asciiTheme="majorHAnsi" w:hAnsiTheme="majorHAnsi" w:cstheme="majorHAnsi"/>
                <w:sz w:val="19"/>
                <w:szCs w:val="19"/>
              </w:rPr>
              <w:t>be subjec</w:t>
            </w:r>
            <w:r w:rsidR="00F163DB">
              <w:rPr>
                <w:rFonts w:asciiTheme="majorHAnsi" w:hAnsiTheme="majorHAnsi" w:cstheme="majorHAnsi"/>
                <w:sz w:val="19"/>
                <w:szCs w:val="19"/>
              </w:rPr>
              <w:t>t to the reporting obligations.</w:t>
            </w:r>
            <w:r w:rsidR="003B13FE" w:rsidRPr="00F163DB">
              <w:rPr>
                <w:rFonts w:asciiTheme="majorHAnsi" w:hAnsiTheme="majorHAnsi" w:cstheme="majorHAnsi"/>
                <w:sz w:val="19"/>
                <w:szCs w:val="19"/>
                <w:vertAlign w:val="superscript"/>
              </w:rPr>
              <w:footnoteReference w:id="104"/>
            </w:r>
            <w:r w:rsidR="003B13FE" w:rsidRPr="00F163DB">
              <w:rPr>
                <w:rFonts w:asciiTheme="majorHAnsi" w:hAnsiTheme="majorHAnsi" w:cstheme="majorHAnsi"/>
                <w:sz w:val="19"/>
                <w:szCs w:val="19"/>
                <w:vertAlign w:val="superscript"/>
              </w:rPr>
              <w:t xml:space="preserve">  </w:t>
            </w:r>
          </w:p>
          <w:p w14:paraId="63F8157D" w14:textId="77777777" w:rsidR="00A623CA" w:rsidRPr="007F0606" w:rsidRDefault="003B13FE" w:rsidP="00651AFD">
            <w:pPr>
              <w:pStyle w:val="BodyText"/>
              <w:spacing w:before="0" w:after="0"/>
            </w:pPr>
            <w:r w:rsidRPr="00651AFD">
              <w:rPr>
                <w:rFonts w:asciiTheme="majorHAnsi" w:hAnsiTheme="majorHAnsi" w:cstheme="majorHAnsi"/>
                <w:sz w:val="19"/>
                <w:szCs w:val="19"/>
              </w:rPr>
              <w:t>The extension of the</w:t>
            </w:r>
            <w:r w:rsidR="00130028" w:rsidRPr="00651AFD">
              <w:rPr>
                <w:rFonts w:asciiTheme="majorHAnsi" w:hAnsiTheme="majorHAnsi" w:cstheme="majorHAnsi"/>
                <w:sz w:val="19"/>
                <w:szCs w:val="19"/>
              </w:rPr>
              <w:t>se</w:t>
            </w:r>
            <w:r w:rsidRPr="00651AFD">
              <w:rPr>
                <w:rFonts w:asciiTheme="majorHAnsi" w:hAnsiTheme="majorHAnsi" w:cstheme="majorHAnsi"/>
                <w:sz w:val="19"/>
                <w:szCs w:val="19"/>
              </w:rPr>
              <w:t xml:space="preserve"> reporting obligation</w:t>
            </w:r>
            <w:r w:rsidR="00B15604" w:rsidRPr="00651AFD">
              <w:rPr>
                <w:rFonts w:asciiTheme="majorHAnsi" w:hAnsiTheme="majorHAnsi" w:cstheme="majorHAnsi"/>
                <w:sz w:val="19"/>
                <w:szCs w:val="19"/>
              </w:rPr>
              <w:t>s</w:t>
            </w:r>
            <w:r w:rsidRPr="00651AFD">
              <w:rPr>
                <w:rFonts w:asciiTheme="majorHAnsi" w:hAnsiTheme="majorHAnsi" w:cstheme="majorHAnsi"/>
                <w:sz w:val="19"/>
                <w:szCs w:val="19"/>
              </w:rPr>
              <w:t xml:space="preserve"> will enable auction participants and capacity trading platform users that utilise these </w:t>
            </w:r>
            <w:r w:rsidR="00130028" w:rsidRPr="00651AFD">
              <w:rPr>
                <w:rFonts w:asciiTheme="majorHAnsi" w:hAnsiTheme="majorHAnsi" w:cstheme="majorHAnsi"/>
                <w:sz w:val="19"/>
                <w:szCs w:val="19"/>
              </w:rPr>
              <w:t xml:space="preserve">facilities </w:t>
            </w:r>
            <w:r w:rsidRPr="00651AFD">
              <w:rPr>
                <w:rFonts w:asciiTheme="majorHAnsi" w:hAnsiTheme="majorHAnsi" w:cstheme="majorHAnsi"/>
                <w:sz w:val="19"/>
                <w:szCs w:val="19"/>
              </w:rPr>
              <w:t>to assess the risks associated with trying to use the capacity procured through either mechanism.</w:t>
            </w:r>
            <w:r>
              <w:t xml:space="preserve"> </w:t>
            </w:r>
          </w:p>
        </w:tc>
      </w:tr>
    </w:tbl>
    <w:p w14:paraId="7A0D57D8" w14:textId="10CF540C" w:rsidR="001157DF" w:rsidRDefault="001157DF" w:rsidP="00590B2E">
      <w:pPr>
        <w:pStyle w:val="BodyText"/>
      </w:pPr>
      <w:r>
        <w:t>The only refinement that has been made to these transparency measures since they were approved by the Energy Council, is the inclusion of some additional information that allocation agents will be required to provide to AEMO for publication o</w:t>
      </w:r>
      <w:r w:rsidR="00651AFD">
        <w:t>n</w:t>
      </w:r>
      <w:r>
        <w:t xml:space="preserve"> the Bulletin Board. </w:t>
      </w:r>
    </w:p>
    <w:p w14:paraId="6CEFF553" w14:textId="77777777" w:rsidR="00F951C8" w:rsidRDefault="000E5010" w:rsidP="00590B2E">
      <w:pPr>
        <w:pStyle w:val="BodyText"/>
      </w:pPr>
      <w:r>
        <w:t xml:space="preserve">During the consultation process that was conducted in 2017, a number of stakeholders noted that allocation agreements may act as a barrier to trade and that reducing the opaqueness that currently surrounds these agreements </w:t>
      </w:r>
      <w:r w:rsidR="008E3903">
        <w:t>by publishing allocation agents’ contact detail</w:t>
      </w:r>
      <w:r w:rsidR="00B15604">
        <w:t>s</w:t>
      </w:r>
      <w:r w:rsidR="008E3903">
        <w:t xml:space="preserve"> on the Bulletin Board </w:t>
      </w:r>
      <w:r>
        <w:t>could reduce search and transaction costs.</w:t>
      </w:r>
      <w:r w:rsidR="00D24EA1">
        <w:t xml:space="preserve"> </w:t>
      </w:r>
      <w:r w:rsidR="008E3903">
        <w:t xml:space="preserve">The GMRG therefore recommended that these contact details be published on the Bulletin </w:t>
      </w:r>
      <w:r w:rsidR="00837070">
        <w:t>Board but</w:t>
      </w:r>
      <w:r w:rsidR="008E3903">
        <w:t xml:space="preserve"> noted that </w:t>
      </w:r>
      <w:r w:rsidR="00590B2E">
        <w:t xml:space="preserve">further work </w:t>
      </w:r>
      <w:r w:rsidR="008E3903">
        <w:t xml:space="preserve">should </w:t>
      </w:r>
      <w:r w:rsidR="00590B2E">
        <w:t xml:space="preserve">be carried out in early 2018 to determine </w:t>
      </w:r>
      <w:r>
        <w:t xml:space="preserve">whether </w:t>
      </w:r>
      <w:r w:rsidR="002F4281">
        <w:t xml:space="preserve">additional </w:t>
      </w:r>
      <w:r w:rsidR="00F951C8">
        <w:t xml:space="preserve">steps could be taken to </w:t>
      </w:r>
      <w:r>
        <w:t>improve the transparency surrounding these agreements</w:t>
      </w:r>
      <w:r w:rsidR="00F951C8">
        <w:t>.</w:t>
      </w:r>
      <w:r w:rsidR="00F951C8">
        <w:rPr>
          <w:rStyle w:val="FootnoteReference"/>
        </w:rPr>
        <w:footnoteReference w:id="105"/>
      </w:r>
      <w:r w:rsidR="00F951C8">
        <w:t xml:space="preserve"> </w:t>
      </w:r>
    </w:p>
    <w:p w14:paraId="4CA354BB" w14:textId="77777777" w:rsidR="002F4281" w:rsidRDefault="000E5010" w:rsidP="00590B2E">
      <w:pPr>
        <w:pStyle w:val="BodyText"/>
      </w:pPr>
      <w:r>
        <w:t xml:space="preserve">This work has now been completed and based on feedback provided by a number of shippers and </w:t>
      </w:r>
      <w:r w:rsidR="00590B2E">
        <w:t xml:space="preserve">service providers, the GMRG now </w:t>
      </w:r>
      <w:r w:rsidR="00B15604">
        <w:t xml:space="preserve">proposes </w:t>
      </w:r>
      <w:r w:rsidR="00590B2E">
        <w:t>that</w:t>
      </w:r>
      <w:r w:rsidR="002F4281">
        <w:t xml:space="preserve">, in addition to the </w:t>
      </w:r>
      <w:r w:rsidR="00F951C8">
        <w:t xml:space="preserve">allocation agent’s </w:t>
      </w:r>
      <w:r w:rsidR="002F4281">
        <w:t>contact details, the following information</w:t>
      </w:r>
      <w:r w:rsidR="00590B2E">
        <w:t xml:space="preserve"> </w:t>
      </w:r>
      <w:r w:rsidR="002F4281">
        <w:t>be published</w:t>
      </w:r>
      <w:r w:rsidR="00F951C8">
        <w:t xml:space="preserve"> on the Bulletin Board</w:t>
      </w:r>
      <w:r w:rsidR="008E3903">
        <w:t xml:space="preserve"> in respect of allocation points and allocation agreements</w:t>
      </w:r>
      <w:r w:rsidR="002F4281">
        <w:t>:</w:t>
      </w:r>
      <w:r w:rsidR="00590B2E">
        <w:t xml:space="preserve"> </w:t>
      </w:r>
    </w:p>
    <w:p w14:paraId="30F67336" w14:textId="77777777" w:rsidR="002F4281" w:rsidRPr="007F0606" w:rsidRDefault="002F4281" w:rsidP="00F951C8">
      <w:pPr>
        <w:pStyle w:val="ListBullet"/>
      </w:pPr>
      <w:r w:rsidRPr="007F0606">
        <w:t>a description of the allocation methodology used at the allocation point;</w:t>
      </w:r>
      <w:r w:rsidR="00F951C8">
        <w:t xml:space="preserve"> and</w:t>
      </w:r>
    </w:p>
    <w:p w14:paraId="79AE99F5" w14:textId="77777777" w:rsidR="002F4281" w:rsidRPr="007F0606" w:rsidRDefault="002F4281" w:rsidP="00F951C8">
      <w:pPr>
        <w:pStyle w:val="ListBullet"/>
      </w:pPr>
      <w:r w:rsidRPr="007F0606">
        <w:t>a description of the process for joining and leaving the agreement</w:t>
      </w:r>
      <w:r w:rsidR="00F951C8">
        <w:t xml:space="preserve"> and any charges that are payable to become a party to the agreement.</w:t>
      </w:r>
    </w:p>
    <w:p w14:paraId="3A5546D0" w14:textId="77777777" w:rsidR="00590B2E" w:rsidRDefault="00590B2E" w:rsidP="00590B2E">
      <w:pPr>
        <w:pStyle w:val="BodyText"/>
      </w:pPr>
      <w:r>
        <w:t xml:space="preserve">This change will </w:t>
      </w:r>
      <w:r w:rsidR="00067F90">
        <w:t xml:space="preserve">require </w:t>
      </w:r>
      <w:r>
        <w:t>Energy Council</w:t>
      </w:r>
      <w:r w:rsidR="00067F90">
        <w:t xml:space="preserve"> approval</w:t>
      </w:r>
      <w:r>
        <w:t>, so the GMRG is seeking further feedback on this proposal</w:t>
      </w:r>
      <w:r w:rsidR="00F951C8">
        <w:t xml:space="preserve"> (see </w:t>
      </w:r>
      <w:r w:rsidR="00F951C8">
        <w:fldChar w:fldCharType="begin"/>
      </w:r>
      <w:r w:rsidR="00F951C8">
        <w:instrText xml:space="preserve"> REF _Ref490311117 \h </w:instrText>
      </w:r>
      <w:r w:rsidR="00F951C8">
        <w:fldChar w:fldCharType="separate"/>
      </w:r>
      <w:r w:rsidR="00830BE4">
        <w:t xml:space="preserve">Box </w:t>
      </w:r>
      <w:r w:rsidR="00830BE4">
        <w:rPr>
          <w:noProof/>
        </w:rPr>
        <w:t>7</w:t>
      </w:r>
      <w:r w:rsidR="00830BE4">
        <w:t>.</w:t>
      </w:r>
      <w:r w:rsidR="00830BE4">
        <w:rPr>
          <w:noProof/>
        </w:rPr>
        <w:t>1</w:t>
      </w:r>
      <w:r w:rsidR="00F951C8">
        <w:fldChar w:fldCharType="end"/>
      </w:r>
      <w:r w:rsidR="00F951C8">
        <w:t>)</w:t>
      </w:r>
      <w:r>
        <w:t>.</w:t>
      </w:r>
    </w:p>
    <w:p w14:paraId="748A684F" w14:textId="3B209F07" w:rsidR="00F951C8" w:rsidRDefault="00F951C8" w:rsidP="00F951C8">
      <w:pPr>
        <w:pStyle w:val="Caption"/>
        <w:spacing w:after="0"/>
        <w:rPr>
          <w:bCs w:val="0"/>
        </w:rPr>
      </w:pPr>
    </w:p>
    <w:tbl>
      <w:tblPr>
        <w:tblStyle w:val="PullOutBoxTable"/>
        <w:tblW w:w="5000" w:type="pct"/>
        <w:shd w:val="clear" w:color="auto" w:fill="B7E7FF"/>
        <w:tblCellMar>
          <w:top w:w="85" w:type="dxa"/>
          <w:bottom w:w="85" w:type="dxa"/>
        </w:tblCellMar>
        <w:tblLook w:val="0600" w:firstRow="0" w:lastRow="0" w:firstColumn="0" w:lastColumn="0" w:noHBand="1" w:noVBand="1"/>
        <w:tblCaption w:val="Box 7.1: Questions on allocation arrangements"/>
        <w:tblDescription w:val="Box 7.1: Questions on allocation arrangements"/>
      </w:tblPr>
      <w:tblGrid>
        <w:gridCol w:w="8789"/>
      </w:tblGrid>
      <w:tr w:rsidR="00F8722C" w14:paraId="6875BB21" w14:textId="77777777" w:rsidTr="00F8722C">
        <w:trPr>
          <w:tblHeader/>
        </w:trPr>
        <w:tc>
          <w:tcPr>
            <w:tcW w:w="5000" w:type="pct"/>
            <w:shd w:val="clear" w:color="auto" w:fill="auto"/>
          </w:tcPr>
          <w:p w14:paraId="50CD20F2" w14:textId="5E93BD39" w:rsidR="00F8722C" w:rsidRPr="004A0566" w:rsidRDefault="00F8722C" w:rsidP="00F8722C">
            <w:pPr>
              <w:pStyle w:val="ListNumber"/>
              <w:numPr>
                <w:ilvl w:val="0"/>
                <w:numId w:val="0"/>
              </w:numPr>
              <w:tabs>
                <w:tab w:val="left" w:pos="720"/>
              </w:tabs>
              <w:rPr>
                <w:rFonts w:eastAsiaTheme="majorEastAsia"/>
                <w:sz w:val="21"/>
                <w:szCs w:val="21"/>
              </w:rPr>
            </w:pPr>
            <w:bookmarkStart w:id="123" w:name="_Ref490311117"/>
            <w:r w:rsidRPr="00667654">
              <w:rPr>
                <w:b/>
              </w:rPr>
              <w:t xml:space="preserve">Box </w:t>
            </w:r>
            <w:r w:rsidRPr="00667654">
              <w:rPr>
                <w:b/>
              </w:rPr>
              <w:fldChar w:fldCharType="begin"/>
            </w:r>
            <w:r w:rsidRPr="00667654">
              <w:rPr>
                <w:b/>
              </w:rPr>
              <w:instrText xml:space="preserve"> STYLEREF 1 \s </w:instrText>
            </w:r>
            <w:r w:rsidRPr="00667654">
              <w:rPr>
                <w:b/>
              </w:rPr>
              <w:fldChar w:fldCharType="separate"/>
            </w:r>
            <w:r w:rsidRPr="00667654">
              <w:rPr>
                <w:b/>
                <w:noProof/>
              </w:rPr>
              <w:t>7</w:t>
            </w:r>
            <w:r w:rsidRPr="00667654">
              <w:rPr>
                <w:b/>
                <w:noProof/>
              </w:rPr>
              <w:fldChar w:fldCharType="end"/>
            </w:r>
            <w:r w:rsidRPr="00667654">
              <w:rPr>
                <w:b/>
              </w:rPr>
              <w:t>.</w:t>
            </w:r>
            <w:r w:rsidRPr="00667654">
              <w:rPr>
                <w:b/>
              </w:rPr>
              <w:fldChar w:fldCharType="begin"/>
            </w:r>
            <w:r w:rsidRPr="00667654">
              <w:rPr>
                <w:b/>
              </w:rPr>
              <w:instrText xml:space="preserve"> SEQ Box \* ARABIC \s 1 </w:instrText>
            </w:r>
            <w:r w:rsidRPr="00667654">
              <w:rPr>
                <w:b/>
              </w:rPr>
              <w:fldChar w:fldCharType="separate"/>
            </w:r>
            <w:r w:rsidRPr="00667654">
              <w:rPr>
                <w:b/>
                <w:noProof/>
              </w:rPr>
              <w:t>1</w:t>
            </w:r>
            <w:r w:rsidRPr="00667654">
              <w:rPr>
                <w:b/>
                <w:noProof/>
              </w:rPr>
              <w:fldChar w:fldCharType="end"/>
            </w:r>
            <w:bookmarkEnd w:id="123"/>
            <w:r w:rsidRPr="00667654">
              <w:rPr>
                <w:b/>
              </w:rPr>
              <w:t xml:space="preserve">: </w:t>
            </w:r>
            <w:r w:rsidRPr="00667654">
              <w:rPr>
                <w:b/>
                <w:bCs/>
              </w:rPr>
              <w:t>Questions on allocation arrangements</w:t>
            </w:r>
          </w:p>
        </w:tc>
      </w:tr>
      <w:tr w:rsidR="00F8722C" w14:paraId="3E7CE3EE" w14:textId="77777777" w:rsidTr="00667654">
        <w:tc>
          <w:tcPr>
            <w:tcW w:w="5000" w:type="pct"/>
            <w:shd w:val="clear" w:color="auto" w:fill="B7E7FF"/>
          </w:tcPr>
          <w:p w14:paraId="2F77DA06" w14:textId="77777777" w:rsidR="00F8722C" w:rsidRDefault="00F8722C" w:rsidP="00F8722C">
            <w:pPr>
              <w:pStyle w:val="ListNumber"/>
              <w:numPr>
                <w:ilvl w:val="0"/>
                <w:numId w:val="29"/>
              </w:numPr>
              <w:tabs>
                <w:tab w:val="left" w:pos="720"/>
              </w:tabs>
              <w:spacing w:line="264" w:lineRule="auto"/>
              <w:ind w:left="357" w:hanging="357"/>
              <w:rPr>
                <w:rFonts w:eastAsiaTheme="majorEastAsia"/>
                <w:sz w:val="21"/>
                <w:szCs w:val="21"/>
              </w:rPr>
            </w:pPr>
            <w:r w:rsidRPr="004A0566">
              <w:rPr>
                <w:rFonts w:eastAsiaTheme="majorEastAsia"/>
                <w:sz w:val="21"/>
                <w:szCs w:val="21"/>
              </w:rPr>
              <w:t xml:space="preserve">Do you have any concerns with allocation agents </w:t>
            </w:r>
            <w:r w:rsidRPr="004A0566">
              <w:rPr>
                <w:rFonts w:asciiTheme="majorHAnsi" w:hAnsiTheme="majorHAnsi" w:cstheme="majorHAnsi"/>
                <w:sz w:val="21"/>
                <w:szCs w:val="21"/>
              </w:rPr>
              <w:t xml:space="preserve">that operate at points through which gas is injected into or withdrawn from a Part 24 facility </w:t>
            </w:r>
            <w:r w:rsidRPr="004A0566">
              <w:rPr>
                <w:rFonts w:eastAsiaTheme="majorEastAsia"/>
                <w:sz w:val="21"/>
                <w:szCs w:val="21"/>
              </w:rPr>
              <w:t xml:space="preserve">being required to provide AEMO with the information set out in Table 7.1?  </w:t>
            </w:r>
          </w:p>
          <w:p w14:paraId="3C4BAEC7" w14:textId="23F3DB2B" w:rsidR="00F8722C" w:rsidRPr="004A0566" w:rsidRDefault="00F8722C" w:rsidP="00F8722C">
            <w:pPr>
              <w:pStyle w:val="ListNumber"/>
              <w:numPr>
                <w:ilvl w:val="0"/>
                <w:numId w:val="29"/>
              </w:numPr>
              <w:tabs>
                <w:tab w:val="left" w:pos="720"/>
              </w:tabs>
              <w:ind w:left="357" w:hanging="357"/>
              <w:rPr>
                <w:rFonts w:eastAsiaTheme="majorEastAsia"/>
                <w:sz w:val="21"/>
                <w:szCs w:val="21"/>
              </w:rPr>
            </w:pPr>
            <w:r>
              <w:rPr>
                <w:rFonts w:eastAsiaTheme="majorEastAsia"/>
                <w:sz w:val="21"/>
                <w:szCs w:val="21"/>
              </w:rPr>
              <w:t>Is there other information regarding allocation arrangements that should be published to ensure these agreements do not act as a barrier to trade?</w:t>
            </w:r>
          </w:p>
        </w:tc>
      </w:tr>
    </w:tbl>
    <w:p w14:paraId="49BE27D4" w14:textId="77777777" w:rsidR="00147828" w:rsidRPr="009974D3" w:rsidRDefault="00147828" w:rsidP="00756C62">
      <w:pPr>
        <w:pStyle w:val="Heading2"/>
        <w:numPr>
          <w:ilvl w:val="1"/>
          <w:numId w:val="20"/>
        </w:numPr>
        <w:ind w:left="624"/>
      </w:pPr>
      <w:bookmarkStart w:id="124" w:name="_Toc508551403"/>
      <w:bookmarkStart w:id="125" w:name="_Toc509239442"/>
      <w:r w:rsidRPr="009974D3">
        <w:t xml:space="preserve">Proposed legal and regulatory </w:t>
      </w:r>
      <w:r w:rsidR="00BB59A5" w:rsidRPr="009974D3">
        <w:t>framework</w:t>
      </w:r>
      <w:bookmarkEnd w:id="124"/>
      <w:bookmarkEnd w:id="125"/>
      <w:r w:rsidRPr="009974D3">
        <w:t xml:space="preserve"> </w:t>
      </w:r>
    </w:p>
    <w:p w14:paraId="1F0ACB81" w14:textId="77777777" w:rsidR="00147828" w:rsidRDefault="00147828" w:rsidP="008E3903">
      <w:pPr>
        <w:pStyle w:val="BodyText"/>
        <w:spacing w:after="240"/>
      </w:pPr>
      <w:r>
        <w:t xml:space="preserve">To implement the transparency </w:t>
      </w:r>
      <w:r w:rsidR="008E3903">
        <w:t xml:space="preserve">measures outlined above, </w:t>
      </w:r>
      <w:r>
        <w:t xml:space="preserve">a number of changes are required to the NGL, the Regulations and the NGR.  AEMO will also need to make any necessary changes to the </w:t>
      </w:r>
      <w:r w:rsidR="000E5010">
        <w:t xml:space="preserve">Bulletin Board </w:t>
      </w:r>
      <w:r>
        <w:t xml:space="preserve">Procedures to accommodate the provision of information about secondary capacity trades to AEMO and AEMO's reporting of the information on the </w:t>
      </w:r>
      <w:r w:rsidR="000E5010">
        <w:t>Bulletin Board</w:t>
      </w:r>
      <w:r>
        <w:t xml:space="preserve">. Further detail on the proposed changes to the NGL, NGR and Regulations is provided below. </w:t>
      </w:r>
    </w:p>
    <w:p w14:paraId="7C2DE562" w14:textId="77777777" w:rsidR="00147828" w:rsidRPr="0093247D" w:rsidRDefault="00147828" w:rsidP="00756C62">
      <w:pPr>
        <w:pStyle w:val="Heading3"/>
        <w:numPr>
          <w:ilvl w:val="2"/>
          <w:numId w:val="20"/>
        </w:numPr>
        <w:spacing w:before="120" w:after="120"/>
      </w:pPr>
      <w:r w:rsidRPr="0093247D">
        <w:t>Proposed changes to the NGL</w:t>
      </w:r>
    </w:p>
    <w:p w14:paraId="07C5D26C" w14:textId="77777777" w:rsidR="00147828" w:rsidRDefault="00147828" w:rsidP="00147828">
      <w:pPr>
        <w:pStyle w:val="BodyText"/>
      </w:pPr>
      <w:r>
        <w:t>Changes to the NGL are required to</w:t>
      </w:r>
      <w:r w:rsidR="00AB048F">
        <w:t xml:space="preserve"> implement the secondary capacity reporting framework, which </w:t>
      </w:r>
      <w:r w:rsidR="008E3903">
        <w:t xml:space="preserve">will </w:t>
      </w:r>
      <w:r w:rsidR="00AB048F">
        <w:t>involve:</w:t>
      </w:r>
    </w:p>
    <w:p w14:paraId="4B26296A" w14:textId="77777777" w:rsidR="00147828" w:rsidRDefault="00147828" w:rsidP="00147828">
      <w:pPr>
        <w:pStyle w:val="ListBullet"/>
      </w:pPr>
      <w:r>
        <w:t>extend</w:t>
      </w:r>
      <w:r w:rsidR="00AB048F">
        <w:t>ing</w:t>
      </w:r>
      <w:r>
        <w:t xml:space="preserve"> the subject matter of the NGR </w:t>
      </w:r>
      <w:r w:rsidR="00AB048F">
        <w:t xml:space="preserve">and the scope of the AEMC’s rule making functions </w:t>
      </w:r>
      <w:r>
        <w:t xml:space="preserve">to include </w:t>
      </w:r>
      <w:r w:rsidR="00AB048F">
        <w:t xml:space="preserve">the reporting of </w:t>
      </w:r>
      <w:r>
        <w:t xml:space="preserve">secondary capacity </w:t>
      </w:r>
      <w:r w:rsidR="00A623CA">
        <w:t>trades</w:t>
      </w:r>
      <w:r>
        <w:t>;</w:t>
      </w:r>
      <w:r>
        <w:rPr>
          <w:rStyle w:val="FootnoteReference"/>
        </w:rPr>
        <w:footnoteReference w:id="106"/>
      </w:r>
      <w:r>
        <w:t xml:space="preserve"> </w:t>
      </w:r>
    </w:p>
    <w:p w14:paraId="120F997C" w14:textId="77777777" w:rsidR="00AB048F" w:rsidRDefault="00AB048F" w:rsidP="00147828">
      <w:pPr>
        <w:pStyle w:val="ListBullet"/>
      </w:pPr>
      <w:r>
        <w:t>expanding the scope of AEMO’s functions and powers as operator of the Bulletin Board to include the collection and collation of information on secondary capacity trades;</w:t>
      </w:r>
      <w:r>
        <w:rPr>
          <w:rStyle w:val="FootnoteReference"/>
        </w:rPr>
        <w:footnoteReference w:id="107"/>
      </w:r>
      <w:r>
        <w:t xml:space="preserve"> and</w:t>
      </w:r>
    </w:p>
    <w:p w14:paraId="7B7FD294" w14:textId="77777777" w:rsidR="00AB048F" w:rsidRDefault="00AB048F" w:rsidP="00AB048F">
      <w:pPr>
        <w:pStyle w:val="ListBullet"/>
      </w:pPr>
      <w:r>
        <w:t>requir</w:t>
      </w:r>
      <w:r w:rsidR="008E3903">
        <w:t>ing</w:t>
      </w:r>
      <w:r>
        <w:t xml:space="preserve"> </w:t>
      </w:r>
      <w:r w:rsidR="00EA5C1E">
        <w:t>shippers</w:t>
      </w:r>
      <w:r>
        <w:t>, service providers and any other person specified in the Regulations to provide AEMO with information about secondary capacity trades.</w:t>
      </w:r>
      <w:r>
        <w:rPr>
          <w:rStyle w:val="FootnoteReference"/>
        </w:rPr>
        <w:footnoteReference w:id="108"/>
      </w:r>
      <w:r>
        <w:t xml:space="preserve"> </w:t>
      </w:r>
    </w:p>
    <w:p w14:paraId="71BE823B" w14:textId="77777777" w:rsidR="00147828" w:rsidRDefault="00AB048F" w:rsidP="008E3903">
      <w:pPr>
        <w:pStyle w:val="BodyText"/>
        <w:spacing w:after="240"/>
      </w:pPr>
      <w:r>
        <w:t xml:space="preserve">Changes to the NGL are also required to impose an obligation on allocation agents to provide information to AEMO for publication on the Bulletin Board. This has been done by expanding the list of persons that are required </w:t>
      </w:r>
      <w:r w:rsidR="00147828">
        <w:t xml:space="preserve">to </w:t>
      </w:r>
      <w:r>
        <w:t xml:space="preserve">provide </w:t>
      </w:r>
      <w:r w:rsidR="00147828">
        <w:t xml:space="preserve">information to AEMO </w:t>
      </w:r>
      <w:r>
        <w:t>for publication on the Bulletin Board to include allocation agents.</w:t>
      </w:r>
      <w:r w:rsidR="00147828">
        <w:rPr>
          <w:rStyle w:val="FootnoteReference"/>
        </w:rPr>
        <w:footnoteReference w:id="109"/>
      </w:r>
      <w:r w:rsidR="00147828">
        <w:t xml:space="preserve"> </w:t>
      </w:r>
    </w:p>
    <w:p w14:paraId="3497050D" w14:textId="77777777" w:rsidR="00147828" w:rsidRDefault="00147828" w:rsidP="00756C62">
      <w:pPr>
        <w:pStyle w:val="Heading3"/>
        <w:numPr>
          <w:ilvl w:val="2"/>
          <w:numId w:val="20"/>
        </w:numPr>
        <w:spacing w:before="120" w:after="120"/>
      </w:pPr>
      <w:r>
        <w:t xml:space="preserve">Proposed changes to the NGR </w:t>
      </w:r>
    </w:p>
    <w:p w14:paraId="20A981B1" w14:textId="19C9FB40" w:rsidR="00147828" w:rsidRDefault="00262FC8" w:rsidP="00147828">
      <w:pPr>
        <w:pStyle w:val="BodyText"/>
      </w:pPr>
      <w:r>
        <w:t>C</w:t>
      </w:r>
      <w:r w:rsidR="00147828">
        <w:t>h</w:t>
      </w:r>
      <w:r w:rsidR="00147828" w:rsidRPr="00067F90">
        <w:t xml:space="preserve">anges to </w:t>
      </w:r>
      <w:r w:rsidR="00067F90">
        <w:rPr>
          <w:b/>
        </w:rPr>
        <w:t>Part 18 (Natural Gas Services Bulletin Board)</w:t>
      </w:r>
      <w:r w:rsidR="00067F90">
        <w:t xml:space="preserve"> and </w:t>
      </w:r>
      <w:r w:rsidR="00067F90">
        <w:rPr>
          <w:b/>
        </w:rPr>
        <w:t xml:space="preserve">Schedule 5 (transitional rules) </w:t>
      </w:r>
      <w:r w:rsidR="00067F90" w:rsidRPr="008E3903">
        <w:t>of the NGR</w:t>
      </w:r>
      <w:r w:rsidR="00067F90" w:rsidRPr="00067F90">
        <w:rPr>
          <w:b/>
        </w:rPr>
        <w:t xml:space="preserve"> </w:t>
      </w:r>
      <w:r w:rsidR="00147828">
        <w:t>are required to</w:t>
      </w:r>
      <w:r w:rsidR="00AB048F">
        <w:t xml:space="preserve"> implement the secondary capacity reporting framework. These changes include</w:t>
      </w:r>
      <w:r w:rsidR="0094106E">
        <w:t xml:space="preserve"> provisions that</w:t>
      </w:r>
      <w:r w:rsidR="00147828">
        <w:t xml:space="preserve">: </w:t>
      </w:r>
    </w:p>
    <w:p w14:paraId="21E11F19" w14:textId="77777777" w:rsidR="00147828" w:rsidRDefault="0094106E" w:rsidP="00147828">
      <w:pPr>
        <w:pStyle w:val="ListBullet"/>
      </w:pPr>
      <w:r>
        <w:lastRenderedPageBreak/>
        <w:t xml:space="preserve">require </w:t>
      </w:r>
      <w:r w:rsidR="00147828">
        <w:t xml:space="preserve">AEMO to report information provided to it by shippers (and as applicable their </w:t>
      </w:r>
      <w:r w:rsidR="00AB048F">
        <w:t xml:space="preserve">capacity transaction </w:t>
      </w:r>
      <w:r w:rsidR="00147828">
        <w:t>reporting agent);</w:t>
      </w:r>
      <w:r w:rsidR="00147828">
        <w:rPr>
          <w:rStyle w:val="FootnoteReference"/>
        </w:rPr>
        <w:footnoteReference w:id="110"/>
      </w:r>
    </w:p>
    <w:p w14:paraId="5472B39C" w14:textId="77777777" w:rsidR="00147828" w:rsidRDefault="00147828" w:rsidP="00147828">
      <w:pPr>
        <w:pStyle w:val="ListBullet"/>
      </w:pPr>
      <w:r>
        <w:t xml:space="preserve">create a registration framework for shippers to gain access to the reporting system and allow </w:t>
      </w:r>
      <w:r w:rsidR="00AB048F">
        <w:t xml:space="preserve">capacity transaction reporting </w:t>
      </w:r>
      <w:r>
        <w:t>agents to be used;</w:t>
      </w:r>
      <w:r>
        <w:rPr>
          <w:rStyle w:val="FootnoteReference"/>
        </w:rPr>
        <w:t xml:space="preserve"> </w:t>
      </w:r>
      <w:r>
        <w:rPr>
          <w:rStyle w:val="FootnoteReference"/>
        </w:rPr>
        <w:footnoteReference w:id="111"/>
      </w:r>
    </w:p>
    <w:p w14:paraId="4F6143FC" w14:textId="77777777" w:rsidR="00147828" w:rsidRDefault="00AB048F" w:rsidP="00147828">
      <w:pPr>
        <w:pStyle w:val="ListBullet"/>
      </w:pPr>
      <w:r>
        <w:t xml:space="preserve">set out the </w:t>
      </w:r>
      <w:r w:rsidR="00147828">
        <w:t xml:space="preserve">obligations </w:t>
      </w:r>
      <w:r>
        <w:t xml:space="preserve">that sellers in bilateral trades have to </w:t>
      </w:r>
      <w:r w:rsidR="00147828">
        <w:t xml:space="preserve">report trades </w:t>
      </w:r>
      <w:r>
        <w:t xml:space="preserve">to AEMO, the information to be reported and the </w:t>
      </w:r>
      <w:r w:rsidR="00147828">
        <w:t>timing</w:t>
      </w:r>
      <w:r>
        <w:t xml:space="preserve"> of the reporting</w:t>
      </w:r>
      <w:r w:rsidR="00147828">
        <w:rPr>
          <w:sz w:val="20"/>
          <w:szCs w:val="20"/>
        </w:rPr>
        <w:t>;</w:t>
      </w:r>
      <w:r w:rsidR="00147828">
        <w:rPr>
          <w:rStyle w:val="FootnoteReference"/>
        </w:rPr>
        <w:footnoteReference w:id="112"/>
      </w:r>
    </w:p>
    <w:p w14:paraId="6179EBFE" w14:textId="77777777" w:rsidR="00147828" w:rsidRDefault="00AB048F" w:rsidP="00147828">
      <w:pPr>
        <w:pStyle w:val="ListBullet"/>
      </w:pPr>
      <w:r>
        <w:t xml:space="preserve">set out the </w:t>
      </w:r>
      <w:r w:rsidR="00147828">
        <w:t xml:space="preserve">obligation AEMO </w:t>
      </w:r>
      <w:r>
        <w:t xml:space="preserve">has </w:t>
      </w:r>
      <w:r w:rsidR="00147828">
        <w:t xml:space="preserve">to </w:t>
      </w:r>
      <w:r>
        <w:t xml:space="preserve">publish </w:t>
      </w:r>
      <w:r w:rsidR="00147828">
        <w:t xml:space="preserve">information about trades </w:t>
      </w:r>
      <w:r>
        <w:t xml:space="preserve">carried out through </w:t>
      </w:r>
      <w:r w:rsidR="00147828">
        <w:t>the GSH</w:t>
      </w:r>
      <w:r>
        <w:t xml:space="preserve"> on the Bulletin Board</w:t>
      </w:r>
      <w:r w:rsidR="00147828">
        <w:rPr>
          <w:sz w:val="20"/>
          <w:szCs w:val="20"/>
        </w:rPr>
        <w:t>;</w:t>
      </w:r>
      <w:r w:rsidR="00147828">
        <w:rPr>
          <w:rStyle w:val="FootnoteReference"/>
          <w:sz w:val="20"/>
          <w:szCs w:val="20"/>
        </w:rPr>
        <w:footnoteReference w:id="113"/>
      </w:r>
      <w:r w:rsidR="00147828">
        <w:rPr>
          <w:sz w:val="20"/>
          <w:szCs w:val="20"/>
        </w:rPr>
        <w:t xml:space="preserve"> </w:t>
      </w:r>
      <w:r w:rsidR="00147828">
        <w:t xml:space="preserve">and </w:t>
      </w:r>
    </w:p>
    <w:p w14:paraId="1D5F5A20" w14:textId="77777777" w:rsidR="00147828" w:rsidRDefault="00AB048F" w:rsidP="00937926">
      <w:pPr>
        <w:pStyle w:val="ListBullet"/>
      </w:pPr>
      <w:r>
        <w:t xml:space="preserve">require the reporting of secondary </w:t>
      </w:r>
      <w:r w:rsidR="00147828">
        <w:t xml:space="preserve">capacity </w:t>
      </w:r>
      <w:r>
        <w:t xml:space="preserve">trades </w:t>
      </w:r>
      <w:r w:rsidR="00147828">
        <w:t>to commence on 1 March 2019</w:t>
      </w:r>
      <w:r>
        <w:t>.</w:t>
      </w:r>
      <w:r w:rsidR="00502B5C">
        <w:rPr>
          <w:rStyle w:val="FootnoteReference"/>
        </w:rPr>
        <w:footnoteReference w:id="114"/>
      </w:r>
    </w:p>
    <w:p w14:paraId="6E1131D9" w14:textId="77777777" w:rsidR="00AB048F" w:rsidRDefault="00AB048F" w:rsidP="00AB048F">
      <w:pPr>
        <w:pStyle w:val="BodyText"/>
      </w:pPr>
      <w:r>
        <w:t>Changes to Part 18 of the NGR</w:t>
      </w:r>
      <w:r>
        <w:rPr>
          <w:b/>
        </w:rPr>
        <w:t xml:space="preserve"> </w:t>
      </w:r>
      <w:r>
        <w:t>are also required to set out the obligations that allocation agents will have to report information to AEMO. These changes include</w:t>
      </w:r>
      <w:r w:rsidR="0094106E">
        <w:t xml:space="preserve"> provisions that</w:t>
      </w:r>
      <w:r>
        <w:t xml:space="preserve">: </w:t>
      </w:r>
    </w:p>
    <w:p w14:paraId="24B242D3" w14:textId="77777777" w:rsidR="00130028" w:rsidRDefault="00130028" w:rsidP="00AB048F">
      <w:pPr>
        <w:pStyle w:val="ListBullet"/>
      </w:pPr>
      <w:r>
        <w:t>specify which allocation agents will be subject to the reporting obligations (i.e. allocation agents at each point through which gas is injected into, or withdrawn from</w:t>
      </w:r>
      <w:r w:rsidR="0062242C">
        <w:t>,</w:t>
      </w:r>
      <w:r>
        <w:t xml:space="preserve"> a Part 24 facility);</w:t>
      </w:r>
      <w:r>
        <w:rPr>
          <w:rStyle w:val="FootnoteReference"/>
        </w:rPr>
        <w:footnoteReference w:id="115"/>
      </w:r>
    </w:p>
    <w:p w14:paraId="65BA6F31" w14:textId="344E64EC" w:rsidR="00AB048F" w:rsidRDefault="00AB048F" w:rsidP="00AB048F">
      <w:pPr>
        <w:pStyle w:val="ListBullet"/>
      </w:pPr>
      <w:r>
        <w:t>require allocation agents to register with AEMO</w:t>
      </w:r>
      <w:r w:rsidR="00642C23">
        <w:t xml:space="preserve"> and to register B</w:t>
      </w:r>
      <w:r w:rsidR="0093247D">
        <w:t xml:space="preserve">ulletin </w:t>
      </w:r>
      <w:r w:rsidR="00642C23">
        <w:t>B</w:t>
      </w:r>
      <w:r w:rsidR="0093247D">
        <w:t>oard</w:t>
      </w:r>
      <w:r w:rsidR="00642C23">
        <w:t xml:space="preserve"> allocation points</w:t>
      </w:r>
      <w:r>
        <w:t>;</w:t>
      </w:r>
      <w:r w:rsidR="0094106E">
        <w:rPr>
          <w:rStyle w:val="FootnoteReference"/>
        </w:rPr>
        <w:footnoteReference w:id="116"/>
      </w:r>
      <w:r w:rsidR="0094106E">
        <w:t xml:space="preserve"> </w:t>
      </w:r>
    </w:p>
    <w:p w14:paraId="3C48A323" w14:textId="77777777" w:rsidR="00AB048F" w:rsidRDefault="0094106E" w:rsidP="00AB048F">
      <w:pPr>
        <w:pStyle w:val="ListBullet"/>
      </w:pPr>
      <w:r>
        <w:t>set out the information that allocation agents are required to report to AEMO for publication on the Bulletin Board</w:t>
      </w:r>
      <w:r w:rsidR="008E3903">
        <w:t>;</w:t>
      </w:r>
      <w:r w:rsidR="00AB048F">
        <w:rPr>
          <w:rStyle w:val="FootnoteReference"/>
        </w:rPr>
        <w:footnoteReference w:id="117"/>
      </w:r>
      <w:r w:rsidR="008E3903">
        <w:t xml:space="preserve"> and</w:t>
      </w:r>
    </w:p>
    <w:p w14:paraId="49A7449D" w14:textId="77777777" w:rsidR="0094106E" w:rsidRDefault="0094106E" w:rsidP="0094106E">
      <w:pPr>
        <w:pStyle w:val="ListBullet"/>
      </w:pPr>
      <w:r>
        <w:t>require allocation agents and allocation points to be an existing allocation agent or an existing allocation point</w:t>
      </w:r>
      <w:r w:rsidR="0062242C">
        <w:t xml:space="preserve"> (as applicable)</w:t>
      </w:r>
      <w:r>
        <w:t xml:space="preserve"> for the purposes of the Bulletin Board on the commencement of the rules modifying Part 18.</w:t>
      </w:r>
      <w:r>
        <w:rPr>
          <w:rStyle w:val="FootnoteReference"/>
        </w:rPr>
        <w:footnoteReference w:id="118"/>
      </w:r>
    </w:p>
    <w:p w14:paraId="31001F24" w14:textId="77777777" w:rsidR="00AB048F" w:rsidRDefault="0094106E" w:rsidP="00D62F6C">
      <w:pPr>
        <w:pStyle w:val="BodyText"/>
      </w:pPr>
      <w:r>
        <w:t>Further changes are also required to Part 18 of the NGR to:</w:t>
      </w:r>
    </w:p>
    <w:p w14:paraId="6CB77554" w14:textId="77777777" w:rsidR="0094106E" w:rsidRDefault="0062242C" w:rsidP="0094106E">
      <w:pPr>
        <w:pStyle w:val="ListBullet"/>
      </w:pPr>
      <w:r>
        <w:t xml:space="preserve">require </w:t>
      </w:r>
      <w:r w:rsidR="0094106E">
        <w:t>AEMO to publish the auction information specified in the Auction Procedures (e.g. auction results and auction quantity limits) on the Bulletin Board;</w:t>
      </w:r>
      <w:r w:rsidR="0094106E">
        <w:rPr>
          <w:rStyle w:val="FootnoteReference"/>
        </w:rPr>
        <w:footnoteReference w:id="119"/>
      </w:r>
    </w:p>
    <w:p w14:paraId="551CFBC5" w14:textId="77777777" w:rsidR="0094106E" w:rsidRDefault="0094106E" w:rsidP="0094106E">
      <w:pPr>
        <w:pStyle w:val="ListBullet"/>
      </w:pPr>
      <w:r>
        <w:t>impose an obligation on service providers to provide AEMO with information on the nameplate rating, short-term and medium-term capacity outlook for each receipt and delivery point;</w:t>
      </w:r>
      <w:r>
        <w:rPr>
          <w:rStyle w:val="FootnoteReference"/>
        </w:rPr>
        <w:footnoteReference w:id="120"/>
      </w:r>
      <w:r>
        <w:t xml:space="preserve"> and</w:t>
      </w:r>
    </w:p>
    <w:p w14:paraId="53F38FE7" w14:textId="77777777" w:rsidR="0094106E" w:rsidRDefault="0094106E" w:rsidP="0094106E">
      <w:pPr>
        <w:pStyle w:val="ListBullet"/>
      </w:pPr>
      <w:r>
        <w:lastRenderedPageBreak/>
        <w:t xml:space="preserve">require </w:t>
      </w:r>
      <w:r w:rsidR="0062242C">
        <w:t xml:space="preserve">service providers of </w:t>
      </w:r>
      <w:r>
        <w:t xml:space="preserve">remote transportation facilities that would otherwise be </w:t>
      </w:r>
      <w:r w:rsidR="0062242C">
        <w:t>exempt</w:t>
      </w:r>
      <w:r>
        <w:t xml:space="preserve"> from the Bulletin Board reporting obligations but are </w:t>
      </w:r>
      <w:r w:rsidR="0062242C">
        <w:t xml:space="preserve">ineligible for, or </w:t>
      </w:r>
      <w:r>
        <w:t>unable to obtain</w:t>
      </w:r>
      <w:r w:rsidR="0062242C">
        <w:t>,</w:t>
      </w:r>
      <w:r>
        <w:t xml:space="preserve"> an exemption under Part 24 of the NGR, to be subject to </w:t>
      </w:r>
      <w:r w:rsidR="0062242C">
        <w:t>these</w:t>
      </w:r>
      <w:r>
        <w:t xml:space="preserve"> obligations.</w:t>
      </w:r>
      <w:r>
        <w:rPr>
          <w:rStyle w:val="FootnoteReference"/>
        </w:rPr>
        <w:footnoteReference w:id="121"/>
      </w:r>
      <w:r>
        <w:t xml:space="preserve">  </w:t>
      </w:r>
    </w:p>
    <w:p w14:paraId="41E47ADE" w14:textId="77777777" w:rsidR="00147828" w:rsidRDefault="0094106E" w:rsidP="00B15604">
      <w:pPr>
        <w:pStyle w:val="BodyText"/>
      </w:pPr>
      <w:r>
        <w:t xml:space="preserve">It is worth noting that the AEMC has recently amended Part 18 of the NGR </w:t>
      </w:r>
      <w:r w:rsidR="008C1C9B">
        <w:t>(National Gas Amendment (Improvement to Natural Gas Bulletin Board) Rule 2017 No. 3))</w:t>
      </w:r>
      <w:r w:rsidR="008C1C9B">
        <w:rPr>
          <w:rStyle w:val="FootnoteReference"/>
        </w:rPr>
        <w:footnoteReference w:id="122"/>
      </w:r>
      <w:r w:rsidR="008C1C9B">
        <w:t xml:space="preserve"> </w:t>
      </w:r>
      <w:r>
        <w:t xml:space="preserve">and these changes are due to come into effect on 30 September 2018. The </w:t>
      </w:r>
      <w:r w:rsidR="00067F90">
        <w:t>draft</w:t>
      </w:r>
      <w:r>
        <w:t xml:space="preserve"> amendments to Part 18 </w:t>
      </w:r>
      <w:r w:rsidR="00067F90">
        <w:t xml:space="preserve">are based on that Part as amended by those changes. </w:t>
      </w:r>
    </w:p>
    <w:p w14:paraId="754A6A57" w14:textId="77777777" w:rsidR="00147828" w:rsidRDefault="00147828" w:rsidP="00756C62">
      <w:pPr>
        <w:pStyle w:val="Heading3"/>
        <w:numPr>
          <w:ilvl w:val="2"/>
          <w:numId w:val="20"/>
        </w:numPr>
        <w:spacing w:before="240" w:after="120"/>
      </w:pPr>
      <w:r>
        <w:t xml:space="preserve">Proposed changes to the Regulations </w:t>
      </w:r>
    </w:p>
    <w:p w14:paraId="42DE87B0" w14:textId="77777777" w:rsidR="00CF3C76" w:rsidRDefault="00147828" w:rsidP="008E3903">
      <w:pPr>
        <w:pStyle w:val="BodyText"/>
        <w:spacing w:before="0"/>
      </w:pPr>
      <w:r>
        <w:t xml:space="preserve">Changes to </w:t>
      </w:r>
      <w:r w:rsidR="008E3903">
        <w:t xml:space="preserve">schedules 3 and 4 of the </w:t>
      </w:r>
      <w:r>
        <w:t>Regulations will be required to specify provisions in the NGL and NGR that will be classified as civil penalty or conduct provisions.</w:t>
      </w:r>
      <w:r w:rsidR="004736C6">
        <w:t xml:space="preserve"> A list of the </w:t>
      </w:r>
      <w:r>
        <w:t xml:space="preserve">provisions in the NGL and NGR that are expected to be classified as civil penalty </w:t>
      </w:r>
      <w:r w:rsidR="00130028">
        <w:t xml:space="preserve">and/or conduct </w:t>
      </w:r>
      <w:r>
        <w:t>provisions</w:t>
      </w:r>
      <w:r w:rsidR="004736C6">
        <w:t xml:space="preserve"> is provided in </w:t>
      </w:r>
      <w:r w:rsidR="00F02668">
        <w:t>Appendix A</w:t>
      </w:r>
      <w:r>
        <w:t>.</w:t>
      </w:r>
      <w:r w:rsidR="008E3903">
        <w:t xml:space="preserve"> </w:t>
      </w:r>
      <w:bookmarkStart w:id="126" w:name="_Toc508551405"/>
    </w:p>
    <w:p w14:paraId="6E083CFB" w14:textId="2A52758C" w:rsidR="00CF3C76" w:rsidRDefault="00E2635D" w:rsidP="00CF3C76">
      <w:pPr>
        <w:pStyle w:val="BodyText"/>
        <w:spacing w:before="0"/>
      </w:pPr>
      <w:r>
        <w:t>Further, t</w:t>
      </w:r>
      <w:r w:rsidR="00CF3C76">
        <w:t>he GMRG</w:t>
      </w:r>
      <w:r>
        <w:t xml:space="preserve"> understands that rule</w:t>
      </w:r>
      <w:r w:rsidR="00CF3C76">
        <w:t xml:space="preserve"> 165 (</w:t>
      </w:r>
      <w:r>
        <w:t>standard for information or data given under Part 18 o</w:t>
      </w:r>
      <w:r w:rsidR="005427DF">
        <w:t>r</w:t>
      </w:r>
      <w:r>
        <w:t xml:space="preserve"> the BB Procedures) </w:t>
      </w:r>
      <w:r w:rsidR="00CF3C76">
        <w:t xml:space="preserve">and </w:t>
      </w:r>
      <w:r>
        <w:t xml:space="preserve">rule </w:t>
      </w:r>
      <w:r w:rsidR="00CF3C76">
        <w:t>166 (information to be provided in accordance with the BB Procedures), which apply to all BB reporting entities</w:t>
      </w:r>
      <w:r>
        <w:t>,</w:t>
      </w:r>
      <w:r w:rsidR="00CF3C76">
        <w:t xml:space="preserve"> are to be classified as civil penalty provisions.</w:t>
      </w:r>
      <w:r>
        <w:t xml:space="preserve"> The classification of these rules as civil penalty provisions will apply to BB allocation agents and persons required to report capacity transaction information. </w:t>
      </w:r>
    </w:p>
    <w:p w14:paraId="4D18656A" w14:textId="77777777" w:rsidR="00CF3C76" w:rsidRDefault="00CF3C76" w:rsidP="008E3903">
      <w:pPr>
        <w:pStyle w:val="BodyText"/>
        <w:spacing w:before="0"/>
      </w:pPr>
    </w:p>
    <w:p w14:paraId="3BF773A4" w14:textId="77777777" w:rsidR="007260A1" w:rsidRDefault="007260A1" w:rsidP="008E3903">
      <w:pPr>
        <w:pStyle w:val="BodyText"/>
        <w:spacing w:before="0"/>
      </w:pPr>
      <w:r>
        <w:br w:type="page"/>
      </w:r>
    </w:p>
    <w:p w14:paraId="1F1C3625" w14:textId="77777777" w:rsidR="00147828" w:rsidRDefault="00147828" w:rsidP="00756C62">
      <w:pPr>
        <w:pStyle w:val="Heading1"/>
        <w:numPr>
          <w:ilvl w:val="0"/>
          <w:numId w:val="20"/>
        </w:numPr>
        <w:spacing w:before="240" w:after="120"/>
        <w:ind w:left="624"/>
      </w:pPr>
      <w:bookmarkStart w:id="127" w:name="_Toc509239443"/>
      <w:r>
        <w:lastRenderedPageBreak/>
        <w:t>Harmonisation of Gas Day Start Times and Nomination Cut-Off Times</w:t>
      </w:r>
      <w:bookmarkEnd w:id="126"/>
      <w:bookmarkEnd w:id="127"/>
    </w:p>
    <w:p w14:paraId="1855DB92" w14:textId="77777777" w:rsidR="00FA4A62" w:rsidRDefault="00FA4A62" w:rsidP="00147828">
      <w:pPr>
        <w:pStyle w:val="BodyText"/>
      </w:pPr>
      <w:r>
        <w:t>The final element of the capacity trading reform package involves the implementation of</w:t>
      </w:r>
      <w:r w:rsidR="00607EBF">
        <w:t xml:space="preserve"> a standard market timetable that will provide for</w:t>
      </w:r>
      <w:r>
        <w:t>:</w:t>
      </w:r>
    </w:p>
    <w:p w14:paraId="30D5375F" w14:textId="77777777" w:rsidR="00FA4A62" w:rsidRPr="00FA400C" w:rsidRDefault="00FA4A62" w:rsidP="00FA4A62">
      <w:pPr>
        <w:pStyle w:val="ListBullet"/>
      </w:pPr>
      <w:r w:rsidRPr="00FA400C">
        <w:t xml:space="preserve">a common gas day start time of 6 am (AEST) across the east coast (and the </w:t>
      </w:r>
      <w:r>
        <w:t>Northern Territory</w:t>
      </w:r>
      <w:r w:rsidRPr="00FA400C">
        <w:t xml:space="preserve"> once it becomes connected</w:t>
      </w:r>
      <w:r w:rsidR="0062242C">
        <w:t xml:space="preserve"> to the east coast</w:t>
      </w:r>
      <w:r w:rsidRPr="00FA400C">
        <w:t xml:space="preserve">) </w:t>
      </w:r>
      <w:r>
        <w:t xml:space="preserve">that will </w:t>
      </w:r>
      <w:r w:rsidRPr="00FA400C">
        <w:t xml:space="preserve">apply to the operators of all production, pipeline, compressor and storage </w:t>
      </w:r>
      <w:r w:rsidR="0062242C">
        <w:t xml:space="preserve">facilities </w:t>
      </w:r>
      <w:r>
        <w:t>and in the facilitated markets (e.g. the GSH, STTM and retail markets)</w:t>
      </w:r>
      <w:r w:rsidRPr="00FA400C">
        <w:t>; and</w:t>
      </w:r>
    </w:p>
    <w:p w14:paraId="7EBA0E5A" w14:textId="77777777" w:rsidR="00FA4A62" w:rsidRPr="00FA400C" w:rsidRDefault="00FA4A62" w:rsidP="00FA4A62">
      <w:pPr>
        <w:pStyle w:val="ListBullet"/>
      </w:pPr>
      <w:r w:rsidRPr="00FA400C">
        <w:t>a common nomination cut-off time of 3 pm (AEST) for pipelines and other facilities that will be subject to the capacity trading reforms.</w:t>
      </w:r>
    </w:p>
    <w:p w14:paraId="42C5808A" w14:textId="77777777" w:rsidR="00FA4A62" w:rsidRDefault="00FA4A62" w:rsidP="00FA4A62">
      <w:pPr>
        <w:pStyle w:val="BodyText"/>
      </w:pPr>
      <w:r>
        <w:t>This reform</w:t>
      </w:r>
      <w:r w:rsidR="00EE580F">
        <w:t>, which is to be implemented by 1 October 2019,</w:t>
      </w:r>
      <w:r>
        <w:t xml:space="preserve"> is intended to:</w:t>
      </w:r>
      <w:r>
        <w:rPr>
          <w:rStyle w:val="FootnoteReference"/>
        </w:rPr>
        <w:footnoteReference w:id="123"/>
      </w:r>
    </w:p>
    <w:p w14:paraId="2DE11310" w14:textId="77777777" w:rsidR="00FA4A62" w:rsidRDefault="00FA4A62" w:rsidP="00FA4A62">
      <w:pPr>
        <w:pStyle w:val="ListBullet"/>
      </w:pPr>
      <w:r>
        <w:t>reduce the costs and complexities that market participants operating (or wishing to operate) across multiple facilitated markets currently face, including pipeline operators located at the interface of markets with different gas day start times; and</w:t>
      </w:r>
    </w:p>
    <w:p w14:paraId="2EA519FD" w14:textId="77777777" w:rsidR="00FA4A62" w:rsidRDefault="00FA4A62" w:rsidP="00FA4A62">
      <w:pPr>
        <w:pStyle w:val="ListBullet"/>
      </w:pPr>
      <w:r>
        <w:t>increase the interoperability and interconnection between markets and, in so doing, promote participation and liquidity in these markets and trade between locations.</w:t>
      </w:r>
    </w:p>
    <w:p w14:paraId="0EE2DC33" w14:textId="77777777" w:rsidR="00FA4A62" w:rsidRDefault="00FA4A62" w:rsidP="00147828">
      <w:pPr>
        <w:pStyle w:val="BodyText"/>
      </w:pPr>
      <w:r>
        <w:t xml:space="preserve">To implement the harmonised times, a number of amendments will need to be made to the NGL, the NGR, the Regulations and a range of AEMO-made procedures.  </w:t>
      </w:r>
      <w:r w:rsidR="000E5010">
        <w:t xml:space="preserve">The rule change that the AEMC made in 2017 that provided for the </w:t>
      </w:r>
      <w:r w:rsidR="008C1C9B">
        <w:t>harmonisation of gas day start times in the facilitated markets to occur on 1 April 2021 (National Gas Amendment (Gas day harmonisation) Rule 2017 No. 2)</w:t>
      </w:r>
      <w:r w:rsidR="008C1C9B">
        <w:rPr>
          <w:rStyle w:val="FootnoteReference"/>
        </w:rPr>
        <w:footnoteReference w:id="124"/>
      </w:r>
      <w:r w:rsidR="008C1C9B">
        <w:t xml:space="preserve"> will also need to be revoked and remade with the revised commencement date of 1 October 2019. </w:t>
      </w:r>
      <w:r>
        <w:t>Further detail on the</w:t>
      </w:r>
      <w:r w:rsidR="008E3903">
        <w:t>se</w:t>
      </w:r>
      <w:r>
        <w:t xml:space="preserve"> amendments is provided in the remainder of this chapter, which commences with an overview of the </w:t>
      </w:r>
      <w:r w:rsidR="008E3903">
        <w:t xml:space="preserve">harmonisation </w:t>
      </w:r>
      <w:r w:rsidR="0062242C">
        <w:t xml:space="preserve">related </w:t>
      </w:r>
      <w:r w:rsidR="008E3903">
        <w:t>reforms</w:t>
      </w:r>
      <w:r>
        <w:t>.</w:t>
      </w:r>
    </w:p>
    <w:p w14:paraId="30264979" w14:textId="77777777" w:rsidR="00147828" w:rsidRDefault="00333568" w:rsidP="00756C62">
      <w:pPr>
        <w:pStyle w:val="Heading2"/>
        <w:numPr>
          <w:ilvl w:val="1"/>
          <w:numId w:val="20"/>
        </w:numPr>
        <w:ind w:left="624"/>
      </w:pPr>
      <w:bookmarkStart w:id="128" w:name="_Toc509239444"/>
      <w:r>
        <w:t>Overview of the h</w:t>
      </w:r>
      <w:r w:rsidR="00EE580F">
        <w:t>armonisation reforms</w:t>
      </w:r>
      <w:bookmarkEnd w:id="128"/>
    </w:p>
    <w:p w14:paraId="47DD8298" w14:textId="3874571F" w:rsidR="00147828" w:rsidRDefault="00147828" w:rsidP="00147828">
      <w:pPr>
        <w:pStyle w:val="BodyText"/>
      </w:pPr>
      <w:r>
        <w:t>The table below outlines the current gas day start times and nomination cut-off times in each applicable jurisdiction as well as the harmonised gas day and common nomination cut</w:t>
      </w:r>
      <w:r w:rsidR="008230EE">
        <w:t>-</w:t>
      </w:r>
      <w:r>
        <w:t>off time that will apply from 1 October 2019</w:t>
      </w:r>
      <w:r w:rsidR="00B15604">
        <w:t>, as approved by the Energy Council at its 24 November 2017 meeting</w:t>
      </w:r>
      <w:r>
        <w:t>.</w:t>
      </w:r>
    </w:p>
    <w:p w14:paraId="17E7E0AE" w14:textId="77777777" w:rsidR="00B0004D" w:rsidRPr="00B0004D" w:rsidRDefault="00B0004D" w:rsidP="00EE580F">
      <w:pPr>
        <w:pStyle w:val="Caption"/>
        <w:spacing w:after="0"/>
        <w:rPr>
          <w:rFonts w:cs="Arial"/>
        </w:rPr>
      </w:pPr>
      <w:r w:rsidRPr="00B0004D">
        <w:lastRenderedPageBreak/>
        <w:t xml:space="preserve">Table </w:t>
      </w:r>
      <w:fldSimple w:instr=" STYLEREF 1 \s ">
        <w:r w:rsidR="00830BE4">
          <w:rPr>
            <w:noProof/>
          </w:rPr>
          <w:t>8</w:t>
        </w:r>
      </w:fldSimple>
      <w:r w:rsidR="00676D5D">
        <w:t>.</w:t>
      </w:r>
      <w:fldSimple w:instr=" SEQ Table \* ARABIC \s 1 ">
        <w:r w:rsidR="00830BE4">
          <w:rPr>
            <w:noProof/>
          </w:rPr>
          <w:t>1</w:t>
        </w:r>
      </w:fldSimple>
      <w:r w:rsidRPr="00B0004D">
        <w:t xml:space="preserve">: </w:t>
      </w:r>
      <w:r w:rsidRPr="00B0004D">
        <w:rPr>
          <w:rFonts w:cs="Arial"/>
        </w:rPr>
        <w:t>Gas day start times and nomination cut-off times (all times AEST)</w:t>
      </w:r>
    </w:p>
    <w:tbl>
      <w:tblPr>
        <w:tblStyle w:val="TableGrid"/>
        <w:tblW w:w="5000" w:type="pct"/>
        <w:tblLook w:val="04A0" w:firstRow="1" w:lastRow="0" w:firstColumn="1" w:lastColumn="0" w:noHBand="0" w:noVBand="1"/>
        <w:tblCaption w:val="Table 8.1: Gas day start times and nomination cut-off times (all times AEST)"/>
        <w:tblDescription w:val="Table outling Gas day start times and nomination cut-off times (all times AEST)"/>
      </w:tblPr>
      <w:tblGrid>
        <w:gridCol w:w="1771"/>
        <w:gridCol w:w="2820"/>
        <w:gridCol w:w="4198"/>
      </w:tblGrid>
      <w:tr w:rsidR="00147828" w14:paraId="3040479F" w14:textId="77777777" w:rsidTr="00674572">
        <w:trPr>
          <w:cnfStyle w:val="100000000000" w:firstRow="1" w:lastRow="0" w:firstColumn="0" w:lastColumn="0" w:oddVBand="0" w:evenVBand="0" w:oddHBand="0" w:evenHBand="0" w:firstRowFirstColumn="0" w:firstRowLastColumn="0" w:lastRowFirstColumn="0" w:lastRowLastColumn="0"/>
          <w:trHeight w:val="510"/>
          <w:tblHeader/>
        </w:trPr>
        <w:tc>
          <w:tcPr>
            <w:tcW w:w="1771" w:type="dxa"/>
            <w:tcBorders>
              <w:top w:val="single" w:sz="4" w:space="0" w:color="auto"/>
              <w:left w:val="nil"/>
              <w:bottom w:val="single" w:sz="4" w:space="0" w:color="auto"/>
              <w:right w:val="single" w:sz="4" w:space="0" w:color="auto"/>
            </w:tcBorders>
            <w:shd w:val="clear" w:color="auto" w:fill="0099CC"/>
            <w:hideMark/>
          </w:tcPr>
          <w:p w14:paraId="35A3366C" w14:textId="77777777" w:rsidR="00147828" w:rsidRDefault="00147828" w:rsidP="00EE580F">
            <w:pPr>
              <w:pStyle w:val="BodyText"/>
              <w:keepNext/>
              <w:spacing w:before="20" w:after="20" w:line="240" w:lineRule="auto"/>
              <w:rPr>
                <w:rFonts w:cs="Arial"/>
                <w:color w:val="FFFFFF" w:themeColor="background1"/>
                <w:szCs w:val="18"/>
              </w:rPr>
            </w:pPr>
            <w:r>
              <w:rPr>
                <w:rFonts w:cs="Arial"/>
                <w:bCs/>
                <w:color w:val="FFFFFF" w:themeColor="background1"/>
                <w:szCs w:val="18"/>
              </w:rPr>
              <w:t>State/</w:t>
            </w:r>
            <w:r>
              <w:rPr>
                <w:rFonts w:cs="Arial"/>
                <w:bCs/>
                <w:color w:val="FFFFFF" w:themeColor="background1"/>
                <w:szCs w:val="18"/>
              </w:rPr>
              <w:br/>
              <w:t>Territory</w:t>
            </w:r>
          </w:p>
        </w:tc>
        <w:tc>
          <w:tcPr>
            <w:tcW w:w="2820" w:type="dxa"/>
            <w:tcBorders>
              <w:top w:val="single" w:sz="4" w:space="0" w:color="auto"/>
              <w:left w:val="single" w:sz="4" w:space="0" w:color="auto"/>
              <w:bottom w:val="single" w:sz="4" w:space="0" w:color="auto"/>
              <w:right w:val="single" w:sz="4" w:space="0" w:color="auto"/>
            </w:tcBorders>
            <w:shd w:val="clear" w:color="auto" w:fill="0099CC"/>
            <w:hideMark/>
          </w:tcPr>
          <w:p w14:paraId="516BA473" w14:textId="77777777" w:rsidR="00147828" w:rsidRDefault="00147828" w:rsidP="00EE580F">
            <w:pPr>
              <w:pStyle w:val="BodyText"/>
              <w:keepNext/>
              <w:spacing w:before="20" w:after="20" w:line="240" w:lineRule="auto"/>
              <w:jc w:val="center"/>
              <w:rPr>
                <w:rFonts w:cs="Arial"/>
                <w:color w:val="FFFFFF" w:themeColor="background1"/>
                <w:szCs w:val="18"/>
              </w:rPr>
            </w:pPr>
            <w:r>
              <w:rPr>
                <w:rFonts w:cs="Arial"/>
                <w:bCs/>
                <w:color w:val="FFFFFF" w:themeColor="background1"/>
                <w:szCs w:val="18"/>
              </w:rPr>
              <w:t>Gas Day Start Time for All Facilities</w:t>
            </w:r>
          </w:p>
        </w:tc>
        <w:tc>
          <w:tcPr>
            <w:tcW w:w="4198" w:type="dxa"/>
            <w:tcBorders>
              <w:top w:val="single" w:sz="4" w:space="0" w:color="auto"/>
              <w:left w:val="single" w:sz="4" w:space="0" w:color="auto"/>
              <w:bottom w:val="single" w:sz="4" w:space="0" w:color="auto"/>
              <w:right w:val="nil"/>
            </w:tcBorders>
            <w:shd w:val="clear" w:color="auto" w:fill="0099CC"/>
            <w:hideMark/>
          </w:tcPr>
          <w:p w14:paraId="2990BA1A" w14:textId="623F233D" w:rsidR="00147828" w:rsidRDefault="00147828" w:rsidP="008230EE">
            <w:pPr>
              <w:pStyle w:val="BodyText"/>
              <w:keepNext/>
              <w:spacing w:before="20" w:after="20" w:line="240" w:lineRule="auto"/>
              <w:jc w:val="center"/>
              <w:rPr>
                <w:rFonts w:cs="Arial"/>
                <w:color w:val="FFFFFF" w:themeColor="background1"/>
                <w:szCs w:val="18"/>
              </w:rPr>
            </w:pPr>
            <w:r>
              <w:rPr>
                <w:rFonts w:cs="Arial"/>
                <w:bCs/>
                <w:color w:val="FFFFFF" w:themeColor="background1"/>
                <w:szCs w:val="18"/>
              </w:rPr>
              <w:t>Nomination Cut</w:t>
            </w:r>
            <w:r w:rsidR="008230EE">
              <w:rPr>
                <w:rFonts w:cs="Arial"/>
                <w:bCs/>
                <w:color w:val="FFFFFF" w:themeColor="background1"/>
                <w:szCs w:val="18"/>
              </w:rPr>
              <w:t>-</w:t>
            </w:r>
            <w:r>
              <w:rPr>
                <w:rFonts w:cs="Arial"/>
                <w:bCs/>
                <w:color w:val="FFFFFF" w:themeColor="background1"/>
                <w:szCs w:val="18"/>
              </w:rPr>
              <w:t xml:space="preserve">Off Time for Gas Day D </w:t>
            </w:r>
            <w:r w:rsidR="00837070">
              <w:rPr>
                <w:rFonts w:cs="Arial"/>
                <w:bCs/>
                <w:color w:val="FFFFFF" w:themeColor="background1"/>
                <w:szCs w:val="18"/>
              </w:rPr>
              <w:t>for</w:t>
            </w:r>
            <w:r>
              <w:rPr>
                <w:rFonts w:cs="Arial"/>
                <w:bCs/>
                <w:color w:val="FFFFFF" w:themeColor="background1"/>
                <w:szCs w:val="18"/>
              </w:rPr>
              <w:t xml:space="preserve"> Facilities Subject to Capacity Trading Reforms</w:t>
            </w:r>
          </w:p>
        </w:tc>
      </w:tr>
      <w:tr w:rsidR="00147828" w14:paraId="3552E84C" w14:textId="77777777" w:rsidTr="00B15604">
        <w:trPr>
          <w:trHeight w:val="46"/>
        </w:trPr>
        <w:tc>
          <w:tcPr>
            <w:tcW w:w="8789" w:type="dxa"/>
            <w:gridSpan w:val="3"/>
            <w:tcBorders>
              <w:top w:val="single" w:sz="4" w:space="0" w:color="auto"/>
              <w:left w:val="nil"/>
              <w:bottom w:val="single" w:sz="4" w:space="0" w:color="auto"/>
              <w:right w:val="nil"/>
            </w:tcBorders>
            <w:shd w:val="clear" w:color="auto" w:fill="65697F" w:themeFill="background2" w:themeFillShade="80"/>
            <w:hideMark/>
          </w:tcPr>
          <w:p w14:paraId="2D085FE0" w14:textId="77777777" w:rsidR="00147828" w:rsidRDefault="00147828" w:rsidP="00EE580F">
            <w:pPr>
              <w:pStyle w:val="BodyText"/>
              <w:keepNext/>
              <w:spacing w:before="20" w:after="20" w:line="240" w:lineRule="auto"/>
              <w:jc w:val="center"/>
              <w:rPr>
                <w:rFonts w:cs="Arial"/>
                <w:szCs w:val="18"/>
              </w:rPr>
            </w:pPr>
            <w:r>
              <w:rPr>
                <w:rFonts w:cs="Arial"/>
                <w:b/>
                <w:bCs/>
                <w:color w:val="FFFFFF" w:themeColor="background1"/>
                <w:szCs w:val="18"/>
              </w:rPr>
              <w:t>Current Gas Day and Nomination Cut-Off Times</w:t>
            </w:r>
          </w:p>
        </w:tc>
      </w:tr>
      <w:tr w:rsidR="00147828" w14:paraId="059E7474"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1771" w:type="dxa"/>
            <w:tcBorders>
              <w:top w:val="single" w:sz="4" w:space="0" w:color="auto"/>
              <w:left w:val="nil"/>
              <w:bottom w:val="single" w:sz="4" w:space="0" w:color="auto"/>
              <w:right w:val="single" w:sz="4" w:space="0" w:color="auto"/>
            </w:tcBorders>
            <w:hideMark/>
          </w:tcPr>
          <w:p w14:paraId="48A66FDE"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NSW/ACT</w:t>
            </w:r>
          </w:p>
        </w:tc>
        <w:tc>
          <w:tcPr>
            <w:tcW w:w="2820" w:type="dxa"/>
            <w:tcBorders>
              <w:top w:val="single" w:sz="4" w:space="0" w:color="auto"/>
              <w:left w:val="single" w:sz="4" w:space="0" w:color="auto"/>
              <w:bottom w:val="single" w:sz="4" w:space="0" w:color="auto"/>
              <w:right w:val="single" w:sz="4" w:space="0" w:color="auto"/>
            </w:tcBorders>
            <w:hideMark/>
          </w:tcPr>
          <w:p w14:paraId="341E83B2" w14:textId="77777777" w:rsidR="00147828" w:rsidRDefault="00147828" w:rsidP="00EE580F">
            <w:pPr>
              <w:pStyle w:val="BodyText"/>
              <w:keepNext/>
              <w:spacing w:before="20" w:after="20" w:line="240" w:lineRule="auto"/>
              <w:jc w:val="center"/>
              <w:rPr>
                <w:rFonts w:cs="Arial"/>
                <w:szCs w:val="18"/>
              </w:rPr>
            </w:pPr>
            <w:r>
              <w:rPr>
                <w:rFonts w:cs="Arial"/>
                <w:szCs w:val="18"/>
              </w:rPr>
              <w:t>6:30 am</w:t>
            </w:r>
          </w:p>
        </w:tc>
        <w:tc>
          <w:tcPr>
            <w:tcW w:w="4198" w:type="dxa"/>
            <w:tcBorders>
              <w:top w:val="single" w:sz="4" w:space="0" w:color="auto"/>
              <w:left w:val="single" w:sz="4" w:space="0" w:color="auto"/>
              <w:bottom w:val="single" w:sz="4" w:space="0" w:color="auto"/>
              <w:right w:val="nil"/>
            </w:tcBorders>
            <w:hideMark/>
          </w:tcPr>
          <w:p w14:paraId="11AF1AA9" w14:textId="77777777" w:rsidR="00147828" w:rsidRDefault="00147828" w:rsidP="00EE580F">
            <w:pPr>
              <w:pStyle w:val="BodyText"/>
              <w:keepNext/>
              <w:spacing w:before="20" w:after="20" w:line="240" w:lineRule="auto"/>
              <w:jc w:val="center"/>
              <w:rPr>
                <w:rFonts w:cs="Arial"/>
                <w:szCs w:val="18"/>
              </w:rPr>
            </w:pPr>
            <w:r>
              <w:rPr>
                <w:rFonts w:cs="Arial"/>
                <w:szCs w:val="18"/>
              </w:rPr>
              <w:t>2-2:30 pm</w:t>
            </w:r>
          </w:p>
        </w:tc>
      </w:tr>
      <w:tr w:rsidR="00147828" w14:paraId="65A512FC" w14:textId="77777777" w:rsidTr="00B15604">
        <w:trPr>
          <w:trHeight w:val="181"/>
        </w:trPr>
        <w:tc>
          <w:tcPr>
            <w:tcW w:w="1771" w:type="dxa"/>
            <w:tcBorders>
              <w:top w:val="single" w:sz="4" w:space="0" w:color="auto"/>
              <w:left w:val="nil"/>
              <w:bottom w:val="single" w:sz="4" w:space="0" w:color="auto"/>
              <w:right w:val="single" w:sz="4" w:space="0" w:color="auto"/>
            </w:tcBorders>
            <w:hideMark/>
          </w:tcPr>
          <w:p w14:paraId="2AE63C51"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SA</w:t>
            </w:r>
          </w:p>
        </w:tc>
        <w:tc>
          <w:tcPr>
            <w:tcW w:w="2820" w:type="dxa"/>
            <w:tcBorders>
              <w:top w:val="single" w:sz="4" w:space="0" w:color="auto"/>
              <w:left w:val="single" w:sz="4" w:space="0" w:color="auto"/>
              <w:bottom w:val="single" w:sz="4" w:space="0" w:color="auto"/>
              <w:right w:val="single" w:sz="4" w:space="0" w:color="auto"/>
            </w:tcBorders>
            <w:hideMark/>
          </w:tcPr>
          <w:p w14:paraId="5DA4AF6A" w14:textId="77777777" w:rsidR="00147828" w:rsidRDefault="00147828" w:rsidP="00EE580F">
            <w:pPr>
              <w:pStyle w:val="BodyText"/>
              <w:keepNext/>
              <w:spacing w:before="20" w:after="20" w:line="240" w:lineRule="auto"/>
              <w:jc w:val="center"/>
              <w:rPr>
                <w:rFonts w:cs="Arial"/>
                <w:szCs w:val="18"/>
              </w:rPr>
            </w:pPr>
            <w:r>
              <w:rPr>
                <w:rFonts w:cs="Arial"/>
                <w:szCs w:val="18"/>
              </w:rPr>
              <w:t>6:30 am</w:t>
            </w:r>
          </w:p>
        </w:tc>
        <w:tc>
          <w:tcPr>
            <w:tcW w:w="4198" w:type="dxa"/>
            <w:tcBorders>
              <w:top w:val="single" w:sz="4" w:space="0" w:color="auto"/>
              <w:left w:val="single" w:sz="4" w:space="0" w:color="auto"/>
              <w:bottom w:val="single" w:sz="4" w:space="0" w:color="auto"/>
              <w:right w:val="nil"/>
            </w:tcBorders>
            <w:hideMark/>
          </w:tcPr>
          <w:p w14:paraId="11EA53FF" w14:textId="77777777" w:rsidR="00147828" w:rsidRDefault="00147828" w:rsidP="00EE580F">
            <w:pPr>
              <w:pStyle w:val="BodyText"/>
              <w:keepNext/>
              <w:spacing w:before="20" w:after="20" w:line="240" w:lineRule="auto"/>
              <w:jc w:val="center"/>
              <w:rPr>
                <w:rFonts w:cs="Arial"/>
                <w:szCs w:val="18"/>
              </w:rPr>
            </w:pPr>
            <w:r>
              <w:rPr>
                <w:rFonts w:cs="Arial"/>
                <w:szCs w:val="18"/>
              </w:rPr>
              <w:t>3:30 pm</w:t>
            </w:r>
          </w:p>
        </w:tc>
      </w:tr>
      <w:tr w:rsidR="00147828" w14:paraId="15CEFA9A"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1771" w:type="dxa"/>
            <w:tcBorders>
              <w:top w:val="single" w:sz="4" w:space="0" w:color="auto"/>
              <w:left w:val="nil"/>
              <w:bottom w:val="single" w:sz="4" w:space="0" w:color="auto"/>
              <w:right w:val="single" w:sz="4" w:space="0" w:color="auto"/>
            </w:tcBorders>
            <w:hideMark/>
          </w:tcPr>
          <w:p w14:paraId="08D633FA"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Qld</w:t>
            </w:r>
          </w:p>
        </w:tc>
        <w:tc>
          <w:tcPr>
            <w:tcW w:w="2820" w:type="dxa"/>
            <w:tcBorders>
              <w:top w:val="single" w:sz="4" w:space="0" w:color="auto"/>
              <w:left w:val="single" w:sz="4" w:space="0" w:color="auto"/>
              <w:bottom w:val="single" w:sz="4" w:space="0" w:color="auto"/>
              <w:right w:val="single" w:sz="4" w:space="0" w:color="auto"/>
            </w:tcBorders>
            <w:hideMark/>
          </w:tcPr>
          <w:p w14:paraId="1C94BCEA" w14:textId="77777777" w:rsidR="00147828" w:rsidRDefault="00147828" w:rsidP="00EE580F">
            <w:pPr>
              <w:pStyle w:val="BodyText"/>
              <w:keepNext/>
              <w:spacing w:before="20" w:after="20" w:line="240" w:lineRule="auto"/>
              <w:jc w:val="center"/>
              <w:rPr>
                <w:rFonts w:cs="Arial"/>
                <w:szCs w:val="18"/>
              </w:rPr>
            </w:pPr>
            <w:r>
              <w:rPr>
                <w:rFonts w:cs="Arial"/>
                <w:szCs w:val="18"/>
              </w:rPr>
              <w:t>8:00 am</w:t>
            </w:r>
          </w:p>
        </w:tc>
        <w:tc>
          <w:tcPr>
            <w:tcW w:w="4198" w:type="dxa"/>
            <w:tcBorders>
              <w:top w:val="single" w:sz="4" w:space="0" w:color="auto"/>
              <w:left w:val="single" w:sz="4" w:space="0" w:color="auto"/>
              <w:bottom w:val="single" w:sz="4" w:space="0" w:color="auto"/>
              <w:right w:val="nil"/>
            </w:tcBorders>
            <w:hideMark/>
          </w:tcPr>
          <w:p w14:paraId="11200E3D" w14:textId="77777777" w:rsidR="00147828" w:rsidRDefault="00147828" w:rsidP="00EE580F">
            <w:pPr>
              <w:pStyle w:val="BodyText"/>
              <w:keepNext/>
              <w:spacing w:before="20" w:after="20" w:line="240" w:lineRule="auto"/>
              <w:jc w:val="center"/>
              <w:rPr>
                <w:rFonts w:cs="Arial"/>
                <w:szCs w:val="18"/>
              </w:rPr>
            </w:pPr>
            <w:r>
              <w:rPr>
                <w:rFonts w:cs="Arial"/>
                <w:szCs w:val="18"/>
              </w:rPr>
              <w:t>3-4:00 pm</w:t>
            </w:r>
          </w:p>
        </w:tc>
      </w:tr>
      <w:tr w:rsidR="00147828" w14:paraId="7872709B" w14:textId="77777777" w:rsidTr="00B15604">
        <w:trPr>
          <w:trHeight w:val="88"/>
        </w:trPr>
        <w:tc>
          <w:tcPr>
            <w:tcW w:w="1771" w:type="dxa"/>
            <w:tcBorders>
              <w:top w:val="single" w:sz="4" w:space="0" w:color="auto"/>
              <w:left w:val="nil"/>
              <w:bottom w:val="single" w:sz="4" w:space="0" w:color="auto"/>
              <w:right w:val="single" w:sz="4" w:space="0" w:color="auto"/>
            </w:tcBorders>
            <w:hideMark/>
          </w:tcPr>
          <w:p w14:paraId="4070A183"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Tas</w:t>
            </w:r>
          </w:p>
        </w:tc>
        <w:tc>
          <w:tcPr>
            <w:tcW w:w="2820" w:type="dxa"/>
            <w:tcBorders>
              <w:top w:val="single" w:sz="4" w:space="0" w:color="auto"/>
              <w:left w:val="single" w:sz="4" w:space="0" w:color="auto"/>
              <w:bottom w:val="single" w:sz="4" w:space="0" w:color="auto"/>
              <w:right w:val="single" w:sz="4" w:space="0" w:color="auto"/>
            </w:tcBorders>
            <w:hideMark/>
          </w:tcPr>
          <w:p w14:paraId="3BF107F1" w14:textId="77777777" w:rsidR="00147828" w:rsidRDefault="00147828" w:rsidP="00EE580F">
            <w:pPr>
              <w:pStyle w:val="BodyText"/>
              <w:keepNext/>
              <w:spacing w:before="20" w:after="20" w:line="240" w:lineRule="auto"/>
              <w:jc w:val="center"/>
              <w:rPr>
                <w:rFonts w:cs="Arial"/>
                <w:szCs w:val="18"/>
              </w:rPr>
            </w:pPr>
            <w:r>
              <w:rPr>
                <w:rFonts w:cs="Arial"/>
                <w:szCs w:val="18"/>
              </w:rPr>
              <w:t>6:30 am</w:t>
            </w:r>
          </w:p>
        </w:tc>
        <w:tc>
          <w:tcPr>
            <w:tcW w:w="4198" w:type="dxa"/>
            <w:tcBorders>
              <w:top w:val="single" w:sz="4" w:space="0" w:color="auto"/>
              <w:left w:val="single" w:sz="4" w:space="0" w:color="auto"/>
              <w:bottom w:val="single" w:sz="4" w:space="0" w:color="auto"/>
              <w:right w:val="nil"/>
            </w:tcBorders>
            <w:hideMark/>
          </w:tcPr>
          <w:p w14:paraId="28CA6ADD" w14:textId="77777777" w:rsidR="00147828" w:rsidRDefault="00147828" w:rsidP="00EE580F">
            <w:pPr>
              <w:pStyle w:val="BodyText"/>
              <w:keepNext/>
              <w:spacing w:before="20" w:after="20" w:line="240" w:lineRule="auto"/>
              <w:jc w:val="center"/>
              <w:rPr>
                <w:rFonts w:cs="Arial"/>
                <w:szCs w:val="18"/>
              </w:rPr>
            </w:pPr>
            <w:r>
              <w:rPr>
                <w:rFonts w:cs="Arial"/>
                <w:szCs w:val="18"/>
              </w:rPr>
              <w:t>1:30 pm</w:t>
            </w:r>
          </w:p>
        </w:tc>
      </w:tr>
      <w:tr w:rsidR="00EE580F" w14:paraId="7D6874FF"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1771" w:type="dxa"/>
            <w:tcBorders>
              <w:top w:val="single" w:sz="4" w:space="0" w:color="auto"/>
              <w:left w:val="nil"/>
              <w:bottom w:val="single" w:sz="4" w:space="0" w:color="auto"/>
              <w:right w:val="single" w:sz="4" w:space="0" w:color="auto"/>
            </w:tcBorders>
          </w:tcPr>
          <w:p w14:paraId="5956DFB8" w14:textId="77777777" w:rsidR="00EE580F" w:rsidRPr="00EE580F" w:rsidRDefault="00EE580F" w:rsidP="00EE580F">
            <w:pPr>
              <w:pStyle w:val="BodyText"/>
              <w:keepNext/>
              <w:spacing w:before="20" w:after="20" w:line="240" w:lineRule="auto"/>
              <w:rPr>
                <w:rFonts w:cs="Arial"/>
                <w:bCs/>
                <w:szCs w:val="18"/>
              </w:rPr>
            </w:pPr>
            <w:r>
              <w:rPr>
                <w:rFonts w:cs="Arial"/>
                <w:bCs/>
                <w:szCs w:val="18"/>
              </w:rPr>
              <w:t>NT</w:t>
            </w:r>
          </w:p>
        </w:tc>
        <w:tc>
          <w:tcPr>
            <w:tcW w:w="2820" w:type="dxa"/>
            <w:tcBorders>
              <w:top w:val="single" w:sz="4" w:space="0" w:color="auto"/>
              <w:left w:val="single" w:sz="4" w:space="0" w:color="auto"/>
              <w:bottom w:val="single" w:sz="4" w:space="0" w:color="auto"/>
              <w:right w:val="single" w:sz="4" w:space="0" w:color="auto"/>
            </w:tcBorders>
          </w:tcPr>
          <w:p w14:paraId="74D187F5" w14:textId="7C4DA6D7" w:rsidR="00EE580F" w:rsidRDefault="00EE580F" w:rsidP="00EE580F">
            <w:pPr>
              <w:pStyle w:val="BodyText"/>
              <w:keepNext/>
              <w:spacing w:before="20" w:after="20" w:line="240" w:lineRule="auto"/>
              <w:jc w:val="center"/>
              <w:rPr>
                <w:rFonts w:cs="Arial"/>
                <w:szCs w:val="18"/>
              </w:rPr>
            </w:pPr>
            <w:r>
              <w:rPr>
                <w:rFonts w:cs="Arial"/>
                <w:szCs w:val="18"/>
              </w:rPr>
              <w:t>8</w:t>
            </w:r>
            <w:r w:rsidR="008230EE">
              <w:rPr>
                <w:rFonts w:cs="Arial"/>
                <w:szCs w:val="18"/>
              </w:rPr>
              <w:t>:</w:t>
            </w:r>
            <w:r>
              <w:rPr>
                <w:rFonts w:cs="Arial"/>
                <w:szCs w:val="18"/>
              </w:rPr>
              <w:t>30 am</w:t>
            </w:r>
          </w:p>
        </w:tc>
        <w:tc>
          <w:tcPr>
            <w:tcW w:w="4198" w:type="dxa"/>
            <w:tcBorders>
              <w:top w:val="single" w:sz="4" w:space="0" w:color="auto"/>
              <w:left w:val="single" w:sz="4" w:space="0" w:color="auto"/>
              <w:bottom w:val="single" w:sz="4" w:space="0" w:color="auto"/>
              <w:right w:val="nil"/>
            </w:tcBorders>
          </w:tcPr>
          <w:p w14:paraId="2559B459" w14:textId="1E102997" w:rsidR="00EE580F" w:rsidRDefault="00EE580F" w:rsidP="00EE580F">
            <w:pPr>
              <w:pStyle w:val="BodyText"/>
              <w:keepNext/>
              <w:spacing w:before="20" w:after="20" w:line="240" w:lineRule="auto"/>
              <w:jc w:val="center"/>
              <w:rPr>
                <w:rFonts w:cs="Arial"/>
                <w:szCs w:val="18"/>
              </w:rPr>
            </w:pPr>
            <w:r>
              <w:rPr>
                <w:rFonts w:cs="Arial"/>
                <w:szCs w:val="18"/>
              </w:rPr>
              <w:t>2-2</w:t>
            </w:r>
            <w:r w:rsidR="008230EE">
              <w:rPr>
                <w:rFonts w:cs="Arial"/>
                <w:szCs w:val="18"/>
              </w:rPr>
              <w:t>:</w:t>
            </w:r>
            <w:r>
              <w:rPr>
                <w:rFonts w:cs="Arial"/>
                <w:szCs w:val="18"/>
              </w:rPr>
              <w:t>30 pm</w:t>
            </w:r>
          </w:p>
        </w:tc>
      </w:tr>
      <w:tr w:rsidR="00147828" w14:paraId="6901D4E6" w14:textId="77777777" w:rsidTr="00B15604">
        <w:trPr>
          <w:trHeight w:val="46"/>
        </w:trPr>
        <w:tc>
          <w:tcPr>
            <w:tcW w:w="1771" w:type="dxa"/>
            <w:tcBorders>
              <w:top w:val="single" w:sz="4" w:space="0" w:color="auto"/>
              <w:left w:val="nil"/>
              <w:bottom w:val="single" w:sz="4" w:space="0" w:color="auto"/>
              <w:right w:val="single" w:sz="4" w:space="0" w:color="auto"/>
            </w:tcBorders>
            <w:hideMark/>
          </w:tcPr>
          <w:p w14:paraId="2B5D6375"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Vic (DTS)</w:t>
            </w:r>
          </w:p>
        </w:tc>
        <w:tc>
          <w:tcPr>
            <w:tcW w:w="2820" w:type="dxa"/>
            <w:tcBorders>
              <w:top w:val="single" w:sz="4" w:space="0" w:color="auto"/>
              <w:left w:val="single" w:sz="4" w:space="0" w:color="auto"/>
              <w:bottom w:val="single" w:sz="4" w:space="0" w:color="auto"/>
              <w:right w:val="single" w:sz="4" w:space="0" w:color="auto"/>
            </w:tcBorders>
            <w:hideMark/>
          </w:tcPr>
          <w:p w14:paraId="38BD4D0E" w14:textId="77777777" w:rsidR="00147828" w:rsidRDefault="00147828" w:rsidP="00EE580F">
            <w:pPr>
              <w:pStyle w:val="BodyText"/>
              <w:keepNext/>
              <w:spacing w:before="20" w:after="20" w:line="240" w:lineRule="auto"/>
              <w:jc w:val="center"/>
              <w:rPr>
                <w:rFonts w:cs="Arial"/>
                <w:szCs w:val="18"/>
              </w:rPr>
            </w:pPr>
            <w:r>
              <w:rPr>
                <w:rFonts w:cs="Arial"/>
                <w:szCs w:val="18"/>
              </w:rPr>
              <w:t>6:00 am</w:t>
            </w:r>
          </w:p>
        </w:tc>
        <w:tc>
          <w:tcPr>
            <w:tcW w:w="4198" w:type="dxa"/>
            <w:tcBorders>
              <w:top w:val="single" w:sz="4" w:space="0" w:color="auto"/>
              <w:left w:val="single" w:sz="4" w:space="0" w:color="auto"/>
              <w:bottom w:val="single" w:sz="4" w:space="0" w:color="auto"/>
              <w:right w:val="nil"/>
            </w:tcBorders>
            <w:hideMark/>
          </w:tcPr>
          <w:p w14:paraId="5141EBD9" w14:textId="77777777" w:rsidR="00147828" w:rsidRDefault="00147828" w:rsidP="00EE580F">
            <w:pPr>
              <w:pStyle w:val="BodyText"/>
              <w:keepNext/>
              <w:spacing w:before="20" w:after="20" w:line="240" w:lineRule="auto"/>
              <w:jc w:val="center"/>
              <w:rPr>
                <w:rFonts w:cs="Arial"/>
                <w:szCs w:val="18"/>
              </w:rPr>
            </w:pPr>
            <w:r>
              <w:rPr>
                <w:rFonts w:cs="Arial"/>
                <w:szCs w:val="18"/>
              </w:rPr>
              <w:t>n.a.</w:t>
            </w:r>
          </w:p>
        </w:tc>
      </w:tr>
      <w:tr w:rsidR="00147828" w14:paraId="79D2AF06"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8789" w:type="dxa"/>
            <w:gridSpan w:val="3"/>
            <w:tcBorders>
              <w:top w:val="single" w:sz="4" w:space="0" w:color="auto"/>
              <w:left w:val="nil"/>
              <w:bottom w:val="single" w:sz="4" w:space="0" w:color="auto"/>
              <w:right w:val="nil"/>
            </w:tcBorders>
            <w:shd w:val="clear" w:color="auto" w:fill="65697F" w:themeFill="background2" w:themeFillShade="80"/>
            <w:hideMark/>
          </w:tcPr>
          <w:p w14:paraId="06515912" w14:textId="77777777" w:rsidR="00147828" w:rsidRDefault="00147828" w:rsidP="00EE580F">
            <w:pPr>
              <w:pStyle w:val="BodyText"/>
              <w:keepNext/>
              <w:spacing w:before="20" w:after="20" w:line="240" w:lineRule="auto"/>
              <w:jc w:val="center"/>
              <w:rPr>
                <w:rFonts w:cs="Arial"/>
                <w:szCs w:val="18"/>
              </w:rPr>
            </w:pPr>
            <w:r>
              <w:rPr>
                <w:rFonts w:cs="Arial"/>
                <w:b/>
                <w:bCs/>
                <w:color w:val="FFFFFF" w:themeColor="background1"/>
                <w:szCs w:val="18"/>
              </w:rPr>
              <w:t>Harmonised Gas Day and Nomination Cut-Off Times</w:t>
            </w:r>
          </w:p>
        </w:tc>
      </w:tr>
      <w:tr w:rsidR="00147828" w14:paraId="5923D1B4" w14:textId="77777777" w:rsidTr="00B15604">
        <w:trPr>
          <w:trHeight w:val="46"/>
        </w:trPr>
        <w:tc>
          <w:tcPr>
            <w:tcW w:w="1771" w:type="dxa"/>
            <w:tcBorders>
              <w:top w:val="single" w:sz="4" w:space="0" w:color="auto"/>
              <w:left w:val="nil"/>
              <w:bottom w:val="single" w:sz="4" w:space="0" w:color="auto"/>
              <w:right w:val="single" w:sz="4" w:space="0" w:color="auto"/>
            </w:tcBorders>
            <w:shd w:val="clear" w:color="auto" w:fill="FFFFFF" w:themeFill="background1"/>
            <w:hideMark/>
          </w:tcPr>
          <w:p w14:paraId="22916ED2"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NSW/ACT</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5528A9" w14:textId="77777777" w:rsidR="00147828" w:rsidRDefault="00147828" w:rsidP="00EE580F">
            <w:pPr>
              <w:pStyle w:val="BodyText"/>
              <w:keepNext/>
              <w:spacing w:before="20" w:after="20" w:line="240" w:lineRule="auto"/>
              <w:jc w:val="center"/>
              <w:rPr>
                <w:rFonts w:cs="Arial"/>
                <w:szCs w:val="18"/>
              </w:rPr>
            </w:pPr>
            <w:r>
              <w:rPr>
                <w:rFonts w:cs="Arial"/>
                <w:szCs w:val="18"/>
              </w:rPr>
              <w:t>6:00 am</w:t>
            </w:r>
          </w:p>
        </w:tc>
        <w:tc>
          <w:tcPr>
            <w:tcW w:w="4198" w:type="dxa"/>
            <w:vMerge w:val="restart"/>
            <w:tcBorders>
              <w:top w:val="single" w:sz="4" w:space="0" w:color="auto"/>
              <w:left w:val="single" w:sz="4" w:space="0" w:color="auto"/>
              <w:bottom w:val="single" w:sz="4" w:space="0" w:color="auto"/>
              <w:right w:val="nil"/>
            </w:tcBorders>
            <w:shd w:val="clear" w:color="auto" w:fill="FFFFFF" w:themeFill="background1"/>
            <w:vAlign w:val="center"/>
            <w:hideMark/>
          </w:tcPr>
          <w:p w14:paraId="1E05A1FB" w14:textId="77777777" w:rsidR="00147828" w:rsidRDefault="00147828" w:rsidP="00EE580F">
            <w:pPr>
              <w:pStyle w:val="BodyText"/>
              <w:keepNext/>
              <w:spacing w:before="20" w:after="20" w:line="240" w:lineRule="auto"/>
              <w:jc w:val="center"/>
              <w:rPr>
                <w:rFonts w:cs="Arial"/>
                <w:szCs w:val="18"/>
              </w:rPr>
            </w:pPr>
            <w:r>
              <w:rPr>
                <w:rFonts w:cs="Arial"/>
                <w:szCs w:val="18"/>
              </w:rPr>
              <w:t>3:00 pm</w:t>
            </w:r>
          </w:p>
        </w:tc>
      </w:tr>
      <w:tr w:rsidR="00147828" w14:paraId="15DBA299"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1771" w:type="dxa"/>
            <w:tcBorders>
              <w:top w:val="single" w:sz="4" w:space="0" w:color="auto"/>
              <w:left w:val="nil"/>
              <w:bottom w:val="single" w:sz="4" w:space="0" w:color="auto"/>
              <w:right w:val="single" w:sz="4" w:space="0" w:color="auto"/>
            </w:tcBorders>
            <w:shd w:val="clear" w:color="auto" w:fill="FFFFFF" w:themeFill="background1"/>
            <w:hideMark/>
          </w:tcPr>
          <w:p w14:paraId="4E30D715" w14:textId="77777777" w:rsidR="00147828" w:rsidRPr="00EE580F" w:rsidRDefault="00147828" w:rsidP="00EE580F">
            <w:pPr>
              <w:pStyle w:val="BodyText"/>
              <w:keepNext/>
              <w:spacing w:before="20" w:after="20" w:line="240" w:lineRule="auto"/>
              <w:rPr>
                <w:rFonts w:cs="Arial"/>
                <w:szCs w:val="18"/>
              </w:rPr>
            </w:pPr>
            <w:r w:rsidRPr="00EE580F">
              <w:rPr>
                <w:rFonts w:cs="Arial"/>
                <w:bCs/>
                <w:szCs w:val="18"/>
              </w:rPr>
              <w:t>SA</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B821A9" w14:textId="77777777" w:rsidR="00147828" w:rsidRDefault="00147828" w:rsidP="00EE580F">
            <w:pPr>
              <w:keepNext/>
              <w:spacing w:before="20" w:after="20" w:line="240" w:lineRule="auto"/>
              <w:rPr>
                <w:rFonts w:cs="Arial"/>
                <w:szCs w:val="18"/>
              </w:rPr>
            </w:pPr>
          </w:p>
        </w:tc>
        <w:tc>
          <w:tcPr>
            <w:tcW w:w="0" w:type="auto"/>
            <w:vMerge/>
            <w:tcBorders>
              <w:top w:val="single" w:sz="4" w:space="0" w:color="auto"/>
              <w:left w:val="single" w:sz="4" w:space="0" w:color="auto"/>
              <w:bottom w:val="single" w:sz="4" w:space="0" w:color="auto"/>
              <w:right w:val="nil"/>
            </w:tcBorders>
            <w:shd w:val="clear" w:color="auto" w:fill="FFFFFF" w:themeFill="background1"/>
            <w:vAlign w:val="center"/>
            <w:hideMark/>
          </w:tcPr>
          <w:p w14:paraId="2CF032DA" w14:textId="77777777" w:rsidR="00147828" w:rsidRDefault="00147828" w:rsidP="00EE580F">
            <w:pPr>
              <w:keepNext/>
              <w:spacing w:before="20" w:after="20" w:line="240" w:lineRule="auto"/>
              <w:rPr>
                <w:rFonts w:cs="Arial"/>
                <w:szCs w:val="18"/>
              </w:rPr>
            </w:pPr>
          </w:p>
        </w:tc>
      </w:tr>
      <w:tr w:rsidR="00147828" w14:paraId="4D6F2CF1" w14:textId="77777777" w:rsidTr="00B15604">
        <w:trPr>
          <w:trHeight w:val="46"/>
        </w:trPr>
        <w:tc>
          <w:tcPr>
            <w:tcW w:w="1771" w:type="dxa"/>
            <w:tcBorders>
              <w:top w:val="single" w:sz="4" w:space="0" w:color="auto"/>
              <w:left w:val="nil"/>
              <w:bottom w:val="single" w:sz="4" w:space="0" w:color="auto"/>
              <w:right w:val="single" w:sz="4" w:space="0" w:color="auto"/>
            </w:tcBorders>
            <w:shd w:val="clear" w:color="auto" w:fill="FFFFFF" w:themeFill="background1"/>
            <w:hideMark/>
          </w:tcPr>
          <w:p w14:paraId="25F99369" w14:textId="77777777" w:rsidR="00147828" w:rsidRPr="00EE580F" w:rsidRDefault="00147828" w:rsidP="00147828">
            <w:pPr>
              <w:pStyle w:val="BodyText"/>
              <w:spacing w:before="20" w:after="20" w:line="240" w:lineRule="auto"/>
              <w:rPr>
                <w:rFonts w:cs="Arial"/>
                <w:szCs w:val="18"/>
              </w:rPr>
            </w:pPr>
            <w:r w:rsidRPr="00EE580F">
              <w:rPr>
                <w:rFonts w:cs="Arial"/>
                <w:bCs/>
                <w:szCs w:val="18"/>
              </w:rPr>
              <w:t>Qld</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98F616" w14:textId="77777777" w:rsidR="00147828" w:rsidRDefault="00147828" w:rsidP="00147828">
            <w:pPr>
              <w:spacing w:before="20" w:after="20" w:line="240" w:lineRule="auto"/>
              <w:rPr>
                <w:rFonts w:cs="Arial"/>
                <w:szCs w:val="18"/>
              </w:rPr>
            </w:pPr>
          </w:p>
        </w:tc>
        <w:tc>
          <w:tcPr>
            <w:tcW w:w="0" w:type="auto"/>
            <w:vMerge/>
            <w:tcBorders>
              <w:top w:val="single" w:sz="4" w:space="0" w:color="auto"/>
              <w:left w:val="single" w:sz="4" w:space="0" w:color="auto"/>
              <w:bottom w:val="single" w:sz="4" w:space="0" w:color="auto"/>
              <w:right w:val="nil"/>
            </w:tcBorders>
            <w:shd w:val="clear" w:color="auto" w:fill="FFFFFF" w:themeFill="background1"/>
            <w:vAlign w:val="center"/>
            <w:hideMark/>
          </w:tcPr>
          <w:p w14:paraId="7125AD1D" w14:textId="77777777" w:rsidR="00147828" w:rsidRDefault="00147828" w:rsidP="00147828">
            <w:pPr>
              <w:spacing w:before="20" w:after="20" w:line="240" w:lineRule="auto"/>
              <w:rPr>
                <w:rFonts w:cs="Arial"/>
                <w:szCs w:val="18"/>
              </w:rPr>
            </w:pPr>
          </w:p>
        </w:tc>
      </w:tr>
      <w:tr w:rsidR="00EE580F" w14:paraId="3E556DA9" w14:textId="77777777" w:rsidTr="00B15604">
        <w:trPr>
          <w:cnfStyle w:val="000000010000" w:firstRow="0" w:lastRow="0" w:firstColumn="0" w:lastColumn="0" w:oddVBand="0" w:evenVBand="0" w:oddHBand="0" w:evenHBand="1" w:firstRowFirstColumn="0" w:firstRowLastColumn="0" w:lastRowFirstColumn="0" w:lastRowLastColumn="0"/>
          <w:trHeight w:val="46"/>
        </w:trPr>
        <w:tc>
          <w:tcPr>
            <w:tcW w:w="1771" w:type="dxa"/>
            <w:tcBorders>
              <w:top w:val="single" w:sz="4" w:space="0" w:color="auto"/>
              <w:left w:val="nil"/>
              <w:bottom w:val="single" w:sz="4" w:space="0" w:color="auto"/>
              <w:right w:val="single" w:sz="4" w:space="0" w:color="auto"/>
            </w:tcBorders>
            <w:shd w:val="clear" w:color="auto" w:fill="FFFFFF" w:themeFill="background1"/>
          </w:tcPr>
          <w:p w14:paraId="3D1BF9AF" w14:textId="77777777" w:rsidR="00EE580F" w:rsidRPr="00EE580F" w:rsidRDefault="00EE580F" w:rsidP="00147828">
            <w:pPr>
              <w:pStyle w:val="BodyText"/>
              <w:spacing w:before="20" w:after="20" w:line="240" w:lineRule="auto"/>
              <w:rPr>
                <w:rFonts w:cs="Arial"/>
                <w:bCs/>
                <w:szCs w:val="18"/>
              </w:rPr>
            </w:pPr>
            <w:r>
              <w:rPr>
                <w:rFonts w:cs="Arial"/>
                <w:bCs/>
                <w:szCs w:val="18"/>
              </w:rPr>
              <w:t>NT</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468A22" w14:textId="77777777" w:rsidR="00EE580F" w:rsidRDefault="00EE580F" w:rsidP="00147828">
            <w:pPr>
              <w:spacing w:before="20" w:after="20" w:line="240" w:lineRule="auto"/>
              <w:rPr>
                <w:rFonts w:cs="Arial"/>
                <w:szCs w:val="18"/>
              </w:rPr>
            </w:pPr>
          </w:p>
        </w:tc>
        <w:tc>
          <w:tcPr>
            <w:tcW w:w="0" w:type="auto"/>
            <w:vMerge/>
            <w:tcBorders>
              <w:top w:val="single" w:sz="4" w:space="0" w:color="auto"/>
              <w:left w:val="single" w:sz="4" w:space="0" w:color="auto"/>
              <w:bottom w:val="single" w:sz="4" w:space="0" w:color="auto"/>
              <w:right w:val="nil"/>
            </w:tcBorders>
            <w:shd w:val="clear" w:color="auto" w:fill="FFFFFF" w:themeFill="background1"/>
            <w:vAlign w:val="center"/>
          </w:tcPr>
          <w:p w14:paraId="2E2E3935" w14:textId="77777777" w:rsidR="00EE580F" w:rsidRDefault="00EE580F" w:rsidP="00147828">
            <w:pPr>
              <w:spacing w:before="20" w:after="20" w:line="240" w:lineRule="auto"/>
              <w:rPr>
                <w:rFonts w:cs="Arial"/>
                <w:szCs w:val="18"/>
              </w:rPr>
            </w:pPr>
          </w:p>
        </w:tc>
      </w:tr>
      <w:tr w:rsidR="00147828" w14:paraId="5B1F7577" w14:textId="77777777" w:rsidTr="00B15604">
        <w:trPr>
          <w:trHeight w:val="46"/>
        </w:trPr>
        <w:tc>
          <w:tcPr>
            <w:tcW w:w="1771" w:type="dxa"/>
            <w:tcBorders>
              <w:top w:val="single" w:sz="4" w:space="0" w:color="auto"/>
              <w:left w:val="nil"/>
              <w:bottom w:val="single" w:sz="4" w:space="0" w:color="auto"/>
              <w:right w:val="single" w:sz="4" w:space="0" w:color="auto"/>
            </w:tcBorders>
            <w:shd w:val="clear" w:color="auto" w:fill="FFFFFF" w:themeFill="background1"/>
            <w:hideMark/>
          </w:tcPr>
          <w:p w14:paraId="6E5CCA34" w14:textId="77777777" w:rsidR="00147828" w:rsidRPr="00EE580F" w:rsidRDefault="00147828" w:rsidP="00147828">
            <w:pPr>
              <w:pStyle w:val="BodyText"/>
              <w:spacing w:before="20" w:after="20" w:line="240" w:lineRule="auto"/>
              <w:rPr>
                <w:rFonts w:cs="Arial"/>
                <w:szCs w:val="18"/>
              </w:rPr>
            </w:pPr>
            <w:r w:rsidRPr="00EE580F">
              <w:rPr>
                <w:rFonts w:cs="Arial"/>
                <w:bCs/>
                <w:szCs w:val="18"/>
              </w:rPr>
              <w:t>Tas</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C6169C" w14:textId="77777777" w:rsidR="00147828" w:rsidRDefault="00147828" w:rsidP="00147828">
            <w:pPr>
              <w:spacing w:before="20" w:after="20" w:line="240" w:lineRule="auto"/>
              <w:rPr>
                <w:rFonts w:cs="Arial"/>
                <w:szCs w:val="18"/>
              </w:rPr>
            </w:pPr>
          </w:p>
        </w:tc>
        <w:tc>
          <w:tcPr>
            <w:tcW w:w="0" w:type="auto"/>
            <w:vMerge/>
            <w:tcBorders>
              <w:top w:val="single" w:sz="4" w:space="0" w:color="auto"/>
              <w:left w:val="single" w:sz="4" w:space="0" w:color="auto"/>
              <w:bottom w:val="single" w:sz="4" w:space="0" w:color="auto"/>
              <w:right w:val="nil"/>
            </w:tcBorders>
            <w:shd w:val="clear" w:color="auto" w:fill="FFFFFF" w:themeFill="background1"/>
            <w:vAlign w:val="center"/>
            <w:hideMark/>
          </w:tcPr>
          <w:p w14:paraId="625E6A43" w14:textId="77777777" w:rsidR="00147828" w:rsidRDefault="00147828" w:rsidP="00147828">
            <w:pPr>
              <w:spacing w:before="20" w:after="20" w:line="240" w:lineRule="auto"/>
              <w:rPr>
                <w:rFonts w:cs="Arial"/>
                <w:szCs w:val="18"/>
              </w:rPr>
            </w:pPr>
          </w:p>
        </w:tc>
      </w:tr>
      <w:tr w:rsidR="00147828" w14:paraId="1BFEDB88" w14:textId="77777777" w:rsidTr="00B15604">
        <w:trPr>
          <w:cnfStyle w:val="000000010000" w:firstRow="0" w:lastRow="0" w:firstColumn="0" w:lastColumn="0" w:oddVBand="0" w:evenVBand="0" w:oddHBand="0" w:evenHBand="1" w:firstRowFirstColumn="0" w:firstRowLastColumn="0" w:lastRowFirstColumn="0" w:lastRowLastColumn="0"/>
          <w:trHeight w:val="70"/>
        </w:trPr>
        <w:tc>
          <w:tcPr>
            <w:tcW w:w="1771" w:type="dxa"/>
            <w:tcBorders>
              <w:top w:val="single" w:sz="4" w:space="0" w:color="auto"/>
              <w:left w:val="nil"/>
              <w:bottom w:val="single" w:sz="4" w:space="0" w:color="auto"/>
              <w:right w:val="single" w:sz="4" w:space="0" w:color="auto"/>
            </w:tcBorders>
            <w:shd w:val="clear" w:color="auto" w:fill="FFFFFF" w:themeFill="background1"/>
            <w:hideMark/>
          </w:tcPr>
          <w:p w14:paraId="60EA2A00" w14:textId="77777777" w:rsidR="00147828" w:rsidRPr="00EE580F" w:rsidRDefault="00147828" w:rsidP="00147828">
            <w:pPr>
              <w:pStyle w:val="BodyText"/>
              <w:spacing w:before="20" w:after="20" w:line="240" w:lineRule="auto"/>
              <w:rPr>
                <w:rFonts w:cs="Arial"/>
                <w:szCs w:val="18"/>
              </w:rPr>
            </w:pPr>
            <w:r w:rsidRPr="00EE580F">
              <w:rPr>
                <w:rFonts w:cs="Arial"/>
                <w:bCs/>
                <w:szCs w:val="18"/>
              </w:rPr>
              <w:t>Vic (DTS)</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5A1EB0" w14:textId="77777777" w:rsidR="00147828" w:rsidRDefault="00147828" w:rsidP="00147828">
            <w:pPr>
              <w:spacing w:before="20" w:after="20" w:line="240" w:lineRule="auto"/>
              <w:rPr>
                <w:rFonts w:cs="Arial"/>
                <w:szCs w:val="18"/>
              </w:rPr>
            </w:pPr>
          </w:p>
        </w:tc>
        <w:tc>
          <w:tcPr>
            <w:tcW w:w="4198" w:type="dxa"/>
            <w:tcBorders>
              <w:top w:val="single" w:sz="4" w:space="0" w:color="auto"/>
              <w:left w:val="single" w:sz="4" w:space="0" w:color="auto"/>
              <w:bottom w:val="single" w:sz="4" w:space="0" w:color="auto"/>
              <w:right w:val="nil"/>
            </w:tcBorders>
            <w:shd w:val="clear" w:color="auto" w:fill="FFFFFF" w:themeFill="background1"/>
            <w:hideMark/>
          </w:tcPr>
          <w:p w14:paraId="265813DD" w14:textId="77777777" w:rsidR="00147828" w:rsidRDefault="00147828" w:rsidP="00147828">
            <w:pPr>
              <w:pStyle w:val="BodyText"/>
              <w:spacing w:before="20" w:after="20" w:line="240" w:lineRule="auto"/>
              <w:jc w:val="center"/>
              <w:rPr>
                <w:rFonts w:cs="Arial"/>
                <w:szCs w:val="18"/>
              </w:rPr>
            </w:pPr>
            <w:r>
              <w:rPr>
                <w:rFonts w:cs="Arial"/>
                <w:szCs w:val="18"/>
              </w:rPr>
              <w:t>n.a.</w:t>
            </w:r>
          </w:p>
        </w:tc>
      </w:tr>
    </w:tbl>
    <w:p w14:paraId="1B38A682" w14:textId="77777777" w:rsidR="00B15604" w:rsidRDefault="00B15604" w:rsidP="00B15604">
      <w:pPr>
        <w:pStyle w:val="BodyText"/>
      </w:pPr>
      <w:r>
        <w:t xml:space="preserve">The gas day (outside the facilitated markets) is a creature of contract, in that it is the time period used for some processes under contracts such as defining capacity entitlements and scheduling.  A new section in the NGL is proposed that allows the NGR to mandate the gas day start time. This, together with the proposed Part 26 of the NGR, is intended to trigger change in law clauses in contracts </w:t>
      </w:r>
      <w:r w:rsidR="002743A9">
        <w:t xml:space="preserve">affected </w:t>
      </w:r>
      <w:r>
        <w:t>by the reform.  </w:t>
      </w:r>
    </w:p>
    <w:p w14:paraId="6758823F" w14:textId="2E9932C2" w:rsidR="00147828" w:rsidRDefault="00B15604" w:rsidP="00B15604">
      <w:pPr>
        <w:pStyle w:val="BodyText"/>
      </w:pPr>
      <w:r>
        <w:rPr>
          <w:color w:val="000000"/>
        </w:rPr>
        <w:t xml:space="preserve">The GMRG understands that the operators of affected facilities will need to undertake a range of activities to ensure compliance with the harmonised gas day start time and, as applicable, the nomination cut-off time. </w:t>
      </w:r>
      <w:r w:rsidR="00EE580F">
        <w:t>To implement the harmonised times set out above, o</w:t>
      </w:r>
      <w:r w:rsidR="00147828">
        <w:t>perators of affected facilities (i.e. the operators of production, transmission and distribution pipelines, compressors and storage facilities in Q</w:t>
      </w:r>
      <w:r w:rsidR="008230EE">
        <w:t>ueensland (Q</w:t>
      </w:r>
      <w:r w:rsidR="00147828">
        <w:t>ld</w:t>
      </w:r>
      <w:r w:rsidR="008230EE">
        <w:t>)</w:t>
      </w:r>
      <w:r w:rsidR="00147828">
        <w:t xml:space="preserve">, </w:t>
      </w:r>
      <w:r w:rsidR="008230EE">
        <w:t>New South Wales (</w:t>
      </w:r>
      <w:r w:rsidR="00147828">
        <w:t>NSW</w:t>
      </w:r>
      <w:r w:rsidR="008230EE">
        <w:t>)</w:t>
      </w:r>
      <w:r w:rsidR="00147828">
        <w:t xml:space="preserve">, </w:t>
      </w:r>
      <w:r w:rsidR="008230EE">
        <w:t>the Australian Capital Territory (</w:t>
      </w:r>
      <w:r w:rsidR="00147828">
        <w:t>ACT</w:t>
      </w:r>
      <w:r w:rsidR="008230EE">
        <w:t>)</w:t>
      </w:r>
      <w:r w:rsidR="00147828">
        <w:t>,</w:t>
      </w:r>
      <w:r w:rsidR="008230EE">
        <w:t xml:space="preserve"> South Australia (</w:t>
      </w:r>
      <w:r w:rsidR="00147828">
        <w:t>SA</w:t>
      </w:r>
      <w:r w:rsidR="008230EE">
        <w:t>)</w:t>
      </w:r>
      <w:r w:rsidR="00147828">
        <w:t>, Tas</w:t>
      </w:r>
      <w:r w:rsidR="008230EE">
        <w:t>mania</w:t>
      </w:r>
      <w:r w:rsidR="00147828">
        <w:t xml:space="preserve"> </w:t>
      </w:r>
      <w:r w:rsidR="008230EE">
        <w:t xml:space="preserve">(Tas) </w:t>
      </w:r>
      <w:r w:rsidR="00147828">
        <w:t>and the NT, once it is connected</w:t>
      </w:r>
      <w:r w:rsidR="0062242C">
        <w:t xml:space="preserve"> to the east coast</w:t>
      </w:r>
      <w:r w:rsidR="00147828">
        <w:t xml:space="preserve">) will be responsible for: </w:t>
      </w:r>
    </w:p>
    <w:p w14:paraId="49898D7E" w14:textId="77777777" w:rsidR="00147828" w:rsidRDefault="00147828" w:rsidP="00EE580F">
      <w:pPr>
        <w:pStyle w:val="ListBullet"/>
      </w:pPr>
      <w:r>
        <w:t>establishing and executing a program to make the necessary changes to metering infrastructure, flow control computers, IT and other systems;</w:t>
      </w:r>
    </w:p>
    <w:p w14:paraId="3D05F61D" w14:textId="77777777" w:rsidR="00147828" w:rsidRDefault="00147828" w:rsidP="00EE580F">
      <w:pPr>
        <w:pStyle w:val="ListBullet"/>
      </w:pPr>
      <w:r>
        <w:t xml:space="preserve">amending business practices and procedures to give effect to the harmonised times; and </w:t>
      </w:r>
    </w:p>
    <w:p w14:paraId="28BF7A1F" w14:textId="77777777" w:rsidR="00147828" w:rsidRDefault="00147828" w:rsidP="00EE580F">
      <w:pPr>
        <w:pStyle w:val="ListBullet"/>
      </w:pPr>
      <w:r>
        <w:t>revising their contracts (e.g. gas supply agreements, gas transportation agreements, gas storage agreements and allocation agreements) to reflect the harmonised times.</w:t>
      </w:r>
    </w:p>
    <w:p w14:paraId="54BCCAF5" w14:textId="3B89D88E" w:rsidR="00147828" w:rsidRDefault="00147828" w:rsidP="00147828">
      <w:pPr>
        <w:pStyle w:val="BodyText"/>
      </w:pPr>
      <w:r>
        <w:t xml:space="preserve">The time facility operators require to change their infrastructure will depend on a range of factors including whether the changes can be made remotely or manually. In the case of manual meter changes, it will also depend on the number of meters to be changed and the location and ease of access </w:t>
      </w:r>
      <w:r w:rsidR="00694073">
        <w:t xml:space="preserve">to </w:t>
      </w:r>
      <w:r>
        <w:t xml:space="preserve">the meters. </w:t>
      </w:r>
    </w:p>
    <w:p w14:paraId="69C2EEB8" w14:textId="77777777" w:rsidR="00EE580F" w:rsidRDefault="00147828" w:rsidP="00EE580F">
      <w:pPr>
        <w:pStyle w:val="BodyText"/>
      </w:pPr>
      <w:r>
        <w:t xml:space="preserve">During the GMRG’s consultation process a number of stakeholders suggested that transitional arrangements may be required in the NGR or procedures to recognise that some coordination will need to occur between market participants. Accordingly, the GMRG proposes </w:t>
      </w:r>
      <w:r w:rsidR="00EE580F">
        <w:t xml:space="preserve">the inclusion of </w:t>
      </w:r>
      <w:r>
        <w:t xml:space="preserve">a number of transitional rules in the NGR to assist with the transition to </w:t>
      </w:r>
      <w:r w:rsidR="0062242C">
        <w:t xml:space="preserve">a </w:t>
      </w:r>
      <w:r>
        <w:t xml:space="preserve">standard gas day, and as applicable, the standard nomination cut-off time. </w:t>
      </w:r>
      <w:r w:rsidR="008E3903">
        <w:t>T</w:t>
      </w:r>
      <w:r w:rsidR="00EE580F">
        <w:t>hese transitional rules will provide for:</w:t>
      </w:r>
    </w:p>
    <w:p w14:paraId="764D0140" w14:textId="77777777" w:rsidR="00EE580F" w:rsidRDefault="00EE580F" w:rsidP="00EE580F">
      <w:pPr>
        <w:pStyle w:val="ListBullet"/>
      </w:pPr>
      <w:r>
        <w:lastRenderedPageBreak/>
        <w:t>AEMO to publish information on the arrangements it will implement to transition to the standard gas day in each gas market (i.e. STTM, GSH and retail markets) by 1 April 2019; and</w:t>
      </w:r>
    </w:p>
    <w:p w14:paraId="0335F07C" w14:textId="77777777" w:rsidR="00EE580F" w:rsidRDefault="00EE580F" w:rsidP="00EE580F">
      <w:pPr>
        <w:pStyle w:val="ListBullet"/>
      </w:pPr>
      <w:r>
        <w:t>facility operators that provide services to third parties to publish information about the operational arrangements they will put in place to transition to the standard gas day and standard nomination cut-off time (if applicable) by 30 June 2019.</w:t>
      </w:r>
    </w:p>
    <w:p w14:paraId="47577ED1" w14:textId="77777777" w:rsidR="00EE580F" w:rsidRDefault="00EE580F" w:rsidP="00EE580F">
      <w:pPr>
        <w:pStyle w:val="BodyText"/>
      </w:pPr>
      <w:r>
        <w:t xml:space="preserve">The information that is to be published is expected, for example, to set out: </w:t>
      </w:r>
    </w:p>
    <w:p w14:paraId="02A8F37F" w14:textId="77777777" w:rsidR="00EE580F" w:rsidRDefault="00EE580F" w:rsidP="00EE580F">
      <w:pPr>
        <w:pStyle w:val="ListBullet"/>
      </w:pPr>
      <w:r>
        <w:t>the arrangements for nomination and scheduling on the last gas day before the new timetable applies to the facility (if it will be shorter than 24 hours); and</w:t>
      </w:r>
    </w:p>
    <w:p w14:paraId="2691F1E8" w14:textId="77777777" w:rsidR="00EE580F" w:rsidRDefault="00EE580F" w:rsidP="00EE580F">
      <w:pPr>
        <w:pStyle w:val="ListBullet"/>
      </w:pPr>
      <w:r>
        <w:t xml:space="preserve">any adjustments to capacity entitlements for that day for nomination, scheduling and billing purposes and the proposed date for the transition (or parts of it, such as metering), if earlier than the transition date. </w:t>
      </w:r>
    </w:p>
    <w:p w14:paraId="47FA0F8D" w14:textId="32459D3F" w:rsidR="00B15604" w:rsidRDefault="00B15604" w:rsidP="00B15604">
      <w:pPr>
        <w:pStyle w:val="BodyText"/>
      </w:pPr>
      <w:r>
        <w:t xml:space="preserve">While the amendments to the NGL and NGR require facility operators to implement the gas day start time and publish information in accordance with transitional rules, they do not mandate how this is to be done. For example, the last gas day in some jurisdictions before the transition will be shorter than 24 hours, </w:t>
      </w:r>
      <w:r w:rsidR="005427DF">
        <w:t xml:space="preserve">and </w:t>
      </w:r>
      <w:r>
        <w:t xml:space="preserve">nominations will need to take that into account or be for 24 hours and </w:t>
      </w:r>
      <w:r w:rsidR="005427DF">
        <w:t xml:space="preserve">then </w:t>
      </w:r>
      <w:r w:rsidR="00915BD5">
        <w:t xml:space="preserve">be </w:t>
      </w:r>
      <w:r>
        <w:t xml:space="preserve">pro-rated down by the facility operator. The NGR does not set out what approach is to be </w:t>
      </w:r>
      <w:r w:rsidR="00837070">
        <w:t>taken but</w:t>
      </w:r>
      <w:r>
        <w:t xml:space="preserve"> does require facility operators to publish what the facility is doing on that day (information as may reasonably </w:t>
      </w:r>
      <w:r w:rsidR="00837070">
        <w:t xml:space="preserve">be </w:t>
      </w:r>
      <w:r>
        <w:t>expected to be required by facility users, the operators of connected facilities or AEMO).</w:t>
      </w:r>
    </w:p>
    <w:p w14:paraId="5F335C87" w14:textId="77777777" w:rsidR="00EE580F" w:rsidRDefault="00EE580F" w:rsidP="00147828">
      <w:pPr>
        <w:pStyle w:val="BodyText"/>
      </w:pPr>
      <w:r>
        <w:t xml:space="preserve">In addition to these transitional </w:t>
      </w:r>
      <w:r w:rsidR="00607EBF">
        <w:t>rules</w:t>
      </w:r>
      <w:r>
        <w:t xml:space="preserve">, </w:t>
      </w:r>
      <w:r w:rsidR="00607EBF">
        <w:t xml:space="preserve">a number of </w:t>
      </w:r>
      <w:r>
        <w:t xml:space="preserve">transitional measures will </w:t>
      </w:r>
      <w:r w:rsidR="00607EBF">
        <w:t xml:space="preserve">need to be put in place </w:t>
      </w:r>
      <w:r>
        <w:t xml:space="preserve">to deal with the </w:t>
      </w:r>
      <w:r w:rsidR="00607EBF">
        <w:t xml:space="preserve">effect of </w:t>
      </w:r>
      <w:r>
        <w:t xml:space="preserve">differences in gas day start times and nomination cut-off times </w:t>
      </w:r>
      <w:r w:rsidR="00607EBF">
        <w:t>in the capacity trading platform and day-ahead auction</w:t>
      </w:r>
      <w:r>
        <w:t xml:space="preserve">. The close of trade on the capacity trading platform will, for example, need to be set at an earlier time while the day-ahead auction will need to be concluded later. </w:t>
      </w:r>
      <w:r w:rsidR="00607EBF">
        <w:t xml:space="preserve">This will be reflected in the Capacity Transfer and Auction Procedures to be developed by AEMO. </w:t>
      </w:r>
      <w:r>
        <w:t xml:space="preserve">Provisions </w:t>
      </w:r>
      <w:r w:rsidR="00F71AC6">
        <w:t xml:space="preserve">have </w:t>
      </w:r>
      <w:r>
        <w:t xml:space="preserve">also </w:t>
      </w:r>
      <w:r w:rsidR="00F71AC6">
        <w:t xml:space="preserve">been </w:t>
      </w:r>
      <w:r>
        <w:t xml:space="preserve">included in the </w:t>
      </w:r>
      <w:r w:rsidR="00607EBF">
        <w:t>Code</w:t>
      </w:r>
      <w:r w:rsidR="00607EBF">
        <w:rPr>
          <w:rStyle w:val="FootnoteReference"/>
        </w:rPr>
        <w:footnoteReference w:id="125"/>
      </w:r>
      <w:r w:rsidR="00607EBF">
        <w:t xml:space="preserve"> </w:t>
      </w:r>
      <w:r>
        <w:t xml:space="preserve">to require service providers operating at the interface of markets to accommodate the differences in gas days. </w:t>
      </w:r>
    </w:p>
    <w:p w14:paraId="50718BBF" w14:textId="77777777" w:rsidR="001157DF" w:rsidRDefault="001157DF" w:rsidP="001157DF">
      <w:pPr>
        <w:pStyle w:val="BodyText"/>
      </w:pPr>
      <w:r>
        <w:t>The GMRG is interested in hearing stakeholders’ views on these transitional arrangements and whether any additional transitional arrangements may be required.  Some specific questions that the GMRG would like to obtain feedback on are set out in the box below.</w:t>
      </w:r>
    </w:p>
    <w:p w14:paraId="2F0AFD06" w14:textId="328780F3" w:rsidR="001157DF" w:rsidRDefault="001157DF" w:rsidP="001157DF">
      <w:pPr>
        <w:pStyle w:val="Caption"/>
        <w:spacing w:after="0"/>
        <w:rPr>
          <w:bCs w:val="0"/>
        </w:rPr>
      </w:pPr>
    </w:p>
    <w:tbl>
      <w:tblPr>
        <w:tblStyle w:val="PullOutBoxTable"/>
        <w:tblW w:w="5000" w:type="pct"/>
        <w:shd w:val="clear" w:color="auto" w:fill="B7E7FF"/>
        <w:tblCellMar>
          <w:top w:w="85" w:type="dxa"/>
          <w:bottom w:w="85" w:type="dxa"/>
        </w:tblCellMar>
        <w:tblLook w:val="0600" w:firstRow="0" w:lastRow="0" w:firstColumn="0" w:lastColumn="0" w:noHBand="1" w:noVBand="1"/>
        <w:tblCaption w:val="Box 8.1: Questions on transitional arrangements"/>
        <w:tblDescription w:val="Box 8.1: Questions on transitional arrangements"/>
      </w:tblPr>
      <w:tblGrid>
        <w:gridCol w:w="8789"/>
      </w:tblGrid>
      <w:tr w:rsidR="001157DF" w14:paraId="03CB14CB" w14:textId="77777777" w:rsidTr="00261C12">
        <w:trPr>
          <w:tblHeader/>
        </w:trPr>
        <w:tc>
          <w:tcPr>
            <w:tcW w:w="5000" w:type="pct"/>
            <w:shd w:val="clear" w:color="auto" w:fill="auto"/>
            <w:hideMark/>
          </w:tcPr>
          <w:p w14:paraId="2E9E23AB" w14:textId="136AB61C" w:rsidR="001157DF" w:rsidRPr="00667654" w:rsidRDefault="00667654" w:rsidP="00667654">
            <w:pPr>
              <w:pStyle w:val="TableBullet2"/>
              <w:rPr>
                <w:b/>
                <w:sz w:val="21"/>
                <w:szCs w:val="21"/>
              </w:rPr>
            </w:pPr>
            <w:r w:rsidRPr="00667654">
              <w:rPr>
                <w:b/>
                <w:sz w:val="22"/>
              </w:rPr>
              <w:t xml:space="preserve">Box </w:t>
            </w:r>
            <w:r w:rsidRPr="00667654">
              <w:rPr>
                <w:b/>
                <w:sz w:val="22"/>
              </w:rPr>
              <w:fldChar w:fldCharType="begin"/>
            </w:r>
            <w:r w:rsidRPr="00667654">
              <w:rPr>
                <w:b/>
                <w:sz w:val="22"/>
              </w:rPr>
              <w:instrText xml:space="preserve"> STYLEREF 1 \s </w:instrText>
            </w:r>
            <w:r w:rsidRPr="00667654">
              <w:rPr>
                <w:b/>
                <w:sz w:val="22"/>
              </w:rPr>
              <w:fldChar w:fldCharType="separate"/>
            </w:r>
            <w:r w:rsidRPr="00667654">
              <w:rPr>
                <w:b/>
                <w:noProof/>
                <w:sz w:val="22"/>
              </w:rPr>
              <w:t>8</w:t>
            </w:r>
            <w:r w:rsidRPr="00667654">
              <w:rPr>
                <w:b/>
                <w:noProof/>
                <w:sz w:val="22"/>
              </w:rPr>
              <w:fldChar w:fldCharType="end"/>
            </w:r>
            <w:r w:rsidRPr="00667654">
              <w:rPr>
                <w:b/>
                <w:sz w:val="22"/>
              </w:rPr>
              <w:t>.</w:t>
            </w:r>
            <w:r w:rsidRPr="00667654">
              <w:rPr>
                <w:b/>
                <w:sz w:val="22"/>
              </w:rPr>
              <w:fldChar w:fldCharType="begin"/>
            </w:r>
            <w:r w:rsidRPr="00667654">
              <w:rPr>
                <w:b/>
                <w:sz w:val="22"/>
              </w:rPr>
              <w:instrText xml:space="preserve"> SEQ Box \* ARABIC \s 1 </w:instrText>
            </w:r>
            <w:r w:rsidRPr="00667654">
              <w:rPr>
                <w:b/>
                <w:sz w:val="22"/>
              </w:rPr>
              <w:fldChar w:fldCharType="separate"/>
            </w:r>
            <w:r w:rsidRPr="00667654">
              <w:rPr>
                <w:b/>
                <w:noProof/>
                <w:sz w:val="22"/>
              </w:rPr>
              <w:t>1</w:t>
            </w:r>
            <w:r w:rsidRPr="00667654">
              <w:rPr>
                <w:b/>
                <w:noProof/>
                <w:sz w:val="22"/>
              </w:rPr>
              <w:fldChar w:fldCharType="end"/>
            </w:r>
            <w:r w:rsidRPr="00667654">
              <w:rPr>
                <w:b/>
                <w:sz w:val="22"/>
              </w:rPr>
              <w:t xml:space="preserve">: </w:t>
            </w:r>
            <w:r w:rsidRPr="00667654">
              <w:rPr>
                <w:b/>
                <w:bCs/>
                <w:sz w:val="22"/>
              </w:rPr>
              <w:t>Questions on transitional arrangements</w:t>
            </w:r>
          </w:p>
        </w:tc>
      </w:tr>
      <w:tr w:rsidR="00667654" w14:paraId="6401A717" w14:textId="77777777" w:rsidTr="00667654">
        <w:trPr>
          <w:trHeight w:val="2637"/>
        </w:trPr>
        <w:tc>
          <w:tcPr>
            <w:tcW w:w="5000" w:type="pct"/>
            <w:shd w:val="clear" w:color="auto" w:fill="B7E7FF"/>
          </w:tcPr>
          <w:p w14:paraId="2B63A391" w14:textId="77777777" w:rsidR="00667654" w:rsidRPr="008B3B1D" w:rsidRDefault="00667654" w:rsidP="00667654">
            <w:pPr>
              <w:pStyle w:val="ListNumber"/>
              <w:numPr>
                <w:ilvl w:val="0"/>
                <w:numId w:val="29"/>
              </w:numPr>
              <w:tabs>
                <w:tab w:val="left" w:pos="720"/>
              </w:tabs>
              <w:ind w:left="357" w:hanging="357"/>
              <w:rPr>
                <w:rFonts w:eastAsiaTheme="majorEastAsia"/>
              </w:rPr>
            </w:pPr>
            <w:r w:rsidRPr="008B3B1D">
              <w:rPr>
                <w:rFonts w:eastAsiaTheme="majorEastAsia"/>
              </w:rPr>
              <w:t>Are the provisions in the NGL and Part 26 of the NGR sufficient to trigger change of law provisions and enable changes required to existing contracts to implement the harmonisation of the gas day start time and, as applicable, the nomination cut-off time? If not, why?</w:t>
            </w:r>
          </w:p>
          <w:p w14:paraId="2886B543" w14:textId="77777777" w:rsidR="00667654" w:rsidRPr="008B3B1D" w:rsidRDefault="00667654" w:rsidP="00667654">
            <w:pPr>
              <w:pStyle w:val="ListNumber"/>
              <w:numPr>
                <w:ilvl w:val="0"/>
                <w:numId w:val="29"/>
              </w:numPr>
              <w:tabs>
                <w:tab w:val="left" w:pos="720"/>
              </w:tabs>
              <w:ind w:left="357" w:hanging="357"/>
              <w:rPr>
                <w:rFonts w:eastAsiaTheme="majorEastAsia"/>
              </w:rPr>
            </w:pPr>
            <w:r w:rsidRPr="008B3B1D">
              <w:rPr>
                <w:rFonts w:eastAsiaTheme="majorEastAsia"/>
              </w:rPr>
              <w:t>With regard to the information required to be published by facility operators:</w:t>
            </w:r>
          </w:p>
          <w:p w14:paraId="4475EA6B" w14:textId="77777777" w:rsidR="00667654" w:rsidRPr="00001A9B" w:rsidRDefault="00667654" w:rsidP="00001A9B">
            <w:pPr>
              <w:pStyle w:val="TableBullet2"/>
              <w:numPr>
                <w:ilvl w:val="1"/>
                <w:numId w:val="7"/>
              </w:numPr>
              <w:spacing w:before="120" w:after="120"/>
              <w:ind w:right="0"/>
              <w:rPr>
                <w:rFonts w:eastAsiaTheme="majorEastAsia"/>
                <w:sz w:val="22"/>
              </w:rPr>
            </w:pPr>
            <w:r w:rsidRPr="00001A9B">
              <w:rPr>
                <w:rFonts w:eastAsiaTheme="majorEastAsia"/>
                <w:sz w:val="22"/>
              </w:rPr>
              <w:t xml:space="preserve">Do you think transitional rule 4, Part 6 (Schedule 5) will facilitate coordination between interconnected facilities and AEMO without being overly burdensome on facility operators? If not, why? </w:t>
            </w:r>
          </w:p>
          <w:p w14:paraId="035160F7" w14:textId="7AAEEAED" w:rsidR="00667654" w:rsidRPr="008B3B1D" w:rsidRDefault="00667654" w:rsidP="00001A9B">
            <w:pPr>
              <w:pStyle w:val="TableBullet2"/>
              <w:numPr>
                <w:ilvl w:val="1"/>
                <w:numId w:val="7"/>
              </w:numPr>
              <w:spacing w:before="120" w:after="120"/>
              <w:ind w:right="0"/>
              <w:rPr>
                <w:rFonts w:eastAsiaTheme="majorEastAsia"/>
              </w:rPr>
            </w:pPr>
            <w:r w:rsidRPr="00001A9B">
              <w:rPr>
                <w:rFonts w:eastAsiaTheme="majorEastAsia"/>
                <w:sz w:val="22"/>
              </w:rPr>
              <w:t>Is the 30 June 2019 cut-off date for publication appropriate? If not, when should this information be required to be published and why?</w:t>
            </w:r>
          </w:p>
        </w:tc>
      </w:tr>
    </w:tbl>
    <w:p w14:paraId="20E94FAB" w14:textId="77777777" w:rsidR="00147828" w:rsidRDefault="00147828" w:rsidP="00756C62">
      <w:pPr>
        <w:pStyle w:val="Heading2"/>
        <w:numPr>
          <w:ilvl w:val="1"/>
          <w:numId w:val="20"/>
        </w:numPr>
        <w:ind w:left="624"/>
      </w:pPr>
      <w:bookmarkStart w:id="129" w:name="_Toc508551407"/>
      <w:bookmarkStart w:id="130" w:name="_Toc509239445"/>
      <w:r>
        <w:t xml:space="preserve">Legal and regulatory </w:t>
      </w:r>
      <w:r w:rsidR="00BB59A5">
        <w:t>framework</w:t>
      </w:r>
      <w:bookmarkEnd w:id="129"/>
      <w:bookmarkEnd w:id="130"/>
      <w:r>
        <w:t xml:space="preserve"> </w:t>
      </w:r>
    </w:p>
    <w:p w14:paraId="31A21522" w14:textId="6A715D11" w:rsidR="00147828" w:rsidRDefault="00147828" w:rsidP="00147828">
      <w:pPr>
        <w:pStyle w:val="BodyText"/>
      </w:pPr>
      <w:r>
        <w:t>To implement the harmonised gas day start time and nomination cut-off time, a number of changes are required to the NGL, the Regulations and the NGR. Once the new provisions in the NGL, NGR and Regulations are implemented, AEMO will amend the Retail Market Procedures in NSW/ACT, Qld and SA</w:t>
      </w:r>
      <w:r w:rsidR="003C2D90">
        <w:t>,</w:t>
      </w:r>
      <w:r>
        <w:t xml:space="preserve"> the STTM Procedures and any other procedures or subordinate instruments affected by the change in accordance with the standard procedure change process.</w:t>
      </w:r>
    </w:p>
    <w:p w14:paraId="3211942A" w14:textId="77777777" w:rsidR="00147828" w:rsidRDefault="00147828" w:rsidP="00147828">
      <w:pPr>
        <w:pStyle w:val="BodyText"/>
      </w:pPr>
      <w:r>
        <w:t xml:space="preserve">Further detail on the proposed changes to the NGL, NGR and Regulations is provided below. </w:t>
      </w:r>
    </w:p>
    <w:p w14:paraId="676DEECA" w14:textId="77777777" w:rsidR="00147828" w:rsidRDefault="00147828" w:rsidP="00756C62">
      <w:pPr>
        <w:pStyle w:val="Heading3"/>
        <w:numPr>
          <w:ilvl w:val="2"/>
          <w:numId w:val="20"/>
        </w:numPr>
      </w:pPr>
      <w:r>
        <w:t>Proposed changes to the NGL</w:t>
      </w:r>
    </w:p>
    <w:p w14:paraId="7F6EABEC" w14:textId="77777777" w:rsidR="00147828" w:rsidRDefault="00147828" w:rsidP="00147828">
      <w:pPr>
        <w:pStyle w:val="BodyText"/>
      </w:pPr>
      <w:r>
        <w:t>Changes to the NGL are required to:</w:t>
      </w:r>
      <w:r w:rsidR="003E6855">
        <w:rPr>
          <w:rStyle w:val="FootnoteReference"/>
        </w:rPr>
        <w:footnoteReference w:id="126"/>
      </w:r>
    </w:p>
    <w:p w14:paraId="53C67631" w14:textId="77777777" w:rsidR="00147828" w:rsidRDefault="00147828" w:rsidP="00147828">
      <w:pPr>
        <w:pStyle w:val="ListBullet"/>
      </w:pPr>
      <w:r>
        <w:t>extend the subject matter of the NGR to include the standard market timetable;</w:t>
      </w:r>
      <w:r w:rsidR="003E6855" w:rsidRPr="003E6855">
        <w:rPr>
          <w:rStyle w:val="FootnoteReference"/>
        </w:rPr>
        <w:t xml:space="preserve"> </w:t>
      </w:r>
      <w:r w:rsidR="003E6855">
        <w:rPr>
          <w:rStyle w:val="FootnoteReference"/>
        </w:rPr>
        <w:footnoteReference w:id="127"/>
      </w:r>
      <w:r>
        <w:t xml:space="preserve"> </w:t>
      </w:r>
    </w:p>
    <w:p w14:paraId="7FB12092" w14:textId="77777777" w:rsidR="00147828" w:rsidRDefault="00147828" w:rsidP="00147828">
      <w:pPr>
        <w:pStyle w:val="ListBullet"/>
      </w:pPr>
      <w:r>
        <w:t>define the standard gas day as the period of 24 hours starting at the time specified in the NGR;</w:t>
      </w:r>
      <w:r w:rsidR="00607EBF">
        <w:rPr>
          <w:rStyle w:val="FootnoteReference"/>
        </w:rPr>
        <w:footnoteReference w:id="128"/>
      </w:r>
    </w:p>
    <w:p w14:paraId="493B7B06" w14:textId="77777777" w:rsidR="00147828" w:rsidRDefault="00147828" w:rsidP="00147828">
      <w:pPr>
        <w:pStyle w:val="ListBullet"/>
      </w:pPr>
      <w:r>
        <w:t>specify that persons required by the NGR to implement the standard market timetable must do so in accordance with the NGR;</w:t>
      </w:r>
      <w:r>
        <w:rPr>
          <w:rStyle w:val="FootnoteReference"/>
        </w:rPr>
        <w:footnoteReference w:id="129"/>
      </w:r>
      <w:r>
        <w:t xml:space="preserve"> </w:t>
      </w:r>
    </w:p>
    <w:p w14:paraId="09EB63EF" w14:textId="77777777" w:rsidR="00147828" w:rsidRDefault="00147828" w:rsidP="00147828">
      <w:pPr>
        <w:pStyle w:val="ListBullet"/>
      </w:pPr>
      <w:r>
        <w:rPr>
          <w:szCs w:val="18"/>
        </w:rPr>
        <w:t xml:space="preserve">provide a check on claims for cost pass </w:t>
      </w:r>
      <w:r w:rsidR="00607EBF">
        <w:rPr>
          <w:szCs w:val="18"/>
        </w:rPr>
        <w:t xml:space="preserve">through </w:t>
      </w:r>
      <w:r>
        <w:rPr>
          <w:szCs w:val="18"/>
        </w:rPr>
        <w:t>under change in law clauses in contracts arising out of the transition to the harmonised gas day</w:t>
      </w:r>
      <w:r>
        <w:t>;</w:t>
      </w:r>
      <w:r>
        <w:rPr>
          <w:rStyle w:val="FootnoteReference"/>
        </w:rPr>
        <w:footnoteReference w:id="130"/>
      </w:r>
      <w:r w:rsidR="003E6855">
        <w:t xml:space="preserve"> and</w:t>
      </w:r>
    </w:p>
    <w:p w14:paraId="266577A1" w14:textId="77777777" w:rsidR="00147828" w:rsidRDefault="00147828" w:rsidP="00147828">
      <w:pPr>
        <w:pStyle w:val="ListBullet"/>
      </w:pPr>
      <w:r>
        <w:rPr>
          <w:szCs w:val="18"/>
        </w:rPr>
        <w:lastRenderedPageBreak/>
        <w:t xml:space="preserve">permit service providers to enter into agreement for access </w:t>
      </w:r>
      <w:r w:rsidR="0062242C">
        <w:rPr>
          <w:szCs w:val="18"/>
        </w:rPr>
        <w:t xml:space="preserve">that differ </w:t>
      </w:r>
      <w:r>
        <w:rPr>
          <w:szCs w:val="18"/>
        </w:rPr>
        <w:t>from applicable access arrangement</w:t>
      </w:r>
      <w:r w:rsidR="0062242C">
        <w:rPr>
          <w:szCs w:val="18"/>
        </w:rPr>
        <w:t>s</w:t>
      </w:r>
      <w:r>
        <w:rPr>
          <w:szCs w:val="18"/>
        </w:rPr>
        <w:t xml:space="preserve"> subject to </w:t>
      </w:r>
      <w:r w:rsidR="003E6855">
        <w:rPr>
          <w:szCs w:val="18"/>
        </w:rPr>
        <w:t xml:space="preserve">complying with </w:t>
      </w:r>
      <w:r>
        <w:rPr>
          <w:szCs w:val="18"/>
        </w:rPr>
        <w:t>the standard market timetable</w:t>
      </w:r>
      <w:r>
        <w:t>.</w:t>
      </w:r>
      <w:r w:rsidR="003E6855">
        <w:rPr>
          <w:rStyle w:val="FootnoteReference"/>
        </w:rPr>
        <w:footnoteReference w:id="131"/>
      </w:r>
    </w:p>
    <w:p w14:paraId="1DAB30FC" w14:textId="77777777" w:rsidR="001157DF" w:rsidRDefault="008C1C9B" w:rsidP="008C1C9B">
      <w:pPr>
        <w:pStyle w:val="ListBullet"/>
        <w:numPr>
          <w:ilvl w:val="0"/>
          <w:numId w:val="0"/>
        </w:numPr>
      </w:pPr>
      <w:r>
        <w:t>The changes to the NGL will also give the SA Minister the power to</w:t>
      </w:r>
      <w:r w:rsidR="001157DF">
        <w:t xml:space="preserve"> r</w:t>
      </w:r>
      <w:r>
        <w:rPr>
          <w:szCs w:val="18"/>
        </w:rPr>
        <w:t xml:space="preserve">evoke </w:t>
      </w:r>
      <w:r w:rsidR="001157DF">
        <w:rPr>
          <w:szCs w:val="18"/>
        </w:rPr>
        <w:t xml:space="preserve">and remake </w:t>
      </w:r>
      <w:r>
        <w:rPr>
          <w:szCs w:val="18"/>
        </w:rPr>
        <w:t xml:space="preserve">the rule the </w:t>
      </w:r>
      <w:r>
        <w:t>AEMC made in 2017 that provided for the harmonisation of gas day start times in the facilitated markets to occur on 1 April 2021</w:t>
      </w:r>
      <w:r w:rsidR="001157DF">
        <w:t>,</w:t>
      </w:r>
      <w:r w:rsidR="001157DF">
        <w:rPr>
          <w:rStyle w:val="FootnoteReference"/>
        </w:rPr>
        <w:footnoteReference w:id="132"/>
      </w:r>
      <w:r w:rsidR="001157DF">
        <w:t xml:space="preserve"> so the commencement date can be changed from 1 April 2021 to 1 October 2019. </w:t>
      </w:r>
    </w:p>
    <w:p w14:paraId="4B82F0B0" w14:textId="77777777" w:rsidR="00147828" w:rsidRDefault="00147828" w:rsidP="00756C62">
      <w:pPr>
        <w:pStyle w:val="Heading3"/>
        <w:numPr>
          <w:ilvl w:val="2"/>
          <w:numId w:val="20"/>
        </w:numPr>
      </w:pPr>
      <w:r>
        <w:t xml:space="preserve">Proposed changes to the NGR </w:t>
      </w:r>
    </w:p>
    <w:p w14:paraId="7958722A" w14:textId="77777777" w:rsidR="00147828" w:rsidRDefault="00147828" w:rsidP="00147828">
      <w:pPr>
        <w:pStyle w:val="BodyText"/>
      </w:pPr>
      <w:r>
        <w:t>Changes to the NGR</w:t>
      </w:r>
      <w:r>
        <w:rPr>
          <w:b/>
        </w:rPr>
        <w:t xml:space="preserve"> </w:t>
      </w:r>
      <w:r>
        <w:t xml:space="preserve">are required to: </w:t>
      </w:r>
    </w:p>
    <w:p w14:paraId="5120BA7B" w14:textId="77777777" w:rsidR="00147828" w:rsidRDefault="008E3903" w:rsidP="00147828">
      <w:pPr>
        <w:pStyle w:val="ListBullet"/>
      </w:pPr>
      <w:r>
        <w:t xml:space="preserve">set out </w:t>
      </w:r>
      <w:r w:rsidR="00147828">
        <w:t>the standard gas day start time and require the relevant facility operators to implement the standard gas day;</w:t>
      </w:r>
      <w:r w:rsidR="00147828">
        <w:rPr>
          <w:rStyle w:val="FootnoteReference"/>
        </w:rPr>
        <w:footnoteReference w:id="133"/>
      </w:r>
    </w:p>
    <w:p w14:paraId="6F9ED905" w14:textId="77777777" w:rsidR="00147828" w:rsidRDefault="008E3903" w:rsidP="00147828">
      <w:pPr>
        <w:pStyle w:val="ListBullet"/>
      </w:pPr>
      <w:r>
        <w:t xml:space="preserve">set out </w:t>
      </w:r>
      <w:r w:rsidR="00147828">
        <w:t>the standard nomination cut-off time for transportation facilities that are subject to the capacity trading reforms and require the relevant transportation facilities to implement the standard nomination cut-off time;</w:t>
      </w:r>
      <w:r w:rsidR="00147828">
        <w:rPr>
          <w:rStyle w:val="FootnoteReference"/>
        </w:rPr>
        <w:t xml:space="preserve"> </w:t>
      </w:r>
      <w:r w:rsidR="00147828">
        <w:rPr>
          <w:rStyle w:val="FootnoteReference"/>
        </w:rPr>
        <w:footnoteReference w:id="134"/>
      </w:r>
    </w:p>
    <w:p w14:paraId="3BF89AF0" w14:textId="77777777" w:rsidR="00147828" w:rsidRDefault="008E3903" w:rsidP="00147828">
      <w:pPr>
        <w:pStyle w:val="ListBullet"/>
      </w:pPr>
      <w:r>
        <w:rPr>
          <w:rFonts w:cs="Arial"/>
          <w:szCs w:val="18"/>
        </w:rPr>
        <w:t xml:space="preserve">require </w:t>
      </w:r>
      <w:r w:rsidR="00147828">
        <w:rPr>
          <w:rFonts w:cs="Arial"/>
          <w:szCs w:val="18"/>
        </w:rPr>
        <w:t xml:space="preserve">facility operators </w:t>
      </w:r>
      <w:r>
        <w:rPr>
          <w:rFonts w:cs="Arial"/>
          <w:szCs w:val="18"/>
        </w:rPr>
        <w:t xml:space="preserve">to </w:t>
      </w:r>
      <w:r w:rsidR="00147828">
        <w:rPr>
          <w:rFonts w:cs="Arial"/>
          <w:szCs w:val="18"/>
        </w:rPr>
        <w:t xml:space="preserve">ensure that the measurement and recording of quantities of gas in particular circumstances correspond to the standard gas day </w:t>
      </w:r>
      <w:r>
        <w:rPr>
          <w:rFonts w:cs="Arial"/>
          <w:szCs w:val="18"/>
        </w:rPr>
        <w:t>(</w:t>
      </w:r>
      <w:r w:rsidR="00147828">
        <w:rPr>
          <w:rFonts w:cs="Arial"/>
          <w:szCs w:val="18"/>
        </w:rPr>
        <w:t>or periods shorter than a gas day if the first such period starts at the start of the standard gas day and last such period ends at the end of the standard gas day</w:t>
      </w:r>
      <w:r>
        <w:rPr>
          <w:rFonts w:cs="Arial"/>
          <w:szCs w:val="18"/>
        </w:rPr>
        <w:t>)</w:t>
      </w:r>
      <w:r w:rsidR="00147828">
        <w:rPr>
          <w:rFonts w:cs="Arial"/>
          <w:szCs w:val="18"/>
        </w:rPr>
        <w:t>;</w:t>
      </w:r>
      <w:r w:rsidR="00147828">
        <w:rPr>
          <w:rStyle w:val="FootnoteReference"/>
        </w:rPr>
        <w:t xml:space="preserve"> </w:t>
      </w:r>
      <w:r w:rsidR="00147828">
        <w:rPr>
          <w:rStyle w:val="FootnoteReference"/>
        </w:rPr>
        <w:footnoteReference w:id="135"/>
      </w:r>
      <w:r w:rsidR="00147828">
        <w:t xml:space="preserve"> and</w:t>
      </w:r>
    </w:p>
    <w:p w14:paraId="4B5CC86C" w14:textId="77777777" w:rsidR="00147828" w:rsidRDefault="00147828" w:rsidP="00147828">
      <w:pPr>
        <w:pStyle w:val="ListBullet"/>
      </w:pPr>
      <w:r>
        <w:t>provide for a number of transitional rules</w:t>
      </w:r>
      <w:r w:rsidR="008E3903">
        <w:t>,</w:t>
      </w:r>
      <w:r>
        <w:t xml:space="preserve"> which</w:t>
      </w:r>
      <w:r w:rsidR="008E3903">
        <w:t xml:space="preserve"> include the requirement for</w:t>
      </w:r>
      <w:r>
        <w:t>:</w:t>
      </w:r>
      <w:r>
        <w:rPr>
          <w:rStyle w:val="FootnoteReference"/>
        </w:rPr>
        <w:t xml:space="preserve"> </w:t>
      </w:r>
      <w:r>
        <w:rPr>
          <w:rStyle w:val="FootnoteReference"/>
        </w:rPr>
        <w:footnoteReference w:id="136"/>
      </w:r>
    </w:p>
    <w:p w14:paraId="4181ABE7" w14:textId="77777777" w:rsidR="00147828" w:rsidRDefault="00147828" w:rsidP="003E6855">
      <w:pPr>
        <w:pStyle w:val="ListBullet2"/>
      </w:pPr>
      <w:r>
        <w:t xml:space="preserve">AEMO to publish information </w:t>
      </w:r>
      <w:r w:rsidR="003E6855">
        <w:t xml:space="preserve">on </w:t>
      </w:r>
      <w:r>
        <w:t xml:space="preserve">the arrangements for transition to the standard gas day in each gas market </w:t>
      </w:r>
      <w:r w:rsidR="003E6855">
        <w:t>prior to 1 April 2019</w:t>
      </w:r>
      <w:r>
        <w:t>; and</w:t>
      </w:r>
    </w:p>
    <w:p w14:paraId="26ACA080" w14:textId="77777777" w:rsidR="00147828" w:rsidRDefault="00147828" w:rsidP="003E6855">
      <w:pPr>
        <w:pStyle w:val="ListBullet2"/>
      </w:pPr>
      <w:r>
        <w:t xml:space="preserve">facility operators that provide services to third parties to publish information </w:t>
      </w:r>
      <w:r w:rsidR="003E6855">
        <w:t xml:space="preserve">(as </w:t>
      </w:r>
      <w:r w:rsidR="00E56F9C">
        <w:t xml:space="preserve">may be </w:t>
      </w:r>
      <w:r w:rsidR="003E6855">
        <w:t xml:space="preserve">reasonably </w:t>
      </w:r>
      <w:r w:rsidR="00E56F9C">
        <w:t xml:space="preserve">expected to be </w:t>
      </w:r>
      <w:r w:rsidR="003E6855">
        <w:t>required by users of the facility</w:t>
      </w:r>
      <w:r w:rsidR="009415FA">
        <w:t xml:space="preserve">, </w:t>
      </w:r>
      <w:r w:rsidR="003E6855">
        <w:t>the operators of connected facilities</w:t>
      </w:r>
      <w:r w:rsidR="009415FA">
        <w:t xml:space="preserve"> </w:t>
      </w:r>
      <w:r w:rsidR="00E56F9C">
        <w:t>or</w:t>
      </w:r>
      <w:r w:rsidR="009415FA">
        <w:t xml:space="preserve"> AEMO</w:t>
      </w:r>
      <w:r w:rsidR="003E6855">
        <w:t xml:space="preserve">) on the </w:t>
      </w:r>
      <w:r>
        <w:t xml:space="preserve">operational arrangements </w:t>
      </w:r>
      <w:r w:rsidR="003E6855">
        <w:t xml:space="preserve">to </w:t>
      </w:r>
      <w:r>
        <w:t xml:space="preserve">transition </w:t>
      </w:r>
      <w:r w:rsidR="003E6855">
        <w:t xml:space="preserve">to the standard gas day and </w:t>
      </w:r>
      <w:r>
        <w:t>standard nomination cut-off time (if applicable)</w:t>
      </w:r>
      <w:r w:rsidR="003E6855">
        <w:t xml:space="preserve"> prior to 30 June 2019</w:t>
      </w:r>
      <w:r>
        <w:t>.</w:t>
      </w:r>
    </w:p>
    <w:p w14:paraId="47961156" w14:textId="77777777" w:rsidR="00147828" w:rsidRDefault="00147828" w:rsidP="00147828">
      <w:pPr>
        <w:pStyle w:val="BodyText"/>
      </w:pPr>
      <w:r>
        <w:t xml:space="preserve">These changes are set out in </w:t>
      </w:r>
      <w:r>
        <w:rPr>
          <w:b/>
        </w:rPr>
        <w:t>Part 26 (Standard market timetable),</w:t>
      </w:r>
      <w:r>
        <w:t xml:space="preserve"> which is a new part that will be added to the NGR, and </w:t>
      </w:r>
      <w:r>
        <w:rPr>
          <w:b/>
        </w:rPr>
        <w:t xml:space="preserve">Schedule 5 </w:t>
      </w:r>
      <w:r w:rsidR="008E3903">
        <w:rPr>
          <w:b/>
        </w:rPr>
        <w:t xml:space="preserve">(transitional rules) </w:t>
      </w:r>
      <w:r w:rsidRPr="008E3903">
        <w:t>of the NGR</w:t>
      </w:r>
      <w:r>
        <w:t xml:space="preserve">. </w:t>
      </w:r>
    </w:p>
    <w:p w14:paraId="6323EAFB" w14:textId="77777777" w:rsidR="00147828" w:rsidRDefault="00147828" w:rsidP="00756C62">
      <w:pPr>
        <w:pStyle w:val="Heading3"/>
        <w:numPr>
          <w:ilvl w:val="2"/>
          <w:numId w:val="20"/>
        </w:numPr>
      </w:pPr>
      <w:r>
        <w:t xml:space="preserve">Proposed changes to the Regulations </w:t>
      </w:r>
    </w:p>
    <w:p w14:paraId="73FA77BF" w14:textId="77777777" w:rsidR="003E6855" w:rsidRDefault="003E6855" w:rsidP="003E6855">
      <w:pPr>
        <w:pStyle w:val="BodyText"/>
      </w:pPr>
      <w:r>
        <w:t xml:space="preserve">Changes to the Regulations will be required to specify those provisions in the NGL and NGR that will be classified as civil penalty or conduct provisions, which will be set out in </w:t>
      </w:r>
      <w:r>
        <w:rPr>
          <w:b/>
        </w:rPr>
        <w:t>Schedule 3</w:t>
      </w:r>
      <w:r>
        <w:t xml:space="preserve"> and </w:t>
      </w:r>
      <w:r>
        <w:rPr>
          <w:b/>
        </w:rPr>
        <w:t>Schedule 4</w:t>
      </w:r>
      <w:r>
        <w:t xml:space="preserve"> </w:t>
      </w:r>
      <w:r>
        <w:rPr>
          <w:b/>
        </w:rPr>
        <w:t>of the Regulations</w:t>
      </w:r>
      <w:r>
        <w:t xml:space="preserve">. A list of the provisions in the NGL and NGR that are expected to be classified as civil penalty and/or conduct provisions is provided in </w:t>
      </w:r>
      <w:r w:rsidR="00F02668">
        <w:t>Appendix A</w:t>
      </w:r>
      <w:r>
        <w:t>.</w:t>
      </w:r>
    </w:p>
    <w:p w14:paraId="6AD0CF0C" w14:textId="77777777" w:rsidR="007260A1" w:rsidRDefault="007260A1" w:rsidP="007260A1">
      <w:pPr>
        <w:pStyle w:val="BodyText"/>
      </w:pPr>
      <w:r>
        <w:br w:type="page"/>
      </w:r>
    </w:p>
    <w:p w14:paraId="67A3F884" w14:textId="77777777" w:rsidR="0099756E" w:rsidRDefault="00333568" w:rsidP="008A11FA">
      <w:pPr>
        <w:pStyle w:val="Heading1"/>
      </w:pPr>
      <w:bookmarkStart w:id="131" w:name="_Toc509239446"/>
      <w:r>
        <w:lastRenderedPageBreak/>
        <w:t>Key timings</w:t>
      </w:r>
      <w:bookmarkEnd w:id="131"/>
    </w:p>
    <w:p w14:paraId="1881D538" w14:textId="77777777" w:rsidR="00EA5C1E" w:rsidRDefault="00EA5C1E" w:rsidP="006C55BE">
      <w:pPr>
        <w:pStyle w:val="BodyText"/>
      </w:pPr>
      <w:r>
        <w:t xml:space="preserve">The tables below provide a summary of: </w:t>
      </w:r>
    </w:p>
    <w:p w14:paraId="47DD8316" w14:textId="77777777" w:rsidR="00EA5C1E" w:rsidRDefault="00EA5C1E" w:rsidP="00EA5C1E">
      <w:pPr>
        <w:pStyle w:val="ListBullet"/>
      </w:pPr>
      <w:r>
        <w:t xml:space="preserve">the </w:t>
      </w:r>
      <w:r w:rsidR="00157E32">
        <w:t xml:space="preserve">commencement </w:t>
      </w:r>
      <w:r>
        <w:t xml:space="preserve">dates for the </w:t>
      </w:r>
      <w:r w:rsidR="00157E32">
        <w:t>key reform measures</w:t>
      </w:r>
      <w:r w:rsidR="00676D5D">
        <w:t xml:space="preserve"> (see </w:t>
      </w:r>
      <w:r w:rsidR="00676D5D" w:rsidRPr="00676D5D">
        <w:fldChar w:fldCharType="begin"/>
      </w:r>
      <w:r w:rsidR="00676D5D" w:rsidRPr="00676D5D">
        <w:instrText xml:space="preserve"> REF _Ref509117102 \h  \* MERGEFORMAT </w:instrText>
      </w:r>
      <w:r w:rsidR="00676D5D" w:rsidRPr="00676D5D">
        <w:fldChar w:fldCharType="separate"/>
      </w:r>
      <w:r w:rsidR="00830BE4" w:rsidRPr="00830BE4">
        <w:t xml:space="preserve">Table </w:t>
      </w:r>
      <w:r w:rsidR="00830BE4" w:rsidRPr="00830BE4">
        <w:rPr>
          <w:noProof/>
        </w:rPr>
        <w:t>9.1</w:t>
      </w:r>
      <w:r w:rsidR="00676D5D" w:rsidRPr="00676D5D">
        <w:fldChar w:fldCharType="end"/>
      </w:r>
      <w:r w:rsidR="00676D5D">
        <w:t>)</w:t>
      </w:r>
      <w:r>
        <w:t>;</w:t>
      </w:r>
      <w:r w:rsidR="00157E32">
        <w:t xml:space="preserve"> and </w:t>
      </w:r>
    </w:p>
    <w:p w14:paraId="17FAB03F" w14:textId="77777777" w:rsidR="00676D5D" w:rsidRDefault="00816D67" w:rsidP="00EA5C1E">
      <w:pPr>
        <w:pStyle w:val="ListBullet"/>
      </w:pPr>
      <w:r>
        <w:t>the</w:t>
      </w:r>
      <w:r w:rsidR="00157E32">
        <w:t xml:space="preserve"> timing </w:t>
      </w:r>
      <w:r w:rsidR="00EF6C93">
        <w:t xml:space="preserve">associated with the </w:t>
      </w:r>
      <w:r w:rsidR="00157E32">
        <w:t>various obligations for the different categories of facilities</w:t>
      </w:r>
      <w:r w:rsidR="00676D5D">
        <w:t xml:space="preserve"> and market participants</w:t>
      </w:r>
      <w:r w:rsidR="00EF6C93">
        <w:t>, including</w:t>
      </w:r>
      <w:r w:rsidR="00676D5D">
        <w:t>:</w:t>
      </w:r>
      <w:r w:rsidR="00EF6C93">
        <w:t xml:space="preserve"> </w:t>
      </w:r>
    </w:p>
    <w:p w14:paraId="07481EC8" w14:textId="77777777" w:rsidR="00676D5D" w:rsidRDefault="00676D5D" w:rsidP="00676D5D">
      <w:pPr>
        <w:pStyle w:val="ListBullet2"/>
      </w:pPr>
      <w:r>
        <w:t xml:space="preserve">the </w:t>
      </w:r>
      <w:r w:rsidR="005D6223">
        <w:t xml:space="preserve">transportation facilities and allocation agents that are in existence when parts 18 and 24 of the NGR commence </w:t>
      </w:r>
      <w:r>
        <w:t xml:space="preserve">(see </w:t>
      </w:r>
      <w:r>
        <w:fldChar w:fldCharType="begin"/>
      </w:r>
      <w:r>
        <w:instrText xml:space="preserve"> REF _Ref509117864 \h </w:instrText>
      </w:r>
      <w:r>
        <w:fldChar w:fldCharType="separate"/>
      </w:r>
      <w:r w:rsidR="00830BE4">
        <w:t xml:space="preserve">Table </w:t>
      </w:r>
      <w:r w:rsidR="00830BE4">
        <w:rPr>
          <w:noProof/>
        </w:rPr>
        <w:t>9</w:t>
      </w:r>
      <w:r w:rsidR="00830BE4">
        <w:t>.</w:t>
      </w:r>
      <w:r w:rsidR="00830BE4">
        <w:rPr>
          <w:noProof/>
        </w:rPr>
        <w:t>2</w:t>
      </w:r>
      <w:r>
        <w:fldChar w:fldCharType="end"/>
      </w:r>
      <w:r>
        <w:t>);</w:t>
      </w:r>
    </w:p>
    <w:p w14:paraId="74D1937A" w14:textId="77777777" w:rsidR="00676D5D" w:rsidRPr="00BD28C3" w:rsidRDefault="00676D5D" w:rsidP="00676D5D">
      <w:pPr>
        <w:pStyle w:val="ListBullet2"/>
      </w:pPr>
      <w:r>
        <w:t xml:space="preserve">facilities that become </w:t>
      </w:r>
      <w:r w:rsidR="00EF6C93">
        <w:t>Part 24 facilities</w:t>
      </w:r>
      <w:r>
        <w:t xml:space="preserve"> after the Part 24 commencement date, either because they were commissioned after this date or an exemption has been revoked (s</w:t>
      </w:r>
      <w:r w:rsidRPr="00BD28C3">
        <w:t xml:space="preserve">ee </w:t>
      </w:r>
      <w:r w:rsidRPr="00BD28C3">
        <w:fldChar w:fldCharType="begin"/>
      </w:r>
      <w:r w:rsidRPr="00BD28C3">
        <w:instrText xml:space="preserve"> REF _Ref509117866 \h </w:instrText>
      </w:r>
      <w:r w:rsidR="00BD28C3" w:rsidRPr="00BD28C3">
        <w:instrText xml:space="preserve"> \* MERGEFORMAT </w:instrText>
      </w:r>
      <w:r w:rsidRPr="00BD28C3">
        <w:fldChar w:fldCharType="separate"/>
      </w:r>
      <w:r w:rsidR="00830BE4" w:rsidRPr="00830BE4">
        <w:t xml:space="preserve">Table </w:t>
      </w:r>
      <w:r w:rsidR="00830BE4" w:rsidRPr="00830BE4">
        <w:rPr>
          <w:noProof/>
        </w:rPr>
        <w:t>9.3</w:t>
      </w:r>
      <w:r w:rsidRPr="00BD28C3">
        <w:fldChar w:fldCharType="end"/>
      </w:r>
      <w:r w:rsidRPr="00BD28C3">
        <w:t>);</w:t>
      </w:r>
      <w:r w:rsidR="00EF6C93" w:rsidRPr="00BD28C3">
        <w:t xml:space="preserve"> </w:t>
      </w:r>
      <w:r w:rsidR="00B15604">
        <w:t>and</w:t>
      </w:r>
    </w:p>
    <w:p w14:paraId="2713B1B3" w14:textId="77777777" w:rsidR="00676D5D" w:rsidRPr="00BD28C3" w:rsidRDefault="00676D5D" w:rsidP="00676D5D">
      <w:pPr>
        <w:pStyle w:val="ListBullet2"/>
      </w:pPr>
      <w:r w:rsidRPr="00BD28C3">
        <w:t xml:space="preserve">the </w:t>
      </w:r>
      <w:r w:rsidR="00EF6C93" w:rsidRPr="00BD28C3">
        <w:t>Northern Territory facilities</w:t>
      </w:r>
      <w:r w:rsidRPr="00BD28C3">
        <w:t xml:space="preserve"> (see </w:t>
      </w:r>
      <w:r w:rsidRPr="00BD28C3">
        <w:fldChar w:fldCharType="begin"/>
      </w:r>
      <w:r w:rsidRPr="00BD28C3">
        <w:instrText xml:space="preserve"> REF _Ref509117868 \h </w:instrText>
      </w:r>
      <w:r w:rsidR="00BD28C3" w:rsidRPr="00BD28C3">
        <w:instrText xml:space="preserve"> \* MERGEFORMAT </w:instrText>
      </w:r>
      <w:r w:rsidRPr="00BD28C3">
        <w:fldChar w:fldCharType="separate"/>
      </w:r>
      <w:r w:rsidR="00830BE4" w:rsidRPr="00676D5D">
        <w:t xml:space="preserve">Table </w:t>
      </w:r>
      <w:r w:rsidR="00830BE4">
        <w:rPr>
          <w:noProof/>
        </w:rPr>
        <w:t>9</w:t>
      </w:r>
      <w:r w:rsidR="00830BE4" w:rsidRPr="00676D5D">
        <w:rPr>
          <w:noProof/>
        </w:rPr>
        <w:t>.</w:t>
      </w:r>
      <w:r w:rsidR="00830BE4">
        <w:rPr>
          <w:noProof/>
        </w:rPr>
        <w:t>4</w:t>
      </w:r>
      <w:r w:rsidRPr="00BD28C3">
        <w:fldChar w:fldCharType="end"/>
      </w:r>
      <w:r w:rsidRPr="00BD28C3">
        <w:t>)</w:t>
      </w:r>
      <w:r w:rsidR="00B15604">
        <w:t>.</w:t>
      </w:r>
    </w:p>
    <w:p w14:paraId="3994D59A" w14:textId="77777777" w:rsidR="00732A8D" w:rsidRDefault="00732A8D" w:rsidP="006C55BE">
      <w:pPr>
        <w:pStyle w:val="BodyText"/>
      </w:pPr>
      <w:r>
        <w:t>The</w:t>
      </w:r>
      <w:r w:rsidR="00EA5C1E">
        <w:t>se</w:t>
      </w:r>
      <w:r>
        <w:t xml:space="preserve"> tables have been developed on the basis that amendment</w:t>
      </w:r>
      <w:r w:rsidR="005427DF">
        <w:t>s</w:t>
      </w:r>
      <w:r>
        <w:t xml:space="preserve"> to the NGL and NGR will commence before 1 December 2018. </w:t>
      </w:r>
      <w:r w:rsidR="00676D5D">
        <w:t xml:space="preserve">Further detail on these timings can be found in the transitional rules in </w:t>
      </w:r>
      <w:r>
        <w:t>Schedule 5 of the NGR</w:t>
      </w:r>
      <w:r w:rsidR="00676D5D">
        <w:t>.</w:t>
      </w:r>
    </w:p>
    <w:p w14:paraId="1DD349EB" w14:textId="77777777" w:rsidR="00F72BCF" w:rsidRPr="00676D5D" w:rsidRDefault="00676D5D" w:rsidP="00676D5D">
      <w:pPr>
        <w:keepNext/>
        <w:rPr>
          <w:b/>
          <w:i/>
          <w:szCs w:val="18"/>
        </w:rPr>
      </w:pPr>
      <w:bookmarkStart w:id="132" w:name="_Ref509117102"/>
      <w:r w:rsidRPr="00676D5D">
        <w:rPr>
          <w:b/>
        </w:rPr>
        <w:t xml:space="preserve">Table </w:t>
      </w:r>
      <w:r>
        <w:rPr>
          <w:b/>
        </w:rPr>
        <w:fldChar w:fldCharType="begin"/>
      </w:r>
      <w:r>
        <w:rPr>
          <w:b/>
        </w:rPr>
        <w:instrText xml:space="preserve"> STYLEREF 1 \s </w:instrText>
      </w:r>
      <w:r>
        <w:rPr>
          <w:b/>
        </w:rPr>
        <w:fldChar w:fldCharType="separate"/>
      </w:r>
      <w:r w:rsidR="00830BE4">
        <w:rPr>
          <w:b/>
          <w:noProof/>
        </w:rPr>
        <w:t>9</w:t>
      </w:r>
      <w:r>
        <w:rPr>
          <w:b/>
        </w:rPr>
        <w:fldChar w:fldCharType="end"/>
      </w:r>
      <w:r>
        <w:rPr>
          <w:b/>
        </w:rPr>
        <w:t>.</w:t>
      </w:r>
      <w:r>
        <w:rPr>
          <w:b/>
        </w:rPr>
        <w:fldChar w:fldCharType="begin"/>
      </w:r>
      <w:r>
        <w:rPr>
          <w:b/>
        </w:rPr>
        <w:instrText xml:space="preserve"> SEQ Table \* ARABIC \s 1 </w:instrText>
      </w:r>
      <w:r>
        <w:rPr>
          <w:b/>
        </w:rPr>
        <w:fldChar w:fldCharType="separate"/>
      </w:r>
      <w:r w:rsidR="00830BE4">
        <w:rPr>
          <w:b/>
          <w:noProof/>
        </w:rPr>
        <w:t>1</w:t>
      </w:r>
      <w:r>
        <w:rPr>
          <w:b/>
        </w:rPr>
        <w:fldChar w:fldCharType="end"/>
      </w:r>
      <w:bookmarkEnd w:id="132"/>
      <w:r w:rsidRPr="00676D5D">
        <w:rPr>
          <w:b/>
        </w:rPr>
        <w:t xml:space="preserve">: </w:t>
      </w:r>
      <w:r w:rsidR="00F72BCF" w:rsidRPr="00676D5D">
        <w:rPr>
          <w:b/>
          <w:szCs w:val="18"/>
        </w:rPr>
        <w:t>Commencement of key reform measures</w:t>
      </w:r>
    </w:p>
    <w:tbl>
      <w:tblPr>
        <w:tblStyle w:val="TableGrid"/>
        <w:tblW w:w="5000" w:type="pct"/>
        <w:tblLook w:val="04A0" w:firstRow="1" w:lastRow="0" w:firstColumn="1" w:lastColumn="0" w:noHBand="0" w:noVBand="1"/>
        <w:tblCaption w:val="Table 9.1: Commencement of key reform measures"/>
        <w:tblDescription w:val="Table outlining timing for commencement of key reform measures"/>
      </w:tblPr>
      <w:tblGrid>
        <w:gridCol w:w="1962"/>
        <w:gridCol w:w="3398"/>
        <w:gridCol w:w="3429"/>
      </w:tblGrid>
      <w:tr w:rsidR="00676D5D" w:rsidRPr="00B24F58" w14:paraId="6553D0E2" w14:textId="77777777" w:rsidTr="00B15604">
        <w:trPr>
          <w:cnfStyle w:val="100000000000" w:firstRow="1" w:lastRow="0" w:firstColumn="0" w:lastColumn="0" w:oddVBand="0" w:evenVBand="0" w:oddHBand="0" w:evenHBand="0" w:firstRowFirstColumn="0" w:firstRowLastColumn="0" w:lastRowFirstColumn="0" w:lastRowLastColumn="0"/>
          <w:tblHeader/>
        </w:trPr>
        <w:tc>
          <w:tcPr>
            <w:tcW w:w="1962" w:type="dxa"/>
            <w:shd w:val="clear" w:color="auto" w:fill="0099CC"/>
          </w:tcPr>
          <w:p w14:paraId="4DC76F19" w14:textId="77777777" w:rsidR="00676D5D" w:rsidRPr="00B24F58" w:rsidRDefault="00676D5D" w:rsidP="00676D5D">
            <w:pPr>
              <w:pStyle w:val="TableBodyText"/>
              <w:rPr>
                <w:b w:val="0"/>
              </w:rPr>
            </w:pPr>
            <w:r>
              <w:t>Date</w:t>
            </w:r>
          </w:p>
        </w:tc>
        <w:tc>
          <w:tcPr>
            <w:tcW w:w="3398" w:type="dxa"/>
            <w:shd w:val="clear" w:color="auto" w:fill="0099CC"/>
          </w:tcPr>
          <w:p w14:paraId="76FDEACB" w14:textId="77777777" w:rsidR="00676D5D" w:rsidRPr="00B24F58" w:rsidRDefault="00676D5D" w:rsidP="00676D5D">
            <w:pPr>
              <w:pStyle w:val="TableBodyText"/>
              <w:rPr>
                <w:b w:val="0"/>
              </w:rPr>
            </w:pPr>
            <w:r w:rsidRPr="00B24F58">
              <w:t>Activity</w:t>
            </w:r>
          </w:p>
        </w:tc>
        <w:tc>
          <w:tcPr>
            <w:tcW w:w="3429" w:type="dxa"/>
            <w:shd w:val="clear" w:color="auto" w:fill="0099CC"/>
          </w:tcPr>
          <w:p w14:paraId="0625705A" w14:textId="77777777" w:rsidR="00676D5D" w:rsidRPr="00B24F58" w:rsidRDefault="00676D5D" w:rsidP="00676D5D">
            <w:pPr>
              <w:pStyle w:val="TableBodyText"/>
              <w:rPr>
                <w:b w:val="0"/>
              </w:rPr>
            </w:pPr>
            <w:r>
              <w:t xml:space="preserve">Reference </w:t>
            </w:r>
          </w:p>
        </w:tc>
      </w:tr>
      <w:tr w:rsidR="00676D5D" w:rsidRPr="00B24F58" w14:paraId="0C546759" w14:textId="77777777" w:rsidTr="00B15604">
        <w:tc>
          <w:tcPr>
            <w:tcW w:w="1962" w:type="dxa"/>
          </w:tcPr>
          <w:p w14:paraId="5B81640A" w14:textId="77777777" w:rsidR="00676D5D" w:rsidRPr="00B24F58" w:rsidRDefault="00676D5D" w:rsidP="00676D5D">
            <w:pPr>
              <w:pStyle w:val="TableBodyText"/>
            </w:pPr>
            <w:r w:rsidRPr="00B24F58">
              <w:t>30 September 2018</w:t>
            </w:r>
          </w:p>
        </w:tc>
        <w:tc>
          <w:tcPr>
            <w:tcW w:w="3398" w:type="dxa"/>
          </w:tcPr>
          <w:p w14:paraId="0DE7A9BB" w14:textId="77777777" w:rsidR="00676D5D" w:rsidRPr="00B24F58" w:rsidRDefault="00676D5D" w:rsidP="00676D5D">
            <w:pPr>
              <w:pStyle w:val="TableBodyText"/>
            </w:pPr>
            <w:r w:rsidRPr="00B24F58">
              <w:t>2017 Bulletin Boa</w:t>
            </w:r>
            <w:r>
              <w:t>rd Rule changes come into effect, replacing Part 18.  This is the version of Part 18 referred to in this table (as amended by the capacity reform package)</w:t>
            </w:r>
          </w:p>
        </w:tc>
        <w:tc>
          <w:tcPr>
            <w:tcW w:w="3429" w:type="dxa"/>
          </w:tcPr>
          <w:p w14:paraId="0B671319" w14:textId="77777777" w:rsidR="00676D5D" w:rsidRPr="00B24F58" w:rsidRDefault="00676D5D" w:rsidP="00676D5D">
            <w:pPr>
              <w:pStyle w:val="TableBodyText"/>
            </w:pPr>
            <w:r w:rsidRPr="00B24F58">
              <w:t>National Gas Amendment (Improvements to Natural Gas Bulletin Board) Rule 2017 No. 3</w:t>
            </w:r>
          </w:p>
        </w:tc>
      </w:tr>
      <w:tr w:rsidR="00676D5D" w:rsidRPr="00B24F58" w14:paraId="4634C157"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tcPr>
          <w:p w14:paraId="1D0D7CD4" w14:textId="77777777" w:rsidR="00676D5D" w:rsidRPr="00B24F58" w:rsidRDefault="00676D5D" w:rsidP="00676D5D">
            <w:pPr>
              <w:pStyle w:val="TableBodyText"/>
            </w:pPr>
            <w:r>
              <w:t>After 30 September 2018 but before 1 December 2018</w:t>
            </w:r>
          </w:p>
        </w:tc>
        <w:tc>
          <w:tcPr>
            <w:tcW w:w="3398" w:type="dxa"/>
          </w:tcPr>
          <w:p w14:paraId="297A8D09" w14:textId="77777777" w:rsidR="00676D5D" w:rsidRPr="00B24F58" w:rsidRDefault="00676D5D" w:rsidP="00676D5D">
            <w:pPr>
              <w:pStyle w:val="TableBodyText"/>
            </w:pPr>
            <w:r>
              <w:t>NGL amendments come into effect</w:t>
            </w:r>
          </w:p>
        </w:tc>
        <w:tc>
          <w:tcPr>
            <w:tcW w:w="3429" w:type="dxa"/>
          </w:tcPr>
          <w:p w14:paraId="5D8158B3" w14:textId="77777777" w:rsidR="00676D5D" w:rsidRPr="00B24F58" w:rsidRDefault="00676D5D" w:rsidP="00676D5D">
            <w:pPr>
              <w:pStyle w:val="TableBodyText"/>
            </w:pPr>
            <w:r>
              <w:t xml:space="preserve">Defined in Schedule 5 as the Division 2D commencement date </w:t>
            </w:r>
          </w:p>
        </w:tc>
      </w:tr>
      <w:tr w:rsidR="00676D5D" w:rsidRPr="00B24F58" w14:paraId="25BB2220" w14:textId="77777777" w:rsidTr="00B15604">
        <w:tc>
          <w:tcPr>
            <w:tcW w:w="1962" w:type="dxa"/>
            <w:vMerge w:val="restart"/>
          </w:tcPr>
          <w:p w14:paraId="70E9F92C" w14:textId="77777777" w:rsidR="00676D5D" w:rsidRPr="00B24F58" w:rsidRDefault="00676D5D" w:rsidP="00676D5D">
            <w:pPr>
              <w:pStyle w:val="TableBodyText"/>
            </w:pPr>
            <w:r>
              <w:t>On or after Law start date but before 1 December 2018</w:t>
            </w:r>
          </w:p>
        </w:tc>
        <w:tc>
          <w:tcPr>
            <w:tcW w:w="3398" w:type="dxa"/>
            <w:shd w:val="clear" w:color="auto" w:fill="FFFFFF" w:themeFill="background1"/>
          </w:tcPr>
          <w:p w14:paraId="5B0913A1" w14:textId="77777777" w:rsidR="00676D5D" w:rsidRDefault="00676D5D" w:rsidP="00676D5D">
            <w:pPr>
              <w:pStyle w:val="TableBodyText"/>
            </w:pPr>
            <w:r w:rsidRPr="00B24F58">
              <w:t>Minister made rules come into effect</w:t>
            </w:r>
          </w:p>
          <w:p w14:paraId="0642F111" w14:textId="77777777" w:rsidR="00676D5D" w:rsidRPr="00B24F58" w:rsidRDefault="00676D5D" w:rsidP="00676D5D">
            <w:pPr>
              <w:pStyle w:val="TableBodyText"/>
            </w:pPr>
            <w:r>
              <w:t>This table assumes all new rules and amendments will come into effect on the same date</w:t>
            </w:r>
          </w:p>
        </w:tc>
        <w:tc>
          <w:tcPr>
            <w:tcW w:w="3429" w:type="dxa"/>
            <w:shd w:val="clear" w:color="auto" w:fill="FFFFFF" w:themeFill="background1"/>
          </w:tcPr>
          <w:p w14:paraId="5126CA07" w14:textId="77777777" w:rsidR="00676D5D" w:rsidRDefault="00676D5D" w:rsidP="00676D5D">
            <w:pPr>
              <w:pStyle w:val="TableBodyText"/>
            </w:pPr>
            <w:r>
              <w:t xml:space="preserve">In Schedule 5, this </w:t>
            </w:r>
            <w:r w:rsidR="00B15604">
              <w:t xml:space="preserve">is </w:t>
            </w:r>
            <w:r>
              <w:t>defined as follows:</w:t>
            </w:r>
          </w:p>
          <w:p w14:paraId="582158DD" w14:textId="77777777" w:rsidR="00676D5D" w:rsidRPr="0093155B" w:rsidRDefault="00676D5D" w:rsidP="00676D5D">
            <w:pPr>
              <w:pStyle w:val="TableBodyText"/>
            </w:pPr>
            <w:r>
              <w:t xml:space="preserve">Part 2:  </w:t>
            </w:r>
            <w:r w:rsidRPr="0093155B">
              <w:t>commencement date</w:t>
            </w:r>
            <w:r>
              <w:t xml:space="preserve"> (for Part 18 amendments)</w:t>
            </w:r>
          </w:p>
          <w:p w14:paraId="125B0CD3" w14:textId="77777777" w:rsidR="00676D5D" w:rsidRPr="0093155B" w:rsidRDefault="00676D5D" w:rsidP="00676D5D">
            <w:pPr>
              <w:pStyle w:val="TableBodyText"/>
            </w:pPr>
            <w:r>
              <w:t xml:space="preserve">Part 3:  </w:t>
            </w:r>
            <w:r w:rsidRPr="0093155B">
              <w:t>Part 24 commencement date</w:t>
            </w:r>
          </w:p>
          <w:p w14:paraId="4A07BBC4" w14:textId="77777777" w:rsidR="00676D5D" w:rsidRDefault="00676D5D" w:rsidP="00676D5D">
            <w:pPr>
              <w:pStyle w:val="TableBodyText"/>
            </w:pPr>
            <w:r>
              <w:t>Part 4:  Part 25 commencement date</w:t>
            </w:r>
          </w:p>
        </w:tc>
      </w:tr>
      <w:tr w:rsidR="00676D5D" w:rsidRPr="00B24F58" w14:paraId="3E79F687"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tcPr>
          <w:p w14:paraId="1718E9E3" w14:textId="77777777" w:rsidR="00676D5D" w:rsidRDefault="00676D5D" w:rsidP="00676D5D">
            <w:pPr>
              <w:pStyle w:val="TableBodyText"/>
            </w:pPr>
          </w:p>
        </w:tc>
        <w:tc>
          <w:tcPr>
            <w:tcW w:w="3398" w:type="dxa"/>
            <w:shd w:val="clear" w:color="auto" w:fill="FFFFFF" w:themeFill="background1"/>
          </w:tcPr>
          <w:p w14:paraId="31D16F26" w14:textId="77777777" w:rsidR="00676D5D" w:rsidRPr="00B24F58" w:rsidRDefault="00676D5D" w:rsidP="00676D5D">
            <w:pPr>
              <w:pStyle w:val="TableBodyText"/>
            </w:pPr>
            <w:r>
              <w:t>Minister made Code comes into effect</w:t>
            </w:r>
          </w:p>
        </w:tc>
        <w:tc>
          <w:tcPr>
            <w:tcW w:w="3429" w:type="dxa"/>
            <w:shd w:val="clear" w:color="auto" w:fill="FFFFFF" w:themeFill="background1"/>
          </w:tcPr>
          <w:p w14:paraId="4AA1DBCC" w14:textId="77777777" w:rsidR="00676D5D" w:rsidRDefault="00676D5D" w:rsidP="00676D5D">
            <w:pPr>
              <w:pStyle w:val="TableBodyText"/>
            </w:pPr>
            <w:r>
              <w:t>Part 24, rule 595(2)</w:t>
            </w:r>
          </w:p>
        </w:tc>
      </w:tr>
      <w:tr w:rsidR="00676D5D" w:rsidRPr="00B24F58" w14:paraId="4EB05151" w14:textId="77777777" w:rsidTr="00B15604">
        <w:tc>
          <w:tcPr>
            <w:tcW w:w="1962" w:type="dxa"/>
            <w:vMerge w:val="restart"/>
            <w:shd w:val="clear" w:color="auto" w:fill="E1E2E7" w:themeFill="background2"/>
          </w:tcPr>
          <w:p w14:paraId="67F37594" w14:textId="77777777" w:rsidR="00676D5D" w:rsidRPr="00B24F58" w:rsidRDefault="00676D5D" w:rsidP="00676D5D">
            <w:pPr>
              <w:pStyle w:val="TableBodyText"/>
            </w:pPr>
            <w:r w:rsidRPr="00B24F58">
              <w:t>1 December 2018</w:t>
            </w:r>
          </w:p>
        </w:tc>
        <w:tc>
          <w:tcPr>
            <w:tcW w:w="3398" w:type="dxa"/>
            <w:shd w:val="clear" w:color="auto" w:fill="E1E2E7" w:themeFill="background2"/>
          </w:tcPr>
          <w:p w14:paraId="01F2951F" w14:textId="77777777" w:rsidR="00676D5D" w:rsidRPr="00B24F58" w:rsidRDefault="00676D5D" w:rsidP="00676D5D">
            <w:pPr>
              <w:pStyle w:val="TableBodyText"/>
            </w:pPr>
            <w:r w:rsidRPr="00B24F58">
              <w:t>AEMO must make and publish the initial Capacity Transfer and Auction Procedures</w:t>
            </w:r>
          </w:p>
        </w:tc>
        <w:tc>
          <w:tcPr>
            <w:tcW w:w="3429" w:type="dxa"/>
            <w:shd w:val="clear" w:color="auto" w:fill="E1E2E7" w:themeFill="background2"/>
          </w:tcPr>
          <w:p w14:paraId="524F7E62" w14:textId="77777777" w:rsidR="00676D5D" w:rsidRDefault="00676D5D" w:rsidP="00676D5D">
            <w:pPr>
              <w:pStyle w:val="TableBodyText"/>
            </w:pPr>
            <w:r>
              <w:t>Schedule 5</w:t>
            </w:r>
            <w:r w:rsidRPr="00B24F58">
              <w:t xml:space="preserve">, Part 1, </w:t>
            </w:r>
            <w:r>
              <w:t>rule 2(1)</w:t>
            </w:r>
          </w:p>
        </w:tc>
      </w:tr>
      <w:tr w:rsidR="00676D5D" w:rsidRPr="00B24F58" w14:paraId="2714D76E"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tcPr>
          <w:p w14:paraId="5D2C677E" w14:textId="77777777" w:rsidR="00676D5D" w:rsidRPr="00B24F58" w:rsidRDefault="00676D5D" w:rsidP="00676D5D">
            <w:pPr>
              <w:pStyle w:val="TableBodyText"/>
            </w:pPr>
          </w:p>
        </w:tc>
        <w:tc>
          <w:tcPr>
            <w:tcW w:w="3398" w:type="dxa"/>
          </w:tcPr>
          <w:p w14:paraId="0B8B292A" w14:textId="77777777" w:rsidR="00676D5D" w:rsidRPr="00B24F58" w:rsidRDefault="00676D5D" w:rsidP="00676D5D">
            <w:pPr>
              <w:pStyle w:val="TableBodyText"/>
            </w:pPr>
            <w:r w:rsidRPr="00B24F58">
              <w:t>AEMO must make and publish</w:t>
            </w:r>
            <w:r>
              <w:t xml:space="preserve"> the</w:t>
            </w:r>
            <w:r w:rsidRPr="00B24F58">
              <w:t xml:space="preserve"> initial </w:t>
            </w:r>
            <w:r>
              <w:t xml:space="preserve">transportation </w:t>
            </w:r>
            <w:r w:rsidRPr="00B24F58">
              <w:t>service point register</w:t>
            </w:r>
          </w:p>
        </w:tc>
        <w:tc>
          <w:tcPr>
            <w:tcW w:w="3429" w:type="dxa"/>
          </w:tcPr>
          <w:p w14:paraId="74B6E24F" w14:textId="77777777" w:rsidR="00676D5D" w:rsidRDefault="00676D5D" w:rsidP="00676D5D">
            <w:pPr>
              <w:pStyle w:val="TableBodyText"/>
            </w:pPr>
            <w:r>
              <w:t>Schedule 5</w:t>
            </w:r>
            <w:r w:rsidRPr="00B24F58">
              <w:t xml:space="preserve">, Part 3, </w:t>
            </w:r>
            <w:r>
              <w:t>rule 6(1)</w:t>
            </w:r>
          </w:p>
        </w:tc>
      </w:tr>
      <w:tr w:rsidR="00676D5D" w:rsidRPr="00B24F58" w14:paraId="63683308" w14:textId="77777777" w:rsidTr="00B15604">
        <w:trPr>
          <w:trHeight w:val="907"/>
        </w:trPr>
        <w:tc>
          <w:tcPr>
            <w:tcW w:w="1962" w:type="dxa"/>
            <w:vMerge w:val="restart"/>
          </w:tcPr>
          <w:p w14:paraId="65994BA2" w14:textId="77777777" w:rsidR="00676D5D" w:rsidRPr="00B24F58" w:rsidRDefault="00676D5D" w:rsidP="00676D5D">
            <w:pPr>
              <w:pStyle w:val="TableBodyText"/>
            </w:pPr>
            <w:r w:rsidRPr="00B24F58">
              <w:t>1 December 2018</w:t>
            </w:r>
          </w:p>
        </w:tc>
        <w:tc>
          <w:tcPr>
            <w:tcW w:w="3398" w:type="dxa"/>
            <w:shd w:val="clear" w:color="auto" w:fill="FFFFFF" w:themeFill="background1"/>
          </w:tcPr>
          <w:p w14:paraId="44F77A4A" w14:textId="77777777" w:rsidR="00676D5D" w:rsidRPr="00B24F58" w:rsidRDefault="00676D5D" w:rsidP="00676D5D">
            <w:pPr>
              <w:pStyle w:val="TableBodyText"/>
            </w:pPr>
            <w:r w:rsidRPr="00B24F58">
              <w:t>AER must develop and publish initial guidelines under new rule 665(3) (nomination and scheduling records)</w:t>
            </w:r>
          </w:p>
        </w:tc>
        <w:tc>
          <w:tcPr>
            <w:tcW w:w="3429" w:type="dxa"/>
            <w:shd w:val="clear" w:color="auto" w:fill="FFFFFF" w:themeFill="background1"/>
          </w:tcPr>
          <w:p w14:paraId="651B4D0F" w14:textId="77777777" w:rsidR="00676D5D" w:rsidRPr="00B24F58" w:rsidRDefault="00676D5D" w:rsidP="00676D5D">
            <w:pPr>
              <w:pStyle w:val="TableBodyText"/>
            </w:pPr>
            <w:r>
              <w:t>Schedule 5</w:t>
            </w:r>
            <w:r w:rsidRPr="00B24F58">
              <w:t xml:space="preserve">, Part 4, </w:t>
            </w:r>
            <w:r>
              <w:t>rule 4(2)</w:t>
            </w:r>
          </w:p>
        </w:tc>
      </w:tr>
      <w:tr w:rsidR="00676D5D" w:rsidRPr="00B24F58" w14:paraId="5676A75D"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tcPr>
          <w:p w14:paraId="2F7A9A0A" w14:textId="77777777" w:rsidR="00676D5D" w:rsidRPr="00B24F58" w:rsidRDefault="00676D5D" w:rsidP="00676D5D">
            <w:pPr>
              <w:pStyle w:val="TableBodyText"/>
            </w:pPr>
          </w:p>
        </w:tc>
        <w:tc>
          <w:tcPr>
            <w:tcW w:w="3398" w:type="dxa"/>
            <w:tcBorders>
              <w:bottom w:val="single" w:sz="4" w:space="0" w:color="auto"/>
            </w:tcBorders>
            <w:shd w:val="clear" w:color="auto" w:fill="FFFFFF" w:themeFill="background1"/>
          </w:tcPr>
          <w:p w14:paraId="0D744D33" w14:textId="77777777" w:rsidR="00676D5D" w:rsidRPr="00B24F58" w:rsidRDefault="00676D5D" w:rsidP="00676D5D">
            <w:pPr>
              <w:pStyle w:val="TableBodyText"/>
            </w:pPr>
            <w:r w:rsidRPr="00B24F58">
              <w:t>AER must develop and publish initial guidelines under new rule 666(4) (renomination records)</w:t>
            </w:r>
          </w:p>
        </w:tc>
        <w:tc>
          <w:tcPr>
            <w:tcW w:w="3429" w:type="dxa"/>
            <w:tcBorders>
              <w:bottom w:val="single" w:sz="4" w:space="0" w:color="auto"/>
            </w:tcBorders>
            <w:shd w:val="clear" w:color="auto" w:fill="FFFFFF" w:themeFill="background1"/>
          </w:tcPr>
          <w:p w14:paraId="41C24FA8" w14:textId="77777777" w:rsidR="00676D5D" w:rsidRPr="00B24F58" w:rsidRDefault="00676D5D" w:rsidP="00676D5D">
            <w:pPr>
              <w:pStyle w:val="TableBodyText"/>
            </w:pPr>
            <w:r>
              <w:t>Schedule 5</w:t>
            </w:r>
            <w:r w:rsidRPr="00B24F58">
              <w:t xml:space="preserve">, Part 4, </w:t>
            </w:r>
            <w:r>
              <w:t>rule</w:t>
            </w:r>
            <w:r w:rsidRPr="00B24F58">
              <w:t xml:space="preserve"> 5(2)</w:t>
            </w:r>
          </w:p>
        </w:tc>
      </w:tr>
      <w:tr w:rsidR="00676D5D" w:rsidRPr="00B24F58" w14:paraId="2A3AFA9E" w14:textId="77777777" w:rsidTr="00B15604">
        <w:tc>
          <w:tcPr>
            <w:tcW w:w="1962" w:type="dxa"/>
            <w:shd w:val="clear" w:color="auto" w:fill="E1E2E7" w:themeFill="background2"/>
          </w:tcPr>
          <w:p w14:paraId="20FF71A1" w14:textId="77777777" w:rsidR="00676D5D" w:rsidRPr="00B24F58" w:rsidRDefault="00676D5D" w:rsidP="00676D5D">
            <w:pPr>
              <w:pStyle w:val="TableBodyText"/>
            </w:pPr>
            <w:r w:rsidRPr="00B24F58">
              <w:t>1 February 2019</w:t>
            </w:r>
          </w:p>
        </w:tc>
        <w:tc>
          <w:tcPr>
            <w:tcW w:w="3398" w:type="dxa"/>
            <w:shd w:val="clear" w:color="auto" w:fill="E1E2E7" w:themeFill="background2"/>
          </w:tcPr>
          <w:p w14:paraId="02B6F4F9" w14:textId="77777777" w:rsidR="00676D5D" w:rsidRPr="00B24F58" w:rsidRDefault="00676D5D" w:rsidP="00676D5D">
            <w:pPr>
              <w:pStyle w:val="TableBodyText"/>
            </w:pPr>
            <w:r w:rsidRPr="00B24F58">
              <w:t>Transition period in relation to a</w:t>
            </w:r>
            <w:r>
              <w:t xml:space="preserve"> compression facility commences (such </w:t>
            </w:r>
            <w:r>
              <w:lastRenderedPageBreak/>
              <w:t>that Part 24 compression service facilities must start reporting to AEMO)</w:t>
            </w:r>
          </w:p>
        </w:tc>
        <w:tc>
          <w:tcPr>
            <w:tcW w:w="3429" w:type="dxa"/>
            <w:shd w:val="clear" w:color="auto" w:fill="E1E2E7" w:themeFill="background2"/>
          </w:tcPr>
          <w:p w14:paraId="3FE0B2DF" w14:textId="77777777" w:rsidR="00676D5D" w:rsidRDefault="00676D5D" w:rsidP="00676D5D">
            <w:pPr>
              <w:pStyle w:val="TableBodyText"/>
            </w:pPr>
            <w:r>
              <w:lastRenderedPageBreak/>
              <w:t>Schedule 5, Part 5</w:t>
            </w:r>
          </w:p>
        </w:tc>
      </w:tr>
      <w:tr w:rsidR="00676D5D" w:rsidRPr="00B24F58" w14:paraId="49187B6B"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val="restart"/>
            <w:shd w:val="clear" w:color="auto" w:fill="FFFFFF" w:themeFill="background1"/>
          </w:tcPr>
          <w:p w14:paraId="33AD5591" w14:textId="77777777" w:rsidR="00676D5D" w:rsidRPr="00B24F58" w:rsidRDefault="00676D5D" w:rsidP="00676D5D">
            <w:pPr>
              <w:pStyle w:val="TableBodyText"/>
              <w:keepNext/>
            </w:pPr>
            <w:r w:rsidRPr="00B24F58">
              <w:t>1 March 2019</w:t>
            </w:r>
          </w:p>
        </w:tc>
        <w:tc>
          <w:tcPr>
            <w:tcW w:w="3398" w:type="dxa"/>
            <w:shd w:val="clear" w:color="auto" w:fill="FFFFFF" w:themeFill="background1"/>
          </w:tcPr>
          <w:p w14:paraId="1BB8712C" w14:textId="77777777" w:rsidR="00676D5D" w:rsidRPr="00B24F58" w:rsidRDefault="00676D5D" w:rsidP="00676D5D">
            <w:pPr>
              <w:pStyle w:val="TableBodyText"/>
              <w:keepNext/>
            </w:pPr>
            <w:r>
              <w:t>First day of capacity auction</w:t>
            </w:r>
          </w:p>
        </w:tc>
        <w:tc>
          <w:tcPr>
            <w:tcW w:w="3429" w:type="dxa"/>
            <w:shd w:val="clear" w:color="auto" w:fill="FFFFFF" w:themeFill="background1"/>
          </w:tcPr>
          <w:p w14:paraId="0DDA6221" w14:textId="77777777" w:rsidR="00676D5D" w:rsidRDefault="00676D5D" w:rsidP="00676D5D">
            <w:pPr>
              <w:pStyle w:val="TableBodyText"/>
              <w:keepNext/>
            </w:pPr>
            <w:r>
              <w:t>Schedule 5</w:t>
            </w:r>
            <w:r w:rsidRPr="00B24F58">
              <w:t xml:space="preserve">, Part </w:t>
            </w:r>
            <w:r>
              <w:t>4</w:t>
            </w:r>
            <w:r w:rsidRPr="00B24F58">
              <w:t>, definition of ‘capacity auction start date’</w:t>
            </w:r>
          </w:p>
          <w:p w14:paraId="0DF347DC" w14:textId="77777777" w:rsidR="00676D5D" w:rsidRPr="00B24F58" w:rsidRDefault="00676D5D" w:rsidP="00676D5D">
            <w:pPr>
              <w:pStyle w:val="TableBodyText"/>
              <w:keepNext/>
            </w:pPr>
            <w:r>
              <w:t>Schedule 5, Part 4, rule 2</w:t>
            </w:r>
          </w:p>
        </w:tc>
      </w:tr>
      <w:tr w:rsidR="00676D5D" w:rsidRPr="00B24F58" w14:paraId="1F1C2C99" w14:textId="77777777" w:rsidTr="00B15604">
        <w:tc>
          <w:tcPr>
            <w:tcW w:w="1962" w:type="dxa"/>
            <w:vMerge/>
            <w:shd w:val="clear" w:color="auto" w:fill="FFFFFF" w:themeFill="background1"/>
          </w:tcPr>
          <w:p w14:paraId="4B439010" w14:textId="77777777" w:rsidR="00676D5D" w:rsidRPr="00B24F58" w:rsidRDefault="00676D5D" w:rsidP="00676D5D">
            <w:pPr>
              <w:pStyle w:val="TableBodyText"/>
            </w:pPr>
          </w:p>
        </w:tc>
        <w:tc>
          <w:tcPr>
            <w:tcW w:w="3398" w:type="dxa"/>
            <w:shd w:val="clear" w:color="auto" w:fill="FFFFFF" w:themeFill="background1"/>
          </w:tcPr>
          <w:p w14:paraId="79FA87A2" w14:textId="206BB326" w:rsidR="00676D5D" w:rsidRPr="00B24F58" w:rsidRDefault="00676D5D" w:rsidP="00676D5D">
            <w:pPr>
              <w:pStyle w:val="TableBodyText"/>
            </w:pPr>
            <w:r>
              <w:t>First day on which transportation service providers for Part 24 facilities are required by the Rules to give effect to operational transfers and service continuity arrangements.  Contractual obligations are not affected</w:t>
            </w:r>
          </w:p>
        </w:tc>
        <w:tc>
          <w:tcPr>
            <w:tcW w:w="3429" w:type="dxa"/>
            <w:shd w:val="clear" w:color="auto" w:fill="FFFFFF" w:themeFill="background1"/>
          </w:tcPr>
          <w:p w14:paraId="1B32392E" w14:textId="77777777" w:rsidR="00676D5D" w:rsidRDefault="00676D5D" w:rsidP="00676D5D">
            <w:pPr>
              <w:pStyle w:val="TableBodyText"/>
            </w:pPr>
            <w:r>
              <w:t>Schedule 5, Part 3</w:t>
            </w:r>
            <w:r w:rsidRPr="00B24F58">
              <w:t xml:space="preserve">, </w:t>
            </w:r>
            <w:r>
              <w:t>rule 7</w:t>
            </w:r>
          </w:p>
          <w:p w14:paraId="70C85FC4" w14:textId="77777777" w:rsidR="00676D5D" w:rsidRDefault="00676D5D" w:rsidP="00676D5D">
            <w:pPr>
              <w:pStyle w:val="TableBodyText"/>
            </w:pPr>
            <w:r>
              <w:t>Part 24, rules 63</w:t>
            </w:r>
            <w:r w:rsidR="00B15604">
              <w:t>8</w:t>
            </w:r>
            <w:r>
              <w:t xml:space="preserve"> and 63</w:t>
            </w:r>
            <w:r w:rsidR="00B15604">
              <w:t>9</w:t>
            </w:r>
          </w:p>
          <w:p w14:paraId="520EDC09" w14:textId="77777777" w:rsidR="00676D5D" w:rsidRPr="00B24F58" w:rsidRDefault="00676D5D" w:rsidP="00676D5D">
            <w:pPr>
              <w:pStyle w:val="TableBodyText"/>
            </w:pPr>
            <w:r>
              <w:t>This is expected to be the f</w:t>
            </w:r>
            <w:r w:rsidRPr="00B24F58">
              <w:t>irst day of tra</w:t>
            </w:r>
            <w:r>
              <w:t>ding new capacity products on the CTP/GSH</w:t>
            </w:r>
          </w:p>
        </w:tc>
      </w:tr>
      <w:tr w:rsidR="00B15604" w:rsidRPr="00B24F58" w14:paraId="116566FB"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shd w:val="clear" w:color="auto" w:fill="FFFFFF" w:themeFill="background1"/>
          </w:tcPr>
          <w:p w14:paraId="16E7AF91" w14:textId="77777777" w:rsidR="00B15604" w:rsidRPr="00B24F58" w:rsidRDefault="00B15604" w:rsidP="00B15604">
            <w:pPr>
              <w:pStyle w:val="TableBodyText"/>
            </w:pPr>
          </w:p>
        </w:tc>
        <w:tc>
          <w:tcPr>
            <w:tcW w:w="3398" w:type="dxa"/>
            <w:shd w:val="clear" w:color="auto" w:fill="FFFFFF" w:themeFill="background1"/>
          </w:tcPr>
          <w:p w14:paraId="51471A2D" w14:textId="77777777" w:rsidR="00B15604" w:rsidRPr="00B24F58" w:rsidRDefault="00B15604" w:rsidP="00B15604">
            <w:pPr>
              <w:pStyle w:val="TableBodyText"/>
            </w:pPr>
            <w:r w:rsidRPr="00B24F58">
              <w:t xml:space="preserve">Subdivision 5.7 </w:t>
            </w:r>
            <w:r w:rsidR="0089473A">
              <w:t xml:space="preserve">of Part 18 </w:t>
            </w:r>
            <w:r w:rsidRPr="00B24F58">
              <w:t>applies</w:t>
            </w:r>
            <w:r>
              <w:t xml:space="preserve"> and </w:t>
            </w:r>
            <w:r w:rsidRPr="00B24F58">
              <w:t>capacity tran</w:t>
            </w:r>
            <w:r>
              <w:t xml:space="preserve">saction reporting is mandatory from this date </w:t>
            </w:r>
            <w:r>
              <w:rPr>
                <w:szCs w:val="18"/>
              </w:rPr>
              <w:t>(except for transactions for capacity on an NT facility, if the interconnector commissioning date is after the Part 24 commencement date)</w:t>
            </w:r>
          </w:p>
        </w:tc>
        <w:tc>
          <w:tcPr>
            <w:tcW w:w="3429" w:type="dxa"/>
            <w:shd w:val="clear" w:color="auto" w:fill="FFFFFF" w:themeFill="background1"/>
          </w:tcPr>
          <w:p w14:paraId="2FC41BA5" w14:textId="77777777" w:rsidR="00B15604" w:rsidRPr="00B24F58" w:rsidRDefault="00B15604" w:rsidP="00B15604">
            <w:pPr>
              <w:pStyle w:val="TableBodyText"/>
            </w:pPr>
            <w:r>
              <w:t>Schedule 5, Part 2, rule 2(1)</w:t>
            </w:r>
          </w:p>
        </w:tc>
      </w:tr>
      <w:tr w:rsidR="00676D5D" w:rsidRPr="00B24F58" w14:paraId="1D5854D1" w14:textId="77777777" w:rsidTr="00B15604">
        <w:tc>
          <w:tcPr>
            <w:tcW w:w="1962" w:type="dxa"/>
            <w:vMerge/>
            <w:shd w:val="clear" w:color="auto" w:fill="FFFFFF" w:themeFill="background1"/>
          </w:tcPr>
          <w:p w14:paraId="7A2C5D15" w14:textId="77777777" w:rsidR="00676D5D" w:rsidRPr="00B24F58" w:rsidRDefault="00676D5D" w:rsidP="00676D5D">
            <w:pPr>
              <w:pStyle w:val="TableBodyText"/>
            </w:pPr>
          </w:p>
        </w:tc>
        <w:tc>
          <w:tcPr>
            <w:tcW w:w="3398" w:type="dxa"/>
            <w:shd w:val="clear" w:color="auto" w:fill="FFFFFF" w:themeFill="background1"/>
          </w:tcPr>
          <w:p w14:paraId="12FBEDC9" w14:textId="77777777" w:rsidR="00676D5D" w:rsidRPr="00B24F58" w:rsidRDefault="00676D5D" w:rsidP="00676D5D">
            <w:pPr>
              <w:pStyle w:val="TableBodyText"/>
            </w:pPr>
            <w:r w:rsidRPr="00B24F58">
              <w:t>F</w:t>
            </w:r>
            <w:r>
              <w:t xml:space="preserve">irst day from which </w:t>
            </w:r>
            <w:r w:rsidR="009D4D25">
              <w:t xml:space="preserve">an auction </w:t>
            </w:r>
            <w:r>
              <w:t>f</w:t>
            </w:r>
            <w:r w:rsidRPr="00B24F58">
              <w:t>acility operator must keep and maintain nom</w:t>
            </w:r>
            <w:r>
              <w:t>ination and scheduling records</w:t>
            </w:r>
          </w:p>
        </w:tc>
        <w:tc>
          <w:tcPr>
            <w:tcW w:w="3429" w:type="dxa"/>
            <w:shd w:val="clear" w:color="auto" w:fill="FFFFFF" w:themeFill="background1"/>
          </w:tcPr>
          <w:p w14:paraId="65DDF4EF" w14:textId="77777777" w:rsidR="00676D5D" w:rsidRDefault="00676D5D" w:rsidP="00676D5D">
            <w:pPr>
              <w:pStyle w:val="TableBodyText"/>
            </w:pPr>
            <w:r>
              <w:t>Schedule 5</w:t>
            </w:r>
            <w:r w:rsidRPr="00B24F58">
              <w:t xml:space="preserve">, Part 4, </w:t>
            </w:r>
            <w:r>
              <w:t>rule 4(1)</w:t>
            </w:r>
          </w:p>
          <w:p w14:paraId="0F0A6884" w14:textId="77777777" w:rsidR="00676D5D" w:rsidRPr="00B24F58" w:rsidRDefault="00676D5D" w:rsidP="00676D5D">
            <w:pPr>
              <w:pStyle w:val="TableBodyText"/>
            </w:pPr>
            <w:r>
              <w:t>Part 25, rule 665(1)</w:t>
            </w:r>
          </w:p>
        </w:tc>
      </w:tr>
      <w:tr w:rsidR="00676D5D" w:rsidRPr="00B24F58" w14:paraId="3907CC23"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shd w:val="clear" w:color="auto" w:fill="FFFFFF" w:themeFill="background1"/>
          </w:tcPr>
          <w:p w14:paraId="60BA86A1" w14:textId="77777777" w:rsidR="00676D5D" w:rsidRPr="00B24F58" w:rsidRDefault="00676D5D" w:rsidP="00676D5D">
            <w:pPr>
              <w:pStyle w:val="TableBodyText"/>
            </w:pPr>
          </w:p>
        </w:tc>
        <w:tc>
          <w:tcPr>
            <w:tcW w:w="3398" w:type="dxa"/>
            <w:shd w:val="clear" w:color="auto" w:fill="FFFFFF" w:themeFill="background1"/>
          </w:tcPr>
          <w:p w14:paraId="6ECBAADF" w14:textId="77777777" w:rsidR="00676D5D" w:rsidRPr="00B24F58" w:rsidRDefault="00676D5D" w:rsidP="00676D5D">
            <w:pPr>
              <w:pStyle w:val="TableBodyText"/>
            </w:pPr>
            <w:r w:rsidRPr="00B24F58">
              <w:t>F</w:t>
            </w:r>
            <w:r>
              <w:t>irst day from which t</w:t>
            </w:r>
            <w:r w:rsidRPr="00B24F58">
              <w:t>ransportation facility user for an auction facility m</w:t>
            </w:r>
            <w:r>
              <w:t>ust keep renomination records</w:t>
            </w:r>
          </w:p>
        </w:tc>
        <w:tc>
          <w:tcPr>
            <w:tcW w:w="3429" w:type="dxa"/>
            <w:shd w:val="clear" w:color="auto" w:fill="FFFFFF" w:themeFill="background1"/>
          </w:tcPr>
          <w:p w14:paraId="16672BCB" w14:textId="77777777" w:rsidR="00676D5D" w:rsidRDefault="00676D5D" w:rsidP="00676D5D">
            <w:pPr>
              <w:pStyle w:val="TableBodyText"/>
            </w:pPr>
            <w:r>
              <w:t>Schedule 5</w:t>
            </w:r>
            <w:r w:rsidRPr="00B24F58">
              <w:t xml:space="preserve">, Part 4, </w:t>
            </w:r>
            <w:r>
              <w:t>rule 5(1)</w:t>
            </w:r>
          </w:p>
          <w:p w14:paraId="0F07CB1D" w14:textId="77777777" w:rsidR="00676D5D" w:rsidRPr="00B24F58" w:rsidRDefault="00676D5D" w:rsidP="00676D5D">
            <w:pPr>
              <w:pStyle w:val="TableBodyText"/>
            </w:pPr>
            <w:r>
              <w:t>Part 25, rule 666(1)</w:t>
            </w:r>
          </w:p>
        </w:tc>
      </w:tr>
      <w:tr w:rsidR="00676D5D" w:rsidRPr="00B24F58" w14:paraId="5FABDFAE" w14:textId="77777777" w:rsidTr="00B15604">
        <w:tc>
          <w:tcPr>
            <w:tcW w:w="1962" w:type="dxa"/>
            <w:vMerge w:val="restart"/>
            <w:shd w:val="clear" w:color="auto" w:fill="E1E2E7" w:themeFill="background2"/>
          </w:tcPr>
          <w:p w14:paraId="7B2F21D2" w14:textId="77777777" w:rsidR="00676D5D" w:rsidRPr="00B24F58" w:rsidRDefault="00676D5D" w:rsidP="00676D5D">
            <w:pPr>
              <w:pStyle w:val="TableBodyText"/>
            </w:pPr>
            <w:r w:rsidRPr="00B24F58">
              <w:t>2 March 2019</w:t>
            </w:r>
          </w:p>
        </w:tc>
        <w:tc>
          <w:tcPr>
            <w:tcW w:w="3398" w:type="dxa"/>
            <w:shd w:val="clear" w:color="auto" w:fill="E1E2E7" w:themeFill="background2"/>
          </w:tcPr>
          <w:p w14:paraId="5A315D97" w14:textId="77777777" w:rsidR="00676D5D" w:rsidRPr="00B24F58" w:rsidRDefault="00676D5D" w:rsidP="00676D5D">
            <w:pPr>
              <w:pStyle w:val="TableBodyText"/>
            </w:pPr>
            <w:r w:rsidRPr="00B24F58">
              <w:t>First day for use of auctioned capacity</w:t>
            </w:r>
          </w:p>
        </w:tc>
        <w:tc>
          <w:tcPr>
            <w:tcW w:w="3429" w:type="dxa"/>
            <w:shd w:val="clear" w:color="auto" w:fill="E1E2E7" w:themeFill="background2"/>
          </w:tcPr>
          <w:p w14:paraId="32E03DB4" w14:textId="77777777" w:rsidR="00676D5D" w:rsidRPr="00B24F58" w:rsidRDefault="00676D5D" w:rsidP="00676D5D">
            <w:pPr>
              <w:pStyle w:val="TableBodyText"/>
            </w:pPr>
            <w:r>
              <w:t>Follows from day-ahead nature of auction</w:t>
            </w:r>
          </w:p>
        </w:tc>
      </w:tr>
      <w:tr w:rsidR="00676D5D" w:rsidRPr="00B24F58" w14:paraId="3DB87047"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vMerge/>
          </w:tcPr>
          <w:p w14:paraId="5FB10661" w14:textId="77777777" w:rsidR="00676D5D" w:rsidRPr="00B24F58" w:rsidRDefault="00676D5D" w:rsidP="00676D5D">
            <w:pPr>
              <w:pStyle w:val="TableBodyText"/>
            </w:pPr>
          </w:p>
        </w:tc>
        <w:tc>
          <w:tcPr>
            <w:tcW w:w="3398" w:type="dxa"/>
          </w:tcPr>
          <w:p w14:paraId="254E8DDB" w14:textId="77777777" w:rsidR="00676D5D" w:rsidRPr="00B24F58" w:rsidRDefault="00676D5D" w:rsidP="00676D5D">
            <w:pPr>
              <w:pStyle w:val="TableBodyText"/>
            </w:pPr>
            <w:r>
              <w:t xml:space="preserve">First day for use of transportation capacity purchased through the GSH </w:t>
            </w:r>
          </w:p>
        </w:tc>
        <w:tc>
          <w:tcPr>
            <w:tcW w:w="3429" w:type="dxa"/>
          </w:tcPr>
          <w:p w14:paraId="51A4E37F" w14:textId="77777777" w:rsidR="00676D5D" w:rsidRPr="00B24F58" w:rsidRDefault="00676D5D" w:rsidP="00676D5D">
            <w:pPr>
              <w:pStyle w:val="TableBodyText"/>
            </w:pPr>
            <w:r>
              <w:t>Follows from day-ahead nature of product</w:t>
            </w:r>
          </w:p>
        </w:tc>
      </w:tr>
      <w:tr w:rsidR="00676D5D" w:rsidRPr="00B24F58" w14:paraId="49472C8F" w14:textId="77777777" w:rsidTr="00B15604">
        <w:tc>
          <w:tcPr>
            <w:tcW w:w="1962" w:type="dxa"/>
          </w:tcPr>
          <w:p w14:paraId="67B83845" w14:textId="77777777" w:rsidR="00676D5D" w:rsidRPr="00B24F58" w:rsidRDefault="00676D5D" w:rsidP="00676D5D">
            <w:pPr>
              <w:pStyle w:val="TableBodyText"/>
            </w:pPr>
            <w:r w:rsidRPr="00B24F58">
              <w:t>1 April 2019</w:t>
            </w:r>
          </w:p>
        </w:tc>
        <w:tc>
          <w:tcPr>
            <w:tcW w:w="3398" w:type="dxa"/>
          </w:tcPr>
          <w:p w14:paraId="21539F29" w14:textId="77777777" w:rsidR="00676D5D" w:rsidRPr="00B24F58" w:rsidRDefault="00676D5D" w:rsidP="00676D5D">
            <w:pPr>
              <w:pStyle w:val="TableBodyText"/>
            </w:pPr>
            <w:r w:rsidRPr="00B24F58">
              <w:t>AEMO must publish information about the arrangement</w:t>
            </w:r>
            <w:r>
              <w:t>s</w:t>
            </w:r>
            <w:r w:rsidRPr="00B24F58">
              <w:t xml:space="preserve"> for transition to </w:t>
            </w:r>
            <w:r>
              <w:t>the standard market timetable</w:t>
            </w:r>
          </w:p>
        </w:tc>
        <w:tc>
          <w:tcPr>
            <w:tcW w:w="3429" w:type="dxa"/>
          </w:tcPr>
          <w:p w14:paraId="200DB78C" w14:textId="77777777" w:rsidR="00676D5D" w:rsidRPr="00B24F58" w:rsidRDefault="00676D5D" w:rsidP="00676D5D">
            <w:pPr>
              <w:pStyle w:val="TableBodyText"/>
            </w:pPr>
            <w:r>
              <w:t>Schedule 5, Part 6, rule 3</w:t>
            </w:r>
          </w:p>
        </w:tc>
      </w:tr>
      <w:tr w:rsidR="00676D5D" w:rsidRPr="00B24F58" w14:paraId="17D2D4DA" w14:textId="77777777" w:rsidTr="00B15604">
        <w:trPr>
          <w:cnfStyle w:val="000000010000" w:firstRow="0" w:lastRow="0" w:firstColumn="0" w:lastColumn="0" w:oddVBand="0" w:evenVBand="0" w:oddHBand="0" w:evenHBand="1" w:firstRowFirstColumn="0" w:firstRowLastColumn="0" w:lastRowFirstColumn="0" w:lastRowLastColumn="0"/>
        </w:trPr>
        <w:tc>
          <w:tcPr>
            <w:tcW w:w="1962" w:type="dxa"/>
          </w:tcPr>
          <w:p w14:paraId="4A85345A" w14:textId="77777777" w:rsidR="00676D5D" w:rsidRPr="00B24F58" w:rsidRDefault="00676D5D" w:rsidP="00676D5D">
            <w:pPr>
              <w:pStyle w:val="TableBodyText"/>
            </w:pPr>
            <w:r w:rsidRPr="00B24F58">
              <w:t>30 June 2019</w:t>
            </w:r>
          </w:p>
        </w:tc>
        <w:tc>
          <w:tcPr>
            <w:tcW w:w="3398" w:type="dxa"/>
          </w:tcPr>
          <w:p w14:paraId="733648B1" w14:textId="77777777" w:rsidR="00676D5D" w:rsidRPr="00B24F58" w:rsidRDefault="00676D5D" w:rsidP="00676D5D">
            <w:pPr>
              <w:pStyle w:val="TableBodyText"/>
            </w:pPr>
            <w:r w:rsidRPr="00B24F58">
              <w:t xml:space="preserve">Facility operator for a natural gas facility must publish information about </w:t>
            </w:r>
            <w:r>
              <w:t xml:space="preserve">its </w:t>
            </w:r>
            <w:r w:rsidRPr="00B24F58">
              <w:t xml:space="preserve">arrangements for the transition to the standard </w:t>
            </w:r>
            <w:r>
              <w:t>market timetable</w:t>
            </w:r>
          </w:p>
        </w:tc>
        <w:tc>
          <w:tcPr>
            <w:tcW w:w="3429" w:type="dxa"/>
          </w:tcPr>
          <w:p w14:paraId="048FB301" w14:textId="77777777" w:rsidR="00676D5D" w:rsidRPr="00B24F58" w:rsidRDefault="00676D5D" w:rsidP="00676D5D">
            <w:pPr>
              <w:pStyle w:val="TableBodyText"/>
            </w:pPr>
            <w:r>
              <w:t>Schedule 5</w:t>
            </w:r>
            <w:r w:rsidRPr="00B24F58">
              <w:t>, Part 6,</w:t>
            </w:r>
            <w:r>
              <w:t xml:space="preserve"> rule 4</w:t>
            </w:r>
          </w:p>
        </w:tc>
      </w:tr>
      <w:tr w:rsidR="00676D5D" w:rsidRPr="00B24F58" w14:paraId="75CDC42F" w14:textId="77777777" w:rsidTr="00B15604">
        <w:tc>
          <w:tcPr>
            <w:tcW w:w="1962" w:type="dxa"/>
          </w:tcPr>
          <w:p w14:paraId="0E3C7E79" w14:textId="77777777" w:rsidR="00676D5D" w:rsidRPr="00B24F58" w:rsidRDefault="00676D5D" w:rsidP="00676D5D">
            <w:pPr>
              <w:pStyle w:val="TableBodyText"/>
            </w:pPr>
            <w:r w:rsidRPr="00B24F58">
              <w:t>1 October 2019</w:t>
            </w:r>
          </w:p>
        </w:tc>
        <w:tc>
          <w:tcPr>
            <w:tcW w:w="3398" w:type="dxa"/>
          </w:tcPr>
          <w:p w14:paraId="41CCA22D" w14:textId="77777777" w:rsidR="00676D5D" w:rsidRPr="00B24F58" w:rsidRDefault="00676D5D" w:rsidP="00676D5D">
            <w:pPr>
              <w:pStyle w:val="TableBodyText"/>
            </w:pPr>
            <w:r w:rsidRPr="00B24F58">
              <w:t xml:space="preserve">Standard </w:t>
            </w:r>
            <w:r>
              <w:t>m</w:t>
            </w:r>
            <w:r w:rsidRPr="00B24F58">
              <w:t xml:space="preserve">arket </w:t>
            </w:r>
            <w:r>
              <w:t>timetable comes into effect</w:t>
            </w:r>
          </w:p>
        </w:tc>
        <w:tc>
          <w:tcPr>
            <w:tcW w:w="3429" w:type="dxa"/>
          </w:tcPr>
          <w:p w14:paraId="6276775B" w14:textId="77777777" w:rsidR="00676D5D" w:rsidRPr="00B24F58" w:rsidRDefault="00676D5D" w:rsidP="00676D5D">
            <w:pPr>
              <w:pStyle w:val="TableBodyText"/>
            </w:pPr>
            <w:r>
              <w:t>Schedule 5</w:t>
            </w:r>
            <w:r w:rsidRPr="00B24F58">
              <w:t>, Part 6, definit</w:t>
            </w:r>
            <w:r>
              <w:t>ion of ‘Part 26 transition date’ and rule 2</w:t>
            </w:r>
          </w:p>
        </w:tc>
      </w:tr>
      <w:tr w:rsidR="00676D5D" w:rsidRPr="00B24F58" w14:paraId="2D9EA7A4" w14:textId="77777777" w:rsidTr="00B15604">
        <w:trPr>
          <w:cnfStyle w:val="000000010000" w:firstRow="0" w:lastRow="0" w:firstColumn="0" w:lastColumn="0" w:oddVBand="0" w:evenVBand="0" w:oddHBand="0" w:evenHBand="1" w:firstRowFirstColumn="0" w:firstRowLastColumn="0" w:lastRowFirstColumn="0" w:lastRowLastColumn="0"/>
          <w:trHeight w:val="118"/>
        </w:trPr>
        <w:tc>
          <w:tcPr>
            <w:tcW w:w="1962" w:type="dxa"/>
          </w:tcPr>
          <w:p w14:paraId="71EC2F04" w14:textId="77777777" w:rsidR="00676D5D" w:rsidRPr="00B24F58" w:rsidRDefault="00676D5D" w:rsidP="00676D5D">
            <w:pPr>
              <w:pStyle w:val="TableBodyText"/>
            </w:pPr>
            <w:r>
              <w:t xml:space="preserve">First anniversary of </w:t>
            </w:r>
            <w:r w:rsidR="00EB2158">
              <w:t xml:space="preserve">initial Rules </w:t>
            </w:r>
            <w:r>
              <w:t>start date</w:t>
            </w:r>
          </w:p>
        </w:tc>
        <w:tc>
          <w:tcPr>
            <w:tcW w:w="3398" w:type="dxa"/>
          </w:tcPr>
          <w:p w14:paraId="0CD494AF" w14:textId="77777777" w:rsidR="00676D5D" w:rsidRPr="00B24F58" w:rsidRDefault="00676D5D" w:rsidP="00676D5D">
            <w:pPr>
              <w:pStyle w:val="TableBodyText"/>
            </w:pPr>
            <w:r>
              <w:t>First day for Code modifications to come into effect (unless urgent or minor)</w:t>
            </w:r>
          </w:p>
        </w:tc>
        <w:tc>
          <w:tcPr>
            <w:tcW w:w="3429" w:type="dxa"/>
          </w:tcPr>
          <w:p w14:paraId="5258A429" w14:textId="77777777" w:rsidR="00676D5D" w:rsidRPr="00B24F58" w:rsidRDefault="00676D5D" w:rsidP="00676D5D">
            <w:pPr>
              <w:pStyle w:val="TableBodyText"/>
            </w:pPr>
            <w:r>
              <w:t>Schedule 5, Part 3, rule 2</w:t>
            </w:r>
          </w:p>
        </w:tc>
      </w:tr>
      <w:tr w:rsidR="00676D5D" w:rsidRPr="00B24F58" w14:paraId="3A9E7622" w14:textId="77777777" w:rsidTr="00B15604">
        <w:trPr>
          <w:trHeight w:val="118"/>
        </w:trPr>
        <w:tc>
          <w:tcPr>
            <w:tcW w:w="1962" w:type="dxa"/>
          </w:tcPr>
          <w:p w14:paraId="3A9203E3" w14:textId="77777777" w:rsidR="00676D5D" w:rsidRDefault="00676D5D" w:rsidP="00676D5D">
            <w:pPr>
              <w:pStyle w:val="TableBodyText"/>
            </w:pPr>
            <w:r>
              <w:t>1 March 2021</w:t>
            </w:r>
          </w:p>
        </w:tc>
        <w:tc>
          <w:tcPr>
            <w:tcW w:w="3398" w:type="dxa"/>
          </w:tcPr>
          <w:p w14:paraId="0EABF5FB" w14:textId="77777777" w:rsidR="00676D5D" w:rsidRPr="00B24F58" w:rsidRDefault="00676D5D" w:rsidP="00676D5D">
            <w:pPr>
              <w:pStyle w:val="TableBodyText"/>
            </w:pPr>
            <w:r>
              <w:t>Grandfathering of rights for the purposes of the capacity auction ceases at 6:00 am</w:t>
            </w:r>
          </w:p>
        </w:tc>
        <w:tc>
          <w:tcPr>
            <w:tcW w:w="3429" w:type="dxa"/>
          </w:tcPr>
          <w:p w14:paraId="760861D7" w14:textId="77777777" w:rsidR="00676D5D" w:rsidRDefault="00676D5D" w:rsidP="00676D5D">
            <w:pPr>
              <w:pStyle w:val="TableBodyText"/>
            </w:pPr>
            <w:r>
              <w:t>Schedule 5, Part 4, rule 1 definition of ‘protected rights transition period’</w:t>
            </w:r>
          </w:p>
        </w:tc>
      </w:tr>
    </w:tbl>
    <w:p w14:paraId="6C26C819" w14:textId="77777777" w:rsidR="00F72BCF" w:rsidRDefault="00F72BCF" w:rsidP="00F72BCF">
      <w:pPr>
        <w:rPr>
          <w:b/>
          <w:szCs w:val="18"/>
        </w:rPr>
      </w:pPr>
    </w:p>
    <w:p w14:paraId="26D74771" w14:textId="77777777" w:rsidR="00F72BCF" w:rsidRPr="00B24F58" w:rsidRDefault="00676D5D" w:rsidP="00676D5D">
      <w:pPr>
        <w:pStyle w:val="Caption"/>
        <w:rPr>
          <w:b w:val="0"/>
          <w:szCs w:val="18"/>
        </w:rPr>
      </w:pPr>
      <w:bookmarkStart w:id="133" w:name="_Ref509117864"/>
      <w:r>
        <w:lastRenderedPageBreak/>
        <w:t xml:space="preserve">Table </w:t>
      </w:r>
      <w:fldSimple w:instr=" STYLEREF 1 \s ">
        <w:r w:rsidR="00830BE4">
          <w:rPr>
            <w:noProof/>
          </w:rPr>
          <w:t>9</w:t>
        </w:r>
      </w:fldSimple>
      <w:r>
        <w:t>.</w:t>
      </w:r>
      <w:fldSimple w:instr=" SEQ Table \* ARABIC \s 1 ">
        <w:r w:rsidR="00830BE4">
          <w:rPr>
            <w:noProof/>
          </w:rPr>
          <w:t>2</w:t>
        </w:r>
      </w:fldSimple>
      <w:bookmarkEnd w:id="133"/>
      <w:r>
        <w:t>:</w:t>
      </w:r>
      <w:r w:rsidRPr="00676D5D">
        <w:t xml:space="preserve"> </w:t>
      </w:r>
      <w:r w:rsidR="00F72BCF" w:rsidRPr="00676D5D">
        <w:rPr>
          <w:szCs w:val="18"/>
        </w:rPr>
        <w:t xml:space="preserve">Key timing for </w:t>
      </w:r>
      <w:r>
        <w:rPr>
          <w:szCs w:val="18"/>
        </w:rPr>
        <w:t>i</w:t>
      </w:r>
      <w:r w:rsidR="00F72BCF" w:rsidRPr="00676D5D">
        <w:rPr>
          <w:szCs w:val="18"/>
        </w:rPr>
        <w:t xml:space="preserve">nitial </w:t>
      </w:r>
      <w:r>
        <w:rPr>
          <w:szCs w:val="18"/>
        </w:rPr>
        <w:t>Part 24 f</w:t>
      </w:r>
      <w:r w:rsidR="00F72BCF" w:rsidRPr="00676D5D">
        <w:rPr>
          <w:szCs w:val="18"/>
        </w:rPr>
        <w:t>acilities and allocation agents (including facilities that will apply for an exemption)</w:t>
      </w:r>
    </w:p>
    <w:tbl>
      <w:tblPr>
        <w:tblStyle w:val="TableGrid"/>
        <w:tblW w:w="5000" w:type="pct"/>
        <w:tblLook w:val="04A0" w:firstRow="1" w:lastRow="0" w:firstColumn="1" w:lastColumn="0" w:noHBand="0" w:noVBand="1"/>
        <w:tblCaption w:val="Table 9.2: Key timing for initial Part 24 facilities and allocation agents (including facilities that will apply for an exemption)"/>
        <w:tblDescription w:val="Key timing for initial Part 24 facilities and allocation agents (including facilities that will apply for an exemption)"/>
      </w:tblPr>
      <w:tblGrid>
        <w:gridCol w:w="2678"/>
        <w:gridCol w:w="3621"/>
        <w:gridCol w:w="2490"/>
      </w:tblGrid>
      <w:tr w:rsidR="00676D5D" w:rsidRPr="00B24F58" w14:paraId="6BF114E0" w14:textId="77777777" w:rsidTr="00676D5D">
        <w:trPr>
          <w:cnfStyle w:val="100000000000" w:firstRow="1" w:lastRow="0" w:firstColumn="0" w:lastColumn="0" w:oddVBand="0" w:evenVBand="0" w:oddHBand="0" w:evenHBand="0" w:firstRowFirstColumn="0" w:firstRowLastColumn="0" w:lastRowFirstColumn="0" w:lastRowLastColumn="0"/>
          <w:tblHeader/>
        </w:trPr>
        <w:tc>
          <w:tcPr>
            <w:tcW w:w="2139" w:type="dxa"/>
            <w:shd w:val="clear" w:color="auto" w:fill="0099CC"/>
          </w:tcPr>
          <w:p w14:paraId="2BDC844E" w14:textId="77777777" w:rsidR="00676D5D" w:rsidRPr="00B24F58" w:rsidRDefault="00676D5D" w:rsidP="00676D5D">
            <w:pPr>
              <w:keepNext/>
              <w:rPr>
                <w:b w:val="0"/>
                <w:szCs w:val="18"/>
              </w:rPr>
            </w:pPr>
            <w:r>
              <w:rPr>
                <w:szCs w:val="18"/>
              </w:rPr>
              <w:t xml:space="preserve">Date </w:t>
            </w:r>
          </w:p>
        </w:tc>
        <w:tc>
          <w:tcPr>
            <w:tcW w:w="2891" w:type="dxa"/>
            <w:shd w:val="clear" w:color="auto" w:fill="0099CC"/>
          </w:tcPr>
          <w:p w14:paraId="45CC7E66" w14:textId="77777777" w:rsidR="00676D5D" w:rsidRPr="00B24F58" w:rsidRDefault="00676D5D" w:rsidP="00676D5D">
            <w:pPr>
              <w:keepNext/>
              <w:rPr>
                <w:b w:val="0"/>
                <w:szCs w:val="18"/>
              </w:rPr>
            </w:pPr>
            <w:r w:rsidRPr="00B24F58">
              <w:rPr>
                <w:szCs w:val="18"/>
              </w:rPr>
              <w:t>Activity</w:t>
            </w:r>
          </w:p>
        </w:tc>
        <w:tc>
          <w:tcPr>
            <w:tcW w:w="1988" w:type="dxa"/>
            <w:shd w:val="clear" w:color="auto" w:fill="0099CC"/>
          </w:tcPr>
          <w:p w14:paraId="5119F5A1" w14:textId="77777777" w:rsidR="00676D5D" w:rsidRPr="00B24F58" w:rsidRDefault="00676D5D" w:rsidP="00676D5D">
            <w:pPr>
              <w:keepNext/>
              <w:rPr>
                <w:b w:val="0"/>
                <w:szCs w:val="18"/>
              </w:rPr>
            </w:pPr>
            <w:r>
              <w:rPr>
                <w:szCs w:val="18"/>
              </w:rPr>
              <w:t xml:space="preserve">Reference </w:t>
            </w:r>
          </w:p>
        </w:tc>
      </w:tr>
      <w:tr w:rsidR="00676D5D" w:rsidRPr="00B24F58" w14:paraId="5EA1C111" w14:textId="77777777" w:rsidTr="00676D5D">
        <w:tc>
          <w:tcPr>
            <w:tcW w:w="2139" w:type="dxa"/>
            <w:vMerge w:val="restart"/>
            <w:shd w:val="clear" w:color="auto" w:fill="FFFFFF" w:themeFill="background1"/>
          </w:tcPr>
          <w:p w14:paraId="1ABACB17" w14:textId="77777777" w:rsidR="00676D5D" w:rsidRPr="00B24F58" w:rsidRDefault="00676D5D" w:rsidP="00676D5D">
            <w:pPr>
              <w:keepNext/>
              <w:rPr>
                <w:szCs w:val="18"/>
              </w:rPr>
            </w:pPr>
            <w:r>
              <w:rPr>
                <w:szCs w:val="18"/>
              </w:rPr>
              <w:t>Rules start date on or before 1 December 2018</w:t>
            </w:r>
          </w:p>
        </w:tc>
        <w:tc>
          <w:tcPr>
            <w:tcW w:w="2891" w:type="dxa"/>
            <w:shd w:val="clear" w:color="auto" w:fill="FFFFFF" w:themeFill="background1"/>
          </w:tcPr>
          <w:p w14:paraId="0B0DF29F" w14:textId="77777777" w:rsidR="00676D5D" w:rsidRDefault="00676D5D" w:rsidP="00676D5D">
            <w:pPr>
              <w:keepNext/>
              <w:rPr>
                <w:szCs w:val="18"/>
              </w:rPr>
            </w:pPr>
            <w:r w:rsidRPr="00B24F58">
              <w:rPr>
                <w:szCs w:val="18"/>
              </w:rPr>
              <w:t>Trigger date for being an initial Part 24 facility</w:t>
            </w:r>
          </w:p>
          <w:p w14:paraId="31217942" w14:textId="77777777" w:rsidR="00676D5D" w:rsidRPr="00B24F58" w:rsidRDefault="00676D5D" w:rsidP="00676D5D">
            <w:pPr>
              <w:keepNext/>
              <w:rPr>
                <w:szCs w:val="18"/>
              </w:rPr>
            </w:pPr>
            <w:r>
              <w:rPr>
                <w:szCs w:val="18"/>
              </w:rPr>
              <w:t>Will include NT facilities if the commissioning date for the NT interconnector is on or before the rules start date</w:t>
            </w:r>
          </w:p>
        </w:tc>
        <w:tc>
          <w:tcPr>
            <w:tcW w:w="1988" w:type="dxa"/>
            <w:shd w:val="clear" w:color="auto" w:fill="FFFFFF" w:themeFill="background1"/>
          </w:tcPr>
          <w:p w14:paraId="6C3594FE" w14:textId="77777777" w:rsidR="00676D5D" w:rsidRPr="00B24F58" w:rsidRDefault="00676D5D" w:rsidP="00676D5D">
            <w:pPr>
              <w:keepNext/>
              <w:rPr>
                <w:szCs w:val="18"/>
              </w:rPr>
            </w:pPr>
            <w:r>
              <w:rPr>
                <w:szCs w:val="18"/>
              </w:rPr>
              <w:t>Schedule 5, Part 3, rule 5</w:t>
            </w:r>
          </w:p>
        </w:tc>
      </w:tr>
      <w:tr w:rsidR="00676D5D" w:rsidRPr="00B24F58" w14:paraId="067BB78D" w14:textId="77777777" w:rsidTr="00676D5D">
        <w:trPr>
          <w:cnfStyle w:val="000000010000" w:firstRow="0" w:lastRow="0" w:firstColumn="0" w:lastColumn="0" w:oddVBand="0" w:evenVBand="0" w:oddHBand="0" w:evenHBand="1" w:firstRowFirstColumn="0" w:firstRowLastColumn="0" w:lastRowFirstColumn="0" w:lastRowLastColumn="0"/>
        </w:trPr>
        <w:tc>
          <w:tcPr>
            <w:tcW w:w="2139" w:type="dxa"/>
            <w:vMerge/>
            <w:shd w:val="clear" w:color="auto" w:fill="FFFFFF" w:themeFill="background1"/>
          </w:tcPr>
          <w:p w14:paraId="7E789F7C" w14:textId="77777777" w:rsidR="00676D5D" w:rsidRDefault="00676D5D" w:rsidP="00676D5D">
            <w:pPr>
              <w:keepNext/>
              <w:rPr>
                <w:szCs w:val="18"/>
              </w:rPr>
            </w:pPr>
          </w:p>
        </w:tc>
        <w:tc>
          <w:tcPr>
            <w:tcW w:w="2891" w:type="dxa"/>
            <w:shd w:val="clear" w:color="auto" w:fill="FFFFFF" w:themeFill="background1"/>
          </w:tcPr>
          <w:p w14:paraId="748B50FA" w14:textId="77777777" w:rsidR="00676D5D" w:rsidRPr="00B24F58" w:rsidRDefault="00676D5D" w:rsidP="00676D5D">
            <w:pPr>
              <w:keepNext/>
              <w:rPr>
                <w:szCs w:val="18"/>
              </w:rPr>
            </w:pPr>
            <w:r>
              <w:rPr>
                <w:szCs w:val="18"/>
              </w:rPr>
              <w:t>Trigger date for being an existing BB allocation agent and existing BB allocation point</w:t>
            </w:r>
          </w:p>
        </w:tc>
        <w:tc>
          <w:tcPr>
            <w:tcW w:w="1988" w:type="dxa"/>
            <w:shd w:val="clear" w:color="auto" w:fill="FFFFFF" w:themeFill="background1"/>
          </w:tcPr>
          <w:p w14:paraId="1FAE8D9E" w14:textId="77777777" w:rsidR="00676D5D" w:rsidRDefault="00676D5D" w:rsidP="00676D5D">
            <w:pPr>
              <w:keepNext/>
              <w:rPr>
                <w:szCs w:val="18"/>
              </w:rPr>
            </w:pPr>
            <w:r>
              <w:rPr>
                <w:szCs w:val="18"/>
              </w:rPr>
              <w:t>Schedule 5, Part 2, rule 3</w:t>
            </w:r>
          </w:p>
        </w:tc>
      </w:tr>
      <w:tr w:rsidR="00676D5D" w:rsidRPr="00B24F58" w14:paraId="17396868" w14:textId="77777777" w:rsidTr="00676D5D">
        <w:trPr>
          <w:trHeight w:val="1984"/>
        </w:trPr>
        <w:tc>
          <w:tcPr>
            <w:tcW w:w="2139" w:type="dxa"/>
            <w:vMerge w:val="restart"/>
            <w:shd w:val="clear" w:color="auto" w:fill="E1E2E7" w:themeFill="background2"/>
          </w:tcPr>
          <w:p w14:paraId="533D44D5" w14:textId="77777777" w:rsidR="00676D5D" w:rsidRPr="00B24F58" w:rsidRDefault="00676D5D" w:rsidP="00676D5D">
            <w:pPr>
              <w:keepNext/>
              <w:rPr>
                <w:szCs w:val="18"/>
              </w:rPr>
            </w:pPr>
            <w:r>
              <w:rPr>
                <w:szCs w:val="18"/>
              </w:rPr>
              <w:t>Rules start date + 20 business days</w:t>
            </w:r>
          </w:p>
        </w:tc>
        <w:tc>
          <w:tcPr>
            <w:tcW w:w="2891" w:type="dxa"/>
            <w:shd w:val="clear" w:color="auto" w:fill="E1E2E7" w:themeFill="background2"/>
          </w:tcPr>
          <w:p w14:paraId="70868A73" w14:textId="77777777" w:rsidR="00676D5D" w:rsidRDefault="00676D5D" w:rsidP="00676D5D">
            <w:pPr>
              <w:keepNext/>
              <w:rPr>
                <w:szCs w:val="18"/>
              </w:rPr>
            </w:pPr>
            <w:r>
              <w:rPr>
                <w:szCs w:val="18"/>
              </w:rPr>
              <w:t>Last date for the t</w:t>
            </w:r>
            <w:r w:rsidRPr="00B24F58">
              <w:rPr>
                <w:szCs w:val="18"/>
              </w:rPr>
              <w:t>ransportation service provider for a</w:t>
            </w:r>
            <w:r>
              <w:rPr>
                <w:szCs w:val="18"/>
              </w:rPr>
              <w:t xml:space="preserve">n initial </w:t>
            </w:r>
            <w:r w:rsidRPr="00B24F58">
              <w:rPr>
                <w:szCs w:val="18"/>
              </w:rPr>
              <w:t xml:space="preserve">Part 24 facility </w:t>
            </w:r>
            <w:r>
              <w:rPr>
                <w:szCs w:val="18"/>
              </w:rPr>
              <w:t>(if not the subject of a transitional exemption) to</w:t>
            </w:r>
            <w:r w:rsidRPr="00B24F58">
              <w:rPr>
                <w:szCs w:val="18"/>
              </w:rPr>
              <w:t xml:space="preserve"> apply </w:t>
            </w:r>
            <w:r>
              <w:rPr>
                <w:szCs w:val="18"/>
              </w:rPr>
              <w:t>to register under Part 24</w:t>
            </w:r>
          </w:p>
        </w:tc>
        <w:tc>
          <w:tcPr>
            <w:tcW w:w="1988" w:type="dxa"/>
            <w:shd w:val="clear" w:color="auto" w:fill="E1E2E7" w:themeFill="background2"/>
          </w:tcPr>
          <w:p w14:paraId="747A4D45" w14:textId="77777777" w:rsidR="00676D5D" w:rsidRDefault="00676D5D" w:rsidP="00676D5D">
            <w:pPr>
              <w:keepNext/>
              <w:rPr>
                <w:szCs w:val="18"/>
              </w:rPr>
            </w:pPr>
            <w:r>
              <w:rPr>
                <w:szCs w:val="18"/>
              </w:rPr>
              <w:t>Schedule 5, Part 3, rule 5</w:t>
            </w:r>
          </w:p>
          <w:p w14:paraId="12F334B3" w14:textId="77777777" w:rsidR="00676D5D" w:rsidRPr="00B24F58" w:rsidRDefault="00676D5D" w:rsidP="00676D5D">
            <w:pPr>
              <w:keepNext/>
              <w:rPr>
                <w:szCs w:val="18"/>
              </w:rPr>
            </w:pPr>
            <w:r>
              <w:rPr>
                <w:szCs w:val="18"/>
              </w:rPr>
              <w:t xml:space="preserve">Part 24, rule 618  </w:t>
            </w:r>
          </w:p>
        </w:tc>
      </w:tr>
      <w:tr w:rsidR="00676D5D" w:rsidRPr="00B24F58" w14:paraId="4138F90D" w14:textId="77777777" w:rsidTr="00676D5D">
        <w:trPr>
          <w:cnfStyle w:val="000000010000" w:firstRow="0" w:lastRow="0" w:firstColumn="0" w:lastColumn="0" w:oddVBand="0" w:evenVBand="0" w:oddHBand="0" w:evenHBand="1" w:firstRowFirstColumn="0" w:firstRowLastColumn="0" w:lastRowFirstColumn="0" w:lastRowLastColumn="0"/>
        </w:trPr>
        <w:tc>
          <w:tcPr>
            <w:tcW w:w="2139" w:type="dxa"/>
            <w:vMerge/>
          </w:tcPr>
          <w:p w14:paraId="10672C29" w14:textId="77777777" w:rsidR="00676D5D" w:rsidRPr="00B24F58" w:rsidRDefault="00676D5D" w:rsidP="00676D5D">
            <w:pPr>
              <w:keepNext/>
              <w:rPr>
                <w:szCs w:val="18"/>
              </w:rPr>
            </w:pPr>
          </w:p>
        </w:tc>
        <w:tc>
          <w:tcPr>
            <w:tcW w:w="2891" w:type="dxa"/>
          </w:tcPr>
          <w:p w14:paraId="6115D438" w14:textId="77777777" w:rsidR="00676D5D" w:rsidRPr="00B24F58" w:rsidRDefault="00676D5D" w:rsidP="00676D5D">
            <w:pPr>
              <w:keepNext/>
              <w:rPr>
                <w:szCs w:val="18"/>
              </w:rPr>
            </w:pPr>
            <w:r>
              <w:rPr>
                <w:szCs w:val="18"/>
              </w:rPr>
              <w:t xml:space="preserve">Last date to apply to register </w:t>
            </w:r>
            <w:r w:rsidRPr="00B24F58">
              <w:rPr>
                <w:szCs w:val="18"/>
              </w:rPr>
              <w:t>a</w:t>
            </w:r>
            <w:r>
              <w:rPr>
                <w:szCs w:val="18"/>
              </w:rPr>
              <w:t xml:space="preserve">n initial </w:t>
            </w:r>
            <w:r w:rsidRPr="00B24F58">
              <w:rPr>
                <w:szCs w:val="18"/>
              </w:rPr>
              <w:t xml:space="preserve">Part 24 facility </w:t>
            </w:r>
            <w:r>
              <w:rPr>
                <w:szCs w:val="18"/>
              </w:rPr>
              <w:t>under Part 24 (if not the subject of a transitional exemption)</w:t>
            </w:r>
          </w:p>
        </w:tc>
        <w:tc>
          <w:tcPr>
            <w:tcW w:w="1988" w:type="dxa"/>
          </w:tcPr>
          <w:p w14:paraId="1D7B5272" w14:textId="77777777" w:rsidR="00676D5D" w:rsidRDefault="00676D5D" w:rsidP="00676D5D">
            <w:pPr>
              <w:keepNext/>
              <w:rPr>
                <w:szCs w:val="18"/>
              </w:rPr>
            </w:pPr>
            <w:r>
              <w:rPr>
                <w:szCs w:val="18"/>
              </w:rPr>
              <w:t>Schedule 5, Part 3, rule 4</w:t>
            </w:r>
          </w:p>
          <w:p w14:paraId="1F169AAF" w14:textId="77777777" w:rsidR="00676D5D" w:rsidRPr="00B24F58" w:rsidRDefault="00676D5D" w:rsidP="00676D5D">
            <w:pPr>
              <w:keepNext/>
              <w:rPr>
                <w:szCs w:val="18"/>
              </w:rPr>
            </w:pPr>
            <w:r>
              <w:rPr>
                <w:szCs w:val="18"/>
              </w:rPr>
              <w:t>Part 24, rule 619</w:t>
            </w:r>
          </w:p>
        </w:tc>
      </w:tr>
      <w:tr w:rsidR="00676D5D" w:rsidRPr="00B24F58" w14:paraId="0D42B0BA" w14:textId="77777777" w:rsidTr="00676D5D">
        <w:tc>
          <w:tcPr>
            <w:tcW w:w="2139" w:type="dxa"/>
            <w:vMerge/>
            <w:shd w:val="clear" w:color="auto" w:fill="E1E2E7" w:themeFill="background2"/>
          </w:tcPr>
          <w:p w14:paraId="41B73A85" w14:textId="77777777" w:rsidR="00676D5D" w:rsidRPr="00B24F58" w:rsidRDefault="00676D5D" w:rsidP="00676D5D">
            <w:pPr>
              <w:keepNext/>
              <w:rPr>
                <w:szCs w:val="18"/>
              </w:rPr>
            </w:pPr>
          </w:p>
        </w:tc>
        <w:tc>
          <w:tcPr>
            <w:tcW w:w="2891" w:type="dxa"/>
            <w:shd w:val="clear" w:color="auto" w:fill="E1E2E7" w:themeFill="background2"/>
          </w:tcPr>
          <w:p w14:paraId="2D4CCF24" w14:textId="77777777" w:rsidR="00676D5D" w:rsidRPr="00B24F58" w:rsidRDefault="00676D5D" w:rsidP="00676D5D">
            <w:pPr>
              <w:keepNext/>
              <w:rPr>
                <w:szCs w:val="18"/>
              </w:rPr>
            </w:pPr>
            <w:r>
              <w:rPr>
                <w:szCs w:val="18"/>
              </w:rPr>
              <w:t>Last date for existing BB allocation agent to</w:t>
            </w:r>
            <w:r w:rsidRPr="00B24F58">
              <w:rPr>
                <w:szCs w:val="18"/>
              </w:rPr>
              <w:t xml:space="preserve"> apply to </w:t>
            </w:r>
            <w:r>
              <w:rPr>
                <w:szCs w:val="18"/>
              </w:rPr>
              <w:t>register under Part 24</w:t>
            </w:r>
          </w:p>
        </w:tc>
        <w:tc>
          <w:tcPr>
            <w:tcW w:w="1988" w:type="dxa"/>
            <w:shd w:val="clear" w:color="auto" w:fill="E1E2E7" w:themeFill="background2"/>
          </w:tcPr>
          <w:p w14:paraId="76B37536" w14:textId="77777777" w:rsidR="00676D5D" w:rsidRDefault="00676D5D" w:rsidP="00676D5D">
            <w:pPr>
              <w:keepNext/>
              <w:rPr>
                <w:szCs w:val="18"/>
              </w:rPr>
            </w:pPr>
            <w:r>
              <w:rPr>
                <w:szCs w:val="18"/>
              </w:rPr>
              <w:t>Schedule 5, Part 2, rule 3</w:t>
            </w:r>
          </w:p>
          <w:p w14:paraId="5DA4905A" w14:textId="77777777" w:rsidR="00676D5D" w:rsidRPr="00B24F58" w:rsidRDefault="00676D5D" w:rsidP="00676D5D">
            <w:pPr>
              <w:keepNext/>
              <w:rPr>
                <w:szCs w:val="18"/>
              </w:rPr>
            </w:pPr>
            <w:r>
              <w:rPr>
                <w:szCs w:val="18"/>
              </w:rPr>
              <w:t>Part 18 rule 158A</w:t>
            </w:r>
          </w:p>
        </w:tc>
      </w:tr>
      <w:tr w:rsidR="00676D5D" w:rsidRPr="00B24F58" w14:paraId="06CE491E" w14:textId="77777777" w:rsidTr="00676D5D">
        <w:trPr>
          <w:cnfStyle w:val="000000010000" w:firstRow="0" w:lastRow="0" w:firstColumn="0" w:lastColumn="0" w:oddVBand="0" w:evenVBand="0" w:oddHBand="0" w:evenHBand="1" w:firstRowFirstColumn="0" w:firstRowLastColumn="0" w:lastRowFirstColumn="0" w:lastRowLastColumn="0"/>
        </w:trPr>
        <w:tc>
          <w:tcPr>
            <w:tcW w:w="2139" w:type="dxa"/>
            <w:vMerge/>
          </w:tcPr>
          <w:p w14:paraId="528295DA" w14:textId="77777777" w:rsidR="00676D5D" w:rsidRPr="00B24F58" w:rsidRDefault="00676D5D" w:rsidP="00676D5D">
            <w:pPr>
              <w:keepNext/>
              <w:rPr>
                <w:szCs w:val="18"/>
              </w:rPr>
            </w:pPr>
          </w:p>
        </w:tc>
        <w:tc>
          <w:tcPr>
            <w:tcW w:w="2891" w:type="dxa"/>
          </w:tcPr>
          <w:p w14:paraId="76BBB491" w14:textId="77777777" w:rsidR="00676D5D" w:rsidRPr="00B24F58" w:rsidRDefault="00676D5D" w:rsidP="00676D5D">
            <w:pPr>
              <w:keepNext/>
              <w:rPr>
                <w:szCs w:val="18"/>
              </w:rPr>
            </w:pPr>
            <w:r>
              <w:rPr>
                <w:szCs w:val="18"/>
              </w:rPr>
              <w:t xml:space="preserve">Last date to apply to register </w:t>
            </w:r>
            <w:r w:rsidRPr="00B24F58">
              <w:rPr>
                <w:szCs w:val="18"/>
              </w:rPr>
              <w:t>a</w:t>
            </w:r>
            <w:r>
              <w:rPr>
                <w:szCs w:val="18"/>
              </w:rPr>
              <w:t>n existing BB allocation point under Part 24</w:t>
            </w:r>
          </w:p>
        </w:tc>
        <w:tc>
          <w:tcPr>
            <w:tcW w:w="1988" w:type="dxa"/>
          </w:tcPr>
          <w:p w14:paraId="1A0B1FDB" w14:textId="77777777" w:rsidR="00676D5D" w:rsidRDefault="00676D5D" w:rsidP="00676D5D">
            <w:pPr>
              <w:keepNext/>
              <w:rPr>
                <w:szCs w:val="18"/>
              </w:rPr>
            </w:pPr>
            <w:r>
              <w:rPr>
                <w:szCs w:val="18"/>
              </w:rPr>
              <w:t>Schedule 5, Part 2, rule 3</w:t>
            </w:r>
          </w:p>
          <w:p w14:paraId="37D1CDBB" w14:textId="77777777" w:rsidR="00676D5D" w:rsidRPr="00B24F58" w:rsidRDefault="00676D5D" w:rsidP="00676D5D">
            <w:pPr>
              <w:keepNext/>
              <w:rPr>
                <w:szCs w:val="18"/>
              </w:rPr>
            </w:pPr>
            <w:r>
              <w:rPr>
                <w:szCs w:val="18"/>
              </w:rPr>
              <w:t>Part 18 rule 158B</w:t>
            </w:r>
          </w:p>
        </w:tc>
      </w:tr>
      <w:tr w:rsidR="00676D5D" w:rsidRPr="00B24F58" w14:paraId="56F29E3A" w14:textId="77777777" w:rsidTr="00676D5D">
        <w:tc>
          <w:tcPr>
            <w:tcW w:w="2139" w:type="dxa"/>
          </w:tcPr>
          <w:p w14:paraId="32D7B0A2" w14:textId="77777777" w:rsidR="00676D5D" w:rsidRPr="00743B55" w:rsidRDefault="00676D5D" w:rsidP="00676D5D">
            <w:pPr>
              <w:keepNext/>
              <w:rPr>
                <w:szCs w:val="18"/>
                <w:highlight w:val="yellow"/>
              </w:rPr>
            </w:pPr>
            <w:r>
              <w:rPr>
                <w:szCs w:val="18"/>
              </w:rPr>
              <w:t>Rules start date + 40 business days</w:t>
            </w:r>
          </w:p>
        </w:tc>
        <w:tc>
          <w:tcPr>
            <w:tcW w:w="2891" w:type="dxa"/>
          </w:tcPr>
          <w:p w14:paraId="179FFB30" w14:textId="12197B55" w:rsidR="00676D5D" w:rsidRPr="00B16FCD" w:rsidRDefault="00676D5D" w:rsidP="00211C91">
            <w:pPr>
              <w:keepNext/>
              <w:rPr>
                <w:szCs w:val="18"/>
              </w:rPr>
            </w:pPr>
            <w:r w:rsidRPr="00B16FCD">
              <w:rPr>
                <w:szCs w:val="18"/>
              </w:rPr>
              <w:t xml:space="preserve">Obligation to publish </w:t>
            </w:r>
            <w:r>
              <w:rPr>
                <w:szCs w:val="18"/>
              </w:rPr>
              <w:t>operational</w:t>
            </w:r>
            <w:r w:rsidRPr="00B16FCD">
              <w:rPr>
                <w:szCs w:val="18"/>
              </w:rPr>
              <w:t xml:space="preserve"> agreement</w:t>
            </w:r>
          </w:p>
        </w:tc>
        <w:tc>
          <w:tcPr>
            <w:tcW w:w="1988" w:type="dxa"/>
          </w:tcPr>
          <w:p w14:paraId="6F742D16" w14:textId="77777777" w:rsidR="00676D5D" w:rsidRPr="00B16FCD" w:rsidRDefault="00676D5D" w:rsidP="00676D5D">
            <w:pPr>
              <w:keepNext/>
              <w:rPr>
                <w:szCs w:val="18"/>
              </w:rPr>
            </w:pPr>
            <w:r>
              <w:rPr>
                <w:szCs w:val="18"/>
              </w:rPr>
              <w:t xml:space="preserve">Part 24, rule </w:t>
            </w:r>
            <w:r w:rsidRPr="00B16FCD">
              <w:rPr>
                <w:szCs w:val="18"/>
              </w:rPr>
              <w:t>63</w:t>
            </w:r>
            <w:r w:rsidR="00B15604">
              <w:rPr>
                <w:szCs w:val="18"/>
              </w:rPr>
              <w:t>1</w:t>
            </w:r>
            <w:r w:rsidRPr="00B16FCD">
              <w:rPr>
                <w:szCs w:val="18"/>
              </w:rPr>
              <w:t>(1)</w:t>
            </w:r>
          </w:p>
        </w:tc>
      </w:tr>
      <w:tr w:rsidR="00676D5D" w:rsidRPr="00B24F58" w14:paraId="54FA8193" w14:textId="77777777" w:rsidTr="00676D5D">
        <w:trPr>
          <w:cnfStyle w:val="000000010000" w:firstRow="0" w:lastRow="0" w:firstColumn="0" w:lastColumn="0" w:oddVBand="0" w:evenVBand="0" w:oddHBand="0" w:evenHBand="1" w:firstRowFirstColumn="0" w:firstRowLastColumn="0" w:lastRowFirstColumn="0" w:lastRowLastColumn="0"/>
          <w:trHeight w:val="1910"/>
        </w:trPr>
        <w:tc>
          <w:tcPr>
            <w:tcW w:w="2139" w:type="dxa"/>
          </w:tcPr>
          <w:p w14:paraId="34ACED04" w14:textId="77777777" w:rsidR="00676D5D" w:rsidRPr="00B24F58" w:rsidRDefault="00676D5D" w:rsidP="00676D5D">
            <w:pPr>
              <w:keepNext/>
              <w:rPr>
                <w:szCs w:val="18"/>
              </w:rPr>
            </w:pPr>
            <w:r>
              <w:rPr>
                <w:szCs w:val="18"/>
              </w:rPr>
              <w:t>1 March 2019</w:t>
            </w:r>
          </w:p>
        </w:tc>
        <w:tc>
          <w:tcPr>
            <w:tcW w:w="2891" w:type="dxa"/>
          </w:tcPr>
          <w:p w14:paraId="690D730A" w14:textId="77777777" w:rsidR="00676D5D" w:rsidRPr="00B24F58" w:rsidRDefault="00676D5D" w:rsidP="00676D5D">
            <w:pPr>
              <w:keepNext/>
              <w:rPr>
                <w:szCs w:val="18"/>
              </w:rPr>
            </w:pPr>
            <w:r w:rsidRPr="00B24F58">
              <w:rPr>
                <w:szCs w:val="18"/>
              </w:rPr>
              <w:t xml:space="preserve">Existing auction facility becomes </w:t>
            </w:r>
            <w:r>
              <w:rPr>
                <w:szCs w:val="18"/>
              </w:rPr>
              <w:t>subject to the capacity auction</w:t>
            </w:r>
          </w:p>
        </w:tc>
        <w:tc>
          <w:tcPr>
            <w:tcW w:w="1988" w:type="dxa"/>
          </w:tcPr>
          <w:p w14:paraId="44033680" w14:textId="77777777" w:rsidR="00676D5D" w:rsidRDefault="00676D5D" w:rsidP="00676D5D">
            <w:pPr>
              <w:keepNext/>
              <w:rPr>
                <w:szCs w:val="18"/>
              </w:rPr>
            </w:pPr>
            <w:r>
              <w:rPr>
                <w:szCs w:val="18"/>
              </w:rPr>
              <w:t>Schedule 5</w:t>
            </w:r>
            <w:r w:rsidRPr="00B24F58">
              <w:rPr>
                <w:szCs w:val="18"/>
              </w:rPr>
              <w:t xml:space="preserve">, Part 4, </w:t>
            </w:r>
            <w:r>
              <w:rPr>
                <w:szCs w:val="18"/>
              </w:rPr>
              <w:t>rule</w:t>
            </w:r>
            <w:r w:rsidRPr="00B24F58">
              <w:rPr>
                <w:szCs w:val="18"/>
              </w:rPr>
              <w:t xml:space="preserve"> 2</w:t>
            </w:r>
          </w:p>
          <w:p w14:paraId="4A4EAD9B" w14:textId="77777777" w:rsidR="00676D5D" w:rsidRDefault="00676D5D" w:rsidP="00676D5D">
            <w:pPr>
              <w:keepNext/>
              <w:rPr>
                <w:szCs w:val="18"/>
              </w:rPr>
            </w:pPr>
            <w:r>
              <w:rPr>
                <w:szCs w:val="18"/>
              </w:rPr>
              <w:t>Schedule 5, Part 4, definition of ‘capacity auction start date’</w:t>
            </w:r>
          </w:p>
          <w:p w14:paraId="4766FCBC" w14:textId="77777777" w:rsidR="00676D5D" w:rsidRPr="00B24F58" w:rsidRDefault="00676D5D" w:rsidP="00676D5D">
            <w:pPr>
              <w:keepNext/>
              <w:rPr>
                <w:szCs w:val="18"/>
              </w:rPr>
            </w:pPr>
          </w:p>
        </w:tc>
      </w:tr>
    </w:tbl>
    <w:p w14:paraId="2949D6F8" w14:textId="77777777" w:rsidR="00F72BCF" w:rsidRDefault="00F72BCF" w:rsidP="00F72BCF">
      <w:pPr>
        <w:rPr>
          <w:b/>
          <w:szCs w:val="18"/>
        </w:rPr>
      </w:pPr>
    </w:p>
    <w:p w14:paraId="10C8B785" w14:textId="77777777" w:rsidR="00676D5D" w:rsidRPr="00676D5D" w:rsidRDefault="00676D5D" w:rsidP="00676D5D">
      <w:pPr>
        <w:keepNext/>
        <w:rPr>
          <w:b/>
          <w:szCs w:val="18"/>
        </w:rPr>
      </w:pPr>
      <w:bookmarkStart w:id="134" w:name="_Ref509117866"/>
      <w:r w:rsidRPr="00676D5D">
        <w:rPr>
          <w:b/>
        </w:rPr>
        <w:lastRenderedPageBreak/>
        <w:t xml:space="preserve">Table </w:t>
      </w:r>
      <w:r w:rsidRPr="00676D5D">
        <w:rPr>
          <w:b/>
        </w:rPr>
        <w:fldChar w:fldCharType="begin"/>
      </w:r>
      <w:r w:rsidRPr="00676D5D">
        <w:rPr>
          <w:b/>
        </w:rPr>
        <w:instrText xml:space="preserve"> STYLEREF 1 \s </w:instrText>
      </w:r>
      <w:r w:rsidRPr="00676D5D">
        <w:rPr>
          <w:b/>
        </w:rPr>
        <w:fldChar w:fldCharType="separate"/>
      </w:r>
      <w:r w:rsidR="00830BE4">
        <w:rPr>
          <w:b/>
          <w:noProof/>
        </w:rPr>
        <w:t>9</w:t>
      </w:r>
      <w:r w:rsidRPr="00676D5D">
        <w:rPr>
          <w:b/>
        </w:rPr>
        <w:fldChar w:fldCharType="end"/>
      </w:r>
      <w:r w:rsidRPr="00676D5D">
        <w:rPr>
          <w:b/>
        </w:rPr>
        <w:t>.</w:t>
      </w:r>
      <w:r w:rsidRPr="00676D5D">
        <w:rPr>
          <w:b/>
        </w:rPr>
        <w:fldChar w:fldCharType="begin"/>
      </w:r>
      <w:r w:rsidRPr="00676D5D">
        <w:rPr>
          <w:b/>
        </w:rPr>
        <w:instrText xml:space="preserve"> SEQ Table \* ARABIC \s 1 </w:instrText>
      </w:r>
      <w:r w:rsidRPr="00676D5D">
        <w:rPr>
          <w:b/>
        </w:rPr>
        <w:fldChar w:fldCharType="separate"/>
      </w:r>
      <w:r w:rsidR="00830BE4">
        <w:rPr>
          <w:b/>
          <w:noProof/>
        </w:rPr>
        <w:t>3</w:t>
      </w:r>
      <w:r w:rsidRPr="00676D5D">
        <w:rPr>
          <w:b/>
        </w:rPr>
        <w:fldChar w:fldCharType="end"/>
      </w:r>
      <w:bookmarkEnd w:id="134"/>
      <w:r w:rsidRPr="00676D5D">
        <w:rPr>
          <w:b/>
        </w:rPr>
        <w:t xml:space="preserve">: </w:t>
      </w:r>
      <w:r w:rsidRPr="00676D5D">
        <w:rPr>
          <w:b/>
          <w:szCs w:val="18"/>
        </w:rPr>
        <w:t xml:space="preserve">Key timing for new </w:t>
      </w:r>
      <w:r>
        <w:rPr>
          <w:b/>
          <w:szCs w:val="18"/>
        </w:rPr>
        <w:t xml:space="preserve">Part 24 </w:t>
      </w:r>
      <w:r w:rsidRPr="00676D5D">
        <w:rPr>
          <w:b/>
          <w:szCs w:val="18"/>
        </w:rPr>
        <w:t xml:space="preserve">facilities </w:t>
      </w:r>
    </w:p>
    <w:tbl>
      <w:tblPr>
        <w:tblStyle w:val="TableGrid"/>
        <w:tblW w:w="9072" w:type="dxa"/>
        <w:tblLook w:val="04A0" w:firstRow="1" w:lastRow="0" w:firstColumn="1" w:lastColumn="0" w:noHBand="0" w:noVBand="1"/>
        <w:tblCaption w:val="Table 9.3: Key timing for new Part 24 facilities "/>
        <w:tblDescription w:val="Table outlining key timing for new Part 24 facilities "/>
      </w:tblPr>
      <w:tblGrid>
        <w:gridCol w:w="2268"/>
        <w:gridCol w:w="3521"/>
        <w:gridCol w:w="3283"/>
      </w:tblGrid>
      <w:tr w:rsidR="00676D5D" w:rsidRPr="00B24F58" w14:paraId="1E529B46" w14:textId="77777777" w:rsidTr="00674572">
        <w:trPr>
          <w:cnfStyle w:val="100000000000" w:firstRow="1" w:lastRow="0" w:firstColumn="0" w:lastColumn="0" w:oddVBand="0" w:evenVBand="0" w:oddHBand="0" w:evenHBand="0" w:firstRowFirstColumn="0" w:firstRowLastColumn="0" w:lastRowFirstColumn="0" w:lastRowLastColumn="0"/>
          <w:tblHeader/>
        </w:trPr>
        <w:tc>
          <w:tcPr>
            <w:tcW w:w="2268" w:type="dxa"/>
            <w:shd w:val="clear" w:color="auto" w:fill="0099CC"/>
          </w:tcPr>
          <w:p w14:paraId="7F353178" w14:textId="77777777" w:rsidR="00676D5D" w:rsidRPr="00B24F58" w:rsidRDefault="00676D5D" w:rsidP="00676D5D">
            <w:pPr>
              <w:keepNext/>
              <w:spacing w:before="40" w:after="40"/>
              <w:rPr>
                <w:b w:val="0"/>
                <w:szCs w:val="18"/>
              </w:rPr>
            </w:pPr>
            <w:r w:rsidRPr="00B24F58">
              <w:rPr>
                <w:szCs w:val="18"/>
              </w:rPr>
              <w:t xml:space="preserve">Date </w:t>
            </w:r>
          </w:p>
        </w:tc>
        <w:tc>
          <w:tcPr>
            <w:tcW w:w="3521" w:type="dxa"/>
            <w:shd w:val="clear" w:color="auto" w:fill="0099CC"/>
          </w:tcPr>
          <w:p w14:paraId="36B7C5BA" w14:textId="77777777" w:rsidR="00676D5D" w:rsidRPr="00B24F58" w:rsidRDefault="00676D5D" w:rsidP="00676D5D">
            <w:pPr>
              <w:keepNext/>
              <w:spacing w:before="40" w:after="40"/>
              <w:rPr>
                <w:b w:val="0"/>
                <w:szCs w:val="18"/>
              </w:rPr>
            </w:pPr>
            <w:r w:rsidRPr="00B24F58">
              <w:rPr>
                <w:szCs w:val="18"/>
              </w:rPr>
              <w:t>Activity</w:t>
            </w:r>
          </w:p>
        </w:tc>
        <w:tc>
          <w:tcPr>
            <w:tcW w:w="3283" w:type="dxa"/>
            <w:shd w:val="clear" w:color="auto" w:fill="0099CC"/>
          </w:tcPr>
          <w:p w14:paraId="4329313C" w14:textId="77777777" w:rsidR="00676D5D" w:rsidRPr="00B24F58" w:rsidRDefault="00676D5D" w:rsidP="00676D5D">
            <w:pPr>
              <w:keepNext/>
              <w:spacing w:before="40" w:after="40"/>
              <w:rPr>
                <w:b w:val="0"/>
                <w:szCs w:val="18"/>
              </w:rPr>
            </w:pPr>
            <w:r>
              <w:rPr>
                <w:szCs w:val="18"/>
              </w:rPr>
              <w:t>R</w:t>
            </w:r>
            <w:r w:rsidRPr="00B24F58">
              <w:rPr>
                <w:szCs w:val="18"/>
              </w:rPr>
              <w:t>eference</w:t>
            </w:r>
          </w:p>
        </w:tc>
      </w:tr>
      <w:tr w:rsidR="00676D5D" w:rsidRPr="00B24F58" w14:paraId="136123A7" w14:textId="77777777" w:rsidTr="00B15604">
        <w:trPr>
          <w:trHeight w:val="329"/>
        </w:trPr>
        <w:tc>
          <w:tcPr>
            <w:tcW w:w="2268" w:type="dxa"/>
          </w:tcPr>
          <w:p w14:paraId="621B830D" w14:textId="77777777" w:rsidR="00676D5D" w:rsidRPr="0087247F" w:rsidRDefault="00676D5D" w:rsidP="00676D5D">
            <w:pPr>
              <w:keepNext/>
              <w:spacing w:before="40" w:after="40"/>
              <w:rPr>
                <w:b/>
                <w:szCs w:val="18"/>
              </w:rPr>
            </w:pPr>
            <w:r>
              <w:rPr>
                <w:szCs w:val="18"/>
              </w:rPr>
              <w:t>Date of commissioning / exemption ceases to apply or expires (</w:t>
            </w:r>
            <w:r w:rsidRPr="00743B55">
              <w:rPr>
                <w:b/>
                <w:szCs w:val="18"/>
              </w:rPr>
              <w:t>application date</w:t>
            </w:r>
            <w:r>
              <w:rPr>
                <w:szCs w:val="18"/>
              </w:rPr>
              <w:t>)</w:t>
            </w:r>
          </w:p>
        </w:tc>
        <w:tc>
          <w:tcPr>
            <w:tcW w:w="3521" w:type="dxa"/>
          </w:tcPr>
          <w:p w14:paraId="547F7385" w14:textId="77777777" w:rsidR="00676D5D" w:rsidRPr="00B24F58" w:rsidRDefault="00676D5D" w:rsidP="00676D5D">
            <w:pPr>
              <w:keepNext/>
              <w:spacing w:before="40" w:after="40"/>
              <w:rPr>
                <w:szCs w:val="18"/>
              </w:rPr>
            </w:pPr>
            <w:r>
              <w:rPr>
                <w:szCs w:val="18"/>
              </w:rPr>
              <w:t>Facility becomes a Part 24 facility</w:t>
            </w:r>
          </w:p>
        </w:tc>
        <w:tc>
          <w:tcPr>
            <w:tcW w:w="3283" w:type="dxa"/>
          </w:tcPr>
          <w:p w14:paraId="387FA170" w14:textId="77777777" w:rsidR="00676D5D" w:rsidRPr="00B24F58" w:rsidRDefault="00676D5D" w:rsidP="00676D5D">
            <w:pPr>
              <w:keepNext/>
              <w:spacing w:before="40" w:after="40"/>
              <w:rPr>
                <w:szCs w:val="18"/>
              </w:rPr>
            </w:pPr>
            <w:r>
              <w:rPr>
                <w:szCs w:val="18"/>
              </w:rPr>
              <w:t>Definition of ‘Part 24 facility’</w:t>
            </w:r>
          </w:p>
        </w:tc>
      </w:tr>
      <w:tr w:rsidR="00676D5D" w:rsidRPr="00B24F58" w14:paraId="4F3CA235" w14:textId="77777777" w:rsidTr="00B15604">
        <w:trPr>
          <w:cnfStyle w:val="000000010000" w:firstRow="0" w:lastRow="0" w:firstColumn="0" w:lastColumn="0" w:oddVBand="0" w:evenVBand="0" w:oddHBand="0" w:evenHBand="1" w:firstRowFirstColumn="0" w:firstRowLastColumn="0" w:lastRowFirstColumn="0" w:lastRowLastColumn="0"/>
        </w:trPr>
        <w:tc>
          <w:tcPr>
            <w:tcW w:w="2268" w:type="dxa"/>
            <w:vMerge w:val="restart"/>
          </w:tcPr>
          <w:p w14:paraId="10A1689B" w14:textId="77777777" w:rsidR="00676D5D" w:rsidRPr="00B24F58" w:rsidRDefault="00676D5D" w:rsidP="00676D5D">
            <w:pPr>
              <w:keepNext/>
              <w:spacing w:before="40" w:after="40"/>
              <w:rPr>
                <w:szCs w:val="18"/>
              </w:rPr>
            </w:pPr>
            <w:r>
              <w:rPr>
                <w:szCs w:val="18"/>
              </w:rPr>
              <w:t xml:space="preserve">Application date </w:t>
            </w:r>
            <w:r w:rsidRPr="00B24F58">
              <w:rPr>
                <w:szCs w:val="18"/>
              </w:rPr>
              <w:t xml:space="preserve">+ 20 </w:t>
            </w:r>
            <w:r>
              <w:rPr>
                <w:szCs w:val="18"/>
              </w:rPr>
              <w:t xml:space="preserve">business </w:t>
            </w:r>
            <w:r w:rsidRPr="00B24F58">
              <w:rPr>
                <w:szCs w:val="18"/>
              </w:rPr>
              <w:t>days</w:t>
            </w:r>
          </w:p>
        </w:tc>
        <w:tc>
          <w:tcPr>
            <w:tcW w:w="3521" w:type="dxa"/>
          </w:tcPr>
          <w:p w14:paraId="1B36B8DC" w14:textId="77777777" w:rsidR="00676D5D" w:rsidRPr="00B24F58" w:rsidRDefault="00676D5D" w:rsidP="00676D5D">
            <w:pPr>
              <w:keepNext/>
              <w:spacing w:before="40" w:after="40"/>
              <w:rPr>
                <w:szCs w:val="18"/>
              </w:rPr>
            </w:pPr>
            <w:r w:rsidRPr="00B24F58">
              <w:rPr>
                <w:szCs w:val="18"/>
              </w:rPr>
              <w:t>Transportation service provider must apply to AEMO to register under Part 24</w:t>
            </w:r>
          </w:p>
        </w:tc>
        <w:tc>
          <w:tcPr>
            <w:tcW w:w="3283" w:type="dxa"/>
          </w:tcPr>
          <w:p w14:paraId="1D5E8C64" w14:textId="77777777" w:rsidR="00676D5D" w:rsidRPr="00B24F58" w:rsidRDefault="00676D5D" w:rsidP="00676D5D">
            <w:pPr>
              <w:keepNext/>
              <w:spacing w:before="40" w:after="40"/>
              <w:rPr>
                <w:szCs w:val="18"/>
              </w:rPr>
            </w:pPr>
            <w:r>
              <w:rPr>
                <w:szCs w:val="18"/>
              </w:rPr>
              <w:t xml:space="preserve">Part 24, rule </w:t>
            </w:r>
            <w:r w:rsidRPr="00B24F58">
              <w:rPr>
                <w:szCs w:val="18"/>
              </w:rPr>
              <w:t>593(1) definition of ‘application date’</w:t>
            </w:r>
            <w:r>
              <w:rPr>
                <w:szCs w:val="18"/>
              </w:rPr>
              <w:t xml:space="preserve"> and rule 618(2)</w:t>
            </w:r>
            <w:r w:rsidRPr="00B24F58">
              <w:rPr>
                <w:szCs w:val="18"/>
              </w:rPr>
              <w:t xml:space="preserve"> </w:t>
            </w:r>
          </w:p>
        </w:tc>
      </w:tr>
      <w:tr w:rsidR="00676D5D" w:rsidRPr="00B24F58" w14:paraId="1B9DDF36" w14:textId="77777777" w:rsidTr="00B15604">
        <w:tc>
          <w:tcPr>
            <w:tcW w:w="2268" w:type="dxa"/>
            <w:vMerge/>
            <w:shd w:val="clear" w:color="auto" w:fill="E1E2E7" w:themeFill="background2"/>
          </w:tcPr>
          <w:p w14:paraId="6427A8D6" w14:textId="77777777" w:rsidR="00676D5D" w:rsidRPr="00B24F58" w:rsidRDefault="00676D5D" w:rsidP="00676D5D">
            <w:pPr>
              <w:keepNext/>
              <w:spacing w:before="40" w:after="40"/>
              <w:rPr>
                <w:szCs w:val="18"/>
              </w:rPr>
            </w:pPr>
          </w:p>
        </w:tc>
        <w:tc>
          <w:tcPr>
            <w:tcW w:w="3521" w:type="dxa"/>
            <w:shd w:val="clear" w:color="auto" w:fill="E1E2E7" w:themeFill="background2"/>
          </w:tcPr>
          <w:p w14:paraId="608514EC" w14:textId="77777777" w:rsidR="00676D5D" w:rsidRPr="00B24F58" w:rsidRDefault="00676D5D" w:rsidP="00676D5D">
            <w:pPr>
              <w:keepNext/>
              <w:spacing w:before="40" w:after="40"/>
              <w:rPr>
                <w:szCs w:val="18"/>
              </w:rPr>
            </w:pPr>
            <w:r w:rsidRPr="00B24F58">
              <w:rPr>
                <w:szCs w:val="18"/>
              </w:rPr>
              <w:t xml:space="preserve">Transportation service provider for a Part 24 facility must apply to AEMO to register the part 24 facility and to be registered as the transportation service provider for the Part 24 facility </w:t>
            </w:r>
          </w:p>
        </w:tc>
        <w:tc>
          <w:tcPr>
            <w:tcW w:w="3283" w:type="dxa"/>
            <w:shd w:val="clear" w:color="auto" w:fill="E1E2E7" w:themeFill="background2"/>
          </w:tcPr>
          <w:p w14:paraId="6C809340" w14:textId="77777777" w:rsidR="00676D5D" w:rsidRPr="00B24F58" w:rsidRDefault="00676D5D" w:rsidP="00676D5D">
            <w:pPr>
              <w:keepNext/>
              <w:spacing w:before="40" w:after="40"/>
              <w:rPr>
                <w:szCs w:val="18"/>
              </w:rPr>
            </w:pPr>
            <w:r>
              <w:rPr>
                <w:szCs w:val="18"/>
              </w:rPr>
              <w:t>Part 24, rule 619(2)</w:t>
            </w:r>
          </w:p>
        </w:tc>
      </w:tr>
      <w:tr w:rsidR="00676D5D" w:rsidRPr="00B24F58" w14:paraId="60CB86EF" w14:textId="77777777" w:rsidTr="00B15604">
        <w:trPr>
          <w:cnfStyle w:val="000000010000" w:firstRow="0" w:lastRow="0" w:firstColumn="0" w:lastColumn="0" w:oddVBand="0" w:evenVBand="0" w:oddHBand="0" w:evenHBand="1" w:firstRowFirstColumn="0" w:firstRowLastColumn="0" w:lastRowFirstColumn="0" w:lastRowLastColumn="0"/>
        </w:trPr>
        <w:tc>
          <w:tcPr>
            <w:tcW w:w="2268" w:type="dxa"/>
            <w:shd w:val="clear" w:color="auto" w:fill="FFFFFF" w:themeFill="background1"/>
          </w:tcPr>
          <w:p w14:paraId="1288CFE5" w14:textId="77777777" w:rsidR="00676D5D" w:rsidRPr="00B24F58" w:rsidRDefault="00676D5D" w:rsidP="00676D5D">
            <w:pPr>
              <w:keepNext/>
              <w:spacing w:before="40" w:after="40"/>
              <w:rPr>
                <w:szCs w:val="18"/>
              </w:rPr>
            </w:pPr>
            <w:r w:rsidRPr="00B24F58">
              <w:rPr>
                <w:szCs w:val="18"/>
              </w:rPr>
              <w:t xml:space="preserve">Application Date + </w:t>
            </w:r>
            <w:r>
              <w:rPr>
                <w:szCs w:val="18"/>
              </w:rPr>
              <w:t>40</w:t>
            </w:r>
            <w:r w:rsidRPr="00B24F58">
              <w:rPr>
                <w:szCs w:val="18"/>
              </w:rPr>
              <w:t xml:space="preserve"> </w:t>
            </w:r>
            <w:r>
              <w:rPr>
                <w:szCs w:val="18"/>
              </w:rPr>
              <w:t>business</w:t>
            </w:r>
            <w:r w:rsidRPr="00B24F58">
              <w:rPr>
                <w:szCs w:val="18"/>
              </w:rPr>
              <w:t xml:space="preserve"> days</w:t>
            </w:r>
          </w:p>
        </w:tc>
        <w:tc>
          <w:tcPr>
            <w:tcW w:w="3521" w:type="dxa"/>
            <w:shd w:val="clear" w:color="auto" w:fill="FFFFFF" w:themeFill="background1"/>
          </w:tcPr>
          <w:p w14:paraId="259C3D4A" w14:textId="77777777" w:rsidR="00676D5D" w:rsidRPr="00B24F58" w:rsidRDefault="00676D5D" w:rsidP="00676D5D">
            <w:pPr>
              <w:keepNext/>
              <w:spacing w:before="40" w:after="40"/>
              <w:rPr>
                <w:szCs w:val="18"/>
              </w:rPr>
            </w:pPr>
            <w:r w:rsidRPr="00B24F58">
              <w:rPr>
                <w:szCs w:val="18"/>
              </w:rPr>
              <w:t xml:space="preserve">Obligation to publish standard </w:t>
            </w:r>
            <w:r>
              <w:rPr>
                <w:szCs w:val="18"/>
              </w:rPr>
              <w:t>operational</w:t>
            </w:r>
            <w:r w:rsidRPr="00B24F58">
              <w:rPr>
                <w:szCs w:val="18"/>
              </w:rPr>
              <w:t xml:space="preserve"> agreements </w:t>
            </w:r>
          </w:p>
        </w:tc>
        <w:tc>
          <w:tcPr>
            <w:tcW w:w="3283" w:type="dxa"/>
            <w:shd w:val="clear" w:color="auto" w:fill="FFFFFF" w:themeFill="background1"/>
          </w:tcPr>
          <w:p w14:paraId="75E80317" w14:textId="77777777" w:rsidR="00676D5D" w:rsidRPr="00B24F58" w:rsidRDefault="00676D5D" w:rsidP="00676D5D">
            <w:pPr>
              <w:keepNext/>
              <w:spacing w:before="40" w:after="40"/>
              <w:rPr>
                <w:szCs w:val="18"/>
              </w:rPr>
            </w:pPr>
            <w:r>
              <w:rPr>
                <w:szCs w:val="18"/>
              </w:rPr>
              <w:t>Part 24, rule 63</w:t>
            </w:r>
            <w:r w:rsidR="00B15604">
              <w:rPr>
                <w:szCs w:val="18"/>
              </w:rPr>
              <w:t>1</w:t>
            </w:r>
            <w:r>
              <w:rPr>
                <w:szCs w:val="18"/>
              </w:rPr>
              <w:t>(1)</w:t>
            </w:r>
          </w:p>
        </w:tc>
      </w:tr>
      <w:tr w:rsidR="00676D5D" w:rsidRPr="00B24F58" w14:paraId="04407359" w14:textId="77777777" w:rsidTr="00B15604">
        <w:tc>
          <w:tcPr>
            <w:tcW w:w="2268" w:type="dxa"/>
            <w:shd w:val="clear" w:color="auto" w:fill="E1E2E7" w:themeFill="background2"/>
          </w:tcPr>
          <w:p w14:paraId="7B046925" w14:textId="77777777" w:rsidR="00676D5D" w:rsidRPr="00B24F58" w:rsidRDefault="00676D5D" w:rsidP="00676D5D">
            <w:pPr>
              <w:keepNext/>
              <w:spacing w:before="40" w:after="40"/>
              <w:rPr>
                <w:szCs w:val="18"/>
              </w:rPr>
            </w:pPr>
            <w:r>
              <w:rPr>
                <w:szCs w:val="18"/>
              </w:rPr>
              <w:t>Application date</w:t>
            </w:r>
            <w:r w:rsidRPr="00B24F58">
              <w:rPr>
                <w:szCs w:val="18"/>
              </w:rPr>
              <w:t xml:space="preserve"> + </w:t>
            </w:r>
            <w:r>
              <w:rPr>
                <w:szCs w:val="18"/>
              </w:rPr>
              <w:t>80</w:t>
            </w:r>
            <w:r w:rsidRPr="00B24F58">
              <w:rPr>
                <w:szCs w:val="18"/>
              </w:rPr>
              <w:t xml:space="preserve"> </w:t>
            </w:r>
            <w:r>
              <w:rPr>
                <w:szCs w:val="18"/>
              </w:rPr>
              <w:t>business</w:t>
            </w:r>
            <w:r w:rsidRPr="00B24F58">
              <w:rPr>
                <w:szCs w:val="18"/>
              </w:rPr>
              <w:t xml:space="preserve"> days.</w:t>
            </w:r>
          </w:p>
        </w:tc>
        <w:tc>
          <w:tcPr>
            <w:tcW w:w="3521" w:type="dxa"/>
            <w:shd w:val="clear" w:color="auto" w:fill="E1E2E7" w:themeFill="background2"/>
          </w:tcPr>
          <w:p w14:paraId="7342A6FA" w14:textId="77777777" w:rsidR="00676D5D" w:rsidRPr="00B24F58" w:rsidRDefault="00676D5D" w:rsidP="00676D5D">
            <w:pPr>
              <w:keepNext/>
              <w:spacing w:before="40" w:after="40"/>
              <w:rPr>
                <w:szCs w:val="18"/>
              </w:rPr>
            </w:pPr>
            <w:r w:rsidRPr="00B24F58">
              <w:rPr>
                <w:szCs w:val="18"/>
              </w:rPr>
              <w:t>Auction facility becomes subject to the capacity auction</w:t>
            </w:r>
          </w:p>
        </w:tc>
        <w:tc>
          <w:tcPr>
            <w:tcW w:w="3283" w:type="dxa"/>
            <w:shd w:val="clear" w:color="auto" w:fill="E1E2E7" w:themeFill="background2"/>
          </w:tcPr>
          <w:p w14:paraId="5F0CAC72" w14:textId="77777777" w:rsidR="00676D5D" w:rsidRPr="00B24F58" w:rsidRDefault="00676D5D" w:rsidP="00676D5D">
            <w:pPr>
              <w:keepNext/>
              <w:spacing w:before="40" w:after="40"/>
              <w:rPr>
                <w:szCs w:val="18"/>
              </w:rPr>
            </w:pPr>
            <w:r>
              <w:rPr>
                <w:szCs w:val="18"/>
              </w:rPr>
              <w:t xml:space="preserve">Part 25, rule </w:t>
            </w:r>
            <w:r w:rsidRPr="00B24F58">
              <w:rPr>
                <w:szCs w:val="18"/>
              </w:rPr>
              <w:t>654(1)</w:t>
            </w:r>
          </w:p>
        </w:tc>
      </w:tr>
    </w:tbl>
    <w:p w14:paraId="3795E052" w14:textId="77777777" w:rsidR="00676D5D" w:rsidRDefault="00676D5D" w:rsidP="00F72BCF">
      <w:pPr>
        <w:rPr>
          <w:b/>
          <w:szCs w:val="18"/>
        </w:rPr>
      </w:pPr>
    </w:p>
    <w:p w14:paraId="0BCB6C1B" w14:textId="77777777" w:rsidR="00F72BCF" w:rsidRPr="00676D5D" w:rsidRDefault="00676D5D" w:rsidP="00B15604">
      <w:pPr>
        <w:pStyle w:val="Caption"/>
        <w:keepNext w:val="0"/>
        <w:spacing w:before="0" w:after="0"/>
        <w:rPr>
          <w:szCs w:val="18"/>
        </w:rPr>
      </w:pPr>
      <w:bookmarkStart w:id="135" w:name="_Ref509117868"/>
      <w:r w:rsidRPr="00676D5D">
        <w:t xml:space="preserve">Table </w:t>
      </w:r>
      <w:fldSimple w:instr=" STYLEREF 1 \s ">
        <w:r w:rsidR="00830BE4">
          <w:rPr>
            <w:noProof/>
          </w:rPr>
          <w:t>9</w:t>
        </w:r>
      </w:fldSimple>
      <w:r w:rsidRPr="00676D5D">
        <w:t>.</w:t>
      </w:r>
      <w:fldSimple w:instr=" SEQ Table \* ARABIC \s 1 ">
        <w:r w:rsidR="00830BE4">
          <w:rPr>
            <w:noProof/>
          </w:rPr>
          <w:t>4</w:t>
        </w:r>
      </w:fldSimple>
      <w:bookmarkEnd w:id="135"/>
      <w:r w:rsidRPr="00676D5D">
        <w:t xml:space="preserve">: </w:t>
      </w:r>
      <w:r w:rsidR="00F72BCF" w:rsidRPr="00676D5D">
        <w:rPr>
          <w:szCs w:val="18"/>
        </w:rPr>
        <w:t>Key timing</w:t>
      </w:r>
      <w:r>
        <w:rPr>
          <w:szCs w:val="18"/>
        </w:rPr>
        <w:t>s</w:t>
      </w:r>
      <w:r w:rsidR="00F72BCF" w:rsidRPr="00676D5D">
        <w:rPr>
          <w:szCs w:val="18"/>
        </w:rPr>
        <w:t xml:space="preserve"> for </w:t>
      </w:r>
      <w:r>
        <w:rPr>
          <w:szCs w:val="18"/>
        </w:rPr>
        <w:t xml:space="preserve">NT </w:t>
      </w:r>
      <w:r w:rsidR="00F72BCF" w:rsidRPr="00676D5D">
        <w:rPr>
          <w:szCs w:val="18"/>
        </w:rPr>
        <w:t>facilities</w:t>
      </w:r>
      <w:r>
        <w:rPr>
          <w:szCs w:val="18"/>
        </w:rPr>
        <w:t xml:space="preserve"> if the Northern Gas Pipeline is commissioned after the Part 24 commencement date</w:t>
      </w:r>
    </w:p>
    <w:tbl>
      <w:tblPr>
        <w:tblStyle w:val="TableGrid"/>
        <w:tblW w:w="9214" w:type="dxa"/>
        <w:tblLook w:val="04A0" w:firstRow="1" w:lastRow="0" w:firstColumn="1" w:lastColumn="0" w:noHBand="0" w:noVBand="1"/>
        <w:tblCaption w:val="Table 9.4: Key timings for NT facilities if the Northern Gas Pipeline is commissioned after the Part 24 commencement date"/>
        <w:tblDescription w:val="Table outlining key timings for NT facilities if the Northern Gas Pipeline is commissioned after the Part 24 commencement date"/>
      </w:tblPr>
      <w:tblGrid>
        <w:gridCol w:w="2279"/>
        <w:gridCol w:w="3675"/>
        <w:gridCol w:w="3260"/>
      </w:tblGrid>
      <w:tr w:rsidR="00676D5D" w:rsidRPr="00B24F58" w14:paraId="5EC8626C" w14:textId="77777777" w:rsidTr="00B15604">
        <w:trPr>
          <w:cnfStyle w:val="100000000000" w:firstRow="1" w:lastRow="0" w:firstColumn="0" w:lastColumn="0" w:oddVBand="0" w:evenVBand="0" w:oddHBand="0" w:evenHBand="0" w:firstRowFirstColumn="0" w:firstRowLastColumn="0" w:lastRowFirstColumn="0" w:lastRowLastColumn="0"/>
          <w:tblHeader/>
        </w:trPr>
        <w:tc>
          <w:tcPr>
            <w:tcW w:w="2279" w:type="dxa"/>
            <w:shd w:val="clear" w:color="auto" w:fill="0099CC"/>
          </w:tcPr>
          <w:p w14:paraId="15FEF1C5" w14:textId="77777777" w:rsidR="00676D5D" w:rsidRPr="00B24F58" w:rsidRDefault="00676D5D" w:rsidP="00B15604">
            <w:pPr>
              <w:rPr>
                <w:b w:val="0"/>
                <w:szCs w:val="18"/>
              </w:rPr>
            </w:pPr>
            <w:r>
              <w:rPr>
                <w:szCs w:val="18"/>
              </w:rPr>
              <w:t xml:space="preserve">Date </w:t>
            </w:r>
          </w:p>
        </w:tc>
        <w:tc>
          <w:tcPr>
            <w:tcW w:w="3675" w:type="dxa"/>
            <w:shd w:val="clear" w:color="auto" w:fill="0099CC"/>
          </w:tcPr>
          <w:p w14:paraId="708DE19D" w14:textId="77777777" w:rsidR="00676D5D" w:rsidRPr="00B24F58" w:rsidRDefault="00676D5D" w:rsidP="00B15604">
            <w:pPr>
              <w:rPr>
                <w:b w:val="0"/>
                <w:szCs w:val="18"/>
              </w:rPr>
            </w:pPr>
            <w:r w:rsidRPr="00B24F58">
              <w:rPr>
                <w:szCs w:val="18"/>
              </w:rPr>
              <w:t>Activity</w:t>
            </w:r>
          </w:p>
        </w:tc>
        <w:tc>
          <w:tcPr>
            <w:tcW w:w="3260" w:type="dxa"/>
            <w:shd w:val="clear" w:color="auto" w:fill="0099CC"/>
          </w:tcPr>
          <w:p w14:paraId="0E153614" w14:textId="77777777" w:rsidR="00676D5D" w:rsidRPr="00B24F58" w:rsidRDefault="00676D5D" w:rsidP="00B15604">
            <w:pPr>
              <w:rPr>
                <w:b w:val="0"/>
                <w:szCs w:val="18"/>
              </w:rPr>
            </w:pPr>
            <w:r>
              <w:rPr>
                <w:szCs w:val="18"/>
              </w:rPr>
              <w:t xml:space="preserve">Reference </w:t>
            </w:r>
          </w:p>
        </w:tc>
      </w:tr>
      <w:tr w:rsidR="00F72BCF" w:rsidRPr="00B24F58" w14:paraId="7D6136E5" w14:textId="77777777" w:rsidTr="00B15604">
        <w:tc>
          <w:tcPr>
            <w:tcW w:w="2279" w:type="dxa"/>
          </w:tcPr>
          <w:p w14:paraId="4874BC2D" w14:textId="77777777" w:rsidR="00F72BCF" w:rsidRPr="00B24F58" w:rsidRDefault="00F72BCF" w:rsidP="00B15604">
            <w:pPr>
              <w:spacing w:before="20" w:after="20"/>
              <w:rPr>
                <w:szCs w:val="18"/>
              </w:rPr>
            </w:pPr>
            <w:r w:rsidRPr="00B24F58">
              <w:rPr>
                <w:szCs w:val="18"/>
              </w:rPr>
              <w:t>30 September 2018</w:t>
            </w:r>
          </w:p>
        </w:tc>
        <w:tc>
          <w:tcPr>
            <w:tcW w:w="3675" w:type="dxa"/>
          </w:tcPr>
          <w:p w14:paraId="4163D640" w14:textId="77777777" w:rsidR="00F72BCF" w:rsidRPr="00B24F58" w:rsidRDefault="00F72BCF" w:rsidP="00B15604">
            <w:pPr>
              <w:spacing w:before="20" w:after="20"/>
              <w:rPr>
                <w:szCs w:val="18"/>
              </w:rPr>
            </w:pPr>
            <w:r w:rsidRPr="00B24F58">
              <w:rPr>
                <w:szCs w:val="18"/>
              </w:rPr>
              <w:t>2017 Bulletin Boa</w:t>
            </w:r>
            <w:r>
              <w:rPr>
                <w:szCs w:val="18"/>
              </w:rPr>
              <w:t>rd Rule changes come into effect, replacing Part 18.  This is the version of Part 18 referred to in this table (as amended by capacity reform package).</w:t>
            </w:r>
          </w:p>
        </w:tc>
        <w:tc>
          <w:tcPr>
            <w:tcW w:w="3260" w:type="dxa"/>
          </w:tcPr>
          <w:p w14:paraId="2E1F2F2A" w14:textId="77777777" w:rsidR="00F72BCF" w:rsidRPr="00B24F58" w:rsidRDefault="00F72BCF" w:rsidP="00B15604">
            <w:pPr>
              <w:spacing w:before="20" w:after="20"/>
              <w:rPr>
                <w:szCs w:val="18"/>
              </w:rPr>
            </w:pPr>
            <w:r w:rsidRPr="00B24F58">
              <w:rPr>
                <w:szCs w:val="18"/>
              </w:rPr>
              <w:t>National Gas Amendment (Improvements to Natural Gas Bulletin Board) Rule 2017 No. 3</w:t>
            </w:r>
          </w:p>
        </w:tc>
      </w:tr>
      <w:tr w:rsidR="00F72BCF" w:rsidRPr="00B24F58" w14:paraId="746487FC" w14:textId="77777777" w:rsidTr="00B15604">
        <w:trPr>
          <w:cnfStyle w:val="000000010000" w:firstRow="0" w:lastRow="0" w:firstColumn="0" w:lastColumn="0" w:oddVBand="0" w:evenVBand="0" w:oddHBand="0" w:evenHBand="1" w:firstRowFirstColumn="0" w:firstRowLastColumn="0" w:lastRowFirstColumn="0" w:lastRowLastColumn="0"/>
        </w:trPr>
        <w:tc>
          <w:tcPr>
            <w:tcW w:w="2279" w:type="dxa"/>
          </w:tcPr>
          <w:p w14:paraId="1583EAD3" w14:textId="77777777" w:rsidR="00F72BCF" w:rsidRPr="00B16FCD" w:rsidRDefault="00F72BCF" w:rsidP="00B15604">
            <w:pPr>
              <w:spacing w:before="20" w:after="20"/>
              <w:rPr>
                <w:b/>
                <w:szCs w:val="18"/>
              </w:rPr>
            </w:pPr>
            <w:r>
              <w:rPr>
                <w:szCs w:val="18"/>
              </w:rPr>
              <w:t>Date of c</w:t>
            </w:r>
            <w:r w:rsidRPr="00B24F58">
              <w:rPr>
                <w:szCs w:val="18"/>
              </w:rPr>
              <w:t xml:space="preserve">ommissioning of the NT Interconnector </w:t>
            </w:r>
            <w:r>
              <w:rPr>
                <w:szCs w:val="18"/>
              </w:rPr>
              <w:t>(c</w:t>
            </w:r>
            <w:r w:rsidRPr="00B16FCD">
              <w:rPr>
                <w:szCs w:val="18"/>
              </w:rPr>
              <w:t>ommissioning date)</w:t>
            </w:r>
          </w:p>
        </w:tc>
        <w:tc>
          <w:tcPr>
            <w:tcW w:w="3675" w:type="dxa"/>
          </w:tcPr>
          <w:p w14:paraId="00D46F68" w14:textId="77777777" w:rsidR="00F72BCF" w:rsidRPr="00B24F58" w:rsidRDefault="00F72BCF" w:rsidP="00B15604">
            <w:pPr>
              <w:spacing w:before="20" w:after="20"/>
              <w:rPr>
                <w:szCs w:val="18"/>
              </w:rPr>
            </w:pPr>
            <w:r w:rsidRPr="00B24F58">
              <w:rPr>
                <w:szCs w:val="18"/>
              </w:rPr>
              <w:t xml:space="preserve">NT </w:t>
            </w:r>
            <w:r>
              <w:rPr>
                <w:szCs w:val="18"/>
              </w:rPr>
              <w:t>f</w:t>
            </w:r>
            <w:r w:rsidRPr="00B24F58">
              <w:rPr>
                <w:szCs w:val="18"/>
              </w:rPr>
              <w:t>acilities fall within the scope of the operation of Part 24 and 25</w:t>
            </w:r>
          </w:p>
        </w:tc>
        <w:tc>
          <w:tcPr>
            <w:tcW w:w="3260" w:type="dxa"/>
          </w:tcPr>
          <w:p w14:paraId="70C29895" w14:textId="77777777" w:rsidR="00F72BCF" w:rsidRPr="00B24F58" w:rsidRDefault="00F72BCF" w:rsidP="00B15604">
            <w:pPr>
              <w:spacing w:before="20" w:after="20"/>
              <w:rPr>
                <w:szCs w:val="18"/>
              </w:rPr>
            </w:pPr>
            <w:r>
              <w:rPr>
                <w:szCs w:val="18"/>
              </w:rPr>
              <w:t>Part 24 exemption c</w:t>
            </w:r>
            <w:r w:rsidRPr="00B24F58">
              <w:rPr>
                <w:szCs w:val="18"/>
              </w:rPr>
              <w:t>eases</w:t>
            </w:r>
            <w:r w:rsidR="00BB2567">
              <w:rPr>
                <w:szCs w:val="18"/>
              </w:rPr>
              <w:t xml:space="preserve"> – Part 24, rule 610(3)</w:t>
            </w:r>
          </w:p>
        </w:tc>
      </w:tr>
      <w:tr w:rsidR="00F72BCF" w:rsidRPr="00B24F58" w14:paraId="350B4103" w14:textId="77777777" w:rsidTr="00B15604">
        <w:tc>
          <w:tcPr>
            <w:tcW w:w="2279" w:type="dxa"/>
            <w:vMerge w:val="restart"/>
            <w:shd w:val="clear" w:color="auto" w:fill="FFFFFF" w:themeFill="background1"/>
          </w:tcPr>
          <w:p w14:paraId="4FC1BDAA" w14:textId="77777777" w:rsidR="00F72BCF" w:rsidRPr="00B24F58" w:rsidRDefault="00F72BCF" w:rsidP="00B15604">
            <w:pPr>
              <w:spacing w:before="20" w:after="20"/>
              <w:rPr>
                <w:szCs w:val="18"/>
              </w:rPr>
            </w:pPr>
            <w:r>
              <w:rPr>
                <w:szCs w:val="18"/>
              </w:rPr>
              <w:t xml:space="preserve">Commissioning </w:t>
            </w:r>
            <w:r w:rsidRPr="00B24F58">
              <w:rPr>
                <w:szCs w:val="18"/>
              </w:rPr>
              <w:t>date + 20</w:t>
            </w:r>
            <w:r>
              <w:rPr>
                <w:szCs w:val="18"/>
              </w:rPr>
              <w:t xml:space="preserve"> business days</w:t>
            </w:r>
          </w:p>
        </w:tc>
        <w:tc>
          <w:tcPr>
            <w:tcW w:w="3675" w:type="dxa"/>
            <w:shd w:val="clear" w:color="auto" w:fill="FFFFFF" w:themeFill="background1"/>
          </w:tcPr>
          <w:p w14:paraId="56960AFB" w14:textId="77777777" w:rsidR="00F72BCF" w:rsidRPr="00B24F58" w:rsidRDefault="00F72BCF" w:rsidP="00B15604">
            <w:pPr>
              <w:spacing w:before="20" w:after="20"/>
              <w:rPr>
                <w:szCs w:val="18"/>
              </w:rPr>
            </w:pPr>
            <w:r>
              <w:rPr>
                <w:szCs w:val="18"/>
              </w:rPr>
              <w:t>NT f</w:t>
            </w:r>
            <w:r w:rsidRPr="00B24F58">
              <w:rPr>
                <w:szCs w:val="18"/>
              </w:rPr>
              <w:t xml:space="preserve">acility operators must </w:t>
            </w:r>
            <w:r>
              <w:rPr>
                <w:szCs w:val="18"/>
              </w:rPr>
              <w:t xml:space="preserve">apply to </w:t>
            </w:r>
            <w:r w:rsidRPr="00B24F58">
              <w:rPr>
                <w:szCs w:val="18"/>
              </w:rPr>
              <w:t xml:space="preserve">register with AEMO under </w:t>
            </w:r>
            <w:r>
              <w:rPr>
                <w:szCs w:val="18"/>
              </w:rPr>
              <w:t>P</w:t>
            </w:r>
            <w:r w:rsidRPr="00B24F58">
              <w:rPr>
                <w:szCs w:val="18"/>
              </w:rPr>
              <w:t xml:space="preserve">art </w:t>
            </w:r>
            <w:r>
              <w:rPr>
                <w:szCs w:val="18"/>
              </w:rPr>
              <w:t>24 (unless already registered)</w:t>
            </w:r>
          </w:p>
        </w:tc>
        <w:tc>
          <w:tcPr>
            <w:tcW w:w="3260" w:type="dxa"/>
            <w:shd w:val="clear" w:color="auto" w:fill="FFFFFF" w:themeFill="background1"/>
          </w:tcPr>
          <w:p w14:paraId="5530326C" w14:textId="77777777" w:rsidR="00F72BCF" w:rsidRPr="00B24F58" w:rsidRDefault="00F72BCF" w:rsidP="00B15604">
            <w:pPr>
              <w:spacing w:before="20" w:after="20"/>
              <w:rPr>
                <w:szCs w:val="18"/>
              </w:rPr>
            </w:pPr>
            <w:r>
              <w:rPr>
                <w:szCs w:val="18"/>
              </w:rPr>
              <w:t xml:space="preserve">Part 24, rule </w:t>
            </w:r>
            <w:r w:rsidRPr="00B24F58">
              <w:rPr>
                <w:szCs w:val="18"/>
              </w:rPr>
              <w:t xml:space="preserve">593(1) definition of </w:t>
            </w:r>
            <w:r>
              <w:rPr>
                <w:szCs w:val="18"/>
              </w:rPr>
              <w:t>‘application date’,</w:t>
            </w:r>
            <w:r w:rsidRPr="00B24F58">
              <w:rPr>
                <w:szCs w:val="18"/>
              </w:rPr>
              <w:t xml:space="preserve"> </w:t>
            </w:r>
            <w:r>
              <w:rPr>
                <w:szCs w:val="18"/>
              </w:rPr>
              <w:t>‘Part 24 facility’, ‘exempt transportation facility’ and rule 618(2)</w:t>
            </w:r>
          </w:p>
        </w:tc>
      </w:tr>
      <w:tr w:rsidR="00F72BCF" w:rsidRPr="00B24F58" w14:paraId="74C220D7" w14:textId="77777777" w:rsidTr="00B15604">
        <w:trPr>
          <w:cnfStyle w:val="000000010000" w:firstRow="0" w:lastRow="0" w:firstColumn="0" w:lastColumn="0" w:oddVBand="0" w:evenVBand="0" w:oddHBand="0" w:evenHBand="1" w:firstRowFirstColumn="0" w:firstRowLastColumn="0" w:lastRowFirstColumn="0" w:lastRowLastColumn="0"/>
        </w:trPr>
        <w:tc>
          <w:tcPr>
            <w:tcW w:w="2279" w:type="dxa"/>
            <w:vMerge/>
            <w:shd w:val="clear" w:color="auto" w:fill="FFFFFF" w:themeFill="background1"/>
          </w:tcPr>
          <w:p w14:paraId="0BC9D986" w14:textId="77777777" w:rsidR="00F72BCF" w:rsidRPr="00B24F58" w:rsidRDefault="00F72BCF" w:rsidP="00B15604">
            <w:pPr>
              <w:spacing w:before="20" w:after="20"/>
              <w:rPr>
                <w:szCs w:val="18"/>
              </w:rPr>
            </w:pPr>
          </w:p>
        </w:tc>
        <w:tc>
          <w:tcPr>
            <w:tcW w:w="3675" w:type="dxa"/>
            <w:shd w:val="clear" w:color="auto" w:fill="FFFFFF" w:themeFill="background1"/>
          </w:tcPr>
          <w:p w14:paraId="59AA9D74" w14:textId="77777777" w:rsidR="00F72BCF" w:rsidRPr="00B24F58" w:rsidRDefault="00F72BCF" w:rsidP="00B15604">
            <w:pPr>
              <w:spacing w:before="20" w:after="20"/>
              <w:rPr>
                <w:szCs w:val="18"/>
              </w:rPr>
            </w:pPr>
            <w:r w:rsidRPr="00A969A6">
              <w:rPr>
                <w:szCs w:val="18"/>
              </w:rPr>
              <w:t>Transportation service provider for a Part 24 facility must apply to AEMO to register the Part 24 facility and to be registered as the transportation service pr</w:t>
            </w:r>
            <w:r>
              <w:rPr>
                <w:szCs w:val="18"/>
              </w:rPr>
              <w:t>ovider for the Part 24 facility</w:t>
            </w:r>
          </w:p>
        </w:tc>
        <w:tc>
          <w:tcPr>
            <w:tcW w:w="3260" w:type="dxa"/>
            <w:shd w:val="clear" w:color="auto" w:fill="FFFFFF" w:themeFill="background1"/>
          </w:tcPr>
          <w:p w14:paraId="016758B1" w14:textId="77777777" w:rsidR="00F72BCF" w:rsidRPr="00B24F58" w:rsidRDefault="00F72BCF" w:rsidP="00B15604">
            <w:pPr>
              <w:spacing w:before="20" w:after="20"/>
              <w:rPr>
                <w:szCs w:val="18"/>
              </w:rPr>
            </w:pPr>
            <w:r>
              <w:rPr>
                <w:szCs w:val="18"/>
              </w:rPr>
              <w:t>Part 24, rule 619(2)</w:t>
            </w:r>
          </w:p>
        </w:tc>
      </w:tr>
      <w:tr w:rsidR="00F72BCF" w:rsidRPr="00B24F58" w14:paraId="55A394EE" w14:textId="77777777" w:rsidTr="00B15604">
        <w:tc>
          <w:tcPr>
            <w:tcW w:w="2279" w:type="dxa"/>
            <w:shd w:val="clear" w:color="auto" w:fill="E1E2E7" w:themeFill="background2"/>
          </w:tcPr>
          <w:p w14:paraId="5672CE31" w14:textId="77777777" w:rsidR="00F72BCF" w:rsidRPr="00B24F58" w:rsidRDefault="00F72BCF" w:rsidP="00B15604">
            <w:pPr>
              <w:spacing w:before="20" w:after="20"/>
              <w:rPr>
                <w:szCs w:val="18"/>
              </w:rPr>
            </w:pPr>
            <w:r>
              <w:rPr>
                <w:szCs w:val="18"/>
              </w:rPr>
              <w:t>Commissioning date + 40</w:t>
            </w:r>
            <w:r w:rsidRPr="00B24F58">
              <w:rPr>
                <w:szCs w:val="18"/>
              </w:rPr>
              <w:t xml:space="preserve"> </w:t>
            </w:r>
            <w:r>
              <w:rPr>
                <w:szCs w:val="18"/>
              </w:rPr>
              <w:t>business</w:t>
            </w:r>
            <w:r w:rsidRPr="00B24F58">
              <w:rPr>
                <w:szCs w:val="18"/>
              </w:rPr>
              <w:t xml:space="preserve"> days</w:t>
            </w:r>
          </w:p>
        </w:tc>
        <w:tc>
          <w:tcPr>
            <w:tcW w:w="3675" w:type="dxa"/>
            <w:shd w:val="clear" w:color="auto" w:fill="E1E2E7" w:themeFill="background2"/>
          </w:tcPr>
          <w:p w14:paraId="0D5D1D5F" w14:textId="77777777" w:rsidR="00F72BCF" w:rsidRPr="00B24F58" w:rsidRDefault="00F72BCF" w:rsidP="00B15604">
            <w:pPr>
              <w:spacing w:before="20" w:after="20"/>
              <w:rPr>
                <w:szCs w:val="18"/>
              </w:rPr>
            </w:pPr>
            <w:r w:rsidRPr="00B24F58">
              <w:rPr>
                <w:szCs w:val="18"/>
              </w:rPr>
              <w:t>NT facility must</w:t>
            </w:r>
            <w:r>
              <w:rPr>
                <w:szCs w:val="18"/>
              </w:rPr>
              <w:t xml:space="preserve"> p</w:t>
            </w:r>
            <w:r w:rsidRPr="00B24F58">
              <w:rPr>
                <w:szCs w:val="18"/>
              </w:rPr>
              <w:t xml:space="preserve">ublish standard </w:t>
            </w:r>
            <w:r w:rsidR="003340EE">
              <w:rPr>
                <w:szCs w:val="18"/>
              </w:rPr>
              <w:t>operational</w:t>
            </w:r>
            <w:r w:rsidRPr="00B24F58">
              <w:rPr>
                <w:szCs w:val="18"/>
              </w:rPr>
              <w:t xml:space="preserve"> agreement</w:t>
            </w:r>
          </w:p>
        </w:tc>
        <w:tc>
          <w:tcPr>
            <w:tcW w:w="3260" w:type="dxa"/>
            <w:shd w:val="clear" w:color="auto" w:fill="E1E2E7" w:themeFill="background2"/>
          </w:tcPr>
          <w:p w14:paraId="483C8ABF" w14:textId="77777777" w:rsidR="00F72BCF" w:rsidRPr="00B24F58" w:rsidRDefault="00F72BCF" w:rsidP="00B15604">
            <w:pPr>
              <w:spacing w:before="20" w:after="20"/>
              <w:rPr>
                <w:szCs w:val="18"/>
              </w:rPr>
            </w:pPr>
            <w:r>
              <w:rPr>
                <w:szCs w:val="18"/>
              </w:rPr>
              <w:t xml:space="preserve">Part 24, rule </w:t>
            </w:r>
            <w:r w:rsidR="00BB2567">
              <w:rPr>
                <w:szCs w:val="18"/>
              </w:rPr>
              <w:t>631</w:t>
            </w:r>
            <w:r w:rsidRPr="00B24F58">
              <w:rPr>
                <w:szCs w:val="18"/>
              </w:rPr>
              <w:t>(1)</w:t>
            </w:r>
          </w:p>
        </w:tc>
      </w:tr>
      <w:tr w:rsidR="00B15604" w:rsidRPr="00B24F58" w14:paraId="25D693ED" w14:textId="77777777" w:rsidTr="00B15604">
        <w:trPr>
          <w:cnfStyle w:val="000000010000" w:firstRow="0" w:lastRow="0" w:firstColumn="0" w:lastColumn="0" w:oddVBand="0" w:evenVBand="0" w:oddHBand="0" w:evenHBand="1" w:firstRowFirstColumn="0" w:firstRowLastColumn="0" w:lastRowFirstColumn="0" w:lastRowLastColumn="0"/>
          <w:trHeight w:val="248"/>
        </w:trPr>
        <w:tc>
          <w:tcPr>
            <w:tcW w:w="2279" w:type="dxa"/>
            <w:vMerge w:val="restart"/>
            <w:shd w:val="clear" w:color="auto" w:fill="FFFFFF" w:themeFill="background1"/>
          </w:tcPr>
          <w:p w14:paraId="7F955C9A" w14:textId="77777777" w:rsidR="00B15604" w:rsidRPr="00B24F58" w:rsidRDefault="00B15604" w:rsidP="00B15604">
            <w:pPr>
              <w:spacing w:before="20" w:after="20"/>
              <w:rPr>
                <w:szCs w:val="18"/>
              </w:rPr>
            </w:pPr>
            <w:r>
              <w:rPr>
                <w:szCs w:val="18"/>
              </w:rPr>
              <w:t xml:space="preserve">Commissioning </w:t>
            </w:r>
            <w:r w:rsidRPr="00B24F58">
              <w:rPr>
                <w:szCs w:val="18"/>
              </w:rPr>
              <w:t xml:space="preserve">date + </w:t>
            </w:r>
            <w:r>
              <w:rPr>
                <w:szCs w:val="18"/>
              </w:rPr>
              <w:t>80</w:t>
            </w:r>
            <w:r w:rsidRPr="00B24F58">
              <w:rPr>
                <w:szCs w:val="18"/>
              </w:rPr>
              <w:t xml:space="preserve"> </w:t>
            </w:r>
            <w:r>
              <w:rPr>
                <w:szCs w:val="18"/>
              </w:rPr>
              <w:t>business</w:t>
            </w:r>
            <w:r w:rsidRPr="00B24F58">
              <w:rPr>
                <w:szCs w:val="18"/>
              </w:rPr>
              <w:t xml:space="preserve"> days</w:t>
            </w:r>
          </w:p>
        </w:tc>
        <w:tc>
          <w:tcPr>
            <w:tcW w:w="3675" w:type="dxa"/>
            <w:shd w:val="clear" w:color="auto" w:fill="FFFFFF" w:themeFill="background1"/>
          </w:tcPr>
          <w:p w14:paraId="200E8099" w14:textId="77777777" w:rsidR="00B15604" w:rsidRPr="00B24F58" w:rsidRDefault="00B15604" w:rsidP="00B15604">
            <w:pPr>
              <w:spacing w:before="20" w:after="20"/>
              <w:rPr>
                <w:szCs w:val="18"/>
              </w:rPr>
            </w:pPr>
            <w:r>
              <w:rPr>
                <w:szCs w:val="18"/>
              </w:rPr>
              <w:t>First day of NT capacity auction</w:t>
            </w:r>
          </w:p>
        </w:tc>
        <w:tc>
          <w:tcPr>
            <w:tcW w:w="3260" w:type="dxa"/>
            <w:shd w:val="clear" w:color="auto" w:fill="FFFFFF" w:themeFill="background1"/>
          </w:tcPr>
          <w:p w14:paraId="676842C6" w14:textId="77777777" w:rsidR="00B15604" w:rsidRPr="00B24F58" w:rsidRDefault="00B15604" w:rsidP="00B15604">
            <w:pPr>
              <w:spacing w:before="20" w:after="20"/>
              <w:rPr>
                <w:szCs w:val="18"/>
              </w:rPr>
            </w:pPr>
            <w:r>
              <w:rPr>
                <w:szCs w:val="18"/>
              </w:rPr>
              <w:t>Part 25, rule 654(1)</w:t>
            </w:r>
          </w:p>
        </w:tc>
      </w:tr>
      <w:tr w:rsidR="00B15604" w:rsidRPr="00B24F58" w14:paraId="1BFD2FDE" w14:textId="77777777" w:rsidTr="00B15604">
        <w:trPr>
          <w:trHeight w:val="247"/>
        </w:trPr>
        <w:tc>
          <w:tcPr>
            <w:tcW w:w="2279" w:type="dxa"/>
            <w:vMerge/>
            <w:shd w:val="clear" w:color="auto" w:fill="FFFFFF" w:themeFill="background1"/>
          </w:tcPr>
          <w:p w14:paraId="33F5B773" w14:textId="77777777" w:rsidR="00B15604" w:rsidRDefault="00B15604" w:rsidP="00B15604">
            <w:pPr>
              <w:spacing w:before="20" w:after="20"/>
              <w:rPr>
                <w:szCs w:val="18"/>
              </w:rPr>
            </w:pPr>
          </w:p>
        </w:tc>
        <w:tc>
          <w:tcPr>
            <w:tcW w:w="3675" w:type="dxa"/>
            <w:shd w:val="clear" w:color="auto" w:fill="FFFFFF" w:themeFill="background1"/>
          </w:tcPr>
          <w:p w14:paraId="748B9423" w14:textId="77777777" w:rsidR="00B15604" w:rsidRDefault="00B15604" w:rsidP="00B15604">
            <w:pPr>
              <w:spacing w:before="20" w:after="20"/>
              <w:rPr>
                <w:szCs w:val="18"/>
              </w:rPr>
            </w:pPr>
            <w:r w:rsidRPr="00B24F58">
              <w:rPr>
                <w:szCs w:val="18"/>
              </w:rPr>
              <w:t xml:space="preserve">Subdivision 5.7 </w:t>
            </w:r>
            <w:r>
              <w:rPr>
                <w:szCs w:val="18"/>
              </w:rPr>
              <w:t xml:space="preserve">(of Part 18) </w:t>
            </w:r>
            <w:r w:rsidRPr="00B24F58">
              <w:rPr>
                <w:szCs w:val="18"/>
              </w:rPr>
              <w:t>applies</w:t>
            </w:r>
            <w:r>
              <w:rPr>
                <w:szCs w:val="18"/>
              </w:rPr>
              <w:t xml:space="preserve"> to secondary capacity transactions for capacity on an NT facility and </w:t>
            </w:r>
            <w:r w:rsidRPr="00B24F58">
              <w:rPr>
                <w:szCs w:val="18"/>
              </w:rPr>
              <w:t>capacity tran</w:t>
            </w:r>
            <w:r>
              <w:rPr>
                <w:szCs w:val="18"/>
              </w:rPr>
              <w:t>saction reporting is mandatory from this date</w:t>
            </w:r>
          </w:p>
        </w:tc>
        <w:tc>
          <w:tcPr>
            <w:tcW w:w="3260" w:type="dxa"/>
            <w:shd w:val="clear" w:color="auto" w:fill="FFFFFF" w:themeFill="background1"/>
          </w:tcPr>
          <w:p w14:paraId="29BEE8FE" w14:textId="77777777" w:rsidR="00B15604" w:rsidRDefault="00B15604" w:rsidP="00B15604">
            <w:pPr>
              <w:spacing w:before="20" w:after="20"/>
              <w:rPr>
                <w:szCs w:val="18"/>
              </w:rPr>
            </w:pPr>
            <w:r>
              <w:rPr>
                <w:szCs w:val="18"/>
              </w:rPr>
              <w:t>Schedule 5, Part 2, rule 2(3)</w:t>
            </w:r>
          </w:p>
        </w:tc>
      </w:tr>
      <w:tr w:rsidR="00F72BCF" w:rsidRPr="00B24F58" w14:paraId="1C7AA64E" w14:textId="77777777" w:rsidTr="00B15604">
        <w:trPr>
          <w:cnfStyle w:val="000000010000" w:firstRow="0" w:lastRow="0" w:firstColumn="0" w:lastColumn="0" w:oddVBand="0" w:evenVBand="0" w:oddHBand="0" w:evenHBand="1" w:firstRowFirstColumn="0" w:firstRowLastColumn="0" w:lastRowFirstColumn="0" w:lastRowLastColumn="0"/>
        </w:trPr>
        <w:tc>
          <w:tcPr>
            <w:tcW w:w="2279" w:type="dxa"/>
          </w:tcPr>
          <w:p w14:paraId="5B221816" w14:textId="77777777" w:rsidR="00F72BCF" w:rsidRPr="00B24F58" w:rsidRDefault="00F72BCF" w:rsidP="00B15604">
            <w:pPr>
              <w:spacing w:before="20" w:after="20"/>
              <w:rPr>
                <w:szCs w:val="18"/>
              </w:rPr>
            </w:pPr>
            <w:r w:rsidRPr="00B24F58">
              <w:rPr>
                <w:szCs w:val="18"/>
              </w:rPr>
              <w:t xml:space="preserve">Commissioning </w:t>
            </w:r>
            <w:r>
              <w:rPr>
                <w:szCs w:val="18"/>
              </w:rPr>
              <w:t xml:space="preserve">date </w:t>
            </w:r>
            <w:r w:rsidRPr="00B24F58">
              <w:rPr>
                <w:szCs w:val="18"/>
              </w:rPr>
              <w:t>+ 90 days</w:t>
            </w:r>
          </w:p>
        </w:tc>
        <w:tc>
          <w:tcPr>
            <w:tcW w:w="3675" w:type="dxa"/>
          </w:tcPr>
          <w:p w14:paraId="4602E5EC" w14:textId="77777777" w:rsidR="00F72BCF" w:rsidRPr="00B24F58" w:rsidRDefault="00F72BCF" w:rsidP="00B15604">
            <w:pPr>
              <w:spacing w:before="20" w:after="20"/>
              <w:rPr>
                <w:szCs w:val="18"/>
              </w:rPr>
            </w:pPr>
            <w:r w:rsidRPr="00B24F58">
              <w:rPr>
                <w:szCs w:val="18"/>
              </w:rPr>
              <w:t>BB facilities that are also NT facilities fall within the scope of the operation of Part 18</w:t>
            </w:r>
          </w:p>
        </w:tc>
        <w:tc>
          <w:tcPr>
            <w:tcW w:w="3260" w:type="dxa"/>
          </w:tcPr>
          <w:p w14:paraId="783B7815" w14:textId="77777777" w:rsidR="00F72BCF" w:rsidRPr="00B24F58" w:rsidRDefault="00F72BCF" w:rsidP="00B15604">
            <w:pPr>
              <w:spacing w:before="20" w:after="20"/>
              <w:rPr>
                <w:szCs w:val="18"/>
              </w:rPr>
            </w:pPr>
            <w:r w:rsidRPr="00B24F58">
              <w:rPr>
                <w:szCs w:val="18"/>
              </w:rPr>
              <w:t xml:space="preserve">Part 18, </w:t>
            </w:r>
            <w:r>
              <w:rPr>
                <w:szCs w:val="18"/>
              </w:rPr>
              <w:t>rule</w:t>
            </w:r>
            <w:r w:rsidRPr="00B24F58">
              <w:rPr>
                <w:szCs w:val="18"/>
              </w:rPr>
              <w:t xml:space="preserve"> 141 defi</w:t>
            </w:r>
            <w:r>
              <w:rPr>
                <w:szCs w:val="18"/>
              </w:rPr>
              <w:t>nition of ‘NT application date</w:t>
            </w:r>
            <w:r w:rsidR="00BB2567">
              <w:rPr>
                <w:szCs w:val="18"/>
              </w:rPr>
              <w:t>’</w:t>
            </w:r>
            <w:r w:rsidR="00B15604">
              <w:rPr>
                <w:szCs w:val="18"/>
              </w:rPr>
              <w:t xml:space="preserve">. </w:t>
            </w:r>
            <w:r>
              <w:rPr>
                <w:szCs w:val="18"/>
              </w:rPr>
              <w:t>Part 18, rule 143(3)</w:t>
            </w:r>
          </w:p>
        </w:tc>
      </w:tr>
      <w:tr w:rsidR="00F72BCF" w:rsidRPr="00B24F58" w14:paraId="420E22EE" w14:textId="77777777" w:rsidTr="00B15604">
        <w:tc>
          <w:tcPr>
            <w:tcW w:w="2279" w:type="dxa"/>
            <w:vMerge w:val="restart"/>
            <w:shd w:val="clear" w:color="auto" w:fill="FFFFFF" w:themeFill="background1"/>
          </w:tcPr>
          <w:p w14:paraId="284ACEBC" w14:textId="77777777" w:rsidR="00F72BCF" w:rsidRPr="00B24F58" w:rsidRDefault="00F72BCF" w:rsidP="00B15604">
            <w:pPr>
              <w:spacing w:before="20" w:after="20"/>
              <w:rPr>
                <w:szCs w:val="18"/>
              </w:rPr>
            </w:pPr>
            <w:r>
              <w:rPr>
                <w:szCs w:val="18"/>
              </w:rPr>
              <w:t xml:space="preserve">Commissioning date + 90 days + 20 business days </w:t>
            </w:r>
          </w:p>
        </w:tc>
        <w:tc>
          <w:tcPr>
            <w:tcW w:w="3675" w:type="dxa"/>
            <w:shd w:val="clear" w:color="auto" w:fill="FFFFFF" w:themeFill="background1"/>
          </w:tcPr>
          <w:p w14:paraId="58E9D850" w14:textId="77777777" w:rsidR="00F72BCF" w:rsidRPr="00B24F58" w:rsidRDefault="00F72BCF" w:rsidP="00B15604">
            <w:pPr>
              <w:spacing w:before="20" w:after="20"/>
              <w:rPr>
                <w:szCs w:val="18"/>
              </w:rPr>
            </w:pPr>
            <w:r>
              <w:rPr>
                <w:szCs w:val="18"/>
              </w:rPr>
              <w:t>NT f</w:t>
            </w:r>
            <w:r w:rsidRPr="00B24F58">
              <w:rPr>
                <w:szCs w:val="18"/>
              </w:rPr>
              <w:t xml:space="preserve">acility operators must </w:t>
            </w:r>
            <w:r>
              <w:rPr>
                <w:szCs w:val="18"/>
              </w:rPr>
              <w:t xml:space="preserve">apply to </w:t>
            </w:r>
            <w:r w:rsidRPr="00B24F58">
              <w:rPr>
                <w:szCs w:val="18"/>
              </w:rPr>
              <w:t xml:space="preserve">register with AEMO under </w:t>
            </w:r>
            <w:r>
              <w:rPr>
                <w:szCs w:val="18"/>
              </w:rPr>
              <w:t>P</w:t>
            </w:r>
            <w:r w:rsidRPr="00B24F58">
              <w:rPr>
                <w:szCs w:val="18"/>
              </w:rPr>
              <w:t>art 18</w:t>
            </w:r>
            <w:r>
              <w:rPr>
                <w:szCs w:val="18"/>
              </w:rPr>
              <w:t xml:space="preserve"> (unless already registered)</w:t>
            </w:r>
          </w:p>
        </w:tc>
        <w:tc>
          <w:tcPr>
            <w:tcW w:w="3260" w:type="dxa"/>
            <w:shd w:val="clear" w:color="auto" w:fill="FFFFFF" w:themeFill="background1"/>
          </w:tcPr>
          <w:p w14:paraId="1E1C62FC" w14:textId="77777777" w:rsidR="00F72BCF" w:rsidRPr="00B24F58" w:rsidRDefault="00F72BCF" w:rsidP="00B15604">
            <w:pPr>
              <w:spacing w:before="20" w:after="20"/>
              <w:rPr>
                <w:szCs w:val="18"/>
              </w:rPr>
            </w:pPr>
            <w:r>
              <w:rPr>
                <w:szCs w:val="18"/>
              </w:rPr>
              <w:t>Part 18, rule 150(2)</w:t>
            </w:r>
          </w:p>
        </w:tc>
      </w:tr>
      <w:tr w:rsidR="00F72BCF" w:rsidRPr="00B24F58" w14:paraId="1A92AFCA" w14:textId="77777777" w:rsidTr="00B15604">
        <w:trPr>
          <w:cnfStyle w:val="000000010000" w:firstRow="0" w:lastRow="0" w:firstColumn="0" w:lastColumn="0" w:oddVBand="0" w:evenVBand="0" w:oddHBand="0" w:evenHBand="1" w:firstRowFirstColumn="0" w:firstRowLastColumn="0" w:lastRowFirstColumn="0" w:lastRowLastColumn="0"/>
        </w:trPr>
        <w:tc>
          <w:tcPr>
            <w:tcW w:w="2279" w:type="dxa"/>
            <w:vMerge/>
            <w:shd w:val="clear" w:color="auto" w:fill="FFFFFF" w:themeFill="background1"/>
          </w:tcPr>
          <w:p w14:paraId="335EE5F2" w14:textId="77777777" w:rsidR="00F72BCF" w:rsidRDefault="00F72BCF" w:rsidP="00676D5D">
            <w:pPr>
              <w:keepNext/>
              <w:spacing w:before="20" w:after="20"/>
              <w:rPr>
                <w:szCs w:val="18"/>
              </w:rPr>
            </w:pPr>
          </w:p>
        </w:tc>
        <w:tc>
          <w:tcPr>
            <w:tcW w:w="3675" w:type="dxa"/>
            <w:shd w:val="clear" w:color="auto" w:fill="FFFFFF" w:themeFill="background1"/>
          </w:tcPr>
          <w:p w14:paraId="5AA83474" w14:textId="77777777" w:rsidR="00F72BCF" w:rsidRPr="00B24F58" w:rsidRDefault="00F72BCF" w:rsidP="00676D5D">
            <w:pPr>
              <w:keepNext/>
              <w:spacing w:before="20" w:after="20"/>
              <w:rPr>
                <w:szCs w:val="18"/>
              </w:rPr>
            </w:pPr>
            <w:r w:rsidRPr="006A01CF">
              <w:rPr>
                <w:szCs w:val="18"/>
              </w:rPr>
              <w:t>Operators of BB facilities that are also NT facilities must apply to r</w:t>
            </w:r>
            <w:r>
              <w:rPr>
                <w:szCs w:val="18"/>
              </w:rPr>
              <w:t>egister with AEMO under Part 18</w:t>
            </w:r>
          </w:p>
        </w:tc>
        <w:tc>
          <w:tcPr>
            <w:tcW w:w="3260" w:type="dxa"/>
            <w:shd w:val="clear" w:color="auto" w:fill="FFFFFF" w:themeFill="background1"/>
          </w:tcPr>
          <w:p w14:paraId="01F1212F" w14:textId="77777777" w:rsidR="00F72BCF" w:rsidRPr="00B24F58" w:rsidRDefault="00F72BCF" w:rsidP="00676D5D">
            <w:pPr>
              <w:keepNext/>
              <w:spacing w:before="20" w:after="20"/>
              <w:rPr>
                <w:szCs w:val="18"/>
              </w:rPr>
            </w:pPr>
            <w:r w:rsidRPr="006A01CF">
              <w:rPr>
                <w:szCs w:val="18"/>
              </w:rPr>
              <w:t>Part 18, rule 151(2)</w:t>
            </w:r>
          </w:p>
        </w:tc>
      </w:tr>
    </w:tbl>
    <w:p w14:paraId="086E9634" w14:textId="77777777" w:rsidR="00F72BCF" w:rsidRDefault="00F72BCF" w:rsidP="00F72BCF">
      <w:pPr>
        <w:rPr>
          <w:b/>
          <w:szCs w:val="18"/>
        </w:rPr>
      </w:pPr>
    </w:p>
    <w:p w14:paraId="15850DC1" w14:textId="77777777" w:rsidR="00816D67" w:rsidRDefault="00816D67" w:rsidP="00816D67">
      <w:pPr>
        <w:pStyle w:val="BodyText"/>
      </w:pPr>
      <w:r>
        <w:lastRenderedPageBreak/>
        <w:t xml:space="preserve">The GMRG is interested in hearing stakeholders’ views on the </w:t>
      </w:r>
      <w:r w:rsidR="00676D5D">
        <w:t>timings outlined in these tables</w:t>
      </w:r>
      <w:r>
        <w:t>.  Some specific questions that the GMRG would like to obtain feedback on are set out in the box below.</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9.1: Questions on key timings"/>
        <w:tblDescription w:val="Box 9.1: Questions on key timings"/>
      </w:tblPr>
      <w:tblGrid>
        <w:gridCol w:w="8789"/>
      </w:tblGrid>
      <w:tr w:rsidR="00F8722C" w:rsidRPr="0089473A" w14:paraId="7389444B" w14:textId="77777777" w:rsidTr="00001A9B">
        <w:trPr>
          <w:tblHeader/>
        </w:trPr>
        <w:tc>
          <w:tcPr>
            <w:tcW w:w="5000" w:type="pct"/>
            <w:shd w:val="clear" w:color="auto" w:fill="auto"/>
          </w:tcPr>
          <w:p w14:paraId="1F35F1C8" w14:textId="06D74B29" w:rsidR="00F8722C" w:rsidRPr="0089473A" w:rsidRDefault="00F8722C" w:rsidP="00F8722C">
            <w:pPr>
              <w:pStyle w:val="ListBullet"/>
              <w:numPr>
                <w:ilvl w:val="0"/>
                <w:numId w:val="0"/>
              </w:numPr>
              <w:ind w:left="357" w:hanging="357"/>
            </w:pPr>
            <w:r w:rsidRPr="00261C12">
              <w:rPr>
                <w:b/>
              </w:rPr>
              <w:t xml:space="preserve">Box </w:t>
            </w:r>
            <w:r w:rsidRPr="00261C12">
              <w:rPr>
                <w:b/>
              </w:rPr>
              <w:fldChar w:fldCharType="begin"/>
            </w:r>
            <w:r w:rsidRPr="00261C12">
              <w:rPr>
                <w:b/>
              </w:rPr>
              <w:instrText xml:space="preserve"> STYLEREF 1 \s </w:instrText>
            </w:r>
            <w:r w:rsidRPr="00261C12">
              <w:rPr>
                <w:b/>
              </w:rPr>
              <w:fldChar w:fldCharType="separate"/>
            </w:r>
            <w:r w:rsidRPr="00261C12">
              <w:rPr>
                <w:b/>
                <w:noProof/>
              </w:rPr>
              <w:t>9</w:t>
            </w:r>
            <w:r w:rsidRPr="00261C12">
              <w:rPr>
                <w:b/>
                <w:noProof/>
              </w:rPr>
              <w:fldChar w:fldCharType="end"/>
            </w:r>
            <w:r w:rsidRPr="00261C12">
              <w:rPr>
                <w:b/>
              </w:rPr>
              <w:t>.</w:t>
            </w:r>
            <w:r w:rsidRPr="00261C12">
              <w:rPr>
                <w:b/>
              </w:rPr>
              <w:fldChar w:fldCharType="begin"/>
            </w:r>
            <w:r w:rsidRPr="00261C12">
              <w:rPr>
                <w:b/>
              </w:rPr>
              <w:instrText xml:space="preserve"> SEQ Box \* ARABIC \s 1 </w:instrText>
            </w:r>
            <w:r w:rsidRPr="00261C12">
              <w:rPr>
                <w:b/>
              </w:rPr>
              <w:fldChar w:fldCharType="separate"/>
            </w:r>
            <w:r w:rsidRPr="00261C12">
              <w:rPr>
                <w:b/>
                <w:noProof/>
              </w:rPr>
              <w:t>1</w:t>
            </w:r>
            <w:r w:rsidRPr="00261C12">
              <w:rPr>
                <w:b/>
                <w:noProof/>
              </w:rPr>
              <w:fldChar w:fldCharType="end"/>
            </w:r>
            <w:r w:rsidRPr="00261C12">
              <w:rPr>
                <w:b/>
              </w:rPr>
              <w:t xml:space="preserve">: </w:t>
            </w:r>
            <w:r w:rsidRPr="00261C12">
              <w:rPr>
                <w:b/>
                <w:bCs/>
              </w:rPr>
              <w:t>Questions on key timings</w:t>
            </w:r>
          </w:p>
        </w:tc>
      </w:tr>
      <w:tr w:rsidR="00F8722C" w:rsidRPr="0089473A" w14:paraId="3EBBA197" w14:textId="77777777" w:rsidTr="00261C12">
        <w:tc>
          <w:tcPr>
            <w:tcW w:w="5000" w:type="pct"/>
            <w:shd w:val="clear" w:color="auto" w:fill="B7E7FF"/>
          </w:tcPr>
          <w:p w14:paraId="405E89E3" w14:textId="77777777" w:rsidR="00F8722C" w:rsidRPr="0089473A" w:rsidRDefault="00F8722C" w:rsidP="00F8722C">
            <w:pPr>
              <w:pStyle w:val="ListBullet"/>
              <w:numPr>
                <w:ilvl w:val="0"/>
                <w:numId w:val="29"/>
              </w:numPr>
              <w:ind w:left="357" w:hanging="357"/>
            </w:pPr>
            <w:r w:rsidRPr="0089473A">
              <w:t>Do you have any concerns with the timings outlined Chapter 9? If so, what are they and how do you suggest the timings are adjusted?</w:t>
            </w:r>
          </w:p>
          <w:p w14:paraId="05DCA2DC" w14:textId="77777777" w:rsidR="00F8722C" w:rsidRPr="0089473A" w:rsidRDefault="00F8722C" w:rsidP="00F8722C">
            <w:pPr>
              <w:pStyle w:val="ListBullet"/>
              <w:numPr>
                <w:ilvl w:val="0"/>
                <w:numId w:val="29"/>
              </w:numPr>
              <w:ind w:left="357" w:hanging="357"/>
            </w:pPr>
            <w:r w:rsidRPr="0089473A">
              <w:t>In the event the capacity trading reforms are applied in the Northern Territory, do you believe the timings set out in Table 9.4 are appropriate? For example:</w:t>
            </w:r>
          </w:p>
          <w:p w14:paraId="5B5AA011" w14:textId="5F3FB434" w:rsidR="00001A9B" w:rsidRPr="00001A9B" w:rsidRDefault="00F8722C" w:rsidP="00001A9B">
            <w:pPr>
              <w:pStyle w:val="TableBullet2"/>
              <w:numPr>
                <w:ilvl w:val="1"/>
                <w:numId w:val="7"/>
              </w:numPr>
              <w:spacing w:before="120" w:after="120"/>
              <w:ind w:right="0"/>
              <w:rPr>
                <w:sz w:val="22"/>
              </w:rPr>
            </w:pPr>
            <w:r w:rsidRPr="00001A9B">
              <w:rPr>
                <w:rFonts w:eastAsiaTheme="majorEastAsia"/>
                <w:sz w:val="22"/>
              </w:rPr>
              <w:t>Part 18 of the NGR uses ‘NT application date’, defined as the date falling 90 days after the date on which the first NT interconnector is commissioned, to determine when Part 18 applies to facilities in the NT. Following this 90-day period, BB facilities that are also NT facilities have 20 business days to apply to AEMO to register under Part 18. In practice, this means that NT auction facilities may be subject to the capacity auction (which commences on the date falling 80 business days after commissioning), prior to publishing information on the Bulletin Board. Should the Part 18 obligations come into effect for NT auction facilities prior to the commencement of the auction?</w:t>
            </w:r>
          </w:p>
        </w:tc>
      </w:tr>
    </w:tbl>
    <w:p w14:paraId="62803142" w14:textId="77777777" w:rsidR="00F96A65" w:rsidRDefault="00F96A65" w:rsidP="00F96A65">
      <w:pPr>
        <w:pStyle w:val="BodyText"/>
        <w:rPr>
          <w:lang w:eastAsia="en-US"/>
        </w:rPr>
      </w:pPr>
    </w:p>
    <w:p w14:paraId="6AEE9959" w14:textId="77777777" w:rsidR="00F96A65" w:rsidRDefault="00F96A65" w:rsidP="00F96A65">
      <w:pPr>
        <w:pStyle w:val="BodyText"/>
        <w:rPr>
          <w:lang w:eastAsia="en-US"/>
        </w:rPr>
      </w:pPr>
    </w:p>
    <w:p w14:paraId="5E7DEC82" w14:textId="77777777" w:rsidR="007260A1" w:rsidRDefault="007260A1" w:rsidP="00F96A65">
      <w:pPr>
        <w:pStyle w:val="BodyText"/>
        <w:rPr>
          <w:lang w:eastAsia="en-US"/>
        </w:rPr>
        <w:sectPr w:rsidR="007260A1" w:rsidSect="00436621">
          <w:footerReference w:type="default" r:id="rId47"/>
          <w:pgSz w:w="11907" w:h="16839" w:code="9"/>
          <w:pgMar w:top="1361" w:right="1417" w:bottom="709" w:left="1701" w:header="567" w:footer="275" w:gutter="0"/>
          <w:cols w:space="708"/>
          <w:docGrid w:linePitch="360"/>
        </w:sectPr>
      </w:pPr>
    </w:p>
    <w:p w14:paraId="1FE716C3" w14:textId="77777777" w:rsidR="007260A1" w:rsidRDefault="007260A1" w:rsidP="007260A1">
      <w:pPr>
        <w:pStyle w:val="Heading9"/>
      </w:pPr>
      <w:bookmarkStart w:id="136" w:name="_Ref508819494"/>
      <w:r>
        <w:lastRenderedPageBreak/>
        <w:t>Summary of proposed civil penalty and conduct provisions</w:t>
      </w:r>
      <w:bookmarkEnd w:id="136"/>
    </w:p>
    <w:p w14:paraId="7F610104" w14:textId="77777777" w:rsidR="007260A1" w:rsidRDefault="007260A1" w:rsidP="007260A1">
      <w:pPr>
        <w:pStyle w:val="Caption"/>
        <w:spacing w:after="0"/>
      </w:pPr>
      <w:r>
        <w:t xml:space="preserve">Table </w:t>
      </w:r>
      <w:r w:rsidR="00067F90">
        <w:t>A</w:t>
      </w:r>
      <w:r>
        <w:t>.1 Proposed civil penalty and conduct provisions</w:t>
      </w:r>
    </w:p>
    <w:tbl>
      <w:tblPr>
        <w:tblStyle w:val="TableGrid"/>
        <w:tblW w:w="13753" w:type="dxa"/>
        <w:tblLook w:val="04A0" w:firstRow="1" w:lastRow="0" w:firstColumn="1" w:lastColumn="0" w:noHBand="0" w:noVBand="1"/>
        <w:tblCaption w:val="Table A.1 Proposed civil penalty and conduct provisions"/>
        <w:tblDescription w:val="Table indicating proposed civil penalty and conduct provisions"/>
      </w:tblPr>
      <w:tblGrid>
        <w:gridCol w:w="11482"/>
        <w:gridCol w:w="2271"/>
      </w:tblGrid>
      <w:tr w:rsidR="007260A1" w14:paraId="5E39E47D" w14:textId="77777777" w:rsidTr="002F7585">
        <w:trPr>
          <w:cnfStyle w:val="100000000000" w:firstRow="1" w:lastRow="0" w:firstColumn="0" w:lastColumn="0" w:oddVBand="0" w:evenVBand="0" w:oddHBand="0" w:evenHBand="0" w:firstRowFirstColumn="0" w:firstRowLastColumn="0" w:lastRowFirstColumn="0" w:lastRowLastColumn="0"/>
          <w:tblHeader/>
        </w:trPr>
        <w:tc>
          <w:tcPr>
            <w:tcW w:w="11482" w:type="dxa"/>
            <w:tcBorders>
              <w:top w:val="single" w:sz="4" w:space="0" w:color="auto"/>
              <w:left w:val="nil"/>
              <w:bottom w:val="single" w:sz="4" w:space="0" w:color="auto"/>
              <w:right w:val="single" w:sz="4" w:space="0" w:color="auto"/>
            </w:tcBorders>
            <w:shd w:val="clear" w:color="auto" w:fill="0099CC"/>
            <w:hideMark/>
          </w:tcPr>
          <w:p w14:paraId="4770EFE9" w14:textId="77777777" w:rsidR="007260A1" w:rsidRDefault="007260A1" w:rsidP="005F7A9D">
            <w:pPr>
              <w:pStyle w:val="BodyText"/>
              <w:spacing w:before="20" w:after="20"/>
            </w:pPr>
            <w:r>
              <w:t>Provision</w:t>
            </w:r>
          </w:p>
        </w:tc>
        <w:tc>
          <w:tcPr>
            <w:tcW w:w="2268" w:type="dxa"/>
            <w:tcBorders>
              <w:top w:val="single" w:sz="4" w:space="0" w:color="auto"/>
              <w:left w:val="single" w:sz="4" w:space="0" w:color="auto"/>
              <w:bottom w:val="single" w:sz="4" w:space="0" w:color="auto"/>
              <w:right w:val="nil"/>
            </w:tcBorders>
            <w:shd w:val="clear" w:color="auto" w:fill="0099CC"/>
            <w:hideMark/>
          </w:tcPr>
          <w:p w14:paraId="52B0A86B" w14:textId="77777777" w:rsidR="007260A1" w:rsidRDefault="007260A1" w:rsidP="005F7A9D">
            <w:pPr>
              <w:pStyle w:val="BodyText"/>
              <w:spacing w:before="20" w:after="20"/>
            </w:pPr>
            <w:r>
              <w:t>Civil Penalty or Conduct Provision</w:t>
            </w:r>
          </w:p>
        </w:tc>
      </w:tr>
      <w:tr w:rsidR="007260A1" w14:paraId="7E8BDED8" w14:textId="77777777" w:rsidTr="002F7585">
        <w:tc>
          <w:tcPr>
            <w:tcW w:w="13753" w:type="dxa"/>
            <w:gridSpan w:val="2"/>
            <w:tcBorders>
              <w:top w:val="single" w:sz="4" w:space="0" w:color="auto"/>
              <w:left w:val="nil"/>
              <w:bottom w:val="single" w:sz="4" w:space="0" w:color="auto"/>
              <w:right w:val="nil"/>
            </w:tcBorders>
            <w:shd w:val="clear" w:color="auto" w:fill="65697F" w:themeFill="background2" w:themeFillShade="80"/>
          </w:tcPr>
          <w:p w14:paraId="6DFF8485" w14:textId="77777777" w:rsidR="007260A1" w:rsidRDefault="007260A1" w:rsidP="005F7A9D">
            <w:pPr>
              <w:pStyle w:val="BodyText"/>
              <w:spacing w:before="20" w:after="20"/>
              <w:jc w:val="center"/>
              <w:rPr>
                <w:color w:val="FFFFFF" w:themeColor="background1"/>
              </w:rPr>
            </w:pPr>
            <w:r>
              <w:rPr>
                <w:color w:val="FFFFFF" w:themeColor="background1"/>
              </w:rPr>
              <w:t>NGL</w:t>
            </w:r>
          </w:p>
        </w:tc>
      </w:tr>
      <w:tr w:rsidR="007260A1" w14:paraId="4273E9EA"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56F10079" w14:textId="77777777" w:rsidR="007260A1" w:rsidRDefault="007260A1" w:rsidP="005F7A9D">
            <w:pPr>
              <w:pStyle w:val="BodyText"/>
              <w:spacing w:before="20" w:after="20"/>
            </w:pPr>
            <w:r>
              <w:t>s. 83C (Obligation to implement the standard market timetable in accordance with the NGR)</w:t>
            </w:r>
          </w:p>
        </w:tc>
        <w:tc>
          <w:tcPr>
            <w:tcW w:w="2268" w:type="dxa"/>
            <w:tcBorders>
              <w:top w:val="single" w:sz="4" w:space="0" w:color="auto"/>
              <w:left w:val="single" w:sz="4" w:space="0" w:color="auto"/>
              <w:bottom w:val="single" w:sz="4" w:space="0" w:color="auto"/>
              <w:right w:val="nil"/>
            </w:tcBorders>
          </w:tcPr>
          <w:p w14:paraId="76AC1378" w14:textId="77777777" w:rsidR="007260A1" w:rsidRPr="00086528" w:rsidRDefault="007260A1" w:rsidP="005F7A9D">
            <w:pPr>
              <w:pStyle w:val="BodyText"/>
              <w:spacing w:before="20" w:after="20"/>
            </w:pPr>
            <w:r>
              <w:t>Civil penalty</w:t>
            </w:r>
          </w:p>
        </w:tc>
      </w:tr>
      <w:tr w:rsidR="007260A1" w14:paraId="3FA2A0C7" w14:textId="77777777" w:rsidTr="002F7585">
        <w:tc>
          <w:tcPr>
            <w:tcW w:w="11482" w:type="dxa"/>
            <w:tcBorders>
              <w:top w:val="single" w:sz="4" w:space="0" w:color="auto"/>
              <w:left w:val="nil"/>
              <w:bottom w:val="single" w:sz="4" w:space="0" w:color="auto"/>
              <w:right w:val="single" w:sz="4" w:space="0" w:color="auto"/>
            </w:tcBorders>
          </w:tcPr>
          <w:p w14:paraId="73E191A4" w14:textId="77777777" w:rsidR="007260A1" w:rsidRDefault="007260A1" w:rsidP="005F7A9D">
            <w:pPr>
              <w:pStyle w:val="BodyText"/>
              <w:spacing w:before="20" w:after="20"/>
            </w:pPr>
            <w:r>
              <w:t xml:space="preserve">s. </w:t>
            </w:r>
            <w:r w:rsidRPr="00086528">
              <w:t>91BRR (5) (</w:t>
            </w:r>
            <w:r>
              <w:t>A</w:t>
            </w:r>
            <w:r w:rsidRPr="00086528">
              <w:t xml:space="preserve"> service provider must comply with AEMO’s direction to rectify or take specified measures concerning suspected breach of Capacity Trading and Auction Procedures)</w:t>
            </w:r>
          </w:p>
        </w:tc>
        <w:tc>
          <w:tcPr>
            <w:tcW w:w="2268" w:type="dxa"/>
            <w:tcBorders>
              <w:top w:val="single" w:sz="4" w:space="0" w:color="auto"/>
              <w:left w:val="single" w:sz="4" w:space="0" w:color="auto"/>
              <w:bottom w:val="single" w:sz="4" w:space="0" w:color="auto"/>
              <w:right w:val="nil"/>
            </w:tcBorders>
          </w:tcPr>
          <w:p w14:paraId="2F9D4667" w14:textId="77777777" w:rsidR="007260A1" w:rsidRDefault="007260A1" w:rsidP="005F7A9D">
            <w:pPr>
              <w:pStyle w:val="BodyText"/>
              <w:spacing w:before="20" w:after="20"/>
            </w:pPr>
            <w:r w:rsidRPr="00086528">
              <w:t>Civil penalty</w:t>
            </w:r>
          </w:p>
        </w:tc>
      </w:tr>
      <w:tr w:rsidR="007260A1" w14:paraId="797E630E"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5CFED772" w14:textId="77777777" w:rsidR="007260A1" w:rsidRDefault="007260A1" w:rsidP="005F7A9D">
            <w:pPr>
              <w:pStyle w:val="BodyText"/>
              <w:spacing w:before="20" w:after="20"/>
            </w:pPr>
            <w:r>
              <w:t xml:space="preserve">s. </w:t>
            </w:r>
            <w:r w:rsidRPr="00086528">
              <w:t>91BRS (1) (</w:t>
            </w:r>
            <w:r>
              <w:t>A</w:t>
            </w:r>
            <w:r w:rsidRPr="00086528">
              <w:t xml:space="preserve"> transportation service provider other than AEMO must register with AEMO unless exempted under the Rules)</w:t>
            </w:r>
          </w:p>
        </w:tc>
        <w:tc>
          <w:tcPr>
            <w:tcW w:w="2268" w:type="dxa"/>
            <w:tcBorders>
              <w:top w:val="single" w:sz="4" w:space="0" w:color="auto"/>
              <w:left w:val="single" w:sz="4" w:space="0" w:color="auto"/>
              <w:bottom w:val="single" w:sz="4" w:space="0" w:color="auto"/>
              <w:right w:val="nil"/>
            </w:tcBorders>
          </w:tcPr>
          <w:p w14:paraId="379C127F" w14:textId="77777777" w:rsidR="007260A1" w:rsidRDefault="007260A1" w:rsidP="005F7A9D">
            <w:pPr>
              <w:pStyle w:val="BodyText"/>
              <w:spacing w:before="20" w:after="20"/>
            </w:pPr>
            <w:r w:rsidRPr="00086528">
              <w:t>Civil penalty</w:t>
            </w:r>
          </w:p>
        </w:tc>
      </w:tr>
      <w:tr w:rsidR="007260A1" w14:paraId="28983F3A" w14:textId="77777777" w:rsidTr="002F7585">
        <w:tc>
          <w:tcPr>
            <w:tcW w:w="11482" w:type="dxa"/>
            <w:tcBorders>
              <w:top w:val="single" w:sz="4" w:space="0" w:color="auto"/>
              <w:left w:val="nil"/>
              <w:bottom w:val="single" w:sz="4" w:space="0" w:color="auto"/>
              <w:right w:val="single" w:sz="4" w:space="0" w:color="auto"/>
            </w:tcBorders>
            <w:hideMark/>
          </w:tcPr>
          <w:p w14:paraId="00AB16E3" w14:textId="77777777" w:rsidR="007260A1" w:rsidRDefault="007260A1" w:rsidP="005F7A9D">
            <w:pPr>
              <w:pStyle w:val="BodyText"/>
              <w:spacing w:before="20" w:after="20"/>
            </w:pPr>
            <w:r>
              <w:t>s. 91FEE (Obligation to give capacity auction information to AEMO)</w:t>
            </w:r>
          </w:p>
        </w:tc>
        <w:tc>
          <w:tcPr>
            <w:tcW w:w="2268" w:type="dxa"/>
            <w:tcBorders>
              <w:top w:val="single" w:sz="4" w:space="0" w:color="auto"/>
              <w:left w:val="single" w:sz="4" w:space="0" w:color="auto"/>
              <w:bottom w:val="single" w:sz="4" w:space="0" w:color="auto"/>
              <w:right w:val="nil"/>
            </w:tcBorders>
            <w:hideMark/>
          </w:tcPr>
          <w:p w14:paraId="3E99AD40" w14:textId="77777777" w:rsidR="007260A1" w:rsidRDefault="007260A1" w:rsidP="005F7A9D">
            <w:pPr>
              <w:pStyle w:val="BodyText"/>
              <w:spacing w:before="20" w:after="20"/>
            </w:pPr>
            <w:r>
              <w:t>Civil penalty</w:t>
            </w:r>
          </w:p>
        </w:tc>
      </w:tr>
      <w:tr w:rsidR="007260A1" w14:paraId="49D981FF"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73BE643E" w14:textId="77777777" w:rsidR="007260A1" w:rsidRDefault="007260A1" w:rsidP="005F7A9D">
            <w:pPr>
              <w:pStyle w:val="BodyText"/>
              <w:spacing w:before="20" w:after="20"/>
            </w:pPr>
            <w:r>
              <w:t>s. 223A (Obligation to give information to AEMO about secondary capacity transactions)</w:t>
            </w:r>
          </w:p>
        </w:tc>
        <w:tc>
          <w:tcPr>
            <w:tcW w:w="2268" w:type="dxa"/>
            <w:tcBorders>
              <w:top w:val="single" w:sz="4" w:space="0" w:color="auto"/>
              <w:left w:val="single" w:sz="4" w:space="0" w:color="auto"/>
              <w:bottom w:val="single" w:sz="4" w:space="0" w:color="auto"/>
              <w:right w:val="nil"/>
            </w:tcBorders>
          </w:tcPr>
          <w:p w14:paraId="6A1885FF" w14:textId="77777777" w:rsidR="007260A1" w:rsidRPr="00086528" w:rsidRDefault="007260A1" w:rsidP="005F7A9D">
            <w:pPr>
              <w:pStyle w:val="BodyText"/>
              <w:spacing w:before="20" w:after="20"/>
            </w:pPr>
            <w:r>
              <w:t>Civil penalty</w:t>
            </w:r>
          </w:p>
        </w:tc>
      </w:tr>
      <w:tr w:rsidR="007260A1" w14:paraId="42816AFC" w14:textId="77777777" w:rsidTr="002F7585">
        <w:tc>
          <w:tcPr>
            <w:tcW w:w="11482" w:type="dxa"/>
            <w:tcBorders>
              <w:top w:val="single" w:sz="4" w:space="0" w:color="auto"/>
              <w:left w:val="nil"/>
              <w:bottom w:val="single" w:sz="4" w:space="0" w:color="auto"/>
              <w:right w:val="single" w:sz="4" w:space="0" w:color="auto"/>
            </w:tcBorders>
          </w:tcPr>
          <w:p w14:paraId="385CDEDE" w14:textId="77777777" w:rsidR="007260A1" w:rsidRDefault="007260A1" w:rsidP="005F7A9D">
            <w:pPr>
              <w:pStyle w:val="BodyText"/>
              <w:spacing w:before="20" w:after="20"/>
            </w:pPr>
            <w:r>
              <w:t xml:space="preserve">s. </w:t>
            </w:r>
            <w:r w:rsidRPr="00086528">
              <w:t>228B (a transportation service provider for non-exempted facility must publish initial and, where required, amended standard operational agreement on its website)</w:t>
            </w:r>
          </w:p>
        </w:tc>
        <w:tc>
          <w:tcPr>
            <w:tcW w:w="2268" w:type="dxa"/>
            <w:tcBorders>
              <w:top w:val="single" w:sz="4" w:space="0" w:color="auto"/>
              <w:left w:val="single" w:sz="4" w:space="0" w:color="auto"/>
              <w:bottom w:val="single" w:sz="4" w:space="0" w:color="auto"/>
              <w:right w:val="nil"/>
            </w:tcBorders>
          </w:tcPr>
          <w:p w14:paraId="5DDEAC36" w14:textId="77777777" w:rsidR="007260A1" w:rsidRDefault="007260A1" w:rsidP="005F7A9D">
            <w:pPr>
              <w:pStyle w:val="BodyText"/>
              <w:spacing w:before="20" w:after="20"/>
            </w:pPr>
            <w:r w:rsidRPr="00086528">
              <w:t>Civil penalty</w:t>
            </w:r>
          </w:p>
        </w:tc>
      </w:tr>
      <w:tr w:rsidR="007260A1" w14:paraId="06D07033"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79F21771" w14:textId="77777777" w:rsidR="007260A1" w:rsidRDefault="007260A1" w:rsidP="005F7A9D">
            <w:pPr>
              <w:pStyle w:val="BodyText"/>
              <w:spacing w:before="20" w:after="20"/>
            </w:pPr>
            <w:r>
              <w:t xml:space="preserve">s. </w:t>
            </w:r>
            <w:r w:rsidRPr="00086528">
              <w:t>228C (a transportation service provider must on request offer to enter into (and if offer is accepted, enter into) standard operational agreement)</w:t>
            </w:r>
          </w:p>
        </w:tc>
        <w:tc>
          <w:tcPr>
            <w:tcW w:w="2268" w:type="dxa"/>
            <w:tcBorders>
              <w:top w:val="single" w:sz="4" w:space="0" w:color="auto"/>
              <w:left w:val="single" w:sz="4" w:space="0" w:color="auto"/>
              <w:bottom w:val="single" w:sz="4" w:space="0" w:color="auto"/>
              <w:right w:val="nil"/>
            </w:tcBorders>
          </w:tcPr>
          <w:p w14:paraId="577A3858" w14:textId="77777777" w:rsidR="007260A1" w:rsidRDefault="007260A1" w:rsidP="005F7A9D">
            <w:pPr>
              <w:pStyle w:val="BodyText"/>
              <w:spacing w:before="20" w:after="20"/>
            </w:pPr>
            <w:r w:rsidRPr="00086528">
              <w:t>Civil penalty and conduct provision</w:t>
            </w:r>
          </w:p>
        </w:tc>
      </w:tr>
      <w:tr w:rsidR="007260A1" w14:paraId="0F820394" w14:textId="77777777" w:rsidTr="002F7585">
        <w:tc>
          <w:tcPr>
            <w:tcW w:w="11482" w:type="dxa"/>
            <w:tcBorders>
              <w:top w:val="single" w:sz="4" w:space="0" w:color="auto"/>
              <w:left w:val="nil"/>
              <w:bottom w:val="single" w:sz="4" w:space="0" w:color="auto"/>
              <w:right w:val="single" w:sz="4" w:space="0" w:color="auto"/>
            </w:tcBorders>
          </w:tcPr>
          <w:p w14:paraId="056CFB0B" w14:textId="77777777" w:rsidR="007260A1" w:rsidRDefault="007260A1" w:rsidP="005F7A9D">
            <w:pPr>
              <w:pStyle w:val="BodyText"/>
              <w:spacing w:before="20" w:after="20"/>
            </w:pPr>
            <w:r>
              <w:t xml:space="preserve">s. </w:t>
            </w:r>
            <w:r w:rsidRPr="00086528">
              <w:t xml:space="preserve">228I (a transportation facility user must, when requested, state the terms under which it will transfer operational transportation capacity under an operational transportation service agreement) </w:t>
            </w:r>
          </w:p>
        </w:tc>
        <w:tc>
          <w:tcPr>
            <w:tcW w:w="2268" w:type="dxa"/>
            <w:tcBorders>
              <w:top w:val="single" w:sz="4" w:space="0" w:color="auto"/>
              <w:left w:val="single" w:sz="4" w:space="0" w:color="auto"/>
              <w:bottom w:val="single" w:sz="4" w:space="0" w:color="auto"/>
              <w:right w:val="nil"/>
            </w:tcBorders>
          </w:tcPr>
          <w:p w14:paraId="40E79669" w14:textId="77777777" w:rsidR="007260A1" w:rsidRDefault="007260A1" w:rsidP="005F7A9D">
            <w:pPr>
              <w:pStyle w:val="BodyText"/>
              <w:spacing w:before="20" w:after="20"/>
            </w:pPr>
            <w:r w:rsidRPr="00086528">
              <w:t>Conduct provision</w:t>
            </w:r>
          </w:p>
        </w:tc>
      </w:tr>
      <w:tr w:rsidR="007260A1" w14:paraId="39BFE31E"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09CFF88B" w14:textId="77777777" w:rsidR="007260A1" w:rsidRDefault="007260A1" w:rsidP="005F7A9D">
            <w:pPr>
              <w:pStyle w:val="BodyText"/>
              <w:spacing w:before="20" w:after="20"/>
            </w:pPr>
            <w:r>
              <w:t xml:space="preserve">s. </w:t>
            </w:r>
            <w:r w:rsidRPr="00086528">
              <w:t>228J (transportation service providers, transportation facility users and their associates must not engage in conduct for purpose of preventing or hindering access to an operational transportation service)</w:t>
            </w:r>
          </w:p>
        </w:tc>
        <w:tc>
          <w:tcPr>
            <w:tcW w:w="2268" w:type="dxa"/>
            <w:tcBorders>
              <w:top w:val="single" w:sz="4" w:space="0" w:color="auto"/>
              <w:left w:val="single" w:sz="4" w:space="0" w:color="auto"/>
              <w:bottom w:val="single" w:sz="4" w:space="0" w:color="auto"/>
              <w:right w:val="nil"/>
            </w:tcBorders>
          </w:tcPr>
          <w:p w14:paraId="0A7EB3AE" w14:textId="77777777" w:rsidR="007260A1" w:rsidRDefault="007260A1" w:rsidP="005F7A9D">
            <w:pPr>
              <w:pStyle w:val="BodyText"/>
              <w:spacing w:before="20" w:after="20"/>
            </w:pPr>
            <w:r w:rsidRPr="00086528">
              <w:t>Civil penalty and conduct provision</w:t>
            </w:r>
          </w:p>
        </w:tc>
      </w:tr>
      <w:tr w:rsidR="007260A1" w14:paraId="46EF5A07" w14:textId="77777777" w:rsidTr="002F7585">
        <w:tc>
          <w:tcPr>
            <w:tcW w:w="11482" w:type="dxa"/>
            <w:tcBorders>
              <w:top w:val="single" w:sz="4" w:space="0" w:color="auto"/>
              <w:left w:val="nil"/>
              <w:bottom w:val="single" w:sz="4" w:space="0" w:color="auto"/>
              <w:right w:val="single" w:sz="4" w:space="0" w:color="auto"/>
            </w:tcBorders>
          </w:tcPr>
          <w:p w14:paraId="1178C5A0" w14:textId="77777777" w:rsidR="007260A1" w:rsidRDefault="007260A1" w:rsidP="005F7A9D">
            <w:pPr>
              <w:pStyle w:val="BodyText"/>
              <w:spacing w:before="20" w:after="20"/>
            </w:pPr>
            <w:r>
              <w:t xml:space="preserve">s. </w:t>
            </w:r>
            <w:r w:rsidRPr="00086528">
              <w:t>228K (a transportation service provider must not engage in inefficient price discrimination when providing operational transportation services)</w:t>
            </w:r>
          </w:p>
        </w:tc>
        <w:tc>
          <w:tcPr>
            <w:tcW w:w="2268" w:type="dxa"/>
            <w:tcBorders>
              <w:top w:val="single" w:sz="4" w:space="0" w:color="auto"/>
              <w:left w:val="single" w:sz="4" w:space="0" w:color="auto"/>
              <w:bottom w:val="single" w:sz="4" w:space="0" w:color="auto"/>
              <w:right w:val="nil"/>
            </w:tcBorders>
          </w:tcPr>
          <w:p w14:paraId="614248CA" w14:textId="77777777" w:rsidR="007260A1" w:rsidRDefault="007260A1" w:rsidP="005F7A9D">
            <w:pPr>
              <w:pStyle w:val="BodyText"/>
              <w:spacing w:before="20" w:after="20"/>
            </w:pPr>
            <w:r w:rsidRPr="00086528">
              <w:t>Civil penalty and conduct provision</w:t>
            </w:r>
          </w:p>
        </w:tc>
      </w:tr>
      <w:tr w:rsidR="007260A1" w14:paraId="0ED96030" w14:textId="77777777" w:rsidTr="002F7585">
        <w:trPr>
          <w:cnfStyle w:val="000000010000" w:firstRow="0" w:lastRow="0" w:firstColumn="0" w:lastColumn="0" w:oddVBand="0" w:evenVBand="0" w:oddHBand="0" w:evenHBand="1" w:firstRowFirstColumn="0" w:firstRowLastColumn="0" w:lastRowFirstColumn="0" w:lastRowLastColumn="0"/>
        </w:trPr>
        <w:tc>
          <w:tcPr>
            <w:tcW w:w="13753" w:type="dxa"/>
            <w:gridSpan w:val="2"/>
            <w:tcBorders>
              <w:top w:val="single" w:sz="4" w:space="0" w:color="auto"/>
              <w:left w:val="nil"/>
              <w:bottom w:val="single" w:sz="4" w:space="0" w:color="auto"/>
              <w:right w:val="nil"/>
            </w:tcBorders>
            <w:shd w:val="clear" w:color="auto" w:fill="65697F" w:themeFill="background2" w:themeFillShade="80"/>
          </w:tcPr>
          <w:p w14:paraId="675DA6EA" w14:textId="77777777" w:rsidR="007260A1" w:rsidRDefault="007260A1" w:rsidP="005F7A9D">
            <w:pPr>
              <w:pStyle w:val="BodyText"/>
              <w:spacing w:before="20" w:after="20"/>
              <w:jc w:val="center"/>
              <w:rPr>
                <w:color w:val="FFFFFF" w:themeColor="background1"/>
              </w:rPr>
            </w:pPr>
            <w:r>
              <w:rPr>
                <w:color w:val="FFFFFF" w:themeColor="background1"/>
              </w:rPr>
              <w:t>Part 18 of the NGR</w:t>
            </w:r>
          </w:p>
        </w:tc>
      </w:tr>
      <w:tr w:rsidR="007260A1" w14:paraId="1F305A4B" w14:textId="77777777" w:rsidTr="002F7585">
        <w:tc>
          <w:tcPr>
            <w:tcW w:w="11482" w:type="dxa"/>
            <w:tcBorders>
              <w:top w:val="single" w:sz="4" w:space="0" w:color="auto"/>
              <w:left w:val="nil"/>
              <w:bottom w:val="single" w:sz="4" w:space="0" w:color="auto"/>
              <w:right w:val="single" w:sz="4" w:space="0" w:color="auto"/>
            </w:tcBorders>
            <w:hideMark/>
          </w:tcPr>
          <w:p w14:paraId="444BCA9C" w14:textId="77777777" w:rsidR="007260A1" w:rsidRDefault="00103CAD" w:rsidP="005F7A9D">
            <w:pPr>
              <w:pStyle w:val="BodyText"/>
              <w:spacing w:before="20" w:after="20"/>
            </w:pPr>
            <w:r>
              <w:t xml:space="preserve">Rule </w:t>
            </w:r>
            <w:r w:rsidR="007260A1">
              <w:t>158A(1) (A BB allocation agent must apply to register under Part 18)</w:t>
            </w:r>
          </w:p>
        </w:tc>
        <w:tc>
          <w:tcPr>
            <w:tcW w:w="2268" w:type="dxa"/>
            <w:tcBorders>
              <w:top w:val="single" w:sz="4" w:space="0" w:color="auto"/>
              <w:left w:val="single" w:sz="4" w:space="0" w:color="auto"/>
              <w:bottom w:val="single" w:sz="4" w:space="0" w:color="auto"/>
              <w:right w:val="nil"/>
            </w:tcBorders>
            <w:hideMark/>
          </w:tcPr>
          <w:p w14:paraId="2AA88CDA" w14:textId="77777777" w:rsidR="007260A1" w:rsidRDefault="007260A1" w:rsidP="005F7A9D">
            <w:pPr>
              <w:pStyle w:val="BodyText"/>
              <w:spacing w:before="20" w:after="20"/>
            </w:pPr>
            <w:r>
              <w:t xml:space="preserve">Civil penalty </w:t>
            </w:r>
          </w:p>
        </w:tc>
      </w:tr>
      <w:tr w:rsidR="007260A1" w14:paraId="7B84F686"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hideMark/>
          </w:tcPr>
          <w:p w14:paraId="1D04B395" w14:textId="77777777" w:rsidR="007260A1" w:rsidRDefault="00103CAD" w:rsidP="005F7A9D">
            <w:pPr>
              <w:pStyle w:val="BodyText"/>
              <w:spacing w:before="20" w:after="20"/>
            </w:pPr>
            <w:r>
              <w:t xml:space="preserve">Rule </w:t>
            </w:r>
            <w:r w:rsidR="007260A1">
              <w:t>158A(2) (An application to register must be made no later than 20 business days after they become a BB allocation agent)</w:t>
            </w:r>
          </w:p>
        </w:tc>
        <w:tc>
          <w:tcPr>
            <w:tcW w:w="2268" w:type="dxa"/>
            <w:tcBorders>
              <w:top w:val="single" w:sz="4" w:space="0" w:color="auto"/>
              <w:left w:val="single" w:sz="4" w:space="0" w:color="auto"/>
              <w:bottom w:val="single" w:sz="4" w:space="0" w:color="auto"/>
              <w:right w:val="nil"/>
            </w:tcBorders>
            <w:hideMark/>
          </w:tcPr>
          <w:p w14:paraId="586A27C8" w14:textId="77777777" w:rsidR="007260A1" w:rsidRDefault="007260A1" w:rsidP="005F7A9D">
            <w:pPr>
              <w:pStyle w:val="BodyText"/>
              <w:spacing w:before="20" w:after="20"/>
            </w:pPr>
            <w:r>
              <w:t xml:space="preserve">Civil penalty </w:t>
            </w:r>
          </w:p>
        </w:tc>
      </w:tr>
      <w:tr w:rsidR="007260A1" w14:paraId="56C82418" w14:textId="77777777" w:rsidTr="002F7585">
        <w:tc>
          <w:tcPr>
            <w:tcW w:w="11482" w:type="dxa"/>
            <w:tcBorders>
              <w:top w:val="single" w:sz="4" w:space="0" w:color="auto"/>
              <w:left w:val="nil"/>
              <w:bottom w:val="single" w:sz="4" w:space="0" w:color="auto"/>
              <w:right w:val="single" w:sz="4" w:space="0" w:color="auto"/>
            </w:tcBorders>
          </w:tcPr>
          <w:p w14:paraId="36F26ED6" w14:textId="77777777" w:rsidR="007260A1" w:rsidRDefault="00103CAD" w:rsidP="005F7A9D">
            <w:pPr>
              <w:pStyle w:val="BodyText"/>
              <w:spacing w:before="20" w:after="20"/>
            </w:pPr>
            <w:r>
              <w:t xml:space="preserve">Rule </w:t>
            </w:r>
            <w:r w:rsidR="007260A1">
              <w:t>158B(1) (A BB allocation agent must apply to register the allocation point under Part 18)</w:t>
            </w:r>
          </w:p>
        </w:tc>
        <w:tc>
          <w:tcPr>
            <w:tcW w:w="2268" w:type="dxa"/>
            <w:tcBorders>
              <w:top w:val="single" w:sz="4" w:space="0" w:color="auto"/>
              <w:left w:val="single" w:sz="4" w:space="0" w:color="auto"/>
              <w:bottom w:val="single" w:sz="4" w:space="0" w:color="auto"/>
              <w:right w:val="nil"/>
            </w:tcBorders>
          </w:tcPr>
          <w:p w14:paraId="0D92E0D6" w14:textId="77777777" w:rsidR="007260A1" w:rsidRDefault="007260A1" w:rsidP="005F7A9D">
            <w:pPr>
              <w:pStyle w:val="BodyText"/>
              <w:spacing w:before="20" w:after="20"/>
            </w:pPr>
            <w:r>
              <w:t xml:space="preserve">Civil penalty </w:t>
            </w:r>
          </w:p>
        </w:tc>
      </w:tr>
      <w:tr w:rsidR="007260A1" w14:paraId="00D902A8"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571D88F4" w14:textId="77777777" w:rsidR="007260A1" w:rsidRPr="004F2763" w:rsidRDefault="00103CAD" w:rsidP="005F7A9D">
            <w:pPr>
              <w:pStyle w:val="BodyText"/>
              <w:spacing w:before="20" w:after="20"/>
            </w:pPr>
            <w:r w:rsidRPr="004F2763">
              <w:t xml:space="preserve">Rule </w:t>
            </w:r>
            <w:r w:rsidR="007260A1" w:rsidRPr="004F2763">
              <w:t>158B(2) (An application to register the allocation point must be made no later than 20 business days after they become a BB allocation agent)</w:t>
            </w:r>
          </w:p>
        </w:tc>
        <w:tc>
          <w:tcPr>
            <w:tcW w:w="2268" w:type="dxa"/>
            <w:tcBorders>
              <w:top w:val="single" w:sz="4" w:space="0" w:color="auto"/>
              <w:left w:val="single" w:sz="4" w:space="0" w:color="auto"/>
              <w:bottom w:val="single" w:sz="4" w:space="0" w:color="auto"/>
              <w:right w:val="nil"/>
            </w:tcBorders>
          </w:tcPr>
          <w:p w14:paraId="231BE97C" w14:textId="77777777" w:rsidR="007260A1" w:rsidRDefault="007260A1" w:rsidP="005F7A9D">
            <w:pPr>
              <w:pStyle w:val="BodyText"/>
              <w:spacing w:before="20" w:after="20"/>
            </w:pPr>
            <w:r>
              <w:t xml:space="preserve">Civil penalty </w:t>
            </w:r>
          </w:p>
        </w:tc>
      </w:tr>
      <w:tr w:rsidR="007260A1" w14:paraId="037CF3E7" w14:textId="77777777" w:rsidTr="002F7585">
        <w:tc>
          <w:tcPr>
            <w:tcW w:w="11482" w:type="dxa"/>
            <w:tcBorders>
              <w:top w:val="single" w:sz="4" w:space="0" w:color="auto"/>
              <w:left w:val="nil"/>
              <w:bottom w:val="single" w:sz="4" w:space="0" w:color="auto"/>
              <w:right w:val="single" w:sz="4" w:space="0" w:color="auto"/>
            </w:tcBorders>
          </w:tcPr>
          <w:p w14:paraId="20479AE2" w14:textId="77777777" w:rsidR="007260A1" w:rsidRPr="004F2763" w:rsidRDefault="00103CAD" w:rsidP="005F7A9D">
            <w:pPr>
              <w:pStyle w:val="BodyText"/>
              <w:spacing w:before="20" w:after="20"/>
            </w:pPr>
            <w:r w:rsidRPr="004F2763">
              <w:t xml:space="preserve">Rule </w:t>
            </w:r>
            <w:r w:rsidR="007260A1" w:rsidRPr="004F2763">
              <w:t>158B(3) (If the identity of the BB allocation agent changes this must be notified to AEMO)</w:t>
            </w:r>
          </w:p>
        </w:tc>
        <w:tc>
          <w:tcPr>
            <w:tcW w:w="2268" w:type="dxa"/>
            <w:tcBorders>
              <w:top w:val="single" w:sz="4" w:space="0" w:color="auto"/>
              <w:left w:val="single" w:sz="4" w:space="0" w:color="auto"/>
              <w:bottom w:val="single" w:sz="4" w:space="0" w:color="auto"/>
              <w:right w:val="nil"/>
            </w:tcBorders>
          </w:tcPr>
          <w:p w14:paraId="760D9E40" w14:textId="77777777" w:rsidR="007260A1" w:rsidRDefault="007260A1" w:rsidP="005F7A9D">
            <w:pPr>
              <w:pStyle w:val="BodyText"/>
              <w:spacing w:before="20" w:after="20"/>
            </w:pPr>
            <w:r>
              <w:t xml:space="preserve">Civil penalty </w:t>
            </w:r>
          </w:p>
        </w:tc>
      </w:tr>
      <w:tr w:rsidR="007260A1" w14:paraId="36DE11F6"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6BA59D56" w14:textId="77777777" w:rsidR="007260A1" w:rsidRPr="004F2763" w:rsidRDefault="00103CAD" w:rsidP="005F7A9D">
            <w:pPr>
              <w:pStyle w:val="BodyText"/>
              <w:spacing w:before="20" w:after="20"/>
            </w:pPr>
            <w:r w:rsidRPr="004F2763">
              <w:t xml:space="preserve">Rule </w:t>
            </w:r>
            <w:r w:rsidR="007260A1" w:rsidRPr="004F2763">
              <w:t>158B(4) (The notice under (3) must be given no later than 5 business days after the change takes effect)</w:t>
            </w:r>
          </w:p>
        </w:tc>
        <w:tc>
          <w:tcPr>
            <w:tcW w:w="2268" w:type="dxa"/>
            <w:tcBorders>
              <w:top w:val="single" w:sz="4" w:space="0" w:color="auto"/>
              <w:left w:val="single" w:sz="4" w:space="0" w:color="auto"/>
              <w:bottom w:val="single" w:sz="4" w:space="0" w:color="auto"/>
              <w:right w:val="nil"/>
            </w:tcBorders>
          </w:tcPr>
          <w:p w14:paraId="4B91E3D4" w14:textId="77777777" w:rsidR="007260A1" w:rsidRDefault="007260A1" w:rsidP="005F7A9D">
            <w:pPr>
              <w:pStyle w:val="BodyText"/>
              <w:spacing w:before="20" w:after="20"/>
            </w:pPr>
            <w:r>
              <w:t xml:space="preserve">Civil penalty </w:t>
            </w:r>
          </w:p>
        </w:tc>
      </w:tr>
      <w:tr w:rsidR="007260A1" w14:paraId="05977657" w14:textId="77777777" w:rsidTr="002F7585">
        <w:tc>
          <w:tcPr>
            <w:tcW w:w="11482" w:type="dxa"/>
            <w:tcBorders>
              <w:top w:val="single" w:sz="4" w:space="0" w:color="auto"/>
              <w:left w:val="nil"/>
              <w:bottom w:val="single" w:sz="4" w:space="0" w:color="auto"/>
              <w:right w:val="single" w:sz="4" w:space="0" w:color="auto"/>
            </w:tcBorders>
          </w:tcPr>
          <w:p w14:paraId="0063CAF6" w14:textId="77777777" w:rsidR="007260A1" w:rsidRPr="004F2763" w:rsidRDefault="00103CAD" w:rsidP="005F7A9D">
            <w:pPr>
              <w:pStyle w:val="BodyText"/>
              <w:spacing w:before="20" w:after="20"/>
            </w:pPr>
            <w:r w:rsidRPr="004F2763">
              <w:t xml:space="preserve">Rule </w:t>
            </w:r>
            <w:r w:rsidR="007260A1" w:rsidRPr="004F2763">
              <w:t>158B(</w:t>
            </w:r>
            <w:r w:rsidR="00470134">
              <w:t>5</w:t>
            </w:r>
            <w:r w:rsidR="007260A1" w:rsidRPr="004F2763">
              <w:t>) (An application for registration under (3) must be made no later than 5 business days after the change takes effect)</w:t>
            </w:r>
          </w:p>
        </w:tc>
        <w:tc>
          <w:tcPr>
            <w:tcW w:w="2268" w:type="dxa"/>
            <w:tcBorders>
              <w:top w:val="single" w:sz="4" w:space="0" w:color="auto"/>
              <w:left w:val="single" w:sz="4" w:space="0" w:color="auto"/>
              <w:bottom w:val="single" w:sz="4" w:space="0" w:color="auto"/>
              <w:right w:val="nil"/>
            </w:tcBorders>
          </w:tcPr>
          <w:p w14:paraId="0F6DE283" w14:textId="77777777" w:rsidR="007260A1" w:rsidRDefault="007260A1" w:rsidP="005F7A9D">
            <w:pPr>
              <w:pStyle w:val="BodyText"/>
              <w:spacing w:before="20" w:after="20"/>
            </w:pPr>
            <w:r>
              <w:t xml:space="preserve">Civil penalty </w:t>
            </w:r>
          </w:p>
        </w:tc>
      </w:tr>
      <w:tr w:rsidR="007260A1" w14:paraId="7112E327"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hideMark/>
          </w:tcPr>
          <w:p w14:paraId="1EA392AC" w14:textId="77777777" w:rsidR="007260A1" w:rsidRPr="004F2763" w:rsidRDefault="00103CAD" w:rsidP="005F7A9D">
            <w:pPr>
              <w:pStyle w:val="BodyText"/>
              <w:spacing w:before="20" w:after="20"/>
            </w:pPr>
            <w:r w:rsidRPr="004F2763">
              <w:lastRenderedPageBreak/>
              <w:t xml:space="preserve">Rule </w:t>
            </w:r>
            <w:r w:rsidR="007260A1" w:rsidRPr="004F2763">
              <w:t>158(D)</w:t>
            </w:r>
            <w:r w:rsidR="00051A1F">
              <w:t>(2)</w:t>
            </w:r>
            <w:r w:rsidR="007260A1" w:rsidRPr="004F2763">
              <w:t xml:space="preserve"> (A transportation facility user that appoints a person to act as a capacity transaction reporting agent must ensure the agent complies with the facility user’s obligations under Part 18)</w:t>
            </w:r>
          </w:p>
        </w:tc>
        <w:tc>
          <w:tcPr>
            <w:tcW w:w="2268" w:type="dxa"/>
            <w:tcBorders>
              <w:top w:val="single" w:sz="4" w:space="0" w:color="auto"/>
              <w:left w:val="single" w:sz="4" w:space="0" w:color="auto"/>
              <w:bottom w:val="single" w:sz="4" w:space="0" w:color="auto"/>
              <w:right w:val="nil"/>
            </w:tcBorders>
            <w:hideMark/>
          </w:tcPr>
          <w:p w14:paraId="043E9CD2" w14:textId="77777777" w:rsidR="007260A1" w:rsidRDefault="007260A1" w:rsidP="005F7A9D">
            <w:pPr>
              <w:pStyle w:val="BodyText"/>
              <w:spacing w:before="20" w:after="20"/>
            </w:pPr>
            <w:r>
              <w:t xml:space="preserve">Civil penalty </w:t>
            </w:r>
          </w:p>
        </w:tc>
      </w:tr>
      <w:tr w:rsidR="007260A1" w14:paraId="4FF6894B" w14:textId="77777777" w:rsidTr="002F7585">
        <w:tc>
          <w:tcPr>
            <w:tcW w:w="13753" w:type="dxa"/>
            <w:gridSpan w:val="2"/>
            <w:tcBorders>
              <w:top w:val="single" w:sz="4" w:space="0" w:color="auto"/>
              <w:left w:val="nil"/>
              <w:bottom w:val="single" w:sz="4" w:space="0" w:color="auto"/>
              <w:right w:val="nil"/>
            </w:tcBorders>
            <w:shd w:val="clear" w:color="auto" w:fill="65697F" w:themeFill="background2" w:themeFillShade="80"/>
            <w:hideMark/>
          </w:tcPr>
          <w:p w14:paraId="7CA13837" w14:textId="77777777" w:rsidR="007260A1" w:rsidRPr="004F2763" w:rsidRDefault="007260A1" w:rsidP="005F7A9D">
            <w:pPr>
              <w:pStyle w:val="BodyText"/>
              <w:spacing w:before="20" w:after="20"/>
              <w:jc w:val="center"/>
              <w:rPr>
                <w:color w:val="FFFFFF" w:themeColor="background1"/>
              </w:rPr>
            </w:pPr>
            <w:r w:rsidRPr="004F2763">
              <w:rPr>
                <w:color w:val="FFFFFF" w:themeColor="background1"/>
              </w:rPr>
              <w:t>Part 24 of the NGR</w:t>
            </w:r>
          </w:p>
        </w:tc>
      </w:tr>
      <w:tr w:rsidR="00051A1F" w14:paraId="3F106989"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3FFDF111" w14:textId="77777777" w:rsidR="00051A1F" w:rsidRPr="004F2763" w:rsidRDefault="00051A1F" w:rsidP="005F7A9D">
            <w:pPr>
              <w:pStyle w:val="BodyText"/>
              <w:spacing w:before="20" w:after="20"/>
            </w:pPr>
            <w:r>
              <w:t>Rule 593(4) (A person required to give information or data to AEMO or the AER under Part 24 must give information, maintain equipment from which the information was derived, and perform calculations in accordance with the auction information standard)</w:t>
            </w:r>
          </w:p>
        </w:tc>
        <w:tc>
          <w:tcPr>
            <w:tcW w:w="2268" w:type="dxa"/>
            <w:tcBorders>
              <w:top w:val="single" w:sz="4" w:space="0" w:color="auto"/>
              <w:left w:val="single" w:sz="4" w:space="0" w:color="auto"/>
              <w:bottom w:val="single" w:sz="4" w:space="0" w:color="auto"/>
              <w:right w:val="nil"/>
            </w:tcBorders>
          </w:tcPr>
          <w:p w14:paraId="0C15E575" w14:textId="77777777" w:rsidR="00051A1F" w:rsidRDefault="00051A1F" w:rsidP="005F7A9D">
            <w:pPr>
              <w:pStyle w:val="BodyText"/>
              <w:spacing w:before="20" w:after="20"/>
            </w:pPr>
            <w:r>
              <w:t>Civil penalty and conduct provision</w:t>
            </w:r>
          </w:p>
        </w:tc>
      </w:tr>
      <w:tr w:rsidR="007260A1" w14:paraId="65CE0B40" w14:textId="77777777" w:rsidTr="002F7585">
        <w:tc>
          <w:tcPr>
            <w:tcW w:w="11482" w:type="dxa"/>
            <w:tcBorders>
              <w:top w:val="single" w:sz="4" w:space="0" w:color="auto"/>
              <w:left w:val="nil"/>
              <w:bottom w:val="single" w:sz="4" w:space="0" w:color="auto"/>
              <w:right w:val="single" w:sz="4" w:space="0" w:color="auto"/>
            </w:tcBorders>
            <w:hideMark/>
          </w:tcPr>
          <w:p w14:paraId="73AD70CD" w14:textId="77777777" w:rsidR="007260A1" w:rsidRPr="004F2763" w:rsidRDefault="00103CAD" w:rsidP="005F7A9D">
            <w:pPr>
              <w:pStyle w:val="BodyText"/>
              <w:spacing w:before="20" w:after="20"/>
            </w:pPr>
            <w:r w:rsidRPr="004F2763">
              <w:t xml:space="preserve">Rule </w:t>
            </w:r>
            <w:r w:rsidR="007260A1" w:rsidRPr="004F2763">
              <w:t>611(</w:t>
            </w:r>
            <w:r w:rsidR="00470134">
              <w:t>10</w:t>
            </w:r>
            <w:r w:rsidR="007260A1" w:rsidRPr="004F2763">
              <w:t>) (A service provider that obtains an exemption for a facility must notify the AER without delay if circumstances change)</w:t>
            </w:r>
          </w:p>
        </w:tc>
        <w:tc>
          <w:tcPr>
            <w:tcW w:w="2268" w:type="dxa"/>
            <w:tcBorders>
              <w:top w:val="single" w:sz="4" w:space="0" w:color="auto"/>
              <w:left w:val="single" w:sz="4" w:space="0" w:color="auto"/>
              <w:bottom w:val="single" w:sz="4" w:space="0" w:color="auto"/>
              <w:right w:val="nil"/>
            </w:tcBorders>
            <w:hideMark/>
          </w:tcPr>
          <w:p w14:paraId="5FCD65FA" w14:textId="77777777" w:rsidR="007260A1" w:rsidRDefault="007260A1" w:rsidP="005F7A9D">
            <w:pPr>
              <w:pStyle w:val="BodyText"/>
              <w:spacing w:before="20" w:after="20"/>
            </w:pPr>
            <w:r>
              <w:t>Civil penalty</w:t>
            </w:r>
          </w:p>
        </w:tc>
      </w:tr>
      <w:tr w:rsidR="007260A1" w14:paraId="34F265DB"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hideMark/>
          </w:tcPr>
          <w:p w14:paraId="2C927184" w14:textId="77777777" w:rsidR="007260A1" w:rsidRPr="004F2763" w:rsidRDefault="00103CAD" w:rsidP="005F7A9D">
            <w:pPr>
              <w:pStyle w:val="BodyText"/>
              <w:spacing w:before="20" w:after="20"/>
            </w:pPr>
            <w:r w:rsidRPr="004F2763">
              <w:t xml:space="preserve">Rule </w:t>
            </w:r>
            <w:r w:rsidR="007260A1" w:rsidRPr="004F2763">
              <w:t>612(2) (A service provider that obtains an exemption for a facility must comply with any conditions of the exemption)</w:t>
            </w:r>
          </w:p>
        </w:tc>
        <w:tc>
          <w:tcPr>
            <w:tcW w:w="2268" w:type="dxa"/>
            <w:tcBorders>
              <w:top w:val="single" w:sz="4" w:space="0" w:color="auto"/>
              <w:left w:val="single" w:sz="4" w:space="0" w:color="auto"/>
              <w:bottom w:val="single" w:sz="4" w:space="0" w:color="auto"/>
              <w:right w:val="nil"/>
            </w:tcBorders>
            <w:hideMark/>
          </w:tcPr>
          <w:p w14:paraId="09199193" w14:textId="77777777" w:rsidR="007260A1" w:rsidRDefault="007260A1" w:rsidP="005F7A9D">
            <w:pPr>
              <w:pStyle w:val="BodyText"/>
              <w:spacing w:before="20" w:after="20"/>
            </w:pPr>
            <w:r>
              <w:t>Civil penalty</w:t>
            </w:r>
          </w:p>
        </w:tc>
      </w:tr>
      <w:tr w:rsidR="007260A1" w14:paraId="11779586" w14:textId="77777777" w:rsidTr="002F7585">
        <w:tc>
          <w:tcPr>
            <w:tcW w:w="11482" w:type="dxa"/>
            <w:tcBorders>
              <w:top w:val="single" w:sz="4" w:space="0" w:color="auto"/>
              <w:left w:val="nil"/>
              <w:bottom w:val="single" w:sz="4" w:space="0" w:color="auto"/>
              <w:right w:val="single" w:sz="4" w:space="0" w:color="auto"/>
            </w:tcBorders>
            <w:hideMark/>
          </w:tcPr>
          <w:p w14:paraId="523A57E7" w14:textId="77777777" w:rsidR="007260A1" w:rsidRPr="004F2763" w:rsidRDefault="00103CAD" w:rsidP="005F7A9D">
            <w:pPr>
              <w:pStyle w:val="BodyText"/>
              <w:spacing w:before="20" w:after="20"/>
            </w:pPr>
            <w:r w:rsidRPr="004F2763">
              <w:t xml:space="preserve">Rule </w:t>
            </w:r>
            <w:r w:rsidR="007260A1" w:rsidRPr="004F2763">
              <w:t>618(1) (A service provider for a Part 24 facility must apply to AEMO to register under this Part)</w:t>
            </w:r>
          </w:p>
        </w:tc>
        <w:tc>
          <w:tcPr>
            <w:tcW w:w="2268" w:type="dxa"/>
            <w:tcBorders>
              <w:top w:val="single" w:sz="4" w:space="0" w:color="auto"/>
              <w:left w:val="single" w:sz="4" w:space="0" w:color="auto"/>
              <w:bottom w:val="single" w:sz="4" w:space="0" w:color="auto"/>
              <w:right w:val="nil"/>
            </w:tcBorders>
            <w:hideMark/>
          </w:tcPr>
          <w:p w14:paraId="234B0E7D" w14:textId="77777777" w:rsidR="007260A1" w:rsidRDefault="007260A1" w:rsidP="005F7A9D">
            <w:pPr>
              <w:pStyle w:val="BodyText"/>
              <w:spacing w:before="20" w:after="20"/>
            </w:pPr>
            <w:r>
              <w:t>Civil penalty</w:t>
            </w:r>
          </w:p>
        </w:tc>
      </w:tr>
      <w:tr w:rsidR="007260A1" w14:paraId="149AB90D"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hideMark/>
          </w:tcPr>
          <w:p w14:paraId="33AFED6D" w14:textId="77777777" w:rsidR="007260A1" w:rsidRPr="004F2763" w:rsidRDefault="00103CAD" w:rsidP="005F7A9D">
            <w:pPr>
              <w:pStyle w:val="BodyText"/>
              <w:spacing w:before="20" w:after="20"/>
            </w:pPr>
            <w:r w:rsidRPr="004F2763">
              <w:t xml:space="preserve">Rule </w:t>
            </w:r>
            <w:r w:rsidR="007260A1" w:rsidRPr="004F2763">
              <w:t xml:space="preserve">618(2) (An application for registration </w:t>
            </w:r>
            <w:r w:rsidR="00470134">
              <w:t xml:space="preserve">under rule 618(1) </w:t>
            </w:r>
            <w:r w:rsidR="007260A1" w:rsidRPr="004F2763">
              <w:t xml:space="preserve">must be made no later than 20 business days after the person becomes a service provider for a Part 24 facility) </w:t>
            </w:r>
          </w:p>
        </w:tc>
        <w:tc>
          <w:tcPr>
            <w:tcW w:w="2268" w:type="dxa"/>
            <w:tcBorders>
              <w:top w:val="single" w:sz="4" w:space="0" w:color="auto"/>
              <w:left w:val="single" w:sz="4" w:space="0" w:color="auto"/>
              <w:bottom w:val="single" w:sz="4" w:space="0" w:color="auto"/>
              <w:right w:val="nil"/>
            </w:tcBorders>
            <w:hideMark/>
          </w:tcPr>
          <w:p w14:paraId="7F344DD4" w14:textId="77777777" w:rsidR="007260A1" w:rsidRDefault="007260A1" w:rsidP="005F7A9D">
            <w:pPr>
              <w:pStyle w:val="BodyText"/>
              <w:spacing w:before="20" w:after="20"/>
            </w:pPr>
            <w:r>
              <w:t xml:space="preserve">Civil penalty </w:t>
            </w:r>
          </w:p>
        </w:tc>
      </w:tr>
      <w:tr w:rsidR="007260A1" w14:paraId="02F1E87D" w14:textId="77777777" w:rsidTr="002F7585">
        <w:tc>
          <w:tcPr>
            <w:tcW w:w="11482" w:type="dxa"/>
            <w:tcBorders>
              <w:top w:val="single" w:sz="4" w:space="0" w:color="auto"/>
              <w:left w:val="nil"/>
              <w:bottom w:val="single" w:sz="4" w:space="0" w:color="auto"/>
              <w:right w:val="single" w:sz="4" w:space="0" w:color="auto"/>
            </w:tcBorders>
            <w:hideMark/>
          </w:tcPr>
          <w:p w14:paraId="0EB9E518" w14:textId="77777777" w:rsidR="007260A1" w:rsidRPr="004F2763" w:rsidRDefault="00103CAD" w:rsidP="005F7A9D">
            <w:pPr>
              <w:pStyle w:val="BodyText"/>
              <w:spacing w:before="20" w:after="20"/>
            </w:pPr>
            <w:r w:rsidRPr="004F2763">
              <w:t xml:space="preserve">Rule </w:t>
            </w:r>
            <w:r w:rsidR="007260A1" w:rsidRPr="004F2763">
              <w:t>619(1) (A service provider for a Part 24 facility must apply to AEMO to register the facility under this Part)</w:t>
            </w:r>
          </w:p>
        </w:tc>
        <w:tc>
          <w:tcPr>
            <w:tcW w:w="2268" w:type="dxa"/>
            <w:tcBorders>
              <w:top w:val="single" w:sz="4" w:space="0" w:color="auto"/>
              <w:left w:val="single" w:sz="4" w:space="0" w:color="auto"/>
              <w:bottom w:val="single" w:sz="4" w:space="0" w:color="auto"/>
              <w:right w:val="nil"/>
            </w:tcBorders>
            <w:hideMark/>
          </w:tcPr>
          <w:p w14:paraId="0C967422" w14:textId="77777777" w:rsidR="007260A1" w:rsidRDefault="007260A1" w:rsidP="005F7A9D">
            <w:pPr>
              <w:pStyle w:val="BodyText"/>
              <w:spacing w:before="20" w:after="20"/>
            </w:pPr>
            <w:r>
              <w:t>Civil penalty</w:t>
            </w:r>
          </w:p>
        </w:tc>
      </w:tr>
      <w:tr w:rsidR="007260A1" w14:paraId="40C9EDDF"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hideMark/>
          </w:tcPr>
          <w:p w14:paraId="1570B65D" w14:textId="77777777" w:rsidR="007260A1" w:rsidRPr="004F2763" w:rsidRDefault="00103CAD" w:rsidP="005F7A9D">
            <w:pPr>
              <w:pStyle w:val="BodyText"/>
              <w:spacing w:before="20" w:after="20"/>
            </w:pPr>
            <w:r w:rsidRPr="004F2763">
              <w:t xml:space="preserve">Rule </w:t>
            </w:r>
            <w:r w:rsidR="00470134" w:rsidRPr="004F2763">
              <w:t>61</w:t>
            </w:r>
            <w:r w:rsidR="00470134">
              <w:t>9</w:t>
            </w:r>
            <w:r w:rsidR="007260A1" w:rsidRPr="004F2763">
              <w:t xml:space="preserve">(2) (An application for registration under </w:t>
            </w:r>
            <w:r w:rsidRPr="004F2763">
              <w:t xml:space="preserve">rule </w:t>
            </w:r>
            <w:r w:rsidR="007260A1" w:rsidRPr="004F2763">
              <w:t>619(1) must be made no later than 20 business days after the person becomes a service provider for a Part 24 facility</w:t>
            </w:r>
            <w:r w:rsidR="00051A1F">
              <w:t xml:space="preserve"> and new transportation service provider must apply to register under this Part</w:t>
            </w:r>
            <w:r w:rsidR="007260A1" w:rsidRPr="004F2763">
              <w:t xml:space="preserve">) </w:t>
            </w:r>
          </w:p>
        </w:tc>
        <w:tc>
          <w:tcPr>
            <w:tcW w:w="2268" w:type="dxa"/>
            <w:tcBorders>
              <w:top w:val="single" w:sz="4" w:space="0" w:color="auto"/>
              <w:left w:val="single" w:sz="4" w:space="0" w:color="auto"/>
              <w:bottom w:val="single" w:sz="4" w:space="0" w:color="auto"/>
              <w:right w:val="nil"/>
            </w:tcBorders>
            <w:hideMark/>
          </w:tcPr>
          <w:p w14:paraId="2010D50C" w14:textId="77777777" w:rsidR="007260A1" w:rsidRDefault="007260A1" w:rsidP="005F7A9D">
            <w:pPr>
              <w:pStyle w:val="BodyText"/>
              <w:spacing w:before="20" w:after="20"/>
            </w:pPr>
            <w:r>
              <w:t xml:space="preserve">Civil penalty </w:t>
            </w:r>
          </w:p>
        </w:tc>
      </w:tr>
      <w:tr w:rsidR="007260A1" w14:paraId="6806530F" w14:textId="77777777" w:rsidTr="002F7585">
        <w:tc>
          <w:tcPr>
            <w:tcW w:w="11482" w:type="dxa"/>
            <w:tcBorders>
              <w:top w:val="single" w:sz="4" w:space="0" w:color="auto"/>
              <w:left w:val="nil"/>
              <w:bottom w:val="single" w:sz="4" w:space="0" w:color="auto"/>
              <w:right w:val="single" w:sz="4" w:space="0" w:color="auto"/>
            </w:tcBorders>
          </w:tcPr>
          <w:p w14:paraId="1DB76CEA" w14:textId="77777777" w:rsidR="007260A1" w:rsidRPr="004F2763" w:rsidRDefault="00103CAD" w:rsidP="005F7A9D">
            <w:pPr>
              <w:pStyle w:val="BodyText"/>
              <w:spacing w:before="20" w:after="20"/>
            </w:pPr>
            <w:r w:rsidRPr="004F2763">
              <w:t xml:space="preserve">Rule </w:t>
            </w:r>
            <w:r w:rsidR="007260A1" w:rsidRPr="004F2763">
              <w:t>621(1) (If the identity of the transportation service provider changes this must be notified to AEMO</w:t>
            </w:r>
            <w:r w:rsidR="00051A1F">
              <w:t xml:space="preserve"> and new responsible transportation service provider must apply to register under this Part</w:t>
            </w:r>
            <w:r w:rsidR="007260A1" w:rsidRPr="004F2763">
              <w:t>)</w:t>
            </w:r>
          </w:p>
        </w:tc>
        <w:tc>
          <w:tcPr>
            <w:tcW w:w="2268" w:type="dxa"/>
            <w:tcBorders>
              <w:top w:val="single" w:sz="4" w:space="0" w:color="auto"/>
              <w:left w:val="single" w:sz="4" w:space="0" w:color="auto"/>
              <w:bottom w:val="single" w:sz="4" w:space="0" w:color="auto"/>
              <w:right w:val="nil"/>
            </w:tcBorders>
          </w:tcPr>
          <w:p w14:paraId="20DA0BE0" w14:textId="77777777" w:rsidR="007260A1" w:rsidRDefault="007260A1" w:rsidP="005F7A9D">
            <w:pPr>
              <w:pStyle w:val="BodyText"/>
              <w:spacing w:before="20" w:after="20"/>
            </w:pPr>
            <w:r>
              <w:t xml:space="preserve">Civil penalty </w:t>
            </w:r>
          </w:p>
        </w:tc>
      </w:tr>
      <w:tr w:rsidR="007260A1" w14:paraId="05807806"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55AD599D" w14:textId="77777777" w:rsidR="007260A1" w:rsidRPr="004F2763" w:rsidRDefault="00103CAD" w:rsidP="005F7A9D">
            <w:pPr>
              <w:pStyle w:val="BodyText"/>
              <w:spacing w:before="20" w:after="20"/>
            </w:pPr>
            <w:r w:rsidRPr="004F2763">
              <w:t xml:space="preserve">Rule </w:t>
            </w:r>
            <w:r w:rsidR="007260A1" w:rsidRPr="004F2763">
              <w:t>621(2) (If the responsible transportation service provider for a Part 24 facility changes this must be notified to AEMO)</w:t>
            </w:r>
          </w:p>
        </w:tc>
        <w:tc>
          <w:tcPr>
            <w:tcW w:w="2268" w:type="dxa"/>
            <w:tcBorders>
              <w:top w:val="single" w:sz="4" w:space="0" w:color="auto"/>
              <w:left w:val="single" w:sz="4" w:space="0" w:color="auto"/>
              <w:bottom w:val="single" w:sz="4" w:space="0" w:color="auto"/>
              <w:right w:val="nil"/>
            </w:tcBorders>
          </w:tcPr>
          <w:p w14:paraId="7653BCD7" w14:textId="77777777" w:rsidR="007260A1" w:rsidRDefault="007260A1" w:rsidP="005F7A9D">
            <w:pPr>
              <w:pStyle w:val="BodyText"/>
              <w:spacing w:before="20" w:after="20"/>
            </w:pPr>
            <w:r>
              <w:t xml:space="preserve">Civil penalty </w:t>
            </w:r>
          </w:p>
        </w:tc>
      </w:tr>
      <w:tr w:rsidR="007260A1" w14:paraId="6B8D91C7" w14:textId="77777777" w:rsidTr="002F7585">
        <w:tc>
          <w:tcPr>
            <w:tcW w:w="11482" w:type="dxa"/>
            <w:tcBorders>
              <w:top w:val="single" w:sz="4" w:space="0" w:color="auto"/>
              <w:left w:val="nil"/>
              <w:bottom w:val="single" w:sz="4" w:space="0" w:color="auto"/>
              <w:right w:val="single" w:sz="4" w:space="0" w:color="auto"/>
            </w:tcBorders>
          </w:tcPr>
          <w:p w14:paraId="2C8931A8" w14:textId="77777777" w:rsidR="007260A1" w:rsidRPr="004F2763" w:rsidRDefault="00103CAD" w:rsidP="005F7A9D">
            <w:pPr>
              <w:pStyle w:val="BodyText"/>
              <w:spacing w:before="20" w:after="20"/>
            </w:pPr>
            <w:r w:rsidRPr="004F2763">
              <w:t xml:space="preserve">Rule </w:t>
            </w:r>
            <w:r w:rsidR="007260A1" w:rsidRPr="004F2763">
              <w:t xml:space="preserve">621(3) (The notification under </w:t>
            </w:r>
            <w:r w:rsidRPr="004F2763">
              <w:t xml:space="preserve">subrules </w:t>
            </w:r>
            <w:r w:rsidR="007260A1" w:rsidRPr="004F2763">
              <w:t>(1) and (2) must be made no later than 5 business days after the change takes effect)</w:t>
            </w:r>
          </w:p>
        </w:tc>
        <w:tc>
          <w:tcPr>
            <w:tcW w:w="2268" w:type="dxa"/>
            <w:tcBorders>
              <w:top w:val="single" w:sz="4" w:space="0" w:color="auto"/>
              <w:left w:val="single" w:sz="4" w:space="0" w:color="auto"/>
              <w:bottom w:val="single" w:sz="4" w:space="0" w:color="auto"/>
              <w:right w:val="nil"/>
            </w:tcBorders>
          </w:tcPr>
          <w:p w14:paraId="2642CBB4" w14:textId="77777777" w:rsidR="007260A1" w:rsidRDefault="007260A1" w:rsidP="005F7A9D">
            <w:pPr>
              <w:pStyle w:val="BodyText"/>
              <w:spacing w:before="20" w:after="20"/>
            </w:pPr>
            <w:r>
              <w:t xml:space="preserve">Civil penalty </w:t>
            </w:r>
          </w:p>
        </w:tc>
      </w:tr>
      <w:tr w:rsidR="007260A1" w14:paraId="41064D89"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311E73E2" w14:textId="77777777" w:rsidR="007260A1" w:rsidRPr="004F2763" w:rsidRDefault="00103CAD" w:rsidP="005F7A9D">
            <w:pPr>
              <w:pStyle w:val="BodyText"/>
              <w:spacing w:before="20" w:after="20"/>
            </w:pPr>
            <w:r w:rsidRPr="004F2763">
              <w:t xml:space="preserve">Rule </w:t>
            </w:r>
            <w:r w:rsidR="007260A1" w:rsidRPr="004F2763">
              <w:t xml:space="preserve">621(4) (An application for registration </w:t>
            </w:r>
            <w:r w:rsidR="00051A1F">
              <w:t>under subrules (1) and (2)</w:t>
            </w:r>
            <w:r w:rsidR="00051A1F" w:rsidRPr="004F2763">
              <w:t xml:space="preserve"> </w:t>
            </w:r>
            <w:r w:rsidR="007260A1" w:rsidRPr="004F2763">
              <w:t>must be made no later than 5 business days after the change takes effect)</w:t>
            </w:r>
          </w:p>
        </w:tc>
        <w:tc>
          <w:tcPr>
            <w:tcW w:w="2268" w:type="dxa"/>
            <w:tcBorders>
              <w:top w:val="single" w:sz="4" w:space="0" w:color="auto"/>
              <w:left w:val="single" w:sz="4" w:space="0" w:color="auto"/>
              <w:bottom w:val="single" w:sz="4" w:space="0" w:color="auto"/>
              <w:right w:val="nil"/>
            </w:tcBorders>
          </w:tcPr>
          <w:p w14:paraId="785070DA" w14:textId="77777777" w:rsidR="007260A1" w:rsidRDefault="007260A1" w:rsidP="005F7A9D">
            <w:pPr>
              <w:pStyle w:val="BodyText"/>
              <w:spacing w:before="20" w:after="20"/>
            </w:pPr>
            <w:r>
              <w:t xml:space="preserve">Civil penalty </w:t>
            </w:r>
          </w:p>
        </w:tc>
      </w:tr>
      <w:tr w:rsidR="007260A1" w14:paraId="2A2D92DD" w14:textId="77777777" w:rsidTr="002F7585">
        <w:tc>
          <w:tcPr>
            <w:tcW w:w="11482" w:type="dxa"/>
            <w:tcBorders>
              <w:top w:val="single" w:sz="4" w:space="0" w:color="auto"/>
              <w:left w:val="nil"/>
              <w:bottom w:val="single" w:sz="4" w:space="0" w:color="auto"/>
              <w:right w:val="single" w:sz="4" w:space="0" w:color="auto"/>
            </w:tcBorders>
          </w:tcPr>
          <w:p w14:paraId="29D961CE" w14:textId="77777777" w:rsidR="007260A1" w:rsidRPr="004F2763" w:rsidRDefault="00103CAD" w:rsidP="005F7A9D">
            <w:pPr>
              <w:pStyle w:val="BodyText"/>
              <w:spacing w:before="20" w:after="20"/>
            </w:pPr>
            <w:r w:rsidRPr="004F2763">
              <w:t xml:space="preserve">Rule </w:t>
            </w:r>
            <w:r w:rsidR="007260A1" w:rsidRPr="004F2763">
              <w:t>625 (Service provider to give information about facility agreements for purposes of giving effect to trades)</w:t>
            </w:r>
          </w:p>
        </w:tc>
        <w:tc>
          <w:tcPr>
            <w:tcW w:w="2268" w:type="dxa"/>
            <w:tcBorders>
              <w:top w:val="single" w:sz="4" w:space="0" w:color="auto"/>
              <w:left w:val="single" w:sz="4" w:space="0" w:color="auto"/>
              <w:bottom w:val="single" w:sz="4" w:space="0" w:color="auto"/>
              <w:right w:val="nil"/>
            </w:tcBorders>
          </w:tcPr>
          <w:p w14:paraId="1389D7EE" w14:textId="77777777" w:rsidR="007260A1" w:rsidRDefault="007260A1" w:rsidP="005F7A9D">
            <w:pPr>
              <w:pStyle w:val="BodyText"/>
              <w:spacing w:before="20" w:after="20"/>
            </w:pPr>
            <w:r>
              <w:t xml:space="preserve">Civil penalty </w:t>
            </w:r>
          </w:p>
        </w:tc>
      </w:tr>
      <w:tr w:rsidR="007260A1" w14:paraId="12807E73"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3167F41D" w14:textId="77777777" w:rsidR="007260A1" w:rsidRPr="004F2763" w:rsidRDefault="00103CAD" w:rsidP="005F7A9D">
            <w:pPr>
              <w:pStyle w:val="BodyText"/>
              <w:spacing w:before="20" w:after="20"/>
            </w:pPr>
            <w:r w:rsidRPr="004F2763">
              <w:t xml:space="preserve">Rule </w:t>
            </w:r>
            <w:r w:rsidR="007260A1" w:rsidRPr="004F2763">
              <w:t>626(1) (Service provider must propose and have approved the specification of service points and allocation to zones)</w:t>
            </w:r>
          </w:p>
        </w:tc>
        <w:tc>
          <w:tcPr>
            <w:tcW w:w="2268" w:type="dxa"/>
            <w:tcBorders>
              <w:top w:val="single" w:sz="4" w:space="0" w:color="auto"/>
              <w:left w:val="single" w:sz="4" w:space="0" w:color="auto"/>
              <w:bottom w:val="single" w:sz="4" w:space="0" w:color="auto"/>
              <w:right w:val="nil"/>
            </w:tcBorders>
          </w:tcPr>
          <w:p w14:paraId="7C0CCF7A" w14:textId="77777777" w:rsidR="007260A1" w:rsidRDefault="007260A1" w:rsidP="005F7A9D">
            <w:pPr>
              <w:pStyle w:val="BodyText"/>
              <w:spacing w:before="20" w:after="20"/>
            </w:pPr>
            <w:r>
              <w:t xml:space="preserve">Civil penalty </w:t>
            </w:r>
          </w:p>
        </w:tc>
      </w:tr>
      <w:tr w:rsidR="007260A1" w14:paraId="07CF60E9" w14:textId="77777777" w:rsidTr="002F7585">
        <w:tc>
          <w:tcPr>
            <w:tcW w:w="11482" w:type="dxa"/>
            <w:tcBorders>
              <w:top w:val="single" w:sz="4" w:space="0" w:color="auto"/>
              <w:left w:val="nil"/>
              <w:bottom w:val="single" w:sz="4" w:space="0" w:color="auto"/>
              <w:right w:val="single" w:sz="4" w:space="0" w:color="auto"/>
            </w:tcBorders>
          </w:tcPr>
          <w:p w14:paraId="667FB075" w14:textId="77777777" w:rsidR="007260A1" w:rsidRPr="004F2763" w:rsidRDefault="00103CAD" w:rsidP="005F7A9D">
            <w:pPr>
              <w:pStyle w:val="BodyText"/>
              <w:spacing w:before="20" w:after="20"/>
            </w:pPr>
            <w:r w:rsidRPr="004F2763">
              <w:t xml:space="preserve">Rule </w:t>
            </w:r>
            <w:r w:rsidR="007260A1" w:rsidRPr="004F2763">
              <w:t xml:space="preserve">626(2) (The proposal under </w:t>
            </w:r>
            <w:r w:rsidR="00470134">
              <w:t xml:space="preserve">rule </w:t>
            </w:r>
            <w:r w:rsidR="007260A1" w:rsidRPr="004F2763">
              <w:t>626(1) must be made within the time specified in the Capacity Transfer and Auction Procedures and include information reasonably required by AEMO)</w:t>
            </w:r>
          </w:p>
        </w:tc>
        <w:tc>
          <w:tcPr>
            <w:tcW w:w="2268" w:type="dxa"/>
            <w:tcBorders>
              <w:top w:val="single" w:sz="4" w:space="0" w:color="auto"/>
              <w:left w:val="single" w:sz="4" w:space="0" w:color="auto"/>
              <w:bottom w:val="single" w:sz="4" w:space="0" w:color="auto"/>
              <w:right w:val="nil"/>
            </w:tcBorders>
          </w:tcPr>
          <w:p w14:paraId="4BA15890" w14:textId="77777777" w:rsidR="007260A1" w:rsidRDefault="007260A1" w:rsidP="005F7A9D">
            <w:pPr>
              <w:pStyle w:val="BodyText"/>
              <w:spacing w:before="20" w:after="20"/>
            </w:pPr>
            <w:r>
              <w:t xml:space="preserve">Civil penalty </w:t>
            </w:r>
          </w:p>
        </w:tc>
      </w:tr>
      <w:tr w:rsidR="00051A1F" w14:paraId="244FC42C"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Borders>
              <w:top w:val="single" w:sz="4" w:space="0" w:color="auto"/>
              <w:left w:val="nil"/>
              <w:bottom w:val="single" w:sz="4" w:space="0" w:color="auto"/>
              <w:right w:val="single" w:sz="4" w:space="0" w:color="auto"/>
            </w:tcBorders>
          </w:tcPr>
          <w:p w14:paraId="39C580E5" w14:textId="77777777" w:rsidR="00051A1F" w:rsidRPr="004F2763" w:rsidRDefault="00051A1F" w:rsidP="005F7A9D">
            <w:pPr>
              <w:pStyle w:val="BodyText"/>
              <w:spacing w:before="20" w:after="20"/>
            </w:pPr>
            <w:r>
              <w:t>Rule 627(3) (Service provider for a Part 24 facility must undertake modelling and an assessment of the proposed zone and provide results to AEMO)</w:t>
            </w:r>
          </w:p>
        </w:tc>
        <w:tc>
          <w:tcPr>
            <w:tcW w:w="2268" w:type="dxa"/>
            <w:tcBorders>
              <w:top w:val="single" w:sz="4" w:space="0" w:color="auto"/>
              <w:left w:val="single" w:sz="4" w:space="0" w:color="auto"/>
              <w:bottom w:val="single" w:sz="4" w:space="0" w:color="auto"/>
              <w:right w:val="nil"/>
            </w:tcBorders>
          </w:tcPr>
          <w:p w14:paraId="68EE9825" w14:textId="77777777" w:rsidR="00051A1F" w:rsidRDefault="00051A1F" w:rsidP="005F7A9D">
            <w:pPr>
              <w:pStyle w:val="BodyText"/>
              <w:spacing w:before="20" w:after="20"/>
            </w:pPr>
            <w:r>
              <w:t>Civil penalty</w:t>
            </w:r>
          </w:p>
        </w:tc>
      </w:tr>
      <w:tr w:rsidR="007260A1" w14:paraId="70AA273D" w14:textId="77777777" w:rsidTr="002F7585">
        <w:tc>
          <w:tcPr>
            <w:tcW w:w="11482" w:type="dxa"/>
            <w:tcBorders>
              <w:top w:val="single" w:sz="4" w:space="0" w:color="auto"/>
              <w:left w:val="nil"/>
              <w:bottom w:val="single" w:sz="4" w:space="0" w:color="auto"/>
              <w:right w:val="single" w:sz="4" w:space="0" w:color="auto"/>
            </w:tcBorders>
          </w:tcPr>
          <w:p w14:paraId="232581B6" w14:textId="77777777" w:rsidR="007260A1" w:rsidRPr="004F2763" w:rsidRDefault="00103CAD" w:rsidP="005F7A9D">
            <w:pPr>
              <w:pStyle w:val="BodyText"/>
              <w:spacing w:before="20" w:after="20"/>
            </w:pPr>
            <w:r w:rsidRPr="004F2763">
              <w:t xml:space="preserve">Rule </w:t>
            </w:r>
            <w:r w:rsidR="007260A1" w:rsidRPr="004F2763">
              <w:t>63</w:t>
            </w:r>
            <w:r w:rsidR="00470134">
              <w:t>1</w:t>
            </w:r>
            <w:r w:rsidR="007260A1" w:rsidRPr="004F2763">
              <w:t xml:space="preserve">(1) (Service provider for a non-exempt facility must publish a </w:t>
            </w:r>
            <w:r w:rsidR="001A60A3" w:rsidRPr="004F2763">
              <w:t>standard operational agreement</w:t>
            </w:r>
            <w:r w:rsidR="007260A1" w:rsidRPr="004F2763">
              <w:t xml:space="preserve">) </w:t>
            </w:r>
          </w:p>
        </w:tc>
        <w:tc>
          <w:tcPr>
            <w:tcW w:w="2268" w:type="dxa"/>
            <w:tcBorders>
              <w:top w:val="single" w:sz="4" w:space="0" w:color="auto"/>
              <w:left w:val="single" w:sz="4" w:space="0" w:color="auto"/>
              <w:bottom w:val="single" w:sz="4" w:space="0" w:color="auto"/>
              <w:right w:val="nil"/>
            </w:tcBorders>
          </w:tcPr>
          <w:p w14:paraId="70EDDFA8" w14:textId="77777777" w:rsidR="007260A1" w:rsidRDefault="007260A1" w:rsidP="005F7A9D">
            <w:pPr>
              <w:pStyle w:val="BodyText"/>
              <w:spacing w:before="20" w:after="20"/>
            </w:pPr>
            <w:r>
              <w:t xml:space="preserve">Civil penalty </w:t>
            </w:r>
          </w:p>
        </w:tc>
      </w:tr>
      <w:tr w:rsidR="007260A1" w14:paraId="7326BE33"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4AB04F10" w14:textId="77777777" w:rsidR="007260A1" w:rsidRPr="004F2763" w:rsidRDefault="00103CAD" w:rsidP="005F7A9D">
            <w:pPr>
              <w:pStyle w:val="BodyText"/>
              <w:spacing w:before="20" w:after="20"/>
            </w:pPr>
            <w:r w:rsidRPr="004F2763">
              <w:t xml:space="preserve">Rule </w:t>
            </w:r>
            <w:r w:rsidR="007260A1" w:rsidRPr="004F2763">
              <w:t>63</w:t>
            </w:r>
            <w:r w:rsidR="00470134">
              <w:t>1</w:t>
            </w:r>
            <w:r w:rsidR="007260A1" w:rsidRPr="004F2763">
              <w:t xml:space="preserve">(2) (If a service provider becomes aware the </w:t>
            </w:r>
            <w:r w:rsidR="001A60A3" w:rsidRPr="004F2763">
              <w:t>standard operational agreement</w:t>
            </w:r>
            <w:r w:rsidR="007260A1" w:rsidRPr="004F2763">
              <w:t xml:space="preserve"> does not comply with the </w:t>
            </w:r>
            <w:r w:rsidR="00EB2158">
              <w:t>R</w:t>
            </w:r>
            <w:r w:rsidR="00EB2158" w:rsidRPr="004F2763">
              <w:t xml:space="preserve">ules </w:t>
            </w:r>
            <w:r w:rsidR="007260A1" w:rsidRPr="004F2763">
              <w:t xml:space="preserve">or Code it must publish a revised agreement as soon as practicable) </w:t>
            </w:r>
          </w:p>
        </w:tc>
        <w:tc>
          <w:tcPr>
            <w:tcW w:w="2268" w:type="dxa"/>
          </w:tcPr>
          <w:p w14:paraId="68D5F50C" w14:textId="77777777" w:rsidR="007260A1" w:rsidRDefault="007260A1" w:rsidP="005F7A9D">
            <w:pPr>
              <w:pStyle w:val="BodyText"/>
              <w:spacing w:before="20" w:after="20"/>
            </w:pPr>
            <w:r>
              <w:t xml:space="preserve">Civil penalty </w:t>
            </w:r>
          </w:p>
        </w:tc>
      </w:tr>
      <w:tr w:rsidR="007260A1" w14:paraId="701E65B7" w14:textId="77777777" w:rsidTr="002F7585">
        <w:tc>
          <w:tcPr>
            <w:tcW w:w="11482" w:type="dxa"/>
          </w:tcPr>
          <w:p w14:paraId="305B997F" w14:textId="77777777" w:rsidR="007260A1" w:rsidRPr="004F2763" w:rsidRDefault="00103CAD" w:rsidP="005F7A9D">
            <w:pPr>
              <w:pStyle w:val="BodyText"/>
              <w:spacing w:before="20" w:after="20"/>
            </w:pPr>
            <w:r w:rsidRPr="004F2763">
              <w:t xml:space="preserve">Rule </w:t>
            </w:r>
            <w:r w:rsidR="00470134" w:rsidRPr="004F2763">
              <w:t>63</w:t>
            </w:r>
            <w:r w:rsidR="00470134">
              <w:t>2</w:t>
            </w:r>
            <w:r w:rsidR="007260A1" w:rsidRPr="004F2763">
              <w:t xml:space="preserve">(1) (A </w:t>
            </w:r>
            <w:r w:rsidR="001A60A3" w:rsidRPr="004F2763">
              <w:t>standard operational agreement</w:t>
            </w:r>
            <w:r w:rsidR="007260A1" w:rsidRPr="004F2763">
              <w:t xml:space="preserve"> must incorporate the standard terms, facility specific terms and not incorporate other terms and conditions except as permitted by the </w:t>
            </w:r>
            <w:r w:rsidR="00EB2158">
              <w:t>R</w:t>
            </w:r>
            <w:r w:rsidR="00EB2158" w:rsidRPr="004F2763">
              <w:t xml:space="preserve">ules </w:t>
            </w:r>
            <w:r w:rsidR="007260A1" w:rsidRPr="004F2763">
              <w:t>or Code)</w:t>
            </w:r>
          </w:p>
        </w:tc>
        <w:tc>
          <w:tcPr>
            <w:tcW w:w="2268" w:type="dxa"/>
          </w:tcPr>
          <w:p w14:paraId="451C776D" w14:textId="77777777" w:rsidR="007260A1" w:rsidRDefault="007260A1" w:rsidP="005F7A9D">
            <w:pPr>
              <w:pStyle w:val="BodyText"/>
              <w:spacing w:before="20" w:after="20"/>
            </w:pPr>
            <w:r>
              <w:t>Civil penalty and conduct provision</w:t>
            </w:r>
          </w:p>
        </w:tc>
      </w:tr>
      <w:tr w:rsidR="007260A1" w14:paraId="7477F2E2"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59310481" w14:textId="77777777" w:rsidR="007260A1" w:rsidRPr="004F2763" w:rsidRDefault="00103CAD" w:rsidP="005F7A9D">
            <w:pPr>
              <w:pStyle w:val="BodyText"/>
              <w:spacing w:before="20" w:after="20"/>
            </w:pPr>
            <w:r w:rsidRPr="004F2763">
              <w:lastRenderedPageBreak/>
              <w:t xml:space="preserve">Rule </w:t>
            </w:r>
            <w:r w:rsidR="00470134" w:rsidRPr="004F2763">
              <w:t>63</w:t>
            </w:r>
            <w:r w:rsidR="00470134">
              <w:t>2</w:t>
            </w:r>
            <w:r w:rsidR="007260A1" w:rsidRPr="004F2763">
              <w:t xml:space="preserve">(2) (Service provider must ensure the facility specific terms comply with </w:t>
            </w:r>
            <w:r w:rsidR="00EB2158">
              <w:t>R</w:t>
            </w:r>
            <w:r w:rsidR="00EB2158" w:rsidRPr="004F2763">
              <w:t xml:space="preserve">ules </w:t>
            </w:r>
            <w:r w:rsidR="007260A1" w:rsidRPr="004F2763">
              <w:t>and Code)</w:t>
            </w:r>
          </w:p>
        </w:tc>
        <w:tc>
          <w:tcPr>
            <w:tcW w:w="2268" w:type="dxa"/>
          </w:tcPr>
          <w:p w14:paraId="4886BFC6" w14:textId="77777777" w:rsidR="007260A1" w:rsidRDefault="007260A1" w:rsidP="005F7A9D">
            <w:pPr>
              <w:pStyle w:val="BodyText"/>
              <w:spacing w:before="20" w:after="20"/>
            </w:pPr>
            <w:r>
              <w:t>Civil penalty and conduct provision</w:t>
            </w:r>
          </w:p>
        </w:tc>
      </w:tr>
      <w:tr w:rsidR="007260A1" w14:paraId="1DFEDAB2" w14:textId="77777777" w:rsidTr="002F7585">
        <w:tc>
          <w:tcPr>
            <w:tcW w:w="11482" w:type="dxa"/>
          </w:tcPr>
          <w:p w14:paraId="38ADADC8" w14:textId="77777777" w:rsidR="007260A1" w:rsidRPr="004F2763" w:rsidRDefault="00103CAD" w:rsidP="005F7A9D">
            <w:pPr>
              <w:pStyle w:val="BodyText"/>
              <w:spacing w:before="20" w:after="20"/>
            </w:pPr>
            <w:r w:rsidRPr="004F2763">
              <w:t xml:space="preserve">Rule </w:t>
            </w:r>
            <w:r w:rsidR="00470134" w:rsidRPr="004F2763">
              <w:t>63</w:t>
            </w:r>
            <w:r w:rsidR="00470134">
              <w:t>2</w:t>
            </w:r>
            <w:r w:rsidR="007260A1" w:rsidRPr="004F2763">
              <w:t xml:space="preserve">(3) (Service provider must ensure that any charges are consistent with the cost recovery principles in </w:t>
            </w:r>
            <w:r w:rsidRPr="004F2763">
              <w:t xml:space="preserve">rule </w:t>
            </w:r>
            <w:r w:rsidR="00470134" w:rsidRPr="004F2763">
              <w:t>63</w:t>
            </w:r>
            <w:r w:rsidR="00470134">
              <w:t>4</w:t>
            </w:r>
            <w:r w:rsidR="007260A1" w:rsidRPr="004F2763">
              <w:t>)</w:t>
            </w:r>
          </w:p>
        </w:tc>
        <w:tc>
          <w:tcPr>
            <w:tcW w:w="2268" w:type="dxa"/>
          </w:tcPr>
          <w:p w14:paraId="79F097DC" w14:textId="77777777" w:rsidR="007260A1" w:rsidRDefault="007260A1" w:rsidP="005F7A9D">
            <w:pPr>
              <w:pStyle w:val="BodyText"/>
              <w:spacing w:before="20" w:after="20"/>
            </w:pPr>
            <w:r>
              <w:t>Civil penalty and conduct provision</w:t>
            </w:r>
          </w:p>
        </w:tc>
      </w:tr>
      <w:tr w:rsidR="007260A1" w14:paraId="5193FFB4"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5518973C" w14:textId="77777777" w:rsidR="007260A1" w:rsidRPr="004F2763" w:rsidRDefault="00103CAD" w:rsidP="005F7A9D">
            <w:pPr>
              <w:pStyle w:val="BodyText"/>
              <w:spacing w:before="20" w:after="20"/>
            </w:pPr>
            <w:r w:rsidRPr="004F2763">
              <w:t>Rule</w:t>
            </w:r>
            <w:r w:rsidR="00470134">
              <w:t>s</w:t>
            </w:r>
            <w:r w:rsidRPr="004F2763">
              <w:t xml:space="preserve"> </w:t>
            </w:r>
            <w:r w:rsidR="00470134" w:rsidRPr="004F2763">
              <w:t>63</w:t>
            </w:r>
            <w:r w:rsidR="00470134">
              <w:t xml:space="preserve">4 (2) to </w:t>
            </w:r>
            <w:r w:rsidR="007260A1" w:rsidRPr="004F2763">
              <w:t xml:space="preserve">(7) (Service provider must comply with subrules (2) to (7) in rule </w:t>
            </w:r>
            <w:r w:rsidR="00470134" w:rsidRPr="004F2763">
              <w:t>63</w:t>
            </w:r>
            <w:r w:rsidR="00470134">
              <w:t>4</w:t>
            </w:r>
            <w:r w:rsidR="007260A1" w:rsidRPr="004F2763">
              <w:t>)</w:t>
            </w:r>
          </w:p>
        </w:tc>
        <w:tc>
          <w:tcPr>
            <w:tcW w:w="2268" w:type="dxa"/>
          </w:tcPr>
          <w:p w14:paraId="2B6EB7F5" w14:textId="77777777" w:rsidR="007260A1" w:rsidRDefault="007260A1" w:rsidP="005F7A9D">
            <w:pPr>
              <w:pStyle w:val="BodyText"/>
              <w:spacing w:before="20" w:after="20"/>
            </w:pPr>
            <w:r>
              <w:t>Civil penalty and conduct provision</w:t>
            </w:r>
          </w:p>
        </w:tc>
      </w:tr>
      <w:tr w:rsidR="007260A1" w14:paraId="640F75F8" w14:textId="77777777" w:rsidTr="002F7585">
        <w:tc>
          <w:tcPr>
            <w:tcW w:w="11482" w:type="dxa"/>
          </w:tcPr>
          <w:p w14:paraId="35C58418" w14:textId="77777777" w:rsidR="007260A1" w:rsidRPr="004F2763" w:rsidRDefault="00103CAD" w:rsidP="005F7A9D">
            <w:pPr>
              <w:pStyle w:val="BodyText"/>
              <w:spacing w:before="20" w:after="20"/>
            </w:pPr>
            <w:r w:rsidRPr="004F2763">
              <w:t xml:space="preserve">Rule </w:t>
            </w:r>
            <w:r w:rsidR="00470134" w:rsidRPr="004F2763">
              <w:t>63</w:t>
            </w:r>
            <w:r w:rsidR="00470134">
              <w:t>5</w:t>
            </w:r>
            <w:r w:rsidR="007260A1" w:rsidRPr="004F2763">
              <w:t xml:space="preserve">(4) A service provider must comply with a notice issued by the AER to prepare a new </w:t>
            </w:r>
            <w:r w:rsidR="001A60A3" w:rsidRPr="004F2763">
              <w:t>standard operational agreement</w:t>
            </w:r>
            <w:r w:rsidR="007260A1" w:rsidRPr="004F2763">
              <w:t>)</w:t>
            </w:r>
          </w:p>
        </w:tc>
        <w:tc>
          <w:tcPr>
            <w:tcW w:w="2268" w:type="dxa"/>
          </w:tcPr>
          <w:p w14:paraId="75694F2D" w14:textId="77777777" w:rsidR="007260A1" w:rsidRDefault="007260A1" w:rsidP="005F7A9D">
            <w:pPr>
              <w:pStyle w:val="BodyText"/>
              <w:spacing w:before="20" w:after="20"/>
            </w:pPr>
            <w:r>
              <w:t>Civil penalty provision</w:t>
            </w:r>
          </w:p>
        </w:tc>
      </w:tr>
      <w:tr w:rsidR="007260A1" w14:paraId="2D8AEB1A"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402D986A" w14:textId="77777777" w:rsidR="007260A1" w:rsidRPr="004F2763" w:rsidRDefault="00103CAD" w:rsidP="005F7A9D">
            <w:pPr>
              <w:pStyle w:val="BodyText"/>
              <w:spacing w:before="20" w:after="20"/>
            </w:pPr>
            <w:r w:rsidRPr="004F2763">
              <w:t xml:space="preserve">Rule </w:t>
            </w:r>
            <w:r w:rsidR="00470134" w:rsidRPr="004F2763">
              <w:t>63</w:t>
            </w:r>
            <w:r w:rsidR="00470134">
              <w:t>6</w:t>
            </w:r>
            <w:r w:rsidR="007260A1" w:rsidRPr="004F2763">
              <w:t xml:space="preserve">(1) (A non-exempt service provider must publish the </w:t>
            </w:r>
            <w:r w:rsidR="001A60A3" w:rsidRPr="004F2763">
              <w:t>standard operational agreement</w:t>
            </w:r>
            <w:r w:rsidR="007260A1" w:rsidRPr="004F2763">
              <w:t xml:space="preserve"> and keep it up to date)</w:t>
            </w:r>
          </w:p>
        </w:tc>
        <w:tc>
          <w:tcPr>
            <w:tcW w:w="2268" w:type="dxa"/>
          </w:tcPr>
          <w:p w14:paraId="303CF4DF" w14:textId="77777777" w:rsidR="007260A1" w:rsidRDefault="007260A1" w:rsidP="005F7A9D">
            <w:pPr>
              <w:pStyle w:val="BodyText"/>
              <w:spacing w:before="20" w:after="20"/>
            </w:pPr>
            <w:r>
              <w:t>Civil penalty and conduct provision</w:t>
            </w:r>
          </w:p>
        </w:tc>
      </w:tr>
      <w:tr w:rsidR="007260A1" w14:paraId="466D7DF1" w14:textId="77777777" w:rsidTr="002F7585">
        <w:tc>
          <w:tcPr>
            <w:tcW w:w="11482" w:type="dxa"/>
          </w:tcPr>
          <w:p w14:paraId="456A00FD" w14:textId="77777777" w:rsidR="007260A1" w:rsidRPr="004F2763" w:rsidRDefault="00103CAD" w:rsidP="005F7A9D">
            <w:pPr>
              <w:pStyle w:val="BodyText"/>
              <w:spacing w:before="20" w:after="20"/>
            </w:pPr>
            <w:r w:rsidRPr="004F2763">
              <w:t xml:space="preserve">Rule </w:t>
            </w:r>
            <w:r w:rsidR="00470134" w:rsidRPr="004F2763">
              <w:t>63</w:t>
            </w:r>
            <w:r w:rsidR="00470134">
              <w:t>7</w:t>
            </w:r>
            <w:r w:rsidR="007260A1" w:rsidRPr="004F2763">
              <w:t xml:space="preserve">(1) (A service provider in receipt of a request for a </w:t>
            </w:r>
            <w:r w:rsidR="001A60A3" w:rsidRPr="004F2763">
              <w:t>standard operational agreement</w:t>
            </w:r>
            <w:r w:rsidR="007260A1" w:rsidRPr="004F2763">
              <w:t xml:space="preserve"> must prepare and offer to enter into the agreement within time specified in NGR)</w:t>
            </w:r>
          </w:p>
        </w:tc>
        <w:tc>
          <w:tcPr>
            <w:tcW w:w="2268" w:type="dxa"/>
          </w:tcPr>
          <w:p w14:paraId="0EB4BAC3" w14:textId="77777777" w:rsidR="007260A1" w:rsidRDefault="007260A1" w:rsidP="005F7A9D">
            <w:pPr>
              <w:pStyle w:val="BodyText"/>
              <w:spacing w:before="20" w:after="20"/>
            </w:pPr>
            <w:r>
              <w:t xml:space="preserve">Civil penalty </w:t>
            </w:r>
          </w:p>
        </w:tc>
      </w:tr>
      <w:tr w:rsidR="007260A1" w14:paraId="19456A2C"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71855BBE" w14:textId="77777777" w:rsidR="007260A1" w:rsidRPr="004F2763" w:rsidRDefault="00103CAD" w:rsidP="005F7A9D">
            <w:pPr>
              <w:pStyle w:val="BodyText"/>
              <w:spacing w:before="20" w:after="20"/>
            </w:pPr>
            <w:r w:rsidRPr="004F2763">
              <w:t xml:space="preserve">Rule </w:t>
            </w:r>
            <w:r w:rsidR="00470134" w:rsidRPr="004F2763">
              <w:t>63</w:t>
            </w:r>
            <w:r w:rsidR="00470134">
              <w:t>8(1)</w:t>
            </w:r>
            <w:r w:rsidR="00470134" w:rsidRPr="004F2763">
              <w:t xml:space="preserve"> </w:t>
            </w:r>
            <w:r w:rsidR="007260A1" w:rsidRPr="004F2763">
              <w:t>(A service provider must give effect to an operational transfer notified by AEMO or by parties to bilateral trades)</w:t>
            </w:r>
          </w:p>
        </w:tc>
        <w:tc>
          <w:tcPr>
            <w:tcW w:w="2268" w:type="dxa"/>
          </w:tcPr>
          <w:p w14:paraId="241D7605" w14:textId="77777777" w:rsidR="007260A1" w:rsidRDefault="007260A1" w:rsidP="005F7A9D">
            <w:pPr>
              <w:pStyle w:val="BodyText"/>
              <w:spacing w:before="20" w:after="20"/>
            </w:pPr>
            <w:r>
              <w:t xml:space="preserve">Civil penalty and conduct provision </w:t>
            </w:r>
          </w:p>
        </w:tc>
      </w:tr>
      <w:tr w:rsidR="007260A1" w14:paraId="47D36D62" w14:textId="77777777" w:rsidTr="002F7585">
        <w:tc>
          <w:tcPr>
            <w:tcW w:w="11482" w:type="dxa"/>
          </w:tcPr>
          <w:p w14:paraId="1706D0FC" w14:textId="77777777" w:rsidR="007260A1" w:rsidRPr="004F2763" w:rsidRDefault="00103CAD" w:rsidP="005F7A9D">
            <w:pPr>
              <w:pStyle w:val="BodyText"/>
              <w:spacing w:before="20" w:after="20"/>
            </w:pPr>
            <w:r w:rsidRPr="004F2763">
              <w:t xml:space="preserve">Rule </w:t>
            </w:r>
            <w:r w:rsidR="00470134" w:rsidRPr="004F2763">
              <w:t>63</w:t>
            </w:r>
            <w:r w:rsidR="00470134">
              <w:t>9(1)</w:t>
            </w:r>
            <w:r w:rsidR="00470134" w:rsidRPr="004F2763">
              <w:t xml:space="preserve"> </w:t>
            </w:r>
            <w:r w:rsidR="007260A1" w:rsidRPr="004F2763">
              <w:t>(A service provider must give effect to an operational transfer of capacity and continue to do so for up to 14 days if the seller’s primary facility agreement is terminated)</w:t>
            </w:r>
          </w:p>
        </w:tc>
        <w:tc>
          <w:tcPr>
            <w:tcW w:w="2268" w:type="dxa"/>
          </w:tcPr>
          <w:p w14:paraId="7B8C1375" w14:textId="77777777" w:rsidR="007260A1" w:rsidRDefault="007260A1" w:rsidP="005F7A9D">
            <w:pPr>
              <w:pStyle w:val="BodyText"/>
              <w:spacing w:before="20" w:after="20"/>
            </w:pPr>
            <w:r>
              <w:t>Civil penalty and conduct provision</w:t>
            </w:r>
          </w:p>
        </w:tc>
      </w:tr>
      <w:tr w:rsidR="007260A1" w14:paraId="14851BDA"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15182870" w14:textId="77777777" w:rsidR="007260A1" w:rsidRPr="004F2763" w:rsidRDefault="00103CAD" w:rsidP="005F7A9D">
            <w:pPr>
              <w:pStyle w:val="BodyText"/>
              <w:spacing w:before="20" w:after="20"/>
            </w:pPr>
            <w:r w:rsidRPr="004F2763">
              <w:t xml:space="preserve">Rule </w:t>
            </w:r>
            <w:r w:rsidR="00470134" w:rsidRPr="004F2763">
              <w:t>63</w:t>
            </w:r>
            <w:r w:rsidR="00470134">
              <w:t>9(4)</w:t>
            </w:r>
            <w:r w:rsidR="00470134" w:rsidRPr="004F2763">
              <w:t xml:space="preserve"> </w:t>
            </w:r>
            <w:r w:rsidR="007260A1" w:rsidRPr="004F2763">
              <w:t>(A service provider must give effect to an operational transfer of capacity and continue to do so for the term of the trade if the seller’s primary facility agreement is suspended)</w:t>
            </w:r>
          </w:p>
        </w:tc>
        <w:tc>
          <w:tcPr>
            <w:tcW w:w="2268" w:type="dxa"/>
          </w:tcPr>
          <w:p w14:paraId="5AD41060" w14:textId="77777777" w:rsidR="007260A1" w:rsidRDefault="007260A1" w:rsidP="005F7A9D">
            <w:pPr>
              <w:pStyle w:val="BodyText"/>
              <w:spacing w:before="20" w:after="20"/>
            </w:pPr>
            <w:r>
              <w:t>Civil penalty and conduct provision</w:t>
            </w:r>
          </w:p>
        </w:tc>
      </w:tr>
      <w:tr w:rsidR="007260A1" w14:paraId="57C1BC22" w14:textId="77777777" w:rsidTr="002F7585">
        <w:tc>
          <w:tcPr>
            <w:tcW w:w="11482" w:type="dxa"/>
          </w:tcPr>
          <w:p w14:paraId="518A4007" w14:textId="77777777" w:rsidR="007260A1" w:rsidRPr="004F2763" w:rsidRDefault="00103CAD" w:rsidP="005F7A9D">
            <w:pPr>
              <w:pStyle w:val="BodyText"/>
              <w:spacing w:before="20" w:after="20"/>
            </w:pPr>
            <w:r w:rsidRPr="004F2763">
              <w:t xml:space="preserve">Rule </w:t>
            </w:r>
            <w:r w:rsidR="00470134" w:rsidRPr="004F2763">
              <w:t>6</w:t>
            </w:r>
            <w:r w:rsidR="00470134">
              <w:t>40</w:t>
            </w:r>
            <w:r w:rsidR="007260A1" w:rsidRPr="004F2763">
              <w:t>(1) (A service provider must within 30 days of a request made by a user an amending agreement that complies with</w:t>
            </w:r>
            <w:r w:rsidR="00470134">
              <w:t xml:space="preserve"> rule</w:t>
            </w:r>
            <w:r w:rsidR="007260A1" w:rsidRPr="004F2763">
              <w:t xml:space="preserve"> </w:t>
            </w:r>
            <w:r w:rsidR="00470134" w:rsidRPr="004F2763">
              <w:t>6</w:t>
            </w:r>
            <w:r w:rsidR="00470134">
              <w:t>40</w:t>
            </w:r>
            <w:r w:rsidR="007260A1" w:rsidRPr="004F2763">
              <w:t>(2))</w:t>
            </w:r>
          </w:p>
        </w:tc>
        <w:tc>
          <w:tcPr>
            <w:tcW w:w="2268" w:type="dxa"/>
          </w:tcPr>
          <w:p w14:paraId="3FC73179" w14:textId="77777777" w:rsidR="007260A1" w:rsidRDefault="007260A1" w:rsidP="005F7A9D">
            <w:pPr>
              <w:pStyle w:val="BodyText"/>
              <w:spacing w:before="20" w:after="20"/>
            </w:pPr>
            <w:r>
              <w:t>Civil penalty and conduct provision</w:t>
            </w:r>
          </w:p>
        </w:tc>
      </w:tr>
      <w:tr w:rsidR="007260A1" w14:paraId="54989551"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tcPr>
          <w:p w14:paraId="3E5B41A3" w14:textId="77777777" w:rsidR="007260A1" w:rsidRPr="004F2763" w:rsidRDefault="00103CAD" w:rsidP="005F7A9D">
            <w:pPr>
              <w:pStyle w:val="BodyText"/>
              <w:spacing w:before="20" w:after="20"/>
            </w:pPr>
            <w:r w:rsidRPr="004F2763">
              <w:t xml:space="preserve">Rule </w:t>
            </w:r>
            <w:r w:rsidR="00470134" w:rsidRPr="004F2763">
              <w:t>6</w:t>
            </w:r>
            <w:r w:rsidR="00470134">
              <w:t>40</w:t>
            </w:r>
            <w:r w:rsidR="007260A1" w:rsidRPr="004F2763">
              <w:t xml:space="preserve">(3) (If a service provider receives a request under </w:t>
            </w:r>
            <w:r w:rsidRPr="004F2763">
              <w:t xml:space="preserve">rule </w:t>
            </w:r>
            <w:r w:rsidR="00470134">
              <w:t>640</w:t>
            </w:r>
            <w:r w:rsidR="007260A1" w:rsidRPr="004F2763">
              <w:t>(1) it must negotiate in good faith for the purposes of agreeing the terms of the amending agreement)</w:t>
            </w:r>
          </w:p>
        </w:tc>
        <w:tc>
          <w:tcPr>
            <w:tcW w:w="2268" w:type="dxa"/>
          </w:tcPr>
          <w:p w14:paraId="4DF1E986" w14:textId="77777777" w:rsidR="007260A1" w:rsidRDefault="007260A1" w:rsidP="005F7A9D">
            <w:pPr>
              <w:pStyle w:val="BodyText"/>
              <w:spacing w:before="20" w:after="20"/>
            </w:pPr>
            <w:r>
              <w:t xml:space="preserve">Civil penalty provision </w:t>
            </w:r>
          </w:p>
        </w:tc>
      </w:tr>
      <w:tr w:rsidR="007260A1" w:rsidRPr="00F96A65" w14:paraId="665E7EAC" w14:textId="77777777" w:rsidTr="002F7585">
        <w:tc>
          <w:tcPr>
            <w:tcW w:w="13753" w:type="dxa"/>
            <w:gridSpan w:val="2"/>
            <w:shd w:val="clear" w:color="auto" w:fill="65697F" w:themeFill="background2" w:themeFillShade="80"/>
          </w:tcPr>
          <w:p w14:paraId="7CA523E2" w14:textId="77777777" w:rsidR="007260A1" w:rsidRPr="004F2763" w:rsidRDefault="007260A1" w:rsidP="005F7A9D">
            <w:pPr>
              <w:pStyle w:val="BodyText"/>
              <w:spacing w:before="20" w:after="20"/>
              <w:jc w:val="center"/>
              <w:rPr>
                <w:b/>
                <w:color w:val="FFFFFF" w:themeColor="background1"/>
              </w:rPr>
            </w:pPr>
            <w:r w:rsidRPr="004F2763">
              <w:rPr>
                <w:b/>
                <w:color w:val="FFFFFF" w:themeColor="background1"/>
              </w:rPr>
              <w:t>Part 25 of the NGR</w:t>
            </w:r>
          </w:p>
        </w:tc>
      </w:tr>
      <w:tr w:rsidR="007260A1" w14:paraId="7C34E2C7"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522E8A23" w14:textId="77777777" w:rsidR="007260A1" w:rsidRPr="004F2763" w:rsidRDefault="00103CAD" w:rsidP="005F7A9D">
            <w:pPr>
              <w:pStyle w:val="BodyText"/>
              <w:spacing w:before="20" w:after="20"/>
            </w:pPr>
            <w:r w:rsidRPr="004F2763">
              <w:t xml:space="preserve">Rule </w:t>
            </w:r>
            <w:r w:rsidR="007260A1" w:rsidRPr="004F2763">
              <w:t>649 (1) (Information standard for the provision of information to AEMO and the AER)</w:t>
            </w:r>
          </w:p>
        </w:tc>
        <w:tc>
          <w:tcPr>
            <w:tcW w:w="2268" w:type="dxa"/>
            <w:hideMark/>
          </w:tcPr>
          <w:p w14:paraId="5E765201" w14:textId="77777777" w:rsidR="007260A1" w:rsidRDefault="007260A1" w:rsidP="005F7A9D">
            <w:pPr>
              <w:pStyle w:val="BodyText"/>
              <w:spacing w:before="20" w:after="20"/>
            </w:pPr>
            <w:r>
              <w:t>Civil penalty and conduct provision</w:t>
            </w:r>
          </w:p>
        </w:tc>
      </w:tr>
      <w:tr w:rsidR="007260A1" w14:paraId="53D650DD" w14:textId="77777777" w:rsidTr="002F7585">
        <w:tc>
          <w:tcPr>
            <w:tcW w:w="11482" w:type="dxa"/>
          </w:tcPr>
          <w:p w14:paraId="13ECD426" w14:textId="77777777" w:rsidR="007260A1" w:rsidRPr="004F2763" w:rsidRDefault="00103CAD" w:rsidP="005F7A9D">
            <w:pPr>
              <w:pStyle w:val="BodyText"/>
              <w:spacing w:before="20" w:after="20"/>
            </w:pPr>
            <w:r w:rsidRPr="004F2763">
              <w:t xml:space="preserve">Rule </w:t>
            </w:r>
            <w:r w:rsidR="007260A1" w:rsidRPr="004F2763">
              <w:t>649(3) (Auction facility operator to update information provided to AEMO)</w:t>
            </w:r>
          </w:p>
        </w:tc>
        <w:tc>
          <w:tcPr>
            <w:tcW w:w="2268" w:type="dxa"/>
          </w:tcPr>
          <w:p w14:paraId="7F935FFC" w14:textId="77777777" w:rsidR="007260A1" w:rsidRDefault="00051A1F" w:rsidP="005F7A9D">
            <w:pPr>
              <w:pStyle w:val="BodyText"/>
              <w:spacing w:before="20" w:after="20"/>
            </w:pPr>
            <w:r>
              <w:t>Civil penalty</w:t>
            </w:r>
          </w:p>
        </w:tc>
      </w:tr>
      <w:tr w:rsidR="007260A1" w14:paraId="4AADBC81"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5FE9141C" w14:textId="77777777" w:rsidR="007260A1" w:rsidRPr="004F2763" w:rsidRDefault="00103CAD" w:rsidP="005F7A9D">
            <w:pPr>
              <w:pStyle w:val="BodyText"/>
              <w:spacing w:before="20" w:after="20"/>
            </w:pPr>
            <w:r w:rsidRPr="004F2763">
              <w:t xml:space="preserve">Rule </w:t>
            </w:r>
            <w:r w:rsidR="007260A1" w:rsidRPr="004F2763">
              <w:t>650(2) (</w:t>
            </w:r>
            <w:r w:rsidR="001A60A3" w:rsidRPr="004F2763">
              <w:t>Standard operational agreement</w:t>
            </w:r>
            <w:r w:rsidR="007260A1" w:rsidRPr="004F2763">
              <w:t xml:space="preserve"> to give effect to auction service priority principles)</w:t>
            </w:r>
          </w:p>
        </w:tc>
        <w:tc>
          <w:tcPr>
            <w:tcW w:w="2268" w:type="dxa"/>
            <w:hideMark/>
          </w:tcPr>
          <w:p w14:paraId="0BB5709C" w14:textId="77777777" w:rsidR="007260A1" w:rsidRDefault="007260A1" w:rsidP="005F7A9D">
            <w:pPr>
              <w:pStyle w:val="BodyText"/>
              <w:spacing w:before="20" w:after="20"/>
            </w:pPr>
            <w:r>
              <w:t>Civil penalty and conduct provision</w:t>
            </w:r>
          </w:p>
        </w:tc>
      </w:tr>
      <w:tr w:rsidR="007260A1" w14:paraId="2FB9CBA9" w14:textId="77777777" w:rsidTr="002F7585">
        <w:tc>
          <w:tcPr>
            <w:tcW w:w="11482" w:type="dxa"/>
            <w:hideMark/>
          </w:tcPr>
          <w:p w14:paraId="062584AC" w14:textId="77777777" w:rsidR="007260A1" w:rsidRPr="004F2763" w:rsidRDefault="00103CAD" w:rsidP="005F7A9D">
            <w:pPr>
              <w:pStyle w:val="BodyText"/>
              <w:spacing w:before="20" w:after="20"/>
            </w:pPr>
            <w:r w:rsidRPr="004F2763">
              <w:t xml:space="preserve">Rule </w:t>
            </w:r>
            <w:r w:rsidR="007260A1" w:rsidRPr="004F2763">
              <w:t>650(3) (Scheduling process must not result in lower tier services being scheduled ahead of the auction service)</w:t>
            </w:r>
          </w:p>
        </w:tc>
        <w:tc>
          <w:tcPr>
            <w:tcW w:w="2268" w:type="dxa"/>
            <w:hideMark/>
          </w:tcPr>
          <w:p w14:paraId="685F6BDC" w14:textId="77777777" w:rsidR="007260A1" w:rsidRDefault="007260A1" w:rsidP="005F7A9D">
            <w:pPr>
              <w:pStyle w:val="BodyText"/>
              <w:spacing w:before="20" w:after="20"/>
            </w:pPr>
            <w:r>
              <w:t xml:space="preserve">Civil penalty </w:t>
            </w:r>
          </w:p>
        </w:tc>
      </w:tr>
      <w:tr w:rsidR="007260A1" w14:paraId="4BA38034"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05C6EC16" w14:textId="77777777" w:rsidR="007260A1" w:rsidRPr="004F2763" w:rsidRDefault="00103CAD" w:rsidP="005F7A9D">
            <w:pPr>
              <w:pStyle w:val="BodyText"/>
              <w:spacing w:before="20" w:after="20"/>
            </w:pPr>
            <w:r w:rsidRPr="004F2763">
              <w:t xml:space="preserve">Rule </w:t>
            </w:r>
            <w:r w:rsidR="007260A1" w:rsidRPr="004F2763">
              <w:t>654(2) (</w:t>
            </w:r>
            <w:r w:rsidR="009D4D25">
              <w:t>Auction f</w:t>
            </w:r>
            <w:r w:rsidR="007260A1" w:rsidRPr="004F2763">
              <w:t>acility operators to provide AEMO with the information required to determine auction quantity limits and amounts payable in accordance with the Auction Procedures)</w:t>
            </w:r>
          </w:p>
        </w:tc>
        <w:tc>
          <w:tcPr>
            <w:tcW w:w="2268" w:type="dxa"/>
            <w:hideMark/>
          </w:tcPr>
          <w:p w14:paraId="3B5BCBBA" w14:textId="77777777" w:rsidR="007260A1" w:rsidRDefault="007260A1" w:rsidP="005F7A9D">
            <w:pPr>
              <w:pStyle w:val="BodyText"/>
              <w:spacing w:before="20" w:after="20"/>
            </w:pPr>
            <w:r>
              <w:t xml:space="preserve">Civil penalty </w:t>
            </w:r>
          </w:p>
        </w:tc>
      </w:tr>
      <w:tr w:rsidR="007260A1" w14:paraId="07FC32BE" w14:textId="77777777" w:rsidTr="002F7585">
        <w:tc>
          <w:tcPr>
            <w:tcW w:w="11482" w:type="dxa"/>
            <w:hideMark/>
          </w:tcPr>
          <w:p w14:paraId="5A7A185D" w14:textId="77777777" w:rsidR="007260A1" w:rsidRPr="004F2763" w:rsidRDefault="00103CAD" w:rsidP="005F7A9D">
            <w:pPr>
              <w:pStyle w:val="BodyText"/>
              <w:spacing w:before="20" w:after="20"/>
            </w:pPr>
            <w:r w:rsidRPr="004F2763">
              <w:t xml:space="preserve">Rule </w:t>
            </w:r>
            <w:r w:rsidR="007260A1" w:rsidRPr="004F2763">
              <w:t>655(3) (</w:t>
            </w:r>
            <w:r w:rsidR="009D4D25">
              <w:t>Auction f</w:t>
            </w:r>
            <w:r w:rsidR="007260A1" w:rsidRPr="004F2763">
              <w:t>acility operators to give effect to auction results notified by AEMO)</w:t>
            </w:r>
          </w:p>
        </w:tc>
        <w:tc>
          <w:tcPr>
            <w:tcW w:w="2268" w:type="dxa"/>
            <w:hideMark/>
          </w:tcPr>
          <w:p w14:paraId="1905A0F2" w14:textId="77777777" w:rsidR="007260A1" w:rsidRDefault="007260A1" w:rsidP="005F7A9D">
            <w:pPr>
              <w:pStyle w:val="BodyText"/>
              <w:spacing w:before="20" w:after="20"/>
            </w:pPr>
            <w:r>
              <w:t xml:space="preserve">Civil penalty </w:t>
            </w:r>
          </w:p>
        </w:tc>
      </w:tr>
      <w:tr w:rsidR="007260A1" w14:paraId="1B9A2AB7"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713359CB" w14:textId="77777777" w:rsidR="007260A1" w:rsidRPr="004F2763" w:rsidRDefault="00103CAD" w:rsidP="005F7A9D">
            <w:pPr>
              <w:pStyle w:val="BodyText"/>
              <w:spacing w:before="20" w:after="20"/>
            </w:pPr>
            <w:r w:rsidRPr="004F2763">
              <w:t xml:space="preserve">Rule </w:t>
            </w:r>
            <w:r w:rsidR="007260A1" w:rsidRPr="004F2763">
              <w:t>660(</w:t>
            </w:r>
            <w:r w:rsidR="0064375C">
              <w:t>2</w:t>
            </w:r>
            <w:r w:rsidR="007260A1" w:rsidRPr="004F2763">
              <w:t>) (Auction participant to pay AEMO all amounts payable in the time and manner set out in the Auction Agreement)</w:t>
            </w:r>
          </w:p>
        </w:tc>
        <w:tc>
          <w:tcPr>
            <w:tcW w:w="2268" w:type="dxa"/>
            <w:hideMark/>
          </w:tcPr>
          <w:p w14:paraId="5A08B87B" w14:textId="77777777" w:rsidR="007260A1" w:rsidRDefault="007260A1" w:rsidP="005F7A9D">
            <w:pPr>
              <w:pStyle w:val="BodyText"/>
              <w:spacing w:before="20" w:after="20"/>
            </w:pPr>
            <w:r>
              <w:t xml:space="preserve">Civil penalty </w:t>
            </w:r>
          </w:p>
        </w:tc>
      </w:tr>
      <w:tr w:rsidR="007260A1" w14:paraId="209529CC" w14:textId="77777777" w:rsidTr="002F7585">
        <w:tc>
          <w:tcPr>
            <w:tcW w:w="11482" w:type="dxa"/>
            <w:hideMark/>
          </w:tcPr>
          <w:p w14:paraId="046574C4" w14:textId="77777777" w:rsidR="007260A1" w:rsidRPr="004F2763" w:rsidRDefault="00103CAD" w:rsidP="005F7A9D">
            <w:pPr>
              <w:pStyle w:val="BodyText"/>
              <w:spacing w:before="20" w:after="20"/>
            </w:pPr>
            <w:r w:rsidRPr="004F2763">
              <w:lastRenderedPageBreak/>
              <w:t xml:space="preserve">Rule </w:t>
            </w:r>
            <w:r w:rsidR="007260A1" w:rsidRPr="004F2763">
              <w:t>661(1) (Auction participants must comply with general market conduct requirements)</w:t>
            </w:r>
          </w:p>
        </w:tc>
        <w:tc>
          <w:tcPr>
            <w:tcW w:w="2268" w:type="dxa"/>
            <w:hideMark/>
          </w:tcPr>
          <w:p w14:paraId="433D4537" w14:textId="77777777" w:rsidR="007260A1" w:rsidRDefault="007260A1" w:rsidP="005F7A9D">
            <w:pPr>
              <w:pStyle w:val="BodyText"/>
              <w:spacing w:before="20" w:after="20"/>
            </w:pPr>
            <w:r>
              <w:t>Civil penalty and conduct provision</w:t>
            </w:r>
          </w:p>
        </w:tc>
      </w:tr>
      <w:tr w:rsidR="007260A1" w14:paraId="28F12A57"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15713048" w14:textId="77777777" w:rsidR="007260A1" w:rsidRPr="004F2763" w:rsidRDefault="00103CAD" w:rsidP="005F7A9D">
            <w:pPr>
              <w:pStyle w:val="BodyText"/>
              <w:spacing w:before="20" w:after="20"/>
            </w:pPr>
            <w:r w:rsidRPr="004F2763">
              <w:t xml:space="preserve">Rule </w:t>
            </w:r>
            <w:r w:rsidR="007260A1" w:rsidRPr="004F2763">
              <w:t>662(3) (Auction participants must not manipulate or attempt to manipulate the capacity auction)</w:t>
            </w:r>
          </w:p>
        </w:tc>
        <w:tc>
          <w:tcPr>
            <w:tcW w:w="2268" w:type="dxa"/>
            <w:hideMark/>
          </w:tcPr>
          <w:p w14:paraId="32560456" w14:textId="77777777" w:rsidR="007260A1" w:rsidRDefault="007260A1" w:rsidP="005F7A9D">
            <w:pPr>
              <w:pStyle w:val="BodyText"/>
              <w:spacing w:before="20" w:after="20"/>
            </w:pPr>
            <w:r>
              <w:t>Civil penalty and conduct provisions</w:t>
            </w:r>
          </w:p>
        </w:tc>
      </w:tr>
      <w:tr w:rsidR="007260A1" w14:paraId="58B666C3" w14:textId="77777777" w:rsidTr="002F7585">
        <w:tc>
          <w:tcPr>
            <w:tcW w:w="11482" w:type="dxa"/>
            <w:hideMark/>
          </w:tcPr>
          <w:p w14:paraId="46F20FF1" w14:textId="77777777" w:rsidR="007260A1" w:rsidRPr="004F2763" w:rsidRDefault="00103CAD" w:rsidP="005F7A9D">
            <w:pPr>
              <w:pStyle w:val="BodyText"/>
              <w:spacing w:before="20" w:after="20"/>
            </w:pPr>
            <w:r w:rsidRPr="004F2763">
              <w:t xml:space="preserve">Rule </w:t>
            </w:r>
            <w:r w:rsidR="007260A1" w:rsidRPr="004F2763">
              <w:t>663(1) (Transportation facility users must not make nominations or re-nominations that are false, misleading or likely to mislead)</w:t>
            </w:r>
          </w:p>
        </w:tc>
        <w:tc>
          <w:tcPr>
            <w:tcW w:w="2268" w:type="dxa"/>
            <w:hideMark/>
          </w:tcPr>
          <w:p w14:paraId="4F5A5D34" w14:textId="77777777" w:rsidR="007260A1" w:rsidRDefault="007260A1" w:rsidP="005F7A9D">
            <w:pPr>
              <w:pStyle w:val="BodyText"/>
              <w:spacing w:before="20" w:after="20"/>
            </w:pPr>
            <w:r>
              <w:t xml:space="preserve">Civil penalty </w:t>
            </w:r>
          </w:p>
        </w:tc>
      </w:tr>
      <w:tr w:rsidR="007260A1" w14:paraId="19DF5566"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68911CA1" w14:textId="77777777" w:rsidR="007260A1" w:rsidRPr="004F2763" w:rsidRDefault="00103CAD" w:rsidP="005F7A9D">
            <w:pPr>
              <w:pStyle w:val="BodyText"/>
              <w:spacing w:before="20" w:after="20"/>
            </w:pPr>
            <w:r w:rsidRPr="004F2763">
              <w:t xml:space="preserve">Rule </w:t>
            </w:r>
            <w:r w:rsidR="007260A1" w:rsidRPr="004F2763">
              <w:t>665(1) and (5) (</w:t>
            </w:r>
            <w:r w:rsidR="009D4D25">
              <w:t>Auction f</w:t>
            </w:r>
            <w:r w:rsidR="007260A1" w:rsidRPr="004F2763">
              <w:t>acility operators must keep and maintain nominations and scheduling records and provide to the AER on request)</w:t>
            </w:r>
          </w:p>
        </w:tc>
        <w:tc>
          <w:tcPr>
            <w:tcW w:w="2268" w:type="dxa"/>
            <w:hideMark/>
          </w:tcPr>
          <w:p w14:paraId="22044BDE" w14:textId="77777777" w:rsidR="007260A1" w:rsidRDefault="007260A1" w:rsidP="005F7A9D">
            <w:pPr>
              <w:pStyle w:val="BodyText"/>
              <w:spacing w:before="20" w:after="20"/>
            </w:pPr>
            <w:r>
              <w:t xml:space="preserve">Civil penalty </w:t>
            </w:r>
          </w:p>
        </w:tc>
      </w:tr>
      <w:tr w:rsidR="007260A1" w14:paraId="5E68E124" w14:textId="77777777" w:rsidTr="002F7585">
        <w:tc>
          <w:tcPr>
            <w:tcW w:w="11482" w:type="dxa"/>
            <w:hideMark/>
          </w:tcPr>
          <w:p w14:paraId="27DBE40D" w14:textId="77777777" w:rsidR="007260A1" w:rsidRPr="004F2763" w:rsidRDefault="00103CAD" w:rsidP="005F7A9D">
            <w:pPr>
              <w:pStyle w:val="BodyText"/>
              <w:spacing w:before="20" w:after="20"/>
            </w:pPr>
            <w:r w:rsidRPr="004F2763">
              <w:t xml:space="preserve">Rule </w:t>
            </w:r>
            <w:r w:rsidR="007260A1" w:rsidRPr="004F2763">
              <w:t>666(1) and (4) (Transportation facility users that make a material renomination must keep a record of specified information and provide any additional information requested by the AER to substantiate and verify the reasons for the renomination)</w:t>
            </w:r>
          </w:p>
        </w:tc>
        <w:tc>
          <w:tcPr>
            <w:tcW w:w="2268" w:type="dxa"/>
            <w:hideMark/>
          </w:tcPr>
          <w:p w14:paraId="39C890D4" w14:textId="77777777" w:rsidR="007260A1" w:rsidRDefault="007260A1" w:rsidP="005F7A9D">
            <w:pPr>
              <w:pStyle w:val="BodyText"/>
              <w:spacing w:before="20" w:after="20"/>
            </w:pPr>
            <w:r>
              <w:t>Civil penalty provision</w:t>
            </w:r>
          </w:p>
        </w:tc>
      </w:tr>
      <w:tr w:rsidR="007260A1" w14:paraId="6FC8A8EB"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789210E5" w14:textId="77777777" w:rsidR="007260A1" w:rsidRPr="004F2763" w:rsidRDefault="00103CAD" w:rsidP="005F7A9D">
            <w:pPr>
              <w:pStyle w:val="BodyText"/>
              <w:spacing w:before="20" w:after="20"/>
            </w:pPr>
            <w:r w:rsidRPr="004F2763">
              <w:t xml:space="preserve">Rule </w:t>
            </w:r>
            <w:r w:rsidR="007260A1" w:rsidRPr="004F2763">
              <w:t>669(5) (</w:t>
            </w:r>
            <w:r w:rsidR="009D4D25">
              <w:t>Auction f</w:t>
            </w:r>
            <w:r w:rsidR="007260A1" w:rsidRPr="004F2763">
              <w:t>acility operator must pay amount payable to AEMO by no later than 12 noon on payment date)</w:t>
            </w:r>
          </w:p>
        </w:tc>
        <w:tc>
          <w:tcPr>
            <w:tcW w:w="2268" w:type="dxa"/>
            <w:hideMark/>
          </w:tcPr>
          <w:p w14:paraId="169F13D6" w14:textId="77777777" w:rsidR="007260A1" w:rsidRDefault="007260A1" w:rsidP="005F7A9D">
            <w:pPr>
              <w:pStyle w:val="BodyText"/>
              <w:spacing w:before="20" w:after="20"/>
            </w:pPr>
            <w:r>
              <w:t xml:space="preserve">Civil penalty and conduct provisions </w:t>
            </w:r>
          </w:p>
        </w:tc>
      </w:tr>
      <w:tr w:rsidR="007260A1" w14:paraId="4CB44F84" w14:textId="77777777" w:rsidTr="002F7585">
        <w:tc>
          <w:tcPr>
            <w:tcW w:w="11482" w:type="dxa"/>
            <w:hideMark/>
          </w:tcPr>
          <w:p w14:paraId="000537B6" w14:textId="77777777" w:rsidR="007260A1" w:rsidRPr="004F2763" w:rsidRDefault="00103CAD" w:rsidP="005F7A9D">
            <w:pPr>
              <w:pStyle w:val="BodyText"/>
              <w:spacing w:before="20" w:after="20"/>
            </w:pPr>
            <w:r w:rsidRPr="004F2763">
              <w:t xml:space="preserve">Rule </w:t>
            </w:r>
            <w:r w:rsidR="007260A1" w:rsidRPr="004F2763">
              <w:t>672(4) (</w:t>
            </w:r>
            <w:r w:rsidR="009D4D25">
              <w:t>Auction f</w:t>
            </w:r>
            <w:r w:rsidR="007260A1" w:rsidRPr="004F2763">
              <w:t>acility operator must pay amount payable to AEMO under a revised statement by no later than 12 noon on payment date)</w:t>
            </w:r>
          </w:p>
        </w:tc>
        <w:tc>
          <w:tcPr>
            <w:tcW w:w="2268" w:type="dxa"/>
            <w:hideMark/>
          </w:tcPr>
          <w:p w14:paraId="6336E9CD" w14:textId="77777777" w:rsidR="007260A1" w:rsidRDefault="007260A1" w:rsidP="005F7A9D">
            <w:pPr>
              <w:pStyle w:val="BodyText"/>
              <w:spacing w:before="20" w:after="20"/>
            </w:pPr>
            <w:r>
              <w:t xml:space="preserve">Civil penalty and conduct provisions </w:t>
            </w:r>
          </w:p>
        </w:tc>
      </w:tr>
      <w:tr w:rsidR="007260A1" w14:paraId="5204876E"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3C5B4DD3" w14:textId="77777777" w:rsidR="007260A1" w:rsidRPr="004F2763" w:rsidRDefault="00103CAD" w:rsidP="005F7A9D">
            <w:pPr>
              <w:pStyle w:val="BodyText"/>
              <w:spacing w:before="20" w:after="20"/>
            </w:pPr>
            <w:r w:rsidRPr="004F2763">
              <w:t xml:space="preserve">Rule </w:t>
            </w:r>
            <w:r w:rsidR="007260A1" w:rsidRPr="004F2763">
              <w:t>674(1) (Persons required to pay AEMO an amount must pay interest on any unpaid monies at the default interest rate)</w:t>
            </w:r>
          </w:p>
        </w:tc>
        <w:tc>
          <w:tcPr>
            <w:tcW w:w="2268" w:type="dxa"/>
            <w:hideMark/>
          </w:tcPr>
          <w:p w14:paraId="15C56D73" w14:textId="77777777" w:rsidR="007260A1" w:rsidRDefault="007260A1" w:rsidP="005F7A9D">
            <w:pPr>
              <w:pStyle w:val="BodyText"/>
              <w:spacing w:before="20" w:after="20"/>
            </w:pPr>
            <w:r>
              <w:t>Civil penalty and conduct provisions</w:t>
            </w:r>
          </w:p>
        </w:tc>
      </w:tr>
      <w:tr w:rsidR="007260A1" w14:paraId="4473F81D" w14:textId="77777777" w:rsidTr="002F7585">
        <w:tc>
          <w:tcPr>
            <w:tcW w:w="13753" w:type="dxa"/>
            <w:gridSpan w:val="2"/>
            <w:shd w:val="clear" w:color="auto" w:fill="65697F" w:themeFill="background2" w:themeFillShade="80"/>
          </w:tcPr>
          <w:p w14:paraId="12CC58B6" w14:textId="77777777" w:rsidR="007260A1" w:rsidRPr="004F2763" w:rsidRDefault="007260A1" w:rsidP="005F7A9D">
            <w:pPr>
              <w:pStyle w:val="BodyText"/>
              <w:spacing w:before="20" w:after="20"/>
              <w:jc w:val="center"/>
              <w:rPr>
                <w:b/>
                <w:color w:val="FFFFFF" w:themeColor="background1"/>
              </w:rPr>
            </w:pPr>
            <w:r w:rsidRPr="004F2763">
              <w:rPr>
                <w:b/>
                <w:color w:val="FFFFFF" w:themeColor="background1"/>
              </w:rPr>
              <w:t>Part 26 of the NGR</w:t>
            </w:r>
          </w:p>
        </w:tc>
      </w:tr>
      <w:tr w:rsidR="007260A1" w14:paraId="2066F536"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30023AA4" w14:textId="77777777" w:rsidR="007260A1" w:rsidRPr="004F2763" w:rsidRDefault="00103CAD" w:rsidP="005F7A9D">
            <w:pPr>
              <w:pStyle w:val="BodyText"/>
              <w:spacing w:before="20" w:after="20"/>
            </w:pPr>
            <w:r w:rsidRPr="004F2763">
              <w:t xml:space="preserve">Rule </w:t>
            </w:r>
            <w:r w:rsidR="0064375C" w:rsidRPr="004F2763">
              <w:t>67</w:t>
            </w:r>
            <w:r w:rsidR="0064375C">
              <w:t>8</w:t>
            </w:r>
            <w:r w:rsidR="007260A1" w:rsidRPr="004F2763">
              <w:t>(3) (A facility operator for a natural gas facility must implement the standard gas day)</w:t>
            </w:r>
          </w:p>
        </w:tc>
        <w:tc>
          <w:tcPr>
            <w:tcW w:w="2268" w:type="dxa"/>
            <w:hideMark/>
          </w:tcPr>
          <w:p w14:paraId="609071B4" w14:textId="77777777" w:rsidR="007260A1" w:rsidRDefault="007260A1" w:rsidP="005F7A9D">
            <w:pPr>
              <w:pStyle w:val="BodyText"/>
              <w:spacing w:before="20" w:after="20"/>
            </w:pPr>
            <w:r>
              <w:t>Civil penalty</w:t>
            </w:r>
          </w:p>
        </w:tc>
      </w:tr>
      <w:tr w:rsidR="007260A1" w14:paraId="07766D88" w14:textId="77777777" w:rsidTr="002F7585">
        <w:tc>
          <w:tcPr>
            <w:tcW w:w="11482" w:type="dxa"/>
            <w:hideMark/>
          </w:tcPr>
          <w:p w14:paraId="28D9E4E5" w14:textId="77777777" w:rsidR="007260A1" w:rsidRPr="004F2763" w:rsidRDefault="00103CAD" w:rsidP="005F7A9D">
            <w:pPr>
              <w:pStyle w:val="BodyText"/>
              <w:spacing w:before="20" w:after="20"/>
            </w:pPr>
            <w:r w:rsidRPr="004F2763">
              <w:t xml:space="preserve">Rule </w:t>
            </w:r>
            <w:r w:rsidR="0064375C" w:rsidRPr="004F2763">
              <w:t>67</w:t>
            </w:r>
            <w:r w:rsidR="0064375C">
              <w:t>8</w:t>
            </w:r>
            <w:r w:rsidR="007260A1" w:rsidRPr="004F2763">
              <w:t>(4) (A Part 24 facility operator must implement the standard nomination cut-off time)</w:t>
            </w:r>
          </w:p>
        </w:tc>
        <w:tc>
          <w:tcPr>
            <w:tcW w:w="2268" w:type="dxa"/>
            <w:hideMark/>
          </w:tcPr>
          <w:p w14:paraId="4A2EFB95" w14:textId="77777777" w:rsidR="007260A1" w:rsidRDefault="007260A1" w:rsidP="005F7A9D">
            <w:pPr>
              <w:pStyle w:val="BodyText"/>
              <w:spacing w:before="20" w:after="20"/>
            </w:pPr>
            <w:r>
              <w:t>Civil penalty</w:t>
            </w:r>
          </w:p>
        </w:tc>
      </w:tr>
      <w:tr w:rsidR="007260A1" w14:paraId="0D680942" w14:textId="77777777" w:rsidTr="002F7585">
        <w:trPr>
          <w:cnfStyle w:val="000000010000" w:firstRow="0" w:lastRow="0" w:firstColumn="0" w:lastColumn="0" w:oddVBand="0" w:evenVBand="0" w:oddHBand="0" w:evenHBand="1" w:firstRowFirstColumn="0" w:firstRowLastColumn="0" w:lastRowFirstColumn="0" w:lastRowLastColumn="0"/>
        </w:trPr>
        <w:tc>
          <w:tcPr>
            <w:tcW w:w="11482" w:type="dxa"/>
            <w:hideMark/>
          </w:tcPr>
          <w:p w14:paraId="6554AB2F" w14:textId="77777777" w:rsidR="007260A1" w:rsidRPr="004F2763" w:rsidRDefault="00103CAD" w:rsidP="005F7A9D">
            <w:pPr>
              <w:pStyle w:val="BodyText"/>
              <w:spacing w:before="20" w:after="20"/>
            </w:pPr>
            <w:r w:rsidRPr="004F2763">
              <w:t xml:space="preserve">Rule </w:t>
            </w:r>
            <w:r w:rsidR="0064375C" w:rsidRPr="004F2763">
              <w:t>67</w:t>
            </w:r>
            <w:r w:rsidR="0064375C">
              <w:t>8</w:t>
            </w:r>
            <w:r w:rsidR="007260A1" w:rsidRPr="004F2763">
              <w:t>(6)</w:t>
            </w:r>
            <w:r w:rsidR="00051A1F">
              <w:t xml:space="preserve"> </w:t>
            </w:r>
            <w:r w:rsidR="007260A1" w:rsidRPr="004F2763">
              <w:t xml:space="preserve">(A facility operator for a natural gas facility must ensure the equipment used for the measurement and recording of quantities does so for the standard gas day) </w:t>
            </w:r>
          </w:p>
        </w:tc>
        <w:tc>
          <w:tcPr>
            <w:tcW w:w="2268" w:type="dxa"/>
            <w:hideMark/>
          </w:tcPr>
          <w:p w14:paraId="7C380D6D" w14:textId="77777777" w:rsidR="007260A1" w:rsidRDefault="007260A1" w:rsidP="005F7A9D">
            <w:pPr>
              <w:pStyle w:val="BodyText"/>
              <w:spacing w:before="20" w:after="20"/>
            </w:pPr>
            <w:r>
              <w:t xml:space="preserve">Civil penalty </w:t>
            </w:r>
          </w:p>
        </w:tc>
      </w:tr>
    </w:tbl>
    <w:p w14:paraId="6B37E9CA" w14:textId="77777777" w:rsidR="00B57711" w:rsidRDefault="00B57711" w:rsidP="006E75F9">
      <w:pPr>
        <w:spacing w:line="240" w:lineRule="auto"/>
        <w:rPr>
          <w:rStyle w:val="BodyTextChar"/>
          <w:sz w:val="2"/>
          <w:szCs w:val="2"/>
        </w:rPr>
      </w:pPr>
      <w:bookmarkStart w:id="137" w:name="Here"/>
      <w:bookmarkEnd w:id="137"/>
    </w:p>
    <w:sectPr w:rsidR="00B57711" w:rsidSect="002F7585">
      <w:pgSz w:w="16839" w:h="11907" w:orient="landscape" w:code="9"/>
      <w:pgMar w:top="1361" w:right="1417" w:bottom="709" w:left="1701" w:header="567" w:footer="27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2B231C" w14:textId="77777777" w:rsidR="00F163DB" w:rsidRDefault="00F163DB" w:rsidP="00256624">
      <w:r>
        <w:separator/>
      </w:r>
    </w:p>
    <w:p w14:paraId="5AEEDC69" w14:textId="77777777" w:rsidR="00F163DB" w:rsidRDefault="00F163DB"/>
  </w:endnote>
  <w:endnote w:type="continuationSeparator" w:id="0">
    <w:p w14:paraId="16C01A2B" w14:textId="77777777" w:rsidR="00F163DB" w:rsidRDefault="00F163DB" w:rsidP="00256624">
      <w:r>
        <w:continuationSeparator/>
      </w:r>
    </w:p>
    <w:p w14:paraId="62B89765" w14:textId="77777777" w:rsidR="00F163DB" w:rsidRDefault="00F163DB"/>
  </w:endnote>
  <w:endnote w:type="continuationNotice" w:id="1">
    <w:p w14:paraId="12114C12" w14:textId="77777777" w:rsidR="00F163DB" w:rsidRDefault="00F163D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otham 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Myriad Pro">
    <w:altName w:val="Segoe UI"/>
    <w:panose1 w:val="00000000000000000000"/>
    <w:charset w:val="00"/>
    <w:family w:val="swiss"/>
    <w:notTrueType/>
    <w:pitch w:val="variable"/>
    <w:sig w:usb0="A00002AF" w:usb1="50002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C65A36" w14:textId="77777777" w:rsidR="00F163DB" w:rsidRDefault="00F163DB">
    <w:pPr>
      <w:pStyle w:val="Footer"/>
    </w:pPr>
    <w:bookmarkStart w:id="5" w:name="_Hlk491874953"/>
    <w:bookmarkStart w:id="6" w:name="_Hlk491874954"/>
    <w:bookmarkStart w:id="7" w:name="_Hlk491874955"/>
    <w:bookmarkStart w:id="8" w:name="_Hlk492057950"/>
    <w:bookmarkStart w:id="9" w:name="_Hlk492057951"/>
    <w:bookmarkStart w:id="10" w:name="_Hlk492057952"/>
    <w:bookmarkStart w:id="11" w:name="_Hlk492112249"/>
    <w:bookmarkStart w:id="12" w:name="_Hlk492112250"/>
    <w:bookmarkStart w:id="13" w:name="_Hlk492112251"/>
    <w:bookmarkStart w:id="14" w:name="_Hlk508461632"/>
    <w:bookmarkStart w:id="15" w:name="_Hlk508461633"/>
    <w:bookmarkStart w:id="16" w:name="_Hlk508797780"/>
    <w:bookmarkStart w:id="17" w:name="_Hlk508797781"/>
    <w:bookmarkEnd w:id="5"/>
    <w:bookmarkEnd w:id="6"/>
    <w:bookmarkEnd w:id="7"/>
    <w:bookmarkEnd w:id="8"/>
    <w:bookmarkEnd w:id="9"/>
    <w:bookmarkEnd w:id="10"/>
    <w:bookmarkEnd w:id="11"/>
    <w:bookmarkEnd w:id="12"/>
    <w:bookmarkEnd w:id="13"/>
    <w:bookmarkEnd w:id="14"/>
    <w:bookmarkEnd w:id="15"/>
    <w:bookmarkEnd w:id="16"/>
    <w:bookmarkEnd w:id="17"/>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4C9753" w14:textId="77777777" w:rsidR="00F163DB" w:rsidRDefault="00F163DB" w:rsidP="007E3DBD">
    <w:pPr>
      <w:pStyle w:val="Footer"/>
      <w:pBdr>
        <w:top w:val="single" w:sz="4" w:space="0" w:color="0099CC"/>
      </w:pBdr>
      <w:spacing w:before="240" w:line="80" w:lineRule="exact"/>
    </w:pPr>
  </w:p>
  <w:p w14:paraId="6E561867" w14:textId="77777777" w:rsidR="00F163DB" w:rsidRDefault="00F163DB" w:rsidP="00EF6187">
    <w:pPr>
      <w:pStyle w:val="Footer"/>
    </w:pPr>
    <w:r>
      <w:fldChar w:fldCharType="begin"/>
    </w:r>
    <w:r>
      <w:instrText xml:space="preserve"> PAGE   \* MERGEFORMAT </w:instrText>
    </w:r>
    <w:r>
      <w:fldChar w:fldCharType="separate"/>
    </w:r>
    <w:r w:rsidR="003B3634">
      <w:rPr>
        <w:noProof/>
      </w:rPr>
      <w:t>27</w:t>
    </w:r>
    <w:r>
      <w:rPr>
        <w:noProof/>
      </w:rPr>
      <w:fldChar w:fldCharType="end"/>
    </w:r>
  </w:p>
  <w:p w14:paraId="77F30BAB" w14:textId="77777777" w:rsidR="00F163DB" w:rsidRDefault="00F163DB" w:rsidP="00EF6187"/>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DDE2A" w14:textId="77777777" w:rsidR="00F163DB" w:rsidRDefault="00F163DB" w:rsidP="007E3DBD">
    <w:pPr>
      <w:pStyle w:val="Footer"/>
      <w:pBdr>
        <w:top w:val="single" w:sz="4" w:space="0" w:color="0099CC"/>
      </w:pBdr>
      <w:spacing w:before="240" w:line="80" w:lineRule="exact"/>
    </w:pPr>
  </w:p>
  <w:p w14:paraId="5B30EA0A" w14:textId="77777777" w:rsidR="00F163DB" w:rsidRDefault="00F163DB" w:rsidP="00EF6187">
    <w:pPr>
      <w:pStyle w:val="Footer"/>
    </w:pPr>
    <w:r>
      <w:fldChar w:fldCharType="begin"/>
    </w:r>
    <w:r>
      <w:instrText xml:space="preserve"> PAGE   \* MERGEFORMAT </w:instrText>
    </w:r>
    <w:r>
      <w:fldChar w:fldCharType="separate"/>
    </w:r>
    <w:r w:rsidR="003B3634">
      <w:rPr>
        <w:noProof/>
      </w:rPr>
      <w:t>33</w:t>
    </w:r>
    <w:r>
      <w:rPr>
        <w:noProof/>
      </w:rPr>
      <w:fldChar w:fldCharType="end"/>
    </w:r>
  </w:p>
  <w:p w14:paraId="7E8F7A57" w14:textId="77777777" w:rsidR="00F163DB" w:rsidRDefault="00F163DB" w:rsidP="00EF6187"/>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851EFC" w14:textId="77777777" w:rsidR="00F163DB" w:rsidRDefault="00F163DB" w:rsidP="00852D52">
    <w:pPr>
      <w:pStyle w:val="Footer"/>
      <w:pBdr>
        <w:top w:val="single" w:sz="4" w:space="1" w:color="0099CC"/>
      </w:pBdr>
      <w:spacing w:before="240" w:line="80" w:lineRule="exact"/>
    </w:pPr>
  </w:p>
  <w:p w14:paraId="2E02603F" w14:textId="77777777" w:rsidR="00F163DB" w:rsidRDefault="00F163DB" w:rsidP="004B3D51">
    <w:pPr>
      <w:pStyle w:val="Footer"/>
    </w:pPr>
    <w:r>
      <w:fldChar w:fldCharType="begin"/>
    </w:r>
    <w:r>
      <w:instrText xml:space="preserve"> PAGE   \* MERGEFORMAT </w:instrText>
    </w:r>
    <w:r>
      <w:fldChar w:fldCharType="separate"/>
    </w:r>
    <w:r w:rsidR="003B3634">
      <w:rPr>
        <w:noProof/>
      </w:rPr>
      <w:t>47</w:t>
    </w:r>
    <w:r>
      <w:rPr>
        <w:noProof/>
      </w:rPr>
      <w:fldChar w:fldCharType="end"/>
    </w:r>
  </w:p>
  <w:p w14:paraId="2C331B4B" w14:textId="77777777" w:rsidR="00F163DB" w:rsidRDefault="00F163DB"/>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A93570" w14:textId="77777777" w:rsidR="00F163DB" w:rsidRDefault="00F163DB" w:rsidP="00852D52">
    <w:pPr>
      <w:pStyle w:val="Footer"/>
      <w:pBdr>
        <w:top w:val="single" w:sz="4" w:space="1" w:color="0099CC"/>
      </w:pBdr>
      <w:spacing w:before="240" w:line="80" w:lineRule="exact"/>
    </w:pPr>
  </w:p>
  <w:p w14:paraId="7473D776" w14:textId="77777777" w:rsidR="00F163DB" w:rsidRDefault="00F163DB" w:rsidP="00436621">
    <w:pPr>
      <w:pStyle w:val="Footer"/>
    </w:pPr>
    <w:r>
      <w:fldChar w:fldCharType="begin"/>
    </w:r>
    <w:r>
      <w:instrText xml:space="preserve"> PAGE   \* MERGEFORMAT </w:instrText>
    </w:r>
    <w:r>
      <w:fldChar w:fldCharType="separate"/>
    </w:r>
    <w:r w:rsidR="003B3634">
      <w:rPr>
        <w:noProof/>
      </w:rPr>
      <w:t>49</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D448C" w14:textId="77777777" w:rsidR="00F163DB" w:rsidRDefault="00F163DB" w:rsidP="00852D52">
    <w:pPr>
      <w:pStyle w:val="Footer"/>
      <w:pBdr>
        <w:top w:val="single" w:sz="4" w:space="1" w:color="0099CC"/>
      </w:pBdr>
      <w:spacing w:before="240" w:line="80" w:lineRule="exact"/>
    </w:pPr>
  </w:p>
  <w:p w14:paraId="6F7B9476" w14:textId="77777777" w:rsidR="00F163DB" w:rsidRDefault="00F163DB" w:rsidP="004B3D51">
    <w:pPr>
      <w:pStyle w:val="Footer"/>
    </w:pPr>
    <w:r>
      <w:fldChar w:fldCharType="begin"/>
    </w:r>
    <w:r>
      <w:instrText xml:space="preserve"> PAGE   \* MERGEFORMAT </w:instrText>
    </w:r>
    <w:r>
      <w:fldChar w:fldCharType="separate"/>
    </w:r>
    <w:r w:rsidR="003B3634">
      <w:rPr>
        <w:noProof/>
      </w:rPr>
      <w:t>60</w:t>
    </w:r>
    <w:r>
      <w:rPr>
        <w:noProof/>
      </w:rPr>
      <w:fldChar w:fldCharType="end"/>
    </w:r>
  </w:p>
  <w:p w14:paraId="72FB5864" w14:textId="77777777" w:rsidR="00F163DB" w:rsidRDefault="00F163D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A13505" w14:textId="77777777" w:rsidR="00F163DB" w:rsidRDefault="00F163DB">
    <w:pPr>
      <w:pStyle w:val="Footer"/>
    </w:pPr>
    <w:bookmarkStart w:id="18" w:name="_Hlk491874947"/>
    <w:bookmarkStart w:id="19" w:name="_Hlk491874948"/>
    <w:bookmarkStart w:id="20" w:name="_Hlk491874949"/>
    <w:bookmarkStart w:id="21" w:name="_Hlk492057944"/>
    <w:bookmarkStart w:id="22" w:name="_Hlk492057945"/>
    <w:bookmarkStart w:id="23" w:name="_Hlk492057946"/>
    <w:bookmarkStart w:id="24" w:name="_Hlk492112243"/>
    <w:bookmarkStart w:id="25" w:name="_Hlk492112244"/>
    <w:bookmarkStart w:id="26" w:name="_Hlk492112245"/>
    <w:bookmarkStart w:id="27" w:name="_Hlk508461628"/>
    <w:bookmarkStart w:id="28" w:name="_Hlk508461629"/>
    <w:bookmarkStart w:id="29" w:name="_Hlk508797771"/>
    <w:bookmarkStart w:id="30" w:name="_Hlk508797772"/>
    <w:bookmarkEnd w:id="18"/>
    <w:bookmarkEnd w:id="19"/>
    <w:bookmarkEnd w:id="20"/>
    <w:bookmarkEnd w:id="21"/>
    <w:bookmarkEnd w:id="22"/>
    <w:bookmarkEnd w:id="23"/>
    <w:bookmarkEnd w:id="24"/>
    <w:bookmarkEnd w:id="25"/>
    <w:bookmarkEnd w:id="26"/>
    <w:bookmarkEnd w:id="27"/>
    <w:bookmarkEnd w:id="28"/>
    <w:bookmarkEnd w:id="29"/>
    <w:bookmarkEnd w:id="3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9C998" w14:textId="77777777" w:rsidR="00F163DB" w:rsidRDefault="00F163DB" w:rsidP="003D512C">
    <w:pPr>
      <w:pStyle w:val="Footer"/>
      <w:pBdr>
        <w:top w:val="single" w:sz="4" w:space="1" w:color="0099CC"/>
      </w:pBdr>
      <w:spacing w:line="80" w:lineRule="exact"/>
    </w:pPr>
  </w:p>
  <w:p w14:paraId="60379A24" w14:textId="77777777" w:rsidR="00F163DB" w:rsidRPr="003B6692" w:rsidRDefault="00F163DB" w:rsidP="003D512C">
    <w:pPr>
      <w:pStyle w:val="Footer"/>
    </w:pPr>
    <w:r>
      <w:fldChar w:fldCharType="begin"/>
    </w:r>
    <w:r>
      <w:instrText xml:space="preserve"> PAGE   \* MERGEFORMAT </w:instrText>
    </w:r>
    <w:r>
      <w:fldChar w:fldCharType="separate"/>
    </w:r>
    <w:r w:rsidR="003B3634">
      <w:rPr>
        <w:noProof/>
      </w:rPr>
      <w:t>i</w:t>
    </w:r>
    <w:r>
      <w:rPr>
        <w:noProof/>
      </w:rPr>
      <w:fldChar w:fldCharType="end"/>
    </w:r>
  </w:p>
  <w:p w14:paraId="502153AF" w14:textId="77777777" w:rsidR="00F163DB" w:rsidRDefault="00F163D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661A7" w14:textId="77777777" w:rsidR="00F163DB" w:rsidRDefault="00F163DB" w:rsidP="003D512C">
    <w:pPr>
      <w:pStyle w:val="Footer"/>
      <w:pBdr>
        <w:top w:val="single" w:sz="4" w:space="1" w:color="0099CC"/>
      </w:pBdr>
      <w:spacing w:line="80" w:lineRule="exact"/>
    </w:pPr>
  </w:p>
  <w:p w14:paraId="250D2647" w14:textId="77777777" w:rsidR="00F163DB" w:rsidRPr="003B6692" w:rsidRDefault="00F163DB" w:rsidP="003B6692">
    <w:pPr>
      <w:pStyle w:val="Footer"/>
    </w:pPr>
    <w:r>
      <w:fldChar w:fldCharType="begin"/>
    </w:r>
    <w:r>
      <w:instrText xml:space="preserve"> PAGE   \* MERGEFORMAT </w:instrText>
    </w:r>
    <w:r>
      <w:fldChar w:fldCharType="separate"/>
    </w:r>
    <w:r w:rsidR="003B3634">
      <w:rPr>
        <w:noProof/>
      </w:rPr>
      <w:t>ii</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AB2201" w14:textId="77777777" w:rsidR="00F163DB" w:rsidRDefault="00F163DB" w:rsidP="00852D52">
    <w:pPr>
      <w:pStyle w:val="Footer"/>
      <w:pBdr>
        <w:top w:val="single" w:sz="4" w:space="1" w:color="0099CC"/>
      </w:pBdr>
      <w:spacing w:before="240" w:line="80" w:lineRule="exact"/>
    </w:pPr>
  </w:p>
  <w:p w14:paraId="73445268" w14:textId="77777777" w:rsidR="00F163DB" w:rsidRDefault="00F163DB" w:rsidP="004B3D51">
    <w:pPr>
      <w:pStyle w:val="Footer"/>
    </w:pPr>
    <w:r>
      <w:fldChar w:fldCharType="begin"/>
    </w:r>
    <w:r>
      <w:instrText xml:space="preserve"> PAGE   \* MERGEFORMAT </w:instrText>
    </w:r>
    <w:r>
      <w:fldChar w:fldCharType="separate"/>
    </w:r>
    <w:r w:rsidR="003B3634">
      <w:rPr>
        <w:noProof/>
      </w:rPr>
      <w:t>11</w:t>
    </w:r>
    <w:r>
      <w:rPr>
        <w:noProof/>
      </w:rPr>
      <w:fldChar w:fldCharType="end"/>
    </w:r>
  </w:p>
  <w:p w14:paraId="1F1A5C04" w14:textId="77777777" w:rsidR="00F163DB" w:rsidRDefault="00F163D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47195B" w14:textId="77777777" w:rsidR="00F163DB" w:rsidRDefault="00F163DB" w:rsidP="00887CBF">
    <w:pPr>
      <w:pStyle w:val="Footer"/>
      <w:pBdr>
        <w:top w:val="single" w:sz="4" w:space="1" w:color="0099CC"/>
      </w:pBdr>
      <w:spacing w:line="80" w:lineRule="exact"/>
    </w:pPr>
  </w:p>
  <w:p w14:paraId="50A495DE" w14:textId="77777777" w:rsidR="00F163DB" w:rsidRDefault="00F163DB" w:rsidP="004B3D51">
    <w:pPr>
      <w:pStyle w:val="Footer"/>
      <w:rPr>
        <w:noProof/>
      </w:rPr>
    </w:pPr>
    <w:r>
      <w:fldChar w:fldCharType="begin"/>
    </w:r>
    <w:r>
      <w:instrText xml:space="preserve"> PAGE   \* MERGEFORMAT </w:instrText>
    </w:r>
    <w:r>
      <w:fldChar w:fldCharType="separate"/>
    </w:r>
    <w:r w:rsidR="003B3634">
      <w:rPr>
        <w:noProof/>
      </w:rPr>
      <w:t>19</w:t>
    </w:r>
    <w:r>
      <w:rPr>
        <w:noProof/>
      </w:rPr>
      <w:fldChar w:fldCharType="end"/>
    </w:r>
  </w:p>
  <w:p w14:paraId="55164F5F" w14:textId="77777777" w:rsidR="00F163DB" w:rsidRDefault="00F163DB" w:rsidP="004B3D5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4EC5A" w14:textId="77777777" w:rsidR="00F163DB" w:rsidRDefault="00F163DB" w:rsidP="00EF6187">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8A4AF5" w14:textId="77777777" w:rsidR="00F163DB" w:rsidRDefault="00F163DB" w:rsidP="007E3DBD">
    <w:pPr>
      <w:pStyle w:val="Footer"/>
      <w:pBdr>
        <w:top w:val="single" w:sz="4" w:space="0" w:color="0099CC"/>
      </w:pBdr>
      <w:spacing w:before="240" w:line="80" w:lineRule="exact"/>
    </w:pPr>
  </w:p>
  <w:p w14:paraId="556A81E7" w14:textId="77777777" w:rsidR="00F163DB" w:rsidRDefault="00F163DB" w:rsidP="00EF6187">
    <w:pPr>
      <w:pStyle w:val="Footer"/>
    </w:pPr>
    <w:r>
      <w:fldChar w:fldCharType="begin"/>
    </w:r>
    <w:r>
      <w:instrText xml:space="preserve"> PAGE   \* MERGEFORMAT </w:instrText>
    </w:r>
    <w:r>
      <w:fldChar w:fldCharType="separate"/>
    </w:r>
    <w:r w:rsidR="003B3634">
      <w:rPr>
        <w:noProof/>
      </w:rPr>
      <w:t>22</w:t>
    </w:r>
    <w:r>
      <w:rPr>
        <w:noProof/>
      </w:rPr>
      <w:fldChar w:fldCharType="end"/>
    </w:r>
  </w:p>
  <w:p w14:paraId="72066025" w14:textId="77777777" w:rsidR="00F163DB" w:rsidRDefault="00F163DB" w:rsidP="00EF6187"/>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E922D2" w14:textId="77777777" w:rsidR="00F163DB" w:rsidRDefault="00F163DB" w:rsidP="00EF61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36745D" w14:textId="77777777" w:rsidR="00F163DB" w:rsidRPr="0022372B" w:rsidRDefault="00F163DB"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Separator" w:id="0">
    <w:p w14:paraId="1B984632" w14:textId="77777777" w:rsidR="00F163DB" w:rsidRPr="0022372B" w:rsidRDefault="00F163DB"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14:paraId="409F4C85" w14:textId="77777777" w:rsidR="00F163DB" w:rsidRPr="00A176B6" w:rsidRDefault="00F163DB" w:rsidP="00A176B6">
      <w:pPr>
        <w:spacing w:line="160" w:lineRule="exact"/>
        <w:rPr>
          <w:sz w:val="16"/>
          <w:szCs w:val="16"/>
        </w:rPr>
      </w:pPr>
    </w:p>
  </w:footnote>
  <w:footnote w:id="2">
    <w:p w14:paraId="3E29E50F" w14:textId="77777777" w:rsidR="00F163DB" w:rsidRDefault="00F163DB" w:rsidP="00CF729D">
      <w:pPr>
        <w:pStyle w:val="FootnoteText"/>
      </w:pPr>
      <w:r>
        <w:rPr>
          <w:rStyle w:val="FootnoteReference"/>
        </w:rPr>
        <w:footnoteRef/>
      </w:r>
      <w:r>
        <w:t xml:space="preserve"> </w:t>
      </w:r>
      <w:r>
        <w:tab/>
        <w:t>COAG Energy Council, Bulletin Two: Gas Market Reform Package, August 2016.</w:t>
      </w:r>
    </w:p>
  </w:footnote>
  <w:footnote w:id="3">
    <w:p w14:paraId="68453E5F" w14:textId="77777777" w:rsidR="00F163DB" w:rsidRPr="00C80910" w:rsidRDefault="00F163DB" w:rsidP="00CF729D">
      <w:pPr>
        <w:pStyle w:val="FootnoteText"/>
      </w:pPr>
      <w:r w:rsidRPr="00C80910">
        <w:rPr>
          <w:rStyle w:val="FootnoteReference"/>
          <w:rFonts w:asciiTheme="majorHAnsi" w:hAnsiTheme="majorHAnsi" w:cstheme="majorHAnsi"/>
          <w:szCs w:val="16"/>
        </w:rPr>
        <w:footnoteRef/>
      </w:r>
      <w:r w:rsidRPr="00C80910">
        <w:rPr>
          <w:szCs w:val="16"/>
        </w:rPr>
        <w:t xml:space="preserve"> </w:t>
      </w:r>
      <w:r>
        <w:rPr>
          <w:szCs w:val="16"/>
        </w:rPr>
        <w:tab/>
      </w:r>
      <w:r w:rsidRPr="00C80910">
        <w:rPr>
          <w:szCs w:val="16"/>
        </w:rPr>
        <w:t>T</w:t>
      </w:r>
      <w:r w:rsidRPr="00C80910">
        <w:t xml:space="preserve">here are currently two different models used to allocate and manage pipeline capacity in Australia: </w:t>
      </w:r>
    </w:p>
    <w:p w14:paraId="4376BF1E" w14:textId="77777777" w:rsidR="00F163DB" w:rsidRPr="00157E32" w:rsidRDefault="00F163DB" w:rsidP="00CF729D">
      <w:pPr>
        <w:pStyle w:val="ListBullet"/>
        <w:spacing w:before="60" w:after="60" w:line="240" w:lineRule="auto"/>
        <w:ind w:left="714"/>
        <w:rPr>
          <w:sz w:val="16"/>
          <w:szCs w:val="16"/>
        </w:rPr>
      </w:pPr>
      <w:r w:rsidRPr="00157E32">
        <w:rPr>
          <w:sz w:val="16"/>
          <w:szCs w:val="16"/>
        </w:rPr>
        <w:t xml:space="preserve">the market carriage model, which provides open access to the Victorian </w:t>
      </w:r>
      <w:r>
        <w:rPr>
          <w:sz w:val="16"/>
          <w:szCs w:val="16"/>
        </w:rPr>
        <w:t xml:space="preserve">DTS </w:t>
      </w:r>
      <w:r w:rsidRPr="00157E32">
        <w:rPr>
          <w:sz w:val="16"/>
          <w:szCs w:val="16"/>
        </w:rPr>
        <w:t xml:space="preserve">and uses outcomes from the operation of the Declared Wholesale Gas Market (DWGM) to allocate pipeline capacity; and </w:t>
      </w:r>
    </w:p>
    <w:p w14:paraId="3D8EBE5C" w14:textId="77777777" w:rsidR="00F163DB" w:rsidRDefault="00F163DB" w:rsidP="00CF729D">
      <w:pPr>
        <w:pStyle w:val="ListBullet"/>
        <w:spacing w:before="60" w:after="60" w:line="240" w:lineRule="auto"/>
        <w:ind w:left="714"/>
      </w:pPr>
      <w:r w:rsidRPr="00157E32">
        <w:rPr>
          <w:sz w:val="16"/>
          <w:szCs w:val="16"/>
        </w:rPr>
        <w:t>the contract carriage model, which is in use on all other pipelines and relies on bilateral contracts between the pipeline operator and shippers to allocate pipeline capacity.</w:t>
      </w:r>
    </w:p>
  </w:footnote>
  <w:footnote w:id="4">
    <w:p w14:paraId="2829AECF" w14:textId="77777777" w:rsidR="00F163DB" w:rsidRDefault="00F163DB" w:rsidP="00CF729D">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w:t>
      </w:r>
      <w:r>
        <w:t>9 and 73</w:t>
      </w:r>
      <w:r w:rsidRPr="00636AC6">
        <w:t>.</w:t>
      </w:r>
    </w:p>
  </w:footnote>
  <w:footnote w:id="5">
    <w:p w14:paraId="6223F771" w14:textId="77777777" w:rsidR="00F163DB" w:rsidRDefault="00F163DB" w:rsidP="00CF729D">
      <w:pPr>
        <w:pStyle w:val="FootnoteText"/>
      </w:pPr>
      <w:r>
        <w:rPr>
          <w:rStyle w:val="FootnoteReference"/>
        </w:rPr>
        <w:footnoteRef/>
      </w:r>
      <w:r>
        <w:t xml:space="preserve"> </w:t>
      </w:r>
      <w:r>
        <w:tab/>
        <w:t>GMRG, Final Recommendations on the Operations and Administration of the Transportation Capacity Trading Platform and Day-Ahead Action, June 2017.</w:t>
      </w:r>
    </w:p>
    <w:p w14:paraId="18D88564" w14:textId="77777777" w:rsidR="00F163DB" w:rsidRDefault="00F163DB" w:rsidP="00CF729D">
      <w:pPr>
        <w:pStyle w:val="FootnoteText"/>
      </w:pPr>
      <w:r>
        <w:tab/>
      </w:r>
      <w:r w:rsidRPr="007260A1">
        <w:t>http://gmrg.coagenergycouncil.gov.au/publications/gmrg-recommendation-on-who-should-operate-capacity-trading-platform-auction</w:t>
      </w:r>
    </w:p>
  </w:footnote>
  <w:footnote w:id="6">
    <w:p w14:paraId="458210EA" w14:textId="77777777" w:rsidR="00F163DB" w:rsidRDefault="00F163DB" w:rsidP="00CF729D">
      <w:pPr>
        <w:pStyle w:val="FootnoteText"/>
      </w:pPr>
      <w:r>
        <w:rPr>
          <w:rStyle w:val="FootnoteReference"/>
        </w:rPr>
        <w:footnoteRef/>
      </w:r>
      <w:r>
        <w:t xml:space="preserve"> </w:t>
      </w:r>
      <w:r>
        <w:tab/>
        <w:t xml:space="preserve">GMRG, </w:t>
      </w:r>
      <w:r w:rsidRPr="008B3646">
        <w:t>Final Recommendations on the Capacity Trading Reform Package (Standardisation, capacity trading platform and reporting framework for secondary trades)</w:t>
      </w:r>
      <w:r>
        <w:t xml:space="preserve">, </w:t>
      </w:r>
      <w:r w:rsidRPr="00A83BA2">
        <w:t>November 2017</w:t>
      </w:r>
      <w:r>
        <w:t>.</w:t>
      </w:r>
    </w:p>
    <w:p w14:paraId="29CFB4B4" w14:textId="77777777" w:rsidR="00F163DB" w:rsidRDefault="00F163DB" w:rsidP="00CF729D">
      <w:pPr>
        <w:pStyle w:val="FootnoteText"/>
      </w:pPr>
      <w:r>
        <w:tab/>
      </w:r>
      <w:r w:rsidRPr="007260A1">
        <w:t>http://gmrg.coagenergycouncil.gov.au/publications/design-standardisation-reforms-capacity-trading-platform-and-reporting-framework-final</w:t>
      </w:r>
    </w:p>
  </w:footnote>
  <w:footnote w:id="7">
    <w:p w14:paraId="2054331C" w14:textId="77777777" w:rsidR="00F163DB" w:rsidRDefault="00F163DB" w:rsidP="00CF729D">
      <w:pPr>
        <w:pStyle w:val="FootnoteText"/>
      </w:pPr>
      <w:r>
        <w:rPr>
          <w:rStyle w:val="FootnoteReference"/>
        </w:rPr>
        <w:footnoteRef/>
      </w:r>
      <w:r>
        <w:t xml:space="preserve"> </w:t>
      </w:r>
      <w:r>
        <w:tab/>
        <w:t xml:space="preserve">GMRG, </w:t>
      </w:r>
      <w:r w:rsidRPr="008B3646">
        <w:t>Final Recommendations on the Design of the Day-Ahead Auction of Contracted but Un-Nominated Capacity</w:t>
      </w:r>
      <w:r>
        <w:t>, December 2017.</w:t>
      </w:r>
    </w:p>
    <w:p w14:paraId="59398B38" w14:textId="77777777" w:rsidR="00F163DB" w:rsidRDefault="00F163DB" w:rsidP="00CF729D">
      <w:pPr>
        <w:pStyle w:val="FootnoteText"/>
      </w:pPr>
      <w:r>
        <w:tab/>
      </w:r>
      <w:r w:rsidRPr="007260A1">
        <w:t>http://gmrg.coagenergycouncil.gov.au/publications/design-day-ahead-auction-contracted-un-nominated-capacity-final-recommendations</w:t>
      </w:r>
    </w:p>
  </w:footnote>
  <w:footnote w:id="8">
    <w:p w14:paraId="0F9EB937" w14:textId="77777777" w:rsidR="00F163DB" w:rsidRDefault="00F163DB" w:rsidP="00CF729D">
      <w:pPr>
        <w:pStyle w:val="FootnoteText"/>
      </w:pPr>
      <w:r>
        <w:rPr>
          <w:rStyle w:val="FootnoteReference"/>
        </w:rPr>
        <w:footnoteRef/>
      </w:r>
      <w:r>
        <w:t xml:space="preserve"> </w:t>
      </w:r>
      <w:r>
        <w:tab/>
        <w:t>The Code is a new regulatory instrument that will set out the standard terms to be adopted by all service providers and the requirements for facility specific terms in standard operational agreements.</w:t>
      </w:r>
    </w:p>
  </w:footnote>
  <w:footnote w:id="9">
    <w:p w14:paraId="57342C99" w14:textId="77777777" w:rsidR="00F163DB" w:rsidRDefault="00F163DB" w:rsidP="00CF729D">
      <w:pPr>
        <w:pStyle w:val="FootnoteText"/>
      </w:pPr>
      <w:r>
        <w:rPr>
          <w:rStyle w:val="FootnoteReference"/>
        </w:rPr>
        <w:footnoteRef/>
      </w:r>
      <w:r>
        <w:t xml:space="preserve"> </w:t>
      </w:r>
      <w:r>
        <w:tab/>
        <w:t xml:space="preserve">GMRG, </w:t>
      </w:r>
      <w:r w:rsidRPr="008B3646">
        <w:t>Final Recommendations on the Capacity Trading Reform Package (Standardisation, capacity trading platform and reporting framework for secondary trades)</w:t>
      </w:r>
      <w:r>
        <w:t xml:space="preserve">, </w:t>
      </w:r>
      <w:r w:rsidRPr="00A83BA2">
        <w:t>November 2017</w:t>
      </w:r>
      <w:r>
        <w:t>.</w:t>
      </w:r>
      <w:r>
        <w:tab/>
      </w:r>
    </w:p>
  </w:footnote>
  <w:footnote w:id="10">
    <w:p w14:paraId="079FDD93" w14:textId="77777777" w:rsidR="00F163DB" w:rsidRDefault="00F163DB" w:rsidP="00CF729D">
      <w:pPr>
        <w:pStyle w:val="FootnoteText"/>
      </w:pPr>
      <w:r>
        <w:rPr>
          <w:rStyle w:val="FootnoteReference"/>
        </w:rPr>
        <w:footnoteRef/>
      </w:r>
      <w:r>
        <w:t xml:space="preserve"> </w:t>
      </w:r>
      <w:r>
        <w:tab/>
        <w:t xml:space="preserve">GMRG, </w:t>
      </w:r>
      <w:r w:rsidRPr="008B3646">
        <w:t>Final Recommendations on the Design of the Day-Ahead Auction of Contracted but Un-Nominated Capacity</w:t>
      </w:r>
      <w:r>
        <w:t>, December 2017.</w:t>
      </w:r>
      <w:r>
        <w:tab/>
      </w:r>
    </w:p>
  </w:footnote>
  <w:footnote w:id="11">
    <w:p w14:paraId="1B040AC6" w14:textId="77777777" w:rsidR="00F163DB" w:rsidRPr="00B76BEE" w:rsidRDefault="00F163DB" w:rsidP="00CF729D">
      <w:pPr>
        <w:pStyle w:val="FootnoteText"/>
        <w:rPr>
          <w:szCs w:val="16"/>
        </w:rPr>
      </w:pPr>
      <w:r w:rsidRPr="00B76BEE">
        <w:rPr>
          <w:rStyle w:val="FootnoteReference"/>
          <w:szCs w:val="16"/>
        </w:rPr>
        <w:footnoteRef/>
      </w:r>
      <w:r w:rsidRPr="00B76BEE">
        <w:rPr>
          <w:szCs w:val="16"/>
        </w:rPr>
        <w:t xml:space="preserve"> </w:t>
      </w:r>
      <w:r w:rsidRPr="00B76BEE">
        <w:rPr>
          <w:szCs w:val="16"/>
        </w:rPr>
        <w:tab/>
        <w:t xml:space="preserve">AEMC, Stage 2 Final Report: East Coast </w:t>
      </w:r>
      <w:r w:rsidRPr="00B76BEE">
        <w:rPr>
          <w:rFonts w:cs="Arial"/>
          <w:iCs/>
          <w:szCs w:val="16"/>
        </w:rPr>
        <w:t>Review, 23 May 2016,</w:t>
      </w:r>
      <w:r w:rsidRPr="00B76BEE">
        <w:rPr>
          <w:szCs w:val="16"/>
        </w:rPr>
        <w:t xml:space="preserve"> pp. 67, 73 and 83.</w:t>
      </w:r>
    </w:p>
  </w:footnote>
  <w:footnote w:id="12">
    <w:p w14:paraId="051E1484" w14:textId="77777777" w:rsidR="00F163DB" w:rsidRPr="00B76BEE" w:rsidRDefault="00F163DB" w:rsidP="00CF729D">
      <w:pPr>
        <w:pStyle w:val="FootnoteText"/>
        <w:rPr>
          <w:szCs w:val="16"/>
        </w:rPr>
      </w:pPr>
      <w:r w:rsidRPr="00B76BEE">
        <w:rPr>
          <w:rStyle w:val="FootnoteReference"/>
          <w:szCs w:val="16"/>
        </w:rPr>
        <w:footnoteRef/>
      </w:r>
      <w:r w:rsidRPr="00B76BEE">
        <w:rPr>
          <w:szCs w:val="16"/>
        </w:rPr>
        <w:t xml:space="preserve"> </w:t>
      </w:r>
      <w:r w:rsidRPr="00B76BEE">
        <w:rPr>
          <w:szCs w:val="16"/>
        </w:rPr>
        <w:tab/>
        <w:t xml:space="preserve">The secondary firm rights concept is required under the zonal model, because: </w:t>
      </w:r>
    </w:p>
    <w:p w14:paraId="6E05C379" w14:textId="77777777" w:rsidR="00F163DB" w:rsidRPr="00B76BEE" w:rsidRDefault="00F163DB" w:rsidP="00CF729D">
      <w:pPr>
        <w:pStyle w:val="ListBullet"/>
        <w:spacing w:before="60" w:after="60"/>
        <w:ind w:left="714"/>
        <w:rPr>
          <w:sz w:val="16"/>
          <w:szCs w:val="16"/>
        </w:rPr>
      </w:pPr>
      <w:r w:rsidRPr="00B76BEE">
        <w:rPr>
          <w:sz w:val="16"/>
          <w:szCs w:val="16"/>
        </w:rPr>
        <w:t xml:space="preserve">the capacity that is sold by the primary shipper may be released from a different receipt or delivery point in the zone to the receipt or delivery point the secondary shipper intends to use in that zone; and </w:t>
      </w:r>
    </w:p>
    <w:p w14:paraId="6E28E9A6" w14:textId="77777777" w:rsidR="00F163DB" w:rsidRPr="00B76BEE" w:rsidRDefault="00F163DB" w:rsidP="00CF729D">
      <w:pPr>
        <w:pStyle w:val="ListBullet"/>
        <w:spacing w:before="60" w:after="60"/>
        <w:ind w:left="714"/>
        <w:rPr>
          <w:sz w:val="16"/>
          <w:szCs w:val="16"/>
        </w:rPr>
      </w:pPr>
      <w:r w:rsidRPr="00B76BEE">
        <w:rPr>
          <w:sz w:val="16"/>
          <w:szCs w:val="16"/>
        </w:rPr>
        <w:t>the capacity of individual receipt and delivery points within a zone will usually be lower than the zonal capacity.</w:t>
      </w:r>
    </w:p>
    <w:p w14:paraId="32986657" w14:textId="77777777" w:rsidR="00F163DB" w:rsidRDefault="00F163DB" w:rsidP="00CF729D">
      <w:pPr>
        <w:pStyle w:val="FootnoteText"/>
      </w:pPr>
      <w:r>
        <w:tab/>
        <w:t>To deal with these limitations of the zonal model, while also recognising the firm rights that primary shippers have to use receipt and delivery points, the secondary firm rights concept allows secondary shippers to use any receipt or delivery points within a zone but their rights at those points are subordinate to primary shippers with firm rights at those points.</w:t>
      </w:r>
    </w:p>
  </w:footnote>
  <w:footnote w:id="13">
    <w:p w14:paraId="1B9AD3C7" w14:textId="77777777" w:rsidR="00F163DB" w:rsidRDefault="00F163DB" w:rsidP="00CF729D">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w:t>
      </w:r>
      <w:r>
        <w:t>9 and 73</w:t>
      </w:r>
      <w:r w:rsidRPr="00636AC6">
        <w:t>.</w:t>
      </w:r>
    </w:p>
  </w:footnote>
  <w:footnote w:id="14">
    <w:p w14:paraId="1DBB274D" w14:textId="77777777" w:rsidR="00F163DB" w:rsidRDefault="00F163DB" w:rsidP="00CF729D">
      <w:pPr>
        <w:pStyle w:val="FootnoteText"/>
      </w:pPr>
      <w:r>
        <w:rPr>
          <w:rStyle w:val="FootnoteReference"/>
        </w:rPr>
        <w:footnoteRef/>
      </w:r>
      <w:r>
        <w:t xml:space="preserve"> </w:t>
      </w:r>
      <w:r>
        <w:tab/>
        <w:t>Shippers will also be able to use other means to identify potential counterparties and enter into bilateral trades.</w:t>
      </w:r>
    </w:p>
  </w:footnote>
  <w:footnote w:id="15">
    <w:p w14:paraId="2FDF7CAE" w14:textId="77777777" w:rsidR="00F163DB" w:rsidRDefault="00F163DB" w:rsidP="00CF729D">
      <w:pPr>
        <w:pStyle w:val="FootnoteText"/>
      </w:pPr>
      <w:r>
        <w:rPr>
          <w:rStyle w:val="FootnoteReference"/>
        </w:rPr>
        <w:footnoteRef/>
      </w:r>
      <w:r>
        <w:t xml:space="preserve"> </w:t>
      </w:r>
      <w:r>
        <w:tab/>
        <w:t>GMRG, Final Recommendations on the Capacity Trading Reform Package (Standardisation, capacity trading platform and reporting framework for secondary trades), November 2017, pp. 43-46.</w:t>
      </w:r>
    </w:p>
  </w:footnote>
  <w:footnote w:id="16">
    <w:p w14:paraId="2BBEF288" w14:textId="77777777" w:rsidR="00F163DB" w:rsidRDefault="00F163DB" w:rsidP="00CF729D">
      <w:pPr>
        <w:pStyle w:val="FootnoteText"/>
      </w:pPr>
      <w:r>
        <w:rPr>
          <w:rStyle w:val="FootnoteReference"/>
        </w:rPr>
        <w:footnoteRef/>
      </w:r>
      <w:r>
        <w:t xml:space="preserve"> </w:t>
      </w:r>
      <w:r>
        <w:tab/>
        <w:t>GMRG, Final Recommendations on the Design of the Day-Ahead Auction of Contracted but Un-Nominated Capacity, December 2017, pp. 100-115.</w:t>
      </w:r>
    </w:p>
  </w:footnote>
  <w:footnote w:id="17">
    <w:p w14:paraId="576B24A5" w14:textId="77777777" w:rsidR="00F163DB" w:rsidRDefault="00F163DB" w:rsidP="00CF729D">
      <w:pPr>
        <w:pStyle w:val="FootnoteText"/>
      </w:pPr>
      <w:r>
        <w:rPr>
          <w:rStyle w:val="FootnoteReference"/>
        </w:rPr>
        <w:footnoteRef/>
      </w:r>
      <w:r>
        <w:t xml:space="preserve"> </w:t>
      </w:r>
      <w:r>
        <w:tab/>
        <w:t>Further support for this view can be found in the explanatory material that accompanied the original National Third Party Access Code for Natural Gas Pipeline Systems, which noted that the capacity trading provisions in an access arrangement must “comply with a number of principles designed to limit the ability of the Service Provider to restrict competition in the Secondary market by unreasonably limiting the resale of capacity”.</w:t>
      </w:r>
    </w:p>
  </w:footnote>
  <w:footnote w:id="18">
    <w:p w14:paraId="4469B498" w14:textId="77777777" w:rsidR="00F163DB" w:rsidRDefault="00F163DB" w:rsidP="00CF729D">
      <w:pPr>
        <w:pStyle w:val="FootnoteText"/>
      </w:pPr>
      <w:r>
        <w:rPr>
          <w:rStyle w:val="FootnoteReference"/>
        </w:rPr>
        <w:footnoteRef/>
      </w:r>
      <w:r>
        <w:t xml:space="preserve"> </w:t>
      </w:r>
      <w:r>
        <w:tab/>
        <w:t>GMRG, Final Recommendations on the Capacity Trading Reform Package (Standardisation, capacity trading platform and reporting framework for secondary trades), November 2017, p. 65.</w:t>
      </w:r>
    </w:p>
  </w:footnote>
  <w:footnote w:id="19">
    <w:p w14:paraId="2641FF37" w14:textId="77777777" w:rsidR="00F163DB" w:rsidRDefault="00F163DB" w:rsidP="00CF729D">
      <w:pPr>
        <w:pStyle w:val="FootnoteText"/>
      </w:pPr>
      <w:r>
        <w:rPr>
          <w:rStyle w:val="FootnoteReference"/>
        </w:rPr>
        <w:footnoteRef/>
      </w:r>
      <w:r>
        <w:t xml:space="preserve"> </w:t>
      </w:r>
      <w:r>
        <w:tab/>
        <w:t xml:space="preserve">GMRG, Final Recommendations on the Capacity Trading Reform Package (Standardisation, capacity trading platform and reporting framework for secondary trades), November 2017, p. 92. </w:t>
      </w:r>
    </w:p>
  </w:footnote>
  <w:footnote w:id="20">
    <w:p w14:paraId="4CE8AC35" w14:textId="77777777" w:rsidR="00F163DB" w:rsidRPr="00DD365F" w:rsidRDefault="00F163DB" w:rsidP="00CF729D">
      <w:pPr>
        <w:pStyle w:val="ListBullet"/>
        <w:numPr>
          <w:ilvl w:val="0"/>
          <w:numId w:val="0"/>
        </w:numPr>
        <w:spacing w:before="60" w:after="60"/>
        <w:ind w:left="357" w:hanging="357"/>
        <w:rPr>
          <w:sz w:val="16"/>
          <w:szCs w:val="16"/>
        </w:rPr>
      </w:pPr>
      <w:r w:rsidRPr="00DD365F">
        <w:rPr>
          <w:rStyle w:val="FootnoteReference"/>
          <w:sz w:val="16"/>
          <w:szCs w:val="16"/>
        </w:rPr>
        <w:footnoteRef/>
      </w:r>
      <w:r w:rsidRPr="00DD365F">
        <w:rPr>
          <w:sz w:val="16"/>
          <w:szCs w:val="16"/>
        </w:rPr>
        <w:t xml:space="preserve"> </w:t>
      </w:r>
      <w:r w:rsidRPr="00DD365F">
        <w:rPr>
          <w:sz w:val="16"/>
          <w:szCs w:val="16"/>
        </w:rPr>
        <w:tab/>
        <w:t xml:space="preserve">Changes to the NGL are also required to give </w:t>
      </w:r>
      <w:r w:rsidRPr="00DD365F">
        <w:rPr>
          <w:sz w:val="16"/>
          <w:szCs w:val="16"/>
          <w:lang w:eastAsia="fr-CA"/>
        </w:rPr>
        <w:t xml:space="preserve">the </w:t>
      </w:r>
      <w:r w:rsidRPr="00DD365F">
        <w:rPr>
          <w:sz w:val="16"/>
          <w:szCs w:val="16"/>
        </w:rPr>
        <w:t xml:space="preserve">South Australian Minister for Mineral Resources and Energy the power </w:t>
      </w:r>
      <w:r w:rsidRPr="00DD365F">
        <w:rPr>
          <w:sz w:val="16"/>
          <w:szCs w:val="16"/>
          <w:lang w:eastAsia="fr-CA"/>
        </w:rPr>
        <w:t xml:space="preserve">to make the initial Rules concerning the capacity trading reforms and the Code. </w:t>
      </w:r>
    </w:p>
  </w:footnote>
  <w:footnote w:id="21">
    <w:p w14:paraId="1523552F" w14:textId="77777777" w:rsidR="00F163DB" w:rsidRDefault="00F163DB" w:rsidP="00CF729D">
      <w:pPr>
        <w:pStyle w:val="FootnoteText"/>
      </w:pPr>
      <w:r>
        <w:rPr>
          <w:rStyle w:val="FootnoteReference"/>
        </w:rPr>
        <w:footnoteRef/>
      </w:r>
      <w:r>
        <w:t xml:space="preserve"> </w:t>
      </w:r>
      <w:r>
        <w:tab/>
        <w:t xml:space="preserve">See Schedule 1 (Subject matter for the NGR) of the NGL (items 55B and 68C to 68G) </w:t>
      </w:r>
    </w:p>
  </w:footnote>
  <w:footnote w:id="22">
    <w:p w14:paraId="07879D15" w14:textId="77777777" w:rsidR="00F163DB" w:rsidRDefault="00F163DB" w:rsidP="00CF729D">
      <w:pPr>
        <w:pStyle w:val="FootnoteText"/>
      </w:pPr>
      <w:r>
        <w:rPr>
          <w:rStyle w:val="FootnoteReference"/>
        </w:rPr>
        <w:footnoteRef/>
      </w:r>
      <w:r>
        <w:t xml:space="preserve"> </w:t>
      </w:r>
      <w:r>
        <w:tab/>
        <w:t>See sections 74(3)(fb) and 74(1)(a)(iii) of the NGL</w:t>
      </w:r>
    </w:p>
  </w:footnote>
  <w:footnote w:id="23">
    <w:p w14:paraId="78A1DA29" w14:textId="77777777" w:rsidR="00F163DB" w:rsidRDefault="00F163DB" w:rsidP="00CF729D">
      <w:pPr>
        <w:pStyle w:val="FootnoteText"/>
      </w:pPr>
      <w:r>
        <w:rPr>
          <w:rStyle w:val="FootnoteReference"/>
        </w:rPr>
        <w:footnoteRef/>
      </w:r>
      <w:r>
        <w:t xml:space="preserve"> </w:t>
      </w:r>
      <w:r>
        <w:tab/>
        <w:t>See section 27(1)(e1) of the NGL.</w:t>
      </w:r>
    </w:p>
  </w:footnote>
  <w:footnote w:id="24">
    <w:p w14:paraId="743B4530" w14:textId="77777777" w:rsidR="00F163DB" w:rsidRDefault="00F163DB" w:rsidP="00CF729D">
      <w:pPr>
        <w:pStyle w:val="FootnoteText"/>
      </w:pPr>
      <w:r>
        <w:rPr>
          <w:rStyle w:val="FootnoteReference"/>
        </w:rPr>
        <w:footnoteRef/>
      </w:r>
      <w:r>
        <w:t xml:space="preserve"> </w:t>
      </w:r>
      <w:r>
        <w:tab/>
        <w:t>See section 91A(gc) of the NGL</w:t>
      </w:r>
    </w:p>
  </w:footnote>
  <w:footnote w:id="25">
    <w:p w14:paraId="20DA2AAA" w14:textId="77777777" w:rsidR="00F163DB" w:rsidRDefault="00F163DB" w:rsidP="00CF729D">
      <w:pPr>
        <w:pStyle w:val="FootnoteText"/>
      </w:pPr>
      <w:r>
        <w:rPr>
          <w:rStyle w:val="FootnoteReference"/>
        </w:rPr>
        <w:footnoteRef/>
      </w:r>
      <w:r>
        <w:t xml:space="preserve"> </w:t>
      </w:r>
      <w:r>
        <w:tab/>
        <w:t>See section 91A(1)(ba) of the NGL.</w:t>
      </w:r>
    </w:p>
  </w:footnote>
  <w:footnote w:id="26">
    <w:p w14:paraId="6CA388B5" w14:textId="77777777" w:rsidR="00F163DB" w:rsidRDefault="00F163DB" w:rsidP="00CF729D">
      <w:pPr>
        <w:pStyle w:val="FootnoteText"/>
      </w:pPr>
      <w:r>
        <w:rPr>
          <w:rStyle w:val="FootnoteReference"/>
        </w:rPr>
        <w:footnoteRef/>
      </w:r>
      <w:r>
        <w:t xml:space="preserve"> </w:t>
      </w:r>
      <w:r>
        <w:tab/>
        <w:t>See Division 2D, Chapter 2, Part 6 of the NGL.</w:t>
      </w:r>
    </w:p>
  </w:footnote>
  <w:footnote w:id="27">
    <w:p w14:paraId="58C0767F" w14:textId="77777777" w:rsidR="00F163DB" w:rsidRDefault="00F163DB" w:rsidP="00CF729D">
      <w:pPr>
        <w:pStyle w:val="FootnoteText"/>
      </w:pPr>
      <w:r>
        <w:rPr>
          <w:rStyle w:val="FootnoteReference"/>
        </w:rPr>
        <w:footnoteRef/>
      </w:r>
      <w:r>
        <w:t xml:space="preserve"> </w:t>
      </w:r>
      <w:r>
        <w:tab/>
        <w:t>See section 91GG of the NGL.</w:t>
      </w:r>
    </w:p>
  </w:footnote>
  <w:footnote w:id="28">
    <w:p w14:paraId="6A8ED1F5" w14:textId="77777777" w:rsidR="00F163DB" w:rsidRDefault="00F163DB" w:rsidP="00CF729D">
      <w:pPr>
        <w:pStyle w:val="FootnoteText"/>
      </w:pPr>
      <w:r>
        <w:rPr>
          <w:rStyle w:val="FootnoteReference"/>
        </w:rPr>
        <w:footnoteRef/>
      </w:r>
      <w:r>
        <w:t xml:space="preserve"> </w:t>
      </w:r>
      <w:r>
        <w:tab/>
        <w:t>See sections 228B(1) and (3), and 228C(1).</w:t>
      </w:r>
    </w:p>
  </w:footnote>
  <w:footnote w:id="29">
    <w:p w14:paraId="04198C75" w14:textId="77777777" w:rsidR="00F163DB" w:rsidRDefault="00F163DB" w:rsidP="00CF729D">
      <w:pPr>
        <w:pStyle w:val="FootnoteText"/>
      </w:pPr>
      <w:r>
        <w:rPr>
          <w:rStyle w:val="FootnoteReference"/>
        </w:rPr>
        <w:footnoteRef/>
      </w:r>
      <w:r>
        <w:t xml:space="preserve"> </w:t>
      </w:r>
      <w:r>
        <w:tab/>
        <w:t>See Part 1 of Chapter 7A of the NGL.</w:t>
      </w:r>
    </w:p>
  </w:footnote>
  <w:footnote w:id="30">
    <w:p w14:paraId="632E1FEC" w14:textId="77777777" w:rsidR="00F163DB" w:rsidRDefault="00F163DB" w:rsidP="00CF729D">
      <w:pPr>
        <w:pStyle w:val="FootnoteText"/>
      </w:pPr>
      <w:r>
        <w:rPr>
          <w:rStyle w:val="FootnoteReference"/>
        </w:rPr>
        <w:footnoteRef/>
      </w:r>
      <w:r>
        <w:t xml:space="preserve"> </w:t>
      </w:r>
      <w:r>
        <w:tab/>
        <w:t>See Part 2 of Chapter 7A of the NGL.</w:t>
      </w:r>
    </w:p>
  </w:footnote>
  <w:footnote w:id="31">
    <w:p w14:paraId="7B8B7C25" w14:textId="77777777" w:rsidR="00F163DB" w:rsidRDefault="00F163DB" w:rsidP="00CF729D">
      <w:pPr>
        <w:pStyle w:val="FootnoteText"/>
      </w:pPr>
      <w:r>
        <w:rPr>
          <w:rStyle w:val="FootnoteReference"/>
        </w:rPr>
        <w:footnoteRef/>
      </w:r>
      <w:r>
        <w:t xml:space="preserve"> </w:t>
      </w:r>
      <w:r>
        <w:tab/>
        <w:t>See Part 3 of Chapter 7A of the NGL.</w:t>
      </w:r>
    </w:p>
  </w:footnote>
  <w:footnote w:id="32">
    <w:p w14:paraId="3126885C" w14:textId="77777777" w:rsidR="00F163DB" w:rsidRDefault="00F163DB" w:rsidP="00CF729D">
      <w:pPr>
        <w:pStyle w:val="FootnoteText"/>
      </w:pPr>
      <w:r>
        <w:rPr>
          <w:rStyle w:val="FootnoteReference"/>
        </w:rPr>
        <w:footnoteRef/>
      </w:r>
      <w:r>
        <w:t xml:space="preserve"> </w:t>
      </w:r>
      <w:r>
        <w:tab/>
        <w:t>See Division 2E, Chapter 2, Part 6 of the NGL.</w:t>
      </w:r>
    </w:p>
  </w:footnote>
  <w:footnote w:id="33">
    <w:p w14:paraId="2E4A0112" w14:textId="77777777" w:rsidR="00F163DB" w:rsidRDefault="00F163DB" w:rsidP="00CF729D">
      <w:pPr>
        <w:pStyle w:val="FootnoteText"/>
      </w:pPr>
      <w:r>
        <w:rPr>
          <w:rStyle w:val="FootnoteReference"/>
        </w:rPr>
        <w:footnoteRef/>
      </w:r>
      <w:r>
        <w:t xml:space="preserve"> </w:t>
      </w:r>
      <w:r>
        <w:tab/>
        <w:t>See section 91H(4) of the NGL.</w:t>
      </w:r>
    </w:p>
  </w:footnote>
  <w:footnote w:id="34">
    <w:p w14:paraId="6817EC99" w14:textId="77777777" w:rsidR="00F163DB" w:rsidRDefault="00F163DB" w:rsidP="00CF729D">
      <w:pPr>
        <w:pStyle w:val="FootnoteText"/>
      </w:pPr>
      <w:r>
        <w:rPr>
          <w:rStyle w:val="FootnoteReference"/>
        </w:rPr>
        <w:footnoteRef/>
      </w:r>
      <w:r>
        <w:t xml:space="preserve"> </w:t>
      </w:r>
      <w:r>
        <w:tab/>
        <w:t>See draft rule 596 of the NGR</w:t>
      </w:r>
    </w:p>
  </w:footnote>
  <w:footnote w:id="35">
    <w:p w14:paraId="78DC9A59" w14:textId="77777777" w:rsidR="00F163DB" w:rsidRDefault="00F163DB" w:rsidP="00CF729D">
      <w:pPr>
        <w:pStyle w:val="FootnoteText"/>
      </w:pPr>
      <w:r>
        <w:rPr>
          <w:rStyle w:val="FootnoteReference"/>
        </w:rPr>
        <w:footnoteRef/>
      </w:r>
      <w:r>
        <w:t xml:space="preserve"> </w:t>
      </w:r>
      <w:r>
        <w:tab/>
        <w:t>See draft rule 606 of the NGR.</w:t>
      </w:r>
    </w:p>
  </w:footnote>
  <w:footnote w:id="36">
    <w:p w14:paraId="421A3055" w14:textId="77777777" w:rsidR="00F163DB" w:rsidRDefault="00F163DB" w:rsidP="00CF729D">
      <w:pPr>
        <w:pStyle w:val="FootnoteText"/>
      </w:pPr>
      <w:r>
        <w:rPr>
          <w:rStyle w:val="FootnoteReference"/>
        </w:rPr>
        <w:footnoteRef/>
      </w:r>
      <w:r>
        <w:t xml:space="preserve"> </w:t>
      </w:r>
      <w:r>
        <w:tab/>
        <w:t xml:space="preserve">See draft rule 599 of the NGR. </w:t>
      </w:r>
    </w:p>
  </w:footnote>
  <w:footnote w:id="37">
    <w:p w14:paraId="01BD0B38" w14:textId="77777777" w:rsidR="00F163DB" w:rsidRDefault="00F163DB" w:rsidP="00CF729D">
      <w:pPr>
        <w:pStyle w:val="FootnoteText"/>
      </w:pPr>
      <w:r>
        <w:rPr>
          <w:rStyle w:val="FootnoteReference"/>
        </w:rPr>
        <w:footnoteRef/>
      </w:r>
      <w:r>
        <w:t xml:space="preserve"> </w:t>
      </w:r>
      <w:r>
        <w:tab/>
        <w:t>See draft rule 604 of the NGR.</w:t>
      </w:r>
    </w:p>
  </w:footnote>
  <w:footnote w:id="38">
    <w:p w14:paraId="4C640AC1" w14:textId="77777777" w:rsidR="00F163DB" w:rsidRDefault="00F163DB" w:rsidP="00CF729D">
      <w:pPr>
        <w:pStyle w:val="FootnoteText"/>
      </w:pPr>
      <w:r>
        <w:rPr>
          <w:rStyle w:val="FootnoteReference"/>
        </w:rPr>
        <w:footnoteRef/>
      </w:r>
      <w:r>
        <w:t xml:space="preserve"> </w:t>
      </w:r>
      <w:r>
        <w:tab/>
        <w:t>Subdivision 3.2 of Division 3, Part 24 of the NGR.</w:t>
      </w:r>
    </w:p>
  </w:footnote>
  <w:footnote w:id="39">
    <w:p w14:paraId="34FD7CC9" w14:textId="77777777" w:rsidR="00F163DB" w:rsidRDefault="00F163DB" w:rsidP="00CF729D">
      <w:pPr>
        <w:pStyle w:val="FootnoteText"/>
      </w:pPr>
      <w:r>
        <w:rPr>
          <w:rStyle w:val="FootnoteReference"/>
        </w:rPr>
        <w:footnoteRef/>
      </w:r>
      <w:r>
        <w:t xml:space="preserve"> </w:t>
      </w:r>
      <w:r>
        <w:tab/>
        <w:t>Subdivision 3.1 of Division 3, Part 24 of the NGR.</w:t>
      </w:r>
    </w:p>
  </w:footnote>
  <w:footnote w:id="40">
    <w:p w14:paraId="7BA9005C" w14:textId="77777777" w:rsidR="00F163DB" w:rsidRDefault="00F163DB" w:rsidP="00CF729D">
      <w:pPr>
        <w:pStyle w:val="FootnoteText"/>
      </w:pPr>
      <w:r>
        <w:rPr>
          <w:rStyle w:val="FootnoteReference"/>
        </w:rPr>
        <w:footnoteRef/>
      </w:r>
      <w:r>
        <w:t xml:space="preserve"> </w:t>
      </w:r>
      <w:r>
        <w:tab/>
        <w:t>See draft rule 611 of the NGR.</w:t>
      </w:r>
    </w:p>
  </w:footnote>
  <w:footnote w:id="41">
    <w:p w14:paraId="1D7FC55B" w14:textId="77777777" w:rsidR="00F163DB" w:rsidRDefault="00F163DB" w:rsidP="00CF729D">
      <w:pPr>
        <w:pStyle w:val="FootnoteText"/>
      </w:pPr>
      <w:r>
        <w:rPr>
          <w:rStyle w:val="FootnoteReference"/>
        </w:rPr>
        <w:footnoteRef/>
      </w:r>
      <w:r>
        <w:t xml:space="preserve"> </w:t>
      </w:r>
      <w:r>
        <w:tab/>
        <w:t>See draft rules 625 and 626 of the NGR.</w:t>
      </w:r>
    </w:p>
  </w:footnote>
  <w:footnote w:id="42">
    <w:p w14:paraId="49C2F851" w14:textId="77777777" w:rsidR="00F163DB" w:rsidRDefault="00F163DB" w:rsidP="00CF729D">
      <w:pPr>
        <w:pStyle w:val="FootnoteText"/>
      </w:pPr>
      <w:r>
        <w:rPr>
          <w:rStyle w:val="FootnoteReference"/>
        </w:rPr>
        <w:footnoteRef/>
      </w:r>
      <w:r>
        <w:t xml:space="preserve"> </w:t>
      </w:r>
      <w:r>
        <w:tab/>
        <w:t>See draft rules 627 and 628 of the NGR.</w:t>
      </w:r>
    </w:p>
  </w:footnote>
  <w:footnote w:id="43">
    <w:p w14:paraId="57BD2779" w14:textId="77777777" w:rsidR="00F163DB" w:rsidRDefault="00F163DB" w:rsidP="00CF729D">
      <w:pPr>
        <w:pStyle w:val="FootnoteText"/>
      </w:pPr>
      <w:r>
        <w:rPr>
          <w:rStyle w:val="FootnoteReference"/>
        </w:rPr>
        <w:footnoteRef/>
      </w:r>
      <w:r>
        <w:t xml:space="preserve"> </w:t>
      </w:r>
      <w:r>
        <w:tab/>
        <w:t>See draft rule 629 of the NGR.</w:t>
      </w:r>
    </w:p>
  </w:footnote>
  <w:footnote w:id="44">
    <w:p w14:paraId="0EA023F4" w14:textId="77777777" w:rsidR="00F163DB" w:rsidRDefault="00F163DB" w:rsidP="00CF729D">
      <w:pPr>
        <w:pStyle w:val="FootnoteText"/>
      </w:pPr>
      <w:r>
        <w:rPr>
          <w:rStyle w:val="FootnoteReference"/>
        </w:rPr>
        <w:footnoteRef/>
      </w:r>
      <w:r>
        <w:t xml:space="preserve"> </w:t>
      </w:r>
      <w:r>
        <w:tab/>
        <w:t>See draft rules 631 to 633 of the NGR.</w:t>
      </w:r>
    </w:p>
  </w:footnote>
  <w:footnote w:id="45">
    <w:p w14:paraId="308FF6B2" w14:textId="77777777" w:rsidR="00F163DB" w:rsidRDefault="00F163DB" w:rsidP="00CF729D">
      <w:pPr>
        <w:pStyle w:val="FootnoteText"/>
      </w:pPr>
      <w:r>
        <w:rPr>
          <w:rStyle w:val="FootnoteReference"/>
        </w:rPr>
        <w:footnoteRef/>
      </w:r>
      <w:r>
        <w:t xml:space="preserve"> </w:t>
      </w:r>
      <w:r>
        <w:tab/>
        <w:t>See draft rule 637 of the NGR.</w:t>
      </w:r>
    </w:p>
  </w:footnote>
  <w:footnote w:id="46">
    <w:p w14:paraId="1DF7E734" w14:textId="77777777" w:rsidR="00F163DB" w:rsidRDefault="00F163DB" w:rsidP="00CF729D">
      <w:pPr>
        <w:pStyle w:val="FootnoteText"/>
      </w:pPr>
      <w:r>
        <w:rPr>
          <w:rStyle w:val="FootnoteReference"/>
        </w:rPr>
        <w:footnoteRef/>
      </w:r>
      <w:r>
        <w:t xml:space="preserve"> </w:t>
      </w:r>
      <w:r>
        <w:tab/>
        <w:t>See draft rule 634 of the NGR.</w:t>
      </w:r>
    </w:p>
  </w:footnote>
  <w:footnote w:id="47">
    <w:p w14:paraId="4A6D75E1" w14:textId="77777777" w:rsidR="00F163DB" w:rsidRDefault="00F163DB" w:rsidP="00CF729D">
      <w:pPr>
        <w:pStyle w:val="FootnoteText"/>
      </w:pPr>
      <w:r>
        <w:rPr>
          <w:rStyle w:val="FootnoteReference"/>
        </w:rPr>
        <w:footnoteRef/>
      </w:r>
      <w:r>
        <w:t xml:space="preserve"> </w:t>
      </w:r>
      <w:r>
        <w:tab/>
        <w:t>See draft rule 635 of the NGR.</w:t>
      </w:r>
    </w:p>
  </w:footnote>
  <w:footnote w:id="48">
    <w:p w14:paraId="64501739" w14:textId="77777777" w:rsidR="00F163DB" w:rsidRDefault="00F163DB" w:rsidP="00CF729D">
      <w:pPr>
        <w:pStyle w:val="FootnoteText"/>
      </w:pPr>
      <w:r>
        <w:rPr>
          <w:rStyle w:val="FootnoteReference"/>
        </w:rPr>
        <w:footnoteRef/>
      </w:r>
      <w:r>
        <w:t xml:space="preserve"> </w:t>
      </w:r>
      <w:r>
        <w:tab/>
        <w:t>See draft rule 640 of the NGR.</w:t>
      </w:r>
    </w:p>
  </w:footnote>
  <w:footnote w:id="49">
    <w:p w14:paraId="6F97C16B" w14:textId="77777777" w:rsidR="00F163DB" w:rsidRDefault="00F163DB" w:rsidP="00CF729D">
      <w:pPr>
        <w:pStyle w:val="FootnoteText"/>
      </w:pPr>
      <w:r>
        <w:rPr>
          <w:rStyle w:val="FootnoteReference"/>
        </w:rPr>
        <w:footnoteRef/>
      </w:r>
      <w:r>
        <w:t xml:space="preserve"> </w:t>
      </w:r>
      <w:r>
        <w:tab/>
        <w:t>See draft rule 642 of the NGR.</w:t>
      </w:r>
    </w:p>
  </w:footnote>
  <w:footnote w:id="50">
    <w:p w14:paraId="2BE40C4D" w14:textId="77777777" w:rsidR="00F163DB" w:rsidRDefault="00F163DB" w:rsidP="00CF729D">
      <w:pPr>
        <w:pStyle w:val="FootnoteText"/>
        <w:spacing w:before="0" w:after="0"/>
      </w:pPr>
      <w:r>
        <w:rPr>
          <w:rStyle w:val="FootnoteReference"/>
        </w:rPr>
        <w:footnoteRef/>
      </w:r>
      <w:r>
        <w:t xml:space="preserve"> </w:t>
      </w:r>
      <w:r>
        <w:tab/>
        <w:t xml:space="preserve">AEMC, Stage 2 Final Report: East Coast </w:t>
      </w:r>
      <w:r>
        <w:rPr>
          <w:rFonts w:cs="Arial"/>
          <w:iCs/>
        </w:rPr>
        <w:t>Review, 23 May 2016,</w:t>
      </w:r>
      <w:r>
        <w:t xml:space="preserve"> pp. 69 and 73.</w:t>
      </w:r>
    </w:p>
  </w:footnote>
  <w:footnote w:id="51">
    <w:p w14:paraId="66B8A523" w14:textId="77777777" w:rsidR="00F163DB" w:rsidRDefault="00F163DB" w:rsidP="00CF729D">
      <w:pPr>
        <w:pStyle w:val="FootnoteText"/>
        <w:spacing w:before="0" w:after="0"/>
      </w:pPr>
      <w:r>
        <w:rPr>
          <w:rStyle w:val="FootnoteReference"/>
        </w:rPr>
        <w:footnoteRef/>
      </w:r>
      <w:r>
        <w:t xml:space="preserve"> </w:t>
      </w:r>
      <w:r>
        <w:tab/>
        <w:t xml:space="preserve">GMRG, </w:t>
      </w:r>
      <w:r w:rsidRPr="008B3646">
        <w:t>Final Recommendations on the Design of the Day-Ahead Auction of Contracted but Un-Nominated Capacity</w:t>
      </w:r>
      <w:r>
        <w:t xml:space="preserve">, December 2017. </w:t>
      </w:r>
    </w:p>
  </w:footnote>
  <w:footnote w:id="52">
    <w:p w14:paraId="54A40E46" w14:textId="77777777" w:rsidR="00F163DB" w:rsidRDefault="00F163DB" w:rsidP="00CF729D">
      <w:pPr>
        <w:pStyle w:val="FootnoteText"/>
      </w:pPr>
      <w:r>
        <w:rPr>
          <w:rStyle w:val="FootnoteReference"/>
        </w:rPr>
        <w:footnoteRef/>
      </w:r>
      <w:r>
        <w:t xml:space="preserve"> </w:t>
      </w:r>
      <w:r>
        <w:tab/>
      </w:r>
      <w:r w:rsidRPr="00F35E6C">
        <w:t>Ibid, pp. 42-43.</w:t>
      </w:r>
    </w:p>
  </w:footnote>
  <w:footnote w:id="53">
    <w:p w14:paraId="34C4761C" w14:textId="77777777" w:rsidR="00F163DB" w:rsidRDefault="00F163DB" w:rsidP="00CF729D">
      <w:pPr>
        <w:pStyle w:val="FootnoteText"/>
      </w:pPr>
      <w:r>
        <w:rPr>
          <w:rStyle w:val="FootnoteReference"/>
        </w:rPr>
        <w:footnoteRef/>
      </w:r>
      <w:r>
        <w:t xml:space="preserve"> </w:t>
      </w:r>
      <w:r>
        <w:tab/>
        <w:t>Provision has been made for this to occur in the Code through the inclusion of “Other Services” provisions. W</w:t>
      </w:r>
      <w:r w:rsidRPr="000575CC">
        <w:t xml:space="preserve">hile the decision to provide </w:t>
      </w:r>
      <w:r>
        <w:t xml:space="preserve">other </w:t>
      </w:r>
      <w:r w:rsidRPr="000575CC">
        <w:t>service</w:t>
      </w:r>
      <w:r>
        <w:t>s</w:t>
      </w:r>
      <w:r w:rsidRPr="000575CC">
        <w:t xml:space="preserve"> will be a matter for negotiation, the Code does state that the price and other terms on which these services are provided must be reasonable, which means at prices and other terms that reflect the outcomes of a workably competitive market</w:t>
      </w:r>
      <w:r>
        <w:t xml:space="preserve"> (see clause 3, Part 5 of the Code)</w:t>
      </w:r>
      <w:r w:rsidRPr="000575CC">
        <w:t>. Part 24 of the NGR also makes it clear that if a dispute about these services arises on a non-scheme pipeline</w:t>
      </w:r>
      <w:r>
        <w:t>,</w:t>
      </w:r>
      <w:r w:rsidRPr="000575CC">
        <w:t xml:space="preserve"> the shipper can have recourse to the information disclosure and arbitration mechanism in Part 23 of the NGR</w:t>
      </w:r>
      <w:r>
        <w:t xml:space="preserve"> (see draft rule 594)</w:t>
      </w:r>
      <w:r w:rsidRPr="000575CC">
        <w:t>.</w:t>
      </w:r>
    </w:p>
  </w:footnote>
  <w:footnote w:id="54">
    <w:p w14:paraId="6FF3F27A" w14:textId="77777777" w:rsidR="00F163DB" w:rsidRDefault="00F163DB" w:rsidP="00CF729D">
      <w:pPr>
        <w:pStyle w:val="FootnoteText"/>
      </w:pPr>
      <w:r>
        <w:rPr>
          <w:rStyle w:val="FootnoteReference"/>
        </w:rPr>
        <w:footnoteRef/>
      </w:r>
      <w:r>
        <w:t xml:space="preserve"> </w:t>
      </w:r>
      <w:r>
        <w:tab/>
        <w:t>Provision has also been made in the Code for service providers to facilitate these types of trades in those cases where the transfer can occur without adversely affecting the operational integrity of the facility. The Code also states that any terms imposed by service providers on these types of trades must be reasonable and designed to facilitate such trading (see clause 17, Part 5 of the Code).</w:t>
      </w:r>
    </w:p>
  </w:footnote>
  <w:footnote w:id="55">
    <w:p w14:paraId="7CAA1825" w14:textId="77777777" w:rsidR="00F163DB" w:rsidRDefault="00F163DB" w:rsidP="00CF729D">
      <w:pPr>
        <w:pStyle w:val="FootnoteText"/>
      </w:pPr>
      <w:r>
        <w:rPr>
          <w:rStyle w:val="FootnoteReference"/>
        </w:rPr>
        <w:footnoteRef/>
      </w:r>
      <w:r>
        <w:t xml:space="preserve"> </w:t>
      </w:r>
      <w:r>
        <w:tab/>
        <w:t>The 3 January 2018 date referred to in (b) is the date that the Energy Council formally agreed to the GMRG’s recommendations on the design of the auction. The selection of this date is intended to counter the incentive that market participants may otherwise have to try and enter into agreements before the reform package is implemented to try and circumvent the reforms.</w:t>
      </w:r>
    </w:p>
  </w:footnote>
  <w:footnote w:id="56">
    <w:p w14:paraId="246D3DF4" w14:textId="77777777" w:rsidR="00F163DB" w:rsidRDefault="00F163DB" w:rsidP="00CF729D">
      <w:pPr>
        <w:pStyle w:val="FootnoteText"/>
      </w:pPr>
      <w:r>
        <w:rPr>
          <w:rStyle w:val="FootnoteReference"/>
        </w:rPr>
        <w:footnoteRef/>
      </w:r>
      <w:r>
        <w:t xml:space="preserve"> </w:t>
      </w:r>
      <w:r>
        <w:tab/>
        <w:t>This is because as available and authorised overrun services do not usually have contracted capacities attached to them so the contracted capacity component of the CBU calculation will be unchanged, but the nominated component will be higher.</w:t>
      </w:r>
    </w:p>
  </w:footnote>
  <w:footnote w:id="57">
    <w:p w14:paraId="0DEE6C85" w14:textId="77777777" w:rsidR="00F163DB" w:rsidRDefault="00F163DB" w:rsidP="00CF729D">
      <w:pPr>
        <w:pStyle w:val="FootnoteText"/>
      </w:pPr>
      <w:r>
        <w:rPr>
          <w:rStyle w:val="FootnoteReference"/>
        </w:rPr>
        <w:footnoteRef/>
      </w:r>
      <w:r>
        <w:t xml:space="preserve"> </w:t>
      </w:r>
      <w:r>
        <w:tab/>
        <w:t xml:space="preserve">GMRG, </w:t>
      </w:r>
      <w:r w:rsidRPr="008B3646">
        <w:t>Final Recommendations on the Design of the Day-Ahead Auction of Contracted but Un-Nominated Capacity</w:t>
      </w:r>
      <w:r>
        <w:t>, December 2017, p. 50-52.</w:t>
      </w:r>
    </w:p>
  </w:footnote>
  <w:footnote w:id="58">
    <w:p w14:paraId="0EC5EA9C" w14:textId="77777777" w:rsidR="00F163DB" w:rsidRDefault="00F163DB" w:rsidP="00CF729D">
      <w:pPr>
        <w:pStyle w:val="FootnoteText"/>
      </w:pPr>
      <w:r>
        <w:rPr>
          <w:rStyle w:val="FootnoteReference"/>
        </w:rPr>
        <w:footnoteRef/>
      </w:r>
      <w:r>
        <w:t xml:space="preserve"> </w:t>
      </w:r>
      <w:r>
        <w:tab/>
        <w:t>Ibid.</w:t>
      </w:r>
    </w:p>
  </w:footnote>
  <w:footnote w:id="59">
    <w:p w14:paraId="59C6104D" w14:textId="77777777" w:rsidR="00F163DB" w:rsidRDefault="00F163DB" w:rsidP="00CF729D">
      <w:pPr>
        <w:pStyle w:val="FootnoteText"/>
      </w:pPr>
      <w:r>
        <w:rPr>
          <w:rStyle w:val="FootnoteReference"/>
        </w:rPr>
        <w:footnoteRef/>
      </w:r>
      <w:r>
        <w:t xml:space="preserve"> </w:t>
      </w:r>
      <w:r>
        <w:tab/>
        <w:t>COAG Energy Council, Australian Gas Market Vision, December 2014.</w:t>
      </w:r>
    </w:p>
  </w:footnote>
  <w:footnote w:id="60">
    <w:p w14:paraId="1E6C4B91" w14:textId="77777777" w:rsidR="00F163DB" w:rsidRDefault="00F163DB" w:rsidP="00CF729D">
      <w:pPr>
        <w:pStyle w:val="FootnoteText"/>
      </w:pPr>
      <w:r>
        <w:rPr>
          <w:rStyle w:val="FootnoteReference"/>
        </w:rPr>
        <w:footnoteRef/>
      </w:r>
      <w:r>
        <w:t xml:space="preserve"> </w:t>
      </w:r>
      <w:r>
        <w:tab/>
      </w:r>
      <w:r w:rsidRPr="006C09D6">
        <w:t xml:space="preserve">The term ‘static’ is used in this context because any additional forward haul flows generated by the auction will not be allocated to the backhaul auction </w:t>
      </w:r>
      <w:r>
        <w:t>service</w:t>
      </w:r>
      <w:r w:rsidRPr="006C09D6">
        <w:t>.</w:t>
      </w:r>
    </w:p>
  </w:footnote>
  <w:footnote w:id="61">
    <w:p w14:paraId="3B9BBB3D" w14:textId="77777777" w:rsidR="00F163DB" w:rsidRDefault="00F163DB" w:rsidP="00CF729D">
      <w:pPr>
        <w:pStyle w:val="FootnoteText"/>
      </w:pPr>
      <w:r>
        <w:rPr>
          <w:rStyle w:val="FootnoteReference"/>
        </w:rPr>
        <w:footnoteRef/>
      </w:r>
      <w:r>
        <w:t xml:space="preserve"> </w:t>
      </w:r>
      <w:r>
        <w:tab/>
        <w:t>The term ‘net’ is used here because firm backhaul rights will be scheduled before the auction backhaul product.</w:t>
      </w:r>
    </w:p>
  </w:footnote>
  <w:footnote w:id="62">
    <w:p w14:paraId="606AEA86" w14:textId="77777777" w:rsidR="00F163DB" w:rsidRDefault="00F163DB" w:rsidP="00CF729D">
      <w:pPr>
        <w:pStyle w:val="FootnoteText"/>
      </w:pPr>
      <w:r>
        <w:rPr>
          <w:rStyle w:val="FootnoteReference"/>
        </w:rPr>
        <w:footnoteRef/>
      </w:r>
      <w:r>
        <w:t xml:space="preserve"> </w:t>
      </w:r>
      <w:r>
        <w:tab/>
        <w:t>During the transitional period for grandfathered rights, this will include forward haul flows from grandfathered rights holders.</w:t>
      </w:r>
    </w:p>
  </w:footnote>
  <w:footnote w:id="63">
    <w:p w14:paraId="00B40EF2" w14:textId="77777777" w:rsidR="00F163DB" w:rsidRDefault="00F163DB" w:rsidP="00CF729D">
      <w:pPr>
        <w:pStyle w:val="FootnoteText"/>
      </w:pPr>
      <w:r>
        <w:rPr>
          <w:rStyle w:val="FootnoteReference"/>
        </w:rPr>
        <w:footnoteRef/>
      </w:r>
      <w:r>
        <w:t xml:space="preserve"> </w:t>
      </w:r>
      <w:r>
        <w:tab/>
        <w:t xml:space="preserve">Whether or not unused capacity at a receipt or delivery point is required will depend on the type of backhaul service that is being provided and whether the backhaul receipt point is also a forward haul delivery point. For example: </w:t>
      </w:r>
    </w:p>
    <w:p w14:paraId="16ADFB7C" w14:textId="77777777" w:rsidR="00F163DB" w:rsidRDefault="00F163DB" w:rsidP="003F5961">
      <w:pPr>
        <w:pStyle w:val="FootnoteText"/>
        <w:numPr>
          <w:ilvl w:val="0"/>
          <w:numId w:val="40"/>
        </w:numPr>
      </w:pPr>
      <w:r>
        <w:t>if the backhaul service involves the physical supply of gas from a point upstream of the point where the gas is to be taken, then there will need to be sufficient unused capacity at the backhaul receipt point at which the gas is to be supplied; and</w:t>
      </w:r>
    </w:p>
    <w:p w14:paraId="2B9585E9" w14:textId="77777777" w:rsidR="00F163DB" w:rsidRDefault="00F163DB" w:rsidP="003F5961">
      <w:pPr>
        <w:pStyle w:val="FootnoteText"/>
        <w:numPr>
          <w:ilvl w:val="0"/>
          <w:numId w:val="40"/>
        </w:numPr>
      </w:pPr>
      <w:r>
        <w:t>if the backhaul delivery point is also a forward haul delivery point then there will also need to be sufficient unused capacity at the delivery point, but if it is a forward haul receipt point then unused capacity is not required (i.e. there just needs to be a sufficient volume of net forward haul firm flows coming in at that point).</w:t>
      </w:r>
    </w:p>
  </w:footnote>
  <w:footnote w:id="64">
    <w:p w14:paraId="223F1406" w14:textId="77777777" w:rsidR="00F163DB" w:rsidRDefault="00F163DB" w:rsidP="00CF729D">
      <w:pPr>
        <w:pStyle w:val="FootnoteText"/>
      </w:pPr>
      <w:r>
        <w:rPr>
          <w:rStyle w:val="FootnoteReference"/>
        </w:rPr>
        <w:footnoteRef/>
      </w:r>
      <w:r>
        <w:t xml:space="preserve"> </w:t>
      </w:r>
      <w:r>
        <w:tab/>
        <w:t xml:space="preserve">Note that the term ‘limits’ is used because there are a number of dimensions to the auction quantity calculations. </w:t>
      </w:r>
    </w:p>
  </w:footnote>
  <w:footnote w:id="65">
    <w:p w14:paraId="68EFFA3D" w14:textId="488B9FCE" w:rsidR="00F163DB" w:rsidRDefault="00F163DB" w:rsidP="00CF729D">
      <w:pPr>
        <w:pStyle w:val="FootnoteText"/>
      </w:pPr>
      <w:r>
        <w:rPr>
          <w:rStyle w:val="FootnoteReference"/>
        </w:rPr>
        <w:footnoteRef/>
      </w:r>
      <w:r>
        <w:t xml:space="preserve"> </w:t>
      </w:r>
      <w:r>
        <w:tab/>
        <w:t xml:space="preserve">GMRG, </w:t>
      </w:r>
      <w:r w:rsidRPr="008B3646">
        <w:t>Final Recommendations on the Design of the Day-Ahead Auction of Contracted but Un-Nominated Capacity</w:t>
      </w:r>
      <w:r>
        <w:t>, December 2017, p. 91</w:t>
      </w:r>
      <w:r w:rsidR="007B0A99">
        <w:t>.</w:t>
      </w:r>
    </w:p>
  </w:footnote>
  <w:footnote w:id="66">
    <w:p w14:paraId="595FE65D" w14:textId="77777777" w:rsidR="00F163DB" w:rsidRDefault="00F163DB" w:rsidP="00CF729D">
      <w:pPr>
        <w:pStyle w:val="FootnoteText"/>
      </w:pPr>
      <w:r>
        <w:rPr>
          <w:rStyle w:val="FootnoteReference"/>
        </w:rPr>
        <w:footnoteRef/>
      </w:r>
      <w:r>
        <w:t xml:space="preserve"> </w:t>
      </w:r>
      <w:r>
        <w:tab/>
        <w:t>See Schedule 1 (Subject matter for the NGR) of the NGL (items 55T, 68A and 68B).</w:t>
      </w:r>
    </w:p>
  </w:footnote>
  <w:footnote w:id="67">
    <w:p w14:paraId="4F156B08" w14:textId="77777777" w:rsidR="00F163DB" w:rsidRDefault="00F163DB" w:rsidP="00CF729D">
      <w:pPr>
        <w:pStyle w:val="FootnoteText"/>
      </w:pPr>
      <w:r>
        <w:rPr>
          <w:rStyle w:val="FootnoteReference"/>
        </w:rPr>
        <w:footnoteRef/>
      </w:r>
      <w:r>
        <w:t xml:space="preserve"> </w:t>
      </w:r>
      <w:r>
        <w:tab/>
        <w:t>See section 74 of the NGL.</w:t>
      </w:r>
    </w:p>
  </w:footnote>
  <w:footnote w:id="68">
    <w:p w14:paraId="03B7E54E" w14:textId="77777777" w:rsidR="00F163DB" w:rsidRDefault="00F163DB" w:rsidP="00CF729D">
      <w:pPr>
        <w:pStyle w:val="FootnoteText"/>
      </w:pPr>
      <w:r>
        <w:rPr>
          <w:rStyle w:val="FootnoteReference"/>
        </w:rPr>
        <w:footnoteRef/>
      </w:r>
      <w:r>
        <w:t xml:space="preserve"> </w:t>
      </w:r>
      <w:r>
        <w:tab/>
        <w:t xml:space="preserve">See Chapter 2, Part 6 (Role of AEMO under the NGL) of the NGL and, in particular, section 91A, Division 2C, Division 2D, Division 6 (Subdivision 3 and Subdivision 4), Division 7 (section 91GG) and Division 8 (section 91H). </w:t>
      </w:r>
    </w:p>
  </w:footnote>
  <w:footnote w:id="69">
    <w:p w14:paraId="40E49B2E" w14:textId="77777777" w:rsidR="00F163DB" w:rsidRDefault="00F163DB" w:rsidP="00CF729D">
      <w:pPr>
        <w:pStyle w:val="FootnoteText"/>
      </w:pPr>
      <w:r>
        <w:rPr>
          <w:rStyle w:val="FootnoteReference"/>
        </w:rPr>
        <w:footnoteRef/>
      </w:r>
      <w:r>
        <w:t xml:space="preserve"> </w:t>
      </w:r>
      <w:r>
        <w:tab/>
        <w:t>See Chapter 2, Part 6, Division 6, Subdivision 3 of the NGL.</w:t>
      </w:r>
    </w:p>
  </w:footnote>
  <w:footnote w:id="70">
    <w:p w14:paraId="1D22163E" w14:textId="77777777" w:rsidR="00F163DB" w:rsidRDefault="00F163DB" w:rsidP="00CF729D">
      <w:pPr>
        <w:pStyle w:val="FootnoteText"/>
      </w:pPr>
      <w:r>
        <w:rPr>
          <w:rStyle w:val="FootnoteReference"/>
        </w:rPr>
        <w:footnoteRef/>
      </w:r>
      <w:r>
        <w:t xml:space="preserve"> </w:t>
      </w:r>
      <w:r>
        <w:tab/>
        <w:t>See section 91FEIof the NGL.</w:t>
      </w:r>
    </w:p>
  </w:footnote>
  <w:footnote w:id="71">
    <w:p w14:paraId="3FBC1CE5" w14:textId="77777777" w:rsidR="00F163DB" w:rsidRDefault="00F163DB" w:rsidP="00CF729D">
      <w:pPr>
        <w:pStyle w:val="FootnoteText"/>
      </w:pPr>
      <w:r>
        <w:rPr>
          <w:rStyle w:val="FootnoteReference"/>
        </w:rPr>
        <w:footnoteRef/>
      </w:r>
      <w:r>
        <w:t xml:space="preserve"> </w:t>
      </w:r>
      <w:r>
        <w:tab/>
        <w:t>See section 91BRO of the NGL.</w:t>
      </w:r>
    </w:p>
  </w:footnote>
  <w:footnote w:id="72">
    <w:p w14:paraId="2EAD44E6" w14:textId="77777777" w:rsidR="00F163DB" w:rsidRDefault="00F163DB" w:rsidP="00CF729D">
      <w:pPr>
        <w:pStyle w:val="FootnoteText"/>
      </w:pPr>
      <w:r>
        <w:rPr>
          <w:rStyle w:val="FootnoteReference"/>
        </w:rPr>
        <w:footnoteRef/>
      </w:r>
      <w:r>
        <w:t xml:space="preserve"> </w:t>
      </w:r>
      <w:r>
        <w:tab/>
        <w:t>See Chapter 2, Part 6, Division 2D of the NGL.</w:t>
      </w:r>
    </w:p>
  </w:footnote>
  <w:footnote w:id="73">
    <w:p w14:paraId="4838FEE0" w14:textId="77777777" w:rsidR="00F163DB" w:rsidRDefault="00F163DB" w:rsidP="00CF729D">
      <w:pPr>
        <w:pStyle w:val="FootnoteText"/>
      </w:pPr>
      <w:r>
        <w:rPr>
          <w:rStyle w:val="FootnoteReference"/>
        </w:rPr>
        <w:footnoteRef/>
      </w:r>
      <w:r>
        <w:t xml:space="preserve"> </w:t>
      </w:r>
      <w:r>
        <w:tab/>
        <w:t>See draft rule 645 of the NGR.</w:t>
      </w:r>
    </w:p>
  </w:footnote>
  <w:footnote w:id="74">
    <w:p w14:paraId="4D96B09D" w14:textId="77777777" w:rsidR="00F163DB" w:rsidRDefault="00F163DB" w:rsidP="00CF729D">
      <w:pPr>
        <w:pStyle w:val="FootnoteText"/>
      </w:pPr>
      <w:r>
        <w:rPr>
          <w:rStyle w:val="FootnoteReference"/>
        </w:rPr>
        <w:footnoteRef/>
      </w:r>
      <w:r>
        <w:t xml:space="preserve"> </w:t>
      </w:r>
      <w:r>
        <w:tab/>
        <w:t>See Subdivision 2.3, Part 25 of the NGR.</w:t>
      </w:r>
    </w:p>
  </w:footnote>
  <w:footnote w:id="75">
    <w:p w14:paraId="29025DB0" w14:textId="77777777" w:rsidR="00F163DB" w:rsidRDefault="00F163DB" w:rsidP="00CF729D">
      <w:pPr>
        <w:pStyle w:val="FootnoteText"/>
      </w:pPr>
      <w:r>
        <w:rPr>
          <w:rStyle w:val="FootnoteReference"/>
        </w:rPr>
        <w:footnoteRef/>
      </w:r>
      <w:r>
        <w:t xml:space="preserve"> </w:t>
      </w:r>
      <w:r>
        <w:tab/>
        <w:t>See Subdivision 2.1, Part 25 of the NGR.</w:t>
      </w:r>
    </w:p>
  </w:footnote>
  <w:footnote w:id="76">
    <w:p w14:paraId="5AD0FCEE" w14:textId="77777777" w:rsidR="00F163DB" w:rsidRDefault="00F163DB" w:rsidP="00CF729D">
      <w:pPr>
        <w:pStyle w:val="FootnoteText"/>
      </w:pPr>
      <w:r>
        <w:rPr>
          <w:rStyle w:val="FootnoteReference"/>
        </w:rPr>
        <w:footnoteRef/>
      </w:r>
      <w:r>
        <w:t xml:space="preserve"> </w:t>
      </w:r>
      <w:r>
        <w:tab/>
        <w:t>See Subdivision 2.2, Part 25 of the NGR.</w:t>
      </w:r>
    </w:p>
  </w:footnote>
  <w:footnote w:id="77">
    <w:p w14:paraId="1E84280E" w14:textId="77777777" w:rsidR="00F163DB" w:rsidRDefault="00F163DB" w:rsidP="00CF729D">
      <w:pPr>
        <w:pStyle w:val="FootnoteText"/>
      </w:pPr>
      <w:r>
        <w:rPr>
          <w:rStyle w:val="FootnoteReference"/>
        </w:rPr>
        <w:footnoteRef/>
      </w:r>
      <w:r>
        <w:t xml:space="preserve"> </w:t>
      </w:r>
      <w:r>
        <w:tab/>
        <w:t>See draft rule 649 of the NGR.</w:t>
      </w:r>
    </w:p>
  </w:footnote>
  <w:footnote w:id="78">
    <w:p w14:paraId="4F0162A6" w14:textId="77777777" w:rsidR="00F163DB" w:rsidRDefault="00F163DB" w:rsidP="00CF729D">
      <w:pPr>
        <w:pStyle w:val="FootnoteText"/>
      </w:pPr>
      <w:r>
        <w:rPr>
          <w:rStyle w:val="FootnoteReference"/>
        </w:rPr>
        <w:footnoteRef/>
      </w:r>
      <w:r>
        <w:t xml:space="preserve"> </w:t>
      </w:r>
      <w:r>
        <w:tab/>
        <w:t>See Division 3, Part 25 of the NGR.</w:t>
      </w:r>
    </w:p>
  </w:footnote>
  <w:footnote w:id="79">
    <w:p w14:paraId="033251AD" w14:textId="77777777" w:rsidR="00F163DB" w:rsidRPr="0028748E" w:rsidRDefault="00F163DB" w:rsidP="00CF729D">
      <w:pPr>
        <w:pStyle w:val="FootnoteText"/>
      </w:pPr>
      <w:r>
        <w:rPr>
          <w:rStyle w:val="FootnoteReference"/>
        </w:rPr>
        <w:footnoteRef/>
      </w:r>
      <w:r>
        <w:t xml:space="preserve"> </w:t>
      </w:r>
      <w:r>
        <w:tab/>
      </w:r>
      <w:r w:rsidRPr="0028748E">
        <w:t>See Division 3</w:t>
      </w:r>
      <w:r>
        <w:t>,</w:t>
      </w:r>
      <w:r w:rsidRPr="0028748E">
        <w:t xml:space="preserve"> Part 25 of the NGR.</w:t>
      </w:r>
    </w:p>
  </w:footnote>
  <w:footnote w:id="80">
    <w:p w14:paraId="3C740562" w14:textId="77777777" w:rsidR="00F163DB" w:rsidRPr="0028748E" w:rsidRDefault="00F163DB" w:rsidP="00CF729D">
      <w:pPr>
        <w:pStyle w:val="FootnoteText"/>
      </w:pPr>
      <w:r w:rsidRPr="0028748E">
        <w:rPr>
          <w:rStyle w:val="FootnoteReference"/>
        </w:rPr>
        <w:footnoteRef/>
      </w:r>
      <w:r w:rsidRPr="0028748E">
        <w:t xml:space="preserve"> </w:t>
      </w:r>
      <w:r w:rsidRPr="0028748E">
        <w:tab/>
        <w:t>See Division 4</w:t>
      </w:r>
      <w:r>
        <w:t>,</w:t>
      </w:r>
      <w:r w:rsidRPr="0028748E">
        <w:t xml:space="preserve"> Part 25 of the NGR.</w:t>
      </w:r>
    </w:p>
  </w:footnote>
  <w:footnote w:id="81">
    <w:p w14:paraId="49FF4889" w14:textId="77777777" w:rsidR="00F163DB" w:rsidRPr="0028748E" w:rsidRDefault="00F163DB" w:rsidP="00CF729D">
      <w:pPr>
        <w:pStyle w:val="FootnoteText"/>
      </w:pPr>
      <w:r w:rsidRPr="0028748E">
        <w:rPr>
          <w:rStyle w:val="FootnoteReference"/>
        </w:rPr>
        <w:footnoteRef/>
      </w:r>
      <w:r w:rsidRPr="0028748E">
        <w:t xml:space="preserve"> </w:t>
      </w:r>
      <w:r w:rsidRPr="0028748E">
        <w:tab/>
      </w:r>
      <w:r>
        <w:t>See draft t</w:t>
      </w:r>
      <w:r w:rsidRPr="0028748E">
        <w:t>ransitional rule 3</w:t>
      </w:r>
      <w:r>
        <w:t xml:space="preserve">, </w:t>
      </w:r>
      <w:r w:rsidRPr="0028748E">
        <w:t>Part 4</w:t>
      </w:r>
      <w:r>
        <w:t>,</w:t>
      </w:r>
      <w:r w:rsidRPr="0028748E">
        <w:t xml:space="preserve"> Schedule 5</w:t>
      </w:r>
      <w:r>
        <w:t xml:space="preserve"> of the NGR</w:t>
      </w:r>
      <w:r w:rsidRPr="0028748E">
        <w:t>.</w:t>
      </w:r>
    </w:p>
  </w:footnote>
  <w:footnote w:id="82">
    <w:p w14:paraId="618E88A2" w14:textId="77777777" w:rsidR="00F163DB" w:rsidRPr="0028748E" w:rsidRDefault="00F163DB" w:rsidP="00CF729D">
      <w:pPr>
        <w:pStyle w:val="FootnoteText"/>
      </w:pPr>
      <w:r w:rsidRPr="0028748E">
        <w:rPr>
          <w:rStyle w:val="FootnoteReference"/>
        </w:rPr>
        <w:footnoteRef/>
      </w:r>
      <w:r w:rsidRPr="0028748E">
        <w:t xml:space="preserve"> </w:t>
      </w:r>
      <w:r w:rsidRPr="0028748E">
        <w:tab/>
      </w:r>
      <w:r>
        <w:t>See draft t</w:t>
      </w:r>
      <w:r w:rsidRPr="0028748E">
        <w:t>ransitional rules 4-5</w:t>
      </w:r>
      <w:r>
        <w:t xml:space="preserve">, </w:t>
      </w:r>
      <w:r w:rsidRPr="0028748E">
        <w:t>Part 4</w:t>
      </w:r>
      <w:r>
        <w:t>,</w:t>
      </w:r>
      <w:r w:rsidRPr="0028748E">
        <w:t xml:space="preserve"> Schedule 5</w:t>
      </w:r>
      <w:r>
        <w:t xml:space="preserve"> of the NGR</w:t>
      </w:r>
      <w:r w:rsidRPr="0028748E">
        <w:t>.</w:t>
      </w:r>
    </w:p>
  </w:footnote>
  <w:footnote w:id="83">
    <w:p w14:paraId="341C9907" w14:textId="77777777" w:rsidR="00F163DB" w:rsidRDefault="00F163DB" w:rsidP="00CF729D">
      <w:pPr>
        <w:pStyle w:val="FootnoteText"/>
      </w:pPr>
      <w:r w:rsidRPr="0028748E">
        <w:rPr>
          <w:rStyle w:val="FootnoteReference"/>
        </w:rPr>
        <w:footnoteRef/>
      </w:r>
      <w:r w:rsidRPr="0028748E">
        <w:t xml:space="preserve"> </w:t>
      </w:r>
      <w:r w:rsidRPr="0028748E">
        <w:tab/>
      </w:r>
      <w:r>
        <w:t>See draft t</w:t>
      </w:r>
      <w:r w:rsidRPr="0028748E">
        <w:t>ransitional rules in Part 5</w:t>
      </w:r>
      <w:r>
        <w:t xml:space="preserve">, </w:t>
      </w:r>
      <w:r w:rsidRPr="0028748E">
        <w:t>Schedule 5</w:t>
      </w:r>
      <w:r>
        <w:t xml:space="preserve"> of the NGR</w:t>
      </w:r>
      <w:r w:rsidRPr="0028748E">
        <w:t>.</w:t>
      </w:r>
    </w:p>
  </w:footnote>
  <w:footnote w:id="84">
    <w:p w14:paraId="482763C8" w14:textId="77777777" w:rsidR="00F163DB" w:rsidRDefault="00F163DB" w:rsidP="00CF729D">
      <w:pPr>
        <w:pStyle w:val="FootnoteText"/>
      </w:pPr>
      <w:r>
        <w:rPr>
          <w:rStyle w:val="FootnoteReference"/>
        </w:rPr>
        <w:footnoteRef/>
      </w:r>
      <w:r>
        <w:t xml:space="preserve"> </w:t>
      </w:r>
      <w:r>
        <w:tab/>
        <w:t>See Subdivision 3.1, Part 24 of the NGR and the definition of ‘auction facility’ in Part 25 of the NGR.</w:t>
      </w:r>
    </w:p>
  </w:footnote>
  <w:footnote w:id="85">
    <w:p w14:paraId="2A2BB903" w14:textId="77777777" w:rsidR="00F163DB" w:rsidRDefault="00F163DB" w:rsidP="00CF729D">
      <w:pPr>
        <w:pStyle w:val="FootnoteText"/>
      </w:pPr>
      <w:r>
        <w:rPr>
          <w:rStyle w:val="FootnoteReference"/>
        </w:rPr>
        <w:footnoteRef/>
      </w:r>
      <w:r>
        <w:t xml:space="preserve"> </w:t>
      </w:r>
      <w:r>
        <w:tab/>
        <w:t>See Subdivision 2.1, Part 24 of the NGR.</w:t>
      </w:r>
    </w:p>
  </w:footnote>
  <w:footnote w:id="86">
    <w:p w14:paraId="6A657B42" w14:textId="77777777" w:rsidR="00F163DB" w:rsidRDefault="00F163DB" w:rsidP="00CF729D">
      <w:pPr>
        <w:pStyle w:val="FootnoteText"/>
      </w:pPr>
      <w:r>
        <w:rPr>
          <w:rStyle w:val="FootnoteReference"/>
        </w:rPr>
        <w:footnoteRef/>
      </w:r>
      <w:r>
        <w:t xml:space="preserve"> </w:t>
      </w:r>
      <w:r>
        <w:tab/>
        <w:t>See draft rule 632(2)(c) of the NGR.</w:t>
      </w:r>
    </w:p>
  </w:footnote>
  <w:footnote w:id="87">
    <w:p w14:paraId="523684A4" w14:textId="77777777" w:rsidR="00F163DB" w:rsidRDefault="00F163DB" w:rsidP="00CF729D">
      <w:pPr>
        <w:pStyle w:val="FootnoteText"/>
      </w:pPr>
      <w:r>
        <w:rPr>
          <w:rStyle w:val="FootnoteReference"/>
        </w:rPr>
        <w:footnoteRef/>
      </w:r>
      <w:r>
        <w:t xml:space="preserve"> </w:t>
      </w:r>
      <w:r>
        <w:tab/>
        <w:t>See Division 4, Part 24 of the NGR.</w:t>
      </w:r>
    </w:p>
  </w:footnote>
  <w:footnote w:id="88">
    <w:p w14:paraId="108B767A" w14:textId="77777777" w:rsidR="00F163DB" w:rsidRDefault="00F163DB" w:rsidP="00CF729D">
      <w:pPr>
        <w:pStyle w:val="FootnoteText"/>
      </w:pPr>
      <w:r>
        <w:rPr>
          <w:rStyle w:val="FootnoteReference"/>
        </w:rPr>
        <w:footnoteRef/>
      </w:r>
      <w:r>
        <w:t xml:space="preserve"> </w:t>
      </w:r>
      <w:r>
        <w:tab/>
        <w:t>See the proposed changes to the definition of ‘daily capacity’ and ‘nameplate rating’ in rule 141 and rule 168(2A) of the NGR.</w:t>
      </w:r>
    </w:p>
  </w:footnote>
  <w:footnote w:id="89">
    <w:p w14:paraId="514CD334" w14:textId="77777777" w:rsidR="00F163DB" w:rsidRDefault="00F163DB" w:rsidP="00CF729D">
      <w:pPr>
        <w:pStyle w:val="FootnoteText"/>
      </w:pPr>
      <w:r>
        <w:rPr>
          <w:rStyle w:val="FootnoteReference"/>
        </w:rPr>
        <w:footnoteRef/>
      </w:r>
      <w:r>
        <w:t xml:space="preserve"> </w:t>
      </w:r>
      <w:r>
        <w:tab/>
        <w:t xml:space="preserve">See the proposed change to the definition of ‘remote pipeline’ in rule 141 of the NGR. </w:t>
      </w:r>
    </w:p>
  </w:footnote>
  <w:footnote w:id="90">
    <w:p w14:paraId="0B4F442A" w14:textId="77777777" w:rsidR="00F163DB" w:rsidRDefault="00F163DB" w:rsidP="00CF729D">
      <w:pPr>
        <w:pStyle w:val="FootnoteText"/>
      </w:pPr>
      <w:r>
        <w:rPr>
          <w:rStyle w:val="FootnoteReference"/>
        </w:rPr>
        <w:footnoteRef/>
      </w:r>
      <w:r>
        <w:t xml:space="preserve"> </w:t>
      </w:r>
      <w:r>
        <w:tab/>
        <w:t>See draft rule 195B of the NGR.</w:t>
      </w:r>
    </w:p>
  </w:footnote>
  <w:footnote w:id="91">
    <w:p w14:paraId="7AF6C3AA" w14:textId="77777777" w:rsidR="00F163DB" w:rsidRDefault="00F163DB" w:rsidP="00CF729D">
      <w:pPr>
        <w:pStyle w:val="FootnoteText"/>
      </w:pPr>
      <w:r>
        <w:rPr>
          <w:rStyle w:val="FootnoteReference"/>
        </w:rPr>
        <w:footnoteRef/>
      </w:r>
      <w:r>
        <w:t xml:space="preserve"> </w:t>
      </w:r>
      <w:r>
        <w:tab/>
        <w:t xml:space="preserve">The pre-matched service allows participants to register off-market trades in listed products to the exchange for settlement. </w:t>
      </w:r>
    </w:p>
  </w:footnote>
  <w:footnote w:id="92">
    <w:p w14:paraId="67BD4ABD" w14:textId="77777777" w:rsidR="00F163DB" w:rsidRDefault="00F163DB" w:rsidP="00CF729D">
      <w:pPr>
        <w:pStyle w:val="FootnoteText"/>
      </w:pPr>
      <w:r>
        <w:rPr>
          <w:rStyle w:val="FootnoteReference"/>
          <w:rFonts w:asciiTheme="majorHAnsi" w:hAnsiTheme="majorHAnsi" w:cstheme="majorHAnsi"/>
        </w:rPr>
        <w:footnoteRef/>
      </w:r>
      <w:r>
        <w:t xml:space="preserve"> </w:t>
      </w:r>
      <w:r>
        <w:tab/>
        <w:t>See section 228H(f) of the NGL.</w:t>
      </w:r>
    </w:p>
  </w:footnote>
  <w:footnote w:id="93">
    <w:p w14:paraId="63E929C5" w14:textId="77777777" w:rsidR="00F163DB" w:rsidRDefault="00F163DB" w:rsidP="00CF729D">
      <w:pPr>
        <w:pStyle w:val="FootnoteText"/>
      </w:pPr>
      <w:r>
        <w:rPr>
          <w:rStyle w:val="FootnoteReference"/>
        </w:rPr>
        <w:footnoteRef/>
      </w:r>
      <w:r>
        <w:t xml:space="preserve"> </w:t>
      </w:r>
      <w:r>
        <w:tab/>
        <w:t>See Schedule 1 (Subject matter for the NGR) of the NGL (item 68C).</w:t>
      </w:r>
    </w:p>
  </w:footnote>
  <w:footnote w:id="94">
    <w:p w14:paraId="02F4671A" w14:textId="77777777" w:rsidR="00F163DB" w:rsidRDefault="00F163DB" w:rsidP="00CF729D">
      <w:pPr>
        <w:pStyle w:val="FootnoteText"/>
      </w:pPr>
      <w:r>
        <w:rPr>
          <w:rStyle w:val="FootnoteReference"/>
        </w:rPr>
        <w:footnoteRef/>
      </w:r>
      <w:r>
        <w:t xml:space="preserve"> </w:t>
      </w:r>
      <w:r>
        <w:tab/>
        <w:t>See section 74 of the NGL.</w:t>
      </w:r>
    </w:p>
  </w:footnote>
  <w:footnote w:id="95">
    <w:p w14:paraId="7523FF93" w14:textId="77777777" w:rsidR="00F163DB" w:rsidRPr="00E90FCB" w:rsidRDefault="00F163DB" w:rsidP="00CF729D">
      <w:pPr>
        <w:pStyle w:val="FootnoteText"/>
        <w:rPr>
          <w:szCs w:val="16"/>
        </w:rPr>
      </w:pPr>
      <w:r>
        <w:rPr>
          <w:rStyle w:val="FootnoteReference"/>
        </w:rPr>
        <w:footnoteRef/>
      </w:r>
      <w:r>
        <w:t xml:space="preserve"> </w:t>
      </w:r>
      <w:r>
        <w:tab/>
        <w:t xml:space="preserve">See section </w:t>
      </w:r>
      <w:r w:rsidRPr="00E90FCB">
        <w:rPr>
          <w:szCs w:val="16"/>
        </w:rPr>
        <w:t>91BRQ(1)</w:t>
      </w:r>
      <w:r>
        <w:rPr>
          <w:szCs w:val="16"/>
        </w:rPr>
        <w:t xml:space="preserve"> of the NGL</w:t>
      </w:r>
      <w:r w:rsidRPr="00E90FCB">
        <w:rPr>
          <w:szCs w:val="16"/>
        </w:rPr>
        <w:t>.</w:t>
      </w:r>
    </w:p>
  </w:footnote>
  <w:footnote w:id="96">
    <w:p w14:paraId="01108DEA" w14:textId="77777777" w:rsidR="00F163DB" w:rsidRPr="00E90FCB" w:rsidRDefault="00F163DB" w:rsidP="00CF729D">
      <w:pPr>
        <w:pStyle w:val="FootnoteText"/>
        <w:rPr>
          <w:szCs w:val="16"/>
        </w:rPr>
      </w:pPr>
      <w:r w:rsidRPr="00E90FCB">
        <w:rPr>
          <w:rStyle w:val="FootnoteReference"/>
          <w:szCs w:val="16"/>
        </w:rPr>
        <w:footnoteRef/>
      </w:r>
      <w:r w:rsidRPr="00E90FCB">
        <w:rPr>
          <w:szCs w:val="16"/>
        </w:rPr>
        <w:t xml:space="preserve"> </w:t>
      </w:r>
      <w:r w:rsidRPr="00E90FCB">
        <w:rPr>
          <w:szCs w:val="16"/>
        </w:rPr>
        <w:tab/>
        <w:t>See draft rule 63</w:t>
      </w:r>
      <w:r>
        <w:rPr>
          <w:szCs w:val="16"/>
        </w:rPr>
        <w:t>9 of the NGR</w:t>
      </w:r>
      <w:r w:rsidRPr="00E90FCB">
        <w:rPr>
          <w:szCs w:val="16"/>
        </w:rPr>
        <w:t>.</w:t>
      </w:r>
    </w:p>
  </w:footnote>
  <w:footnote w:id="97">
    <w:p w14:paraId="7320F696" w14:textId="77777777" w:rsidR="00F163DB" w:rsidRPr="00E90FCB" w:rsidRDefault="00F163DB" w:rsidP="00CF729D">
      <w:pPr>
        <w:pStyle w:val="TableBodyText"/>
        <w:ind w:left="357" w:hanging="357"/>
        <w:rPr>
          <w:sz w:val="16"/>
          <w:szCs w:val="16"/>
        </w:rPr>
      </w:pPr>
      <w:r w:rsidRPr="00E90FCB">
        <w:rPr>
          <w:rStyle w:val="FootnoteReference"/>
          <w:sz w:val="16"/>
          <w:szCs w:val="16"/>
        </w:rPr>
        <w:footnoteRef/>
      </w:r>
      <w:r w:rsidRPr="00E90FCB">
        <w:rPr>
          <w:sz w:val="16"/>
          <w:szCs w:val="16"/>
        </w:rPr>
        <w:t xml:space="preserve"> </w:t>
      </w:r>
      <w:r w:rsidRPr="00E90FCB">
        <w:rPr>
          <w:sz w:val="16"/>
          <w:szCs w:val="16"/>
        </w:rPr>
        <w:tab/>
        <w:t>See draft rules 536 and 536A</w:t>
      </w:r>
      <w:r>
        <w:rPr>
          <w:sz w:val="16"/>
          <w:szCs w:val="16"/>
        </w:rPr>
        <w:t xml:space="preserve"> of the NGR</w:t>
      </w:r>
      <w:r w:rsidRPr="00E90FCB">
        <w:rPr>
          <w:sz w:val="16"/>
          <w:szCs w:val="16"/>
        </w:rPr>
        <w:t xml:space="preserve">. Rule 536A </w:t>
      </w:r>
      <w:r w:rsidRPr="00E90FCB">
        <w:rPr>
          <w:sz w:val="16"/>
          <w:szCs w:val="16"/>
          <w:lang w:eastAsia="fr-CA"/>
        </w:rPr>
        <w:t>requires AEMO to</w:t>
      </w:r>
      <w:r>
        <w:rPr>
          <w:sz w:val="16"/>
          <w:szCs w:val="16"/>
          <w:lang w:eastAsia="fr-CA"/>
        </w:rPr>
        <w:t xml:space="preserve"> </w:t>
      </w:r>
      <w:r w:rsidRPr="00E90FCB">
        <w:rPr>
          <w:sz w:val="16"/>
          <w:szCs w:val="16"/>
          <w:lang w:eastAsia="fr-CA"/>
        </w:rPr>
        <w:t>develop the methodology to be used to determine the amount payable to transportation service providers</w:t>
      </w:r>
      <w:r>
        <w:rPr>
          <w:sz w:val="16"/>
          <w:szCs w:val="16"/>
          <w:lang w:eastAsia="fr-CA"/>
        </w:rPr>
        <w:t xml:space="preserve"> (</w:t>
      </w:r>
      <w:r w:rsidRPr="00E90FCB">
        <w:rPr>
          <w:sz w:val="16"/>
          <w:szCs w:val="16"/>
          <w:lang w:eastAsia="fr-CA"/>
        </w:rPr>
        <w:t>which must give effect to principles specified in this rule</w:t>
      </w:r>
      <w:r>
        <w:rPr>
          <w:sz w:val="16"/>
          <w:szCs w:val="16"/>
          <w:lang w:eastAsia="fr-CA"/>
        </w:rPr>
        <w:t xml:space="preserve">) </w:t>
      </w:r>
      <w:r w:rsidRPr="00E90FCB">
        <w:rPr>
          <w:sz w:val="16"/>
          <w:szCs w:val="16"/>
          <w:lang w:eastAsia="fr-CA"/>
        </w:rPr>
        <w:t>and</w:t>
      </w:r>
      <w:r>
        <w:rPr>
          <w:sz w:val="16"/>
          <w:szCs w:val="16"/>
          <w:lang w:eastAsia="fr-CA"/>
        </w:rPr>
        <w:t xml:space="preserve"> </w:t>
      </w:r>
      <w:r w:rsidRPr="00E90FCB">
        <w:rPr>
          <w:sz w:val="16"/>
          <w:szCs w:val="16"/>
          <w:lang w:eastAsia="fr-CA"/>
        </w:rPr>
        <w:t>determine the amount to be paid to transportation service providers if a termination occurs, which must be calculated in accordance with the methodology and paid in accordance with the arrangements set out in the methodology.</w:t>
      </w:r>
    </w:p>
  </w:footnote>
  <w:footnote w:id="98">
    <w:p w14:paraId="52A0DB9E" w14:textId="77777777" w:rsidR="00F163DB" w:rsidRDefault="00F163DB" w:rsidP="00CF729D">
      <w:pPr>
        <w:pStyle w:val="FootnoteText"/>
      </w:pPr>
      <w:r>
        <w:rPr>
          <w:rStyle w:val="FootnoteReference"/>
        </w:rPr>
        <w:footnoteRef/>
      </w:r>
      <w:r>
        <w:t xml:space="preserve"> </w:t>
      </w:r>
      <w:r>
        <w:tab/>
        <w:t>See draft rule 638 of the NGR.</w:t>
      </w:r>
    </w:p>
  </w:footnote>
  <w:footnote w:id="99">
    <w:p w14:paraId="00161CD6" w14:textId="77777777" w:rsidR="00F163DB" w:rsidRDefault="00F163DB" w:rsidP="00CF729D">
      <w:pPr>
        <w:pStyle w:val="FootnoteText"/>
      </w:pPr>
      <w:r>
        <w:rPr>
          <w:rStyle w:val="FootnoteReference"/>
        </w:rPr>
        <w:footnoteRef/>
      </w:r>
      <w:r>
        <w:t xml:space="preserve"> </w:t>
      </w:r>
      <w:r>
        <w:tab/>
        <w:t>See rule 534, Part 22 of the NGR.</w:t>
      </w:r>
    </w:p>
  </w:footnote>
  <w:footnote w:id="100">
    <w:p w14:paraId="6B5CE873" w14:textId="77777777" w:rsidR="00F163DB" w:rsidRDefault="00F163DB" w:rsidP="00CF729D">
      <w:pPr>
        <w:pStyle w:val="FootnoteText"/>
      </w:pPr>
      <w:r>
        <w:rPr>
          <w:rStyle w:val="FootnoteReference"/>
        </w:rPr>
        <w:footnoteRef/>
      </w:r>
      <w:r>
        <w:t xml:space="preserve"> </w:t>
      </w:r>
      <w:r>
        <w:tab/>
        <w:t>See Subdivision 2.1, Part 24 of the NGR.</w:t>
      </w:r>
    </w:p>
  </w:footnote>
  <w:footnote w:id="101">
    <w:p w14:paraId="664E7225" w14:textId="77777777" w:rsidR="00F163DB" w:rsidRDefault="00F163DB" w:rsidP="00CF729D">
      <w:pPr>
        <w:pStyle w:val="FootnoteText"/>
      </w:pPr>
      <w:r>
        <w:rPr>
          <w:rStyle w:val="FootnoteReference"/>
        </w:rPr>
        <w:footnoteRef/>
      </w:r>
      <w:r>
        <w:t xml:space="preserve"> </w:t>
      </w:r>
      <w:r>
        <w:tab/>
        <w:t>See Division 4, Part 24 of the NGR.</w:t>
      </w:r>
    </w:p>
  </w:footnote>
  <w:footnote w:id="102">
    <w:p w14:paraId="6A7DF258" w14:textId="77777777" w:rsidR="00F163DB" w:rsidRDefault="00F163DB" w:rsidP="00CF729D">
      <w:pPr>
        <w:pStyle w:val="FootnoteText"/>
      </w:pPr>
      <w:r>
        <w:rPr>
          <w:rStyle w:val="FootnoteReference"/>
        </w:rPr>
        <w:footnoteRef/>
      </w:r>
      <w:r>
        <w:t xml:space="preserve"> </w:t>
      </w:r>
      <w:r>
        <w:tab/>
        <w:t>Allocation agreements specify the rules that are to be used by the allocation agent to allocate gas that is metered as having been supplied (or deemed to have been delivered) to a multi-user receipt or delivery point between shippers using these points.</w:t>
      </w:r>
    </w:p>
  </w:footnote>
  <w:footnote w:id="103">
    <w:p w14:paraId="7CC7124D" w14:textId="77777777" w:rsidR="00F163DB" w:rsidRDefault="00F163DB" w:rsidP="00CF729D">
      <w:pPr>
        <w:pStyle w:val="FootnoteText"/>
      </w:pPr>
      <w:r>
        <w:rPr>
          <w:rStyle w:val="FootnoteReference"/>
        </w:rPr>
        <w:footnoteRef/>
      </w:r>
      <w:r>
        <w:t xml:space="preserve"> </w:t>
      </w:r>
      <w:r>
        <w:tab/>
        <w:t>See the proposed changes to the definition of ‘daily capacity’ and ‘nameplate rating’ in rule 141 and rule 168(2A), Part 18 of the NGR.</w:t>
      </w:r>
    </w:p>
  </w:footnote>
  <w:footnote w:id="104">
    <w:p w14:paraId="7C16093B" w14:textId="77777777" w:rsidR="00F163DB" w:rsidRDefault="00F163DB" w:rsidP="00CF729D">
      <w:pPr>
        <w:pStyle w:val="FootnoteText"/>
      </w:pPr>
      <w:r>
        <w:rPr>
          <w:rStyle w:val="FootnoteReference"/>
        </w:rPr>
        <w:footnoteRef/>
      </w:r>
      <w:r>
        <w:t xml:space="preserve"> </w:t>
      </w:r>
      <w:r>
        <w:tab/>
        <w:t xml:space="preserve">See the proposed change to the definition of ‘remote pipeline’ in rule 141, Part 18 of the NGR. </w:t>
      </w:r>
    </w:p>
  </w:footnote>
  <w:footnote w:id="105">
    <w:p w14:paraId="746D26F9" w14:textId="77777777" w:rsidR="00F163DB" w:rsidRDefault="00F163DB" w:rsidP="00CF729D">
      <w:pPr>
        <w:pStyle w:val="FootnoteText"/>
      </w:pPr>
      <w:r>
        <w:rPr>
          <w:rStyle w:val="FootnoteReference"/>
        </w:rPr>
        <w:footnoteRef/>
      </w:r>
      <w:r>
        <w:t xml:space="preserve"> </w:t>
      </w:r>
      <w:r>
        <w:tab/>
        <w:t xml:space="preserve">The GMRG also recommended that additional work be carried out to determine whether any other reforms are required to reduce the barriers to trade posed by allocation arrangements. To this end, the GMRG has retained </w:t>
      </w:r>
      <w:r>
        <w:rPr>
          <w:rFonts w:cs="Arial"/>
          <w:szCs w:val="18"/>
        </w:rPr>
        <w:t>Oakley Greenwood to carry out a review of allocation arrangements and to provide advice on whether any further reforms can be implemented to reduce the barriers to trade associated with allocation arrangements. Any proposed reforms arising from this work will need to be approved by the Energy Council and so will not form part of the current changes to the legislative and regulatory framework.</w:t>
      </w:r>
    </w:p>
  </w:footnote>
  <w:footnote w:id="106">
    <w:p w14:paraId="1A7D191E" w14:textId="77777777" w:rsidR="00F163DB" w:rsidRDefault="00F163DB" w:rsidP="00CF729D">
      <w:pPr>
        <w:pStyle w:val="FootnoteText"/>
      </w:pPr>
      <w:r>
        <w:rPr>
          <w:rStyle w:val="FootnoteReference"/>
        </w:rPr>
        <w:footnoteRef/>
      </w:r>
      <w:r>
        <w:t xml:space="preserve"> </w:t>
      </w:r>
      <w:r>
        <w:tab/>
        <w:t>See section 74 and Schedule 1 (item 55B) of the NGL.</w:t>
      </w:r>
    </w:p>
  </w:footnote>
  <w:footnote w:id="107">
    <w:p w14:paraId="4C3954B6" w14:textId="77777777" w:rsidR="00F163DB" w:rsidRDefault="00F163DB" w:rsidP="00CF729D">
      <w:pPr>
        <w:pStyle w:val="FootnoteText"/>
      </w:pPr>
      <w:r>
        <w:rPr>
          <w:rStyle w:val="FootnoteReference"/>
        </w:rPr>
        <w:footnoteRef/>
      </w:r>
      <w:r>
        <w:t xml:space="preserve"> </w:t>
      </w:r>
      <w:r>
        <w:tab/>
        <w:t>See sections 218 and 219 of the NGL.</w:t>
      </w:r>
    </w:p>
  </w:footnote>
  <w:footnote w:id="108">
    <w:p w14:paraId="4E73A887" w14:textId="77777777" w:rsidR="00F163DB" w:rsidRDefault="00F163DB" w:rsidP="00CF729D">
      <w:pPr>
        <w:pStyle w:val="FootnoteText"/>
      </w:pPr>
      <w:r>
        <w:rPr>
          <w:rStyle w:val="FootnoteReference"/>
        </w:rPr>
        <w:footnoteRef/>
      </w:r>
      <w:r>
        <w:t xml:space="preserve"> </w:t>
      </w:r>
      <w:r>
        <w:tab/>
        <w:t>See section 223A of the NGL.</w:t>
      </w:r>
    </w:p>
  </w:footnote>
  <w:footnote w:id="109">
    <w:p w14:paraId="461517C9" w14:textId="77777777" w:rsidR="00F163DB" w:rsidRDefault="00F163DB" w:rsidP="00CF729D">
      <w:pPr>
        <w:pStyle w:val="FootnoteText"/>
      </w:pPr>
      <w:r>
        <w:rPr>
          <w:rStyle w:val="FootnoteReference"/>
        </w:rPr>
        <w:footnoteRef/>
      </w:r>
      <w:r>
        <w:t xml:space="preserve"> </w:t>
      </w:r>
      <w:r>
        <w:tab/>
        <w:t>See section 223(1)(b) of the NGL.</w:t>
      </w:r>
    </w:p>
  </w:footnote>
  <w:footnote w:id="110">
    <w:p w14:paraId="323E6492" w14:textId="77777777" w:rsidR="00F163DB" w:rsidRDefault="00F163DB" w:rsidP="00CF729D">
      <w:pPr>
        <w:pStyle w:val="FootnoteText"/>
      </w:pPr>
      <w:r>
        <w:rPr>
          <w:rStyle w:val="FootnoteReference"/>
        </w:rPr>
        <w:footnoteRef/>
      </w:r>
      <w:r>
        <w:t xml:space="preserve"> </w:t>
      </w:r>
      <w:r>
        <w:tab/>
        <w:t>See draft rule 195A of the NGR.</w:t>
      </w:r>
    </w:p>
  </w:footnote>
  <w:footnote w:id="111">
    <w:p w14:paraId="1EA4F3C2" w14:textId="77777777" w:rsidR="00F163DB" w:rsidRDefault="00F163DB" w:rsidP="00CF729D">
      <w:pPr>
        <w:pStyle w:val="FootnoteText"/>
      </w:pPr>
      <w:r>
        <w:rPr>
          <w:rStyle w:val="FootnoteReference"/>
        </w:rPr>
        <w:footnoteRef/>
      </w:r>
      <w:r>
        <w:t xml:space="preserve"> </w:t>
      </w:r>
      <w:r>
        <w:tab/>
        <w:t>See draft rules 158C and 158D of the NGR.</w:t>
      </w:r>
    </w:p>
  </w:footnote>
  <w:footnote w:id="112">
    <w:p w14:paraId="39280E3A" w14:textId="77777777" w:rsidR="00F163DB" w:rsidRDefault="00F163DB" w:rsidP="00CF729D">
      <w:pPr>
        <w:pStyle w:val="FootnoteText"/>
      </w:pPr>
      <w:r>
        <w:rPr>
          <w:rStyle w:val="FootnoteReference"/>
        </w:rPr>
        <w:footnoteRef/>
      </w:r>
      <w:r>
        <w:t xml:space="preserve"> </w:t>
      </w:r>
      <w:r>
        <w:tab/>
        <w:t>See draft rule 190A</w:t>
      </w:r>
      <w:r w:rsidRPr="00500BFE">
        <w:t xml:space="preserve"> </w:t>
      </w:r>
      <w:r>
        <w:t>of the NGR.</w:t>
      </w:r>
    </w:p>
  </w:footnote>
  <w:footnote w:id="113">
    <w:p w14:paraId="50B69C1D" w14:textId="77777777" w:rsidR="00F163DB" w:rsidRPr="006A3212" w:rsidRDefault="00F163DB" w:rsidP="00CF729D">
      <w:pPr>
        <w:pStyle w:val="FootnoteText"/>
        <w:rPr>
          <w:b/>
          <w:i/>
        </w:rPr>
      </w:pPr>
      <w:r>
        <w:rPr>
          <w:rStyle w:val="FootnoteReference"/>
        </w:rPr>
        <w:footnoteRef/>
      </w:r>
      <w:r>
        <w:t xml:space="preserve"> </w:t>
      </w:r>
      <w:r>
        <w:tab/>
      </w:r>
      <w:r w:rsidRPr="008B3B1D">
        <w:t>See draft rule 195A of the NGR.</w:t>
      </w:r>
      <w:r>
        <w:t xml:space="preserve"> </w:t>
      </w:r>
    </w:p>
  </w:footnote>
  <w:footnote w:id="114">
    <w:p w14:paraId="088FE499" w14:textId="77777777" w:rsidR="00F163DB" w:rsidRDefault="00F163DB" w:rsidP="00CF729D">
      <w:pPr>
        <w:pStyle w:val="FootnoteText"/>
      </w:pPr>
      <w:r>
        <w:rPr>
          <w:rStyle w:val="FootnoteReference"/>
        </w:rPr>
        <w:footnoteRef/>
      </w:r>
      <w:r>
        <w:t xml:space="preserve"> </w:t>
      </w:r>
      <w:r>
        <w:tab/>
        <w:t>See draft transitional rule 2, Part 2, Schedule 5 of the NGR.</w:t>
      </w:r>
    </w:p>
  </w:footnote>
  <w:footnote w:id="115">
    <w:p w14:paraId="13416FD1" w14:textId="77777777" w:rsidR="00F163DB" w:rsidRDefault="00F163DB" w:rsidP="00CF729D">
      <w:pPr>
        <w:pStyle w:val="FootnoteText"/>
      </w:pPr>
      <w:r>
        <w:rPr>
          <w:rStyle w:val="FootnoteReference"/>
        </w:rPr>
        <w:footnoteRef/>
      </w:r>
      <w:r>
        <w:t xml:space="preserve"> </w:t>
      </w:r>
      <w:r>
        <w:tab/>
        <w:t>See definitions of BB allocation point and BB allocation agent in rule 141 of the NGR.</w:t>
      </w:r>
    </w:p>
  </w:footnote>
  <w:footnote w:id="116">
    <w:p w14:paraId="506B5B2C" w14:textId="77777777" w:rsidR="00F163DB" w:rsidRDefault="00F163DB" w:rsidP="00CF729D">
      <w:pPr>
        <w:pStyle w:val="FootnoteText"/>
      </w:pPr>
      <w:r>
        <w:rPr>
          <w:rStyle w:val="FootnoteReference"/>
        </w:rPr>
        <w:footnoteRef/>
      </w:r>
      <w:r>
        <w:t xml:space="preserve"> </w:t>
      </w:r>
      <w:r>
        <w:tab/>
        <w:t>See draft rules 158A and 158B of the NGR.</w:t>
      </w:r>
    </w:p>
  </w:footnote>
  <w:footnote w:id="117">
    <w:p w14:paraId="4195944E" w14:textId="77777777" w:rsidR="00F163DB" w:rsidRPr="00642C23" w:rsidRDefault="00F163DB" w:rsidP="00CF729D">
      <w:pPr>
        <w:pStyle w:val="FootnoteText"/>
        <w:rPr>
          <w:b/>
          <w:i/>
        </w:rPr>
      </w:pPr>
      <w:r>
        <w:rPr>
          <w:rStyle w:val="FootnoteReference"/>
        </w:rPr>
        <w:footnoteRef/>
      </w:r>
      <w:r>
        <w:t xml:space="preserve"> </w:t>
      </w:r>
      <w:r>
        <w:tab/>
      </w:r>
      <w:r w:rsidRPr="008B3B1D">
        <w:t>See draft rule 170A of the NGR.</w:t>
      </w:r>
      <w:r>
        <w:t xml:space="preserve"> </w:t>
      </w:r>
    </w:p>
  </w:footnote>
  <w:footnote w:id="118">
    <w:p w14:paraId="22674EB4" w14:textId="77777777" w:rsidR="00F163DB" w:rsidRDefault="00F163DB" w:rsidP="00CF729D">
      <w:pPr>
        <w:pStyle w:val="FootnoteText"/>
      </w:pPr>
      <w:r>
        <w:rPr>
          <w:rStyle w:val="FootnoteReference"/>
        </w:rPr>
        <w:footnoteRef/>
      </w:r>
      <w:r>
        <w:t xml:space="preserve"> </w:t>
      </w:r>
      <w:r>
        <w:tab/>
        <w:t>See draft transitional rule 3, Part 2, Schedule 5 of the NGR.</w:t>
      </w:r>
    </w:p>
  </w:footnote>
  <w:footnote w:id="119">
    <w:p w14:paraId="7043051D" w14:textId="77777777" w:rsidR="00F163DB" w:rsidRDefault="00F163DB" w:rsidP="00CF729D">
      <w:pPr>
        <w:pStyle w:val="FootnoteText"/>
      </w:pPr>
      <w:r>
        <w:rPr>
          <w:rStyle w:val="FootnoteReference"/>
        </w:rPr>
        <w:footnoteRef/>
      </w:r>
      <w:r>
        <w:t xml:space="preserve"> </w:t>
      </w:r>
      <w:r>
        <w:tab/>
        <w:t>See draft rule 195B of the NGR.</w:t>
      </w:r>
    </w:p>
  </w:footnote>
  <w:footnote w:id="120">
    <w:p w14:paraId="56280C71" w14:textId="77777777" w:rsidR="00F163DB" w:rsidRDefault="00F163DB" w:rsidP="00CF729D">
      <w:pPr>
        <w:pStyle w:val="FootnoteText"/>
      </w:pPr>
      <w:r>
        <w:rPr>
          <w:rStyle w:val="FootnoteReference"/>
        </w:rPr>
        <w:footnoteRef/>
      </w:r>
      <w:r>
        <w:t xml:space="preserve"> </w:t>
      </w:r>
      <w:r>
        <w:tab/>
        <w:t>See the proposed changes to the definition of ‘daily capacity’ and ‘nameplate rating’ in rule 141 and rule 168(2A) of the NGR.</w:t>
      </w:r>
    </w:p>
  </w:footnote>
  <w:footnote w:id="121">
    <w:p w14:paraId="59721BE6" w14:textId="77777777" w:rsidR="00F163DB" w:rsidRDefault="00F163DB" w:rsidP="00CF729D">
      <w:pPr>
        <w:pStyle w:val="FootnoteText"/>
      </w:pPr>
      <w:r>
        <w:rPr>
          <w:rStyle w:val="FootnoteReference"/>
        </w:rPr>
        <w:footnoteRef/>
      </w:r>
      <w:r>
        <w:t xml:space="preserve"> </w:t>
      </w:r>
      <w:r>
        <w:tab/>
        <w:t xml:space="preserve">See the proposed change to the definition of ‘remote pipeline’ in rule 141 of the NGR. </w:t>
      </w:r>
    </w:p>
  </w:footnote>
  <w:footnote w:id="122">
    <w:p w14:paraId="09A52006" w14:textId="77777777" w:rsidR="00F163DB" w:rsidRDefault="00F163DB" w:rsidP="00CF729D">
      <w:pPr>
        <w:pStyle w:val="FootnoteText"/>
      </w:pPr>
      <w:r>
        <w:rPr>
          <w:rStyle w:val="FootnoteReference"/>
        </w:rPr>
        <w:footnoteRef/>
      </w:r>
      <w:r>
        <w:t xml:space="preserve"> </w:t>
      </w:r>
      <w:r>
        <w:tab/>
        <w:t>AEMC, Final rule determination: National Gas Amendment (Improvements to the Natural Gas Bulletin Board) Rule 2017, 26 September 2017.</w:t>
      </w:r>
    </w:p>
  </w:footnote>
  <w:footnote w:id="123">
    <w:p w14:paraId="1ECA3503" w14:textId="77777777" w:rsidR="00F163DB" w:rsidRDefault="00F163DB" w:rsidP="00CF729D">
      <w:pPr>
        <w:pStyle w:val="FootnoteText"/>
      </w:pPr>
      <w:r>
        <w:rPr>
          <w:rStyle w:val="FootnoteReference"/>
        </w:rPr>
        <w:footnoteRef/>
      </w:r>
      <w:r>
        <w:t xml:space="preserve"> </w:t>
      </w:r>
      <w:r>
        <w:tab/>
        <w:t>See AEMC, Final rule determination: National Gas Amendment (Gas day harmonisation) Rule 2017, 16 February 2017, pp. 21-24.</w:t>
      </w:r>
    </w:p>
  </w:footnote>
  <w:footnote w:id="124">
    <w:p w14:paraId="4E607BB9" w14:textId="77777777" w:rsidR="00F163DB" w:rsidRDefault="00F163DB" w:rsidP="00CF729D">
      <w:pPr>
        <w:pStyle w:val="FootnoteText"/>
      </w:pPr>
      <w:r>
        <w:rPr>
          <w:rStyle w:val="FootnoteReference"/>
        </w:rPr>
        <w:footnoteRef/>
      </w:r>
      <w:r>
        <w:t xml:space="preserve"> </w:t>
      </w:r>
      <w:r>
        <w:tab/>
        <w:t>Ibid.</w:t>
      </w:r>
    </w:p>
  </w:footnote>
  <w:footnote w:id="125">
    <w:p w14:paraId="6677348F" w14:textId="77777777" w:rsidR="00F163DB" w:rsidRDefault="00F163DB" w:rsidP="00CF729D">
      <w:pPr>
        <w:pStyle w:val="FootnoteText"/>
      </w:pPr>
      <w:r>
        <w:rPr>
          <w:rStyle w:val="FootnoteReference"/>
        </w:rPr>
        <w:footnoteRef/>
      </w:r>
      <w:r>
        <w:t xml:space="preserve"> </w:t>
      </w:r>
      <w:r>
        <w:tab/>
        <w:t>See clauses 2 and 18, Part 5 of the Operational Transportation Service Code.</w:t>
      </w:r>
    </w:p>
  </w:footnote>
  <w:footnote w:id="126">
    <w:p w14:paraId="06282F50" w14:textId="77777777" w:rsidR="00F163DB" w:rsidRDefault="00F163DB" w:rsidP="00CF729D">
      <w:pPr>
        <w:pStyle w:val="FootnoteText"/>
      </w:pPr>
      <w:r>
        <w:rPr>
          <w:rStyle w:val="FootnoteReference"/>
        </w:rPr>
        <w:footnoteRef/>
      </w:r>
      <w:r>
        <w:t xml:space="preserve"> </w:t>
      </w:r>
      <w:r>
        <w:tab/>
        <w:t xml:space="preserve">The SA Minister will also be given the power to make the initial Rules to implement the standard market timetable </w:t>
      </w:r>
    </w:p>
  </w:footnote>
  <w:footnote w:id="127">
    <w:p w14:paraId="4EABCFFA" w14:textId="77777777" w:rsidR="00F163DB" w:rsidRDefault="00F163DB" w:rsidP="00CF729D">
      <w:pPr>
        <w:pStyle w:val="FootnoteText"/>
      </w:pPr>
      <w:r>
        <w:rPr>
          <w:rStyle w:val="FootnoteReference"/>
        </w:rPr>
        <w:footnoteRef/>
      </w:r>
      <w:r>
        <w:t xml:space="preserve"> </w:t>
      </w:r>
      <w:r>
        <w:tab/>
        <w:t>This change is reflected in the proposed amendment to Schedule 1 (Subject matter for the NGR) of the NGL (item 69A).</w:t>
      </w:r>
    </w:p>
  </w:footnote>
  <w:footnote w:id="128">
    <w:p w14:paraId="30568156" w14:textId="77777777" w:rsidR="00F163DB" w:rsidRDefault="00F163DB" w:rsidP="00CF729D">
      <w:pPr>
        <w:pStyle w:val="FootnoteText"/>
      </w:pPr>
      <w:r>
        <w:rPr>
          <w:rStyle w:val="FootnoteReference"/>
        </w:rPr>
        <w:footnoteRef/>
      </w:r>
      <w:r>
        <w:t xml:space="preserve"> </w:t>
      </w:r>
      <w:r>
        <w:tab/>
        <w:t>See section 2 of the NGL.</w:t>
      </w:r>
    </w:p>
  </w:footnote>
  <w:footnote w:id="129">
    <w:p w14:paraId="01ACA014" w14:textId="77777777" w:rsidR="00F163DB" w:rsidRDefault="00F163DB" w:rsidP="00CF729D">
      <w:pPr>
        <w:pStyle w:val="FootnoteText"/>
      </w:pPr>
      <w:r>
        <w:rPr>
          <w:rStyle w:val="FootnoteReference"/>
        </w:rPr>
        <w:footnoteRef/>
      </w:r>
      <w:r>
        <w:t xml:space="preserve"> </w:t>
      </w:r>
      <w:r>
        <w:tab/>
        <w:t>See section 83B(3) and section 83C of the NGL.</w:t>
      </w:r>
    </w:p>
  </w:footnote>
  <w:footnote w:id="130">
    <w:p w14:paraId="5685DEF4" w14:textId="77777777" w:rsidR="00F163DB" w:rsidRDefault="00F163DB" w:rsidP="00CF729D">
      <w:pPr>
        <w:pStyle w:val="FootnoteText"/>
      </w:pPr>
      <w:r>
        <w:rPr>
          <w:rStyle w:val="FootnoteReference"/>
        </w:rPr>
        <w:footnoteRef/>
      </w:r>
      <w:r>
        <w:t xml:space="preserve"> </w:t>
      </w:r>
      <w:r>
        <w:tab/>
        <w:t>See section 83D of the NGL.</w:t>
      </w:r>
    </w:p>
  </w:footnote>
  <w:footnote w:id="131">
    <w:p w14:paraId="68C71F9E" w14:textId="77777777" w:rsidR="00F163DB" w:rsidRDefault="00F163DB" w:rsidP="00CF729D">
      <w:pPr>
        <w:pStyle w:val="FootnoteText"/>
      </w:pPr>
      <w:r>
        <w:rPr>
          <w:rStyle w:val="FootnoteReference"/>
        </w:rPr>
        <w:footnoteRef/>
      </w:r>
      <w:r>
        <w:t xml:space="preserve"> </w:t>
      </w:r>
      <w:r>
        <w:tab/>
        <w:t>See section 322 of the NGL.</w:t>
      </w:r>
    </w:p>
  </w:footnote>
  <w:footnote w:id="132">
    <w:p w14:paraId="3A14CD3C" w14:textId="77777777" w:rsidR="00F163DB" w:rsidRDefault="00F163DB" w:rsidP="00CF729D">
      <w:pPr>
        <w:pStyle w:val="FootnoteText"/>
      </w:pPr>
      <w:r>
        <w:rPr>
          <w:rStyle w:val="FootnoteReference"/>
        </w:rPr>
        <w:footnoteRef/>
      </w:r>
      <w:r>
        <w:t xml:space="preserve"> </w:t>
      </w:r>
      <w:r>
        <w:tab/>
        <w:t>AEMC, Final rule determination: National Gas Amendment (Gas day harmonisation) Rule 2017, 16 February 2017.</w:t>
      </w:r>
    </w:p>
  </w:footnote>
  <w:footnote w:id="133">
    <w:p w14:paraId="4B1252A9" w14:textId="77777777" w:rsidR="00F163DB" w:rsidRDefault="00F163DB" w:rsidP="00CF729D">
      <w:pPr>
        <w:pStyle w:val="FootnoteText"/>
      </w:pPr>
      <w:r>
        <w:rPr>
          <w:rStyle w:val="FootnoteReference"/>
        </w:rPr>
        <w:footnoteRef/>
      </w:r>
      <w:r>
        <w:t xml:space="preserve"> </w:t>
      </w:r>
      <w:r>
        <w:tab/>
        <w:t>See draft rule 678(1) and (3) of the NGR.</w:t>
      </w:r>
    </w:p>
  </w:footnote>
  <w:footnote w:id="134">
    <w:p w14:paraId="18F9EB66" w14:textId="77777777" w:rsidR="00F163DB" w:rsidRDefault="00F163DB" w:rsidP="00CF729D">
      <w:pPr>
        <w:pStyle w:val="FootnoteText"/>
      </w:pPr>
      <w:r>
        <w:rPr>
          <w:rStyle w:val="FootnoteReference"/>
        </w:rPr>
        <w:footnoteRef/>
      </w:r>
      <w:r>
        <w:t xml:space="preserve"> </w:t>
      </w:r>
      <w:r>
        <w:tab/>
        <w:t>See draft rule 678(2) and (4) of the NGR.</w:t>
      </w:r>
    </w:p>
  </w:footnote>
  <w:footnote w:id="135">
    <w:p w14:paraId="46C85EE7" w14:textId="77777777" w:rsidR="00F163DB" w:rsidRDefault="00F163DB" w:rsidP="00CF729D">
      <w:pPr>
        <w:pStyle w:val="FootnoteText"/>
      </w:pPr>
      <w:r>
        <w:rPr>
          <w:rStyle w:val="FootnoteReference"/>
        </w:rPr>
        <w:footnoteRef/>
      </w:r>
      <w:r>
        <w:t xml:space="preserve"> </w:t>
      </w:r>
      <w:r>
        <w:tab/>
        <w:t>See draft rule 678(6) and (7) of the NGR.</w:t>
      </w:r>
    </w:p>
  </w:footnote>
  <w:footnote w:id="136">
    <w:p w14:paraId="0FED9C43" w14:textId="77777777" w:rsidR="00F163DB" w:rsidRDefault="00F163DB" w:rsidP="00CF729D">
      <w:pPr>
        <w:pStyle w:val="FootnoteText"/>
      </w:pPr>
      <w:r>
        <w:rPr>
          <w:rStyle w:val="FootnoteReference"/>
        </w:rPr>
        <w:footnoteRef/>
      </w:r>
      <w:r>
        <w:t xml:space="preserve"> </w:t>
      </w:r>
      <w:r>
        <w:tab/>
        <w:t>See Part 6, Schedule 5 of the NGR.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F61695" w14:textId="77777777" w:rsidR="00F163DB" w:rsidRDefault="00F163DB">
    <w:pPr>
      <w:pStyle w:val="Header"/>
    </w:pPr>
    <w:bookmarkStart w:id="1" w:name="_Hlk508461630"/>
    <w:bookmarkStart w:id="2" w:name="_Hlk508461631"/>
    <w:bookmarkStart w:id="3" w:name="_Hlk508797776"/>
    <w:bookmarkStart w:id="4" w:name="_Hlk508797777"/>
    <w:bookmarkEnd w:id="1"/>
    <w:bookmarkEnd w:id="2"/>
    <w:bookmarkEnd w:id="3"/>
    <w:bookmarkEnd w:id="4"/>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FEC55A" w14:textId="77777777" w:rsidR="00F163DB" w:rsidRDefault="00F163DB" w:rsidP="00EF6187">
    <w:pPr>
      <w:pStyle w:val="Header"/>
      <w:ind w:left="-623" w:hanging="142"/>
    </w:pPr>
    <w:r>
      <w:rPr>
        <w:b/>
        <w:noProof/>
        <w:sz w:val="24"/>
        <w:szCs w:val="24"/>
        <w:lang w:eastAsia="en-AU"/>
      </w:rPr>
      <w:drawing>
        <wp:inline distT="0" distB="0" distL="0" distR="0" wp14:anchorId="6E960EBB" wp14:editId="63405DE8">
          <wp:extent cx="504825" cy="857250"/>
          <wp:effectExtent l="0" t="0" r="9525" b="0"/>
          <wp:docPr id="15" name="Picture 15"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0D8251" w14:textId="77777777" w:rsidR="00F163DB" w:rsidRDefault="00F163DB" w:rsidP="00EF6187">
    <w:pPr>
      <w:pStyle w:val="Header"/>
      <w:ind w:left="-623" w:hanging="142"/>
    </w:pPr>
    <w:r>
      <w:rPr>
        <w:b/>
        <w:noProof/>
        <w:sz w:val="24"/>
        <w:szCs w:val="24"/>
        <w:lang w:eastAsia="en-AU"/>
      </w:rPr>
      <w:drawing>
        <wp:inline distT="0" distB="0" distL="0" distR="0" wp14:anchorId="19D9CC5F" wp14:editId="62AA9A6E">
          <wp:extent cx="504825" cy="857250"/>
          <wp:effectExtent l="0" t="0" r="9525" b="0"/>
          <wp:docPr id="10" name="Picture 10"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EE1A4F" w14:textId="17D9EF24" w:rsidR="00F163DB" w:rsidRPr="00E35A55" w:rsidRDefault="003B3634" w:rsidP="00F61E4D">
    <w:pPr>
      <w:pStyle w:val="Header"/>
      <w:tabs>
        <w:tab w:val="clear" w:pos="7796"/>
        <w:tab w:val="left" w:pos="4621"/>
      </w:tabs>
      <w:ind w:left="-623" w:hanging="142"/>
      <w:rPr>
        <w:b/>
        <w:sz w:val="24"/>
        <w:szCs w:val="24"/>
      </w:rPr>
    </w:pPr>
    <w:r>
      <w:rPr>
        <w:b/>
        <w:noProof/>
        <w:sz w:val="24"/>
        <w:szCs w:val="24"/>
        <w:lang w:eastAsia="en-AU"/>
      </w:rPr>
      <w:pict w14:anchorId="0EFC4C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GMRG Logo" style="width:40.85pt;height:65.55pt">
          <v:imagedata r:id="rId1" o:title="GMRG-logo-stacked-small"/>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B1F5B" w14:textId="77777777" w:rsidR="00F163DB" w:rsidRPr="00570893" w:rsidRDefault="00F163DB" w:rsidP="00570893">
    <w:pPr>
      <w:pStyle w:val="Header"/>
      <w:ind w:left="-993" w:hanging="28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51D1F" w14:textId="77777777" w:rsidR="00F163DB" w:rsidRPr="00570893" w:rsidRDefault="00F163DB" w:rsidP="00F61E4D">
    <w:pPr>
      <w:pStyle w:val="Header"/>
      <w:ind w:left="-623" w:hanging="142"/>
    </w:pPr>
    <w:bookmarkStart w:id="33" w:name="_Hlk491874944"/>
    <w:bookmarkStart w:id="34" w:name="_Hlk491874945"/>
    <w:bookmarkStart w:id="35" w:name="_Hlk491874946"/>
    <w:bookmarkStart w:id="36" w:name="_Hlk492057941"/>
    <w:bookmarkStart w:id="37" w:name="_Hlk492057942"/>
    <w:bookmarkStart w:id="38" w:name="_Hlk492057943"/>
    <w:bookmarkStart w:id="39" w:name="_Hlk492112240"/>
    <w:bookmarkStart w:id="40" w:name="_Hlk492112241"/>
    <w:bookmarkStart w:id="41" w:name="_Hlk492112242"/>
    <w:bookmarkStart w:id="42" w:name="_Hlk508461626"/>
    <w:bookmarkStart w:id="43" w:name="_Hlk508461627"/>
    <w:bookmarkStart w:id="44" w:name="_Hlk508797767"/>
    <w:bookmarkStart w:id="45" w:name="_Hlk508797768"/>
    <w:r>
      <w:rPr>
        <w:b/>
        <w:noProof/>
        <w:sz w:val="24"/>
        <w:szCs w:val="24"/>
        <w:lang w:eastAsia="en-AU"/>
      </w:rPr>
      <w:drawing>
        <wp:inline distT="0" distB="0" distL="0" distR="0" wp14:anchorId="0010B921" wp14:editId="5D9FC4DE">
          <wp:extent cx="504825" cy="838200"/>
          <wp:effectExtent l="0" t="0" r="9525" b="0"/>
          <wp:docPr id="6" name="Picture 6"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RG-logo-stacked-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38200"/>
                  </a:xfrm>
                  <a:prstGeom prst="rect">
                    <a:avLst/>
                  </a:prstGeom>
                  <a:noFill/>
                  <a:ln>
                    <a:noFill/>
                  </a:ln>
                </pic:spPr>
              </pic:pic>
            </a:graphicData>
          </a:graphic>
        </wp:inline>
      </w:drawing>
    </w:r>
    <w:bookmarkEnd w:id="33"/>
    <w:bookmarkEnd w:id="34"/>
    <w:bookmarkEnd w:id="35"/>
    <w:bookmarkEnd w:id="36"/>
    <w:bookmarkEnd w:id="37"/>
    <w:bookmarkEnd w:id="38"/>
    <w:bookmarkEnd w:id="39"/>
    <w:bookmarkEnd w:id="40"/>
    <w:bookmarkEnd w:id="41"/>
    <w:bookmarkEnd w:id="42"/>
    <w:bookmarkEnd w:id="43"/>
    <w:bookmarkEnd w:id="44"/>
    <w:bookmarkEnd w:id="45"/>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61728" w14:textId="77777777" w:rsidR="00F163DB" w:rsidRDefault="00F163DB" w:rsidP="00B33AD5">
    <w:pPr>
      <w:pStyle w:val="Header"/>
      <w:ind w:left="-623" w:hanging="142"/>
    </w:pPr>
    <w:r>
      <w:rPr>
        <w:b/>
        <w:noProof/>
        <w:sz w:val="24"/>
        <w:szCs w:val="24"/>
        <w:lang w:eastAsia="en-AU"/>
      </w:rPr>
      <w:drawing>
        <wp:inline distT="0" distB="0" distL="0" distR="0" wp14:anchorId="7A65C84A" wp14:editId="74183F84">
          <wp:extent cx="504825" cy="857250"/>
          <wp:effectExtent l="0" t="0" r="9525" b="0"/>
          <wp:docPr id="7" name="Picture 7"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CC944" w14:textId="77777777" w:rsidR="00F163DB" w:rsidRPr="00395A4B" w:rsidRDefault="00F163DB" w:rsidP="00F61E4D">
    <w:pPr>
      <w:pStyle w:val="Header"/>
      <w:ind w:left="-623" w:hanging="142"/>
    </w:pPr>
    <w:r>
      <w:rPr>
        <w:b/>
        <w:noProof/>
        <w:sz w:val="24"/>
        <w:szCs w:val="24"/>
        <w:lang w:eastAsia="en-AU"/>
      </w:rPr>
      <w:drawing>
        <wp:inline distT="0" distB="0" distL="0" distR="0" wp14:anchorId="7D875841" wp14:editId="61EA52B1">
          <wp:extent cx="504825" cy="857250"/>
          <wp:effectExtent l="0" t="0" r="9525" b="0"/>
          <wp:docPr id="2" name="Picture 2"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BE5FD7" w14:textId="77777777" w:rsidR="00F163DB" w:rsidRDefault="00F163DB" w:rsidP="00EF6187">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BC8F9" w14:textId="77777777" w:rsidR="00F163DB" w:rsidRDefault="00F163DB" w:rsidP="00EF6187">
    <w:pPr>
      <w:pStyle w:val="Header"/>
      <w:ind w:left="-623" w:hanging="142"/>
    </w:pPr>
    <w:r>
      <w:rPr>
        <w:b/>
        <w:noProof/>
        <w:sz w:val="24"/>
        <w:szCs w:val="24"/>
        <w:lang w:eastAsia="en-AU"/>
      </w:rPr>
      <w:drawing>
        <wp:inline distT="0" distB="0" distL="0" distR="0" wp14:anchorId="75C1845B" wp14:editId="6A136CB9">
          <wp:extent cx="504825" cy="857250"/>
          <wp:effectExtent l="0" t="0" r="9525" b="0"/>
          <wp:docPr id="4" name="Picture 4"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ED32BA" w14:textId="77777777" w:rsidR="00F163DB" w:rsidRPr="00570893" w:rsidRDefault="00F163DB" w:rsidP="00EF6187">
    <w:pPr>
      <w:pStyle w:val="Header"/>
      <w:ind w:left="-623" w:hanging="142"/>
    </w:pPr>
    <w:r>
      <w:rPr>
        <w:b/>
        <w:noProof/>
        <w:sz w:val="24"/>
        <w:szCs w:val="24"/>
        <w:lang w:eastAsia="en-AU"/>
      </w:rPr>
      <w:drawing>
        <wp:inline distT="0" distB="0" distL="0" distR="0" wp14:anchorId="3785D539" wp14:editId="2451BB95">
          <wp:extent cx="504825" cy="838200"/>
          <wp:effectExtent l="0" t="0" r="9525" b="0"/>
          <wp:docPr id="13" name="Picture 13" descr="GMRG-logo-stacked-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RG-logo-stacked-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382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1" w15:restartNumberingAfterBreak="0">
    <w:nsid w:val="00F7340A"/>
    <w:multiLevelType w:val="multilevel"/>
    <w:tmpl w:val="1BC81502"/>
    <w:name w:val="Table Numbering2"/>
    <w:lvl w:ilvl="0">
      <w:start w:val="1"/>
      <w:numFmt w:val="decimal"/>
      <w:lvlText w:val="%1."/>
      <w:lvlJc w:val="left"/>
      <w:pPr>
        <w:tabs>
          <w:tab w:val="num" w:pos="-31680"/>
        </w:tabs>
        <w:ind w:left="369" w:hanging="284"/>
      </w:pPr>
      <w:rPr>
        <w:rFonts w:hint="default"/>
      </w:rPr>
    </w:lvl>
    <w:lvl w:ilvl="1">
      <w:start w:val="1"/>
      <w:numFmt w:val="lowerLetter"/>
      <w:lvlText w:val="%2."/>
      <w:lvlJc w:val="left"/>
      <w:pPr>
        <w:ind w:left="652" w:hanging="283"/>
      </w:pPr>
      <w:rPr>
        <w:rFonts w:hint="default"/>
      </w:rPr>
    </w:lvl>
    <w:lvl w:ilvl="2">
      <w:start w:val="1"/>
      <w:numFmt w:val="lowerRoman"/>
      <w:lvlText w:val="%3."/>
      <w:lvlJc w:val="left"/>
      <w:pPr>
        <w:ind w:left="936"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2BA3DBE"/>
    <w:multiLevelType w:val="multilevel"/>
    <w:tmpl w:val="8DF8C6B6"/>
    <w:name w:val="MyNumbering8"/>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3" w15:restartNumberingAfterBreak="0">
    <w:nsid w:val="0364475F"/>
    <w:multiLevelType w:val="multilevel"/>
    <w:tmpl w:val="583A35FA"/>
    <w:name w:val="MyBullets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6" w15:restartNumberingAfterBreak="0">
    <w:nsid w:val="07A921F3"/>
    <w:multiLevelType w:val="hybridMultilevel"/>
    <w:tmpl w:val="470C126C"/>
    <w:name w:val="MyNumbering62249"/>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7B13112"/>
    <w:multiLevelType w:val="hybridMultilevel"/>
    <w:tmpl w:val="9D4007C8"/>
    <w:name w:val="MyBullets319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8" w15:restartNumberingAfterBreak="0">
    <w:nsid w:val="0A8C43AA"/>
    <w:multiLevelType w:val="hybridMultilevel"/>
    <w:tmpl w:val="90406000"/>
    <w:name w:val="MyNumbering6222"/>
    <w:lvl w:ilvl="0" w:tplc="713CADB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BBA645EA">
      <w:start w:val="1"/>
      <w:numFmt w:val="lowerRoman"/>
      <w:lvlText w:val="(%4)"/>
      <w:lvlJc w:val="left"/>
      <w:pPr>
        <w:ind w:left="2880" w:hanging="360"/>
      </w:pPr>
      <w:rPr>
        <w:rFonts w:ascii="Arial" w:hAnsi="Arial" w:hint="default"/>
        <w:b w:val="0"/>
        <w:i/>
        <w:sz w:val="20"/>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34249880">
      <w:start w:val="1"/>
      <w:numFmt w:val="decimal"/>
      <w:lvlText w:val="%7."/>
      <w:lvlJc w:val="left"/>
      <w:pPr>
        <w:ind w:left="5040" w:hanging="360"/>
      </w:pPr>
      <w:rPr>
        <w:rFonts w:ascii="Arial" w:hAnsi="Arial" w:hint="default"/>
        <w:b w:val="0"/>
        <w:i w:val="0"/>
        <w:sz w:val="20"/>
      </w:r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D7210F9"/>
    <w:multiLevelType w:val="multilevel"/>
    <w:tmpl w:val="583A35FA"/>
    <w:name w:val="MyBullets1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11" w15:restartNumberingAfterBreak="0">
    <w:nsid w:val="0FF31932"/>
    <w:multiLevelType w:val="multilevel"/>
    <w:tmpl w:val="583A35FA"/>
    <w:name w:val="MyBullets2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 w15:restartNumberingAfterBreak="0">
    <w:nsid w:val="11A77141"/>
    <w:multiLevelType w:val="multilevel"/>
    <w:tmpl w:val="583A35FA"/>
    <w:name w:val="MyBullets1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3" w15:restartNumberingAfterBreak="0">
    <w:nsid w:val="121033F1"/>
    <w:multiLevelType w:val="multilevel"/>
    <w:tmpl w:val="583A35FA"/>
    <w:name w:val="MyBullets4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4" w15:restartNumberingAfterBreak="0">
    <w:nsid w:val="126B4FB4"/>
    <w:multiLevelType w:val="multilevel"/>
    <w:tmpl w:val="583A35FA"/>
    <w:name w:val="MyBullets3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5" w15:restartNumberingAfterBreak="0">
    <w:nsid w:val="12B85488"/>
    <w:multiLevelType w:val="multilevel"/>
    <w:tmpl w:val="583A35FA"/>
    <w:name w:val="MyBullets31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6" w15:restartNumberingAfterBreak="0">
    <w:nsid w:val="12D074B3"/>
    <w:multiLevelType w:val="hybridMultilevel"/>
    <w:tmpl w:val="794604D8"/>
    <w:name w:val="MyNumbering622442"/>
    <w:lvl w:ilvl="0" w:tplc="36F829CA">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7" w15:restartNumberingAfterBreak="0">
    <w:nsid w:val="13111E92"/>
    <w:multiLevelType w:val="multilevel"/>
    <w:tmpl w:val="583A35FA"/>
    <w:name w:val="MyBullets1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8" w15:restartNumberingAfterBreak="0">
    <w:nsid w:val="14890D1D"/>
    <w:multiLevelType w:val="multilevel"/>
    <w:tmpl w:val="583A35FA"/>
    <w:name w:val="MyBullets"/>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9" w15:restartNumberingAfterBreak="0">
    <w:nsid w:val="150E00BA"/>
    <w:multiLevelType w:val="multilevel"/>
    <w:tmpl w:val="583A35FA"/>
    <w:name w:val="MyBullets3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0" w15:restartNumberingAfterBreak="0">
    <w:nsid w:val="15521774"/>
    <w:multiLevelType w:val="hybridMultilevel"/>
    <w:tmpl w:val="E94C872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174A3534"/>
    <w:multiLevelType w:val="multilevel"/>
    <w:tmpl w:val="583A35FA"/>
    <w:name w:val="MyBullets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2" w15:restartNumberingAfterBreak="0">
    <w:nsid w:val="18B347EF"/>
    <w:multiLevelType w:val="multilevel"/>
    <w:tmpl w:val="583A35FA"/>
    <w:name w:val="MyBullets3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3" w15:restartNumberingAfterBreak="0">
    <w:nsid w:val="1C3D0C6D"/>
    <w:multiLevelType w:val="hybridMultilevel"/>
    <w:tmpl w:val="9F2CFD70"/>
    <w:lvl w:ilvl="0" w:tplc="1160F23C">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1CC032E9"/>
    <w:multiLevelType w:val="multilevel"/>
    <w:tmpl w:val="583A35FA"/>
    <w:name w:val="MyBullets2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5" w15:restartNumberingAfterBreak="0">
    <w:nsid w:val="1E752802"/>
    <w:multiLevelType w:val="hybridMultilevel"/>
    <w:tmpl w:val="57084850"/>
    <w:name w:val="MyNumbering33"/>
    <w:lvl w:ilvl="0" w:tplc="62EEBF52">
      <w:start w:val="1"/>
      <w:numFmt w:val="lowerLetter"/>
      <w:lvlText w:val="(%1)"/>
      <w:lvlJc w:val="left"/>
      <w:pPr>
        <w:ind w:left="720" w:hanging="360"/>
      </w:pPr>
      <w:rPr>
        <w:rFonts w:ascii="Arial" w:hAnsi="Arial" w:hint="default"/>
        <w:b w:val="0"/>
        <w:i w:val="0"/>
        <w:color w:val="231F20"/>
        <w:w w:val="100"/>
        <w:sz w:val="22"/>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1FF6579C"/>
    <w:multiLevelType w:val="multilevel"/>
    <w:tmpl w:val="8DF8C6B6"/>
    <w:name w:val="MyNumbering"/>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7" w15:restartNumberingAfterBreak="0">
    <w:nsid w:val="2051010C"/>
    <w:multiLevelType w:val="hybridMultilevel"/>
    <w:tmpl w:val="8F7E7698"/>
    <w:name w:val="MyNumbering62245"/>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1B0106C"/>
    <w:multiLevelType w:val="hybridMultilevel"/>
    <w:tmpl w:val="4B4E4242"/>
    <w:name w:val="MyNumbering62246"/>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226A6EE6"/>
    <w:multiLevelType w:val="multilevel"/>
    <w:tmpl w:val="E4FE780E"/>
    <w:lvl w:ilvl="0">
      <w:start w:val="1"/>
      <w:numFmt w:val="bullet"/>
      <w:lvlText w:val=""/>
      <w:lvlJc w:val="left"/>
      <w:pPr>
        <w:tabs>
          <w:tab w:val="num" w:pos="312"/>
        </w:tabs>
        <w:ind w:left="312" w:hanging="227"/>
      </w:pPr>
      <w:rPr>
        <w:rFonts w:ascii="Wingdings" w:hAnsi="Wingdings" w:hint="default"/>
        <w:color w:val="auto"/>
        <w:position w:val="0"/>
        <w:sz w:val="18"/>
      </w:rPr>
    </w:lvl>
    <w:lvl w:ilvl="1">
      <w:start w:val="1"/>
      <w:numFmt w:val="bullet"/>
      <w:lvlText w:val="–"/>
      <w:lvlJc w:val="left"/>
      <w:pPr>
        <w:tabs>
          <w:tab w:val="num" w:pos="539"/>
        </w:tabs>
        <w:ind w:left="539" w:hanging="227"/>
      </w:pPr>
      <w:rPr>
        <w:rFonts w:ascii="Arial" w:hAnsi="Arial" w:hint="default"/>
        <w:color w:val="auto"/>
        <w:position w:val="0"/>
        <w:sz w:val="18"/>
      </w:rPr>
    </w:lvl>
    <w:lvl w:ilvl="2">
      <w:start w:val="1"/>
      <w:numFmt w:val="bullet"/>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30" w15:restartNumberingAfterBreak="0">
    <w:nsid w:val="23594EC4"/>
    <w:multiLevelType w:val="hybridMultilevel"/>
    <w:tmpl w:val="D11474C2"/>
    <w:lvl w:ilvl="0" w:tplc="1F52F16E">
      <w:start w:val="1"/>
      <w:numFmt w:val="decimal"/>
      <w:pStyle w:val="ListNumb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254A468D"/>
    <w:multiLevelType w:val="hybridMultilevel"/>
    <w:tmpl w:val="A3568734"/>
    <w:name w:val="MyNumbering32"/>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33"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34" w15:restartNumberingAfterBreak="0">
    <w:nsid w:val="28783F2C"/>
    <w:multiLevelType w:val="multilevel"/>
    <w:tmpl w:val="583A35FA"/>
    <w:name w:val="MyBullets4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5" w15:restartNumberingAfterBreak="0">
    <w:nsid w:val="290E3A67"/>
    <w:multiLevelType w:val="multilevel"/>
    <w:tmpl w:val="583A35FA"/>
    <w:name w:val="MyBullets31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6" w15:restartNumberingAfterBreak="0">
    <w:nsid w:val="2911260D"/>
    <w:multiLevelType w:val="multilevel"/>
    <w:tmpl w:val="BB8EE6B2"/>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29E20C04"/>
    <w:multiLevelType w:val="multilevel"/>
    <w:tmpl w:val="775ED5F2"/>
    <w:lvl w:ilvl="0">
      <w:start w:val="1"/>
      <w:numFmt w:val="upperLetter"/>
      <w:pStyle w:val="AppendixLevel1"/>
      <w:lvlText w:val="%1."/>
      <w:lvlJc w:val="left"/>
      <w:pPr>
        <w:ind w:left="1134" w:hanging="1134"/>
      </w:pPr>
    </w:lvl>
    <w:lvl w:ilvl="1">
      <w:start w:val="1"/>
      <w:numFmt w:val="decimal"/>
      <w:pStyle w:val="AppendixLevel2"/>
      <w:lvlText w:val="%1.%2"/>
      <w:lvlJc w:val="left"/>
      <w:pPr>
        <w:ind w:left="1134" w:hanging="1134"/>
      </w:pPr>
    </w:lvl>
    <w:lvl w:ilvl="2">
      <w:start w:val="1"/>
      <w:numFmt w:val="decimal"/>
      <w:pStyle w:val="AppendixLevel3"/>
      <w:lvlText w:val="%1.%2.%3"/>
      <w:lvlJc w:val="left"/>
      <w:pPr>
        <w:ind w:left="1134" w:hanging="1134"/>
      </w:pPr>
    </w:lvl>
    <w:lvl w:ilvl="3">
      <w:start w:val="1"/>
      <w:numFmt w:val="none"/>
      <w:lvlText w:val="(%4)"/>
      <w:lvlJc w:val="left"/>
      <w:pPr>
        <w:ind w:left="1808" w:hanging="737"/>
      </w:pPr>
    </w:lvl>
    <w:lvl w:ilvl="4">
      <w:start w:val="1"/>
      <w:numFmt w:val="lowerLetter"/>
      <w:lvlText w:val="(%5)"/>
      <w:lvlJc w:val="left"/>
      <w:pPr>
        <w:ind w:left="2165" w:hanging="737"/>
      </w:pPr>
    </w:lvl>
    <w:lvl w:ilvl="5">
      <w:start w:val="1"/>
      <w:numFmt w:val="lowerRoman"/>
      <w:lvlText w:val="(%6)"/>
      <w:lvlJc w:val="left"/>
      <w:pPr>
        <w:ind w:left="2522" w:hanging="737"/>
      </w:pPr>
    </w:lvl>
    <w:lvl w:ilvl="6">
      <w:start w:val="1"/>
      <w:numFmt w:val="decimal"/>
      <w:lvlText w:val="%7."/>
      <w:lvlJc w:val="left"/>
      <w:pPr>
        <w:ind w:left="2879" w:hanging="737"/>
      </w:pPr>
    </w:lvl>
    <w:lvl w:ilvl="7">
      <w:start w:val="1"/>
      <w:numFmt w:val="lowerLetter"/>
      <w:lvlText w:val="%8."/>
      <w:lvlJc w:val="left"/>
      <w:pPr>
        <w:ind w:left="3236" w:hanging="737"/>
      </w:pPr>
    </w:lvl>
    <w:lvl w:ilvl="8">
      <w:start w:val="1"/>
      <w:numFmt w:val="lowerRoman"/>
      <w:lvlText w:val="%9."/>
      <w:lvlJc w:val="left"/>
      <w:pPr>
        <w:ind w:left="3593" w:hanging="737"/>
      </w:pPr>
    </w:lvl>
  </w:abstractNum>
  <w:abstractNum w:abstractNumId="38"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39" w15:restartNumberingAfterBreak="0">
    <w:nsid w:val="2CF45687"/>
    <w:multiLevelType w:val="multilevel"/>
    <w:tmpl w:val="583A35FA"/>
    <w:name w:val="MyBullets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0" w15:restartNumberingAfterBreak="0">
    <w:nsid w:val="2DCE6818"/>
    <w:multiLevelType w:val="multilevel"/>
    <w:tmpl w:val="583A35FA"/>
    <w:name w:val="MyBullets1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1" w15:restartNumberingAfterBreak="0">
    <w:nsid w:val="2E4D0BCB"/>
    <w:multiLevelType w:val="multilevel"/>
    <w:tmpl w:val="1D1E8BCA"/>
    <w:lvl w:ilvl="0">
      <w:start w:val="591"/>
      <w:numFmt w:val="decimal"/>
      <w:lvlText w:val="%1"/>
      <w:lvlJc w:val="left"/>
      <w:pPr>
        <w:tabs>
          <w:tab w:val="num" w:pos="851"/>
        </w:tabs>
        <w:ind w:left="851" w:hanging="851"/>
      </w:pPr>
      <w:rPr>
        <w:rFonts w:hint="default"/>
      </w:rPr>
    </w:lvl>
    <w:lvl w:ilvl="1">
      <w:start w:val="1"/>
      <w:numFmt w:val="decimal"/>
      <w:lvlText w:val="(%2)"/>
      <w:lvlJc w:val="left"/>
      <w:pPr>
        <w:tabs>
          <w:tab w:val="num" w:pos="1702"/>
        </w:tabs>
        <w:ind w:left="1702" w:hanging="851"/>
      </w:pPr>
      <w:rPr>
        <w:rFonts w:hint="default"/>
        <w:b w:val="0"/>
        <w:i w:val="0"/>
        <w:sz w:val="24"/>
      </w:rPr>
    </w:lvl>
    <w:lvl w:ilvl="2">
      <w:start w:val="1"/>
      <w:numFmt w:val="lowerLetter"/>
      <w:lvlText w:val="(%3)"/>
      <w:lvlJc w:val="left"/>
      <w:pPr>
        <w:tabs>
          <w:tab w:val="num" w:pos="1701"/>
        </w:tabs>
        <w:ind w:left="1701" w:hanging="850"/>
      </w:pPr>
      <w:rPr>
        <w:rFonts w:hint="default"/>
      </w:rPr>
    </w:lvl>
    <w:lvl w:ilvl="3">
      <w:start w:val="1"/>
      <w:numFmt w:val="lowerRoman"/>
      <w:lvlText w:val="(%4)"/>
      <w:lvlJc w:val="left"/>
      <w:pPr>
        <w:tabs>
          <w:tab w:val="num" w:pos="2552"/>
        </w:tabs>
        <w:ind w:left="2552" w:hanging="851"/>
      </w:pPr>
      <w:rPr>
        <w:rFonts w:hint="default"/>
        <w:b w:val="0"/>
        <w:i w:val="0"/>
      </w:rPr>
    </w:lvl>
    <w:lvl w:ilvl="4">
      <w:start w:val="1"/>
      <w:numFmt w:val="upperLetter"/>
      <w:lvlText w:val="(%5)"/>
      <w:lvlJc w:val="left"/>
      <w:pPr>
        <w:tabs>
          <w:tab w:val="num" w:pos="3402"/>
        </w:tabs>
        <w:ind w:left="3402" w:hanging="850"/>
      </w:pPr>
      <w:rPr>
        <w:rFonts w:hint="default"/>
      </w:rPr>
    </w:lvl>
    <w:lvl w:ilvl="5">
      <w:start w:val="1"/>
      <w:numFmt w:val="decimal"/>
      <w:lvlText w:val="(%6)"/>
      <w:lvlJc w:val="left"/>
      <w:pPr>
        <w:tabs>
          <w:tab w:val="num" w:pos="4253"/>
        </w:tabs>
        <w:ind w:left="4253" w:hanging="851"/>
      </w:pPr>
      <w:rPr>
        <w:rFonts w:hint="default"/>
      </w:rPr>
    </w:lvl>
    <w:lvl w:ilvl="6">
      <w:start w:val="1"/>
      <w:numFmt w:val="none"/>
      <w:suff w:val="nothing"/>
      <w:lvlText w:val=""/>
      <w:lvlJc w:val="left"/>
      <w:pPr>
        <w:ind w:left="0" w:firstLine="0"/>
      </w:pPr>
      <w:rPr>
        <w:rFonts w:hint="default"/>
      </w:rPr>
    </w:lvl>
    <w:lvl w:ilvl="7">
      <w:start w:val="1"/>
      <w:numFmt w:val="none"/>
      <w:lvlText w:val=""/>
      <w:lvlJc w:val="left"/>
      <w:pPr>
        <w:tabs>
          <w:tab w:val="num" w:pos="360"/>
        </w:tabs>
        <w:ind w:left="0" w:firstLine="0"/>
      </w:pPr>
      <w:rPr>
        <w:rFonts w:ascii="Tms Rmn" w:hAnsi="Tms Rmn" w:hint="default"/>
      </w:rPr>
    </w:lvl>
    <w:lvl w:ilvl="8">
      <w:start w:val="1"/>
      <w:numFmt w:val="none"/>
      <w:lvlText w:val=""/>
      <w:lvlJc w:val="left"/>
      <w:pPr>
        <w:tabs>
          <w:tab w:val="num" w:pos="360"/>
        </w:tabs>
        <w:ind w:left="0" w:firstLine="0"/>
      </w:pPr>
      <w:rPr>
        <w:rFonts w:ascii="Tms Rmn" w:hAnsi="Tms Rmn" w:hint="default"/>
      </w:rPr>
    </w:lvl>
  </w:abstractNum>
  <w:abstractNum w:abstractNumId="42"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43" w15:restartNumberingAfterBreak="0">
    <w:nsid w:val="317814DA"/>
    <w:multiLevelType w:val="multilevel"/>
    <w:tmpl w:val="A712FE7C"/>
    <w:lvl w:ilvl="0">
      <w:start w:val="1"/>
      <w:numFmt w:val="decimal"/>
      <w:pStyle w:val="Exhibit"/>
      <w:lvlText w:val="Exhibit %1."/>
      <w:lvlJc w:val="left"/>
      <w:pPr>
        <w:tabs>
          <w:tab w:val="num" w:pos="0"/>
        </w:tabs>
        <w:ind w:left="1440" w:firstLine="0"/>
      </w:pPr>
      <w:rPr>
        <w:rFonts w:hint="default"/>
        <w:b w:val="0"/>
        <w:i/>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15:restartNumberingAfterBreak="0">
    <w:nsid w:val="3192772E"/>
    <w:multiLevelType w:val="multilevel"/>
    <w:tmpl w:val="583A35FA"/>
    <w:name w:val="MyBullets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5" w15:restartNumberingAfterBreak="0">
    <w:nsid w:val="32F0649C"/>
    <w:multiLevelType w:val="multilevel"/>
    <w:tmpl w:val="583A35FA"/>
    <w:name w:val="MyBullets2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6" w15:restartNumberingAfterBreak="0">
    <w:nsid w:val="353B574C"/>
    <w:multiLevelType w:val="multilevel"/>
    <w:tmpl w:val="583A35FA"/>
    <w:name w:val="MyBullets2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7" w15:restartNumberingAfterBreak="0">
    <w:nsid w:val="359A0D6E"/>
    <w:multiLevelType w:val="multilevel"/>
    <w:tmpl w:val="583A35FA"/>
    <w:name w:val="MyBullets3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8" w15:restartNumberingAfterBreak="0">
    <w:nsid w:val="37BD00BF"/>
    <w:multiLevelType w:val="multilevel"/>
    <w:tmpl w:val="583A35FA"/>
    <w:name w:val="MyBullets2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9" w15:restartNumberingAfterBreak="0">
    <w:nsid w:val="37E16566"/>
    <w:multiLevelType w:val="multilevel"/>
    <w:tmpl w:val="8DF8C6B6"/>
    <w:name w:val="MyNumbering7"/>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0" w15:restartNumberingAfterBreak="0">
    <w:nsid w:val="381541A6"/>
    <w:multiLevelType w:val="hybridMultilevel"/>
    <w:tmpl w:val="6206041E"/>
    <w:name w:val="MyNumbering62244"/>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38F8327A"/>
    <w:multiLevelType w:val="multilevel"/>
    <w:tmpl w:val="583A35FA"/>
    <w:name w:val="MyBullets3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2" w15:restartNumberingAfterBreak="0">
    <w:nsid w:val="39CB5DDF"/>
    <w:multiLevelType w:val="multilevel"/>
    <w:tmpl w:val="583A35FA"/>
    <w:name w:val="MyBullets1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3" w15:restartNumberingAfterBreak="0">
    <w:nsid w:val="3AC734CF"/>
    <w:multiLevelType w:val="hybridMultilevel"/>
    <w:tmpl w:val="6E9E426C"/>
    <w:name w:val="MyNumbering5"/>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3C792C22"/>
    <w:multiLevelType w:val="hybridMultilevel"/>
    <w:tmpl w:val="C0949EDC"/>
    <w:lvl w:ilvl="0" w:tplc="8F8EC1A6">
      <w:start w:val="1"/>
      <w:numFmt w:val="bullet"/>
      <w:lvlText w:val="-"/>
      <w:lvlJc w:val="left"/>
      <w:pPr>
        <w:ind w:left="1074" w:hanging="360"/>
      </w:pPr>
      <w:rPr>
        <w:rFonts w:ascii="Arial" w:hAnsi="Arial" w:hint="default"/>
      </w:rPr>
    </w:lvl>
    <w:lvl w:ilvl="1" w:tplc="0C090003" w:tentative="1">
      <w:start w:val="1"/>
      <w:numFmt w:val="bullet"/>
      <w:lvlText w:val="o"/>
      <w:lvlJc w:val="left"/>
      <w:pPr>
        <w:ind w:left="1794" w:hanging="360"/>
      </w:pPr>
      <w:rPr>
        <w:rFonts w:ascii="Courier New" w:hAnsi="Courier New" w:cs="Courier New" w:hint="default"/>
      </w:rPr>
    </w:lvl>
    <w:lvl w:ilvl="2" w:tplc="0C090005" w:tentative="1">
      <w:start w:val="1"/>
      <w:numFmt w:val="bullet"/>
      <w:lvlText w:val=""/>
      <w:lvlJc w:val="left"/>
      <w:pPr>
        <w:ind w:left="2514" w:hanging="360"/>
      </w:pPr>
      <w:rPr>
        <w:rFonts w:ascii="Wingdings" w:hAnsi="Wingdings" w:hint="default"/>
      </w:rPr>
    </w:lvl>
    <w:lvl w:ilvl="3" w:tplc="0C090001" w:tentative="1">
      <w:start w:val="1"/>
      <w:numFmt w:val="bullet"/>
      <w:lvlText w:val=""/>
      <w:lvlJc w:val="left"/>
      <w:pPr>
        <w:ind w:left="3234" w:hanging="360"/>
      </w:pPr>
      <w:rPr>
        <w:rFonts w:ascii="Symbol" w:hAnsi="Symbol" w:hint="default"/>
      </w:rPr>
    </w:lvl>
    <w:lvl w:ilvl="4" w:tplc="0C090003" w:tentative="1">
      <w:start w:val="1"/>
      <w:numFmt w:val="bullet"/>
      <w:lvlText w:val="o"/>
      <w:lvlJc w:val="left"/>
      <w:pPr>
        <w:ind w:left="3954" w:hanging="360"/>
      </w:pPr>
      <w:rPr>
        <w:rFonts w:ascii="Courier New" w:hAnsi="Courier New" w:cs="Courier New" w:hint="default"/>
      </w:rPr>
    </w:lvl>
    <w:lvl w:ilvl="5" w:tplc="0C090005" w:tentative="1">
      <w:start w:val="1"/>
      <w:numFmt w:val="bullet"/>
      <w:lvlText w:val=""/>
      <w:lvlJc w:val="left"/>
      <w:pPr>
        <w:ind w:left="4674" w:hanging="360"/>
      </w:pPr>
      <w:rPr>
        <w:rFonts w:ascii="Wingdings" w:hAnsi="Wingdings" w:hint="default"/>
      </w:rPr>
    </w:lvl>
    <w:lvl w:ilvl="6" w:tplc="0C090001" w:tentative="1">
      <w:start w:val="1"/>
      <w:numFmt w:val="bullet"/>
      <w:lvlText w:val=""/>
      <w:lvlJc w:val="left"/>
      <w:pPr>
        <w:ind w:left="5394" w:hanging="360"/>
      </w:pPr>
      <w:rPr>
        <w:rFonts w:ascii="Symbol" w:hAnsi="Symbol" w:hint="default"/>
      </w:rPr>
    </w:lvl>
    <w:lvl w:ilvl="7" w:tplc="0C090003" w:tentative="1">
      <w:start w:val="1"/>
      <w:numFmt w:val="bullet"/>
      <w:lvlText w:val="o"/>
      <w:lvlJc w:val="left"/>
      <w:pPr>
        <w:ind w:left="6114" w:hanging="360"/>
      </w:pPr>
      <w:rPr>
        <w:rFonts w:ascii="Courier New" w:hAnsi="Courier New" w:cs="Courier New" w:hint="default"/>
      </w:rPr>
    </w:lvl>
    <w:lvl w:ilvl="8" w:tplc="0C090005" w:tentative="1">
      <w:start w:val="1"/>
      <w:numFmt w:val="bullet"/>
      <w:lvlText w:val=""/>
      <w:lvlJc w:val="left"/>
      <w:pPr>
        <w:ind w:left="6834" w:hanging="360"/>
      </w:pPr>
      <w:rPr>
        <w:rFonts w:ascii="Wingdings" w:hAnsi="Wingdings" w:hint="default"/>
      </w:rPr>
    </w:lvl>
  </w:abstractNum>
  <w:abstractNum w:abstractNumId="55" w15:restartNumberingAfterBreak="0">
    <w:nsid w:val="3E1312E0"/>
    <w:multiLevelType w:val="multilevel"/>
    <w:tmpl w:val="583A35FA"/>
    <w:name w:val="MyBullets31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6" w15:restartNumberingAfterBreak="0">
    <w:nsid w:val="3EDB238B"/>
    <w:multiLevelType w:val="multilevel"/>
    <w:tmpl w:val="1ACED732"/>
    <w:lvl w:ilvl="0">
      <w:start w:val="1"/>
      <w:numFmt w:val="decimal"/>
      <w:pStyle w:val="Heading1"/>
      <w:lvlText w:val="%1."/>
      <w:lvlJc w:val="left"/>
      <w:pPr>
        <w:ind w:left="4169" w:hanging="624"/>
      </w:pPr>
      <w:rPr>
        <w:rFonts w:hint="default"/>
      </w:rPr>
    </w:lvl>
    <w:lvl w:ilvl="1">
      <w:start w:val="1"/>
      <w:numFmt w:val="decimal"/>
      <w:pStyle w:val="Heading2"/>
      <w:lvlText w:val="%1.%2"/>
      <w:lvlJc w:val="left"/>
      <w:pPr>
        <w:ind w:left="3744" w:hanging="624"/>
      </w:pPr>
      <w:rPr>
        <w:rFonts w:hint="default"/>
      </w:rPr>
    </w:lvl>
    <w:lvl w:ilvl="2">
      <w:start w:val="1"/>
      <w:numFmt w:val="decimal"/>
      <w:pStyle w:val="Heading3"/>
      <w:lvlText w:val="%1.%2.%3"/>
      <w:lvlJc w:val="left"/>
      <w:pPr>
        <w:ind w:left="624" w:hanging="624"/>
      </w:pPr>
      <w:rPr>
        <w:rFonts w:hint="default"/>
        <w:b/>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7" w15:restartNumberingAfterBreak="0">
    <w:nsid w:val="3F240BDB"/>
    <w:multiLevelType w:val="hybridMultilevel"/>
    <w:tmpl w:val="034CC1D2"/>
    <w:name w:val="MyNumbering4"/>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3F9D3D47"/>
    <w:multiLevelType w:val="multilevel"/>
    <w:tmpl w:val="583A35FA"/>
    <w:name w:val="MyBullets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9" w15:restartNumberingAfterBreak="0">
    <w:nsid w:val="400D0516"/>
    <w:multiLevelType w:val="hybridMultilevel"/>
    <w:tmpl w:val="7E502ECC"/>
    <w:lvl w:ilvl="0" w:tplc="7D98958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15:restartNumberingAfterBreak="0">
    <w:nsid w:val="4247713B"/>
    <w:multiLevelType w:val="multilevel"/>
    <w:tmpl w:val="277629B6"/>
    <w:name w:val="MyNumbering62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1" w15:restartNumberingAfterBreak="0">
    <w:nsid w:val="43665411"/>
    <w:multiLevelType w:val="multilevel"/>
    <w:tmpl w:val="583A35FA"/>
    <w:name w:val="MyBullets3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2" w15:restartNumberingAfterBreak="0">
    <w:nsid w:val="45D07742"/>
    <w:multiLevelType w:val="multilevel"/>
    <w:tmpl w:val="8DF8C6B6"/>
    <w:name w:val="MyNumbering9"/>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3" w15:restartNumberingAfterBreak="0">
    <w:nsid w:val="45FF7C58"/>
    <w:multiLevelType w:val="multilevel"/>
    <w:tmpl w:val="583A35FA"/>
    <w:name w:val="MyBullets1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4" w15:restartNumberingAfterBreak="0">
    <w:nsid w:val="4684033D"/>
    <w:multiLevelType w:val="multilevel"/>
    <w:tmpl w:val="583A35FA"/>
    <w:name w:val="MyBullets3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5" w15:restartNumberingAfterBreak="0">
    <w:nsid w:val="47844F2D"/>
    <w:multiLevelType w:val="multilevel"/>
    <w:tmpl w:val="DC0412A8"/>
    <w:name w:val="items"/>
    <w:lvl w:ilvl="0">
      <w:start w:val="1"/>
      <w:numFmt w:val="decimal"/>
      <w:lvlRestart w:val="0"/>
      <w:lvlText w:val="%1."/>
      <w:lvlJc w:val="left"/>
      <w:pPr>
        <w:ind w:left="624" w:hanging="624"/>
      </w:pPr>
      <w:rPr>
        <w:color w:val="5D89B4" w:themeColor="accent3"/>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49267E33"/>
    <w:multiLevelType w:val="multilevel"/>
    <w:tmpl w:val="583A35FA"/>
    <w:name w:val="MyBullets3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7" w15:restartNumberingAfterBreak="0">
    <w:nsid w:val="495451BC"/>
    <w:multiLevelType w:val="multilevel"/>
    <w:tmpl w:val="583A35FA"/>
    <w:name w:val="MyBullets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8" w15:restartNumberingAfterBreak="0">
    <w:nsid w:val="49936323"/>
    <w:multiLevelType w:val="multilevel"/>
    <w:tmpl w:val="583A35FA"/>
    <w:name w:val="MyBullets31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9" w15:restartNumberingAfterBreak="0">
    <w:nsid w:val="49C129F8"/>
    <w:multiLevelType w:val="multilevel"/>
    <w:tmpl w:val="C1568912"/>
    <w:name w:val="HeadingsList"/>
    <w:styleLink w:val="HeadingsList"/>
    <w:lvl w:ilvl="0">
      <w:start w:val="1"/>
      <w:numFmt w:val="decimal"/>
      <w:lvlRestart w:val="0"/>
      <w:lvlText w:val="%1."/>
      <w:lvlJc w:val="left"/>
      <w:pPr>
        <w:ind w:left="936" w:hanging="936"/>
      </w:pPr>
      <w:rPr>
        <w:rFonts w:asciiTheme="majorHAnsi" w:eastAsiaTheme="majorEastAsia" w:hAnsiTheme="majorHAnsi" w:cstheme="majorBidi" w:hint="default"/>
        <w:b/>
        <w:bCs/>
        <w:i w:val="0"/>
        <w:iCs w:val="0"/>
        <w:sz w:val="28"/>
        <w:szCs w:val="28"/>
      </w:rPr>
    </w:lvl>
    <w:lvl w:ilvl="1">
      <w:start w:val="1"/>
      <w:numFmt w:val="decimal"/>
      <w:lvlText w:val="%1.%2."/>
      <w:lvlJc w:val="left"/>
      <w:pPr>
        <w:ind w:left="936" w:hanging="936"/>
      </w:pPr>
      <w:rPr>
        <w:rFonts w:asciiTheme="majorHAnsi" w:eastAsiaTheme="majorEastAsia" w:hAnsiTheme="majorHAnsi" w:cstheme="majorBidi" w:hint="default"/>
        <w:b/>
        <w:bCs/>
        <w:i w:val="0"/>
        <w:iCs w:val="0"/>
        <w:sz w:val="26"/>
        <w:szCs w:val="26"/>
      </w:rPr>
    </w:lvl>
    <w:lvl w:ilvl="2">
      <w:start w:val="1"/>
      <w:numFmt w:val="decimal"/>
      <w:lvlText w:val="%1.%2.%3."/>
      <w:lvlJc w:val="left"/>
      <w:pPr>
        <w:ind w:left="936" w:hanging="936"/>
      </w:pPr>
      <w:rPr>
        <w:rFonts w:asciiTheme="majorHAnsi" w:eastAsiaTheme="majorEastAsia" w:hAnsiTheme="majorHAnsi" w:cstheme="majorBidi" w:hint="default"/>
        <w:b/>
        <w:bCs/>
        <w:i w:val="0"/>
        <w:iCs w:val="0"/>
        <w:sz w:val="24"/>
        <w:szCs w:val="24"/>
      </w:rPr>
    </w:lvl>
    <w:lvl w:ilvl="3">
      <w:start w:val="1"/>
      <w:numFmt w:val="decimal"/>
      <w:lvlText w:val="%1.%2.%3.%4."/>
      <w:lvlJc w:val="left"/>
      <w:pPr>
        <w:ind w:left="1296" w:hanging="1296"/>
      </w:pPr>
      <w:rPr>
        <w:rFonts w:asciiTheme="majorHAnsi" w:eastAsiaTheme="majorEastAsia" w:hAnsiTheme="majorHAnsi" w:cstheme="majorBidi" w:hint="default"/>
        <w:b w:val="0"/>
        <w:bCs w:val="0"/>
        <w:i w:val="0"/>
        <w:iCs w:val="0"/>
        <w:sz w:val="24"/>
        <w:szCs w:val="24"/>
      </w:rPr>
    </w:lvl>
    <w:lvl w:ilvl="4">
      <w:start w:val="1"/>
      <w:numFmt w:val="decimal"/>
      <w:lvlText w:val="%1.%2.%3.%4.%5."/>
      <w:lvlJc w:val="left"/>
      <w:pPr>
        <w:ind w:left="1296" w:hanging="1296"/>
      </w:pPr>
      <w:rPr>
        <w:rFonts w:asciiTheme="majorHAnsi" w:eastAsiaTheme="majorEastAsia" w:hAnsiTheme="majorHAnsi" w:cstheme="majorBidi" w:hint="default"/>
        <w:b w:val="0"/>
        <w:bCs w:val="0"/>
        <w:i/>
        <w:iCs/>
        <w:sz w:val="24"/>
        <w:szCs w:val="24"/>
      </w:rPr>
    </w:lvl>
    <w:lvl w:ilvl="5">
      <w:start w:val="1"/>
      <w:numFmt w:val="decimal"/>
      <w:lvlText w:val="%1.%2.%3.%4.%5.%6."/>
      <w:lvlJc w:val="left"/>
      <w:pPr>
        <w:ind w:left="1296" w:hanging="1296"/>
      </w:pPr>
      <w:rPr>
        <w:rFonts w:hint="default"/>
        <w:b w:val="0"/>
        <w:bCs w:val="0"/>
        <w:i w:val="0"/>
        <w:iCs/>
        <w:sz w:val="24"/>
        <w:szCs w:val="24"/>
      </w:rPr>
    </w:lvl>
    <w:lvl w:ilvl="6">
      <w:start w:val="1"/>
      <w:numFmt w:val="decimal"/>
      <w:lvlText w:val="%1.%2.%3.%4.%5.%6.%7."/>
      <w:lvlJc w:val="left"/>
      <w:pPr>
        <w:ind w:left="1296" w:hanging="1296"/>
      </w:pPr>
      <w:rPr>
        <w:rFonts w:hint="default"/>
        <w:b w:val="0"/>
        <w:bCs w:val="0"/>
        <w:i w:val="0"/>
        <w:iCs/>
        <w:sz w:val="24"/>
        <w:szCs w:val="24"/>
      </w:rPr>
    </w:lvl>
    <w:lvl w:ilvl="7">
      <w:start w:val="1"/>
      <w:numFmt w:val="decimal"/>
      <w:lvlText w:val="%1.%2.%3.%4.%5.%6.%7.%8."/>
      <w:lvlJc w:val="left"/>
      <w:pPr>
        <w:ind w:left="1296" w:hanging="1296"/>
      </w:pPr>
      <w:rPr>
        <w:rFonts w:hint="default"/>
        <w:b w:val="0"/>
        <w:bCs w:val="0"/>
        <w:i w:val="0"/>
        <w:iCs w:val="0"/>
        <w:sz w:val="20"/>
        <w:szCs w:val="24"/>
      </w:rPr>
    </w:lvl>
    <w:lvl w:ilvl="8">
      <w:start w:val="1"/>
      <w:numFmt w:val="decimal"/>
      <w:lvlText w:val="%1.%2.%3.%4.%5.%6.%7.%8.%9."/>
      <w:lvlJc w:val="left"/>
      <w:pPr>
        <w:ind w:left="1296" w:hanging="1296"/>
      </w:pPr>
      <w:rPr>
        <w:rFonts w:hint="default"/>
        <w:b w:val="0"/>
        <w:bCs w:val="0"/>
        <w:i w:val="0"/>
        <w:iCs/>
        <w:sz w:val="20"/>
        <w:szCs w:val="24"/>
      </w:rPr>
    </w:lvl>
  </w:abstractNum>
  <w:abstractNum w:abstractNumId="70" w15:restartNumberingAfterBreak="0">
    <w:nsid w:val="4A9D27B0"/>
    <w:multiLevelType w:val="hybridMultilevel"/>
    <w:tmpl w:val="E27A23E6"/>
    <w:name w:val="MyNumbering62242"/>
    <w:lvl w:ilvl="0" w:tplc="3290243E">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71" w15:restartNumberingAfterBreak="0">
    <w:nsid w:val="4BFF2C71"/>
    <w:multiLevelType w:val="hybridMultilevel"/>
    <w:tmpl w:val="7160E82E"/>
    <w:name w:val="MyNumbering3"/>
    <w:lvl w:ilvl="0" w:tplc="9036DE78">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2" w15:restartNumberingAfterBreak="0">
    <w:nsid w:val="4EF67232"/>
    <w:multiLevelType w:val="multilevel"/>
    <w:tmpl w:val="100AAA4C"/>
    <w:name w:val="Axiom Appendices"/>
    <w:lvl w:ilvl="0">
      <w:start w:val="1"/>
      <w:numFmt w:val="upperLetter"/>
      <w:lvlRestart w:val="0"/>
      <w:pStyle w:val="Heading9"/>
      <w:lvlText w:val="Appendix %1"/>
      <w:lvlJc w:val="left"/>
      <w:pPr>
        <w:ind w:left="2268" w:hanging="2268"/>
      </w:pPr>
      <w:rPr>
        <w:rFonts w:hint="default"/>
      </w:rPr>
    </w:lvl>
    <w:lvl w:ilvl="1">
      <w:start w:val="1"/>
      <w:numFmt w:val="decimal"/>
      <w:pStyle w:val="AppendixHeading2"/>
      <w:lvlText w:val="%1.%2"/>
      <w:lvlJc w:val="left"/>
      <w:pPr>
        <w:ind w:left="851" w:hanging="851"/>
      </w:pPr>
      <w:rPr>
        <w:rFonts w:hint="default"/>
      </w:rPr>
    </w:lvl>
    <w:lvl w:ilvl="2">
      <w:start w:val="1"/>
      <w:numFmt w:val="decimal"/>
      <w:pStyle w:val="AppendixHeading3"/>
      <w:lvlText w:val="%1.%2.%3"/>
      <w:lvlJc w:val="left"/>
      <w:pPr>
        <w:ind w:left="851" w:hanging="851"/>
      </w:pPr>
      <w:rPr>
        <w:rFonts w:hint="default"/>
      </w:rPr>
    </w:lvl>
    <w:lvl w:ilvl="3">
      <w:start w:val="1"/>
      <w:numFmt w:val="decimal"/>
      <w:pStyle w:val="AppendixHeading4"/>
      <w:lvlText w:val="%1.%2.%3.%4"/>
      <w:lvlJc w:val="left"/>
      <w:pPr>
        <w:ind w:left="851" w:hanging="851"/>
      </w:pPr>
      <w:rPr>
        <w:rFonts w:hint="default"/>
        <w:b/>
        <w:i w:val="0"/>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73" w15:restartNumberingAfterBreak="0">
    <w:nsid w:val="50575277"/>
    <w:multiLevelType w:val="hybridMultilevel"/>
    <w:tmpl w:val="4E2EC4B4"/>
    <w:lvl w:ilvl="0" w:tplc="D50CE664">
      <w:start w:val="1"/>
      <w:numFmt w:val="decimal"/>
      <w:lvlText w:val="(%1)"/>
      <w:lvlJc w:val="left"/>
      <w:pPr>
        <w:ind w:left="720" w:hanging="360"/>
      </w:pPr>
      <w:rPr>
        <w:rFonts w:ascii="Arial" w:hAnsi="Arial" w:hint="default"/>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512A7060"/>
    <w:multiLevelType w:val="multilevel"/>
    <w:tmpl w:val="583A35FA"/>
    <w:name w:val="MyBullets1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5" w15:restartNumberingAfterBreak="0">
    <w:nsid w:val="51A144D2"/>
    <w:multiLevelType w:val="multilevel"/>
    <w:tmpl w:val="583A35FA"/>
    <w:name w:val="MyBullets2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6"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77"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55A605C1"/>
    <w:multiLevelType w:val="multilevel"/>
    <w:tmpl w:val="583A35FA"/>
    <w:name w:val="MyBullets2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9" w15:restartNumberingAfterBreak="0">
    <w:nsid w:val="55D6482D"/>
    <w:multiLevelType w:val="multilevel"/>
    <w:tmpl w:val="583A35FA"/>
    <w:name w:val="MyBullets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0" w15:restartNumberingAfterBreak="0">
    <w:nsid w:val="56C75B88"/>
    <w:multiLevelType w:val="multilevel"/>
    <w:tmpl w:val="9F643D5E"/>
    <w:lvl w:ilvl="0">
      <w:start w:val="1"/>
      <w:numFmt w:val="bullet"/>
      <w:lvlRestart w:val="0"/>
      <w:pStyle w:val="ListBullets"/>
      <w:lvlText w:val=""/>
      <w:lvlJc w:val="left"/>
      <w:pPr>
        <w:tabs>
          <w:tab w:val="num" w:pos="360"/>
        </w:tabs>
        <w:ind w:left="360" w:hanging="360"/>
      </w:pPr>
      <w:rPr>
        <w:rFonts w:ascii="Wingdings" w:hAnsi="Wingdings" w:hint="default"/>
      </w:rPr>
    </w:lvl>
    <w:lvl w:ilvl="1">
      <w:start w:val="1"/>
      <w:numFmt w:val="bullet"/>
      <w:lvlRestart w:val="0"/>
      <w:lvlText w:val=""/>
      <w:lvlJc w:val="left"/>
      <w:pPr>
        <w:tabs>
          <w:tab w:val="num" w:pos="720"/>
        </w:tabs>
        <w:ind w:left="720" w:hanging="360"/>
      </w:pPr>
      <w:rPr>
        <w:rFonts w:ascii="Symbol" w:hAnsi="Symbol" w:hint="default"/>
      </w:rPr>
    </w:lvl>
    <w:lvl w:ilvl="2">
      <w:start w:val="1"/>
      <w:numFmt w:val="bullet"/>
      <w:lvlRestart w:val="0"/>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15:restartNumberingAfterBreak="0">
    <w:nsid w:val="56DE4589"/>
    <w:multiLevelType w:val="hybridMultilevel"/>
    <w:tmpl w:val="BD8EAB64"/>
    <w:name w:val="MyBullets3192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82" w15:restartNumberingAfterBreak="0">
    <w:nsid w:val="571F7B36"/>
    <w:multiLevelType w:val="multilevel"/>
    <w:tmpl w:val="583A35FA"/>
    <w:name w:val="MyBullets1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3" w15:restartNumberingAfterBreak="0">
    <w:nsid w:val="57BA40B1"/>
    <w:multiLevelType w:val="hybridMultilevel"/>
    <w:tmpl w:val="F0547A34"/>
    <w:name w:val="MyNumbering62247"/>
    <w:lvl w:ilvl="0" w:tplc="8F8EC1A6">
      <w:start w:val="1"/>
      <w:numFmt w:val="bullet"/>
      <w:lvlText w:val="-"/>
      <w:lvlJc w:val="left"/>
      <w:pPr>
        <w:ind w:left="1032" w:hanging="360"/>
      </w:pPr>
      <w:rPr>
        <w:rFonts w:ascii="Arial" w:hAnsi="Arial" w:hint="default"/>
      </w:rPr>
    </w:lvl>
    <w:lvl w:ilvl="1" w:tplc="0C090003" w:tentative="1">
      <w:start w:val="1"/>
      <w:numFmt w:val="bullet"/>
      <w:lvlText w:val="o"/>
      <w:lvlJc w:val="left"/>
      <w:pPr>
        <w:ind w:left="1752" w:hanging="360"/>
      </w:pPr>
      <w:rPr>
        <w:rFonts w:ascii="Courier New" w:hAnsi="Courier New" w:cs="Courier New" w:hint="default"/>
      </w:rPr>
    </w:lvl>
    <w:lvl w:ilvl="2" w:tplc="0C090005" w:tentative="1">
      <w:start w:val="1"/>
      <w:numFmt w:val="bullet"/>
      <w:lvlText w:val=""/>
      <w:lvlJc w:val="left"/>
      <w:pPr>
        <w:ind w:left="2472" w:hanging="360"/>
      </w:pPr>
      <w:rPr>
        <w:rFonts w:ascii="Wingdings" w:hAnsi="Wingdings" w:hint="default"/>
      </w:rPr>
    </w:lvl>
    <w:lvl w:ilvl="3" w:tplc="0C090001" w:tentative="1">
      <w:start w:val="1"/>
      <w:numFmt w:val="bullet"/>
      <w:lvlText w:val=""/>
      <w:lvlJc w:val="left"/>
      <w:pPr>
        <w:ind w:left="3192" w:hanging="360"/>
      </w:pPr>
      <w:rPr>
        <w:rFonts w:ascii="Symbol" w:hAnsi="Symbol" w:hint="default"/>
      </w:rPr>
    </w:lvl>
    <w:lvl w:ilvl="4" w:tplc="0C090003" w:tentative="1">
      <w:start w:val="1"/>
      <w:numFmt w:val="bullet"/>
      <w:lvlText w:val="o"/>
      <w:lvlJc w:val="left"/>
      <w:pPr>
        <w:ind w:left="3912" w:hanging="360"/>
      </w:pPr>
      <w:rPr>
        <w:rFonts w:ascii="Courier New" w:hAnsi="Courier New" w:cs="Courier New" w:hint="default"/>
      </w:rPr>
    </w:lvl>
    <w:lvl w:ilvl="5" w:tplc="0C090005" w:tentative="1">
      <w:start w:val="1"/>
      <w:numFmt w:val="bullet"/>
      <w:lvlText w:val=""/>
      <w:lvlJc w:val="left"/>
      <w:pPr>
        <w:ind w:left="4632" w:hanging="360"/>
      </w:pPr>
      <w:rPr>
        <w:rFonts w:ascii="Wingdings" w:hAnsi="Wingdings" w:hint="default"/>
      </w:rPr>
    </w:lvl>
    <w:lvl w:ilvl="6" w:tplc="0C090001" w:tentative="1">
      <w:start w:val="1"/>
      <w:numFmt w:val="bullet"/>
      <w:lvlText w:val=""/>
      <w:lvlJc w:val="left"/>
      <w:pPr>
        <w:ind w:left="5352" w:hanging="360"/>
      </w:pPr>
      <w:rPr>
        <w:rFonts w:ascii="Symbol" w:hAnsi="Symbol" w:hint="default"/>
      </w:rPr>
    </w:lvl>
    <w:lvl w:ilvl="7" w:tplc="0C090003" w:tentative="1">
      <w:start w:val="1"/>
      <w:numFmt w:val="bullet"/>
      <w:lvlText w:val="o"/>
      <w:lvlJc w:val="left"/>
      <w:pPr>
        <w:ind w:left="6072" w:hanging="360"/>
      </w:pPr>
      <w:rPr>
        <w:rFonts w:ascii="Courier New" w:hAnsi="Courier New" w:cs="Courier New" w:hint="default"/>
      </w:rPr>
    </w:lvl>
    <w:lvl w:ilvl="8" w:tplc="0C090005" w:tentative="1">
      <w:start w:val="1"/>
      <w:numFmt w:val="bullet"/>
      <w:lvlText w:val=""/>
      <w:lvlJc w:val="left"/>
      <w:pPr>
        <w:ind w:left="6792" w:hanging="360"/>
      </w:pPr>
      <w:rPr>
        <w:rFonts w:ascii="Wingdings" w:hAnsi="Wingdings" w:hint="default"/>
      </w:rPr>
    </w:lvl>
  </w:abstractNum>
  <w:abstractNum w:abstractNumId="84"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85" w15:restartNumberingAfterBreak="0">
    <w:nsid w:val="593E71A5"/>
    <w:multiLevelType w:val="multilevel"/>
    <w:tmpl w:val="583A35FA"/>
    <w:name w:val="MyBullets2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6" w15:restartNumberingAfterBreak="0">
    <w:nsid w:val="5A5A77E1"/>
    <w:multiLevelType w:val="multilevel"/>
    <w:tmpl w:val="583A35FA"/>
    <w:name w:val="MyBullets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7"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88" w15:restartNumberingAfterBreak="0">
    <w:nsid w:val="5B1D3F52"/>
    <w:multiLevelType w:val="hybridMultilevel"/>
    <w:tmpl w:val="8E18BA3A"/>
    <w:lvl w:ilvl="0" w:tplc="C73CFD8C">
      <w:start w:val="1"/>
      <w:numFmt w:val="bullet"/>
      <w:pStyle w:val="Bullet1"/>
      <w:lvlText w:val=""/>
      <w:lvlJc w:val="left"/>
      <w:pPr>
        <w:ind w:left="2629"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9" w15:restartNumberingAfterBreak="0">
    <w:nsid w:val="5B3A7D91"/>
    <w:multiLevelType w:val="hybridMultilevel"/>
    <w:tmpl w:val="B4C0DA34"/>
    <w:name w:val="MyNumbering2"/>
    <w:lvl w:ilvl="0" w:tplc="77A6A824">
      <w:start w:val="1"/>
      <w:numFmt w:val="bullet"/>
      <w:pStyle w:val="ListBullet2"/>
      <w:lvlText w:val="o"/>
      <w:lvlJc w:val="left"/>
      <w:pPr>
        <w:ind w:left="433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0" w15:restartNumberingAfterBreak="0">
    <w:nsid w:val="5B8E3352"/>
    <w:multiLevelType w:val="multilevel"/>
    <w:tmpl w:val="583A35FA"/>
    <w:name w:val="MyBullets2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1" w15:restartNumberingAfterBreak="0">
    <w:nsid w:val="5CEE543D"/>
    <w:multiLevelType w:val="multilevel"/>
    <w:tmpl w:val="583A35FA"/>
    <w:name w:val="MyBullets3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2"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93" w15:restartNumberingAfterBreak="0">
    <w:nsid w:val="5DC345B5"/>
    <w:multiLevelType w:val="multilevel"/>
    <w:tmpl w:val="583A35FA"/>
    <w:name w:val="MyBullets4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4" w15:restartNumberingAfterBreak="0">
    <w:nsid w:val="5E813F3A"/>
    <w:multiLevelType w:val="hybridMultilevel"/>
    <w:tmpl w:val="484E2818"/>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95" w15:restartNumberingAfterBreak="0">
    <w:nsid w:val="5EC860DC"/>
    <w:multiLevelType w:val="multilevel"/>
    <w:tmpl w:val="52749BF4"/>
    <w:name w:val="MyNumbering6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96" w15:restartNumberingAfterBreak="0">
    <w:nsid w:val="60561366"/>
    <w:multiLevelType w:val="multilevel"/>
    <w:tmpl w:val="088A0D40"/>
    <w:lvl w:ilvl="0">
      <w:start w:val="1"/>
      <w:numFmt w:val="bullet"/>
      <w:pStyle w:val="ListBullet"/>
      <w:lvlText w:val="§"/>
      <w:lvlJc w:val="left"/>
      <w:pPr>
        <w:ind w:left="720" w:hanging="360"/>
      </w:pPr>
      <w:rPr>
        <w:rFonts w:ascii="Wingdings" w:hAnsi="Wingdings" w:hint="default"/>
        <w:sz w:val="18"/>
        <w:szCs w:val="26"/>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7" w15:restartNumberingAfterBreak="0">
    <w:nsid w:val="607E17E0"/>
    <w:multiLevelType w:val="multilevel"/>
    <w:tmpl w:val="583A35FA"/>
    <w:name w:val="MyBullets3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8" w15:restartNumberingAfterBreak="0">
    <w:nsid w:val="628C6BDD"/>
    <w:multiLevelType w:val="hybridMultilevel"/>
    <w:tmpl w:val="85463EBA"/>
    <w:lvl w:ilvl="0" w:tplc="0C090003">
      <w:start w:val="1"/>
      <w:numFmt w:val="bullet"/>
      <w:lvlText w:val="o"/>
      <w:lvlJc w:val="left"/>
      <w:pPr>
        <w:ind w:left="360" w:hanging="360"/>
      </w:pPr>
      <w:rPr>
        <w:rFonts w:ascii="Courier New" w:hAnsi="Courier New" w:cs="Courier New" w:hint="default"/>
        <w:color w:val="000000" w:themeColor="text1"/>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9" w15:restartNumberingAfterBreak="0">
    <w:nsid w:val="62D54977"/>
    <w:multiLevelType w:val="multilevel"/>
    <w:tmpl w:val="4F909688"/>
    <w:lvl w:ilvl="0">
      <w:start w:val="1"/>
      <w:numFmt w:val="decimal"/>
      <w:lvlText w:val="%1."/>
      <w:lvlJc w:val="left"/>
      <w:pPr>
        <w:ind w:left="360" w:hanging="360"/>
      </w:pPr>
      <w:rPr>
        <w:b w:val="0"/>
        <w:i w:val="0"/>
        <w:color w:val="auto"/>
        <w:sz w:val="21"/>
        <w:szCs w:val="21"/>
      </w:rPr>
    </w:lvl>
    <w:lvl w:ilvl="1">
      <w:start w:val="1"/>
      <w:numFmt w:val="lowerLetter"/>
      <w:lvlText w:val="%2."/>
      <w:lvlJc w:val="left"/>
      <w:pPr>
        <w:ind w:left="714" w:hanging="357"/>
      </w:pPr>
    </w:lvl>
    <w:lvl w:ilvl="2">
      <w:start w:val="1"/>
      <w:numFmt w:val="lowerRoman"/>
      <w:lvlText w:val="%3."/>
      <w:lvlJc w:val="left"/>
      <w:pPr>
        <w:ind w:left="1071" w:hanging="357"/>
      </w:pPr>
    </w:lvl>
    <w:lvl w:ilvl="3">
      <w:start w:val="1"/>
      <w:numFmt w:val="upperLetter"/>
      <w:lvlText w:val="%4."/>
      <w:lvlJc w:val="left"/>
      <w:pPr>
        <w:ind w:left="1428" w:hanging="357"/>
      </w:pPr>
    </w:lvl>
    <w:lvl w:ilvl="4">
      <w:start w:val="1"/>
      <w:numFmt w:val="upperRoman"/>
      <w:lvlText w:val="%5."/>
      <w:lvlJc w:val="left"/>
      <w:pPr>
        <w:ind w:left="1785" w:hanging="357"/>
      </w:pPr>
    </w:lvl>
    <w:lvl w:ilvl="5">
      <w:start w:val="1"/>
      <w:numFmt w:val="lowerRoman"/>
      <w:lvlText w:val="%6."/>
      <w:lvlJc w:val="right"/>
      <w:pPr>
        <w:ind w:left="2142" w:hanging="357"/>
      </w:pPr>
    </w:lvl>
    <w:lvl w:ilvl="6">
      <w:start w:val="1"/>
      <w:numFmt w:val="decimal"/>
      <w:lvlText w:val="%7."/>
      <w:lvlJc w:val="left"/>
      <w:pPr>
        <w:ind w:left="2499" w:hanging="357"/>
      </w:pPr>
    </w:lvl>
    <w:lvl w:ilvl="7">
      <w:start w:val="1"/>
      <w:numFmt w:val="lowerLetter"/>
      <w:lvlText w:val="%8."/>
      <w:lvlJc w:val="left"/>
      <w:pPr>
        <w:ind w:left="2856" w:hanging="357"/>
      </w:pPr>
    </w:lvl>
    <w:lvl w:ilvl="8">
      <w:start w:val="1"/>
      <w:numFmt w:val="lowerRoman"/>
      <w:lvlText w:val="%9."/>
      <w:lvlJc w:val="right"/>
      <w:pPr>
        <w:ind w:left="3213" w:hanging="357"/>
      </w:pPr>
    </w:lvl>
  </w:abstractNum>
  <w:abstractNum w:abstractNumId="100" w15:restartNumberingAfterBreak="0">
    <w:nsid w:val="6313234F"/>
    <w:multiLevelType w:val="multilevel"/>
    <w:tmpl w:val="D6EA4628"/>
    <w:name w:val="MyNumbering6224"/>
    <w:lvl w:ilvl="0">
      <w:start w:val="1"/>
      <w:numFmt w:val="decimal"/>
      <w:lvlText w:val="%1."/>
      <w:lvlJc w:val="left"/>
      <w:pPr>
        <w:ind w:left="360" w:hanging="360"/>
      </w:pPr>
      <w:rPr>
        <w:rFonts w:ascii="Arial" w:hAnsi="Arial" w:hint="default"/>
        <w:b w:val="0"/>
        <w:i w:val="0"/>
        <w:color w:val="auto"/>
        <w:sz w:val="20"/>
        <w:szCs w:val="20"/>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1" w15:restartNumberingAfterBreak="0">
    <w:nsid w:val="654852CE"/>
    <w:multiLevelType w:val="multilevel"/>
    <w:tmpl w:val="583A35FA"/>
    <w:name w:val="MyBullets3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2" w15:restartNumberingAfterBreak="0">
    <w:nsid w:val="664A7BD1"/>
    <w:multiLevelType w:val="multilevel"/>
    <w:tmpl w:val="583A35FA"/>
    <w:name w:val="MyBullets3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3" w15:restartNumberingAfterBreak="0">
    <w:nsid w:val="669526FE"/>
    <w:multiLevelType w:val="multilevel"/>
    <w:tmpl w:val="583A35FA"/>
    <w:name w:val="MyBullets4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4" w15:restartNumberingAfterBreak="0">
    <w:nsid w:val="67283FA7"/>
    <w:multiLevelType w:val="multilevel"/>
    <w:tmpl w:val="66148666"/>
    <w:name w:val="MyNumbering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5" w15:restartNumberingAfterBreak="0">
    <w:nsid w:val="68135F4C"/>
    <w:multiLevelType w:val="hybridMultilevel"/>
    <w:tmpl w:val="45E4C338"/>
    <w:name w:val="MyNumbering62248"/>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6" w15:restartNumberingAfterBreak="0">
    <w:nsid w:val="69411D4B"/>
    <w:multiLevelType w:val="multilevel"/>
    <w:tmpl w:val="EE9C9BBC"/>
    <w:lvl w:ilvl="0">
      <w:start w:val="1"/>
      <w:numFmt w:val="lowerLetter"/>
      <w:lvlText w:val="(%1)"/>
      <w:lvlJc w:val="left"/>
      <w:pPr>
        <w:ind w:left="360" w:hanging="360"/>
      </w:pPr>
      <w:rPr>
        <w:rFonts w:ascii="Arial" w:hAnsi="Arial" w:hint="default"/>
        <w:b w:val="0"/>
        <w:i w:val="0"/>
        <w:color w:val="auto"/>
        <w:sz w:val="22"/>
        <w:szCs w:val="26"/>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7" w15:restartNumberingAfterBreak="0">
    <w:nsid w:val="69B049D1"/>
    <w:multiLevelType w:val="hybridMultilevel"/>
    <w:tmpl w:val="5CE2AB22"/>
    <w:name w:val="MyNumbering62249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08" w15:restartNumberingAfterBreak="0">
    <w:nsid w:val="6B364270"/>
    <w:multiLevelType w:val="hybridMultilevel"/>
    <w:tmpl w:val="2F0EA38E"/>
    <w:lvl w:ilvl="0" w:tplc="E6BAED44">
      <w:start w:val="1"/>
      <w:numFmt w:val="bullet"/>
      <w:lvlText w:val=""/>
      <w:lvlJc w:val="left"/>
      <w:pPr>
        <w:ind w:left="360" w:hanging="360"/>
      </w:pPr>
      <w:rPr>
        <w:rFonts w:ascii="Wingdings" w:hAnsi="Wingdings" w:hint="default"/>
        <w:color w:val="000000" w:themeColor="text1"/>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 w15:restartNumberingAfterBreak="0">
    <w:nsid w:val="6C6C38CB"/>
    <w:multiLevelType w:val="hybridMultilevel"/>
    <w:tmpl w:val="E69ECD4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0" w15:restartNumberingAfterBreak="0">
    <w:nsid w:val="6CE848E0"/>
    <w:multiLevelType w:val="multilevel"/>
    <w:tmpl w:val="583A35FA"/>
    <w:name w:val="MyBullets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1" w15:restartNumberingAfterBreak="0">
    <w:nsid w:val="6D0B0C93"/>
    <w:multiLevelType w:val="multilevel"/>
    <w:tmpl w:val="583A35FA"/>
    <w:name w:val="MyBullets4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2" w15:restartNumberingAfterBreak="0">
    <w:nsid w:val="6D0C31B9"/>
    <w:multiLevelType w:val="multilevel"/>
    <w:tmpl w:val="583A35FA"/>
    <w:name w:val="MyBullets4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3" w15:restartNumberingAfterBreak="0">
    <w:nsid w:val="6D56407A"/>
    <w:multiLevelType w:val="multilevel"/>
    <w:tmpl w:val="583A35FA"/>
    <w:name w:val="MyBullets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4" w15:restartNumberingAfterBreak="0">
    <w:nsid w:val="6F4C0B22"/>
    <w:multiLevelType w:val="multilevel"/>
    <w:tmpl w:val="583A35FA"/>
    <w:name w:val="MyBullets2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5" w15:restartNumberingAfterBreak="0">
    <w:nsid w:val="711E56F4"/>
    <w:multiLevelType w:val="multilevel"/>
    <w:tmpl w:val="8DF8C6B6"/>
    <w:name w:val="MyNumbering7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16"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117" w15:restartNumberingAfterBreak="0">
    <w:nsid w:val="731C390E"/>
    <w:multiLevelType w:val="multilevel"/>
    <w:tmpl w:val="583A35FA"/>
    <w:name w:val="MyBullets31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8" w15:restartNumberingAfterBreak="0">
    <w:nsid w:val="7332277A"/>
    <w:multiLevelType w:val="multilevel"/>
    <w:tmpl w:val="581475EC"/>
    <w:lvl w:ilvl="0">
      <w:start w:val="1"/>
      <w:numFmt w:val="bullet"/>
      <w:lvlText w:val=""/>
      <w:lvlJc w:val="left"/>
      <w:pPr>
        <w:tabs>
          <w:tab w:val="num" w:pos="312"/>
        </w:tabs>
        <w:ind w:left="312" w:hanging="227"/>
      </w:pPr>
      <w:rPr>
        <w:rFonts w:ascii="Symbol" w:hAnsi="Symbol" w:hint="default"/>
        <w:color w:val="auto"/>
        <w:position w:val="0"/>
        <w:sz w:val="18"/>
      </w:rPr>
    </w:lvl>
    <w:lvl w:ilvl="1">
      <w:start w:val="1"/>
      <w:numFmt w:val="bullet"/>
      <w:lvlText w:val="–"/>
      <w:lvlJc w:val="left"/>
      <w:pPr>
        <w:tabs>
          <w:tab w:val="num" w:pos="539"/>
        </w:tabs>
        <w:ind w:left="539" w:hanging="227"/>
      </w:pPr>
      <w:rPr>
        <w:rFonts w:ascii="Arial" w:hAnsi="Arial" w:hint="default"/>
        <w:color w:val="auto"/>
        <w:position w:val="0"/>
        <w:sz w:val="18"/>
      </w:rPr>
    </w:lvl>
    <w:lvl w:ilvl="2">
      <w:start w:val="1"/>
      <w:numFmt w:val="bullet"/>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119" w15:restartNumberingAfterBreak="0">
    <w:nsid w:val="762964D5"/>
    <w:multiLevelType w:val="multilevel"/>
    <w:tmpl w:val="E898CC72"/>
    <w:styleLink w:val="KeyPoints"/>
    <w:lvl w:ilvl="0">
      <w:start w:val="1"/>
      <w:numFmt w:val="decimal"/>
      <w:lvlText w:val="%1."/>
      <w:lvlJc w:val="left"/>
      <w:pPr>
        <w:ind w:left="369" w:hanging="369"/>
      </w:pPr>
      <w:rPr>
        <w:rFonts w:ascii="Arial" w:hAnsi="Arial" w:hint="default"/>
        <w:sz w:val="22"/>
      </w:rPr>
    </w:lvl>
    <w:lvl w:ilvl="1">
      <w:start w:val="1"/>
      <w:numFmt w:val="lowerLetter"/>
      <w:lvlText w:val="%2."/>
      <w:lvlJc w:val="left"/>
      <w:pPr>
        <w:ind w:left="738" w:hanging="369"/>
      </w:pPr>
      <w:rPr>
        <w:rFonts w:hint="default"/>
      </w:rPr>
    </w:lvl>
    <w:lvl w:ilvl="2">
      <w:start w:val="1"/>
      <w:numFmt w:val="lowerRoman"/>
      <w:lvlText w:val="%3."/>
      <w:lvlJc w:val="left"/>
      <w:pPr>
        <w:ind w:left="1107" w:hanging="369"/>
      </w:pPr>
      <w:rPr>
        <w:rFonts w:hint="default"/>
      </w:rPr>
    </w:lvl>
    <w:lvl w:ilvl="3">
      <w:start w:val="1"/>
      <w:numFmt w:val="none"/>
      <w:lvlText w:val="%4"/>
      <w:lvlJc w:val="left"/>
      <w:pPr>
        <w:ind w:left="1476" w:hanging="369"/>
      </w:pPr>
      <w:rPr>
        <w:rFonts w:hint="default"/>
      </w:rPr>
    </w:lvl>
    <w:lvl w:ilvl="4">
      <w:start w:val="1"/>
      <w:numFmt w:val="none"/>
      <w:lvlText w:val=""/>
      <w:lvlJc w:val="left"/>
      <w:pPr>
        <w:ind w:left="1845" w:hanging="369"/>
      </w:pPr>
      <w:rPr>
        <w:rFonts w:hint="default"/>
      </w:rPr>
    </w:lvl>
    <w:lvl w:ilvl="5">
      <w:start w:val="1"/>
      <w:numFmt w:val="none"/>
      <w:lvlText w:val=""/>
      <w:lvlJc w:val="left"/>
      <w:pPr>
        <w:ind w:left="2214" w:hanging="369"/>
      </w:pPr>
      <w:rPr>
        <w:rFonts w:hint="default"/>
      </w:rPr>
    </w:lvl>
    <w:lvl w:ilvl="6">
      <w:start w:val="1"/>
      <w:numFmt w:val="none"/>
      <w:lvlText w:val=""/>
      <w:lvlJc w:val="left"/>
      <w:pPr>
        <w:ind w:left="2583" w:hanging="369"/>
      </w:pPr>
      <w:rPr>
        <w:rFonts w:hint="default"/>
      </w:rPr>
    </w:lvl>
    <w:lvl w:ilvl="7">
      <w:start w:val="1"/>
      <w:numFmt w:val="none"/>
      <w:lvlText w:val=""/>
      <w:lvlJc w:val="left"/>
      <w:pPr>
        <w:ind w:left="2952" w:hanging="369"/>
      </w:pPr>
      <w:rPr>
        <w:rFonts w:hint="default"/>
      </w:rPr>
    </w:lvl>
    <w:lvl w:ilvl="8">
      <w:start w:val="1"/>
      <w:numFmt w:val="none"/>
      <w:lvlText w:val=""/>
      <w:lvlJc w:val="left"/>
      <w:pPr>
        <w:ind w:left="3321" w:hanging="369"/>
      </w:pPr>
      <w:rPr>
        <w:rFonts w:hint="default"/>
      </w:rPr>
    </w:lvl>
  </w:abstractNum>
  <w:abstractNum w:abstractNumId="120" w15:restartNumberingAfterBreak="0">
    <w:nsid w:val="77664A87"/>
    <w:multiLevelType w:val="hybridMultilevel"/>
    <w:tmpl w:val="BC4AF7E4"/>
    <w:name w:val="MyNumbering62243"/>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1" w15:restartNumberingAfterBreak="0">
    <w:nsid w:val="7B566744"/>
    <w:multiLevelType w:val="multilevel"/>
    <w:tmpl w:val="583A35FA"/>
    <w:name w:val="MyBullets4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2" w15:restartNumberingAfterBreak="0">
    <w:nsid w:val="7C800D74"/>
    <w:multiLevelType w:val="multilevel"/>
    <w:tmpl w:val="583A35FA"/>
    <w:name w:val="MyBullets31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3" w15:restartNumberingAfterBreak="0">
    <w:nsid w:val="7D1855D1"/>
    <w:multiLevelType w:val="multilevel"/>
    <w:tmpl w:val="583A35FA"/>
    <w:name w:val="MyBullets4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4"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abstractNum w:abstractNumId="125" w15:restartNumberingAfterBreak="0">
    <w:nsid w:val="7E2819EC"/>
    <w:multiLevelType w:val="multilevel"/>
    <w:tmpl w:val="1250F310"/>
    <w:lvl w:ilvl="0">
      <w:start w:val="1"/>
      <w:numFmt w:val="bullet"/>
      <w:pStyle w:val="AERbulletlistfirststyle"/>
      <w:lvlText w:val=""/>
      <w:lvlJc w:val="left"/>
      <w:pPr>
        <w:ind w:left="644"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7ED3322D"/>
    <w:multiLevelType w:val="hybridMultilevel"/>
    <w:tmpl w:val="3B047FFC"/>
    <w:name w:val="MyNumbering6223"/>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7" w15:restartNumberingAfterBreak="0">
    <w:nsid w:val="7F4D08A5"/>
    <w:multiLevelType w:val="hybridMultilevel"/>
    <w:tmpl w:val="C0C48F3A"/>
    <w:name w:val="MyNumbering62248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abstractNumId w:val="33"/>
  </w:num>
  <w:num w:numId="2">
    <w:abstractNumId w:val="4"/>
  </w:num>
  <w:num w:numId="3">
    <w:abstractNumId w:val="38"/>
  </w:num>
  <w:num w:numId="4">
    <w:abstractNumId w:val="84"/>
  </w:num>
  <w:num w:numId="5">
    <w:abstractNumId w:val="72"/>
  </w:num>
  <w:num w:numId="6">
    <w:abstractNumId w:val="36"/>
  </w:num>
  <w:num w:numId="7">
    <w:abstractNumId w:val="29"/>
  </w:num>
  <w:num w:numId="8">
    <w:abstractNumId w:val="56"/>
  </w:num>
  <w:num w:numId="9">
    <w:abstractNumId w:val="0"/>
  </w:num>
  <w:num w:numId="10">
    <w:abstractNumId w:val="119"/>
  </w:num>
  <w:num w:numId="11">
    <w:abstractNumId w:val="96"/>
  </w:num>
  <w:num w:numId="12">
    <w:abstractNumId w:val="89"/>
  </w:num>
  <w:num w:numId="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0"/>
  </w:num>
  <w:num w:numId="15">
    <w:abstractNumId w:val="125"/>
  </w:num>
  <w:num w:numId="16">
    <w:abstractNumId w:val="43"/>
  </w:num>
  <w:num w:numId="17">
    <w:abstractNumId w:val="69"/>
  </w:num>
  <w:num w:numId="18">
    <w:abstractNumId w:val="88"/>
  </w:num>
  <w:num w:numId="19">
    <w:abstractNumId w:val="80"/>
  </w:num>
  <w:num w:numId="2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6"/>
    <w:lvlOverride w:ilvl="0"/>
    <w:lvlOverride w:ilvl="1"/>
    <w:lvlOverride w:ilvl="2">
      <w:startOverride w:val="1"/>
    </w:lvlOverride>
    <w:lvlOverride w:ilvl="3"/>
    <w:lvlOverride w:ilvl="4"/>
    <w:lvlOverride w:ilvl="5"/>
    <w:lvlOverride w:ilvl="6"/>
    <w:lvlOverride w:ilvl="7"/>
    <w:lvlOverride w:ilvl="8"/>
  </w:num>
  <w:num w:numId="23">
    <w:abstractNumId w:val="89"/>
  </w:num>
  <w:num w:numId="24">
    <w:abstractNumId w:val="94"/>
  </w:num>
  <w:num w:numId="25">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3"/>
  </w:num>
  <w:num w:numId="2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5"/>
  </w:num>
  <w:num w:numId="31">
    <w:abstractNumId w:val="127"/>
  </w:num>
  <w:num w:numId="32">
    <w:abstractNumId w:val="11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abstractNumId w:val="6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abstractNumId w:val="10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
    <w:abstractNumId w:val="9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54"/>
  </w:num>
  <w:num w:numId="38">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6"/>
  </w:num>
  <w:num w:numId="40">
    <w:abstractNumId w:val="6"/>
  </w:num>
  <w:num w:numId="41">
    <w:abstractNumId w:val="73"/>
  </w:num>
  <w:num w:numId="42">
    <w:abstractNumId w:val="23"/>
  </w:num>
  <w:num w:numId="43">
    <w:abstractNumId w:val="59"/>
  </w:num>
  <w:num w:numId="44">
    <w:abstractNumId w:val="30"/>
  </w:num>
  <w:num w:numId="45">
    <w:abstractNumId w:val="30"/>
    <w:lvlOverride w:ilvl="0">
      <w:startOverride w:val="1"/>
    </w:lvlOverride>
  </w:num>
  <w:num w:numId="46">
    <w:abstractNumId w:val="108"/>
  </w:num>
  <w:num w:numId="47">
    <w:abstractNumId w:val="98"/>
  </w:num>
  <w:num w:numId="48">
    <w:abstractNumId w:val="41"/>
  </w:num>
  <w:num w:numId="49">
    <w:abstractNumId w:val="109"/>
  </w:num>
  <w:num w:numId="50">
    <w:abstractNumId w:val="20"/>
  </w:num>
  <w:num w:numId="51">
    <w:abstractNumId w:val="16"/>
  </w:num>
  <w:num w:numId="52">
    <w:abstractNumId w:val="8"/>
  </w:num>
  <w:num w:numId="53">
    <w:abstractNumId w:val="11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clickAndTypeStyle w:val="BodyText"/>
  <w:drawingGridHorizontalSpacing w:val="110"/>
  <w:displayHorizontalDrawingGridEvery w:val="2"/>
  <w:characterSpacingControl w:val="doNotCompress"/>
  <w:hdrShapeDefaults>
    <o:shapedefaults v:ext="edit" spidmax="1433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breviations" w:val="False"/>
    <w:docVar w:name="ABN" w:val="ABN 78 006 769 339"/>
    <w:docVar w:name="Address" w:val="Level 27, Ernst &amp; Young Centre ~680 George Street ~Sydney NSW 2000"/>
    <w:docVar w:name="Branch" w:val="Sydney"/>
    <w:docVar w:name="ContentType" w:val="LTR-"/>
    <w:docVar w:name="Country" w:val="Australia"/>
    <w:docVar w:name="CustomTemplates" w:val="True"/>
    <w:docVar w:name="Discipline" w:val="~"/>
    <w:docVar w:name="DOCID" w:val="72499381"/>
    <w:docVar w:name="DocNameType" w:val="ANZ"/>
    <w:docVar w:name="DocNo" w:val="~"/>
    <w:docVar w:name="Entity" w:val="WSP Structures Pty Ltd"/>
    <w:docVar w:name="ExecutiveSummary" w:val="False"/>
    <w:docVar w:name="Fax" w:val="61 2 9272 5101"/>
    <w:docVar w:name="Glossary" w:val="False"/>
    <w:docVar w:name="isReport" w:val="True"/>
    <w:docVar w:name="Para" w:val="_x000d__x000a_"/>
    <w:docVar w:name="Phone" w:val="61 2 9272 5100"/>
    <w:docVar w:name="Postal" w:val="GPO Box 5394 ~Sydney NSW 2001"/>
    <w:docVar w:name="ProjectCode" w:val="~"/>
    <w:docVar w:name="SimpleOurRef" w:val="~"/>
    <w:docVar w:name="TOC" w:val="True"/>
    <w:docVar w:name="TOCImported" w:val="True"/>
    <w:docVar w:name="TOCNew" w:val="True"/>
    <w:docVar w:name="UpdateTheme" w:val="False"/>
    <w:docVar w:name="VERSIONLABEL" w:val="1"/>
    <w:docVar w:name="WSPAuthor" w:val="FD-"/>
    <w:docVar w:name="WSPContentType" w:val=" FD-"/>
    <w:docVar w:name="WSPDiscipline" w:val=" FD-"/>
    <w:docVar w:name="WSPDocDescription" w:val="FDSFSFS"/>
    <w:docVar w:name="WSPDocNamingDate" w:val="151215-"/>
    <w:docVar w:name="WSPDocNo" w:val=" FDS"/>
    <w:docVar w:name="WSPGeneralOurRef" w:val="barfdsa"/>
    <w:docVar w:name="WSPOfficeCode" w:val="FFDSAFSAFS-"/>
    <w:docVar w:name="WSPOurRef" w:val=" FFDA- FD- FD- FDS Rev FD"/>
    <w:docVar w:name="WSPProjectCode" w:val=" FFDA-"/>
    <w:docVar w:name="WSPRevNo" w:val=" FD"/>
    <w:docVar w:name="xAppendixName" w:val="Appendix"/>
    <w:docVar w:name="xTOCApp" w:val="H"/>
    <w:docVar w:name="xTOCFigure" w:val="H"/>
    <w:docVar w:name="xTOCH2" w:val="Y"/>
    <w:docVar w:name="xTOCH3" w:val="Y"/>
    <w:docVar w:name="xTOCPhoto" w:val="S"/>
    <w:docVar w:name="xTOCTable" w:val="H"/>
  </w:docVars>
  <w:rsids>
    <w:rsidRoot w:val="004C69F6"/>
    <w:rsid w:val="00000093"/>
    <w:rsid w:val="00000194"/>
    <w:rsid w:val="0000032A"/>
    <w:rsid w:val="00000333"/>
    <w:rsid w:val="000009F2"/>
    <w:rsid w:val="00000B9A"/>
    <w:rsid w:val="00000E4C"/>
    <w:rsid w:val="00000F1A"/>
    <w:rsid w:val="00001322"/>
    <w:rsid w:val="0000171C"/>
    <w:rsid w:val="0000189B"/>
    <w:rsid w:val="00001A9B"/>
    <w:rsid w:val="00001DFB"/>
    <w:rsid w:val="000025DD"/>
    <w:rsid w:val="0000281A"/>
    <w:rsid w:val="0000290E"/>
    <w:rsid w:val="00002AD2"/>
    <w:rsid w:val="00002B57"/>
    <w:rsid w:val="00002BA1"/>
    <w:rsid w:val="00003094"/>
    <w:rsid w:val="000035F6"/>
    <w:rsid w:val="000037E4"/>
    <w:rsid w:val="000038C7"/>
    <w:rsid w:val="00003A67"/>
    <w:rsid w:val="00003E56"/>
    <w:rsid w:val="00004219"/>
    <w:rsid w:val="00004810"/>
    <w:rsid w:val="00004A68"/>
    <w:rsid w:val="00004EF2"/>
    <w:rsid w:val="0000577C"/>
    <w:rsid w:val="000057E4"/>
    <w:rsid w:val="00005823"/>
    <w:rsid w:val="0000598E"/>
    <w:rsid w:val="00005A5C"/>
    <w:rsid w:val="00006028"/>
    <w:rsid w:val="0000634A"/>
    <w:rsid w:val="000063C4"/>
    <w:rsid w:val="000068B5"/>
    <w:rsid w:val="000069D6"/>
    <w:rsid w:val="00006D53"/>
    <w:rsid w:val="00006DD3"/>
    <w:rsid w:val="00007007"/>
    <w:rsid w:val="0000723E"/>
    <w:rsid w:val="0000739E"/>
    <w:rsid w:val="00007986"/>
    <w:rsid w:val="000105A9"/>
    <w:rsid w:val="00010618"/>
    <w:rsid w:val="00010C8A"/>
    <w:rsid w:val="00011733"/>
    <w:rsid w:val="00011772"/>
    <w:rsid w:val="00011A64"/>
    <w:rsid w:val="00011EB4"/>
    <w:rsid w:val="00011F39"/>
    <w:rsid w:val="0001201E"/>
    <w:rsid w:val="00012054"/>
    <w:rsid w:val="00012371"/>
    <w:rsid w:val="000125A5"/>
    <w:rsid w:val="00012827"/>
    <w:rsid w:val="0001322B"/>
    <w:rsid w:val="00013597"/>
    <w:rsid w:val="00013700"/>
    <w:rsid w:val="00013D78"/>
    <w:rsid w:val="00013FB3"/>
    <w:rsid w:val="00014071"/>
    <w:rsid w:val="00014082"/>
    <w:rsid w:val="000140CE"/>
    <w:rsid w:val="000148AB"/>
    <w:rsid w:val="00014A34"/>
    <w:rsid w:val="00014C9C"/>
    <w:rsid w:val="0001545E"/>
    <w:rsid w:val="00015CD4"/>
    <w:rsid w:val="0001614C"/>
    <w:rsid w:val="00016CA2"/>
    <w:rsid w:val="0001718D"/>
    <w:rsid w:val="000171D8"/>
    <w:rsid w:val="000173A1"/>
    <w:rsid w:val="00017BB7"/>
    <w:rsid w:val="00017E18"/>
    <w:rsid w:val="00020425"/>
    <w:rsid w:val="00020547"/>
    <w:rsid w:val="000205FF"/>
    <w:rsid w:val="0002075E"/>
    <w:rsid w:val="00020F11"/>
    <w:rsid w:val="000210CE"/>
    <w:rsid w:val="00021F13"/>
    <w:rsid w:val="000221B9"/>
    <w:rsid w:val="0002258E"/>
    <w:rsid w:val="00022905"/>
    <w:rsid w:val="00022A9D"/>
    <w:rsid w:val="00022B6D"/>
    <w:rsid w:val="00022C5C"/>
    <w:rsid w:val="0002318A"/>
    <w:rsid w:val="000231E0"/>
    <w:rsid w:val="0002337C"/>
    <w:rsid w:val="00023518"/>
    <w:rsid w:val="00023619"/>
    <w:rsid w:val="00023701"/>
    <w:rsid w:val="0002371F"/>
    <w:rsid w:val="00023F61"/>
    <w:rsid w:val="00024007"/>
    <w:rsid w:val="00024931"/>
    <w:rsid w:val="00024AC0"/>
    <w:rsid w:val="00024C3D"/>
    <w:rsid w:val="00024D26"/>
    <w:rsid w:val="00024E5F"/>
    <w:rsid w:val="00024FBE"/>
    <w:rsid w:val="00025161"/>
    <w:rsid w:val="00025438"/>
    <w:rsid w:val="00025F54"/>
    <w:rsid w:val="0002642C"/>
    <w:rsid w:val="0002668E"/>
    <w:rsid w:val="00026A90"/>
    <w:rsid w:val="00026B84"/>
    <w:rsid w:val="00026ED5"/>
    <w:rsid w:val="00027274"/>
    <w:rsid w:val="00027800"/>
    <w:rsid w:val="00027BC7"/>
    <w:rsid w:val="00027C6C"/>
    <w:rsid w:val="00027E4A"/>
    <w:rsid w:val="00030349"/>
    <w:rsid w:val="00030444"/>
    <w:rsid w:val="0003062F"/>
    <w:rsid w:val="0003079E"/>
    <w:rsid w:val="00030EA5"/>
    <w:rsid w:val="00031503"/>
    <w:rsid w:val="000318C7"/>
    <w:rsid w:val="00031978"/>
    <w:rsid w:val="000323F1"/>
    <w:rsid w:val="0003249B"/>
    <w:rsid w:val="00032806"/>
    <w:rsid w:val="00032892"/>
    <w:rsid w:val="00032A32"/>
    <w:rsid w:val="00032D65"/>
    <w:rsid w:val="00032E8F"/>
    <w:rsid w:val="00033625"/>
    <w:rsid w:val="00033C30"/>
    <w:rsid w:val="00034050"/>
    <w:rsid w:val="000343D3"/>
    <w:rsid w:val="0003553E"/>
    <w:rsid w:val="00035A63"/>
    <w:rsid w:val="000362CA"/>
    <w:rsid w:val="000364F2"/>
    <w:rsid w:val="00036751"/>
    <w:rsid w:val="00036BCF"/>
    <w:rsid w:val="00036C8E"/>
    <w:rsid w:val="00036CDC"/>
    <w:rsid w:val="00036D45"/>
    <w:rsid w:val="00037286"/>
    <w:rsid w:val="00037486"/>
    <w:rsid w:val="000374E9"/>
    <w:rsid w:val="00037C20"/>
    <w:rsid w:val="00040011"/>
    <w:rsid w:val="0004046E"/>
    <w:rsid w:val="00040531"/>
    <w:rsid w:val="000405A7"/>
    <w:rsid w:val="000405AB"/>
    <w:rsid w:val="000406EF"/>
    <w:rsid w:val="00040A04"/>
    <w:rsid w:val="00040FD1"/>
    <w:rsid w:val="00041613"/>
    <w:rsid w:val="00041B06"/>
    <w:rsid w:val="00041CE0"/>
    <w:rsid w:val="00041D53"/>
    <w:rsid w:val="0004222D"/>
    <w:rsid w:val="00042278"/>
    <w:rsid w:val="00042366"/>
    <w:rsid w:val="0004277C"/>
    <w:rsid w:val="00042C9F"/>
    <w:rsid w:val="00042CAF"/>
    <w:rsid w:val="000431D6"/>
    <w:rsid w:val="000438A1"/>
    <w:rsid w:val="00043A10"/>
    <w:rsid w:val="00043AC5"/>
    <w:rsid w:val="00043B16"/>
    <w:rsid w:val="00043B69"/>
    <w:rsid w:val="000443F1"/>
    <w:rsid w:val="00044884"/>
    <w:rsid w:val="00044DCE"/>
    <w:rsid w:val="00044F8F"/>
    <w:rsid w:val="00044FDB"/>
    <w:rsid w:val="00045471"/>
    <w:rsid w:val="000455A9"/>
    <w:rsid w:val="000455FE"/>
    <w:rsid w:val="00045A2E"/>
    <w:rsid w:val="00045AEF"/>
    <w:rsid w:val="00045D96"/>
    <w:rsid w:val="00045E42"/>
    <w:rsid w:val="0004619B"/>
    <w:rsid w:val="0004627D"/>
    <w:rsid w:val="000463D7"/>
    <w:rsid w:val="00046C16"/>
    <w:rsid w:val="0004747E"/>
    <w:rsid w:val="00047644"/>
    <w:rsid w:val="00047A4F"/>
    <w:rsid w:val="00047C91"/>
    <w:rsid w:val="00050713"/>
    <w:rsid w:val="0005109B"/>
    <w:rsid w:val="000510BB"/>
    <w:rsid w:val="000516BE"/>
    <w:rsid w:val="00051A1F"/>
    <w:rsid w:val="00051D5C"/>
    <w:rsid w:val="00051F2B"/>
    <w:rsid w:val="0005213F"/>
    <w:rsid w:val="00052454"/>
    <w:rsid w:val="0005252A"/>
    <w:rsid w:val="000525D6"/>
    <w:rsid w:val="00052756"/>
    <w:rsid w:val="0005283A"/>
    <w:rsid w:val="00052A4B"/>
    <w:rsid w:val="00053103"/>
    <w:rsid w:val="0005399F"/>
    <w:rsid w:val="000539FE"/>
    <w:rsid w:val="00053C46"/>
    <w:rsid w:val="00053FEC"/>
    <w:rsid w:val="000540B4"/>
    <w:rsid w:val="000542A1"/>
    <w:rsid w:val="00054674"/>
    <w:rsid w:val="000547F1"/>
    <w:rsid w:val="00054BE0"/>
    <w:rsid w:val="00055169"/>
    <w:rsid w:val="00055A15"/>
    <w:rsid w:val="00055FA7"/>
    <w:rsid w:val="00056406"/>
    <w:rsid w:val="0005644F"/>
    <w:rsid w:val="00056D39"/>
    <w:rsid w:val="00056D42"/>
    <w:rsid w:val="00056DA3"/>
    <w:rsid w:val="0005705F"/>
    <w:rsid w:val="00057226"/>
    <w:rsid w:val="0005727A"/>
    <w:rsid w:val="00057416"/>
    <w:rsid w:val="000574CC"/>
    <w:rsid w:val="00057571"/>
    <w:rsid w:val="000575CC"/>
    <w:rsid w:val="0005762C"/>
    <w:rsid w:val="00057661"/>
    <w:rsid w:val="000579AF"/>
    <w:rsid w:val="00057ACD"/>
    <w:rsid w:val="000603EE"/>
    <w:rsid w:val="0006053E"/>
    <w:rsid w:val="000608FB"/>
    <w:rsid w:val="00060B55"/>
    <w:rsid w:val="00060B9F"/>
    <w:rsid w:val="00060D90"/>
    <w:rsid w:val="00061E0A"/>
    <w:rsid w:val="000622CB"/>
    <w:rsid w:val="000623AC"/>
    <w:rsid w:val="00062536"/>
    <w:rsid w:val="0006277B"/>
    <w:rsid w:val="000628AA"/>
    <w:rsid w:val="00062F76"/>
    <w:rsid w:val="000634B5"/>
    <w:rsid w:val="000635DA"/>
    <w:rsid w:val="00063820"/>
    <w:rsid w:val="0006386D"/>
    <w:rsid w:val="00063990"/>
    <w:rsid w:val="000642D2"/>
    <w:rsid w:val="00064444"/>
    <w:rsid w:val="0006590D"/>
    <w:rsid w:val="00065B1F"/>
    <w:rsid w:val="00065CC4"/>
    <w:rsid w:val="00065CDA"/>
    <w:rsid w:val="00066037"/>
    <w:rsid w:val="00066597"/>
    <w:rsid w:val="000665B5"/>
    <w:rsid w:val="00066710"/>
    <w:rsid w:val="000669A6"/>
    <w:rsid w:val="00066A4B"/>
    <w:rsid w:val="00066CEB"/>
    <w:rsid w:val="00066EE0"/>
    <w:rsid w:val="00066FB6"/>
    <w:rsid w:val="0006708F"/>
    <w:rsid w:val="000679A1"/>
    <w:rsid w:val="00067A55"/>
    <w:rsid w:val="00067B37"/>
    <w:rsid w:val="00067F43"/>
    <w:rsid w:val="00067F90"/>
    <w:rsid w:val="00070500"/>
    <w:rsid w:val="000707E8"/>
    <w:rsid w:val="00070897"/>
    <w:rsid w:val="000709D4"/>
    <w:rsid w:val="0007120B"/>
    <w:rsid w:val="00071584"/>
    <w:rsid w:val="00071915"/>
    <w:rsid w:val="00071A2F"/>
    <w:rsid w:val="00071F31"/>
    <w:rsid w:val="000725E5"/>
    <w:rsid w:val="00072840"/>
    <w:rsid w:val="00072942"/>
    <w:rsid w:val="00072E3F"/>
    <w:rsid w:val="0007368F"/>
    <w:rsid w:val="00073846"/>
    <w:rsid w:val="000738AF"/>
    <w:rsid w:val="00073C88"/>
    <w:rsid w:val="00073DD6"/>
    <w:rsid w:val="00073DDA"/>
    <w:rsid w:val="000747C4"/>
    <w:rsid w:val="00074C02"/>
    <w:rsid w:val="00074CCC"/>
    <w:rsid w:val="00074E5F"/>
    <w:rsid w:val="00074EBF"/>
    <w:rsid w:val="00074EF6"/>
    <w:rsid w:val="000753AE"/>
    <w:rsid w:val="000755B1"/>
    <w:rsid w:val="00075AB0"/>
    <w:rsid w:val="00075D68"/>
    <w:rsid w:val="000764DD"/>
    <w:rsid w:val="0007660F"/>
    <w:rsid w:val="00076A72"/>
    <w:rsid w:val="00076A7D"/>
    <w:rsid w:val="00076CEC"/>
    <w:rsid w:val="000773DF"/>
    <w:rsid w:val="0007772F"/>
    <w:rsid w:val="00077CD3"/>
    <w:rsid w:val="000800F0"/>
    <w:rsid w:val="00080188"/>
    <w:rsid w:val="00080774"/>
    <w:rsid w:val="000809B0"/>
    <w:rsid w:val="00080E3B"/>
    <w:rsid w:val="0008215B"/>
    <w:rsid w:val="00082339"/>
    <w:rsid w:val="00082CAC"/>
    <w:rsid w:val="00082CF7"/>
    <w:rsid w:val="00083038"/>
    <w:rsid w:val="000831F0"/>
    <w:rsid w:val="000834AE"/>
    <w:rsid w:val="00083E55"/>
    <w:rsid w:val="00084311"/>
    <w:rsid w:val="00084B10"/>
    <w:rsid w:val="00084BE8"/>
    <w:rsid w:val="000851F6"/>
    <w:rsid w:val="0008527D"/>
    <w:rsid w:val="00085314"/>
    <w:rsid w:val="00085393"/>
    <w:rsid w:val="000856C4"/>
    <w:rsid w:val="00085D93"/>
    <w:rsid w:val="00086400"/>
    <w:rsid w:val="000866EB"/>
    <w:rsid w:val="00086C5B"/>
    <w:rsid w:val="000870AB"/>
    <w:rsid w:val="000874AC"/>
    <w:rsid w:val="000874D6"/>
    <w:rsid w:val="00087A2D"/>
    <w:rsid w:val="00087AE7"/>
    <w:rsid w:val="00087F6D"/>
    <w:rsid w:val="000905D6"/>
    <w:rsid w:val="00090815"/>
    <w:rsid w:val="0009093C"/>
    <w:rsid w:val="0009097B"/>
    <w:rsid w:val="00090D68"/>
    <w:rsid w:val="00090D84"/>
    <w:rsid w:val="00090E6C"/>
    <w:rsid w:val="0009129D"/>
    <w:rsid w:val="00091B4A"/>
    <w:rsid w:val="00091D20"/>
    <w:rsid w:val="00091E67"/>
    <w:rsid w:val="00091FE2"/>
    <w:rsid w:val="00092080"/>
    <w:rsid w:val="0009208D"/>
    <w:rsid w:val="0009229B"/>
    <w:rsid w:val="000923D2"/>
    <w:rsid w:val="00092C5B"/>
    <w:rsid w:val="00092C7D"/>
    <w:rsid w:val="00092EBC"/>
    <w:rsid w:val="0009364B"/>
    <w:rsid w:val="00093982"/>
    <w:rsid w:val="00093D9A"/>
    <w:rsid w:val="00093F01"/>
    <w:rsid w:val="00093F0B"/>
    <w:rsid w:val="00093F99"/>
    <w:rsid w:val="00094658"/>
    <w:rsid w:val="000948CB"/>
    <w:rsid w:val="00094948"/>
    <w:rsid w:val="000949A1"/>
    <w:rsid w:val="00094AE6"/>
    <w:rsid w:val="00095314"/>
    <w:rsid w:val="00095705"/>
    <w:rsid w:val="00095B22"/>
    <w:rsid w:val="000964E7"/>
    <w:rsid w:val="000968BE"/>
    <w:rsid w:val="000969DE"/>
    <w:rsid w:val="00096E00"/>
    <w:rsid w:val="000977C2"/>
    <w:rsid w:val="000979EB"/>
    <w:rsid w:val="00097DD0"/>
    <w:rsid w:val="00097FC2"/>
    <w:rsid w:val="000A043A"/>
    <w:rsid w:val="000A04DF"/>
    <w:rsid w:val="000A0D39"/>
    <w:rsid w:val="000A0E4C"/>
    <w:rsid w:val="000A1058"/>
    <w:rsid w:val="000A115A"/>
    <w:rsid w:val="000A1328"/>
    <w:rsid w:val="000A16D5"/>
    <w:rsid w:val="000A1998"/>
    <w:rsid w:val="000A1A10"/>
    <w:rsid w:val="000A1A4F"/>
    <w:rsid w:val="000A1B74"/>
    <w:rsid w:val="000A1D36"/>
    <w:rsid w:val="000A1D3A"/>
    <w:rsid w:val="000A1F71"/>
    <w:rsid w:val="000A24D0"/>
    <w:rsid w:val="000A2528"/>
    <w:rsid w:val="000A2949"/>
    <w:rsid w:val="000A2A5F"/>
    <w:rsid w:val="000A3069"/>
    <w:rsid w:val="000A3AF8"/>
    <w:rsid w:val="000A4208"/>
    <w:rsid w:val="000A43D8"/>
    <w:rsid w:val="000A46B1"/>
    <w:rsid w:val="000A474B"/>
    <w:rsid w:val="000A47B2"/>
    <w:rsid w:val="000A48AC"/>
    <w:rsid w:val="000A4BD4"/>
    <w:rsid w:val="000A4C4A"/>
    <w:rsid w:val="000A4DDA"/>
    <w:rsid w:val="000A4EB8"/>
    <w:rsid w:val="000A4F73"/>
    <w:rsid w:val="000A50F3"/>
    <w:rsid w:val="000A561E"/>
    <w:rsid w:val="000A5C39"/>
    <w:rsid w:val="000A603E"/>
    <w:rsid w:val="000A64D2"/>
    <w:rsid w:val="000A712A"/>
    <w:rsid w:val="000A71FC"/>
    <w:rsid w:val="000A7592"/>
    <w:rsid w:val="000A76C7"/>
    <w:rsid w:val="000A7E9C"/>
    <w:rsid w:val="000B111C"/>
    <w:rsid w:val="000B183F"/>
    <w:rsid w:val="000B19B2"/>
    <w:rsid w:val="000B1CB2"/>
    <w:rsid w:val="000B22FB"/>
    <w:rsid w:val="000B2413"/>
    <w:rsid w:val="000B26A4"/>
    <w:rsid w:val="000B2CBF"/>
    <w:rsid w:val="000B30E5"/>
    <w:rsid w:val="000B3411"/>
    <w:rsid w:val="000B3476"/>
    <w:rsid w:val="000B35F1"/>
    <w:rsid w:val="000B36A7"/>
    <w:rsid w:val="000B389A"/>
    <w:rsid w:val="000B3B9C"/>
    <w:rsid w:val="000B4921"/>
    <w:rsid w:val="000B492A"/>
    <w:rsid w:val="000B49AE"/>
    <w:rsid w:val="000B4AC7"/>
    <w:rsid w:val="000B51C9"/>
    <w:rsid w:val="000B52BE"/>
    <w:rsid w:val="000B5313"/>
    <w:rsid w:val="000B5663"/>
    <w:rsid w:val="000B59CB"/>
    <w:rsid w:val="000B5A9D"/>
    <w:rsid w:val="000B60AA"/>
    <w:rsid w:val="000B61EE"/>
    <w:rsid w:val="000B646C"/>
    <w:rsid w:val="000B6475"/>
    <w:rsid w:val="000B65EE"/>
    <w:rsid w:val="000B6907"/>
    <w:rsid w:val="000B7039"/>
    <w:rsid w:val="000B756F"/>
    <w:rsid w:val="000B76ED"/>
    <w:rsid w:val="000B7A66"/>
    <w:rsid w:val="000B7C10"/>
    <w:rsid w:val="000C036C"/>
    <w:rsid w:val="000C043D"/>
    <w:rsid w:val="000C059C"/>
    <w:rsid w:val="000C2607"/>
    <w:rsid w:val="000C269E"/>
    <w:rsid w:val="000C28DF"/>
    <w:rsid w:val="000C2BCB"/>
    <w:rsid w:val="000C321B"/>
    <w:rsid w:val="000C3390"/>
    <w:rsid w:val="000C3784"/>
    <w:rsid w:val="000C3AA0"/>
    <w:rsid w:val="000C3B23"/>
    <w:rsid w:val="000C3DB5"/>
    <w:rsid w:val="000C4716"/>
    <w:rsid w:val="000C471D"/>
    <w:rsid w:val="000C48E8"/>
    <w:rsid w:val="000C4C24"/>
    <w:rsid w:val="000C4ED6"/>
    <w:rsid w:val="000C5015"/>
    <w:rsid w:val="000C5571"/>
    <w:rsid w:val="000C5778"/>
    <w:rsid w:val="000C5B43"/>
    <w:rsid w:val="000C5BA9"/>
    <w:rsid w:val="000C5F1C"/>
    <w:rsid w:val="000C6237"/>
    <w:rsid w:val="000C68E3"/>
    <w:rsid w:val="000C70ED"/>
    <w:rsid w:val="000C76B8"/>
    <w:rsid w:val="000C7788"/>
    <w:rsid w:val="000C7BB4"/>
    <w:rsid w:val="000D01DB"/>
    <w:rsid w:val="000D024E"/>
    <w:rsid w:val="000D1689"/>
    <w:rsid w:val="000D1849"/>
    <w:rsid w:val="000D19C5"/>
    <w:rsid w:val="000D1DA0"/>
    <w:rsid w:val="000D2354"/>
    <w:rsid w:val="000D271C"/>
    <w:rsid w:val="000D2F86"/>
    <w:rsid w:val="000D36FC"/>
    <w:rsid w:val="000D3863"/>
    <w:rsid w:val="000D3881"/>
    <w:rsid w:val="000D38C3"/>
    <w:rsid w:val="000D3AAE"/>
    <w:rsid w:val="000D3E4A"/>
    <w:rsid w:val="000D4049"/>
    <w:rsid w:val="000D4681"/>
    <w:rsid w:val="000D5321"/>
    <w:rsid w:val="000D53CF"/>
    <w:rsid w:val="000D57ED"/>
    <w:rsid w:val="000D5967"/>
    <w:rsid w:val="000D5E74"/>
    <w:rsid w:val="000D5E82"/>
    <w:rsid w:val="000D60E9"/>
    <w:rsid w:val="000D66AF"/>
    <w:rsid w:val="000D69A1"/>
    <w:rsid w:val="000D6AF6"/>
    <w:rsid w:val="000D6BEF"/>
    <w:rsid w:val="000D6E50"/>
    <w:rsid w:val="000D71F5"/>
    <w:rsid w:val="000D73BF"/>
    <w:rsid w:val="000D73CA"/>
    <w:rsid w:val="000D7519"/>
    <w:rsid w:val="000D7723"/>
    <w:rsid w:val="000D77A2"/>
    <w:rsid w:val="000D77B1"/>
    <w:rsid w:val="000D77EE"/>
    <w:rsid w:val="000D797F"/>
    <w:rsid w:val="000D7DC1"/>
    <w:rsid w:val="000E0068"/>
    <w:rsid w:val="000E0775"/>
    <w:rsid w:val="000E0F37"/>
    <w:rsid w:val="000E1102"/>
    <w:rsid w:val="000E1187"/>
    <w:rsid w:val="000E11EB"/>
    <w:rsid w:val="000E1490"/>
    <w:rsid w:val="000E1610"/>
    <w:rsid w:val="000E1770"/>
    <w:rsid w:val="000E1A47"/>
    <w:rsid w:val="000E21F5"/>
    <w:rsid w:val="000E2819"/>
    <w:rsid w:val="000E2A35"/>
    <w:rsid w:val="000E2DEF"/>
    <w:rsid w:val="000E2E35"/>
    <w:rsid w:val="000E2F22"/>
    <w:rsid w:val="000E31CA"/>
    <w:rsid w:val="000E31FF"/>
    <w:rsid w:val="000E326D"/>
    <w:rsid w:val="000E32D8"/>
    <w:rsid w:val="000E3A3C"/>
    <w:rsid w:val="000E3B79"/>
    <w:rsid w:val="000E3C49"/>
    <w:rsid w:val="000E4043"/>
    <w:rsid w:val="000E4840"/>
    <w:rsid w:val="000E4843"/>
    <w:rsid w:val="000E4B5B"/>
    <w:rsid w:val="000E4C56"/>
    <w:rsid w:val="000E4C86"/>
    <w:rsid w:val="000E5010"/>
    <w:rsid w:val="000E5431"/>
    <w:rsid w:val="000E5885"/>
    <w:rsid w:val="000E5A00"/>
    <w:rsid w:val="000E5A52"/>
    <w:rsid w:val="000E60DA"/>
    <w:rsid w:val="000E64A9"/>
    <w:rsid w:val="000E6504"/>
    <w:rsid w:val="000E6A17"/>
    <w:rsid w:val="000E6B5A"/>
    <w:rsid w:val="000E6DF0"/>
    <w:rsid w:val="000E72D4"/>
    <w:rsid w:val="000E76D9"/>
    <w:rsid w:val="000E7BC0"/>
    <w:rsid w:val="000E7E62"/>
    <w:rsid w:val="000F0B18"/>
    <w:rsid w:val="000F0DA5"/>
    <w:rsid w:val="000F0DAC"/>
    <w:rsid w:val="000F0FCE"/>
    <w:rsid w:val="000F1017"/>
    <w:rsid w:val="000F128A"/>
    <w:rsid w:val="000F13E5"/>
    <w:rsid w:val="000F15C6"/>
    <w:rsid w:val="000F1687"/>
    <w:rsid w:val="000F17C0"/>
    <w:rsid w:val="000F1B74"/>
    <w:rsid w:val="000F1EC2"/>
    <w:rsid w:val="000F20C3"/>
    <w:rsid w:val="000F2FC7"/>
    <w:rsid w:val="000F3362"/>
    <w:rsid w:val="000F3396"/>
    <w:rsid w:val="000F3961"/>
    <w:rsid w:val="000F47F5"/>
    <w:rsid w:val="000F4910"/>
    <w:rsid w:val="000F4BCB"/>
    <w:rsid w:val="000F4CD8"/>
    <w:rsid w:val="000F4D26"/>
    <w:rsid w:val="000F5351"/>
    <w:rsid w:val="000F5626"/>
    <w:rsid w:val="000F59FB"/>
    <w:rsid w:val="000F5E55"/>
    <w:rsid w:val="000F5EA7"/>
    <w:rsid w:val="000F62C7"/>
    <w:rsid w:val="000F631C"/>
    <w:rsid w:val="000F6354"/>
    <w:rsid w:val="000F6363"/>
    <w:rsid w:val="000F6433"/>
    <w:rsid w:val="000F656F"/>
    <w:rsid w:val="000F6995"/>
    <w:rsid w:val="000F6CD8"/>
    <w:rsid w:val="000F6CDF"/>
    <w:rsid w:val="000F6F60"/>
    <w:rsid w:val="000F6F9C"/>
    <w:rsid w:val="000F7430"/>
    <w:rsid w:val="000F7466"/>
    <w:rsid w:val="000F7619"/>
    <w:rsid w:val="00101883"/>
    <w:rsid w:val="00101EBF"/>
    <w:rsid w:val="00101F4F"/>
    <w:rsid w:val="001022DC"/>
    <w:rsid w:val="0010299D"/>
    <w:rsid w:val="0010305B"/>
    <w:rsid w:val="00103077"/>
    <w:rsid w:val="00103449"/>
    <w:rsid w:val="00103624"/>
    <w:rsid w:val="00103674"/>
    <w:rsid w:val="00103964"/>
    <w:rsid w:val="00103B3A"/>
    <w:rsid w:val="00103CAD"/>
    <w:rsid w:val="001041CD"/>
    <w:rsid w:val="001042E1"/>
    <w:rsid w:val="001044BF"/>
    <w:rsid w:val="001044FD"/>
    <w:rsid w:val="00104E03"/>
    <w:rsid w:val="00105780"/>
    <w:rsid w:val="00105AB9"/>
    <w:rsid w:val="00105C04"/>
    <w:rsid w:val="001065C1"/>
    <w:rsid w:val="001067B2"/>
    <w:rsid w:val="001068FB"/>
    <w:rsid w:val="001075A2"/>
    <w:rsid w:val="001077AC"/>
    <w:rsid w:val="001078D4"/>
    <w:rsid w:val="00107EE2"/>
    <w:rsid w:val="0011000B"/>
    <w:rsid w:val="0011052E"/>
    <w:rsid w:val="00110849"/>
    <w:rsid w:val="0011087C"/>
    <w:rsid w:val="001109A0"/>
    <w:rsid w:val="00110A2C"/>
    <w:rsid w:val="00110A83"/>
    <w:rsid w:val="00110EF0"/>
    <w:rsid w:val="00110FC0"/>
    <w:rsid w:val="0011175D"/>
    <w:rsid w:val="00111BE5"/>
    <w:rsid w:val="00111F1B"/>
    <w:rsid w:val="001122BF"/>
    <w:rsid w:val="00112941"/>
    <w:rsid w:val="00112A71"/>
    <w:rsid w:val="00112B57"/>
    <w:rsid w:val="001136AD"/>
    <w:rsid w:val="0011371C"/>
    <w:rsid w:val="0011378C"/>
    <w:rsid w:val="00114377"/>
    <w:rsid w:val="001144A5"/>
    <w:rsid w:val="00114955"/>
    <w:rsid w:val="0011526B"/>
    <w:rsid w:val="0011575F"/>
    <w:rsid w:val="001157DF"/>
    <w:rsid w:val="0011591D"/>
    <w:rsid w:val="00115C53"/>
    <w:rsid w:val="00115DA7"/>
    <w:rsid w:val="00115DD5"/>
    <w:rsid w:val="00115F76"/>
    <w:rsid w:val="00116264"/>
    <w:rsid w:val="001162AF"/>
    <w:rsid w:val="001163C1"/>
    <w:rsid w:val="00116683"/>
    <w:rsid w:val="00116B5E"/>
    <w:rsid w:val="00116D89"/>
    <w:rsid w:val="001173DF"/>
    <w:rsid w:val="00117629"/>
    <w:rsid w:val="001176AC"/>
    <w:rsid w:val="0011772E"/>
    <w:rsid w:val="00117C80"/>
    <w:rsid w:val="00117FAD"/>
    <w:rsid w:val="00120355"/>
    <w:rsid w:val="001206DB"/>
    <w:rsid w:val="00120706"/>
    <w:rsid w:val="001210DB"/>
    <w:rsid w:val="001211ED"/>
    <w:rsid w:val="00121691"/>
    <w:rsid w:val="0012175D"/>
    <w:rsid w:val="00121D2C"/>
    <w:rsid w:val="00121D83"/>
    <w:rsid w:val="0012201F"/>
    <w:rsid w:val="00122335"/>
    <w:rsid w:val="001225B3"/>
    <w:rsid w:val="001227AB"/>
    <w:rsid w:val="00122EA0"/>
    <w:rsid w:val="001230A0"/>
    <w:rsid w:val="0012313C"/>
    <w:rsid w:val="00123448"/>
    <w:rsid w:val="0012364F"/>
    <w:rsid w:val="0012390B"/>
    <w:rsid w:val="00123B35"/>
    <w:rsid w:val="00123D46"/>
    <w:rsid w:val="00123E7D"/>
    <w:rsid w:val="00124191"/>
    <w:rsid w:val="00124256"/>
    <w:rsid w:val="00124CCE"/>
    <w:rsid w:val="00124D6D"/>
    <w:rsid w:val="0012540B"/>
    <w:rsid w:val="001255AA"/>
    <w:rsid w:val="00125640"/>
    <w:rsid w:val="001256E6"/>
    <w:rsid w:val="00125D09"/>
    <w:rsid w:val="00125DB7"/>
    <w:rsid w:val="00125FCE"/>
    <w:rsid w:val="001262DD"/>
    <w:rsid w:val="0012639B"/>
    <w:rsid w:val="00126476"/>
    <w:rsid w:val="00126E13"/>
    <w:rsid w:val="00127A54"/>
    <w:rsid w:val="00127A79"/>
    <w:rsid w:val="00130028"/>
    <w:rsid w:val="0013024E"/>
    <w:rsid w:val="00130333"/>
    <w:rsid w:val="0013044E"/>
    <w:rsid w:val="00130493"/>
    <w:rsid w:val="001305FB"/>
    <w:rsid w:val="00130909"/>
    <w:rsid w:val="00130BED"/>
    <w:rsid w:val="00131307"/>
    <w:rsid w:val="0013164E"/>
    <w:rsid w:val="00131776"/>
    <w:rsid w:val="00131967"/>
    <w:rsid w:val="001319B3"/>
    <w:rsid w:val="001320DB"/>
    <w:rsid w:val="001323B8"/>
    <w:rsid w:val="00132418"/>
    <w:rsid w:val="00132471"/>
    <w:rsid w:val="0013250D"/>
    <w:rsid w:val="001326BD"/>
    <w:rsid w:val="0013272F"/>
    <w:rsid w:val="00133305"/>
    <w:rsid w:val="00133412"/>
    <w:rsid w:val="00133C38"/>
    <w:rsid w:val="00133CEB"/>
    <w:rsid w:val="00134014"/>
    <w:rsid w:val="00134620"/>
    <w:rsid w:val="001353CF"/>
    <w:rsid w:val="00135442"/>
    <w:rsid w:val="001355EB"/>
    <w:rsid w:val="001356BB"/>
    <w:rsid w:val="00135753"/>
    <w:rsid w:val="00135948"/>
    <w:rsid w:val="00135974"/>
    <w:rsid w:val="00136465"/>
    <w:rsid w:val="00136750"/>
    <w:rsid w:val="00137211"/>
    <w:rsid w:val="0013752B"/>
    <w:rsid w:val="00137655"/>
    <w:rsid w:val="00137A08"/>
    <w:rsid w:val="00137A24"/>
    <w:rsid w:val="00137ACF"/>
    <w:rsid w:val="00137B45"/>
    <w:rsid w:val="00137BC2"/>
    <w:rsid w:val="00137D02"/>
    <w:rsid w:val="00137DB5"/>
    <w:rsid w:val="00137FAA"/>
    <w:rsid w:val="001404DD"/>
    <w:rsid w:val="0014097B"/>
    <w:rsid w:val="001411AF"/>
    <w:rsid w:val="001415A2"/>
    <w:rsid w:val="00141614"/>
    <w:rsid w:val="00141D23"/>
    <w:rsid w:val="00141D2C"/>
    <w:rsid w:val="00142351"/>
    <w:rsid w:val="001428D1"/>
    <w:rsid w:val="001432E0"/>
    <w:rsid w:val="00143437"/>
    <w:rsid w:val="00143F47"/>
    <w:rsid w:val="0014403A"/>
    <w:rsid w:val="001441EE"/>
    <w:rsid w:val="0014471B"/>
    <w:rsid w:val="00144A90"/>
    <w:rsid w:val="00144CFC"/>
    <w:rsid w:val="001451D5"/>
    <w:rsid w:val="0014559D"/>
    <w:rsid w:val="00145982"/>
    <w:rsid w:val="00145D4A"/>
    <w:rsid w:val="00145D7D"/>
    <w:rsid w:val="001460B2"/>
    <w:rsid w:val="00146277"/>
    <w:rsid w:val="0014642B"/>
    <w:rsid w:val="0014650E"/>
    <w:rsid w:val="00146643"/>
    <w:rsid w:val="0014667D"/>
    <w:rsid w:val="001466B3"/>
    <w:rsid w:val="0014693E"/>
    <w:rsid w:val="00146947"/>
    <w:rsid w:val="00146A3A"/>
    <w:rsid w:val="00146A3F"/>
    <w:rsid w:val="00146C74"/>
    <w:rsid w:val="0014710F"/>
    <w:rsid w:val="0014722D"/>
    <w:rsid w:val="00147828"/>
    <w:rsid w:val="00147875"/>
    <w:rsid w:val="001479A5"/>
    <w:rsid w:val="00147BB6"/>
    <w:rsid w:val="00147EA6"/>
    <w:rsid w:val="00150164"/>
    <w:rsid w:val="00150368"/>
    <w:rsid w:val="00150656"/>
    <w:rsid w:val="00150D9F"/>
    <w:rsid w:val="00151633"/>
    <w:rsid w:val="001516A1"/>
    <w:rsid w:val="001516EC"/>
    <w:rsid w:val="00151A17"/>
    <w:rsid w:val="00151C85"/>
    <w:rsid w:val="00151C91"/>
    <w:rsid w:val="00151DA3"/>
    <w:rsid w:val="00152358"/>
    <w:rsid w:val="0015260C"/>
    <w:rsid w:val="00152758"/>
    <w:rsid w:val="00152AE7"/>
    <w:rsid w:val="00153551"/>
    <w:rsid w:val="001536B2"/>
    <w:rsid w:val="00153800"/>
    <w:rsid w:val="00153B23"/>
    <w:rsid w:val="00154325"/>
    <w:rsid w:val="001550C3"/>
    <w:rsid w:val="001555DE"/>
    <w:rsid w:val="00155ABB"/>
    <w:rsid w:val="00155B41"/>
    <w:rsid w:val="00155D28"/>
    <w:rsid w:val="00155DD8"/>
    <w:rsid w:val="00156764"/>
    <w:rsid w:val="001568ED"/>
    <w:rsid w:val="00156ACF"/>
    <w:rsid w:val="00156B5B"/>
    <w:rsid w:val="001571C1"/>
    <w:rsid w:val="00157379"/>
    <w:rsid w:val="001574A5"/>
    <w:rsid w:val="00157D57"/>
    <w:rsid w:val="00157E32"/>
    <w:rsid w:val="00157F04"/>
    <w:rsid w:val="00157F72"/>
    <w:rsid w:val="00160DE7"/>
    <w:rsid w:val="00161419"/>
    <w:rsid w:val="00161666"/>
    <w:rsid w:val="001616D6"/>
    <w:rsid w:val="001621A3"/>
    <w:rsid w:val="0016236E"/>
    <w:rsid w:val="00162508"/>
    <w:rsid w:val="00162678"/>
    <w:rsid w:val="0016271B"/>
    <w:rsid w:val="00162997"/>
    <w:rsid w:val="00162A49"/>
    <w:rsid w:val="00162F3A"/>
    <w:rsid w:val="001631C0"/>
    <w:rsid w:val="00163259"/>
    <w:rsid w:val="001633A3"/>
    <w:rsid w:val="001633DF"/>
    <w:rsid w:val="0016341A"/>
    <w:rsid w:val="0016371D"/>
    <w:rsid w:val="00163A67"/>
    <w:rsid w:val="001640C8"/>
    <w:rsid w:val="001643AC"/>
    <w:rsid w:val="00164716"/>
    <w:rsid w:val="00164D13"/>
    <w:rsid w:val="00164E25"/>
    <w:rsid w:val="00164F8C"/>
    <w:rsid w:val="001657F2"/>
    <w:rsid w:val="0016580D"/>
    <w:rsid w:val="00165A12"/>
    <w:rsid w:val="00165E30"/>
    <w:rsid w:val="00165F99"/>
    <w:rsid w:val="00166097"/>
    <w:rsid w:val="0016616C"/>
    <w:rsid w:val="00166229"/>
    <w:rsid w:val="00166491"/>
    <w:rsid w:val="001664D3"/>
    <w:rsid w:val="00166CE6"/>
    <w:rsid w:val="00166E6D"/>
    <w:rsid w:val="00167460"/>
    <w:rsid w:val="00167820"/>
    <w:rsid w:val="00167B65"/>
    <w:rsid w:val="00170058"/>
    <w:rsid w:val="00170080"/>
    <w:rsid w:val="0017085C"/>
    <w:rsid w:val="001708D3"/>
    <w:rsid w:val="00171873"/>
    <w:rsid w:val="001719B2"/>
    <w:rsid w:val="00171A5E"/>
    <w:rsid w:val="00171D16"/>
    <w:rsid w:val="00171E8A"/>
    <w:rsid w:val="00171F34"/>
    <w:rsid w:val="0017219E"/>
    <w:rsid w:val="0017251D"/>
    <w:rsid w:val="001726D4"/>
    <w:rsid w:val="00172B6D"/>
    <w:rsid w:val="00172C46"/>
    <w:rsid w:val="001732ED"/>
    <w:rsid w:val="00173326"/>
    <w:rsid w:val="0017356C"/>
    <w:rsid w:val="0017370E"/>
    <w:rsid w:val="0017378D"/>
    <w:rsid w:val="00173C32"/>
    <w:rsid w:val="00173F1F"/>
    <w:rsid w:val="00174203"/>
    <w:rsid w:val="0017473C"/>
    <w:rsid w:val="001750A0"/>
    <w:rsid w:val="001750C5"/>
    <w:rsid w:val="001755BE"/>
    <w:rsid w:val="00175FA7"/>
    <w:rsid w:val="00176269"/>
    <w:rsid w:val="001764BF"/>
    <w:rsid w:val="001769C9"/>
    <w:rsid w:val="00176E07"/>
    <w:rsid w:val="00177B21"/>
    <w:rsid w:val="00177F40"/>
    <w:rsid w:val="00177FE4"/>
    <w:rsid w:val="001800D4"/>
    <w:rsid w:val="001805F3"/>
    <w:rsid w:val="00180B1D"/>
    <w:rsid w:val="001817AB"/>
    <w:rsid w:val="00182310"/>
    <w:rsid w:val="001825EE"/>
    <w:rsid w:val="001827CC"/>
    <w:rsid w:val="00182A77"/>
    <w:rsid w:val="00182BE4"/>
    <w:rsid w:val="00182C1A"/>
    <w:rsid w:val="00182E10"/>
    <w:rsid w:val="0018347E"/>
    <w:rsid w:val="0018366A"/>
    <w:rsid w:val="0018426D"/>
    <w:rsid w:val="0018427A"/>
    <w:rsid w:val="00184327"/>
    <w:rsid w:val="001843B1"/>
    <w:rsid w:val="00184490"/>
    <w:rsid w:val="001844C6"/>
    <w:rsid w:val="001845EF"/>
    <w:rsid w:val="001847A9"/>
    <w:rsid w:val="00184AA3"/>
    <w:rsid w:val="00184B22"/>
    <w:rsid w:val="0018544C"/>
    <w:rsid w:val="0018549D"/>
    <w:rsid w:val="00185868"/>
    <w:rsid w:val="00185F1D"/>
    <w:rsid w:val="0018615C"/>
    <w:rsid w:val="001863C4"/>
    <w:rsid w:val="001866D5"/>
    <w:rsid w:val="00186850"/>
    <w:rsid w:val="00186A36"/>
    <w:rsid w:val="001874D7"/>
    <w:rsid w:val="001874EB"/>
    <w:rsid w:val="00187658"/>
    <w:rsid w:val="00187681"/>
    <w:rsid w:val="0018787D"/>
    <w:rsid w:val="00187905"/>
    <w:rsid w:val="00187D9F"/>
    <w:rsid w:val="00187E2C"/>
    <w:rsid w:val="00187EB2"/>
    <w:rsid w:val="00187EBF"/>
    <w:rsid w:val="00187F1D"/>
    <w:rsid w:val="001900BE"/>
    <w:rsid w:val="00190145"/>
    <w:rsid w:val="0019042B"/>
    <w:rsid w:val="0019074B"/>
    <w:rsid w:val="001908A8"/>
    <w:rsid w:val="00190B97"/>
    <w:rsid w:val="00190C4D"/>
    <w:rsid w:val="00190CD1"/>
    <w:rsid w:val="00190E12"/>
    <w:rsid w:val="00192407"/>
    <w:rsid w:val="0019286D"/>
    <w:rsid w:val="00193328"/>
    <w:rsid w:val="001933E1"/>
    <w:rsid w:val="00193480"/>
    <w:rsid w:val="00193AD2"/>
    <w:rsid w:val="00193F98"/>
    <w:rsid w:val="00194B60"/>
    <w:rsid w:val="00194D51"/>
    <w:rsid w:val="00194DB0"/>
    <w:rsid w:val="0019530F"/>
    <w:rsid w:val="001955D4"/>
    <w:rsid w:val="00195D19"/>
    <w:rsid w:val="00196434"/>
    <w:rsid w:val="001964B2"/>
    <w:rsid w:val="001968DC"/>
    <w:rsid w:val="00196958"/>
    <w:rsid w:val="00196D8E"/>
    <w:rsid w:val="0019714F"/>
    <w:rsid w:val="001979A7"/>
    <w:rsid w:val="00197B2E"/>
    <w:rsid w:val="00197B79"/>
    <w:rsid w:val="001A01A2"/>
    <w:rsid w:val="001A0286"/>
    <w:rsid w:val="001A0A05"/>
    <w:rsid w:val="001A1314"/>
    <w:rsid w:val="001A137F"/>
    <w:rsid w:val="001A1DEE"/>
    <w:rsid w:val="001A201E"/>
    <w:rsid w:val="001A2AEF"/>
    <w:rsid w:val="001A2DE8"/>
    <w:rsid w:val="001A2F93"/>
    <w:rsid w:val="001A321D"/>
    <w:rsid w:val="001A3352"/>
    <w:rsid w:val="001A3420"/>
    <w:rsid w:val="001A353D"/>
    <w:rsid w:val="001A3695"/>
    <w:rsid w:val="001A4DF2"/>
    <w:rsid w:val="001A4EBF"/>
    <w:rsid w:val="001A5078"/>
    <w:rsid w:val="001A5188"/>
    <w:rsid w:val="001A5205"/>
    <w:rsid w:val="001A551E"/>
    <w:rsid w:val="001A55D5"/>
    <w:rsid w:val="001A5660"/>
    <w:rsid w:val="001A581E"/>
    <w:rsid w:val="001A5AD3"/>
    <w:rsid w:val="001A6071"/>
    <w:rsid w:val="001A60A3"/>
    <w:rsid w:val="001A60EA"/>
    <w:rsid w:val="001A6640"/>
    <w:rsid w:val="001A6E48"/>
    <w:rsid w:val="001A729B"/>
    <w:rsid w:val="001A7335"/>
    <w:rsid w:val="001A7368"/>
    <w:rsid w:val="001A7613"/>
    <w:rsid w:val="001A7909"/>
    <w:rsid w:val="001A79E9"/>
    <w:rsid w:val="001A7C6E"/>
    <w:rsid w:val="001B0076"/>
    <w:rsid w:val="001B00AD"/>
    <w:rsid w:val="001B0447"/>
    <w:rsid w:val="001B071A"/>
    <w:rsid w:val="001B07A7"/>
    <w:rsid w:val="001B07E8"/>
    <w:rsid w:val="001B0E44"/>
    <w:rsid w:val="001B13A0"/>
    <w:rsid w:val="001B13C6"/>
    <w:rsid w:val="001B1519"/>
    <w:rsid w:val="001B17B0"/>
    <w:rsid w:val="001B1992"/>
    <w:rsid w:val="001B1A92"/>
    <w:rsid w:val="001B1B2B"/>
    <w:rsid w:val="001B22F9"/>
    <w:rsid w:val="001B2323"/>
    <w:rsid w:val="001B2481"/>
    <w:rsid w:val="001B31DC"/>
    <w:rsid w:val="001B32B4"/>
    <w:rsid w:val="001B370F"/>
    <w:rsid w:val="001B3B88"/>
    <w:rsid w:val="001B3FE6"/>
    <w:rsid w:val="001B40A3"/>
    <w:rsid w:val="001B429E"/>
    <w:rsid w:val="001B453A"/>
    <w:rsid w:val="001B4653"/>
    <w:rsid w:val="001B4907"/>
    <w:rsid w:val="001B49B6"/>
    <w:rsid w:val="001B4BA8"/>
    <w:rsid w:val="001B4CCD"/>
    <w:rsid w:val="001B4FC0"/>
    <w:rsid w:val="001B5085"/>
    <w:rsid w:val="001B520A"/>
    <w:rsid w:val="001B53D2"/>
    <w:rsid w:val="001B56DF"/>
    <w:rsid w:val="001B5836"/>
    <w:rsid w:val="001B59F7"/>
    <w:rsid w:val="001B5D15"/>
    <w:rsid w:val="001B66CC"/>
    <w:rsid w:val="001B6919"/>
    <w:rsid w:val="001B6BC7"/>
    <w:rsid w:val="001B6CAD"/>
    <w:rsid w:val="001B6D41"/>
    <w:rsid w:val="001B6E81"/>
    <w:rsid w:val="001B702E"/>
    <w:rsid w:val="001B7CE2"/>
    <w:rsid w:val="001B7E7C"/>
    <w:rsid w:val="001C06D5"/>
    <w:rsid w:val="001C097B"/>
    <w:rsid w:val="001C145F"/>
    <w:rsid w:val="001C1CFF"/>
    <w:rsid w:val="001C201E"/>
    <w:rsid w:val="001C2033"/>
    <w:rsid w:val="001C20BD"/>
    <w:rsid w:val="001C20D9"/>
    <w:rsid w:val="001C223E"/>
    <w:rsid w:val="001C2527"/>
    <w:rsid w:val="001C2C24"/>
    <w:rsid w:val="001C2D48"/>
    <w:rsid w:val="001C33AC"/>
    <w:rsid w:val="001C3916"/>
    <w:rsid w:val="001C3968"/>
    <w:rsid w:val="001C3B0B"/>
    <w:rsid w:val="001C3C13"/>
    <w:rsid w:val="001C3F15"/>
    <w:rsid w:val="001C3F4E"/>
    <w:rsid w:val="001C4691"/>
    <w:rsid w:val="001C4739"/>
    <w:rsid w:val="001C48E5"/>
    <w:rsid w:val="001C4E1C"/>
    <w:rsid w:val="001C51CF"/>
    <w:rsid w:val="001C5D5A"/>
    <w:rsid w:val="001C6166"/>
    <w:rsid w:val="001C6C42"/>
    <w:rsid w:val="001C6CEE"/>
    <w:rsid w:val="001C6E63"/>
    <w:rsid w:val="001C729B"/>
    <w:rsid w:val="001C783E"/>
    <w:rsid w:val="001D01A9"/>
    <w:rsid w:val="001D0C43"/>
    <w:rsid w:val="001D1134"/>
    <w:rsid w:val="001D1223"/>
    <w:rsid w:val="001D1727"/>
    <w:rsid w:val="001D1732"/>
    <w:rsid w:val="001D1A6F"/>
    <w:rsid w:val="001D1FE1"/>
    <w:rsid w:val="001D2957"/>
    <w:rsid w:val="001D299E"/>
    <w:rsid w:val="001D2A2F"/>
    <w:rsid w:val="001D2B3A"/>
    <w:rsid w:val="001D30DA"/>
    <w:rsid w:val="001D3169"/>
    <w:rsid w:val="001D39F8"/>
    <w:rsid w:val="001D3B02"/>
    <w:rsid w:val="001D3C3A"/>
    <w:rsid w:val="001D3CCF"/>
    <w:rsid w:val="001D456D"/>
    <w:rsid w:val="001D45B7"/>
    <w:rsid w:val="001D46CE"/>
    <w:rsid w:val="001D4D13"/>
    <w:rsid w:val="001D4DE9"/>
    <w:rsid w:val="001D4F12"/>
    <w:rsid w:val="001D4F49"/>
    <w:rsid w:val="001D57DF"/>
    <w:rsid w:val="001D5B01"/>
    <w:rsid w:val="001D6229"/>
    <w:rsid w:val="001D6234"/>
    <w:rsid w:val="001D62ED"/>
    <w:rsid w:val="001D63D0"/>
    <w:rsid w:val="001D69E8"/>
    <w:rsid w:val="001D71A2"/>
    <w:rsid w:val="001D7362"/>
    <w:rsid w:val="001D73C3"/>
    <w:rsid w:val="001D770E"/>
    <w:rsid w:val="001D776E"/>
    <w:rsid w:val="001D7831"/>
    <w:rsid w:val="001D79A7"/>
    <w:rsid w:val="001D7B5F"/>
    <w:rsid w:val="001D7B78"/>
    <w:rsid w:val="001D7C3A"/>
    <w:rsid w:val="001D7CBD"/>
    <w:rsid w:val="001D7CF6"/>
    <w:rsid w:val="001D7D07"/>
    <w:rsid w:val="001D7DBC"/>
    <w:rsid w:val="001E00E9"/>
    <w:rsid w:val="001E01DD"/>
    <w:rsid w:val="001E04BC"/>
    <w:rsid w:val="001E064B"/>
    <w:rsid w:val="001E0720"/>
    <w:rsid w:val="001E07E5"/>
    <w:rsid w:val="001E0A2D"/>
    <w:rsid w:val="001E11DD"/>
    <w:rsid w:val="001E11E2"/>
    <w:rsid w:val="001E159D"/>
    <w:rsid w:val="001E1D0D"/>
    <w:rsid w:val="001E2129"/>
    <w:rsid w:val="001E2259"/>
    <w:rsid w:val="001E2412"/>
    <w:rsid w:val="001E28D4"/>
    <w:rsid w:val="001E2AB6"/>
    <w:rsid w:val="001E2CC1"/>
    <w:rsid w:val="001E2DD7"/>
    <w:rsid w:val="001E2E95"/>
    <w:rsid w:val="001E3159"/>
    <w:rsid w:val="001E3189"/>
    <w:rsid w:val="001E39DD"/>
    <w:rsid w:val="001E3E6C"/>
    <w:rsid w:val="001E426B"/>
    <w:rsid w:val="001E477D"/>
    <w:rsid w:val="001E4B7A"/>
    <w:rsid w:val="001E4C31"/>
    <w:rsid w:val="001E4DC7"/>
    <w:rsid w:val="001E5016"/>
    <w:rsid w:val="001E524C"/>
    <w:rsid w:val="001E5ACD"/>
    <w:rsid w:val="001E5BD6"/>
    <w:rsid w:val="001E6421"/>
    <w:rsid w:val="001E658B"/>
    <w:rsid w:val="001E6595"/>
    <w:rsid w:val="001E65C3"/>
    <w:rsid w:val="001E6674"/>
    <w:rsid w:val="001E685C"/>
    <w:rsid w:val="001E692E"/>
    <w:rsid w:val="001E6A9C"/>
    <w:rsid w:val="001E6C37"/>
    <w:rsid w:val="001E7273"/>
    <w:rsid w:val="001E737E"/>
    <w:rsid w:val="001E7869"/>
    <w:rsid w:val="001E7CB8"/>
    <w:rsid w:val="001E7E57"/>
    <w:rsid w:val="001E7F43"/>
    <w:rsid w:val="001E7FD1"/>
    <w:rsid w:val="001F01D7"/>
    <w:rsid w:val="001F034A"/>
    <w:rsid w:val="001F042C"/>
    <w:rsid w:val="001F0810"/>
    <w:rsid w:val="001F089D"/>
    <w:rsid w:val="001F0B10"/>
    <w:rsid w:val="001F0E3C"/>
    <w:rsid w:val="001F137E"/>
    <w:rsid w:val="001F156E"/>
    <w:rsid w:val="001F1733"/>
    <w:rsid w:val="001F1C13"/>
    <w:rsid w:val="001F204F"/>
    <w:rsid w:val="001F2191"/>
    <w:rsid w:val="001F28F7"/>
    <w:rsid w:val="001F2B15"/>
    <w:rsid w:val="001F3275"/>
    <w:rsid w:val="001F3378"/>
    <w:rsid w:val="001F35C2"/>
    <w:rsid w:val="001F4451"/>
    <w:rsid w:val="001F44D3"/>
    <w:rsid w:val="001F4755"/>
    <w:rsid w:val="001F47CC"/>
    <w:rsid w:val="001F4D34"/>
    <w:rsid w:val="001F5040"/>
    <w:rsid w:val="001F5DF3"/>
    <w:rsid w:val="001F5E51"/>
    <w:rsid w:val="001F6112"/>
    <w:rsid w:val="001F6336"/>
    <w:rsid w:val="001F63DD"/>
    <w:rsid w:val="001F660D"/>
    <w:rsid w:val="001F6A93"/>
    <w:rsid w:val="001F7151"/>
    <w:rsid w:val="001F7290"/>
    <w:rsid w:val="001F797E"/>
    <w:rsid w:val="001F79F3"/>
    <w:rsid w:val="0020005A"/>
    <w:rsid w:val="0020006C"/>
    <w:rsid w:val="002004FD"/>
    <w:rsid w:val="00200DCF"/>
    <w:rsid w:val="002012AB"/>
    <w:rsid w:val="0020188A"/>
    <w:rsid w:val="00201DE9"/>
    <w:rsid w:val="00201EF9"/>
    <w:rsid w:val="002021BE"/>
    <w:rsid w:val="00202A0D"/>
    <w:rsid w:val="00202B4B"/>
    <w:rsid w:val="00202C1A"/>
    <w:rsid w:val="00202D57"/>
    <w:rsid w:val="0020374C"/>
    <w:rsid w:val="002038F9"/>
    <w:rsid w:val="00203CE3"/>
    <w:rsid w:val="002042B6"/>
    <w:rsid w:val="002043CC"/>
    <w:rsid w:val="00204710"/>
    <w:rsid w:val="002048E2"/>
    <w:rsid w:val="00204C97"/>
    <w:rsid w:val="00205962"/>
    <w:rsid w:val="00205D13"/>
    <w:rsid w:val="0020602F"/>
    <w:rsid w:val="00206A7F"/>
    <w:rsid w:val="00206FA5"/>
    <w:rsid w:val="002070C8"/>
    <w:rsid w:val="002071C2"/>
    <w:rsid w:val="00207596"/>
    <w:rsid w:val="002077EF"/>
    <w:rsid w:val="00207DB0"/>
    <w:rsid w:val="00207EA2"/>
    <w:rsid w:val="00210064"/>
    <w:rsid w:val="002103EB"/>
    <w:rsid w:val="002108C5"/>
    <w:rsid w:val="00210E4E"/>
    <w:rsid w:val="002114B9"/>
    <w:rsid w:val="00211830"/>
    <w:rsid w:val="00211B05"/>
    <w:rsid w:val="00211B79"/>
    <w:rsid w:val="00211C91"/>
    <w:rsid w:val="00211CE6"/>
    <w:rsid w:val="002128B3"/>
    <w:rsid w:val="002129A4"/>
    <w:rsid w:val="00212A14"/>
    <w:rsid w:val="0021309A"/>
    <w:rsid w:val="002130AC"/>
    <w:rsid w:val="0021323E"/>
    <w:rsid w:val="00213571"/>
    <w:rsid w:val="00213B11"/>
    <w:rsid w:val="00213CBB"/>
    <w:rsid w:val="00213ECF"/>
    <w:rsid w:val="00213EE8"/>
    <w:rsid w:val="0021443A"/>
    <w:rsid w:val="002144C1"/>
    <w:rsid w:val="002146AD"/>
    <w:rsid w:val="00214B0D"/>
    <w:rsid w:val="00214B1F"/>
    <w:rsid w:val="00214ECB"/>
    <w:rsid w:val="00214F01"/>
    <w:rsid w:val="00214FE7"/>
    <w:rsid w:val="002153E1"/>
    <w:rsid w:val="00215754"/>
    <w:rsid w:val="00215C18"/>
    <w:rsid w:val="00215C40"/>
    <w:rsid w:val="00216466"/>
    <w:rsid w:val="002164EF"/>
    <w:rsid w:val="002167DB"/>
    <w:rsid w:val="00216ADA"/>
    <w:rsid w:val="00216B82"/>
    <w:rsid w:val="00216CEE"/>
    <w:rsid w:val="00217082"/>
    <w:rsid w:val="0021713C"/>
    <w:rsid w:val="002171E0"/>
    <w:rsid w:val="002173F2"/>
    <w:rsid w:val="00217ACA"/>
    <w:rsid w:val="00217E26"/>
    <w:rsid w:val="00220056"/>
    <w:rsid w:val="002205A4"/>
    <w:rsid w:val="002205EB"/>
    <w:rsid w:val="00220698"/>
    <w:rsid w:val="0022097F"/>
    <w:rsid w:val="0022099B"/>
    <w:rsid w:val="00220A07"/>
    <w:rsid w:val="0022152C"/>
    <w:rsid w:val="00221952"/>
    <w:rsid w:val="00221AD1"/>
    <w:rsid w:val="0022290D"/>
    <w:rsid w:val="00222C12"/>
    <w:rsid w:val="00222E2C"/>
    <w:rsid w:val="00222F3A"/>
    <w:rsid w:val="00223252"/>
    <w:rsid w:val="0022372B"/>
    <w:rsid w:val="002239CD"/>
    <w:rsid w:val="002243E2"/>
    <w:rsid w:val="00224671"/>
    <w:rsid w:val="00224A4D"/>
    <w:rsid w:val="00225087"/>
    <w:rsid w:val="00225089"/>
    <w:rsid w:val="002251B8"/>
    <w:rsid w:val="00225414"/>
    <w:rsid w:val="00226225"/>
    <w:rsid w:val="0022637A"/>
    <w:rsid w:val="00226459"/>
    <w:rsid w:val="002272DE"/>
    <w:rsid w:val="002274C1"/>
    <w:rsid w:val="0022756B"/>
    <w:rsid w:val="002276FF"/>
    <w:rsid w:val="00230209"/>
    <w:rsid w:val="002303F9"/>
    <w:rsid w:val="00230925"/>
    <w:rsid w:val="00230E9E"/>
    <w:rsid w:val="0023109D"/>
    <w:rsid w:val="00231D84"/>
    <w:rsid w:val="002320B0"/>
    <w:rsid w:val="002321B9"/>
    <w:rsid w:val="002323F4"/>
    <w:rsid w:val="00232D3E"/>
    <w:rsid w:val="00232F96"/>
    <w:rsid w:val="00232FA5"/>
    <w:rsid w:val="002331AE"/>
    <w:rsid w:val="00233547"/>
    <w:rsid w:val="00233571"/>
    <w:rsid w:val="00233D37"/>
    <w:rsid w:val="002343EF"/>
    <w:rsid w:val="002347C4"/>
    <w:rsid w:val="00234DC2"/>
    <w:rsid w:val="0023503C"/>
    <w:rsid w:val="00235593"/>
    <w:rsid w:val="002355C6"/>
    <w:rsid w:val="0023587F"/>
    <w:rsid w:val="00235905"/>
    <w:rsid w:val="00235BC7"/>
    <w:rsid w:val="00235C15"/>
    <w:rsid w:val="0023601B"/>
    <w:rsid w:val="002360FC"/>
    <w:rsid w:val="0023624D"/>
    <w:rsid w:val="002363C2"/>
    <w:rsid w:val="00236C0A"/>
    <w:rsid w:val="00237339"/>
    <w:rsid w:val="002375C1"/>
    <w:rsid w:val="002375CF"/>
    <w:rsid w:val="00237CF3"/>
    <w:rsid w:val="002405F1"/>
    <w:rsid w:val="00240AF3"/>
    <w:rsid w:val="00240D37"/>
    <w:rsid w:val="00240F6F"/>
    <w:rsid w:val="00241020"/>
    <w:rsid w:val="00241092"/>
    <w:rsid w:val="002412D5"/>
    <w:rsid w:val="002414F5"/>
    <w:rsid w:val="0024154A"/>
    <w:rsid w:val="00241D64"/>
    <w:rsid w:val="00241E84"/>
    <w:rsid w:val="00242040"/>
    <w:rsid w:val="00242165"/>
    <w:rsid w:val="002421F8"/>
    <w:rsid w:val="00242224"/>
    <w:rsid w:val="00242254"/>
    <w:rsid w:val="002422A1"/>
    <w:rsid w:val="00242A32"/>
    <w:rsid w:val="00243082"/>
    <w:rsid w:val="00243399"/>
    <w:rsid w:val="002438A7"/>
    <w:rsid w:val="00243C88"/>
    <w:rsid w:val="00243EE2"/>
    <w:rsid w:val="002445D7"/>
    <w:rsid w:val="0024464C"/>
    <w:rsid w:val="0024465D"/>
    <w:rsid w:val="002448CB"/>
    <w:rsid w:val="00244AE8"/>
    <w:rsid w:val="00244EF4"/>
    <w:rsid w:val="00244F4A"/>
    <w:rsid w:val="00245558"/>
    <w:rsid w:val="00245DAA"/>
    <w:rsid w:val="0024643C"/>
    <w:rsid w:val="00246458"/>
    <w:rsid w:val="002464C4"/>
    <w:rsid w:val="002468BD"/>
    <w:rsid w:val="00246A9B"/>
    <w:rsid w:val="00246AA6"/>
    <w:rsid w:val="00246ADB"/>
    <w:rsid w:val="00247019"/>
    <w:rsid w:val="002471B4"/>
    <w:rsid w:val="00247591"/>
    <w:rsid w:val="0024795F"/>
    <w:rsid w:val="00247DAF"/>
    <w:rsid w:val="00247DBA"/>
    <w:rsid w:val="00247F99"/>
    <w:rsid w:val="00250943"/>
    <w:rsid w:val="002509AF"/>
    <w:rsid w:val="00250CEC"/>
    <w:rsid w:val="00251830"/>
    <w:rsid w:val="00251AE0"/>
    <w:rsid w:val="00251BAB"/>
    <w:rsid w:val="00251CA9"/>
    <w:rsid w:val="00252137"/>
    <w:rsid w:val="002528E2"/>
    <w:rsid w:val="00252A97"/>
    <w:rsid w:val="00252C1C"/>
    <w:rsid w:val="00252C93"/>
    <w:rsid w:val="0025316E"/>
    <w:rsid w:val="002533DC"/>
    <w:rsid w:val="0025340F"/>
    <w:rsid w:val="00253A96"/>
    <w:rsid w:val="002541C8"/>
    <w:rsid w:val="00254418"/>
    <w:rsid w:val="002548F2"/>
    <w:rsid w:val="00255643"/>
    <w:rsid w:val="0025626D"/>
    <w:rsid w:val="00256321"/>
    <w:rsid w:val="00256560"/>
    <w:rsid w:val="00256624"/>
    <w:rsid w:val="00256C87"/>
    <w:rsid w:val="00256DDA"/>
    <w:rsid w:val="00256EDB"/>
    <w:rsid w:val="0025744E"/>
    <w:rsid w:val="00257738"/>
    <w:rsid w:val="00257F30"/>
    <w:rsid w:val="00257F46"/>
    <w:rsid w:val="002600AD"/>
    <w:rsid w:val="00260278"/>
    <w:rsid w:val="00260892"/>
    <w:rsid w:val="00260CB3"/>
    <w:rsid w:val="00260FF7"/>
    <w:rsid w:val="002611FB"/>
    <w:rsid w:val="00261317"/>
    <w:rsid w:val="00261321"/>
    <w:rsid w:val="002618F0"/>
    <w:rsid w:val="002619E4"/>
    <w:rsid w:val="00261C12"/>
    <w:rsid w:val="002620C0"/>
    <w:rsid w:val="002622B1"/>
    <w:rsid w:val="00262ACE"/>
    <w:rsid w:val="00262EDE"/>
    <w:rsid w:val="00262FC8"/>
    <w:rsid w:val="00262FDF"/>
    <w:rsid w:val="00263094"/>
    <w:rsid w:val="002632C9"/>
    <w:rsid w:val="002633E5"/>
    <w:rsid w:val="002634B1"/>
    <w:rsid w:val="00263646"/>
    <w:rsid w:val="0026389C"/>
    <w:rsid w:val="002639D5"/>
    <w:rsid w:val="00264319"/>
    <w:rsid w:val="002647C1"/>
    <w:rsid w:val="00264BC6"/>
    <w:rsid w:val="00264E21"/>
    <w:rsid w:val="00265270"/>
    <w:rsid w:val="002654B4"/>
    <w:rsid w:val="002657DD"/>
    <w:rsid w:val="002658BA"/>
    <w:rsid w:val="00265B4D"/>
    <w:rsid w:val="00265BC4"/>
    <w:rsid w:val="00265C0D"/>
    <w:rsid w:val="00265F14"/>
    <w:rsid w:val="002663F1"/>
    <w:rsid w:val="0026655E"/>
    <w:rsid w:val="00266A5E"/>
    <w:rsid w:val="00266ACC"/>
    <w:rsid w:val="00266CF8"/>
    <w:rsid w:val="0026795F"/>
    <w:rsid w:val="00267A0F"/>
    <w:rsid w:val="00267C47"/>
    <w:rsid w:val="00267F2B"/>
    <w:rsid w:val="00270096"/>
    <w:rsid w:val="0027009D"/>
    <w:rsid w:val="002700A1"/>
    <w:rsid w:val="00270179"/>
    <w:rsid w:val="002707A0"/>
    <w:rsid w:val="00270F05"/>
    <w:rsid w:val="0027144D"/>
    <w:rsid w:val="002714C2"/>
    <w:rsid w:val="00271DE1"/>
    <w:rsid w:val="00272037"/>
    <w:rsid w:val="00272332"/>
    <w:rsid w:val="00272345"/>
    <w:rsid w:val="0027240B"/>
    <w:rsid w:val="00272507"/>
    <w:rsid w:val="00272B32"/>
    <w:rsid w:val="00272D0C"/>
    <w:rsid w:val="00272D81"/>
    <w:rsid w:val="00272F24"/>
    <w:rsid w:val="0027324A"/>
    <w:rsid w:val="00273322"/>
    <w:rsid w:val="002738B5"/>
    <w:rsid w:val="00273900"/>
    <w:rsid w:val="00273FA9"/>
    <w:rsid w:val="002743A9"/>
    <w:rsid w:val="002747A2"/>
    <w:rsid w:val="002748A7"/>
    <w:rsid w:val="00274DE8"/>
    <w:rsid w:val="00274DED"/>
    <w:rsid w:val="0027536C"/>
    <w:rsid w:val="00275520"/>
    <w:rsid w:val="002758B4"/>
    <w:rsid w:val="0027593C"/>
    <w:rsid w:val="00276040"/>
    <w:rsid w:val="002760EF"/>
    <w:rsid w:val="00276A82"/>
    <w:rsid w:val="00276C54"/>
    <w:rsid w:val="00276FF5"/>
    <w:rsid w:val="00277289"/>
    <w:rsid w:val="002773F6"/>
    <w:rsid w:val="0027759D"/>
    <w:rsid w:val="00277618"/>
    <w:rsid w:val="002778AD"/>
    <w:rsid w:val="00280220"/>
    <w:rsid w:val="002806F2"/>
    <w:rsid w:val="00280745"/>
    <w:rsid w:val="0028076D"/>
    <w:rsid w:val="00280CB0"/>
    <w:rsid w:val="0028139F"/>
    <w:rsid w:val="002818C0"/>
    <w:rsid w:val="00281D9D"/>
    <w:rsid w:val="002820ED"/>
    <w:rsid w:val="00282660"/>
    <w:rsid w:val="002827FE"/>
    <w:rsid w:val="00282A1D"/>
    <w:rsid w:val="00282E1D"/>
    <w:rsid w:val="0028301E"/>
    <w:rsid w:val="00283150"/>
    <w:rsid w:val="00283444"/>
    <w:rsid w:val="0028351E"/>
    <w:rsid w:val="00283565"/>
    <w:rsid w:val="0028382A"/>
    <w:rsid w:val="002839D3"/>
    <w:rsid w:val="00283A30"/>
    <w:rsid w:val="00283A59"/>
    <w:rsid w:val="00283CB4"/>
    <w:rsid w:val="00283E21"/>
    <w:rsid w:val="00283EA9"/>
    <w:rsid w:val="0028415A"/>
    <w:rsid w:val="002841C5"/>
    <w:rsid w:val="0028469D"/>
    <w:rsid w:val="00284A0E"/>
    <w:rsid w:val="00284B05"/>
    <w:rsid w:val="00284BDB"/>
    <w:rsid w:val="00285107"/>
    <w:rsid w:val="00285129"/>
    <w:rsid w:val="00285493"/>
    <w:rsid w:val="002857D1"/>
    <w:rsid w:val="00285A11"/>
    <w:rsid w:val="00285A96"/>
    <w:rsid w:val="002860F2"/>
    <w:rsid w:val="002864BE"/>
    <w:rsid w:val="00287018"/>
    <w:rsid w:val="0028748E"/>
    <w:rsid w:val="00287851"/>
    <w:rsid w:val="00290957"/>
    <w:rsid w:val="00290A20"/>
    <w:rsid w:val="00290C12"/>
    <w:rsid w:val="00290C34"/>
    <w:rsid w:val="0029115F"/>
    <w:rsid w:val="002913E4"/>
    <w:rsid w:val="0029154C"/>
    <w:rsid w:val="00291D62"/>
    <w:rsid w:val="00291D93"/>
    <w:rsid w:val="00291DBB"/>
    <w:rsid w:val="00292BF8"/>
    <w:rsid w:val="00292E8C"/>
    <w:rsid w:val="002934E1"/>
    <w:rsid w:val="0029372A"/>
    <w:rsid w:val="00293CCF"/>
    <w:rsid w:val="0029403A"/>
    <w:rsid w:val="0029403B"/>
    <w:rsid w:val="00294170"/>
    <w:rsid w:val="0029450C"/>
    <w:rsid w:val="00294589"/>
    <w:rsid w:val="00294804"/>
    <w:rsid w:val="002948EB"/>
    <w:rsid w:val="00294BCA"/>
    <w:rsid w:val="00294DCA"/>
    <w:rsid w:val="00295115"/>
    <w:rsid w:val="00295190"/>
    <w:rsid w:val="00295246"/>
    <w:rsid w:val="0029533B"/>
    <w:rsid w:val="002953E2"/>
    <w:rsid w:val="00295A37"/>
    <w:rsid w:val="00295C21"/>
    <w:rsid w:val="00295E80"/>
    <w:rsid w:val="00296065"/>
    <w:rsid w:val="0029619B"/>
    <w:rsid w:val="00296311"/>
    <w:rsid w:val="00296A7A"/>
    <w:rsid w:val="00296C56"/>
    <w:rsid w:val="00296D33"/>
    <w:rsid w:val="0029752D"/>
    <w:rsid w:val="00297C2D"/>
    <w:rsid w:val="002A0474"/>
    <w:rsid w:val="002A0A44"/>
    <w:rsid w:val="002A0C1C"/>
    <w:rsid w:val="002A11B8"/>
    <w:rsid w:val="002A120F"/>
    <w:rsid w:val="002A1613"/>
    <w:rsid w:val="002A175E"/>
    <w:rsid w:val="002A19B8"/>
    <w:rsid w:val="002A19FA"/>
    <w:rsid w:val="002A1ED1"/>
    <w:rsid w:val="002A28DF"/>
    <w:rsid w:val="002A2BE2"/>
    <w:rsid w:val="002A2DED"/>
    <w:rsid w:val="002A2E62"/>
    <w:rsid w:val="002A301D"/>
    <w:rsid w:val="002A3361"/>
    <w:rsid w:val="002A336F"/>
    <w:rsid w:val="002A34B7"/>
    <w:rsid w:val="002A35A6"/>
    <w:rsid w:val="002A395B"/>
    <w:rsid w:val="002A3B81"/>
    <w:rsid w:val="002A4049"/>
    <w:rsid w:val="002A40EC"/>
    <w:rsid w:val="002A440A"/>
    <w:rsid w:val="002A4637"/>
    <w:rsid w:val="002A466D"/>
    <w:rsid w:val="002A4AEB"/>
    <w:rsid w:val="002A4B4E"/>
    <w:rsid w:val="002A4C3B"/>
    <w:rsid w:val="002A57C6"/>
    <w:rsid w:val="002A5DB0"/>
    <w:rsid w:val="002A633A"/>
    <w:rsid w:val="002A6499"/>
    <w:rsid w:val="002A64C3"/>
    <w:rsid w:val="002A662A"/>
    <w:rsid w:val="002A662F"/>
    <w:rsid w:val="002A677E"/>
    <w:rsid w:val="002A692B"/>
    <w:rsid w:val="002A6C39"/>
    <w:rsid w:val="002A6DE3"/>
    <w:rsid w:val="002A70F0"/>
    <w:rsid w:val="002A732E"/>
    <w:rsid w:val="002A7606"/>
    <w:rsid w:val="002A7D81"/>
    <w:rsid w:val="002B04E3"/>
    <w:rsid w:val="002B05CA"/>
    <w:rsid w:val="002B118F"/>
    <w:rsid w:val="002B1714"/>
    <w:rsid w:val="002B1DBC"/>
    <w:rsid w:val="002B23F8"/>
    <w:rsid w:val="002B2E9C"/>
    <w:rsid w:val="002B2EB4"/>
    <w:rsid w:val="002B2F0D"/>
    <w:rsid w:val="002B2FDF"/>
    <w:rsid w:val="002B3418"/>
    <w:rsid w:val="002B373F"/>
    <w:rsid w:val="002B42E1"/>
    <w:rsid w:val="002B44A4"/>
    <w:rsid w:val="002B44F3"/>
    <w:rsid w:val="002B4A7C"/>
    <w:rsid w:val="002B4B9F"/>
    <w:rsid w:val="002B4D58"/>
    <w:rsid w:val="002B4E6A"/>
    <w:rsid w:val="002B4F61"/>
    <w:rsid w:val="002B4F86"/>
    <w:rsid w:val="002B4F97"/>
    <w:rsid w:val="002B5140"/>
    <w:rsid w:val="002B59A4"/>
    <w:rsid w:val="002B5FD4"/>
    <w:rsid w:val="002B63BF"/>
    <w:rsid w:val="002B679E"/>
    <w:rsid w:val="002B6B22"/>
    <w:rsid w:val="002B6CB3"/>
    <w:rsid w:val="002B6D00"/>
    <w:rsid w:val="002B71DB"/>
    <w:rsid w:val="002B71E0"/>
    <w:rsid w:val="002B742D"/>
    <w:rsid w:val="002B750E"/>
    <w:rsid w:val="002B7B5A"/>
    <w:rsid w:val="002B7D2E"/>
    <w:rsid w:val="002C00C0"/>
    <w:rsid w:val="002C0195"/>
    <w:rsid w:val="002C02B3"/>
    <w:rsid w:val="002C09EB"/>
    <w:rsid w:val="002C0D03"/>
    <w:rsid w:val="002C1717"/>
    <w:rsid w:val="002C1758"/>
    <w:rsid w:val="002C2093"/>
    <w:rsid w:val="002C2B76"/>
    <w:rsid w:val="002C33A9"/>
    <w:rsid w:val="002C37A5"/>
    <w:rsid w:val="002C3AB1"/>
    <w:rsid w:val="002C3B36"/>
    <w:rsid w:val="002C4185"/>
    <w:rsid w:val="002C43DB"/>
    <w:rsid w:val="002C4B01"/>
    <w:rsid w:val="002C4DC4"/>
    <w:rsid w:val="002C4F15"/>
    <w:rsid w:val="002C4FCA"/>
    <w:rsid w:val="002C546E"/>
    <w:rsid w:val="002C567E"/>
    <w:rsid w:val="002C5CA7"/>
    <w:rsid w:val="002C5D2D"/>
    <w:rsid w:val="002C6755"/>
    <w:rsid w:val="002C6963"/>
    <w:rsid w:val="002C7228"/>
    <w:rsid w:val="002C7471"/>
    <w:rsid w:val="002C7694"/>
    <w:rsid w:val="002D0160"/>
    <w:rsid w:val="002D01C6"/>
    <w:rsid w:val="002D040A"/>
    <w:rsid w:val="002D0781"/>
    <w:rsid w:val="002D079E"/>
    <w:rsid w:val="002D0F03"/>
    <w:rsid w:val="002D12E0"/>
    <w:rsid w:val="002D1BFE"/>
    <w:rsid w:val="002D1CB3"/>
    <w:rsid w:val="002D1CCE"/>
    <w:rsid w:val="002D21C9"/>
    <w:rsid w:val="002D2577"/>
    <w:rsid w:val="002D2A80"/>
    <w:rsid w:val="002D2CBE"/>
    <w:rsid w:val="002D2D1D"/>
    <w:rsid w:val="002D2D90"/>
    <w:rsid w:val="002D2F00"/>
    <w:rsid w:val="002D30F2"/>
    <w:rsid w:val="002D3177"/>
    <w:rsid w:val="002D38A2"/>
    <w:rsid w:val="002D38F3"/>
    <w:rsid w:val="002D4010"/>
    <w:rsid w:val="002D40C2"/>
    <w:rsid w:val="002D4174"/>
    <w:rsid w:val="002D4942"/>
    <w:rsid w:val="002D4969"/>
    <w:rsid w:val="002D4EBF"/>
    <w:rsid w:val="002D52F3"/>
    <w:rsid w:val="002D55FC"/>
    <w:rsid w:val="002D5C8A"/>
    <w:rsid w:val="002D621F"/>
    <w:rsid w:val="002D6499"/>
    <w:rsid w:val="002D6AAE"/>
    <w:rsid w:val="002D6B21"/>
    <w:rsid w:val="002D6D04"/>
    <w:rsid w:val="002D6E54"/>
    <w:rsid w:val="002D6FFC"/>
    <w:rsid w:val="002D750D"/>
    <w:rsid w:val="002D757C"/>
    <w:rsid w:val="002D7760"/>
    <w:rsid w:val="002D792E"/>
    <w:rsid w:val="002D7AA5"/>
    <w:rsid w:val="002D7E94"/>
    <w:rsid w:val="002E00DA"/>
    <w:rsid w:val="002E0889"/>
    <w:rsid w:val="002E0BA3"/>
    <w:rsid w:val="002E0D48"/>
    <w:rsid w:val="002E0ED2"/>
    <w:rsid w:val="002E0FB3"/>
    <w:rsid w:val="002E1949"/>
    <w:rsid w:val="002E1BA4"/>
    <w:rsid w:val="002E1C79"/>
    <w:rsid w:val="002E1E61"/>
    <w:rsid w:val="002E22C2"/>
    <w:rsid w:val="002E2336"/>
    <w:rsid w:val="002E2499"/>
    <w:rsid w:val="002E2C77"/>
    <w:rsid w:val="002E2EA6"/>
    <w:rsid w:val="002E3000"/>
    <w:rsid w:val="002E3165"/>
    <w:rsid w:val="002E32D3"/>
    <w:rsid w:val="002E338E"/>
    <w:rsid w:val="002E34C5"/>
    <w:rsid w:val="002E368F"/>
    <w:rsid w:val="002E3829"/>
    <w:rsid w:val="002E3970"/>
    <w:rsid w:val="002E3DA4"/>
    <w:rsid w:val="002E3F4B"/>
    <w:rsid w:val="002E3F60"/>
    <w:rsid w:val="002E442D"/>
    <w:rsid w:val="002E4491"/>
    <w:rsid w:val="002E44A0"/>
    <w:rsid w:val="002E44C4"/>
    <w:rsid w:val="002E4641"/>
    <w:rsid w:val="002E4A88"/>
    <w:rsid w:val="002E4B07"/>
    <w:rsid w:val="002E4E4D"/>
    <w:rsid w:val="002E5052"/>
    <w:rsid w:val="002E5064"/>
    <w:rsid w:val="002E5537"/>
    <w:rsid w:val="002E5CCA"/>
    <w:rsid w:val="002E5E0C"/>
    <w:rsid w:val="002E5E25"/>
    <w:rsid w:val="002E60A8"/>
    <w:rsid w:val="002E6323"/>
    <w:rsid w:val="002E6506"/>
    <w:rsid w:val="002E6528"/>
    <w:rsid w:val="002E6550"/>
    <w:rsid w:val="002E6551"/>
    <w:rsid w:val="002E6955"/>
    <w:rsid w:val="002E707C"/>
    <w:rsid w:val="002E70BF"/>
    <w:rsid w:val="002E723F"/>
    <w:rsid w:val="002E72DB"/>
    <w:rsid w:val="002E739D"/>
    <w:rsid w:val="002E75A8"/>
    <w:rsid w:val="002E78EB"/>
    <w:rsid w:val="002E7AA3"/>
    <w:rsid w:val="002F01D2"/>
    <w:rsid w:val="002F01F1"/>
    <w:rsid w:val="002F0297"/>
    <w:rsid w:val="002F045C"/>
    <w:rsid w:val="002F0D93"/>
    <w:rsid w:val="002F0DF6"/>
    <w:rsid w:val="002F0F9F"/>
    <w:rsid w:val="002F14AE"/>
    <w:rsid w:val="002F150C"/>
    <w:rsid w:val="002F2E67"/>
    <w:rsid w:val="002F2E98"/>
    <w:rsid w:val="002F2ECF"/>
    <w:rsid w:val="002F2F0A"/>
    <w:rsid w:val="002F3298"/>
    <w:rsid w:val="002F348E"/>
    <w:rsid w:val="002F35A4"/>
    <w:rsid w:val="002F3625"/>
    <w:rsid w:val="002F3731"/>
    <w:rsid w:val="002F379A"/>
    <w:rsid w:val="002F4281"/>
    <w:rsid w:val="002F4350"/>
    <w:rsid w:val="002F4591"/>
    <w:rsid w:val="002F4619"/>
    <w:rsid w:val="002F495B"/>
    <w:rsid w:val="002F4F65"/>
    <w:rsid w:val="002F599D"/>
    <w:rsid w:val="002F5B6B"/>
    <w:rsid w:val="002F5BC8"/>
    <w:rsid w:val="002F6102"/>
    <w:rsid w:val="002F6303"/>
    <w:rsid w:val="002F64CD"/>
    <w:rsid w:val="002F6809"/>
    <w:rsid w:val="002F6EE0"/>
    <w:rsid w:val="002F7009"/>
    <w:rsid w:val="002F74E3"/>
    <w:rsid w:val="002F74EF"/>
    <w:rsid w:val="002F7531"/>
    <w:rsid w:val="002F7585"/>
    <w:rsid w:val="002F7B3B"/>
    <w:rsid w:val="002F7C11"/>
    <w:rsid w:val="002F7C5F"/>
    <w:rsid w:val="002F7DBC"/>
    <w:rsid w:val="002F7FE7"/>
    <w:rsid w:val="00300022"/>
    <w:rsid w:val="003002FF"/>
    <w:rsid w:val="00300843"/>
    <w:rsid w:val="00300C1A"/>
    <w:rsid w:val="003011BE"/>
    <w:rsid w:val="00301482"/>
    <w:rsid w:val="00301647"/>
    <w:rsid w:val="003019FB"/>
    <w:rsid w:val="00301E77"/>
    <w:rsid w:val="0030259D"/>
    <w:rsid w:val="00302600"/>
    <w:rsid w:val="00302894"/>
    <w:rsid w:val="00302943"/>
    <w:rsid w:val="00302CCD"/>
    <w:rsid w:val="0030357D"/>
    <w:rsid w:val="00303694"/>
    <w:rsid w:val="00303E9C"/>
    <w:rsid w:val="0030427C"/>
    <w:rsid w:val="003042FF"/>
    <w:rsid w:val="003045FC"/>
    <w:rsid w:val="00304BD4"/>
    <w:rsid w:val="00305176"/>
    <w:rsid w:val="0030521E"/>
    <w:rsid w:val="00305B43"/>
    <w:rsid w:val="00305BB8"/>
    <w:rsid w:val="00305DE1"/>
    <w:rsid w:val="00305E8B"/>
    <w:rsid w:val="0030613F"/>
    <w:rsid w:val="00306444"/>
    <w:rsid w:val="00306892"/>
    <w:rsid w:val="00306BBB"/>
    <w:rsid w:val="00307606"/>
    <w:rsid w:val="003076F2"/>
    <w:rsid w:val="003077BC"/>
    <w:rsid w:val="00307881"/>
    <w:rsid w:val="003101A2"/>
    <w:rsid w:val="00310334"/>
    <w:rsid w:val="00310968"/>
    <w:rsid w:val="00310B88"/>
    <w:rsid w:val="00310B91"/>
    <w:rsid w:val="00310E60"/>
    <w:rsid w:val="003110AA"/>
    <w:rsid w:val="00311385"/>
    <w:rsid w:val="00311ADE"/>
    <w:rsid w:val="0031211F"/>
    <w:rsid w:val="00312218"/>
    <w:rsid w:val="0031270D"/>
    <w:rsid w:val="003135B3"/>
    <w:rsid w:val="00313CA4"/>
    <w:rsid w:val="0031429A"/>
    <w:rsid w:val="0031470D"/>
    <w:rsid w:val="003149EF"/>
    <w:rsid w:val="00314AC9"/>
    <w:rsid w:val="00315186"/>
    <w:rsid w:val="00315198"/>
    <w:rsid w:val="0031522A"/>
    <w:rsid w:val="003157EA"/>
    <w:rsid w:val="00315B52"/>
    <w:rsid w:val="00315C4A"/>
    <w:rsid w:val="0031633B"/>
    <w:rsid w:val="003165F4"/>
    <w:rsid w:val="00317218"/>
    <w:rsid w:val="003172A7"/>
    <w:rsid w:val="00317665"/>
    <w:rsid w:val="00317857"/>
    <w:rsid w:val="00317B7C"/>
    <w:rsid w:val="00317D2D"/>
    <w:rsid w:val="00320188"/>
    <w:rsid w:val="003201BC"/>
    <w:rsid w:val="003212C2"/>
    <w:rsid w:val="00321590"/>
    <w:rsid w:val="0032168C"/>
    <w:rsid w:val="00321765"/>
    <w:rsid w:val="00321B2F"/>
    <w:rsid w:val="00321F41"/>
    <w:rsid w:val="00322371"/>
    <w:rsid w:val="0032239E"/>
    <w:rsid w:val="003225A7"/>
    <w:rsid w:val="00322ADF"/>
    <w:rsid w:val="00322C60"/>
    <w:rsid w:val="00323279"/>
    <w:rsid w:val="0032337F"/>
    <w:rsid w:val="003237B6"/>
    <w:rsid w:val="0032390B"/>
    <w:rsid w:val="00323D64"/>
    <w:rsid w:val="00323DC1"/>
    <w:rsid w:val="0032452D"/>
    <w:rsid w:val="00324699"/>
    <w:rsid w:val="0032492C"/>
    <w:rsid w:val="00324ED9"/>
    <w:rsid w:val="00325018"/>
    <w:rsid w:val="00325069"/>
    <w:rsid w:val="00325136"/>
    <w:rsid w:val="00325274"/>
    <w:rsid w:val="00325572"/>
    <w:rsid w:val="003255DA"/>
    <w:rsid w:val="00325884"/>
    <w:rsid w:val="003258F0"/>
    <w:rsid w:val="003259D7"/>
    <w:rsid w:val="00325E0A"/>
    <w:rsid w:val="00326269"/>
    <w:rsid w:val="0032641A"/>
    <w:rsid w:val="00326432"/>
    <w:rsid w:val="003268E7"/>
    <w:rsid w:val="00326B06"/>
    <w:rsid w:val="00326B30"/>
    <w:rsid w:val="00326E4B"/>
    <w:rsid w:val="00326E64"/>
    <w:rsid w:val="003273C1"/>
    <w:rsid w:val="003277C5"/>
    <w:rsid w:val="00327C3B"/>
    <w:rsid w:val="00327C8E"/>
    <w:rsid w:val="00327D0E"/>
    <w:rsid w:val="00330865"/>
    <w:rsid w:val="00330913"/>
    <w:rsid w:val="00330A7A"/>
    <w:rsid w:val="003312AE"/>
    <w:rsid w:val="00331625"/>
    <w:rsid w:val="00331931"/>
    <w:rsid w:val="00331E8A"/>
    <w:rsid w:val="00332060"/>
    <w:rsid w:val="00332132"/>
    <w:rsid w:val="00332ADB"/>
    <w:rsid w:val="00332B93"/>
    <w:rsid w:val="003332DD"/>
    <w:rsid w:val="00333567"/>
    <w:rsid w:val="00333568"/>
    <w:rsid w:val="003335B4"/>
    <w:rsid w:val="003337C6"/>
    <w:rsid w:val="00333A7B"/>
    <w:rsid w:val="00333DA0"/>
    <w:rsid w:val="003340EE"/>
    <w:rsid w:val="003347F7"/>
    <w:rsid w:val="0033483D"/>
    <w:rsid w:val="0033561D"/>
    <w:rsid w:val="0033561E"/>
    <w:rsid w:val="003359D7"/>
    <w:rsid w:val="00335F1C"/>
    <w:rsid w:val="00335F33"/>
    <w:rsid w:val="00336245"/>
    <w:rsid w:val="003364EA"/>
    <w:rsid w:val="003368A2"/>
    <w:rsid w:val="00337017"/>
    <w:rsid w:val="003371D4"/>
    <w:rsid w:val="00337BE5"/>
    <w:rsid w:val="00337DDB"/>
    <w:rsid w:val="0034071E"/>
    <w:rsid w:val="003409C0"/>
    <w:rsid w:val="00340F88"/>
    <w:rsid w:val="003416C5"/>
    <w:rsid w:val="003419CC"/>
    <w:rsid w:val="00341AAE"/>
    <w:rsid w:val="00341D4C"/>
    <w:rsid w:val="003425C3"/>
    <w:rsid w:val="00342A07"/>
    <w:rsid w:val="00343100"/>
    <w:rsid w:val="003432BD"/>
    <w:rsid w:val="003438B3"/>
    <w:rsid w:val="00343DBB"/>
    <w:rsid w:val="00343F71"/>
    <w:rsid w:val="00343F93"/>
    <w:rsid w:val="003441FE"/>
    <w:rsid w:val="00344367"/>
    <w:rsid w:val="0034474D"/>
    <w:rsid w:val="00344A4A"/>
    <w:rsid w:val="00344DAB"/>
    <w:rsid w:val="00345664"/>
    <w:rsid w:val="003457C5"/>
    <w:rsid w:val="00345BF1"/>
    <w:rsid w:val="0034618B"/>
    <w:rsid w:val="003465E9"/>
    <w:rsid w:val="003465FA"/>
    <w:rsid w:val="00346ADF"/>
    <w:rsid w:val="0034718F"/>
    <w:rsid w:val="003471A8"/>
    <w:rsid w:val="003474C4"/>
    <w:rsid w:val="00347812"/>
    <w:rsid w:val="00347E5F"/>
    <w:rsid w:val="00347F2B"/>
    <w:rsid w:val="00350E30"/>
    <w:rsid w:val="00350E40"/>
    <w:rsid w:val="003511E3"/>
    <w:rsid w:val="00351341"/>
    <w:rsid w:val="003514A9"/>
    <w:rsid w:val="003516DA"/>
    <w:rsid w:val="003517B0"/>
    <w:rsid w:val="00351989"/>
    <w:rsid w:val="0035206E"/>
    <w:rsid w:val="003529C7"/>
    <w:rsid w:val="00352A74"/>
    <w:rsid w:val="003531FF"/>
    <w:rsid w:val="00353BAE"/>
    <w:rsid w:val="00353FA1"/>
    <w:rsid w:val="0035435B"/>
    <w:rsid w:val="003544A7"/>
    <w:rsid w:val="0035450B"/>
    <w:rsid w:val="00354603"/>
    <w:rsid w:val="003547A1"/>
    <w:rsid w:val="003548C6"/>
    <w:rsid w:val="003549D7"/>
    <w:rsid w:val="00354A5A"/>
    <w:rsid w:val="00354CBB"/>
    <w:rsid w:val="003553BA"/>
    <w:rsid w:val="0035563B"/>
    <w:rsid w:val="0035572D"/>
    <w:rsid w:val="00355921"/>
    <w:rsid w:val="00355E2A"/>
    <w:rsid w:val="00356162"/>
    <w:rsid w:val="003563BB"/>
    <w:rsid w:val="003563BC"/>
    <w:rsid w:val="00356604"/>
    <w:rsid w:val="0035688B"/>
    <w:rsid w:val="00356A63"/>
    <w:rsid w:val="00356D89"/>
    <w:rsid w:val="0035727D"/>
    <w:rsid w:val="00357E1B"/>
    <w:rsid w:val="003601E1"/>
    <w:rsid w:val="003603C1"/>
    <w:rsid w:val="003604E5"/>
    <w:rsid w:val="00360B16"/>
    <w:rsid w:val="003613E3"/>
    <w:rsid w:val="00361ECA"/>
    <w:rsid w:val="00362070"/>
    <w:rsid w:val="0036224B"/>
    <w:rsid w:val="00362583"/>
    <w:rsid w:val="0036258B"/>
    <w:rsid w:val="003629F5"/>
    <w:rsid w:val="00362A4A"/>
    <w:rsid w:val="00362B0F"/>
    <w:rsid w:val="00362B6B"/>
    <w:rsid w:val="00362D0A"/>
    <w:rsid w:val="00362FDF"/>
    <w:rsid w:val="0036314A"/>
    <w:rsid w:val="00363254"/>
    <w:rsid w:val="00363268"/>
    <w:rsid w:val="00363448"/>
    <w:rsid w:val="00363B33"/>
    <w:rsid w:val="003649DA"/>
    <w:rsid w:val="00364EC2"/>
    <w:rsid w:val="00365367"/>
    <w:rsid w:val="003654F4"/>
    <w:rsid w:val="003657BB"/>
    <w:rsid w:val="003664C4"/>
    <w:rsid w:val="00366521"/>
    <w:rsid w:val="00366821"/>
    <w:rsid w:val="00366E1B"/>
    <w:rsid w:val="00367497"/>
    <w:rsid w:val="0036774F"/>
    <w:rsid w:val="00370000"/>
    <w:rsid w:val="00370341"/>
    <w:rsid w:val="003710C3"/>
    <w:rsid w:val="003717D4"/>
    <w:rsid w:val="00371E13"/>
    <w:rsid w:val="00372030"/>
    <w:rsid w:val="003721CD"/>
    <w:rsid w:val="0037228D"/>
    <w:rsid w:val="003722FF"/>
    <w:rsid w:val="0037233C"/>
    <w:rsid w:val="003727EE"/>
    <w:rsid w:val="003728AB"/>
    <w:rsid w:val="00372959"/>
    <w:rsid w:val="00372CAF"/>
    <w:rsid w:val="00373AA3"/>
    <w:rsid w:val="00373C41"/>
    <w:rsid w:val="003740F6"/>
    <w:rsid w:val="003742BA"/>
    <w:rsid w:val="00374482"/>
    <w:rsid w:val="00374529"/>
    <w:rsid w:val="003749F4"/>
    <w:rsid w:val="00374D48"/>
    <w:rsid w:val="00374EF9"/>
    <w:rsid w:val="003752EB"/>
    <w:rsid w:val="003756A1"/>
    <w:rsid w:val="003756C4"/>
    <w:rsid w:val="00375747"/>
    <w:rsid w:val="00375A2D"/>
    <w:rsid w:val="0037614D"/>
    <w:rsid w:val="003763C4"/>
    <w:rsid w:val="00376458"/>
    <w:rsid w:val="00376D4E"/>
    <w:rsid w:val="00376F6B"/>
    <w:rsid w:val="00376F78"/>
    <w:rsid w:val="0037730A"/>
    <w:rsid w:val="0037738A"/>
    <w:rsid w:val="00377C21"/>
    <w:rsid w:val="00377EC4"/>
    <w:rsid w:val="00380138"/>
    <w:rsid w:val="003803CA"/>
    <w:rsid w:val="00380679"/>
    <w:rsid w:val="0038095A"/>
    <w:rsid w:val="003809E8"/>
    <w:rsid w:val="00380B2B"/>
    <w:rsid w:val="00380B3B"/>
    <w:rsid w:val="0038125F"/>
    <w:rsid w:val="0038160D"/>
    <w:rsid w:val="00381626"/>
    <w:rsid w:val="00381F41"/>
    <w:rsid w:val="003820A2"/>
    <w:rsid w:val="003824AA"/>
    <w:rsid w:val="003824E2"/>
    <w:rsid w:val="003827E9"/>
    <w:rsid w:val="00383AB0"/>
    <w:rsid w:val="00383E80"/>
    <w:rsid w:val="00383F0E"/>
    <w:rsid w:val="00384556"/>
    <w:rsid w:val="00384E72"/>
    <w:rsid w:val="00384E82"/>
    <w:rsid w:val="003853A3"/>
    <w:rsid w:val="00385418"/>
    <w:rsid w:val="00385690"/>
    <w:rsid w:val="00385D41"/>
    <w:rsid w:val="00386110"/>
    <w:rsid w:val="003863CD"/>
    <w:rsid w:val="003867F0"/>
    <w:rsid w:val="00386AAD"/>
    <w:rsid w:val="00386B5F"/>
    <w:rsid w:val="00386BAA"/>
    <w:rsid w:val="00386C9A"/>
    <w:rsid w:val="00386DA2"/>
    <w:rsid w:val="0038708B"/>
    <w:rsid w:val="00387811"/>
    <w:rsid w:val="00390055"/>
    <w:rsid w:val="00390560"/>
    <w:rsid w:val="003906C9"/>
    <w:rsid w:val="00390A82"/>
    <w:rsid w:val="00390FE6"/>
    <w:rsid w:val="003913A4"/>
    <w:rsid w:val="003917A7"/>
    <w:rsid w:val="003917DE"/>
    <w:rsid w:val="00391BDC"/>
    <w:rsid w:val="00392218"/>
    <w:rsid w:val="0039222A"/>
    <w:rsid w:val="00392456"/>
    <w:rsid w:val="00392534"/>
    <w:rsid w:val="00392885"/>
    <w:rsid w:val="00392C30"/>
    <w:rsid w:val="00392F1B"/>
    <w:rsid w:val="00393AC3"/>
    <w:rsid w:val="00393FB6"/>
    <w:rsid w:val="003941E0"/>
    <w:rsid w:val="0039425E"/>
    <w:rsid w:val="0039477E"/>
    <w:rsid w:val="0039484E"/>
    <w:rsid w:val="003948B8"/>
    <w:rsid w:val="003949FF"/>
    <w:rsid w:val="00394A3C"/>
    <w:rsid w:val="00394B7E"/>
    <w:rsid w:val="00394E2D"/>
    <w:rsid w:val="00394F92"/>
    <w:rsid w:val="003954C5"/>
    <w:rsid w:val="003957AA"/>
    <w:rsid w:val="00395A4B"/>
    <w:rsid w:val="003960ED"/>
    <w:rsid w:val="00396529"/>
    <w:rsid w:val="00396877"/>
    <w:rsid w:val="00396913"/>
    <w:rsid w:val="00396EC5"/>
    <w:rsid w:val="0039726C"/>
    <w:rsid w:val="003972DF"/>
    <w:rsid w:val="003975C3"/>
    <w:rsid w:val="003976B4"/>
    <w:rsid w:val="0039772E"/>
    <w:rsid w:val="00397B30"/>
    <w:rsid w:val="00397DB2"/>
    <w:rsid w:val="00397E74"/>
    <w:rsid w:val="00397ECE"/>
    <w:rsid w:val="00397FA2"/>
    <w:rsid w:val="003A00BE"/>
    <w:rsid w:val="003A014C"/>
    <w:rsid w:val="003A0279"/>
    <w:rsid w:val="003A05D3"/>
    <w:rsid w:val="003A062D"/>
    <w:rsid w:val="003A066D"/>
    <w:rsid w:val="003A076D"/>
    <w:rsid w:val="003A0C77"/>
    <w:rsid w:val="003A108A"/>
    <w:rsid w:val="003A11E3"/>
    <w:rsid w:val="003A15BA"/>
    <w:rsid w:val="003A1806"/>
    <w:rsid w:val="003A185A"/>
    <w:rsid w:val="003A1D52"/>
    <w:rsid w:val="003A2CCF"/>
    <w:rsid w:val="003A373E"/>
    <w:rsid w:val="003A3A56"/>
    <w:rsid w:val="003A3D22"/>
    <w:rsid w:val="003A3EDD"/>
    <w:rsid w:val="003A4633"/>
    <w:rsid w:val="003A4666"/>
    <w:rsid w:val="003A4AD1"/>
    <w:rsid w:val="003A5D86"/>
    <w:rsid w:val="003A60CD"/>
    <w:rsid w:val="003A62CF"/>
    <w:rsid w:val="003A66F9"/>
    <w:rsid w:val="003A686F"/>
    <w:rsid w:val="003A68B5"/>
    <w:rsid w:val="003A690E"/>
    <w:rsid w:val="003A6993"/>
    <w:rsid w:val="003A6BD8"/>
    <w:rsid w:val="003A725F"/>
    <w:rsid w:val="003A72F2"/>
    <w:rsid w:val="003A7355"/>
    <w:rsid w:val="003A7755"/>
    <w:rsid w:val="003A7785"/>
    <w:rsid w:val="003A798C"/>
    <w:rsid w:val="003A7C03"/>
    <w:rsid w:val="003A7E6D"/>
    <w:rsid w:val="003B0121"/>
    <w:rsid w:val="003B0201"/>
    <w:rsid w:val="003B02F9"/>
    <w:rsid w:val="003B038E"/>
    <w:rsid w:val="003B0606"/>
    <w:rsid w:val="003B06D0"/>
    <w:rsid w:val="003B06D8"/>
    <w:rsid w:val="003B0740"/>
    <w:rsid w:val="003B076B"/>
    <w:rsid w:val="003B0C17"/>
    <w:rsid w:val="003B10F6"/>
    <w:rsid w:val="003B13FE"/>
    <w:rsid w:val="003B18A0"/>
    <w:rsid w:val="003B1932"/>
    <w:rsid w:val="003B1C54"/>
    <w:rsid w:val="003B1D62"/>
    <w:rsid w:val="003B2007"/>
    <w:rsid w:val="003B208D"/>
    <w:rsid w:val="003B21BA"/>
    <w:rsid w:val="003B2B65"/>
    <w:rsid w:val="003B2E0D"/>
    <w:rsid w:val="003B32D3"/>
    <w:rsid w:val="003B3634"/>
    <w:rsid w:val="003B3BAA"/>
    <w:rsid w:val="003B3CAC"/>
    <w:rsid w:val="003B3DAA"/>
    <w:rsid w:val="003B401F"/>
    <w:rsid w:val="003B41DA"/>
    <w:rsid w:val="003B42D7"/>
    <w:rsid w:val="003B442D"/>
    <w:rsid w:val="003B4604"/>
    <w:rsid w:val="003B4729"/>
    <w:rsid w:val="003B4D3F"/>
    <w:rsid w:val="003B5342"/>
    <w:rsid w:val="003B53BD"/>
    <w:rsid w:val="003B55A9"/>
    <w:rsid w:val="003B56DB"/>
    <w:rsid w:val="003B5806"/>
    <w:rsid w:val="003B5892"/>
    <w:rsid w:val="003B5EEF"/>
    <w:rsid w:val="003B6692"/>
    <w:rsid w:val="003B6B57"/>
    <w:rsid w:val="003B6CE2"/>
    <w:rsid w:val="003B6D60"/>
    <w:rsid w:val="003B74BE"/>
    <w:rsid w:val="003B75B1"/>
    <w:rsid w:val="003B7A23"/>
    <w:rsid w:val="003C00D0"/>
    <w:rsid w:val="003C0BC8"/>
    <w:rsid w:val="003C0C05"/>
    <w:rsid w:val="003C1105"/>
    <w:rsid w:val="003C14B5"/>
    <w:rsid w:val="003C187B"/>
    <w:rsid w:val="003C19C4"/>
    <w:rsid w:val="003C1E50"/>
    <w:rsid w:val="003C25F9"/>
    <w:rsid w:val="003C27A5"/>
    <w:rsid w:val="003C2968"/>
    <w:rsid w:val="003C2C0D"/>
    <w:rsid w:val="003C2C66"/>
    <w:rsid w:val="003C2D90"/>
    <w:rsid w:val="003C2DC3"/>
    <w:rsid w:val="003C2F1C"/>
    <w:rsid w:val="003C300B"/>
    <w:rsid w:val="003C3102"/>
    <w:rsid w:val="003C37DD"/>
    <w:rsid w:val="003C391B"/>
    <w:rsid w:val="003C3A8F"/>
    <w:rsid w:val="003C3B57"/>
    <w:rsid w:val="003C3C66"/>
    <w:rsid w:val="003C3C7D"/>
    <w:rsid w:val="003C49AA"/>
    <w:rsid w:val="003C5226"/>
    <w:rsid w:val="003C5624"/>
    <w:rsid w:val="003C567D"/>
    <w:rsid w:val="003C5C66"/>
    <w:rsid w:val="003C634C"/>
    <w:rsid w:val="003C6C8E"/>
    <w:rsid w:val="003C71C0"/>
    <w:rsid w:val="003C73E1"/>
    <w:rsid w:val="003C757A"/>
    <w:rsid w:val="003C7AF9"/>
    <w:rsid w:val="003C7C59"/>
    <w:rsid w:val="003C7DAD"/>
    <w:rsid w:val="003D03E3"/>
    <w:rsid w:val="003D0CB1"/>
    <w:rsid w:val="003D0F60"/>
    <w:rsid w:val="003D133D"/>
    <w:rsid w:val="003D13D0"/>
    <w:rsid w:val="003D1B6E"/>
    <w:rsid w:val="003D1B95"/>
    <w:rsid w:val="003D2092"/>
    <w:rsid w:val="003D22F2"/>
    <w:rsid w:val="003D2562"/>
    <w:rsid w:val="003D2757"/>
    <w:rsid w:val="003D2777"/>
    <w:rsid w:val="003D2DEC"/>
    <w:rsid w:val="003D306C"/>
    <w:rsid w:val="003D3CF5"/>
    <w:rsid w:val="003D3EC8"/>
    <w:rsid w:val="003D40C5"/>
    <w:rsid w:val="003D412D"/>
    <w:rsid w:val="003D4747"/>
    <w:rsid w:val="003D48B7"/>
    <w:rsid w:val="003D4DAC"/>
    <w:rsid w:val="003D4E10"/>
    <w:rsid w:val="003D512C"/>
    <w:rsid w:val="003D64F6"/>
    <w:rsid w:val="003D661B"/>
    <w:rsid w:val="003D67E8"/>
    <w:rsid w:val="003D70B4"/>
    <w:rsid w:val="003D70C8"/>
    <w:rsid w:val="003D738B"/>
    <w:rsid w:val="003D73E7"/>
    <w:rsid w:val="003D759B"/>
    <w:rsid w:val="003D7CC3"/>
    <w:rsid w:val="003E002F"/>
    <w:rsid w:val="003E05A8"/>
    <w:rsid w:val="003E05CF"/>
    <w:rsid w:val="003E14FD"/>
    <w:rsid w:val="003E1BAD"/>
    <w:rsid w:val="003E1D34"/>
    <w:rsid w:val="003E27BA"/>
    <w:rsid w:val="003E28ED"/>
    <w:rsid w:val="003E297C"/>
    <w:rsid w:val="003E3282"/>
    <w:rsid w:val="003E329A"/>
    <w:rsid w:val="003E329B"/>
    <w:rsid w:val="003E376A"/>
    <w:rsid w:val="003E3AF6"/>
    <w:rsid w:val="003E41DD"/>
    <w:rsid w:val="003E4715"/>
    <w:rsid w:val="003E4809"/>
    <w:rsid w:val="003E48EF"/>
    <w:rsid w:val="003E5011"/>
    <w:rsid w:val="003E51CD"/>
    <w:rsid w:val="003E55A4"/>
    <w:rsid w:val="003E578C"/>
    <w:rsid w:val="003E5EDD"/>
    <w:rsid w:val="003E5F52"/>
    <w:rsid w:val="003E60AC"/>
    <w:rsid w:val="003E629A"/>
    <w:rsid w:val="003E6482"/>
    <w:rsid w:val="003E6855"/>
    <w:rsid w:val="003E7068"/>
    <w:rsid w:val="003E716A"/>
    <w:rsid w:val="003E7234"/>
    <w:rsid w:val="003E7504"/>
    <w:rsid w:val="003E752A"/>
    <w:rsid w:val="003E7774"/>
    <w:rsid w:val="003E7BC8"/>
    <w:rsid w:val="003F0473"/>
    <w:rsid w:val="003F093B"/>
    <w:rsid w:val="003F09FF"/>
    <w:rsid w:val="003F0C6C"/>
    <w:rsid w:val="003F0C9C"/>
    <w:rsid w:val="003F0DFD"/>
    <w:rsid w:val="003F0E7A"/>
    <w:rsid w:val="003F0ED1"/>
    <w:rsid w:val="003F10B9"/>
    <w:rsid w:val="003F1198"/>
    <w:rsid w:val="003F121E"/>
    <w:rsid w:val="003F176B"/>
    <w:rsid w:val="003F1930"/>
    <w:rsid w:val="003F1A32"/>
    <w:rsid w:val="003F1A61"/>
    <w:rsid w:val="003F1B96"/>
    <w:rsid w:val="003F1FE5"/>
    <w:rsid w:val="003F2850"/>
    <w:rsid w:val="003F2EA4"/>
    <w:rsid w:val="003F38A2"/>
    <w:rsid w:val="003F41AE"/>
    <w:rsid w:val="003F47F1"/>
    <w:rsid w:val="003F49AD"/>
    <w:rsid w:val="003F4E97"/>
    <w:rsid w:val="003F51F9"/>
    <w:rsid w:val="003F5238"/>
    <w:rsid w:val="003F56D8"/>
    <w:rsid w:val="003F5961"/>
    <w:rsid w:val="003F65E7"/>
    <w:rsid w:val="003F6BC7"/>
    <w:rsid w:val="003F6EBE"/>
    <w:rsid w:val="003F705B"/>
    <w:rsid w:val="003F73A2"/>
    <w:rsid w:val="003F75E6"/>
    <w:rsid w:val="003F782D"/>
    <w:rsid w:val="003F7DDE"/>
    <w:rsid w:val="00400210"/>
    <w:rsid w:val="004006EF"/>
    <w:rsid w:val="00400AC3"/>
    <w:rsid w:val="00400B30"/>
    <w:rsid w:val="00400BA1"/>
    <w:rsid w:val="00400EA2"/>
    <w:rsid w:val="00402105"/>
    <w:rsid w:val="0040224B"/>
    <w:rsid w:val="0040292D"/>
    <w:rsid w:val="00402C33"/>
    <w:rsid w:val="00402F91"/>
    <w:rsid w:val="00402FAD"/>
    <w:rsid w:val="00403099"/>
    <w:rsid w:val="0040325C"/>
    <w:rsid w:val="00403274"/>
    <w:rsid w:val="00403D55"/>
    <w:rsid w:val="00404230"/>
    <w:rsid w:val="00404BF4"/>
    <w:rsid w:val="00404DB2"/>
    <w:rsid w:val="004051C3"/>
    <w:rsid w:val="00405202"/>
    <w:rsid w:val="004052AB"/>
    <w:rsid w:val="00405328"/>
    <w:rsid w:val="004064F6"/>
    <w:rsid w:val="00406AA0"/>
    <w:rsid w:val="00406B39"/>
    <w:rsid w:val="00407016"/>
    <w:rsid w:val="0040743E"/>
    <w:rsid w:val="004076E7"/>
    <w:rsid w:val="00407885"/>
    <w:rsid w:val="00407AFB"/>
    <w:rsid w:val="00407FF7"/>
    <w:rsid w:val="00410077"/>
    <w:rsid w:val="004100F3"/>
    <w:rsid w:val="0041023F"/>
    <w:rsid w:val="00410766"/>
    <w:rsid w:val="00410EEF"/>
    <w:rsid w:val="00411440"/>
    <w:rsid w:val="004114F9"/>
    <w:rsid w:val="004116D9"/>
    <w:rsid w:val="00411947"/>
    <w:rsid w:val="004119E4"/>
    <w:rsid w:val="00411F87"/>
    <w:rsid w:val="004120E1"/>
    <w:rsid w:val="004126AB"/>
    <w:rsid w:val="00412820"/>
    <w:rsid w:val="00412ABA"/>
    <w:rsid w:val="004134FB"/>
    <w:rsid w:val="0041356A"/>
    <w:rsid w:val="00413625"/>
    <w:rsid w:val="00413A28"/>
    <w:rsid w:val="00413CFC"/>
    <w:rsid w:val="004141F0"/>
    <w:rsid w:val="00414643"/>
    <w:rsid w:val="00414809"/>
    <w:rsid w:val="00414878"/>
    <w:rsid w:val="00414976"/>
    <w:rsid w:val="00414C7D"/>
    <w:rsid w:val="00414F69"/>
    <w:rsid w:val="00414FB3"/>
    <w:rsid w:val="004151CC"/>
    <w:rsid w:val="004153F7"/>
    <w:rsid w:val="004154A3"/>
    <w:rsid w:val="00415648"/>
    <w:rsid w:val="00415846"/>
    <w:rsid w:val="004158D2"/>
    <w:rsid w:val="00415B41"/>
    <w:rsid w:val="00415BD4"/>
    <w:rsid w:val="00415D38"/>
    <w:rsid w:val="00415DDD"/>
    <w:rsid w:val="00416B61"/>
    <w:rsid w:val="00416D9C"/>
    <w:rsid w:val="00417333"/>
    <w:rsid w:val="004176B5"/>
    <w:rsid w:val="004178B0"/>
    <w:rsid w:val="00417A53"/>
    <w:rsid w:val="00417AB7"/>
    <w:rsid w:val="00417EBE"/>
    <w:rsid w:val="0042045C"/>
    <w:rsid w:val="004204C0"/>
    <w:rsid w:val="004207D1"/>
    <w:rsid w:val="00420EBC"/>
    <w:rsid w:val="004212A3"/>
    <w:rsid w:val="00421450"/>
    <w:rsid w:val="00421614"/>
    <w:rsid w:val="0042162D"/>
    <w:rsid w:val="00421B7A"/>
    <w:rsid w:val="00423901"/>
    <w:rsid w:val="00423F02"/>
    <w:rsid w:val="004243DB"/>
    <w:rsid w:val="0042461D"/>
    <w:rsid w:val="00424A4B"/>
    <w:rsid w:val="00424EB0"/>
    <w:rsid w:val="00425188"/>
    <w:rsid w:val="0042566E"/>
    <w:rsid w:val="0042583F"/>
    <w:rsid w:val="004258EF"/>
    <w:rsid w:val="00425A7C"/>
    <w:rsid w:val="00425E6B"/>
    <w:rsid w:val="00426268"/>
    <w:rsid w:val="004263B7"/>
    <w:rsid w:val="004264F6"/>
    <w:rsid w:val="004270D3"/>
    <w:rsid w:val="004276AC"/>
    <w:rsid w:val="00430035"/>
    <w:rsid w:val="004302DE"/>
    <w:rsid w:val="00430335"/>
    <w:rsid w:val="00430AF0"/>
    <w:rsid w:val="00430D04"/>
    <w:rsid w:val="0043127F"/>
    <w:rsid w:val="004318E7"/>
    <w:rsid w:val="0043198C"/>
    <w:rsid w:val="00431B3C"/>
    <w:rsid w:val="004325C6"/>
    <w:rsid w:val="00432D12"/>
    <w:rsid w:val="00432D3D"/>
    <w:rsid w:val="00433266"/>
    <w:rsid w:val="004332D1"/>
    <w:rsid w:val="004334B2"/>
    <w:rsid w:val="004335DB"/>
    <w:rsid w:val="00433D0D"/>
    <w:rsid w:val="00433E06"/>
    <w:rsid w:val="00433F32"/>
    <w:rsid w:val="00433F43"/>
    <w:rsid w:val="004340F6"/>
    <w:rsid w:val="0043439D"/>
    <w:rsid w:val="00434606"/>
    <w:rsid w:val="004346DC"/>
    <w:rsid w:val="004348BF"/>
    <w:rsid w:val="00434F85"/>
    <w:rsid w:val="00435178"/>
    <w:rsid w:val="004354FA"/>
    <w:rsid w:val="0043556F"/>
    <w:rsid w:val="00435F16"/>
    <w:rsid w:val="00436175"/>
    <w:rsid w:val="004364F6"/>
    <w:rsid w:val="00436621"/>
    <w:rsid w:val="0043718F"/>
    <w:rsid w:val="0043720A"/>
    <w:rsid w:val="00437445"/>
    <w:rsid w:val="004376C7"/>
    <w:rsid w:val="004376D3"/>
    <w:rsid w:val="00437842"/>
    <w:rsid w:val="004378BD"/>
    <w:rsid w:val="00437DC2"/>
    <w:rsid w:val="00437FF3"/>
    <w:rsid w:val="00440653"/>
    <w:rsid w:val="00440AF0"/>
    <w:rsid w:val="00440C07"/>
    <w:rsid w:val="00440F4B"/>
    <w:rsid w:val="004410F1"/>
    <w:rsid w:val="0044145F"/>
    <w:rsid w:val="00441F48"/>
    <w:rsid w:val="004421F1"/>
    <w:rsid w:val="004423A6"/>
    <w:rsid w:val="00442419"/>
    <w:rsid w:val="00442495"/>
    <w:rsid w:val="004425B3"/>
    <w:rsid w:val="004425CD"/>
    <w:rsid w:val="004426D8"/>
    <w:rsid w:val="004428C5"/>
    <w:rsid w:val="004429BF"/>
    <w:rsid w:val="00442D93"/>
    <w:rsid w:val="0044315F"/>
    <w:rsid w:val="00443305"/>
    <w:rsid w:val="004435BE"/>
    <w:rsid w:val="004438E2"/>
    <w:rsid w:val="00444185"/>
    <w:rsid w:val="004445FF"/>
    <w:rsid w:val="0044492F"/>
    <w:rsid w:val="00444DBE"/>
    <w:rsid w:val="00444E5D"/>
    <w:rsid w:val="0044504D"/>
    <w:rsid w:val="0044582B"/>
    <w:rsid w:val="00445A6D"/>
    <w:rsid w:val="00445B59"/>
    <w:rsid w:val="00445FC0"/>
    <w:rsid w:val="004464F3"/>
    <w:rsid w:val="00446745"/>
    <w:rsid w:val="004467E7"/>
    <w:rsid w:val="0044693C"/>
    <w:rsid w:val="004469F5"/>
    <w:rsid w:val="00446B58"/>
    <w:rsid w:val="00446E25"/>
    <w:rsid w:val="00446F34"/>
    <w:rsid w:val="00447150"/>
    <w:rsid w:val="00447256"/>
    <w:rsid w:val="004476B0"/>
    <w:rsid w:val="004478E0"/>
    <w:rsid w:val="00447941"/>
    <w:rsid w:val="00447FE6"/>
    <w:rsid w:val="0045025E"/>
    <w:rsid w:val="00450324"/>
    <w:rsid w:val="00450486"/>
    <w:rsid w:val="00450DBA"/>
    <w:rsid w:val="00451299"/>
    <w:rsid w:val="00451A01"/>
    <w:rsid w:val="00451AED"/>
    <w:rsid w:val="00451B5A"/>
    <w:rsid w:val="00451E05"/>
    <w:rsid w:val="00452066"/>
    <w:rsid w:val="004521C4"/>
    <w:rsid w:val="00452294"/>
    <w:rsid w:val="00452568"/>
    <w:rsid w:val="00452930"/>
    <w:rsid w:val="0045293D"/>
    <w:rsid w:val="00452A1D"/>
    <w:rsid w:val="00452E80"/>
    <w:rsid w:val="004540F0"/>
    <w:rsid w:val="004543BE"/>
    <w:rsid w:val="004546BE"/>
    <w:rsid w:val="004547DD"/>
    <w:rsid w:val="004548A6"/>
    <w:rsid w:val="00454A8F"/>
    <w:rsid w:val="00454B51"/>
    <w:rsid w:val="004554AA"/>
    <w:rsid w:val="004556FE"/>
    <w:rsid w:val="004558E4"/>
    <w:rsid w:val="00455994"/>
    <w:rsid w:val="00455C55"/>
    <w:rsid w:val="00456210"/>
    <w:rsid w:val="00456780"/>
    <w:rsid w:val="0045687C"/>
    <w:rsid w:val="0045782F"/>
    <w:rsid w:val="0045794A"/>
    <w:rsid w:val="0045796F"/>
    <w:rsid w:val="00457E48"/>
    <w:rsid w:val="00457F6F"/>
    <w:rsid w:val="004602AA"/>
    <w:rsid w:val="004603CC"/>
    <w:rsid w:val="00460B70"/>
    <w:rsid w:val="00460DE0"/>
    <w:rsid w:val="0046102E"/>
    <w:rsid w:val="004612C3"/>
    <w:rsid w:val="0046187D"/>
    <w:rsid w:val="0046188C"/>
    <w:rsid w:val="00461991"/>
    <w:rsid w:val="004620C7"/>
    <w:rsid w:val="00462210"/>
    <w:rsid w:val="0046221A"/>
    <w:rsid w:val="00462464"/>
    <w:rsid w:val="00462AF0"/>
    <w:rsid w:val="00462BEC"/>
    <w:rsid w:val="0046344D"/>
    <w:rsid w:val="004636C6"/>
    <w:rsid w:val="004637DC"/>
    <w:rsid w:val="00463BBC"/>
    <w:rsid w:val="00463E1E"/>
    <w:rsid w:val="00463ED9"/>
    <w:rsid w:val="004646E4"/>
    <w:rsid w:val="0046474B"/>
    <w:rsid w:val="004649D4"/>
    <w:rsid w:val="00464A85"/>
    <w:rsid w:val="00465134"/>
    <w:rsid w:val="0046529F"/>
    <w:rsid w:val="004652B7"/>
    <w:rsid w:val="00465A2D"/>
    <w:rsid w:val="00465BD9"/>
    <w:rsid w:val="00465CBD"/>
    <w:rsid w:val="00466199"/>
    <w:rsid w:val="0046621E"/>
    <w:rsid w:val="004664E1"/>
    <w:rsid w:val="004664F8"/>
    <w:rsid w:val="00466504"/>
    <w:rsid w:val="00466CDD"/>
    <w:rsid w:val="0046714A"/>
    <w:rsid w:val="004674AD"/>
    <w:rsid w:val="00467742"/>
    <w:rsid w:val="00467DB2"/>
    <w:rsid w:val="00467DD0"/>
    <w:rsid w:val="00467F25"/>
    <w:rsid w:val="00470069"/>
    <w:rsid w:val="00470134"/>
    <w:rsid w:val="00470926"/>
    <w:rsid w:val="004713FB"/>
    <w:rsid w:val="00472602"/>
    <w:rsid w:val="004726B7"/>
    <w:rsid w:val="004726CE"/>
    <w:rsid w:val="00472BB2"/>
    <w:rsid w:val="00472E7C"/>
    <w:rsid w:val="00472F38"/>
    <w:rsid w:val="004732D1"/>
    <w:rsid w:val="004735EC"/>
    <w:rsid w:val="004736C6"/>
    <w:rsid w:val="00473884"/>
    <w:rsid w:val="00473982"/>
    <w:rsid w:val="00473A8D"/>
    <w:rsid w:val="00473CD3"/>
    <w:rsid w:val="0047410F"/>
    <w:rsid w:val="004744DC"/>
    <w:rsid w:val="004745F6"/>
    <w:rsid w:val="00474714"/>
    <w:rsid w:val="00474A0B"/>
    <w:rsid w:val="00474C5F"/>
    <w:rsid w:val="00474DDB"/>
    <w:rsid w:val="00474E91"/>
    <w:rsid w:val="00474F66"/>
    <w:rsid w:val="00475088"/>
    <w:rsid w:val="00475145"/>
    <w:rsid w:val="0047517F"/>
    <w:rsid w:val="00475624"/>
    <w:rsid w:val="00475670"/>
    <w:rsid w:val="00475A7E"/>
    <w:rsid w:val="0047603B"/>
    <w:rsid w:val="00476B9D"/>
    <w:rsid w:val="00476D8D"/>
    <w:rsid w:val="00477263"/>
    <w:rsid w:val="0047727F"/>
    <w:rsid w:val="00477844"/>
    <w:rsid w:val="00477D0B"/>
    <w:rsid w:val="00477FE9"/>
    <w:rsid w:val="00480149"/>
    <w:rsid w:val="0048036E"/>
    <w:rsid w:val="00480AF1"/>
    <w:rsid w:val="00480F49"/>
    <w:rsid w:val="004811E6"/>
    <w:rsid w:val="00481240"/>
    <w:rsid w:val="00481819"/>
    <w:rsid w:val="00481855"/>
    <w:rsid w:val="004818CF"/>
    <w:rsid w:val="004818F3"/>
    <w:rsid w:val="00481A08"/>
    <w:rsid w:val="00481BD7"/>
    <w:rsid w:val="00482534"/>
    <w:rsid w:val="0048263F"/>
    <w:rsid w:val="004826B5"/>
    <w:rsid w:val="00482FD6"/>
    <w:rsid w:val="00483025"/>
    <w:rsid w:val="004831EF"/>
    <w:rsid w:val="004833C9"/>
    <w:rsid w:val="004833F1"/>
    <w:rsid w:val="0048370C"/>
    <w:rsid w:val="00483CE2"/>
    <w:rsid w:val="00483D17"/>
    <w:rsid w:val="004846D9"/>
    <w:rsid w:val="00484F7A"/>
    <w:rsid w:val="00485496"/>
    <w:rsid w:val="004854CC"/>
    <w:rsid w:val="004859A8"/>
    <w:rsid w:val="00485C23"/>
    <w:rsid w:val="00486499"/>
    <w:rsid w:val="0048667B"/>
    <w:rsid w:val="00486789"/>
    <w:rsid w:val="00486E56"/>
    <w:rsid w:val="00486FE9"/>
    <w:rsid w:val="00487007"/>
    <w:rsid w:val="0048765F"/>
    <w:rsid w:val="00487817"/>
    <w:rsid w:val="0048783D"/>
    <w:rsid w:val="004900DF"/>
    <w:rsid w:val="004902B5"/>
    <w:rsid w:val="004902E1"/>
    <w:rsid w:val="00490484"/>
    <w:rsid w:val="0049048D"/>
    <w:rsid w:val="00490510"/>
    <w:rsid w:val="00490772"/>
    <w:rsid w:val="004908FE"/>
    <w:rsid w:val="00490AEC"/>
    <w:rsid w:val="00490D09"/>
    <w:rsid w:val="00490D35"/>
    <w:rsid w:val="00490EBB"/>
    <w:rsid w:val="004913FE"/>
    <w:rsid w:val="00491BD0"/>
    <w:rsid w:val="00491F57"/>
    <w:rsid w:val="0049219A"/>
    <w:rsid w:val="004921AF"/>
    <w:rsid w:val="004925AC"/>
    <w:rsid w:val="004926ED"/>
    <w:rsid w:val="0049294B"/>
    <w:rsid w:val="00493297"/>
    <w:rsid w:val="00493401"/>
    <w:rsid w:val="004934EA"/>
    <w:rsid w:val="0049389F"/>
    <w:rsid w:val="00494330"/>
    <w:rsid w:val="00494580"/>
    <w:rsid w:val="004947B9"/>
    <w:rsid w:val="0049484B"/>
    <w:rsid w:val="00494B16"/>
    <w:rsid w:val="00494D37"/>
    <w:rsid w:val="00494FA3"/>
    <w:rsid w:val="004953E2"/>
    <w:rsid w:val="004954FE"/>
    <w:rsid w:val="0049570C"/>
    <w:rsid w:val="00495EE8"/>
    <w:rsid w:val="00496481"/>
    <w:rsid w:val="0049723A"/>
    <w:rsid w:val="0049733A"/>
    <w:rsid w:val="00497C6C"/>
    <w:rsid w:val="004A0593"/>
    <w:rsid w:val="004A0789"/>
    <w:rsid w:val="004A0B51"/>
    <w:rsid w:val="004A0BEE"/>
    <w:rsid w:val="004A0E3E"/>
    <w:rsid w:val="004A12A0"/>
    <w:rsid w:val="004A18C6"/>
    <w:rsid w:val="004A19BF"/>
    <w:rsid w:val="004A1ECB"/>
    <w:rsid w:val="004A2031"/>
    <w:rsid w:val="004A2220"/>
    <w:rsid w:val="004A25B5"/>
    <w:rsid w:val="004A2ED8"/>
    <w:rsid w:val="004A3610"/>
    <w:rsid w:val="004A386C"/>
    <w:rsid w:val="004A395E"/>
    <w:rsid w:val="004A3AF6"/>
    <w:rsid w:val="004A3B41"/>
    <w:rsid w:val="004A3CBE"/>
    <w:rsid w:val="004A3ECC"/>
    <w:rsid w:val="004A4235"/>
    <w:rsid w:val="004A42A8"/>
    <w:rsid w:val="004A4666"/>
    <w:rsid w:val="004A4B11"/>
    <w:rsid w:val="004A5A80"/>
    <w:rsid w:val="004A5CAD"/>
    <w:rsid w:val="004A5E24"/>
    <w:rsid w:val="004A61D9"/>
    <w:rsid w:val="004A61F4"/>
    <w:rsid w:val="004A6593"/>
    <w:rsid w:val="004A6AB5"/>
    <w:rsid w:val="004A6F49"/>
    <w:rsid w:val="004A7033"/>
    <w:rsid w:val="004A752F"/>
    <w:rsid w:val="004A7D3E"/>
    <w:rsid w:val="004A7DBF"/>
    <w:rsid w:val="004A7F3E"/>
    <w:rsid w:val="004B0132"/>
    <w:rsid w:val="004B0246"/>
    <w:rsid w:val="004B0722"/>
    <w:rsid w:val="004B0969"/>
    <w:rsid w:val="004B0BD0"/>
    <w:rsid w:val="004B0E20"/>
    <w:rsid w:val="004B0FC5"/>
    <w:rsid w:val="004B1217"/>
    <w:rsid w:val="004B1845"/>
    <w:rsid w:val="004B1F0E"/>
    <w:rsid w:val="004B229C"/>
    <w:rsid w:val="004B26E7"/>
    <w:rsid w:val="004B2721"/>
    <w:rsid w:val="004B2946"/>
    <w:rsid w:val="004B2AE0"/>
    <w:rsid w:val="004B2D99"/>
    <w:rsid w:val="004B308D"/>
    <w:rsid w:val="004B335F"/>
    <w:rsid w:val="004B39AE"/>
    <w:rsid w:val="004B3A17"/>
    <w:rsid w:val="004B3D51"/>
    <w:rsid w:val="004B3D6E"/>
    <w:rsid w:val="004B3F0E"/>
    <w:rsid w:val="004B40AB"/>
    <w:rsid w:val="004B43A4"/>
    <w:rsid w:val="004B44BF"/>
    <w:rsid w:val="004B4640"/>
    <w:rsid w:val="004B46F1"/>
    <w:rsid w:val="004B4F74"/>
    <w:rsid w:val="004B52B4"/>
    <w:rsid w:val="004B5875"/>
    <w:rsid w:val="004B5C8D"/>
    <w:rsid w:val="004B60A3"/>
    <w:rsid w:val="004B6232"/>
    <w:rsid w:val="004B668D"/>
    <w:rsid w:val="004B6883"/>
    <w:rsid w:val="004B6C67"/>
    <w:rsid w:val="004B6F02"/>
    <w:rsid w:val="004B6F19"/>
    <w:rsid w:val="004B6F45"/>
    <w:rsid w:val="004B733A"/>
    <w:rsid w:val="004B7485"/>
    <w:rsid w:val="004B772D"/>
    <w:rsid w:val="004B7C73"/>
    <w:rsid w:val="004C00BE"/>
    <w:rsid w:val="004C08A2"/>
    <w:rsid w:val="004C0F7F"/>
    <w:rsid w:val="004C14A6"/>
    <w:rsid w:val="004C1AB9"/>
    <w:rsid w:val="004C1EF9"/>
    <w:rsid w:val="004C20EB"/>
    <w:rsid w:val="004C2263"/>
    <w:rsid w:val="004C227F"/>
    <w:rsid w:val="004C23C4"/>
    <w:rsid w:val="004C252C"/>
    <w:rsid w:val="004C2A2C"/>
    <w:rsid w:val="004C2EDF"/>
    <w:rsid w:val="004C3117"/>
    <w:rsid w:val="004C313A"/>
    <w:rsid w:val="004C33C0"/>
    <w:rsid w:val="004C3A25"/>
    <w:rsid w:val="004C3BB4"/>
    <w:rsid w:val="004C3FE0"/>
    <w:rsid w:val="004C4381"/>
    <w:rsid w:val="004C4906"/>
    <w:rsid w:val="004C4A5D"/>
    <w:rsid w:val="004C4A76"/>
    <w:rsid w:val="004C57CB"/>
    <w:rsid w:val="004C5A70"/>
    <w:rsid w:val="004C5E2B"/>
    <w:rsid w:val="004C5F06"/>
    <w:rsid w:val="004C6049"/>
    <w:rsid w:val="004C62AE"/>
    <w:rsid w:val="004C674C"/>
    <w:rsid w:val="004C675D"/>
    <w:rsid w:val="004C689E"/>
    <w:rsid w:val="004C6941"/>
    <w:rsid w:val="004C69F6"/>
    <w:rsid w:val="004C6B7E"/>
    <w:rsid w:val="004C6CAA"/>
    <w:rsid w:val="004C6D62"/>
    <w:rsid w:val="004C6DD3"/>
    <w:rsid w:val="004C6E0D"/>
    <w:rsid w:val="004C7499"/>
    <w:rsid w:val="004C7630"/>
    <w:rsid w:val="004D013E"/>
    <w:rsid w:val="004D063E"/>
    <w:rsid w:val="004D085E"/>
    <w:rsid w:val="004D0B87"/>
    <w:rsid w:val="004D1A8C"/>
    <w:rsid w:val="004D1BD5"/>
    <w:rsid w:val="004D1CDF"/>
    <w:rsid w:val="004D2328"/>
    <w:rsid w:val="004D24CD"/>
    <w:rsid w:val="004D26A8"/>
    <w:rsid w:val="004D273F"/>
    <w:rsid w:val="004D2751"/>
    <w:rsid w:val="004D2856"/>
    <w:rsid w:val="004D2ADA"/>
    <w:rsid w:val="004D2DAF"/>
    <w:rsid w:val="004D2F50"/>
    <w:rsid w:val="004D3519"/>
    <w:rsid w:val="004D4427"/>
    <w:rsid w:val="004D4FAB"/>
    <w:rsid w:val="004D52B4"/>
    <w:rsid w:val="004D52BF"/>
    <w:rsid w:val="004D555A"/>
    <w:rsid w:val="004D5708"/>
    <w:rsid w:val="004D5882"/>
    <w:rsid w:val="004D591C"/>
    <w:rsid w:val="004D5A8C"/>
    <w:rsid w:val="004D5AA8"/>
    <w:rsid w:val="004D62D5"/>
    <w:rsid w:val="004D6AE9"/>
    <w:rsid w:val="004D6D26"/>
    <w:rsid w:val="004D6D3F"/>
    <w:rsid w:val="004D73D8"/>
    <w:rsid w:val="004D7494"/>
    <w:rsid w:val="004D7652"/>
    <w:rsid w:val="004D7B5A"/>
    <w:rsid w:val="004D7B62"/>
    <w:rsid w:val="004E063D"/>
    <w:rsid w:val="004E0BB4"/>
    <w:rsid w:val="004E0BD3"/>
    <w:rsid w:val="004E0CBC"/>
    <w:rsid w:val="004E1432"/>
    <w:rsid w:val="004E1521"/>
    <w:rsid w:val="004E19E6"/>
    <w:rsid w:val="004E1FBF"/>
    <w:rsid w:val="004E2135"/>
    <w:rsid w:val="004E25AF"/>
    <w:rsid w:val="004E27FC"/>
    <w:rsid w:val="004E2ACA"/>
    <w:rsid w:val="004E2D09"/>
    <w:rsid w:val="004E36D4"/>
    <w:rsid w:val="004E3C88"/>
    <w:rsid w:val="004E4494"/>
    <w:rsid w:val="004E4A9A"/>
    <w:rsid w:val="004E4C48"/>
    <w:rsid w:val="004E4E6D"/>
    <w:rsid w:val="004E50FA"/>
    <w:rsid w:val="004E522A"/>
    <w:rsid w:val="004E53F9"/>
    <w:rsid w:val="004E598D"/>
    <w:rsid w:val="004E5AC7"/>
    <w:rsid w:val="004E5C06"/>
    <w:rsid w:val="004E5F4C"/>
    <w:rsid w:val="004E60D2"/>
    <w:rsid w:val="004E60F4"/>
    <w:rsid w:val="004E61FB"/>
    <w:rsid w:val="004E663A"/>
    <w:rsid w:val="004E66E7"/>
    <w:rsid w:val="004E68E7"/>
    <w:rsid w:val="004E6B5E"/>
    <w:rsid w:val="004E6C19"/>
    <w:rsid w:val="004E6DF8"/>
    <w:rsid w:val="004E7423"/>
    <w:rsid w:val="004E7714"/>
    <w:rsid w:val="004E7751"/>
    <w:rsid w:val="004E78B5"/>
    <w:rsid w:val="004E7B8F"/>
    <w:rsid w:val="004E7BC5"/>
    <w:rsid w:val="004F00AC"/>
    <w:rsid w:val="004F0137"/>
    <w:rsid w:val="004F03C8"/>
    <w:rsid w:val="004F03F3"/>
    <w:rsid w:val="004F06F2"/>
    <w:rsid w:val="004F195E"/>
    <w:rsid w:val="004F2086"/>
    <w:rsid w:val="004F22F2"/>
    <w:rsid w:val="004F24B8"/>
    <w:rsid w:val="004F2763"/>
    <w:rsid w:val="004F2815"/>
    <w:rsid w:val="004F28D7"/>
    <w:rsid w:val="004F2942"/>
    <w:rsid w:val="004F2B64"/>
    <w:rsid w:val="004F2C14"/>
    <w:rsid w:val="004F310F"/>
    <w:rsid w:val="004F3189"/>
    <w:rsid w:val="004F356F"/>
    <w:rsid w:val="004F360E"/>
    <w:rsid w:val="004F364E"/>
    <w:rsid w:val="004F36CD"/>
    <w:rsid w:val="004F36FB"/>
    <w:rsid w:val="004F3731"/>
    <w:rsid w:val="004F374B"/>
    <w:rsid w:val="004F37D8"/>
    <w:rsid w:val="004F3C0F"/>
    <w:rsid w:val="004F3EAF"/>
    <w:rsid w:val="004F46D1"/>
    <w:rsid w:val="004F4B7F"/>
    <w:rsid w:val="004F4D18"/>
    <w:rsid w:val="004F4DA4"/>
    <w:rsid w:val="004F4ED4"/>
    <w:rsid w:val="004F52B5"/>
    <w:rsid w:val="004F5412"/>
    <w:rsid w:val="004F542A"/>
    <w:rsid w:val="004F575B"/>
    <w:rsid w:val="004F5B4B"/>
    <w:rsid w:val="004F5E90"/>
    <w:rsid w:val="004F61E2"/>
    <w:rsid w:val="004F67E6"/>
    <w:rsid w:val="004F6DC1"/>
    <w:rsid w:val="004F7523"/>
    <w:rsid w:val="004F7A92"/>
    <w:rsid w:val="004F7B9E"/>
    <w:rsid w:val="004F7DE8"/>
    <w:rsid w:val="004F7F03"/>
    <w:rsid w:val="00500192"/>
    <w:rsid w:val="00500318"/>
    <w:rsid w:val="00500458"/>
    <w:rsid w:val="00500589"/>
    <w:rsid w:val="00500689"/>
    <w:rsid w:val="005008CD"/>
    <w:rsid w:val="00500A43"/>
    <w:rsid w:val="00500BFE"/>
    <w:rsid w:val="00500C6B"/>
    <w:rsid w:val="005010BD"/>
    <w:rsid w:val="005017A2"/>
    <w:rsid w:val="005019B4"/>
    <w:rsid w:val="00501A83"/>
    <w:rsid w:val="00501E14"/>
    <w:rsid w:val="00502196"/>
    <w:rsid w:val="005021BD"/>
    <w:rsid w:val="00502666"/>
    <w:rsid w:val="005026DD"/>
    <w:rsid w:val="00502721"/>
    <w:rsid w:val="00502B5C"/>
    <w:rsid w:val="0050313D"/>
    <w:rsid w:val="0050349D"/>
    <w:rsid w:val="00503592"/>
    <w:rsid w:val="00503A1B"/>
    <w:rsid w:val="00503AA3"/>
    <w:rsid w:val="00503F6A"/>
    <w:rsid w:val="00503F8E"/>
    <w:rsid w:val="00503FB6"/>
    <w:rsid w:val="00504037"/>
    <w:rsid w:val="005040D3"/>
    <w:rsid w:val="00504364"/>
    <w:rsid w:val="00504664"/>
    <w:rsid w:val="0050475F"/>
    <w:rsid w:val="005047D7"/>
    <w:rsid w:val="005049B5"/>
    <w:rsid w:val="00504AF5"/>
    <w:rsid w:val="00504EEE"/>
    <w:rsid w:val="00505041"/>
    <w:rsid w:val="00505A9A"/>
    <w:rsid w:val="00505FFB"/>
    <w:rsid w:val="00506569"/>
    <w:rsid w:val="005067E5"/>
    <w:rsid w:val="005069E5"/>
    <w:rsid w:val="0050711A"/>
    <w:rsid w:val="00507206"/>
    <w:rsid w:val="005074FD"/>
    <w:rsid w:val="00507966"/>
    <w:rsid w:val="00507A21"/>
    <w:rsid w:val="0051037F"/>
    <w:rsid w:val="00510729"/>
    <w:rsid w:val="00511009"/>
    <w:rsid w:val="0051132A"/>
    <w:rsid w:val="00511349"/>
    <w:rsid w:val="005117D3"/>
    <w:rsid w:val="005122AE"/>
    <w:rsid w:val="0051273F"/>
    <w:rsid w:val="00512A5A"/>
    <w:rsid w:val="00512AAF"/>
    <w:rsid w:val="00512D92"/>
    <w:rsid w:val="00513013"/>
    <w:rsid w:val="0051306A"/>
    <w:rsid w:val="005130B5"/>
    <w:rsid w:val="00513153"/>
    <w:rsid w:val="00513214"/>
    <w:rsid w:val="0051344C"/>
    <w:rsid w:val="00513886"/>
    <w:rsid w:val="00513898"/>
    <w:rsid w:val="00513B6A"/>
    <w:rsid w:val="00513D22"/>
    <w:rsid w:val="00513D2A"/>
    <w:rsid w:val="00513F07"/>
    <w:rsid w:val="00513FCF"/>
    <w:rsid w:val="00514313"/>
    <w:rsid w:val="005143D4"/>
    <w:rsid w:val="00514861"/>
    <w:rsid w:val="00514900"/>
    <w:rsid w:val="00514A77"/>
    <w:rsid w:val="00514CB4"/>
    <w:rsid w:val="00514F0B"/>
    <w:rsid w:val="005153BB"/>
    <w:rsid w:val="00515692"/>
    <w:rsid w:val="0051584C"/>
    <w:rsid w:val="0051651B"/>
    <w:rsid w:val="00516AC3"/>
    <w:rsid w:val="00516B48"/>
    <w:rsid w:val="00516BAA"/>
    <w:rsid w:val="00516BE0"/>
    <w:rsid w:val="00516D33"/>
    <w:rsid w:val="00516E5B"/>
    <w:rsid w:val="00517431"/>
    <w:rsid w:val="005175A0"/>
    <w:rsid w:val="0052020C"/>
    <w:rsid w:val="00520485"/>
    <w:rsid w:val="00520511"/>
    <w:rsid w:val="005206A8"/>
    <w:rsid w:val="0052087B"/>
    <w:rsid w:val="00520C94"/>
    <w:rsid w:val="00520EF9"/>
    <w:rsid w:val="00521248"/>
    <w:rsid w:val="005212A2"/>
    <w:rsid w:val="005215A0"/>
    <w:rsid w:val="00521AEA"/>
    <w:rsid w:val="0052256A"/>
    <w:rsid w:val="00522628"/>
    <w:rsid w:val="00522D92"/>
    <w:rsid w:val="005234B7"/>
    <w:rsid w:val="00523FE8"/>
    <w:rsid w:val="0052436B"/>
    <w:rsid w:val="005243E4"/>
    <w:rsid w:val="00524743"/>
    <w:rsid w:val="00524AB7"/>
    <w:rsid w:val="00525115"/>
    <w:rsid w:val="0052522B"/>
    <w:rsid w:val="005253E2"/>
    <w:rsid w:val="00525708"/>
    <w:rsid w:val="005257FF"/>
    <w:rsid w:val="00526526"/>
    <w:rsid w:val="00526CA4"/>
    <w:rsid w:val="00527417"/>
    <w:rsid w:val="00530153"/>
    <w:rsid w:val="005305D4"/>
    <w:rsid w:val="005307A3"/>
    <w:rsid w:val="00530872"/>
    <w:rsid w:val="00530880"/>
    <w:rsid w:val="005308BB"/>
    <w:rsid w:val="00531510"/>
    <w:rsid w:val="00531539"/>
    <w:rsid w:val="00531BE4"/>
    <w:rsid w:val="00532004"/>
    <w:rsid w:val="00532364"/>
    <w:rsid w:val="005327B9"/>
    <w:rsid w:val="00532B6D"/>
    <w:rsid w:val="00532D87"/>
    <w:rsid w:val="00533113"/>
    <w:rsid w:val="00533C69"/>
    <w:rsid w:val="00533E61"/>
    <w:rsid w:val="00534233"/>
    <w:rsid w:val="0053440D"/>
    <w:rsid w:val="00534453"/>
    <w:rsid w:val="00535224"/>
    <w:rsid w:val="005353F0"/>
    <w:rsid w:val="005355D2"/>
    <w:rsid w:val="00535A55"/>
    <w:rsid w:val="00535B40"/>
    <w:rsid w:val="0053671B"/>
    <w:rsid w:val="00536878"/>
    <w:rsid w:val="00536AD2"/>
    <w:rsid w:val="00536AF7"/>
    <w:rsid w:val="00536B92"/>
    <w:rsid w:val="00536D6E"/>
    <w:rsid w:val="0053703D"/>
    <w:rsid w:val="005371E5"/>
    <w:rsid w:val="0053773E"/>
    <w:rsid w:val="00537910"/>
    <w:rsid w:val="005401D7"/>
    <w:rsid w:val="00540929"/>
    <w:rsid w:val="00540A8B"/>
    <w:rsid w:val="00540F28"/>
    <w:rsid w:val="005412AC"/>
    <w:rsid w:val="00541385"/>
    <w:rsid w:val="005416D0"/>
    <w:rsid w:val="00541973"/>
    <w:rsid w:val="00542301"/>
    <w:rsid w:val="005423F5"/>
    <w:rsid w:val="0054259E"/>
    <w:rsid w:val="005427DF"/>
    <w:rsid w:val="00542A09"/>
    <w:rsid w:val="00542D07"/>
    <w:rsid w:val="005439D6"/>
    <w:rsid w:val="00543A56"/>
    <w:rsid w:val="00544143"/>
    <w:rsid w:val="00544662"/>
    <w:rsid w:val="00544D97"/>
    <w:rsid w:val="00544E62"/>
    <w:rsid w:val="00545012"/>
    <w:rsid w:val="00545A90"/>
    <w:rsid w:val="00545B4E"/>
    <w:rsid w:val="005465C0"/>
    <w:rsid w:val="00546933"/>
    <w:rsid w:val="00546986"/>
    <w:rsid w:val="00547433"/>
    <w:rsid w:val="005476BD"/>
    <w:rsid w:val="005477B5"/>
    <w:rsid w:val="005478DC"/>
    <w:rsid w:val="00547998"/>
    <w:rsid w:val="00547AC2"/>
    <w:rsid w:val="00547BB6"/>
    <w:rsid w:val="00547C61"/>
    <w:rsid w:val="00550005"/>
    <w:rsid w:val="00550076"/>
    <w:rsid w:val="00550080"/>
    <w:rsid w:val="0055012B"/>
    <w:rsid w:val="00550196"/>
    <w:rsid w:val="00550220"/>
    <w:rsid w:val="0055034B"/>
    <w:rsid w:val="005505AF"/>
    <w:rsid w:val="00550705"/>
    <w:rsid w:val="00550FE9"/>
    <w:rsid w:val="00551203"/>
    <w:rsid w:val="0055144A"/>
    <w:rsid w:val="005515AC"/>
    <w:rsid w:val="00551629"/>
    <w:rsid w:val="005516A4"/>
    <w:rsid w:val="00551761"/>
    <w:rsid w:val="00552636"/>
    <w:rsid w:val="00552F3A"/>
    <w:rsid w:val="005535AA"/>
    <w:rsid w:val="005535CA"/>
    <w:rsid w:val="00553A48"/>
    <w:rsid w:val="00553CC2"/>
    <w:rsid w:val="00553E52"/>
    <w:rsid w:val="00553F2B"/>
    <w:rsid w:val="005542F9"/>
    <w:rsid w:val="00554A12"/>
    <w:rsid w:val="00554D69"/>
    <w:rsid w:val="00555569"/>
    <w:rsid w:val="00555669"/>
    <w:rsid w:val="00555699"/>
    <w:rsid w:val="0055571A"/>
    <w:rsid w:val="0055584D"/>
    <w:rsid w:val="00555E6A"/>
    <w:rsid w:val="00556573"/>
    <w:rsid w:val="005568FF"/>
    <w:rsid w:val="00556CDC"/>
    <w:rsid w:val="00556D96"/>
    <w:rsid w:val="0055731F"/>
    <w:rsid w:val="00560199"/>
    <w:rsid w:val="00560B95"/>
    <w:rsid w:val="0056126E"/>
    <w:rsid w:val="00561337"/>
    <w:rsid w:val="00561555"/>
    <w:rsid w:val="005615E7"/>
    <w:rsid w:val="00561AF0"/>
    <w:rsid w:val="00561B2B"/>
    <w:rsid w:val="00561C3A"/>
    <w:rsid w:val="00562285"/>
    <w:rsid w:val="00562689"/>
    <w:rsid w:val="0056275C"/>
    <w:rsid w:val="005627D8"/>
    <w:rsid w:val="00562E1C"/>
    <w:rsid w:val="00563040"/>
    <w:rsid w:val="0056310A"/>
    <w:rsid w:val="00563577"/>
    <w:rsid w:val="00563779"/>
    <w:rsid w:val="00563AA1"/>
    <w:rsid w:val="00563C7C"/>
    <w:rsid w:val="005640B7"/>
    <w:rsid w:val="005641FC"/>
    <w:rsid w:val="00564363"/>
    <w:rsid w:val="00564A3A"/>
    <w:rsid w:val="00564AA6"/>
    <w:rsid w:val="00565168"/>
    <w:rsid w:val="005653AD"/>
    <w:rsid w:val="00565462"/>
    <w:rsid w:val="00565AF5"/>
    <w:rsid w:val="00565CA0"/>
    <w:rsid w:val="00565D8F"/>
    <w:rsid w:val="00565DD8"/>
    <w:rsid w:val="00565E9C"/>
    <w:rsid w:val="005663EA"/>
    <w:rsid w:val="005664B7"/>
    <w:rsid w:val="0056671D"/>
    <w:rsid w:val="00566BA3"/>
    <w:rsid w:val="00566C6B"/>
    <w:rsid w:val="00566E04"/>
    <w:rsid w:val="00566E07"/>
    <w:rsid w:val="00566EED"/>
    <w:rsid w:val="00567180"/>
    <w:rsid w:val="005673FE"/>
    <w:rsid w:val="00567453"/>
    <w:rsid w:val="00567529"/>
    <w:rsid w:val="00567BC7"/>
    <w:rsid w:val="00567FA5"/>
    <w:rsid w:val="005701E6"/>
    <w:rsid w:val="0057020B"/>
    <w:rsid w:val="005702C7"/>
    <w:rsid w:val="00570893"/>
    <w:rsid w:val="0057098B"/>
    <w:rsid w:val="00570A9D"/>
    <w:rsid w:val="00570C9A"/>
    <w:rsid w:val="0057113C"/>
    <w:rsid w:val="0057191E"/>
    <w:rsid w:val="0057197F"/>
    <w:rsid w:val="00572016"/>
    <w:rsid w:val="00572133"/>
    <w:rsid w:val="005723DD"/>
    <w:rsid w:val="005724BE"/>
    <w:rsid w:val="00572F4C"/>
    <w:rsid w:val="0057326F"/>
    <w:rsid w:val="0057344D"/>
    <w:rsid w:val="0057353D"/>
    <w:rsid w:val="00573AA7"/>
    <w:rsid w:val="00573BD1"/>
    <w:rsid w:val="00573D03"/>
    <w:rsid w:val="00573E71"/>
    <w:rsid w:val="00573F9B"/>
    <w:rsid w:val="0057458D"/>
    <w:rsid w:val="0057474C"/>
    <w:rsid w:val="0057481F"/>
    <w:rsid w:val="0057498E"/>
    <w:rsid w:val="00574F1B"/>
    <w:rsid w:val="00575020"/>
    <w:rsid w:val="005752C5"/>
    <w:rsid w:val="00575350"/>
    <w:rsid w:val="00575663"/>
    <w:rsid w:val="00575C54"/>
    <w:rsid w:val="00575EEC"/>
    <w:rsid w:val="0057640D"/>
    <w:rsid w:val="00576547"/>
    <w:rsid w:val="00576762"/>
    <w:rsid w:val="0057787B"/>
    <w:rsid w:val="00577A6A"/>
    <w:rsid w:val="005806D3"/>
    <w:rsid w:val="005808C1"/>
    <w:rsid w:val="00580A62"/>
    <w:rsid w:val="00580F4E"/>
    <w:rsid w:val="00580F89"/>
    <w:rsid w:val="00581033"/>
    <w:rsid w:val="00581037"/>
    <w:rsid w:val="005810FF"/>
    <w:rsid w:val="00581557"/>
    <w:rsid w:val="00581807"/>
    <w:rsid w:val="00581901"/>
    <w:rsid w:val="005820AB"/>
    <w:rsid w:val="00582406"/>
    <w:rsid w:val="005828C5"/>
    <w:rsid w:val="00582B69"/>
    <w:rsid w:val="00582EAD"/>
    <w:rsid w:val="0058379D"/>
    <w:rsid w:val="00583B4D"/>
    <w:rsid w:val="00583B4E"/>
    <w:rsid w:val="00583D9B"/>
    <w:rsid w:val="00583F4C"/>
    <w:rsid w:val="00584219"/>
    <w:rsid w:val="005845E6"/>
    <w:rsid w:val="0058460E"/>
    <w:rsid w:val="00584ED3"/>
    <w:rsid w:val="005854E5"/>
    <w:rsid w:val="00585734"/>
    <w:rsid w:val="0058591F"/>
    <w:rsid w:val="00585CFB"/>
    <w:rsid w:val="00585D28"/>
    <w:rsid w:val="00585D6E"/>
    <w:rsid w:val="00585E31"/>
    <w:rsid w:val="00585ED8"/>
    <w:rsid w:val="0058654B"/>
    <w:rsid w:val="00586559"/>
    <w:rsid w:val="0058657E"/>
    <w:rsid w:val="00586EC0"/>
    <w:rsid w:val="0058705F"/>
    <w:rsid w:val="00587167"/>
    <w:rsid w:val="005871CC"/>
    <w:rsid w:val="005872F1"/>
    <w:rsid w:val="0058786F"/>
    <w:rsid w:val="00587DFD"/>
    <w:rsid w:val="00587F14"/>
    <w:rsid w:val="00590193"/>
    <w:rsid w:val="00590A64"/>
    <w:rsid w:val="00590B2E"/>
    <w:rsid w:val="00590CE5"/>
    <w:rsid w:val="00590E44"/>
    <w:rsid w:val="005918EC"/>
    <w:rsid w:val="00591AFC"/>
    <w:rsid w:val="00591D1A"/>
    <w:rsid w:val="00591DF7"/>
    <w:rsid w:val="0059205E"/>
    <w:rsid w:val="00592951"/>
    <w:rsid w:val="005929B3"/>
    <w:rsid w:val="00592CD2"/>
    <w:rsid w:val="00592D23"/>
    <w:rsid w:val="005931D2"/>
    <w:rsid w:val="00593334"/>
    <w:rsid w:val="0059378B"/>
    <w:rsid w:val="00593814"/>
    <w:rsid w:val="00593952"/>
    <w:rsid w:val="00593DC6"/>
    <w:rsid w:val="00593EF8"/>
    <w:rsid w:val="0059404D"/>
    <w:rsid w:val="00594844"/>
    <w:rsid w:val="0059489A"/>
    <w:rsid w:val="00594B25"/>
    <w:rsid w:val="005952D3"/>
    <w:rsid w:val="005958FF"/>
    <w:rsid w:val="00595FFA"/>
    <w:rsid w:val="005962CA"/>
    <w:rsid w:val="0059663C"/>
    <w:rsid w:val="00596F30"/>
    <w:rsid w:val="00596FEE"/>
    <w:rsid w:val="00596FF9"/>
    <w:rsid w:val="00597709"/>
    <w:rsid w:val="005978C0"/>
    <w:rsid w:val="00597BD7"/>
    <w:rsid w:val="00597DE7"/>
    <w:rsid w:val="005A0196"/>
    <w:rsid w:val="005A047A"/>
    <w:rsid w:val="005A09FD"/>
    <w:rsid w:val="005A0A0D"/>
    <w:rsid w:val="005A0F86"/>
    <w:rsid w:val="005A1021"/>
    <w:rsid w:val="005A1C45"/>
    <w:rsid w:val="005A21F4"/>
    <w:rsid w:val="005A2289"/>
    <w:rsid w:val="005A23CD"/>
    <w:rsid w:val="005A2716"/>
    <w:rsid w:val="005A277E"/>
    <w:rsid w:val="005A27CB"/>
    <w:rsid w:val="005A2B15"/>
    <w:rsid w:val="005A2CFF"/>
    <w:rsid w:val="005A3A4E"/>
    <w:rsid w:val="005A3B3E"/>
    <w:rsid w:val="005A3DCB"/>
    <w:rsid w:val="005A43C4"/>
    <w:rsid w:val="005A46E2"/>
    <w:rsid w:val="005A4966"/>
    <w:rsid w:val="005A4FB8"/>
    <w:rsid w:val="005A580B"/>
    <w:rsid w:val="005A58DC"/>
    <w:rsid w:val="005A5964"/>
    <w:rsid w:val="005A603A"/>
    <w:rsid w:val="005A62F9"/>
    <w:rsid w:val="005A63A8"/>
    <w:rsid w:val="005A6AB7"/>
    <w:rsid w:val="005A7231"/>
    <w:rsid w:val="005A74AC"/>
    <w:rsid w:val="005A799E"/>
    <w:rsid w:val="005A7BE7"/>
    <w:rsid w:val="005B040B"/>
    <w:rsid w:val="005B07F8"/>
    <w:rsid w:val="005B09EB"/>
    <w:rsid w:val="005B0E1A"/>
    <w:rsid w:val="005B159F"/>
    <w:rsid w:val="005B1749"/>
    <w:rsid w:val="005B1992"/>
    <w:rsid w:val="005B1D5F"/>
    <w:rsid w:val="005B1E85"/>
    <w:rsid w:val="005B1FB7"/>
    <w:rsid w:val="005B212A"/>
    <w:rsid w:val="005B28FF"/>
    <w:rsid w:val="005B2D40"/>
    <w:rsid w:val="005B364C"/>
    <w:rsid w:val="005B47B1"/>
    <w:rsid w:val="005B538F"/>
    <w:rsid w:val="005B542A"/>
    <w:rsid w:val="005B56A8"/>
    <w:rsid w:val="005B56E9"/>
    <w:rsid w:val="005B57B9"/>
    <w:rsid w:val="005B5B33"/>
    <w:rsid w:val="005B5EA5"/>
    <w:rsid w:val="005B658E"/>
    <w:rsid w:val="005B6854"/>
    <w:rsid w:val="005B6B04"/>
    <w:rsid w:val="005B6B22"/>
    <w:rsid w:val="005B6E4E"/>
    <w:rsid w:val="005B71E3"/>
    <w:rsid w:val="005B7B1A"/>
    <w:rsid w:val="005C0893"/>
    <w:rsid w:val="005C0DAF"/>
    <w:rsid w:val="005C1816"/>
    <w:rsid w:val="005C1E38"/>
    <w:rsid w:val="005C1E85"/>
    <w:rsid w:val="005C26E2"/>
    <w:rsid w:val="005C28E8"/>
    <w:rsid w:val="005C2CD3"/>
    <w:rsid w:val="005C2E04"/>
    <w:rsid w:val="005C2E61"/>
    <w:rsid w:val="005C3386"/>
    <w:rsid w:val="005C3A16"/>
    <w:rsid w:val="005C3B66"/>
    <w:rsid w:val="005C3BB7"/>
    <w:rsid w:val="005C3EF5"/>
    <w:rsid w:val="005C3F9D"/>
    <w:rsid w:val="005C424B"/>
    <w:rsid w:val="005C437A"/>
    <w:rsid w:val="005C43D5"/>
    <w:rsid w:val="005C46A4"/>
    <w:rsid w:val="005C4789"/>
    <w:rsid w:val="005C4988"/>
    <w:rsid w:val="005C49EA"/>
    <w:rsid w:val="005C542F"/>
    <w:rsid w:val="005C56EB"/>
    <w:rsid w:val="005C639B"/>
    <w:rsid w:val="005C63EA"/>
    <w:rsid w:val="005C660B"/>
    <w:rsid w:val="005C66D0"/>
    <w:rsid w:val="005C6CB1"/>
    <w:rsid w:val="005D02DD"/>
    <w:rsid w:val="005D0C2E"/>
    <w:rsid w:val="005D0D40"/>
    <w:rsid w:val="005D1297"/>
    <w:rsid w:val="005D12CC"/>
    <w:rsid w:val="005D140E"/>
    <w:rsid w:val="005D15AB"/>
    <w:rsid w:val="005D1C18"/>
    <w:rsid w:val="005D21B8"/>
    <w:rsid w:val="005D2666"/>
    <w:rsid w:val="005D2700"/>
    <w:rsid w:val="005D2E74"/>
    <w:rsid w:val="005D313B"/>
    <w:rsid w:val="005D3322"/>
    <w:rsid w:val="005D35DA"/>
    <w:rsid w:val="005D3751"/>
    <w:rsid w:val="005D3A27"/>
    <w:rsid w:val="005D3BC1"/>
    <w:rsid w:val="005D3BC3"/>
    <w:rsid w:val="005D3C03"/>
    <w:rsid w:val="005D3C93"/>
    <w:rsid w:val="005D3D8C"/>
    <w:rsid w:val="005D3E04"/>
    <w:rsid w:val="005D44D5"/>
    <w:rsid w:val="005D4AE4"/>
    <w:rsid w:val="005D4B96"/>
    <w:rsid w:val="005D4C02"/>
    <w:rsid w:val="005D52F0"/>
    <w:rsid w:val="005D5588"/>
    <w:rsid w:val="005D59E8"/>
    <w:rsid w:val="005D6218"/>
    <w:rsid w:val="005D6223"/>
    <w:rsid w:val="005D691E"/>
    <w:rsid w:val="005D6AE7"/>
    <w:rsid w:val="005D71A2"/>
    <w:rsid w:val="005D71D0"/>
    <w:rsid w:val="005E08EA"/>
    <w:rsid w:val="005E0A7E"/>
    <w:rsid w:val="005E0CD4"/>
    <w:rsid w:val="005E0FF0"/>
    <w:rsid w:val="005E172E"/>
    <w:rsid w:val="005E188C"/>
    <w:rsid w:val="005E1903"/>
    <w:rsid w:val="005E1A2A"/>
    <w:rsid w:val="005E1CA7"/>
    <w:rsid w:val="005E2173"/>
    <w:rsid w:val="005E2460"/>
    <w:rsid w:val="005E2AA8"/>
    <w:rsid w:val="005E304F"/>
    <w:rsid w:val="005E3188"/>
    <w:rsid w:val="005E3347"/>
    <w:rsid w:val="005E3D4E"/>
    <w:rsid w:val="005E3E2D"/>
    <w:rsid w:val="005E412A"/>
    <w:rsid w:val="005E43CB"/>
    <w:rsid w:val="005E46F8"/>
    <w:rsid w:val="005E48D8"/>
    <w:rsid w:val="005E544F"/>
    <w:rsid w:val="005E58FF"/>
    <w:rsid w:val="005E61F5"/>
    <w:rsid w:val="005E625E"/>
    <w:rsid w:val="005E69D4"/>
    <w:rsid w:val="005E72F4"/>
    <w:rsid w:val="005E77ED"/>
    <w:rsid w:val="005E78A3"/>
    <w:rsid w:val="005E78BF"/>
    <w:rsid w:val="005E7B94"/>
    <w:rsid w:val="005F0030"/>
    <w:rsid w:val="005F04BD"/>
    <w:rsid w:val="005F04E4"/>
    <w:rsid w:val="005F0649"/>
    <w:rsid w:val="005F1263"/>
    <w:rsid w:val="005F1675"/>
    <w:rsid w:val="005F1C89"/>
    <w:rsid w:val="005F242A"/>
    <w:rsid w:val="005F28F9"/>
    <w:rsid w:val="005F2B09"/>
    <w:rsid w:val="005F2FD2"/>
    <w:rsid w:val="005F30C1"/>
    <w:rsid w:val="005F3471"/>
    <w:rsid w:val="005F37EF"/>
    <w:rsid w:val="005F38C8"/>
    <w:rsid w:val="005F3BFD"/>
    <w:rsid w:val="005F4284"/>
    <w:rsid w:val="005F455E"/>
    <w:rsid w:val="005F4660"/>
    <w:rsid w:val="005F4A5C"/>
    <w:rsid w:val="005F4F76"/>
    <w:rsid w:val="005F4FE9"/>
    <w:rsid w:val="005F545F"/>
    <w:rsid w:val="005F5D2E"/>
    <w:rsid w:val="005F5D78"/>
    <w:rsid w:val="005F61C7"/>
    <w:rsid w:val="005F6236"/>
    <w:rsid w:val="005F62F2"/>
    <w:rsid w:val="005F64AA"/>
    <w:rsid w:val="005F672A"/>
    <w:rsid w:val="005F6924"/>
    <w:rsid w:val="005F6BA2"/>
    <w:rsid w:val="005F7365"/>
    <w:rsid w:val="005F73A3"/>
    <w:rsid w:val="005F73D5"/>
    <w:rsid w:val="005F7507"/>
    <w:rsid w:val="005F7634"/>
    <w:rsid w:val="005F7760"/>
    <w:rsid w:val="005F7A9D"/>
    <w:rsid w:val="005F7FBB"/>
    <w:rsid w:val="0060001D"/>
    <w:rsid w:val="0060068E"/>
    <w:rsid w:val="006007EC"/>
    <w:rsid w:val="0060081E"/>
    <w:rsid w:val="006008A5"/>
    <w:rsid w:val="006008BD"/>
    <w:rsid w:val="00600A13"/>
    <w:rsid w:val="00600E41"/>
    <w:rsid w:val="00600F0D"/>
    <w:rsid w:val="00601283"/>
    <w:rsid w:val="0060152F"/>
    <w:rsid w:val="006017F8"/>
    <w:rsid w:val="00601890"/>
    <w:rsid w:val="006019F4"/>
    <w:rsid w:val="00601A3F"/>
    <w:rsid w:val="00601E71"/>
    <w:rsid w:val="006026E0"/>
    <w:rsid w:val="006027C0"/>
    <w:rsid w:val="006034C0"/>
    <w:rsid w:val="006039AA"/>
    <w:rsid w:val="006039BA"/>
    <w:rsid w:val="006039DD"/>
    <w:rsid w:val="00603CE8"/>
    <w:rsid w:val="00603EC6"/>
    <w:rsid w:val="00603F52"/>
    <w:rsid w:val="00603FCE"/>
    <w:rsid w:val="0060450C"/>
    <w:rsid w:val="00604B4C"/>
    <w:rsid w:val="00604D12"/>
    <w:rsid w:val="006051BF"/>
    <w:rsid w:val="00605A86"/>
    <w:rsid w:val="00605ECF"/>
    <w:rsid w:val="0060640A"/>
    <w:rsid w:val="0060670F"/>
    <w:rsid w:val="006067BE"/>
    <w:rsid w:val="00606864"/>
    <w:rsid w:val="006069B4"/>
    <w:rsid w:val="00606C29"/>
    <w:rsid w:val="00606E4C"/>
    <w:rsid w:val="00606F9A"/>
    <w:rsid w:val="00607178"/>
    <w:rsid w:val="006074CE"/>
    <w:rsid w:val="006076F1"/>
    <w:rsid w:val="006077C5"/>
    <w:rsid w:val="00607885"/>
    <w:rsid w:val="0060797D"/>
    <w:rsid w:val="00607B66"/>
    <w:rsid w:val="00607C05"/>
    <w:rsid w:val="00607CF2"/>
    <w:rsid w:val="00607CFE"/>
    <w:rsid w:val="00607DAC"/>
    <w:rsid w:val="00607EBF"/>
    <w:rsid w:val="006104B2"/>
    <w:rsid w:val="006104EC"/>
    <w:rsid w:val="00610636"/>
    <w:rsid w:val="00610646"/>
    <w:rsid w:val="006107F0"/>
    <w:rsid w:val="00610FD3"/>
    <w:rsid w:val="00611193"/>
    <w:rsid w:val="006111E1"/>
    <w:rsid w:val="006114F7"/>
    <w:rsid w:val="00611523"/>
    <w:rsid w:val="00611544"/>
    <w:rsid w:val="0061169F"/>
    <w:rsid w:val="0061177E"/>
    <w:rsid w:val="00611CD7"/>
    <w:rsid w:val="00611D35"/>
    <w:rsid w:val="00611F0C"/>
    <w:rsid w:val="00611FB4"/>
    <w:rsid w:val="00612169"/>
    <w:rsid w:val="00612A16"/>
    <w:rsid w:val="00612A69"/>
    <w:rsid w:val="006130F3"/>
    <w:rsid w:val="0061347C"/>
    <w:rsid w:val="006135E3"/>
    <w:rsid w:val="0061394B"/>
    <w:rsid w:val="00613E2F"/>
    <w:rsid w:val="00613F4D"/>
    <w:rsid w:val="006142DD"/>
    <w:rsid w:val="006155C3"/>
    <w:rsid w:val="00615D11"/>
    <w:rsid w:val="00615D6F"/>
    <w:rsid w:val="00615DA6"/>
    <w:rsid w:val="006163BB"/>
    <w:rsid w:val="00616561"/>
    <w:rsid w:val="00616A70"/>
    <w:rsid w:val="00616B0F"/>
    <w:rsid w:val="00616D97"/>
    <w:rsid w:val="00616E99"/>
    <w:rsid w:val="006177D0"/>
    <w:rsid w:val="00617869"/>
    <w:rsid w:val="006178F2"/>
    <w:rsid w:val="00617A35"/>
    <w:rsid w:val="00617CFB"/>
    <w:rsid w:val="00620000"/>
    <w:rsid w:val="006203F0"/>
    <w:rsid w:val="00620B5C"/>
    <w:rsid w:val="00620E1B"/>
    <w:rsid w:val="00620F20"/>
    <w:rsid w:val="00621870"/>
    <w:rsid w:val="00621D3C"/>
    <w:rsid w:val="00621E6D"/>
    <w:rsid w:val="00622263"/>
    <w:rsid w:val="006222E3"/>
    <w:rsid w:val="0062242C"/>
    <w:rsid w:val="00622747"/>
    <w:rsid w:val="0062295E"/>
    <w:rsid w:val="00622A6A"/>
    <w:rsid w:val="00622C6D"/>
    <w:rsid w:val="00622CE8"/>
    <w:rsid w:val="00622F2A"/>
    <w:rsid w:val="00622F52"/>
    <w:rsid w:val="00622F6F"/>
    <w:rsid w:val="00623492"/>
    <w:rsid w:val="006239C1"/>
    <w:rsid w:val="00623A50"/>
    <w:rsid w:val="00623B58"/>
    <w:rsid w:val="00623BA8"/>
    <w:rsid w:val="00624217"/>
    <w:rsid w:val="00624774"/>
    <w:rsid w:val="0062569B"/>
    <w:rsid w:val="006258D4"/>
    <w:rsid w:val="00625F5E"/>
    <w:rsid w:val="00626681"/>
    <w:rsid w:val="0062674A"/>
    <w:rsid w:val="00626A54"/>
    <w:rsid w:val="00626FFB"/>
    <w:rsid w:val="00627729"/>
    <w:rsid w:val="0062782A"/>
    <w:rsid w:val="006278B7"/>
    <w:rsid w:val="00630287"/>
    <w:rsid w:val="00630554"/>
    <w:rsid w:val="00630A96"/>
    <w:rsid w:val="00630F52"/>
    <w:rsid w:val="0063145A"/>
    <w:rsid w:val="006318FD"/>
    <w:rsid w:val="00631CE7"/>
    <w:rsid w:val="00631DAD"/>
    <w:rsid w:val="006320C1"/>
    <w:rsid w:val="00632211"/>
    <w:rsid w:val="00632257"/>
    <w:rsid w:val="006324DB"/>
    <w:rsid w:val="00632F20"/>
    <w:rsid w:val="00632F36"/>
    <w:rsid w:val="006334D3"/>
    <w:rsid w:val="006336BF"/>
    <w:rsid w:val="0063371A"/>
    <w:rsid w:val="00633828"/>
    <w:rsid w:val="00633B02"/>
    <w:rsid w:val="00633B7A"/>
    <w:rsid w:val="0063441A"/>
    <w:rsid w:val="00634483"/>
    <w:rsid w:val="006344FA"/>
    <w:rsid w:val="00634609"/>
    <w:rsid w:val="00634886"/>
    <w:rsid w:val="00634C8C"/>
    <w:rsid w:val="00635272"/>
    <w:rsid w:val="006356DF"/>
    <w:rsid w:val="006356E3"/>
    <w:rsid w:val="00635742"/>
    <w:rsid w:val="006357C9"/>
    <w:rsid w:val="00635A49"/>
    <w:rsid w:val="00635B95"/>
    <w:rsid w:val="00635EA5"/>
    <w:rsid w:val="00636043"/>
    <w:rsid w:val="006364F7"/>
    <w:rsid w:val="006369E9"/>
    <w:rsid w:val="00636AC6"/>
    <w:rsid w:val="00636BED"/>
    <w:rsid w:val="00636F11"/>
    <w:rsid w:val="00637609"/>
    <w:rsid w:val="0063763F"/>
    <w:rsid w:val="00637BBF"/>
    <w:rsid w:val="00637DB2"/>
    <w:rsid w:val="00637E93"/>
    <w:rsid w:val="006400F7"/>
    <w:rsid w:val="00640D22"/>
    <w:rsid w:val="0064109B"/>
    <w:rsid w:val="00641114"/>
    <w:rsid w:val="00641511"/>
    <w:rsid w:val="00641748"/>
    <w:rsid w:val="00641751"/>
    <w:rsid w:val="0064191E"/>
    <w:rsid w:val="006419C0"/>
    <w:rsid w:val="00641C88"/>
    <w:rsid w:val="00641CB0"/>
    <w:rsid w:val="00641D52"/>
    <w:rsid w:val="00641DFE"/>
    <w:rsid w:val="00641ED0"/>
    <w:rsid w:val="00642421"/>
    <w:rsid w:val="00642811"/>
    <w:rsid w:val="00642C23"/>
    <w:rsid w:val="00642E8E"/>
    <w:rsid w:val="00643282"/>
    <w:rsid w:val="006432F9"/>
    <w:rsid w:val="0064375C"/>
    <w:rsid w:val="00643935"/>
    <w:rsid w:val="00643B8D"/>
    <w:rsid w:val="006443E1"/>
    <w:rsid w:val="006445AD"/>
    <w:rsid w:val="006448F4"/>
    <w:rsid w:val="0064507E"/>
    <w:rsid w:val="006451D0"/>
    <w:rsid w:val="00646061"/>
    <w:rsid w:val="006463C3"/>
    <w:rsid w:val="00646736"/>
    <w:rsid w:val="00646B60"/>
    <w:rsid w:val="00646F2E"/>
    <w:rsid w:val="00647410"/>
    <w:rsid w:val="0064766D"/>
    <w:rsid w:val="00650308"/>
    <w:rsid w:val="006505A6"/>
    <w:rsid w:val="006506B9"/>
    <w:rsid w:val="006509CD"/>
    <w:rsid w:val="00650C5A"/>
    <w:rsid w:val="00650CDB"/>
    <w:rsid w:val="00650F8A"/>
    <w:rsid w:val="00651009"/>
    <w:rsid w:val="00651239"/>
    <w:rsid w:val="006512D9"/>
    <w:rsid w:val="0065151A"/>
    <w:rsid w:val="006518C5"/>
    <w:rsid w:val="00651999"/>
    <w:rsid w:val="00651AFD"/>
    <w:rsid w:val="00651D5F"/>
    <w:rsid w:val="00651FE4"/>
    <w:rsid w:val="00652F67"/>
    <w:rsid w:val="006531AA"/>
    <w:rsid w:val="006534A8"/>
    <w:rsid w:val="00653B1B"/>
    <w:rsid w:val="00653B99"/>
    <w:rsid w:val="006542F6"/>
    <w:rsid w:val="00654620"/>
    <w:rsid w:val="00654913"/>
    <w:rsid w:val="0065529C"/>
    <w:rsid w:val="00655504"/>
    <w:rsid w:val="00655DF1"/>
    <w:rsid w:val="00655E96"/>
    <w:rsid w:val="00656089"/>
    <w:rsid w:val="00656477"/>
    <w:rsid w:val="006566F5"/>
    <w:rsid w:val="006568DC"/>
    <w:rsid w:val="006575A7"/>
    <w:rsid w:val="0065765E"/>
    <w:rsid w:val="00657E03"/>
    <w:rsid w:val="00657E9B"/>
    <w:rsid w:val="00657F69"/>
    <w:rsid w:val="0066034F"/>
    <w:rsid w:val="00660650"/>
    <w:rsid w:val="0066072A"/>
    <w:rsid w:val="006608BC"/>
    <w:rsid w:val="00660A56"/>
    <w:rsid w:val="00660F61"/>
    <w:rsid w:val="006610EF"/>
    <w:rsid w:val="00661269"/>
    <w:rsid w:val="006615FB"/>
    <w:rsid w:val="0066174B"/>
    <w:rsid w:val="0066194A"/>
    <w:rsid w:val="00661B19"/>
    <w:rsid w:val="006620F9"/>
    <w:rsid w:val="00662232"/>
    <w:rsid w:val="0066236C"/>
    <w:rsid w:val="00662B04"/>
    <w:rsid w:val="00662B32"/>
    <w:rsid w:val="00662CF9"/>
    <w:rsid w:val="0066320B"/>
    <w:rsid w:val="00663AF1"/>
    <w:rsid w:val="00663B20"/>
    <w:rsid w:val="00663D4E"/>
    <w:rsid w:val="00664075"/>
    <w:rsid w:val="00664FA9"/>
    <w:rsid w:val="0066570D"/>
    <w:rsid w:val="006657CA"/>
    <w:rsid w:val="006658F8"/>
    <w:rsid w:val="00665B44"/>
    <w:rsid w:val="00665B70"/>
    <w:rsid w:val="00665C8E"/>
    <w:rsid w:val="00665D37"/>
    <w:rsid w:val="00665DE2"/>
    <w:rsid w:val="00665EFC"/>
    <w:rsid w:val="00666162"/>
    <w:rsid w:val="00666167"/>
    <w:rsid w:val="006662CC"/>
    <w:rsid w:val="006664E8"/>
    <w:rsid w:val="00666B52"/>
    <w:rsid w:val="00667016"/>
    <w:rsid w:val="00667343"/>
    <w:rsid w:val="00667458"/>
    <w:rsid w:val="00667654"/>
    <w:rsid w:val="006676B1"/>
    <w:rsid w:val="00667E68"/>
    <w:rsid w:val="00670115"/>
    <w:rsid w:val="006702E4"/>
    <w:rsid w:val="00670420"/>
    <w:rsid w:val="00670D17"/>
    <w:rsid w:val="00670EBB"/>
    <w:rsid w:val="00671154"/>
    <w:rsid w:val="0067129B"/>
    <w:rsid w:val="00671371"/>
    <w:rsid w:val="006720CC"/>
    <w:rsid w:val="006720D8"/>
    <w:rsid w:val="006720EA"/>
    <w:rsid w:val="00672945"/>
    <w:rsid w:val="00672CEF"/>
    <w:rsid w:val="00672F1B"/>
    <w:rsid w:val="006730D3"/>
    <w:rsid w:val="00673285"/>
    <w:rsid w:val="006736FE"/>
    <w:rsid w:val="006738E0"/>
    <w:rsid w:val="00673A65"/>
    <w:rsid w:val="00673C98"/>
    <w:rsid w:val="00673F58"/>
    <w:rsid w:val="006740CC"/>
    <w:rsid w:val="00674572"/>
    <w:rsid w:val="00674584"/>
    <w:rsid w:val="0067467B"/>
    <w:rsid w:val="0067469B"/>
    <w:rsid w:val="0067478C"/>
    <w:rsid w:val="00674898"/>
    <w:rsid w:val="00674921"/>
    <w:rsid w:val="006749B7"/>
    <w:rsid w:val="00674B94"/>
    <w:rsid w:val="00674C00"/>
    <w:rsid w:val="00674E07"/>
    <w:rsid w:val="00674F2D"/>
    <w:rsid w:val="006757AD"/>
    <w:rsid w:val="00675968"/>
    <w:rsid w:val="00675EC2"/>
    <w:rsid w:val="00675F7A"/>
    <w:rsid w:val="006763CF"/>
    <w:rsid w:val="006768B6"/>
    <w:rsid w:val="00676D5D"/>
    <w:rsid w:val="00677476"/>
    <w:rsid w:val="0067785A"/>
    <w:rsid w:val="00677AAE"/>
    <w:rsid w:val="00677CF9"/>
    <w:rsid w:val="006803BB"/>
    <w:rsid w:val="00680DF3"/>
    <w:rsid w:val="00680E60"/>
    <w:rsid w:val="00680F3D"/>
    <w:rsid w:val="00680F4D"/>
    <w:rsid w:val="006813DB"/>
    <w:rsid w:val="006817F4"/>
    <w:rsid w:val="006819FF"/>
    <w:rsid w:val="00681C8D"/>
    <w:rsid w:val="00681EC1"/>
    <w:rsid w:val="00681F26"/>
    <w:rsid w:val="00682AF3"/>
    <w:rsid w:val="00682CDC"/>
    <w:rsid w:val="00682DED"/>
    <w:rsid w:val="006838F2"/>
    <w:rsid w:val="00684344"/>
    <w:rsid w:val="00684640"/>
    <w:rsid w:val="00684AB8"/>
    <w:rsid w:val="00684B88"/>
    <w:rsid w:val="00685376"/>
    <w:rsid w:val="006854A5"/>
    <w:rsid w:val="00685797"/>
    <w:rsid w:val="00685855"/>
    <w:rsid w:val="00685CEE"/>
    <w:rsid w:val="00686058"/>
    <w:rsid w:val="0068612D"/>
    <w:rsid w:val="006861CF"/>
    <w:rsid w:val="00686324"/>
    <w:rsid w:val="00686476"/>
    <w:rsid w:val="0068693A"/>
    <w:rsid w:val="00686A0D"/>
    <w:rsid w:val="00686BD6"/>
    <w:rsid w:val="00686CD1"/>
    <w:rsid w:val="0068770A"/>
    <w:rsid w:val="006878B5"/>
    <w:rsid w:val="00687B5E"/>
    <w:rsid w:val="0069039B"/>
    <w:rsid w:val="00690683"/>
    <w:rsid w:val="00690990"/>
    <w:rsid w:val="00690A58"/>
    <w:rsid w:val="00690A83"/>
    <w:rsid w:val="00690F74"/>
    <w:rsid w:val="0069115D"/>
    <w:rsid w:val="00691348"/>
    <w:rsid w:val="00691F19"/>
    <w:rsid w:val="00691FAF"/>
    <w:rsid w:val="00692141"/>
    <w:rsid w:val="006922FA"/>
    <w:rsid w:val="00692433"/>
    <w:rsid w:val="00692A2E"/>
    <w:rsid w:val="00692AB2"/>
    <w:rsid w:val="00693D35"/>
    <w:rsid w:val="00693F5A"/>
    <w:rsid w:val="00693FAD"/>
    <w:rsid w:val="00694073"/>
    <w:rsid w:val="0069409B"/>
    <w:rsid w:val="006944CE"/>
    <w:rsid w:val="0069452D"/>
    <w:rsid w:val="00694680"/>
    <w:rsid w:val="006947A8"/>
    <w:rsid w:val="006947E6"/>
    <w:rsid w:val="006948F7"/>
    <w:rsid w:val="00694A70"/>
    <w:rsid w:val="00694B6F"/>
    <w:rsid w:val="00694BB5"/>
    <w:rsid w:val="00694DD3"/>
    <w:rsid w:val="00695629"/>
    <w:rsid w:val="0069567B"/>
    <w:rsid w:val="006957DC"/>
    <w:rsid w:val="00695B88"/>
    <w:rsid w:val="00695E47"/>
    <w:rsid w:val="006962C8"/>
    <w:rsid w:val="006966AF"/>
    <w:rsid w:val="00696951"/>
    <w:rsid w:val="00696FA5"/>
    <w:rsid w:val="00697042"/>
    <w:rsid w:val="006973ED"/>
    <w:rsid w:val="0069763A"/>
    <w:rsid w:val="00697923"/>
    <w:rsid w:val="00697ADE"/>
    <w:rsid w:val="006A01E3"/>
    <w:rsid w:val="006A051E"/>
    <w:rsid w:val="006A0A53"/>
    <w:rsid w:val="006A0A8A"/>
    <w:rsid w:val="006A0EE1"/>
    <w:rsid w:val="006A1208"/>
    <w:rsid w:val="006A14B0"/>
    <w:rsid w:val="006A1504"/>
    <w:rsid w:val="006A19A1"/>
    <w:rsid w:val="006A1B96"/>
    <w:rsid w:val="006A1BCD"/>
    <w:rsid w:val="006A1F2D"/>
    <w:rsid w:val="006A2592"/>
    <w:rsid w:val="006A2907"/>
    <w:rsid w:val="006A2F9F"/>
    <w:rsid w:val="006A30E7"/>
    <w:rsid w:val="006A3212"/>
    <w:rsid w:val="006A3781"/>
    <w:rsid w:val="006A382D"/>
    <w:rsid w:val="006A384C"/>
    <w:rsid w:val="006A3CD2"/>
    <w:rsid w:val="006A4526"/>
    <w:rsid w:val="006A457C"/>
    <w:rsid w:val="006A48D7"/>
    <w:rsid w:val="006A5094"/>
    <w:rsid w:val="006A5095"/>
    <w:rsid w:val="006A516A"/>
    <w:rsid w:val="006A51BD"/>
    <w:rsid w:val="006A5405"/>
    <w:rsid w:val="006A5769"/>
    <w:rsid w:val="006A5CCD"/>
    <w:rsid w:val="006A5FBF"/>
    <w:rsid w:val="006A608A"/>
    <w:rsid w:val="006A65BF"/>
    <w:rsid w:val="006A68F8"/>
    <w:rsid w:val="006A6D18"/>
    <w:rsid w:val="006A70C2"/>
    <w:rsid w:val="006A7251"/>
    <w:rsid w:val="006A7CAE"/>
    <w:rsid w:val="006A7E0C"/>
    <w:rsid w:val="006B037A"/>
    <w:rsid w:val="006B0408"/>
    <w:rsid w:val="006B0712"/>
    <w:rsid w:val="006B0AFA"/>
    <w:rsid w:val="006B0CFE"/>
    <w:rsid w:val="006B0DE2"/>
    <w:rsid w:val="006B1537"/>
    <w:rsid w:val="006B1A89"/>
    <w:rsid w:val="006B1D5E"/>
    <w:rsid w:val="006B2440"/>
    <w:rsid w:val="006B286A"/>
    <w:rsid w:val="006B3437"/>
    <w:rsid w:val="006B3497"/>
    <w:rsid w:val="006B3513"/>
    <w:rsid w:val="006B3656"/>
    <w:rsid w:val="006B36B1"/>
    <w:rsid w:val="006B36BE"/>
    <w:rsid w:val="006B37D9"/>
    <w:rsid w:val="006B38E0"/>
    <w:rsid w:val="006B3A87"/>
    <w:rsid w:val="006B3BF1"/>
    <w:rsid w:val="006B3C51"/>
    <w:rsid w:val="006B4337"/>
    <w:rsid w:val="006B443C"/>
    <w:rsid w:val="006B44C2"/>
    <w:rsid w:val="006B45FE"/>
    <w:rsid w:val="006B46E3"/>
    <w:rsid w:val="006B488E"/>
    <w:rsid w:val="006B4CED"/>
    <w:rsid w:val="006B5022"/>
    <w:rsid w:val="006B50A1"/>
    <w:rsid w:val="006B511E"/>
    <w:rsid w:val="006B5193"/>
    <w:rsid w:val="006B56B7"/>
    <w:rsid w:val="006B57A7"/>
    <w:rsid w:val="006B5A9D"/>
    <w:rsid w:val="006B5F5F"/>
    <w:rsid w:val="006B60A3"/>
    <w:rsid w:val="006B6285"/>
    <w:rsid w:val="006B6859"/>
    <w:rsid w:val="006B691F"/>
    <w:rsid w:val="006B6A6F"/>
    <w:rsid w:val="006B6CBE"/>
    <w:rsid w:val="006B6DD5"/>
    <w:rsid w:val="006B70E7"/>
    <w:rsid w:val="006B7380"/>
    <w:rsid w:val="006B75DC"/>
    <w:rsid w:val="006B772C"/>
    <w:rsid w:val="006B7AC6"/>
    <w:rsid w:val="006B7FB7"/>
    <w:rsid w:val="006B7FE3"/>
    <w:rsid w:val="006C0989"/>
    <w:rsid w:val="006C09D6"/>
    <w:rsid w:val="006C0B33"/>
    <w:rsid w:val="006C0D58"/>
    <w:rsid w:val="006C0DCB"/>
    <w:rsid w:val="006C13EC"/>
    <w:rsid w:val="006C155B"/>
    <w:rsid w:val="006C1650"/>
    <w:rsid w:val="006C18FF"/>
    <w:rsid w:val="006C197E"/>
    <w:rsid w:val="006C20B6"/>
    <w:rsid w:val="006C245E"/>
    <w:rsid w:val="006C287F"/>
    <w:rsid w:val="006C3467"/>
    <w:rsid w:val="006C3638"/>
    <w:rsid w:val="006C38A8"/>
    <w:rsid w:val="006C3D68"/>
    <w:rsid w:val="006C3F38"/>
    <w:rsid w:val="006C3F39"/>
    <w:rsid w:val="006C415F"/>
    <w:rsid w:val="006C44B3"/>
    <w:rsid w:val="006C4547"/>
    <w:rsid w:val="006C47AB"/>
    <w:rsid w:val="006C49D7"/>
    <w:rsid w:val="006C5030"/>
    <w:rsid w:val="006C5214"/>
    <w:rsid w:val="006C55BE"/>
    <w:rsid w:val="006C56E6"/>
    <w:rsid w:val="006C5874"/>
    <w:rsid w:val="006C5DD2"/>
    <w:rsid w:val="006C5FC0"/>
    <w:rsid w:val="006C6243"/>
    <w:rsid w:val="006C6250"/>
    <w:rsid w:val="006C63B6"/>
    <w:rsid w:val="006C651F"/>
    <w:rsid w:val="006C656B"/>
    <w:rsid w:val="006C671A"/>
    <w:rsid w:val="006C6F24"/>
    <w:rsid w:val="006C7061"/>
    <w:rsid w:val="006C711C"/>
    <w:rsid w:val="006D0193"/>
    <w:rsid w:val="006D01F5"/>
    <w:rsid w:val="006D03E1"/>
    <w:rsid w:val="006D0618"/>
    <w:rsid w:val="006D0973"/>
    <w:rsid w:val="006D0F04"/>
    <w:rsid w:val="006D0FDD"/>
    <w:rsid w:val="006D1319"/>
    <w:rsid w:val="006D147C"/>
    <w:rsid w:val="006D170D"/>
    <w:rsid w:val="006D1926"/>
    <w:rsid w:val="006D1AE2"/>
    <w:rsid w:val="006D1B63"/>
    <w:rsid w:val="006D1BCB"/>
    <w:rsid w:val="006D1C77"/>
    <w:rsid w:val="006D1E34"/>
    <w:rsid w:val="006D252E"/>
    <w:rsid w:val="006D25A3"/>
    <w:rsid w:val="006D2896"/>
    <w:rsid w:val="006D28B1"/>
    <w:rsid w:val="006D2FCD"/>
    <w:rsid w:val="006D306C"/>
    <w:rsid w:val="006D35BD"/>
    <w:rsid w:val="006D35DB"/>
    <w:rsid w:val="006D372D"/>
    <w:rsid w:val="006D37D2"/>
    <w:rsid w:val="006D3C31"/>
    <w:rsid w:val="006D3E0F"/>
    <w:rsid w:val="006D3E91"/>
    <w:rsid w:val="006D41D6"/>
    <w:rsid w:val="006D44AB"/>
    <w:rsid w:val="006D467A"/>
    <w:rsid w:val="006D48B9"/>
    <w:rsid w:val="006D49CD"/>
    <w:rsid w:val="006D4A88"/>
    <w:rsid w:val="006D4AA2"/>
    <w:rsid w:val="006D4CFD"/>
    <w:rsid w:val="006D4E59"/>
    <w:rsid w:val="006D4ED8"/>
    <w:rsid w:val="006D4F8F"/>
    <w:rsid w:val="006D51BE"/>
    <w:rsid w:val="006D52EA"/>
    <w:rsid w:val="006D54DB"/>
    <w:rsid w:val="006D56CD"/>
    <w:rsid w:val="006D5DAD"/>
    <w:rsid w:val="006D6380"/>
    <w:rsid w:val="006D6BF1"/>
    <w:rsid w:val="006D73DB"/>
    <w:rsid w:val="006E02E3"/>
    <w:rsid w:val="006E0CF3"/>
    <w:rsid w:val="006E0FAB"/>
    <w:rsid w:val="006E11DF"/>
    <w:rsid w:val="006E11E8"/>
    <w:rsid w:val="006E1708"/>
    <w:rsid w:val="006E1972"/>
    <w:rsid w:val="006E1B78"/>
    <w:rsid w:val="006E1CCE"/>
    <w:rsid w:val="006E1EA3"/>
    <w:rsid w:val="006E1F6B"/>
    <w:rsid w:val="006E1F89"/>
    <w:rsid w:val="006E2604"/>
    <w:rsid w:val="006E2988"/>
    <w:rsid w:val="006E2A68"/>
    <w:rsid w:val="006E2B0D"/>
    <w:rsid w:val="006E2ED6"/>
    <w:rsid w:val="006E2F4F"/>
    <w:rsid w:val="006E3598"/>
    <w:rsid w:val="006E363A"/>
    <w:rsid w:val="006E37AA"/>
    <w:rsid w:val="006E38E2"/>
    <w:rsid w:val="006E3BB1"/>
    <w:rsid w:val="006E3CBE"/>
    <w:rsid w:val="006E4115"/>
    <w:rsid w:val="006E416B"/>
    <w:rsid w:val="006E43BB"/>
    <w:rsid w:val="006E4AD4"/>
    <w:rsid w:val="006E4D04"/>
    <w:rsid w:val="006E53AF"/>
    <w:rsid w:val="006E5608"/>
    <w:rsid w:val="006E584A"/>
    <w:rsid w:val="006E5BD3"/>
    <w:rsid w:val="006E6002"/>
    <w:rsid w:val="006E619F"/>
    <w:rsid w:val="006E624D"/>
    <w:rsid w:val="006E6765"/>
    <w:rsid w:val="006E691A"/>
    <w:rsid w:val="006E6A0C"/>
    <w:rsid w:val="006E6A33"/>
    <w:rsid w:val="006E6B48"/>
    <w:rsid w:val="006E6C03"/>
    <w:rsid w:val="006E6D63"/>
    <w:rsid w:val="006E6F2C"/>
    <w:rsid w:val="006E6FF1"/>
    <w:rsid w:val="006E7180"/>
    <w:rsid w:val="006E721F"/>
    <w:rsid w:val="006E72AB"/>
    <w:rsid w:val="006E75F9"/>
    <w:rsid w:val="006E774A"/>
    <w:rsid w:val="006E7B58"/>
    <w:rsid w:val="006E7C93"/>
    <w:rsid w:val="006E7C95"/>
    <w:rsid w:val="006F02FC"/>
    <w:rsid w:val="006F04BD"/>
    <w:rsid w:val="006F1656"/>
    <w:rsid w:val="006F18B4"/>
    <w:rsid w:val="006F1DED"/>
    <w:rsid w:val="006F21A5"/>
    <w:rsid w:val="006F250E"/>
    <w:rsid w:val="006F27D9"/>
    <w:rsid w:val="006F27DA"/>
    <w:rsid w:val="006F2A01"/>
    <w:rsid w:val="006F2B3C"/>
    <w:rsid w:val="006F2B50"/>
    <w:rsid w:val="006F2D87"/>
    <w:rsid w:val="006F2ECF"/>
    <w:rsid w:val="006F3444"/>
    <w:rsid w:val="006F351E"/>
    <w:rsid w:val="006F354E"/>
    <w:rsid w:val="006F3779"/>
    <w:rsid w:val="006F3E5A"/>
    <w:rsid w:val="006F4220"/>
    <w:rsid w:val="006F433B"/>
    <w:rsid w:val="006F46E0"/>
    <w:rsid w:val="006F5054"/>
    <w:rsid w:val="006F5194"/>
    <w:rsid w:val="006F5319"/>
    <w:rsid w:val="006F556F"/>
    <w:rsid w:val="006F55F6"/>
    <w:rsid w:val="006F5B92"/>
    <w:rsid w:val="006F65AD"/>
    <w:rsid w:val="006F66D8"/>
    <w:rsid w:val="006F6BD5"/>
    <w:rsid w:val="006F6D37"/>
    <w:rsid w:val="006F7012"/>
    <w:rsid w:val="006F7104"/>
    <w:rsid w:val="006F727F"/>
    <w:rsid w:val="006F74E5"/>
    <w:rsid w:val="006F7A5B"/>
    <w:rsid w:val="006F7B71"/>
    <w:rsid w:val="00700020"/>
    <w:rsid w:val="00700040"/>
    <w:rsid w:val="00700283"/>
    <w:rsid w:val="007005ED"/>
    <w:rsid w:val="0070090A"/>
    <w:rsid w:val="00700F09"/>
    <w:rsid w:val="00701020"/>
    <w:rsid w:val="00701159"/>
    <w:rsid w:val="007011BA"/>
    <w:rsid w:val="007011CA"/>
    <w:rsid w:val="00701467"/>
    <w:rsid w:val="007019EA"/>
    <w:rsid w:val="00701F3E"/>
    <w:rsid w:val="007027D3"/>
    <w:rsid w:val="00702F99"/>
    <w:rsid w:val="00702FDF"/>
    <w:rsid w:val="00703455"/>
    <w:rsid w:val="007039FB"/>
    <w:rsid w:val="00703CB5"/>
    <w:rsid w:val="00704174"/>
    <w:rsid w:val="007045F2"/>
    <w:rsid w:val="00704766"/>
    <w:rsid w:val="00704849"/>
    <w:rsid w:val="00704A07"/>
    <w:rsid w:val="00704BD1"/>
    <w:rsid w:val="00704C1B"/>
    <w:rsid w:val="00704F7F"/>
    <w:rsid w:val="00704F98"/>
    <w:rsid w:val="00704FD2"/>
    <w:rsid w:val="0070517F"/>
    <w:rsid w:val="00705190"/>
    <w:rsid w:val="007052AE"/>
    <w:rsid w:val="007052FB"/>
    <w:rsid w:val="007058A5"/>
    <w:rsid w:val="00705B0A"/>
    <w:rsid w:val="00706286"/>
    <w:rsid w:val="00706656"/>
    <w:rsid w:val="00706CDC"/>
    <w:rsid w:val="00706D14"/>
    <w:rsid w:val="00706D16"/>
    <w:rsid w:val="00706DFF"/>
    <w:rsid w:val="00706FDA"/>
    <w:rsid w:val="00707575"/>
    <w:rsid w:val="00707868"/>
    <w:rsid w:val="007079B9"/>
    <w:rsid w:val="00707AAB"/>
    <w:rsid w:val="00707D68"/>
    <w:rsid w:val="007103D3"/>
    <w:rsid w:val="00710719"/>
    <w:rsid w:val="00710CCA"/>
    <w:rsid w:val="0071114F"/>
    <w:rsid w:val="007113CC"/>
    <w:rsid w:val="007113ED"/>
    <w:rsid w:val="007118C6"/>
    <w:rsid w:val="00711A4A"/>
    <w:rsid w:val="00711CA7"/>
    <w:rsid w:val="00711DA3"/>
    <w:rsid w:val="00712060"/>
    <w:rsid w:val="00712277"/>
    <w:rsid w:val="0071228A"/>
    <w:rsid w:val="00712433"/>
    <w:rsid w:val="00712852"/>
    <w:rsid w:val="007128BF"/>
    <w:rsid w:val="00712FEC"/>
    <w:rsid w:val="007133FD"/>
    <w:rsid w:val="007136C3"/>
    <w:rsid w:val="00714368"/>
    <w:rsid w:val="00714372"/>
    <w:rsid w:val="007145C1"/>
    <w:rsid w:val="00714635"/>
    <w:rsid w:val="00714715"/>
    <w:rsid w:val="007151AE"/>
    <w:rsid w:val="00715639"/>
    <w:rsid w:val="00715713"/>
    <w:rsid w:val="0071579D"/>
    <w:rsid w:val="00715904"/>
    <w:rsid w:val="00715D21"/>
    <w:rsid w:val="00715DF2"/>
    <w:rsid w:val="00715F46"/>
    <w:rsid w:val="007164A3"/>
    <w:rsid w:val="007168D3"/>
    <w:rsid w:val="00716B9E"/>
    <w:rsid w:val="007170FF"/>
    <w:rsid w:val="0071713A"/>
    <w:rsid w:val="007173B3"/>
    <w:rsid w:val="00717478"/>
    <w:rsid w:val="007174BC"/>
    <w:rsid w:val="0071751B"/>
    <w:rsid w:val="007177BF"/>
    <w:rsid w:val="00717A36"/>
    <w:rsid w:val="00717A64"/>
    <w:rsid w:val="00717AA7"/>
    <w:rsid w:val="00720E9A"/>
    <w:rsid w:val="00720F52"/>
    <w:rsid w:val="007213D0"/>
    <w:rsid w:val="0072159F"/>
    <w:rsid w:val="007215B5"/>
    <w:rsid w:val="00721A02"/>
    <w:rsid w:val="00721A64"/>
    <w:rsid w:val="00721BF0"/>
    <w:rsid w:val="00721CA1"/>
    <w:rsid w:val="00722010"/>
    <w:rsid w:val="007220F7"/>
    <w:rsid w:val="0072228E"/>
    <w:rsid w:val="00722328"/>
    <w:rsid w:val="007226E6"/>
    <w:rsid w:val="00722DAE"/>
    <w:rsid w:val="0072309A"/>
    <w:rsid w:val="007234AB"/>
    <w:rsid w:val="00723C4D"/>
    <w:rsid w:val="00723D62"/>
    <w:rsid w:val="00724339"/>
    <w:rsid w:val="0072442F"/>
    <w:rsid w:val="00724623"/>
    <w:rsid w:val="0072483E"/>
    <w:rsid w:val="00724B21"/>
    <w:rsid w:val="00724D9D"/>
    <w:rsid w:val="00724E16"/>
    <w:rsid w:val="0072562F"/>
    <w:rsid w:val="007256E5"/>
    <w:rsid w:val="007257E3"/>
    <w:rsid w:val="00725A9A"/>
    <w:rsid w:val="00725E20"/>
    <w:rsid w:val="007260A1"/>
    <w:rsid w:val="00726441"/>
    <w:rsid w:val="00726515"/>
    <w:rsid w:val="007269FA"/>
    <w:rsid w:val="00726D20"/>
    <w:rsid w:val="00727446"/>
    <w:rsid w:val="00727522"/>
    <w:rsid w:val="007276C8"/>
    <w:rsid w:val="00727F09"/>
    <w:rsid w:val="00730093"/>
    <w:rsid w:val="0073013D"/>
    <w:rsid w:val="0073064B"/>
    <w:rsid w:val="007308CC"/>
    <w:rsid w:val="007309ED"/>
    <w:rsid w:val="00731437"/>
    <w:rsid w:val="0073144F"/>
    <w:rsid w:val="00731776"/>
    <w:rsid w:val="00731DF4"/>
    <w:rsid w:val="00731F7D"/>
    <w:rsid w:val="00732389"/>
    <w:rsid w:val="00732488"/>
    <w:rsid w:val="00732912"/>
    <w:rsid w:val="00732A8D"/>
    <w:rsid w:val="00732D9E"/>
    <w:rsid w:val="00732ECD"/>
    <w:rsid w:val="007332E1"/>
    <w:rsid w:val="00733331"/>
    <w:rsid w:val="00733365"/>
    <w:rsid w:val="007336AA"/>
    <w:rsid w:val="007336F8"/>
    <w:rsid w:val="007339D7"/>
    <w:rsid w:val="00734391"/>
    <w:rsid w:val="00734F1F"/>
    <w:rsid w:val="00735607"/>
    <w:rsid w:val="007358B2"/>
    <w:rsid w:val="007359B3"/>
    <w:rsid w:val="00735C04"/>
    <w:rsid w:val="00735D19"/>
    <w:rsid w:val="00736006"/>
    <w:rsid w:val="0073629D"/>
    <w:rsid w:val="0073663C"/>
    <w:rsid w:val="00736BE5"/>
    <w:rsid w:val="00736BED"/>
    <w:rsid w:val="00736BF9"/>
    <w:rsid w:val="00737022"/>
    <w:rsid w:val="007372B2"/>
    <w:rsid w:val="00737BC7"/>
    <w:rsid w:val="00737F14"/>
    <w:rsid w:val="0074001F"/>
    <w:rsid w:val="00740AE3"/>
    <w:rsid w:val="00740DBD"/>
    <w:rsid w:val="00740EC3"/>
    <w:rsid w:val="00740F8A"/>
    <w:rsid w:val="0074142B"/>
    <w:rsid w:val="0074146B"/>
    <w:rsid w:val="00741DDE"/>
    <w:rsid w:val="00741E10"/>
    <w:rsid w:val="007421C1"/>
    <w:rsid w:val="0074243B"/>
    <w:rsid w:val="0074268D"/>
    <w:rsid w:val="00742868"/>
    <w:rsid w:val="00743042"/>
    <w:rsid w:val="0074307C"/>
    <w:rsid w:val="0074325B"/>
    <w:rsid w:val="00743E8C"/>
    <w:rsid w:val="00743EFC"/>
    <w:rsid w:val="00744138"/>
    <w:rsid w:val="007447D4"/>
    <w:rsid w:val="00744A3C"/>
    <w:rsid w:val="00744C72"/>
    <w:rsid w:val="00744C85"/>
    <w:rsid w:val="007453B2"/>
    <w:rsid w:val="00745781"/>
    <w:rsid w:val="00745853"/>
    <w:rsid w:val="00745894"/>
    <w:rsid w:val="007458A1"/>
    <w:rsid w:val="00746385"/>
    <w:rsid w:val="007465CD"/>
    <w:rsid w:val="00746A02"/>
    <w:rsid w:val="00746A65"/>
    <w:rsid w:val="00746EFA"/>
    <w:rsid w:val="00747052"/>
    <w:rsid w:val="00747095"/>
    <w:rsid w:val="00747173"/>
    <w:rsid w:val="00747286"/>
    <w:rsid w:val="00747296"/>
    <w:rsid w:val="007472D2"/>
    <w:rsid w:val="007474FC"/>
    <w:rsid w:val="007475B7"/>
    <w:rsid w:val="00747643"/>
    <w:rsid w:val="00747925"/>
    <w:rsid w:val="00747CB9"/>
    <w:rsid w:val="00747D8C"/>
    <w:rsid w:val="00747E21"/>
    <w:rsid w:val="00747E43"/>
    <w:rsid w:val="00750067"/>
    <w:rsid w:val="00750192"/>
    <w:rsid w:val="00750254"/>
    <w:rsid w:val="007508B8"/>
    <w:rsid w:val="00750FE3"/>
    <w:rsid w:val="00751660"/>
    <w:rsid w:val="00751956"/>
    <w:rsid w:val="00751A24"/>
    <w:rsid w:val="00751AB8"/>
    <w:rsid w:val="00751EE2"/>
    <w:rsid w:val="00751F02"/>
    <w:rsid w:val="00752700"/>
    <w:rsid w:val="00752799"/>
    <w:rsid w:val="00752804"/>
    <w:rsid w:val="00752A55"/>
    <w:rsid w:val="00752B55"/>
    <w:rsid w:val="00752B70"/>
    <w:rsid w:val="00753851"/>
    <w:rsid w:val="00753B20"/>
    <w:rsid w:val="00753CBF"/>
    <w:rsid w:val="007543DC"/>
    <w:rsid w:val="007545E0"/>
    <w:rsid w:val="00754A4C"/>
    <w:rsid w:val="00754BDF"/>
    <w:rsid w:val="00754C11"/>
    <w:rsid w:val="00754D80"/>
    <w:rsid w:val="00755053"/>
    <w:rsid w:val="0075649A"/>
    <w:rsid w:val="00756558"/>
    <w:rsid w:val="00756864"/>
    <w:rsid w:val="00756C62"/>
    <w:rsid w:val="00756E05"/>
    <w:rsid w:val="007573D4"/>
    <w:rsid w:val="007576D0"/>
    <w:rsid w:val="00757BDE"/>
    <w:rsid w:val="007601A9"/>
    <w:rsid w:val="00760A4E"/>
    <w:rsid w:val="00760D0A"/>
    <w:rsid w:val="00760F2B"/>
    <w:rsid w:val="0076120E"/>
    <w:rsid w:val="00761438"/>
    <w:rsid w:val="0076167D"/>
    <w:rsid w:val="00761767"/>
    <w:rsid w:val="007617DF"/>
    <w:rsid w:val="00761BD3"/>
    <w:rsid w:val="00761C1E"/>
    <w:rsid w:val="00762020"/>
    <w:rsid w:val="00762184"/>
    <w:rsid w:val="007624C2"/>
    <w:rsid w:val="00762550"/>
    <w:rsid w:val="0076295B"/>
    <w:rsid w:val="00762CFC"/>
    <w:rsid w:val="00763229"/>
    <w:rsid w:val="0076327E"/>
    <w:rsid w:val="0076330B"/>
    <w:rsid w:val="00763314"/>
    <w:rsid w:val="0076364B"/>
    <w:rsid w:val="007636F5"/>
    <w:rsid w:val="0076370D"/>
    <w:rsid w:val="00763900"/>
    <w:rsid w:val="00763BBB"/>
    <w:rsid w:val="00763CB5"/>
    <w:rsid w:val="0076405D"/>
    <w:rsid w:val="0076418B"/>
    <w:rsid w:val="00764ADF"/>
    <w:rsid w:val="00764D97"/>
    <w:rsid w:val="007652D6"/>
    <w:rsid w:val="00765B04"/>
    <w:rsid w:val="007661B9"/>
    <w:rsid w:val="007663EC"/>
    <w:rsid w:val="00766446"/>
    <w:rsid w:val="00766D74"/>
    <w:rsid w:val="00766E5F"/>
    <w:rsid w:val="00767827"/>
    <w:rsid w:val="00767949"/>
    <w:rsid w:val="00767D48"/>
    <w:rsid w:val="007702B4"/>
    <w:rsid w:val="007706BC"/>
    <w:rsid w:val="00770716"/>
    <w:rsid w:val="0077077A"/>
    <w:rsid w:val="007709A3"/>
    <w:rsid w:val="007709F0"/>
    <w:rsid w:val="00770A3B"/>
    <w:rsid w:val="00770AC6"/>
    <w:rsid w:val="00770CE0"/>
    <w:rsid w:val="00770EBB"/>
    <w:rsid w:val="00770F17"/>
    <w:rsid w:val="007710F6"/>
    <w:rsid w:val="00771301"/>
    <w:rsid w:val="00771478"/>
    <w:rsid w:val="00771584"/>
    <w:rsid w:val="007717DB"/>
    <w:rsid w:val="00771B76"/>
    <w:rsid w:val="00771D19"/>
    <w:rsid w:val="00771E33"/>
    <w:rsid w:val="00771EC0"/>
    <w:rsid w:val="00772840"/>
    <w:rsid w:val="00772E3D"/>
    <w:rsid w:val="00773397"/>
    <w:rsid w:val="007735F1"/>
    <w:rsid w:val="00773CD6"/>
    <w:rsid w:val="00773CFB"/>
    <w:rsid w:val="00773F09"/>
    <w:rsid w:val="00774723"/>
    <w:rsid w:val="00774992"/>
    <w:rsid w:val="00774F01"/>
    <w:rsid w:val="007752EE"/>
    <w:rsid w:val="00775688"/>
    <w:rsid w:val="00775B3A"/>
    <w:rsid w:val="007766E4"/>
    <w:rsid w:val="007767AC"/>
    <w:rsid w:val="0077699F"/>
    <w:rsid w:val="00776A53"/>
    <w:rsid w:val="00776C15"/>
    <w:rsid w:val="00776D33"/>
    <w:rsid w:val="00776D4B"/>
    <w:rsid w:val="00777AF9"/>
    <w:rsid w:val="00777F01"/>
    <w:rsid w:val="00777F22"/>
    <w:rsid w:val="0078053C"/>
    <w:rsid w:val="007805F8"/>
    <w:rsid w:val="007806D3"/>
    <w:rsid w:val="00780C31"/>
    <w:rsid w:val="0078100B"/>
    <w:rsid w:val="00781783"/>
    <w:rsid w:val="00781974"/>
    <w:rsid w:val="00781B08"/>
    <w:rsid w:val="00781C55"/>
    <w:rsid w:val="00782365"/>
    <w:rsid w:val="007826A4"/>
    <w:rsid w:val="00782783"/>
    <w:rsid w:val="00782A2E"/>
    <w:rsid w:val="00782C42"/>
    <w:rsid w:val="00782EF3"/>
    <w:rsid w:val="007834DB"/>
    <w:rsid w:val="007837DE"/>
    <w:rsid w:val="00783A4B"/>
    <w:rsid w:val="00783A6A"/>
    <w:rsid w:val="00783CA7"/>
    <w:rsid w:val="00784132"/>
    <w:rsid w:val="0078478A"/>
    <w:rsid w:val="00784A0F"/>
    <w:rsid w:val="00784A4E"/>
    <w:rsid w:val="00784B6A"/>
    <w:rsid w:val="00784E6F"/>
    <w:rsid w:val="0078506A"/>
    <w:rsid w:val="0078567C"/>
    <w:rsid w:val="007856BC"/>
    <w:rsid w:val="007858A1"/>
    <w:rsid w:val="0078590E"/>
    <w:rsid w:val="00785AAE"/>
    <w:rsid w:val="00785F2D"/>
    <w:rsid w:val="00785F63"/>
    <w:rsid w:val="0078659A"/>
    <w:rsid w:val="00786810"/>
    <w:rsid w:val="007868D1"/>
    <w:rsid w:val="00786D70"/>
    <w:rsid w:val="00786EAE"/>
    <w:rsid w:val="00787141"/>
    <w:rsid w:val="00787561"/>
    <w:rsid w:val="007878CF"/>
    <w:rsid w:val="00787B8A"/>
    <w:rsid w:val="00787BEB"/>
    <w:rsid w:val="00787E09"/>
    <w:rsid w:val="00790518"/>
    <w:rsid w:val="0079054B"/>
    <w:rsid w:val="00790573"/>
    <w:rsid w:val="007906A8"/>
    <w:rsid w:val="007907CC"/>
    <w:rsid w:val="007908AC"/>
    <w:rsid w:val="007909A5"/>
    <w:rsid w:val="00790A24"/>
    <w:rsid w:val="00790A8A"/>
    <w:rsid w:val="00791AA5"/>
    <w:rsid w:val="00791B5F"/>
    <w:rsid w:val="00791FA0"/>
    <w:rsid w:val="007921AF"/>
    <w:rsid w:val="007921BA"/>
    <w:rsid w:val="00792358"/>
    <w:rsid w:val="007925C8"/>
    <w:rsid w:val="00792B70"/>
    <w:rsid w:val="00792D28"/>
    <w:rsid w:val="00792D65"/>
    <w:rsid w:val="00792EE2"/>
    <w:rsid w:val="00793657"/>
    <w:rsid w:val="00793A36"/>
    <w:rsid w:val="00793CE9"/>
    <w:rsid w:val="00793DAC"/>
    <w:rsid w:val="007945B4"/>
    <w:rsid w:val="007945DA"/>
    <w:rsid w:val="007946AC"/>
    <w:rsid w:val="0079481F"/>
    <w:rsid w:val="00794880"/>
    <w:rsid w:val="007948EE"/>
    <w:rsid w:val="00794B0B"/>
    <w:rsid w:val="00794D12"/>
    <w:rsid w:val="00794EA5"/>
    <w:rsid w:val="00794ECD"/>
    <w:rsid w:val="007950E2"/>
    <w:rsid w:val="0079542D"/>
    <w:rsid w:val="0079588C"/>
    <w:rsid w:val="00795D26"/>
    <w:rsid w:val="007960BA"/>
    <w:rsid w:val="00796867"/>
    <w:rsid w:val="00796BDA"/>
    <w:rsid w:val="00796FB4"/>
    <w:rsid w:val="007971AF"/>
    <w:rsid w:val="007972BD"/>
    <w:rsid w:val="0079799E"/>
    <w:rsid w:val="00797CE1"/>
    <w:rsid w:val="00797DBF"/>
    <w:rsid w:val="00797E66"/>
    <w:rsid w:val="007A018D"/>
    <w:rsid w:val="007A030E"/>
    <w:rsid w:val="007A0391"/>
    <w:rsid w:val="007A0464"/>
    <w:rsid w:val="007A0767"/>
    <w:rsid w:val="007A0E07"/>
    <w:rsid w:val="007A147F"/>
    <w:rsid w:val="007A17DE"/>
    <w:rsid w:val="007A1BAA"/>
    <w:rsid w:val="007A1C19"/>
    <w:rsid w:val="007A2527"/>
    <w:rsid w:val="007A2757"/>
    <w:rsid w:val="007A2A65"/>
    <w:rsid w:val="007A2D8F"/>
    <w:rsid w:val="007A3740"/>
    <w:rsid w:val="007A3BA7"/>
    <w:rsid w:val="007A3DFE"/>
    <w:rsid w:val="007A41FA"/>
    <w:rsid w:val="007A44CE"/>
    <w:rsid w:val="007A4888"/>
    <w:rsid w:val="007A5009"/>
    <w:rsid w:val="007A505F"/>
    <w:rsid w:val="007A53EC"/>
    <w:rsid w:val="007A5E90"/>
    <w:rsid w:val="007A5EB0"/>
    <w:rsid w:val="007A5F58"/>
    <w:rsid w:val="007A60D4"/>
    <w:rsid w:val="007A64DC"/>
    <w:rsid w:val="007A65AA"/>
    <w:rsid w:val="007A6DA8"/>
    <w:rsid w:val="007A6E62"/>
    <w:rsid w:val="007A76EF"/>
    <w:rsid w:val="007A78DE"/>
    <w:rsid w:val="007A790E"/>
    <w:rsid w:val="007A7944"/>
    <w:rsid w:val="007A7AE8"/>
    <w:rsid w:val="007A7E39"/>
    <w:rsid w:val="007A7E72"/>
    <w:rsid w:val="007B026E"/>
    <w:rsid w:val="007B0A4E"/>
    <w:rsid w:val="007B0A99"/>
    <w:rsid w:val="007B0DC0"/>
    <w:rsid w:val="007B0DE6"/>
    <w:rsid w:val="007B1032"/>
    <w:rsid w:val="007B1285"/>
    <w:rsid w:val="007B153E"/>
    <w:rsid w:val="007B19CD"/>
    <w:rsid w:val="007B1EFA"/>
    <w:rsid w:val="007B2172"/>
    <w:rsid w:val="007B284A"/>
    <w:rsid w:val="007B29A6"/>
    <w:rsid w:val="007B31A6"/>
    <w:rsid w:val="007B3554"/>
    <w:rsid w:val="007B3766"/>
    <w:rsid w:val="007B4229"/>
    <w:rsid w:val="007B424D"/>
    <w:rsid w:val="007B4E32"/>
    <w:rsid w:val="007B50BF"/>
    <w:rsid w:val="007B5104"/>
    <w:rsid w:val="007B51D7"/>
    <w:rsid w:val="007B5A6E"/>
    <w:rsid w:val="007B5DA9"/>
    <w:rsid w:val="007B6391"/>
    <w:rsid w:val="007B63AA"/>
    <w:rsid w:val="007B63DB"/>
    <w:rsid w:val="007B6906"/>
    <w:rsid w:val="007B6990"/>
    <w:rsid w:val="007B6CCE"/>
    <w:rsid w:val="007B6F0F"/>
    <w:rsid w:val="007B708B"/>
    <w:rsid w:val="007B71B3"/>
    <w:rsid w:val="007B720C"/>
    <w:rsid w:val="007B724E"/>
    <w:rsid w:val="007B75C1"/>
    <w:rsid w:val="007B7933"/>
    <w:rsid w:val="007B7F4B"/>
    <w:rsid w:val="007C024A"/>
    <w:rsid w:val="007C03F8"/>
    <w:rsid w:val="007C05A7"/>
    <w:rsid w:val="007C05E1"/>
    <w:rsid w:val="007C06C8"/>
    <w:rsid w:val="007C0A42"/>
    <w:rsid w:val="007C136F"/>
    <w:rsid w:val="007C13ED"/>
    <w:rsid w:val="007C15B0"/>
    <w:rsid w:val="007C164B"/>
    <w:rsid w:val="007C1951"/>
    <w:rsid w:val="007C1A89"/>
    <w:rsid w:val="007C1C66"/>
    <w:rsid w:val="007C22E7"/>
    <w:rsid w:val="007C276D"/>
    <w:rsid w:val="007C27E1"/>
    <w:rsid w:val="007C29AF"/>
    <w:rsid w:val="007C2B48"/>
    <w:rsid w:val="007C2F20"/>
    <w:rsid w:val="007C2F4C"/>
    <w:rsid w:val="007C2F9D"/>
    <w:rsid w:val="007C36D3"/>
    <w:rsid w:val="007C36EB"/>
    <w:rsid w:val="007C3E48"/>
    <w:rsid w:val="007C42C1"/>
    <w:rsid w:val="007C431A"/>
    <w:rsid w:val="007C4334"/>
    <w:rsid w:val="007C4A69"/>
    <w:rsid w:val="007C552E"/>
    <w:rsid w:val="007C5646"/>
    <w:rsid w:val="007C5D20"/>
    <w:rsid w:val="007C618B"/>
    <w:rsid w:val="007C6355"/>
    <w:rsid w:val="007C65C1"/>
    <w:rsid w:val="007C6AB9"/>
    <w:rsid w:val="007C6BBA"/>
    <w:rsid w:val="007C6D10"/>
    <w:rsid w:val="007C7079"/>
    <w:rsid w:val="007C7752"/>
    <w:rsid w:val="007C7F12"/>
    <w:rsid w:val="007D03EF"/>
    <w:rsid w:val="007D056F"/>
    <w:rsid w:val="007D06E3"/>
    <w:rsid w:val="007D0738"/>
    <w:rsid w:val="007D0924"/>
    <w:rsid w:val="007D0DA1"/>
    <w:rsid w:val="007D11C2"/>
    <w:rsid w:val="007D12BE"/>
    <w:rsid w:val="007D17F2"/>
    <w:rsid w:val="007D1A12"/>
    <w:rsid w:val="007D1E59"/>
    <w:rsid w:val="007D23DD"/>
    <w:rsid w:val="007D24B4"/>
    <w:rsid w:val="007D251E"/>
    <w:rsid w:val="007D296C"/>
    <w:rsid w:val="007D2BA3"/>
    <w:rsid w:val="007D2F10"/>
    <w:rsid w:val="007D2F6B"/>
    <w:rsid w:val="007D30E1"/>
    <w:rsid w:val="007D3123"/>
    <w:rsid w:val="007D3152"/>
    <w:rsid w:val="007D3215"/>
    <w:rsid w:val="007D3270"/>
    <w:rsid w:val="007D34B4"/>
    <w:rsid w:val="007D3BD0"/>
    <w:rsid w:val="007D4106"/>
    <w:rsid w:val="007D4115"/>
    <w:rsid w:val="007D497F"/>
    <w:rsid w:val="007D4C49"/>
    <w:rsid w:val="007D50D8"/>
    <w:rsid w:val="007D51EF"/>
    <w:rsid w:val="007D5653"/>
    <w:rsid w:val="007D571B"/>
    <w:rsid w:val="007D59C9"/>
    <w:rsid w:val="007D59F2"/>
    <w:rsid w:val="007D5FA6"/>
    <w:rsid w:val="007D60A0"/>
    <w:rsid w:val="007D61C7"/>
    <w:rsid w:val="007D68B7"/>
    <w:rsid w:val="007D6B92"/>
    <w:rsid w:val="007D70EA"/>
    <w:rsid w:val="007D72EB"/>
    <w:rsid w:val="007D768E"/>
    <w:rsid w:val="007D76DB"/>
    <w:rsid w:val="007D7BC2"/>
    <w:rsid w:val="007D7F78"/>
    <w:rsid w:val="007D7FFC"/>
    <w:rsid w:val="007E02FB"/>
    <w:rsid w:val="007E030D"/>
    <w:rsid w:val="007E0870"/>
    <w:rsid w:val="007E16E5"/>
    <w:rsid w:val="007E196C"/>
    <w:rsid w:val="007E1D14"/>
    <w:rsid w:val="007E2878"/>
    <w:rsid w:val="007E3226"/>
    <w:rsid w:val="007E33A0"/>
    <w:rsid w:val="007E377A"/>
    <w:rsid w:val="007E399B"/>
    <w:rsid w:val="007E3D89"/>
    <w:rsid w:val="007E3DBD"/>
    <w:rsid w:val="007E3EB7"/>
    <w:rsid w:val="007E43D2"/>
    <w:rsid w:val="007E47BE"/>
    <w:rsid w:val="007E4B1B"/>
    <w:rsid w:val="007E4BE8"/>
    <w:rsid w:val="007E5062"/>
    <w:rsid w:val="007E5243"/>
    <w:rsid w:val="007E5C38"/>
    <w:rsid w:val="007E5C89"/>
    <w:rsid w:val="007E5DC2"/>
    <w:rsid w:val="007E5DD3"/>
    <w:rsid w:val="007E7673"/>
    <w:rsid w:val="007E7936"/>
    <w:rsid w:val="007E7A05"/>
    <w:rsid w:val="007E7C3C"/>
    <w:rsid w:val="007E7E9E"/>
    <w:rsid w:val="007F0606"/>
    <w:rsid w:val="007F0809"/>
    <w:rsid w:val="007F0B9E"/>
    <w:rsid w:val="007F0D21"/>
    <w:rsid w:val="007F0F54"/>
    <w:rsid w:val="007F1526"/>
    <w:rsid w:val="007F17D1"/>
    <w:rsid w:val="007F1A74"/>
    <w:rsid w:val="007F1C50"/>
    <w:rsid w:val="007F1DE6"/>
    <w:rsid w:val="007F2042"/>
    <w:rsid w:val="007F20DB"/>
    <w:rsid w:val="007F2211"/>
    <w:rsid w:val="007F22D0"/>
    <w:rsid w:val="007F25F1"/>
    <w:rsid w:val="007F2736"/>
    <w:rsid w:val="007F2AD9"/>
    <w:rsid w:val="007F2BAE"/>
    <w:rsid w:val="007F333B"/>
    <w:rsid w:val="007F3565"/>
    <w:rsid w:val="007F360E"/>
    <w:rsid w:val="007F3CDA"/>
    <w:rsid w:val="007F3DA0"/>
    <w:rsid w:val="007F4B53"/>
    <w:rsid w:val="007F4BB3"/>
    <w:rsid w:val="007F5886"/>
    <w:rsid w:val="007F5A22"/>
    <w:rsid w:val="007F5AB0"/>
    <w:rsid w:val="007F5C0F"/>
    <w:rsid w:val="007F5CC0"/>
    <w:rsid w:val="007F62CF"/>
    <w:rsid w:val="007F6354"/>
    <w:rsid w:val="007F642D"/>
    <w:rsid w:val="007F657B"/>
    <w:rsid w:val="007F65C0"/>
    <w:rsid w:val="007F6614"/>
    <w:rsid w:val="007F663B"/>
    <w:rsid w:val="007F6B14"/>
    <w:rsid w:val="007F6C3F"/>
    <w:rsid w:val="007F6E9A"/>
    <w:rsid w:val="007F71C6"/>
    <w:rsid w:val="007F72B5"/>
    <w:rsid w:val="007F7709"/>
    <w:rsid w:val="008006C6"/>
    <w:rsid w:val="008008C3"/>
    <w:rsid w:val="00800971"/>
    <w:rsid w:val="00801064"/>
    <w:rsid w:val="0080185D"/>
    <w:rsid w:val="00801AEB"/>
    <w:rsid w:val="00801D6C"/>
    <w:rsid w:val="00801D97"/>
    <w:rsid w:val="00801DBE"/>
    <w:rsid w:val="00803466"/>
    <w:rsid w:val="008035D8"/>
    <w:rsid w:val="00803778"/>
    <w:rsid w:val="00803C46"/>
    <w:rsid w:val="00803C87"/>
    <w:rsid w:val="00803DFA"/>
    <w:rsid w:val="00804209"/>
    <w:rsid w:val="00804525"/>
    <w:rsid w:val="00804767"/>
    <w:rsid w:val="00804B41"/>
    <w:rsid w:val="008059E0"/>
    <w:rsid w:val="00805BCE"/>
    <w:rsid w:val="00806098"/>
    <w:rsid w:val="008066E9"/>
    <w:rsid w:val="00806807"/>
    <w:rsid w:val="0080682D"/>
    <w:rsid w:val="0080702E"/>
    <w:rsid w:val="008071D4"/>
    <w:rsid w:val="00807445"/>
    <w:rsid w:val="008075DA"/>
    <w:rsid w:val="008078A9"/>
    <w:rsid w:val="0081044C"/>
    <w:rsid w:val="0081113C"/>
    <w:rsid w:val="00811165"/>
    <w:rsid w:val="008118BE"/>
    <w:rsid w:val="00811DF0"/>
    <w:rsid w:val="00811EF1"/>
    <w:rsid w:val="008120A4"/>
    <w:rsid w:val="00812376"/>
    <w:rsid w:val="0081256C"/>
    <w:rsid w:val="00812727"/>
    <w:rsid w:val="00812883"/>
    <w:rsid w:val="00812C53"/>
    <w:rsid w:val="0081324A"/>
    <w:rsid w:val="00813507"/>
    <w:rsid w:val="00813AB6"/>
    <w:rsid w:val="008145A3"/>
    <w:rsid w:val="008145DD"/>
    <w:rsid w:val="008147A4"/>
    <w:rsid w:val="00814DCD"/>
    <w:rsid w:val="00814DED"/>
    <w:rsid w:val="008157CE"/>
    <w:rsid w:val="00816037"/>
    <w:rsid w:val="00816A14"/>
    <w:rsid w:val="00816D67"/>
    <w:rsid w:val="0081723A"/>
    <w:rsid w:val="0081738F"/>
    <w:rsid w:val="00817641"/>
    <w:rsid w:val="008177C6"/>
    <w:rsid w:val="00817B01"/>
    <w:rsid w:val="00817F19"/>
    <w:rsid w:val="0082007F"/>
    <w:rsid w:val="008200C8"/>
    <w:rsid w:val="008203BA"/>
    <w:rsid w:val="008205DF"/>
    <w:rsid w:val="008208DA"/>
    <w:rsid w:val="008208F9"/>
    <w:rsid w:val="00820B05"/>
    <w:rsid w:val="00820C6A"/>
    <w:rsid w:val="00821223"/>
    <w:rsid w:val="00821498"/>
    <w:rsid w:val="00821612"/>
    <w:rsid w:val="008218FB"/>
    <w:rsid w:val="00821D86"/>
    <w:rsid w:val="0082203A"/>
    <w:rsid w:val="0082240F"/>
    <w:rsid w:val="00822A20"/>
    <w:rsid w:val="00822EDF"/>
    <w:rsid w:val="008230EE"/>
    <w:rsid w:val="00823223"/>
    <w:rsid w:val="00823696"/>
    <w:rsid w:val="00823D50"/>
    <w:rsid w:val="00823F02"/>
    <w:rsid w:val="00823FB3"/>
    <w:rsid w:val="00823FDF"/>
    <w:rsid w:val="008245BB"/>
    <w:rsid w:val="00824915"/>
    <w:rsid w:val="00824A9D"/>
    <w:rsid w:val="00824C66"/>
    <w:rsid w:val="00824E8E"/>
    <w:rsid w:val="008250A6"/>
    <w:rsid w:val="0082512D"/>
    <w:rsid w:val="008251A7"/>
    <w:rsid w:val="00825266"/>
    <w:rsid w:val="00825501"/>
    <w:rsid w:val="008258B5"/>
    <w:rsid w:val="00825901"/>
    <w:rsid w:val="00825B34"/>
    <w:rsid w:val="00825C03"/>
    <w:rsid w:val="008261C9"/>
    <w:rsid w:val="00826491"/>
    <w:rsid w:val="00826583"/>
    <w:rsid w:val="00826798"/>
    <w:rsid w:val="00826F76"/>
    <w:rsid w:val="008273BC"/>
    <w:rsid w:val="00827750"/>
    <w:rsid w:val="008278CB"/>
    <w:rsid w:val="00827E49"/>
    <w:rsid w:val="008300A5"/>
    <w:rsid w:val="008307FE"/>
    <w:rsid w:val="00830808"/>
    <w:rsid w:val="00830BE4"/>
    <w:rsid w:val="00830DCF"/>
    <w:rsid w:val="00830F0B"/>
    <w:rsid w:val="00831220"/>
    <w:rsid w:val="008313B0"/>
    <w:rsid w:val="0083163B"/>
    <w:rsid w:val="0083197C"/>
    <w:rsid w:val="00831C65"/>
    <w:rsid w:val="0083211A"/>
    <w:rsid w:val="00832850"/>
    <w:rsid w:val="0083359F"/>
    <w:rsid w:val="0083392D"/>
    <w:rsid w:val="008339AE"/>
    <w:rsid w:val="00834167"/>
    <w:rsid w:val="008346EA"/>
    <w:rsid w:val="00834D1B"/>
    <w:rsid w:val="008352A6"/>
    <w:rsid w:val="008353F8"/>
    <w:rsid w:val="00835B79"/>
    <w:rsid w:val="00835C6A"/>
    <w:rsid w:val="0083640E"/>
    <w:rsid w:val="00836AD5"/>
    <w:rsid w:val="00836BF0"/>
    <w:rsid w:val="00837070"/>
    <w:rsid w:val="0083723C"/>
    <w:rsid w:val="00837490"/>
    <w:rsid w:val="008374E1"/>
    <w:rsid w:val="0083791B"/>
    <w:rsid w:val="00837B88"/>
    <w:rsid w:val="00837F6A"/>
    <w:rsid w:val="00840180"/>
    <w:rsid w:val="00840261"/>
    <w:rsid w:val="008402B2"/>
    <w:rsid w:val="008408FB"/>
    <w:rsid w:val="00840ACB"/>
    <w:rsid w:val="00840BAF"/>
    <w:rsid w:val="00840D63"/>
    <w:rsid w:val="00840ED1"/>
    <w:rsid w:val="00840F2D"/>
    <w:rsid w:val="00840F7F"/>
    <w:rsid w:val="008420CB"/>
    <w:rsid w:val="008429A7"/>
    <w:rsid w:val="00842C03"/>
    <w:rsid w:val="00842D68"/>
    <w:rsid w:val="0084366D"/>
    <w:rsid w:val="008436D0"/>
    <w:rsid w:val="00843B2D"/>
    <w:rsid w:val="00843DAC"/>
    <w:rsid w:val="0084413A"/>
    <w:rsid w:val="008442C3"/>
    <w:rsid w:val="008444F8"/>
    <w:rsid w:val="008445B5"/>
    <w:rsid w:val="00844AB7"/>
    <w:rsid w:val="00844BB9"/>
    <w:rsid w:val="00844DE2"/>
    <w:rsid w:val="008457A7"/>
    <w:rsid w:val="00845B97"/>
    <w:rsid w:val="00845E41"/>
    <w:rsid w:val="008462C6"/>
    <w:rsid w:val="00846400"/>
    <w:rsid w:val="00846BA2"/>
    <w:rsid w:val="00846FD9"/>
    <w:rsid w:val="008473E4"/>
    <w:rsid w:val="00847471"/>
    <w:rsid w:val="008475F3"/>
    <w:rsid w:val="00847D89"/>
    <w:rsid w:val="00847ED0"/>
    <w:rsid w:val="008504D7"/>
    <w:rsid w:val="008505D7"/>
    <w:rsid w:val="00850CA8"/>
    <w:rsid w:val="00850DC1"/>
    <w:rsid w:val="00851292"/>
    <w:rsid w:val="00851301"/>
    <w:rsid w:val="0085145C"/>
    <w:rsid w:val="00851485"/>
    <w:rsid w:val="0085172E"/>
    <w:rsid w:val="00851A46"/>
    <w:rsid w:val="00851E55"/>
    <w:rsid w:val="00851E5D"/>
    <w:rsid w:val="0085240C"/>
    <w:rsid w:val="0085280F"/>
    <w:rsid w:val="00852B29"/>
    <w:rsid w:val="00852D2C"/>
    <w:rsid w:val="00852D52"/>
    <w:rsid w:val="00852F2D"/>
    <w:rsid w:val="00853064"/>
    <w:rsid w:val="008532A5"/>
    <w:rsid w:val="00853546"/>
    <w:rsid w:val="008539CA"/>
    <w:rsid w:val="00853AD6"/>
    <w:rsid w:val="0085416D"/>
    <w:rsid w:val="00854182"/>
    <w:rsid w:val="008544B8"/>
    <w:rsid w:val="00855196"/>
    <w:rsid w:val="00855477"/>
    <w:rsid w:val="008554DA"/>
    <w:rsid w:val="0085572D"/>
    <w:rsid w:val="00855A22"/>
    <w:rsid w:val="00855D22"/>
    <w:rsid w:val="00855E9B"/>
    <w:rsid w:val="00855F77"/>
    <w:rsid w:val="0085671A"/>
    <w:rsid w:val="00856AD6"/>
    <w:rsid w:val="00856C4E"/>
    <w:rsid w:val="00856F2D"/>
    <w:rsid w:val="008573E8"/>
    <w:rsid w:val="00857698"/>
    <w:rsid w:val="008576DB"/>
    <w:rsid w:val="008577D3"/>
    <w:rsid w:val="00857CCD"/>
    <w:rsid w:val="00857DFB"/>
    <w:rsid w:val="00857EE4"/>
    <w:rsid w:val="0086013B"/>
    <w:rsid w:val="008601EE"/>
    <w:rsid w:val="008605A4"/>
    <w:rsid w:val="0086086E"/>
    <w:rsid w:val="00860AEC"/>
    <w:rsid w:val="00860FAE"/>
    <w:rsid w:val="0086102C"/>
    <w:rsid w:val="008611DC"/>
    <w:rsid w:val="00861650"/>
    <w:rsid w:val="0086179F"/>
    <w:rsid w:val="00861ABD"/>
    <w:rsid w:val="00861AD4"/>
    <w:rsid w:val="00861D43"/>
    <w:rsid w:val="00861FF4"/>
    <w:rsid w:val="00862443"/>
    <w:rsid w:val="008624B2"/>
    <w:rsid w:val="008625C9"/>
    <w:rsid w:val="00862D31"/>
    <w:rsid w:val="00862EEB"/>
    <w:rsid w:val="00863560"/>
    <w:rsid w:val="00863A3A"/>
    <w:rsid w:val="00863FDD"/>
    <w:rsid w:val="0086454C"/>
    <w:rsid w:val="00864810"/>
    <w:rsid w:val="00864874"/>
    <w:rsid w:val="00864900"/>
    <w:rsid w:val="0086499C"/>
    <w:rsid w:val="00864D16"/>
    <w:rsid w:val="00864FBB"/>
    <w:rsid w:val="00865653"/>
    <w:rsid w:val="008656D2"/>
    <w:rsid w:val="00865A39"/>
    <w:rsid w:val="00865BF6"/>
    <w:rsid w:val="00865C94"/>
    <w:rsid w:val="00865E5C"/>
    <w:rsid w:val="00865F2A"/>
    <w:rsid w:val="00865F43"/>
    <w:rsid w:val="008660DA"/>
    <w:rsid w:val="0086623A"/>
    <w:rsid w:val="008666F9"/>
    <w:rsid w:val="0086677D"/>
    <w:rsid w:val="0086689C"/>
    <w:rsid w:val="00866B13"/>
    <w:rsid w:val="00866B66"/>
    <w:rsid w:val="00866C81"/>
    <w:rsid w:val="008676EE"/>
    <w:rsid w:val="00867C88"/>
    <w:rsid w:val="00867D73"/>
    <w:rsid w:val="008709AD"/>
    <w:rsid w:val="00870A00"/>
    <w:rsid w:val="00870B41"/>
    <w:rsid w:val="00870DFA"/>
    <w:rsid w:val="00870E47"/>
    <w:rsid w:val="00871059"/>
    <w:rsid w:val="008712DB"/>
    <w:rsid w:val="008713F5"/>
    <w:rsid w:val="0087158D"/>
    <w:rsid w:val="008717E0"/>
    <w:rsid w:val="008719A5"/>
    <w:rsid w:val="0087212A"/>
    <w:rsid w:val="00872555"/>
    <w:rsid w:val="0087262B"/>
    <w:rsid w:val="00872AF6"/>
    <w:rsid w:val="00872C37"/>
    <w:rsid w:val="00872E98"/>
    <w:rsid w:val="00873389"/>
    <w:rsid w:val="00873796"/>
    <w:rsid w:val="00873815"/>
    <w:rsid w:val="0087382A"/>
    <w:rsid w:val="00873C37"/>
    <w:rsid w:val="0087411A"/>
    <w:rsid w:val="00874AA3"/>
    <w:rsid w:val="00874ACC"/>
    <w:rsid w:val="00874B79"/>
    <w:rsid w:val="008751C6"/>
    <w:rsid w:val="008754F3"/>
    <w:rsid w:val="00875986"/>
    <w:rsid w:val="00875E56"/>
    <w:rsid w:val="00875FDF"/>
    <w:rsid w:val="0087616C"/>
    <w:rsid w:val="0087632D"/>
    <w:rsid w:val="008773F5"/>
    <w:rsid w:val="0087751E"/>
    <w:rsid w:val="00877ACB"/>
    <w:rsid w:val="008800C4"/>
    <w:rsid w:val="008802BE"/>
    <w:rsid w:val="00880549"/>
    <w:rsid w:val="0088098A"/>
    <w:rsid w:val="00880E76"/>
    <w:rsid w:val="00881687"/>
    <w:rsid w:val="008816C9"/>
    <w:rsid w:val="0088170E"/>
    <w:rsid w:val="00881922"/>
    <w:rsid w:val="00881C95"/>
    <w:rsid w:val="008820EE"/>
    <w:rsid w:val="00882153"/>
    <w:rsid w:val="0088219D"/>
    <w:rsid w:val="00882585"/>
    <w:rsid w:val="0088300B"/>
    <w:rsid w:val="00883217"/>
    <w:rsid w:val="00883558"/>
    <w:rsid w:val="0088374E"/>
    <w:rsid w:val="008839DA"/>
    <w:rsid w:val="00884280"/>
    <w:rsid w:val="0088440E"/>
    <w:rsid w:val="00884ADE"/>
    <w:rsid w:val="00884C97"/>
    <w:rsid w:val="00885038"/>
    <w:rsid w:val="0088510C"/>
    <w:rsid w:val="00885586"/>
    <w:rsid w:val="008855D0"/>
    <w:rsid w:val="008857B7"/>
    <w:rsid w:val="008859D8"/>
    <w:rsid w:val="00885B3E"/>
    <w:rsid w:val="00885E50"/>
    <w:rsid w:val="0088626B"/>
    <w:rsid w:val="00886434"/>
    <w:rsid w:val="00886E48"/>
    <w:rsid w:val="00887329"/>
    <w:rsid w:val="00887CBF"/>
    <w:rsid w:val="008901A6"/>
    <w:rsid w:val="00890263"/>
    <w:rsid w:val="00890439"/>
    <w:rsid w:val="00890612"/>
    <w:rsid w:val="00890655"/>
    <w:rsid w:val="00890C7A"/>
    <w:rsid w:val="00890D69"/>
    <w:rsid w:val="00890DC4"/>
    <w:rsid w:val="00890FA3"/>
    <w:rsid w:val="00890FD5"/>
    <w:rsid w:val="00891758"/>
    <w:rsid w:val="008918BF"/>
    <w:rsid w:val="008920B4"/>
    <w:rsid w:val="00892128"/>
    <w:rsid w:val="00892812"/>
    <w:rsid w:val="00893470"/>
    <w:rsid w:val="0089359D"/>
    <w:rsid w:val="00893B50"/>
    <w:rsid w:val="00893C93"/>
    <w:rsid w:val="00893E06"/>
    <w:rsid w:val="00893EC2"/>
    <w:rsid w:val="008943D2"/>
    <w:rsid w:val="00894670"/>
    <w:rsid w:val="0089473A"/>
    <w:rsid w:val="0089488D"/>
    <w:rsid w:val="00894B36"/>
    <w:rsid w:val="00894B58"/>
    <w:rsid w:val="00894DB9"/>
    <w:rsid w:val="00894E61"/>
    <w:rsid w:val="0089568B"/>
    <w:rsid w:val="008956E9"/>
    <w:rsid w:val="00895D15"/>
    <w:rsid w:val="0089608D"/>
    <w:rsid w:val="008960D1"/>
    <w:rsid w:val="008961EF"/>
    <w:rsid w:val="00896406"/>
    <w:rsid w:val="0089691D"/>
    <w:rsid w:val="00896A82"/>
    <w:rsid w:val="00896B0E"/>
    <w:rsid w:val="0089703D"/>
    <w:rsid w:val="00897519"/>
    <w:rsid w:val="0089760C"/>
    <w:rsid w:val="00897621"/>
    <w:rsid w:val="008976DC"/>
    <w:rsid w:val="00897AA4"/>
    <w:rsid w:val="00897F34"/>
    <w:rsid w:val="008A0166"/>
    <w:rsid w:val="008A0187"/>
    <w:rsid w:val="008A03D7"/>
    <w:rsid w:val="008A04EC"/>
    <w:rsid w:val="008A0940"/>
    <w:rsid w:val="008A0F6E"/>
    <w:rsid w:val="008A10FC"/>
    <w:rsid w:val="008A11FA"/>
    <w:rsid w:val="008A1232"/>
    <w:rsid w:val="008A153E"/>
    <w:rsid w:val="008A1EDC"/>
    <w:rsid w:val="008A24BA"/>
    <w:rsid w:val="008A25BD"/>
    <w:rsid w:val="008A25C0"/>
    <w:rsid w:val="008A298A"/>
    <w:rsid w:val="008A2D24"/>
    <w:rsid w:val="008A4212"/>
    <w:rsid w:val="008A493E"/>
    <w:rsid w:val="008A496D"/>
    <w:rsid w:val="008A4AC1"/>
    <w:rsid w:val="008A4B37"/>
    <w:rsid w:val="008A4B49"/>
    <w:rsid w:val="008A5124"/>
    <w:rsid w:val="008A5943"/>
    <w:rsid w:val="008A6399"/>
    <w:rsid w:val="008A67A7"/>
    <w:rsid w:val="008A68AA"/>
    <w:rsid w:val="008A6DD8"/>
    <w:rsid w:val="008A7210"/>
    <w:rsid w:val="008A7252"/>
    <w:rsid w:val="008A736C"/>
    <w:rsid w:val="008A76EF"/>
    <w:rsid w:val="008A7CEC"/>
    <w:rsid w:val="008A7EC1"/>
    <w:rsid w:val="008A7F88"/>
    <w:rsid w:val="008B0055"/>
    <w:rsid w:val="008B04CC"/>
    <w:rsid w:val="008B0627"/>
    <w:rsid w:val="008B06F6"/>
    <w:rsid w:val="008B0B84"/>
    <w:rsid w:val="008B0CF1"/>
    <w:rsid w:val="008B10A3"/>
    <w:rsid w:val="008B1247"/>
    <w:rsid w:val="008B12C4"/>
    <w:rsid w:val="008B1412"/>
    <w:rsid w:val="008B1846"/>
    <w:rsid w:val="008B19FC"/>
    <w:rsid w:val="008B1A36"/>
    <w:rsid w:val="008B1E4A"/>
    <w:rsid w:val="008B1E4F"/>
    <w:rsid w:val="008B1F1B"/>
    <w:rsid w:val="008B1F7B"/>
    <w:rsid w:val="008B2145"/>
    <w:rsid w:val="008B237F"/>
    <w:rsid w:val="008B2939"/>
    <w:rsid w:val="008B2D57"/>
    <w:rsid w:val="008B2F35"/>
    <w:rsid w:val="008B3180"/>
    <w:rsid w:val="008B34BA"/>
    <w:rsid w:val="008B34DD"/>
    <w:rsid w:val="008B3646"/>
    <w:rsid w:val="008B37B4"/>
    <w:rsid w:val="008B3812"/>
    <w:rsid w:val="008B3A09"/>
    <w:rsid w:val="008B3B1D"/>
    <w:rsid w:val="008B44B0"/>
    <w:rsid w:val="008B4508"/>
    <w:rsid w:val="008B4D5D"/>
    <w:rsid w:val="008B5897"/>
    <w:rsid w:val="008B5A88"/>
    <w:rsid w:val="008B5F9D"/>
    <w:rsid w:val="008B6155"/>
    <w:rsid w:val="008B6374"/>
    <w:rsid w:val="008B6C3B"/>
    <w:rsid w:val="008B6D4F"/>
    <w:rsid w:val="008B6E77"/>
    <w:rsid w:val="008B6EC2"/>
    <w:rsid w:val="008B7130"/>
    <w:rsid w:val="008B7ECC"/>
    <w:rsid w:val="008C015F"/>
    <w:rsid w:val="008C04BE"/>
    <w:rsid w:val="008C0606"/>
    <w:rsid w:val="008C0BA5"/>
    <w:rsid w:val="008C0CCB"/>
    <w:rsid w:val="008C0DE3"/>
    <w:rsid w:val="008C0ED3"/>
    <w:rsid w:val="008C1007"/>
    <w:rsid w:val="008C11EB"/>
    <w:rsid w:val="008C152B"/>
    <w:rsid w:val="008C1AAA"/>
    <w:rsid w:val="008C1C9B"/>
    <w:rsid w:val="008C2216"/>
    <w:rsid w:val="008C2659"/>
    <w:rsid w:val="008C27E8"/>
    <w:rsid w:val="008C28EE"/>
    <w:rsid w:val="008C291C"/>
    <w:rsid w:val="008C29DE"/>
    <w:rsid w:val="008C2A3B"/>
    <w:rsid w:val="008C3BF7"/>
    <w:rsid w:val="008C3CF9"/>
    <w:rsid w:val="008C3EDA"/>
    <w:rsid w:val="008C47AC"/>
    <w:rsid w:val="008C47C4"/>
    <w:rsid w:val="008C4AEE"/>
    <w:rsid w:val="008C4D94"/>
    <w:rsid w:val="008C4EDA"/>
    <w:rsid w:val="008C51DA"/>
    <w:rsid w:val="008C52F2"/>
    <w:rsid w:val="008C568B"/>
    <w:rsid w:val="008C5AF5"/>
    <w:rsid w:val="008C64DC"/>
    <w:rsid w:val="008C696C"/>
    <w:rsid w:val="008C6A5C"/>
    <w:rsid w:val="008C6C61"/>
    <w:rsid w:val="008C7627"/>
    <w:rsid w:val="008C7B18"/>
    <w:rsid w:val="008C7D8D"/>
    <w:rsid w:val="008D0650"/>
    <w:rsid w:val="008D06E2"/>
    <w:rsid w:val="008D073F"/>
    <w:rsid w:val="008D07D2"/>
    <w:rsid w:val="008D0BFF"/>
    <w:rsid w:val="008D0EA9"/>
    <w:rsid w:val="008D0F84"/>
    <w:rsid w:val="008D110D"/>
    <w:rsid w:val="008D1136"/>
    <w:rsid w:val="008D118E"/>
    <w:rsid w:val="008D12D3"/>
    <w:rsid w:val="008D16A4"/>
    <w:rsid w:val="008D1E56"/>
    <w:rsid w:val="008D1FCB"/>
    <w:rsid w:val="008D21FB"/>
    <w:rsid w:val="008D278A"/>
    <w:rsid w:val="008D2838"/>
    <w:rsid w:val="008D2A4A"/>
    <w:rsid w:val="008D2A7D"/>
    <w:rsid w:val="008D2B75"/>
    <w:rsid w:val="008D310C"/>
    <w:rsid w:val="008D31A7"/>
    <w:rsid w:val="008D3A09"/>
    <w:rsid w:val="008D3E5E"/>
    <w:rsid w:val="008D4038"/>
    <w:rsid w:val="008D4045"/>
    <w:rsid w:val="008D53CB"/>
    <w:rsid w:val="008D5604"/>
    <w:rsid w:val="008D5739"/>
    <w:rsid w:val="008D5A38"/>
    <w:rsid w:val="008D5CEA"/>
    <w:rsid w:val="008D6485"/>
    <w:rsid w:val="008D6CEE"/>
    <w:rsid w:val="008D6E89"/>
    <w:rsid w:val="008D7108"/>
    <w:rsid w:val="008D7714"/>
    <w:rsid w:val="008D781C"/>
    <w:rsid w:val="008D7AFA"/>
    <w:rsid w:val="008D7DA9"/>
    <w:rsid w:val="008E0065"/>
    <w:rsid w:val="008E0515"/>
    <w:rsid w:val="008E056E"/>
    <w:rsid w:val="008E05C4"/>
    <w:rsid w:val="008E06B6"/>
    <w:rsid w:val="008E0AAD"/>
    <w:rsid w:val="008E0BFB"/>
    <w:rsid w:val="008E0C94"/>
    <w:rsid w:val="008E0E58"/>
    <w:rsid w:val="008E0FA5"/>
    <w:rsid w:val="008E136C"/>
    <w:rsid w:val="008E141E"/>
    <w:rsid w:val="008E1714"/>
    <w:rsid w:val="008E183F"/>
    <w:rsid w:val="008E189C"/>
    <w:rsid w:val="008E1A05"/>
    <w:rsid w:val="008E1CD7"/>
    <w:rsid w:val="008E1D27"/>
    <w:rsid w:val="008E2712"/>
    <w:rsid w:val="008E276A"/>
    <w:rsid w:val="008E2796"/>
    <w:rsid w:val="008E2AE8"/>
    <w:rsid w:val="008E2D1C"/>
    <w:rsid w:val="008E2F43"/>
    <w:rsid w:val="008E3701"/>
    <w:rsid w:val="008E3903"/>
    <w:rsid w:val="008E3B34"/>
    <w:rsid w:val="008E3B77"/>
    <w:rsid w:val="008E3D3F"/>
    <w:rsid w:val="008E3F88"/>
    <w:rsid w:val="008E3FDF"/>
    <w:rsid w:val="008E43C6"/>
    <w:rsid w:val="008E47CE"/>
    <w:rsid w:val="008E4978"/>
    <w:rsid w:val="008E4B5F"/>
    <w:rsid w:val="008E4BD1"/>
    <w:rsid w:val="008E4C45"/>
    <w:rsid w:val="008E4F0D"/>
    <w:rsid w:val="008E4F32"/>
    <w:rsid w:val="008E4F7C"/>
    <w:rsid w:val="008E513B"/>
    <w:rsid w:val="008E53A6"/>
    <w:rsid w:val="008E54C2"/>
    <w:rsid w:val="008E5B72"/>
    <w:rsid w:val="008E5D49"/>
    <w:rsid w:val="008E624D"/>
    <w:rsid w:val="008E6298"/>
    <w:rsid w:val="008E6505"/>
    <w:rsid w:val="008E65B0"/>
    <w:rsid w:val="008E6956"/>
    <w:rsid w:val="008E6B3D"/>
    <w:rsid w:val="008E6DB5"/>
    <w:rsid w:val="008E726C"/>
    <w:rsid w:val="008E74A4"/>
    <w:rsid w:val="008E75A8"/>
    <w:rsid w:val="008E78BE"/>
    <w:rsid w:val="008E7B51"/>
    <w:rsid w:val="008E7E66"/>
    <w:rsid w:val="008F0250"/>
    <w:rsid w:val="008F02F2"/>
    <w:rsid w:val="008F0845"/>
    <w:rsid w:val="008F0A4A"/>
    <w:rsid w:val="008F0A64"/>
    <w:rsid w:val="008F0DF9"/>
    <w:rsid w:val="008F1421"/>
    <w:rsid w:val="008F1B21"/>
    <w:rsid w:val="008F1BD6"/>
    <w:rsid w:val="008F1C76"/>
    <w:rsid w:val="008F2377"/>
    <w:rsid w:val="008F24BD"/>
    <w:rsid w:val="008F26AE"/>
    <w:rsid w:val="008F292D"/>
    <w:rsid w:val="008F2B26"/>
    <w:rsid w:val="008F2E35"/>
    <w:rsid w:val="008F2EA9"/>
    <w:rsid w:val="008F2FB5"/>
    <w:rsid w:val="008F2FF0"/>
    <w:rsid w:val="008F387E"/>
    <w:rsid w:val="008F3A37"/>
    <w:rsid w:val="008F3B0E"/>
    <w:rsid w:val="008F3C8D"/>
    <w:rsid w:val="008F3D41"/>
    <w:rsid w:val="008F3D86"/>
    <w:rsid w:val="008F40F6"/>
    <w:rsid w:val="008F421D"/>
    <w:rsid w:val="008F43C7"/>
    <w:rsid w:val="008F47EB"/>
    <w:rsid w:val="008F546D"/>
    <w:rsid w:val="008F5724"/>
    <w:rsid w:val="008F5D39"/>
    <w:rsid w:val="008F5E63"/>
    <w:rsid w:val="008F6168"/>
    <w:rsid w:val="008F6317"/>
    <w:rsid w:val="008F66DA"/>
    <w:rsid w:val="008F72B2"/>
    <w:rsid w:val="008F7A39"/>
    <w:rsid w:val="008F7BF2"/>
    <w:rsid w:val="00900233"/>
    <w:rsid w:val="009004C0"/>
    <w:rsid w:val="00900B52"/>
    <w:rsid w:val="00900BE6"/>
    <w:rsid w:val="00900C0C"/>
    <w:rsid w:val="00900F88"/>
    <w:rsid w:val="0090126D"/>
    <w:rsid w:val="00901489"/>
    <w:rsid w:val="009024F2"/>
    <w:rsid w:val="00902C41"/>
    <w:rsid w:val="00902D2A"/>
    <w:rsid w:val="0090315A"/>
    <w:rsid w:val="00903421"/>
    <w:rsid w:val="0090364D"/>
    <w:rsid w:val="00903883"/>
    <w:rsid w:val="0090464D"/>
    <w:rsid w:val="00904AF0"/>
    <w:rsid w:val="00904FBE"/>
    <w:rsid w:val="009058D7"/>
    <w:rsid w:val="00905BF6"/>
    <w:rsid w:val="00905EC4"/>
    <w:rsid w:val="009065AC"/>
    <w:rsid w:val="009065F8"/>
    <w:rsid w:val="009069F0"/>
    <w:rsid w:val="00906A08"/>
    <w:rsid w:val="00906B58"/>
    <w:rsid w:val="00906BDF"/>
    <w:rsid w:val="00906D38"/>
    <w:rsid w:val="009075A0"/>
    <w:rsid w:val="009078EE"/>
    <w:rsid w:val="00907A3A"/>
    <w:rsid w:val="00907F21"/>
    <w:rsid w:val="009105BF"/>
    <w:rsid w:val="0091073A"/>
    <w:rsid w:val="00910879"/>
    <w:rsid w:val="00910B1C"/>
    <w:rsid w:val="0091135B"/>
    <w:rsid w:val="0091181D"/>
    <w:rsid w:val="00911E3E"/>
    <w:rsid w:val="00911EAF"/>
    <w:rsid w:val="00912521"/>
    <w:rsid w:val="00912579"/>
    <w:rsid w:val="00912811"/>
    <w:rsid w:val="00912E7B"/>
    <w:rsid w:val="00912EA2"/>
    <w:rsid w:val="009134D7"/>
    <w:rsid w:val="00913FD3"/>
    <w:rsid w:val="009145C1"/>
    <w:rsid w:val="009146BD"/>
    <w:rsid w:val="0091473D"/>
    <w:rsid w:val="00914AA0"/>
    <w:rsid w:val="00914C1F"/>
    <w:rsid w:val="00914F1D"/>
    <w:rsid w:val="00915149"/>
    <w:rsid w:val="0091536A"/>
    <w:rsid w:val="00915822"/>
    <w:rsid w:val="00915A98"/>
    <w:rsid w:val="00915BD5"/>
    <w:rsid w:val="009166C2"/>
    <w:rsid w:val="009167DD"/>
    <w:rsid w:val="00916864"/>
    <w:rsid w:val="00916B98"/>
    <w:rsid w:val="009172E0"/>
    <w:rsid w:val="00917890"/>
    <w:rsid w:val="00917A06"/>
    <w:rsid w:val="00917BC7"/>
    <w:rsid w:val="00917FC4"/>
    <w:rsid w:val="00920029"/>
    <w:rsid w:val="00920045"/>
    <w:rsid w:val="00920056"/>
    <w:rsid w:val="00920928"/>
    <w:rsid w:val="0092092F"/>
    <w:rsid w:val="00920ECD"/>
    <w:rsid w:val="00921708"/>
    <w:rsid w:val="00921846"/>
    <w:rsid w:val="0092266C"/>
    <w:rsid w:val="00922A0F"/>
    <w:rsid w:val="00922BC8"/>
    <w:rsid w:val="009232A6"/>
    <w:rsid w:val="00923608"/>
    <w:rsid w:val="00923EA6"/>
    <w:rsid w:val="00923F4E"/>
    <w:rsid w:val="0092410A"/>
    <w:rsid w:val="00924C08"/>
    <w:rsid w:val="00924CB4"/>
    <w:rsid w:val="00924E75"/>
    <w:rsid w:val="00924FE3"/>
    <w:rsid w:val="0092562A"/>
    <w:rsid w:val="009256B4"/>
    <w:rsid w:val="0092582A"/>
    <w:rsid w:val="00925982"/>
    <w:rsid w:val="009259A6"/>
    <w:rsid w:val="00925BCF"/>
    <w:rsid w:val="00925C53"/>
    <w:rsid w:val="00925F68"/>
    <w:rsid w:val="0092610B"/>
    <w:rsid w:val="009268FC"/>
    <w:rsid w:val="0092696A"/>
    <w:rsid w:val="00926BB5"/>
    <w:rsid w:val="00927397"/>
    <w:rsid w:val="009279B5"/>
    <w:rsid w:val="00927ACA"/>
    <w:rsid w:val="009300C5"/>
    <w:rsid w:val="00930368"/>
    <w:rsid w:val="0093040E"/>
    <w:rsid w:val="0093099A"/>
    <w:rsid w:val="009309AD"/>
    <w:rsid w:val="00930E09"/>
    <w:rsid w:val="009310BE"/>
    <w:rsid w:val="00931227"/>
    <w:rsid w:val="009314CD"/>
    <w:rsid w:val="0093170E"/>
    <w:rsid w:val="00931BC1"/>
    <w:rsid w:val="00931DEF"/>
    <w:rsid w:val="0093247D"/>
    <w:rsid w:val="00932645"/>
    <w:rsid w:val="009326E7"/>
    <w:rsid w:val="0093292E"/>
    <w:rsid w:val="00932CC7"/>
    <w:rsid w:val="00932CD7"/>
    <w:rsid w:val="009330FA"/>
    <w:rsid w:val="0093313E"/>
    <w:rsid w:val="0093315B"/>
    <w:rsid w:val="0093326F"/>
    <w:rsid w:val="00933737"/>
    <w:rsid w:val="00933745"/>
    <w:rsid w:val="009337AC"/>
    <w:rsid w:val="00933967"/>
    <w:rsid w:val="00933B9E"/>
    <w:rsid w:val="00933FF7"/>
    <w:rsid w:val="009341F4"/>
    <w:rsid w:val="00934885"/>
    <w:rsid w:val="00934A63"/>
    <w:rsid w:val="00934C71"/>
    <w:rsid w:val="00934DAA"/>
    <w:rsid w:val="00935285"/>
    <w:rsid w:val="0093576A"/>
    <w:rsid w:val="00935B50"/>
    <w:rsid w:val="00936053"/>
    <w:rsid w:val="009365D4"/>
    <w:rsid w:val="009366A7"/>
    <w:rsid w:val="00936C9E"/>
    <w:rsid w:val="0093701F"/>
    <w:rsid w:val="009372EC"/>
    <w:rsid w:val="009377A2"/>
    <w:rsid w:val="00937926"/>
    <w:rsid w:val="00937B72"/>
    <w:rsid w:val="00937CFC"/>
    <w:rsid w:val="00937DD6"/>
    <w:rsid w:val="00937F03"/>
    <w:rsid w:val="009400CE"/>
    <w:rsid w:val="00940261"/>
    <w:rsid w:val="00940A90"/>
    <w:rsid w:val="00940B1D"/>
    <w:rsid w:val="00940DA2"/>
    <w:rsid w:val="0094106E"/>
    <w:rsid w:val="00941413"/>
    <w:rsid w:val="00941544"/>
    <w:rsid w:val="009415FA"/>
    <w:rsid w:val="009417A7"/>
    <w:rsid w:val="0094195B"/>
    <w:rsid w:val="00941E66"/>
    <w:rsid w:val="00941F1A"/>
    <w:rsid w:val="00942462"/>
    <w:rsid w:val="009425EE"/>
    <w:rsid w:val="009427F0"/>
    <w:rsid w:val="00942D6B"/>
    <w:rsid w:val="009435EC"/>
    <w:rsid w:val="00943D1A"/>
    <w:rsid w:val="00943ED4"/>
    <w:rsid w:val="00944265"/>
    <w:rsid w:val="00944746"/>
    <w:rsid w:val="00944DEA"/>
    <w:rsid w:val="00944F39"/>
    <w:rsid w:val="009452F9"/>
    <w:rsid w:val="0094550E"/>
    <w:rsid w:val="00945C4A"/>
    <w:rsid w:val="00945F61"/>
    <w:rsid w:val="00946277"/>
    <w:rsid w:val="0094658C"/>
    <w:rsid w:val="00946694"/>
    <w:rsid w:val="009466E7"/>
    <w:rsid w:val="009467E3"/>
    <w:rsid w:val="00947034"/>
    <w:rsid w:val="00947154"/>
    <w:rsid w:val="00947326"/>
    <w:rsid w:val="009474D1"/>
    <w:rsid w:val="009475B2"/>
    <w:rsid w:val="00947707"/>
    <w:rsid w:val="00947D37"/>
    <w:rsid w:val="00947DC2"/>
    <w:rsid w:val="00950034"/>
    <w:rsid w:val="009504E2"/>
    <w:rsid w:val="009504EA"/>
    <w:rsid w:val="00950729"/>
    <w:rsid w:val="00951124"/>
    <w:rsid w:val="009516CE"/>
    <w:rsid w:val="009517D7"/>
    <w:rsid w:val="00951B22"/>
    <w:rsid w:val="00951BE8"/>
    <w:rsid w:val="00951C04"/>
    <w:rsid w:val="00951C06"/>
    <w:rsid w:val="00952061"/>
    <w:rsid w:val="0095222E"/>
    <w:rsid w:val="00952665"/>
    <w:rsid w:val="009528AC"/>
    <w:rsid w:val="00952E11"/>
    <w:rsid w:val="00952E24"/>
    <w:rsid w:val="00952E69"/>
    <w:rsid w:val="00952EF3"/>
    <w:rsid w:val="00952F3F"/>
    <w:rsid w:val="00952FC1"/>
    <w:rsid w:val="00952FF2"/>
    <w:rsid w:val="009531BE"/>
    <w:rsid w:val="00953333"/>
    <w:rsid w:val="00953C0A"/>
    <w:rsid w:val="00954163"/>
    <w:rsid w:val="00954951"/>
    <w:rsid w:val="00954994"/>
    <w:rsid w:val="009551A8"/>
    <w:rsid w:val="0095565F"/>
    <w:rsid w:val="00955676"/>
    <w:rsid w:val="009557BA"/>
    <w:rsid w:val="009560F9"/>
    <w:rsid w:val="00956430"/>
    <w:rsid w:val="00956D18"/>
    <w:rsid w:val="00956FF7"/>
    <w:rsid w:val="00957679"/>
    <w:rsid w:val="00957746"/>
    <w:rsid w:val="0095777D"/>
    <w:rsid w:val="009578AF"/>
    <w:rsid w:val="00957D95"/>
    <w:rsid w:val="00957FD7"/>
    <w:rsid w:val="00960021"/>
    <w:rsid w:val="00960266"/>
    <w:rsid w:val="00960473"/>
    <w:rsid w:val="00960486"/>
    <w:rsid w:val="00960488"/>
    <w:rsid w:val="00960687"/>
    <w:rsid w:val="00960773"/>
    <w:rsid w:val="00960A54"/>
    <w:rsid w:val="00960B08"/>
    <w:rsid w:val="009612B6"/>
    <w:rsid w:val="009617FB"/>
    <w:rsid w:val="00961A70"/>
    <w:rsid w:val="009621E6"/>
    <w:rsid w:val="00962394"/>
    <w:rsid w:val="00962439"/>
    <w:rsid w:val="00962E85"/>
    <w:rsid w:val="00963237"/>
    <w:rsid w:val="00963309"/>
    <w:rsid w:val="009633BB"/>
    <w:rsid w:val="009634F0"/>
    <w:rsid w:val="00963A83"/>
    <w:rsid w:val="009647AF"/>
    <w:rsid w:val="00964840"/>
    <w:rsid w:val="0096488D"/>
    <w:rsid w:val="009649A5"/>
    <w:rsid w:val="00964BBF"/>
    <w:rsid w:val="00964E76"/>
    <w:rsid w:val="00964F57"/>
    <w:rsid w:val="009653F7"/>
    <w:rsid w:val="00965A5D"/>
    <w:rsid w:val="00965A70"/>
    <w:rsid w:val="00966008"/>
    <w:rsid w:val="009664F4"/>
    <w:rsid w:val="009665F7"/>
    <w:rsid w:val="009667D3"/>
    <w:rsid w:val="00966DE4"/>
    <w:rsid w:val="00966E86"/>
    <w:rsid w:val="00967069"/>
    <w:rsid w:val="009701FC"/>
    <w:rsid w:val="00970331"/>
    <w:rsid w:val="00970390"/>
    <w:rsid w:val="00970F41"/>
    <w:rsid w:val="00971624"/>
    <w:rsid w:val="009719DA"/>
    <w:rsid w:val="0097213C"/>
    <w:rsid w:val="0097248E"/>
    <w:rsid w:val="009734B7"/>
    <w:rsid w:val="00973659"/>
    <w:rsid w:val="0097369A"/>
    <w:rsid w:val="00973701"/>
    <w:rsid w:val="00973EB7"/>
    <w:rsid w:val="009749F0"/>
    <w:rsid w:val="00974B09"/>
    <w:rsid w:val="009763EE"/>
    <w:rsid w:val="0097651A"/>
    <w:rsid w:val="00976EBE"/>
    <w:rsid w:val="0097709C"/>
    <w:rsid w:val="00977293"/>
    <w:rsid w:val="009773C9"/>
    <w:rsid w:val="00977591"/>
    <w:rsid w:val="009776D7"/>
    <w:rsid w:val="00977AB7"/>
    <w:rsid w:val="00977B76"/>
    <w:rsid w:val="00977D3C"/>
    <w:rsid w:val="0098022E"/>
    <w:rsid w:val="00980284"/>
    <w:rsid w:val="009803DE"/>
    <w:rsid w:val="00980559"/>
    <w:rsid w:val="00980632"/>
    <w:rsid w:val="009807EC"/>
    <w:rsid w:val="009813EB"/>
    <w:rsid w:val="0098175A"/>
    <w:rsid w:val="00981C0F"/>
    <w:rsid w:val="009826B1"/>
    <w:rsid w:val="00982785"/>
    <w:rsid w:val="00982F4F"/>
    <w:rsid w:val="009831AA"/>
    <w:rsid w:val="009832DC"/>
    <w:rsid w:val="00983400"/>
    <w:rsid w:val="009838A7"/>
    <w:rsid w:val="00983BA9"/>
    <w:rsid w:val="0098404C"/>
    <w:rsid w:val="009840C0"/>
    <w:rsid w:val="00984118"/>
    <w:rsid w:val="00984322"/>
    <w:rsid w:val="009848DE"/>
    <w:rsid w:val="009849E3"/>
    <w:rsid w:val="00984B1B"/>
    <w:rsid w:val="00984CF1"/>
    <w:rsid w:val="00984F99"/>
    <w:rsid w:val="009851B1"/>
    <w:rsid w:val="0098537C"/>
    <w:rsid w:val="009854AD"/>
    <w:rsid w:val="009857DD"/>
    <w:rsid w:val="00985889"/>
    <w:rsid w:val="00985A75"/>
    <w:rsid w:val="00985B69"/>
    <w:rsid w:val="00985D85"/>
    <w:rsid w:val="00986BD9"/>
    <w:rsid w:val="00987412"/>
    <w:rsid w:val="00987539"/>
    <w:rsid w:val="00987583"/>
    <w:rsid w:val="00987DB9"/>
    <w:rsid w:val="00990105"/>
    <w:rsid w:val="0099019D"/>
    <w:rsid w:val="0099056D"/>
    <w:rsid w:val="00990AAF"/>
    <w:rsid w:val="00990B69"/>
    <w:rsid w:val="00990C3D"/>
    <w:rsid w:val="00990EE2"/>
    <w:rsid w:val="00990F13"/>
    <w:rsid w:val="009919C9"/>
    <w:rsid w:val="00991C36"/>
    <w:rsid w:val="00991D70"/>
    <w:rsid w:val="00991DDB"/>
    <w:rsid w:val="0099207F"/>
    <w:rsid w:val="009927BA"/>
    <w:rsid w:val="00992E8C"/>
    <w:rsid w:val="00992F1F"/>
    <w:rsid w:val="009932F0"/>
    <w:rsid w:val="009933D1"/>
    <w:rsid w:val="0099361D"/>
    <w:rsid w:val="009938E8"/>
    <w:rsid w:val="0099390B"/>
    <w:rsid w:val="00993BCF"/>
    <w:rsid w:val="00993EF6"/>
    <w:rsid w:val="0099409A"/>
    <w:rsid w:val="00994201"/>
    <w:rsid w:val="009942E8"/>
    <w:rsid w:val="0099437F"/>
    <w:rsid w:val="0099445D"/>
    <w:rsid w:val="00994623"/>
    <w:rsid w:val="00994806"/>
    <w:rsid w:val="0099483D"/>
    <w:rsid w:val="00994BE2"/>
    <w:rsid w:val="00995274"/>
    <w:rsid w:val="00995929"/>
    <w:rsid w:val="00995E64"/>
    <w:rsid w:val="00995F5B"/>
    <w:rsid w:val="00995F5D"/>
    <w:rsid w:val="00996004"/>
    <w:rsid w:val="009966C3"/>
    <w:rsid w:val="009969B0"/>
    <w:rsid w:val="00996A46"/>
    <w:rsid w:val="00997315"/>
    <w:rsid w:val="00997430"/>
    <w:rsid w:val="0099747D"/>
    <w:rsid w:val="009974D3"/>
    <w:rsid w:val="0099756E"/>
    <w:rsid w:val="009975A1"/>
    <w:rsid w:val="009975BE"/>
    <w:rsid w:val="009977FD"/>
    <w:rsid w:val="009A00F2"/>
    <w:rsid w:val="009A0172"/>
    <w:rsid w:val="009A02E8"/>
    <w:rsid w:val="009A0469"/>
    <w:rsid w:val="009A047A"/>
    <w:rsid w:val="009A057E"/>
    <w:rsid w:val="009A065A"/>
    <w:rsid w:val="009A0A3F"/>
    <w:rsid w:val="009A0E59"/>
    <w:rsid w:val="009A1444"/>
    <w:rsid w:val="009A1553"/>
    <w:rsid w:val="009A1B69"/>
    <w:rsid w:val="009A1D3E"/>
    <w:rsid w:val="009A23C6"/>
    <w:rsid w:val="009A271D"/>
    <w:rsid w:val="009A2923"/>
    <w:rsid w:val="009A2C7E"/>
    <w:rsid w:val="009A32C0"/>
    <w:rsid w:val="009A3C42"/>
    <w:rsid w:val="009A410C"/>
    <w:rsid w:val="009A4141"/>
    <w:rsid w:val="009A4175"/>
    <w:rsid w:val="009A44E9"/>
    <w:rsid w:val="009A4954"/>
    <w:rsid w:val="009A4BC8"/>
    <w:rsid w:val="009A5630"/>
    <w:rsid w:val="009A577B"/>
    <w:rsid w:val="009A5A0E"/>
    <w:rsid w:val="009A5EA1"/>
    <w:rsid w:val="009A6192"/>
    <w:rsid w:val="009A62B8"/>
    <w:rsid w:val="009A6502"/>
    <w:rsid w:val="009A661A"/>
    <w:rsid w:val="009A7007"/>
    <w:rsid w:val="009A718E"/>
    <w:rsid w:val="009A7701"/>
    <w:rsid w:val="009A78D4"/>
    <w:rsid w:val="009A7C1B"/>
    <w:rsid w:val="009A7CD0"/>
    <w:rsid w:val="009B079C"/>
    <w:rsid w:val="009B0D31"/>
    <w:rsid w:val="009B0FBD"/>
    <w:rsid w:val="009B1379"/>
    <w:rsid w:val="009B15D8"/>
    <w:rsid w:val="009B18E7"/>
    <w:rsid w:val="009B1AEC"/>
    <w:rsid w:val="009B1BA7"/>
    <w:rsid w:val="009B244F"/>
    <w:rsid w:val="009B2608"/>
    <w:rsid w:val="009B27B1"/>
    <w:rsid w:val="009B2A04"/>
    <w:rsid w:val="009B318F"/>
    <w:rsid w:val="009B3429"/>
    <w:rsid w:val="009B3A3A"/>
    <w:rsid w:val="009B3A56"/>
    <w:rsid w:val="009B3B6E"/>
    <w:rsid w:val="009B3C9F"/>
    <w:rsid w:val="009B3D56"/>
    <w:rsid w:val="009B3DD2"/>
    <w:rsid w:val="009B44EF"/>
    <w:rsid w:val="009B462D"/>
    <w:rsid w:val="009B47E6"/>
    <w:rsid w:val="009B48AA"/>
    <w:rsid w:val="009B4FC2"/>
    <w:rsid w:val="009B51C4"/>
    <w:rsid w:val="009B5226"/>
    <w:rsid w:val="009B5474"/>
    <w:rsid w:val="009B54B2"/>
    <w:rsid w:val="009B577D"/>
    <w:rsid w:val="009B5BBF"/>
    <w:rsid w:val="009B5FA3"/>
    <w:rsid w:val="009B60CC"/>
    <w:rsid w:val="009B62F0"/>
    <w:rsid w:val="009B6723"/>
    <w:rsid w:val="009B681E"/>
    <w:rsid w:val="009B6B53"/>
    <w:rsid w:val="009B6DB9"/>
    <w:rsid w:val="009B6E3D"/>
    <w:rsid w:val="009B7069"/>
    <w:rsid w:val="009B7DBB"/>
    <w:rsid w:val="009C043A"/>
    <w:rsid w:val="009C058E"/>
    <w:rsid w:val="009C08C6"/>
    <w:rsid w:val="009C0BA1"/>
    <w:rsid w:val="009C0C21"/>
    <w:rsid w:val="009C0D74"/>
    <w:rsid w:val="009C0E19"/>
    <w:rsid w:val="009C10FD"/>
    <w:rsid w:val="009C118A"/>
    <w:rsid w:val="009C1305"/>
    <w:rsid w:val="009C1353"/>
    <w:rsid w:val="009C1501"/>
    <w:rsid w:val="009C1E13"/>
    <w:rsid w:val="009C207D"/>
    <w:rsid w:val="009C22F8"/>
    <w:rsid w:val="009C2352"/>
    <w:rsid w:val="009C2390"/>
    <w:rsid w:val="009C27D3"/>
    <w:rsid w:val="009C31C9"/>
    <w:rsid w:val="009C32AE"/>
    <w:rsid w:val="009C3484"/>
    <w:rsid w:val="009C362D"/>
    <w:rsid w:val="009C3A08"/>
    <w:rsid w:val="009C3AE6"/>
    <w:rsid w:val="009C3FD7"/>
    <w:rsid w:val="009C450E"/>
    <w:rsid w:val="009C45E4"/>
    <w:rsid w:val="009C4681"/>
    <w:rsid w:val="009C4A03"/>
    <w:rsid w:val="009C4DB7"/>
    <w:rsid w:val="009C5234"/>
    <w:rsid w:val="009C580C"/>
    <w:rsid w:val="009C58D1"/>
    <w:rsid w:val="009C5E4D"/>
    <w:rsid w:val="009C62E7"/>
    <w:rsid w:val="009C6635"/>
    <w:rsid w:val="009C6A19"/>
    <w:rsid w:val="009C76BC"/>
    <w:rsid w:val="009D01DD"/>
    <w:rsid w:val="009D02E6"/>
    <w:rsid w:val="009D051E"/>
    <w:rsid w:val="009D087C"/>
    <w:rsid w:val="009D0CDC"/>
    <w:rsid w:val="009D0FDC"/>
    <w:rsid w:val="009D1221"/>
    <w:rsid w:val="009D1627"/>
    <w:rsid w:val="009D17D4"/>
    <w:rsid w:val="009D1ABB"/>
    <w:rsid w:val="009D1C1B"/>
    <w:rsid w:val="009D1CE0"/>
    <w:rsid w:val="009D246B"/>
    <w:rsid w:val="009D260B"/>
    <w:rsid w:val="009D27EE"/>
    <w:rsid w:val="009D2C06"/>
    <w:rsid w:val="009D2E80"/>
    <w:rsid w:val="009D316D"/>
    <w:rsid w:val="009D355F"/>
    <w:rsid w:val="009D3701"/>
    <w:rsid w:val="009D37FF"/>
    <w:rsid w:val="009D3C23"/>
    <w:rsid w:val="009D4052"/>
    <w:rsid w:val="009D467D"/>
    <w:rsid w:val="009D46A2"/>
    <w:rsid w:val="009D46A6"/>
    <w:rsid w:val="009D4706"/>
    <w:rsid w:val="009D48D6"/>
    <w:rsid w:val="009D4C05"/>
    <w:rsid w:val="009D4D25"/>
    <w:rsid w:val="009D4E71"/>
    <w:rsid w:val="009D4F77"/>
    <w:rsid w:val="009D51D5"/>
    <w:rsid w:val="009D5366"/>
    <w:rsid w:val="009D5429"/>
    <w:rsid w:val="009D56E8"/>
    <w:rsid w:val="009D6931"/>
    <w:rsid w:val="009D69D0"/>
    <w:rsid w:val="009D71B0"/>
    <w:rsid w:val="009D7324"/>
    <w:rsid w:val="009D75DC"/>
    <w:rsid w:val="009D7972"/>
    <w:rsid w:val="009D79D6"/>
    <w:rsid w:val="009D7B81"/>
    <w:rsid w:val="009D7F85"/>
    <w:rsid w:val="009E013E"/>
    <w:rsid w:val="009E033E"/>
    <w:rsid w:val="009E0460"/>
    <w:rsid w:val="009E0531"/>
    <w:rsid w:val="009E0991"/>
    <w:rsid w:val="009E0ABE"/>
    <w:rsid w:val="009E0BC2"/>
    <w:rsid w:val="009E0CA4"/>
    <w:rsid w:val="009E0E65"/>
    <w:rsid w:val="009E13AB"/>
    <w:rsid w:val="009E1601"/>
    <w:rsid w:val="009E1675"/>
    <w:rsid w:val="009E1889"/>
    <w:rsid w:val="009E1AD0"/>
    <w:rsid w:val="009E1F75"/>
    <w:rsid w:val="009E2010"/>
    <w:rsid w:val="009E25D8"/>
    <w:rsid w:val="009E2677"/>
    <w:rsid w:val="009E2EA2"/>
    <w:rsid w:val="009E2F92"/>
    <w:rsid w:val="009E3249"/>
    <w:rsid w:val="009E340D"/>
    <w:rsid w:val="009E3650"/>
    <w:rsid w:val="009E3675"/>
    <w:rsid w:val="009E373B"/>
    <w:rsid w:val="009E379C"/>
    <w:rsid w:val="009E3CEF"/>
    <w:rsid w:val="009E3D4E"/>
    <w:rsid w:val="009E3FEC"/>
    <w:rsid w:val="009E401F"/>
    <w:rsid w:val="009E4419"/>
    <w:rsid w:val="009E46D8"/>
    <w:rsid w:val="009E4838"/>
    <w:rsid w:val="009E4C3B"/>
    <w:rsid w:val="009E51E9"/>
    <w:rsid w:val="009E53D2"/>
    <w:rsid w:val="009E57F5"/>
    <w:rsid w:val="009E6310"/>
    <w:rsid w:val="009E64FB"/>
    <w:rsid w:val="009E6B22"/>
    <w:rsid w:val="009E6B44"/>
    <w:rsid w:val="009E6E7B"/>
    <w:rsid w:val="009E6F06"/>
    <w:rsid w:val="009E7348"/>
    <w:rsid w:val="009E7480"/>
    <w:rsid w:val="009E7800"/>
    <w:rsid w:val="009E7BFB"/>
    <w:rsid w:val="009F0025"/>
    <w:rsid w:val="009F0658"/>
    <w:rsid w:val="009F06A9"/>
    <w:rsid w:val="009F0A8D"/>
    <w:rsid w:val="009F0C86"/>
    <w:rsid w:val="009F1145"/>
    <w:rsid w:val="009F1641"/>
    <w:rsid w:val="009F1D8A"/>
    <w:rsid w:val="009F1EBB"/>
    <w:rsid w:val="009F200E"/>
    <w:rsid w:val="009F2356"/>
    <w:rsid w:val="009F24E4"/>
    <w:rsid w:val="009F28C7"/>
    <w:rsid w:val="009F2909"/>
    <w:rsid w:val="009F2C5C"/>
    <w:rsid w:val="009F2EFC"/>
    <w:rsid w:val="009F3366"/>
    <w:rsid w:val="009F357E"/>
    <w:rsid w:val="009F3899"/>
    <w:rsid w:val="009F4EFA"/>
    <w:rsid w:val="009F56B2"/>
    <w:rsid w:val="009F57E0"/>
    <w:rsid w:val="009F5893"/>
    <w:rsid w:val="009F5C79"/>
    <w:rsid w:val="009F6118"/>
    <w:rsid w:val="009F624B"/>
    <w:rsid w:val="009F671A"/>
    <w:rsid w:val="009F6AD5"/>
    <w:rsid w:val="009F6B0E"/>
    <w:rsid w:val="009F705E"/>
    <w:rsid w:val="009F70A9"/>
    <w:rsid w:val="009F7249"/>
    <w:rsid w:val="009F77E6"/>
    <w:rsid w:val="009F7843"/>
    <w:rsid w:val="009F7C14"/>
    <w:rsid w:val="009F7F58"/>
    <w:rsid w:val="00A004B6"/>
    <w:rsid w:val="00A00AA6"/>
    <w:rsid w:val="00A00D8D"/>
    <w:rsid w:val="00A00F74"/>
    <w:rsid w:val="00A01009"/>
    <w:rsid w:val="00A010AB"/>
    <w:rsid w:val="00A0111F"/>
    <w:rsid w:val="00A014E2"/>
    <w:rsid w:val="00A01546"/>
    <w:rsid w:val="00A015FE"/>
    <w:rsid w:val="00A01730"/>
    <w:rsid w:val="00A02180"/>
    <w:rsid w:val="00A022D5"/>
    <w:rsid w:val="00A025C3"/>
    <w:rsid w:val="00A0262C"/>
    <w:rsid w:val="00A02CCF"/>
    <w:rsid w:val="00A032F9"/>
    <w:rsid w:val="00A033DB"/>
    <w:rsid w:val="00A0352B"/>
    <w:rsid w:val="00A037E2"/>
    <w:rsid w:val="00A040D9"/>
    <w:rsid w:val="00A042B0"/>
    <w:rsid w:val="00A048BA"/>
    <w:rsid w:val="00A049A7"/>
    <w:rsid w:val="00A049AB"/>
    <w:rsid w:val="00A04B35"/>
    <w:rsid w:val="00A04CEF"/>
    <w:rsid w:val="00A04E2B"/>
    <w:rsid w:val="00A04F4A"/>
    <w:rsid w:val="00A04F7B"/>
    <w:rsid w:val="00A05270"/>
    <w:rsid w:val="00A053C9"/>
    <w:rsid w:val="00A0544C"/>
    <w:rsid w:val="00A057CA"/>
    <w:rsid w:val="00A05B0B"/>
    <w:rsid w:val="00A05DA9"/>
    <w:rsid w:val="00A05DD5"/>
    <w:rsid w:val="00A05FDC"/>
    <w:rsid w:val="00A0600D"/>
    <w:rsid w:val="00A06631"/>
    <w:rsid w:val="00A06817"/>
    <w:rsid w:val="00A068D9"/>
    <w:rsid w:val="00A06DBE"/>
    <w:rsid w:val="00A07059"/>
    <w:rsid w:val="00A0751D"/>
    <w:rsid w:val="00A076ED"/>
    <w:rsid w:val="00A079FD"/>
    <w:rsid w:val="00A07B98"/>
    <w:rsid w:val="00A07BE4"/>
    <w:rsid w:val="00A1067E"/>
    <w:rsid w:val="00A10C43"/>
    <w:rsid w:val="00A10E1A"/>
    <w:rsid w:val="00A110ED"/>
    <w:rsid w:val="00A111DF"/>
    <w:rsid w:val="00A1138E"/>
    <w:rsid w:val="00A11B64"/>
    <w:rsid w:val="00A12895"/>
    <w:rsid w:val="00A12B6E"/>
    <w:rsid w:val="00A12FB8"/>
    <w:rsid w:val="00A13852"/>
    <w:rsid w:val="00A1391C"/>
    <w:rsid w:val="00A1398C"/>
    <w:rsid w:val="00A13A74"/>
    <w:rsid w:val="00A13BA1"/>
    <w:rsid w:val="00A146C2"/>
    <w:rsid w:val="00A14733"/>
    <w:rsid w:val="00A147CA"/>
    <w:rsid w:val="00A147FE"/>
    <w:rsid w:val="00A14C0D"/>
    <w:rsid w:val="00A156CD"/>
    <w:rsid w:val="00A158EC"/>
    <w:rsid w:val="00A15A88"/>
    <w:rsid w:val="00A15B9F"/>
    <w:rsid w:val="00A15EFC"/>
    <w:rsid w:val="00A16054"/>
    <w:rsid w:val="00A16361"/>
    <w:rsid w:val="00A16F51"/>
    <w:rsid w:val="00A1720F"/>
    <w:rsid w:val="00A1763B"/>
    <w:rsid w:val="00A176B6"/>
    <w:rsid w:val="00A20266"/>
    <w:rsid w:val="00A202CA"/>
    <w:rsid w:val="00A20879"/>
    <w:rsid w:val="00A20C41"/>
    <w:rsid w:val="00A20D7A"/>
    <w:rsid w:val="00A2129C"/>
    <w:rsid w:val="00A21C3C"/>
    <w:rsid w:val="00A21E58"/>
    <w:rsid w:val="00A2248D"/>
    <w:rsid w:val="00A224B6"/>
    <w:rsid w:val="00A22AE2"/>
    <w:rsid w:val="00A22B67"/>
    <w:rsid w:val="00A22C2E"/>
    <w:rsid w:val="00A22D3C"/>
    <w:rsid w:val="00A23648"/>
    <w:rsid w:val="00A23A5B"/>
    <w:rsid w:val="00A2464A"/>
    <w:rsid w:val="00A2489A"/>
    <w:rsid w:val="00A24BC1"/>
    <w:rsid w:val="00A24C5F"/>
    <w:rsid w:val="00A24F51"/>
    <w:rsid w:val="00A2533B"/>
    <w:rsid w:val="00A2568B"/>
    <w:rsid w:val="00A257F9"/>
    <w:rsid w:val="00A2587F"/>
    <w:rsid w:val="00A25E4B"/>
    <w:rsid w:val="00A2691D"/>
    <w:rsid w:val="00A26DD4"/>
    <w:rsid w:val="00A272A7"/>
    <w:rsid w:val="00A273E8"/>
    <w:rsid w:val="00A27466"/>
    <w:rsid w:val="00A274E7"/>
    <w:rsid w:val="00A303B9"/>
    <w:rsid w:val="00A3078C"/>
    <w:rsid w:val="00A30C5B"/>
    <w:rsid w:val="00A312D2"/>
    <w:rsid w:val="00A314D8"/>
    <w:rsid w:val="00A31807"/>
    <w:rsid w:val="00A31879"/>
    <w:rsid w:val="00A323DF"/>
    <w:rsid w:val="00A32ACA"/>
    <w:rsid w:val="00A32C09"/>
    <w:rsid w:val="00A3350E"/>
    <w:rsid w:val="00A33520"/>
    <w:rsid w:val="00A338AD"/>
    <w:rsid w:val="00A33B79"/>
    <w:rsid w:val="00A33C5B"/>
    <w:rsid w:val="00A33CE1"/>
    <w:rsid w:val="00A33D3E"/>
    <w:rsid w:val="00A33ECF"/>
    <w:rsid w:val="00A34081"/>
    <w:rsid w:val="00A34A87"/>
    <w:rsid w:val="00A35298"/>
    <w:rsid w:val="00A35392"/>
    <w:rsid w:val="00A35817"/>
    <w:rsid w:val="00A35CCA"/>
    <w:rsid w:val="00A35D0A"/>
    <w:rsid w:val="00A3606E"/>
    <w:rsid w:val="00A36C05"/>
    <w:rsid w:val="00A36EC9"/>
    <w:rsid w:val="00A36FE9"/>
    <w:rsid w:val="00A37472"/>
    <w:rsid w:val="00A375B8"/>
    <w:rsid w:val="00A375FB"/>
    <w:rsid w:val="00A37925"/>
    <w:rsid w:val="00A37B98"/>
    <w:rsid w:val="00A37E39"/>
    <w:rsid w:val="00A37F22"/>
    <w:rsid w:val="00A41752"/>
    <w:rsid w:val="00A41ECC"/>
    <w:rsid w:val="00A422BD"/>
    <w:rsid w:val="00A423C4"/>
    <w:rsid w:val="00A423DA"/>
    <w:rsid w:val="00A42481"/>
    <w:rsid w:val="00A42504"/>
    <w:rsid w:val="00A42651"/>
    <w:rsid w:val="00A426C7"/>
    <w:rsid w:val="00A429E7"/>
    <w:rsid w:val="00A42A78"/>
    <w:rsid w:val="00A42AAF"/>
    <w:rsid w:val="00A42B29"/>
    <w:rsid w:val="00A4306E"/>
    <w:rsid w:val="00A43259"/>
    <w:rsid w:val="00A43A4F"/>
    <w:rsid w:val="00A440E3"/>
    <w:rsid w:val="00A44132"/>
    <w:rsid w:val="00A45054"/>
    <w:rsid w:val="00A450E9"/>
    <w:rsid w:val="00A451A2"/>
    <w:rsid w:val="00A45310"/>
    <w:rsid w:val="00A45571"/>
    <w:rsid w:val="00A45719"/>
    <w:rsid w:val="00A45803"/>
    <w:rsid w:val="00A46307"/>
    <w:rsid w:val="00A46977"/>
    <w:rsid w:val="00A46A71"/>
    <w:rsid w:val="00A46ADD"/>
    <w:rsid w:val="00A46F6D"/>
    <w:rsid w:val="00A46F81"/>
    <w:rsid w:val="00A476E4"/>
    <w:rsid w:val="00A479BC"/>
    <w:rsid w:val="00A47CED"/>
    <w:rsid w:val="00A50282"/>
    <w:rsid w:val="00A507CE"/>
    <w:rsid w:val="00A508F8"/>
    <w:rsid w:val="00A50B8E"/>
    <w:rsid w:val="00A50E40"/>
    <w:rsid w:val="00A510F0"/>
    <w:rsid w:val="00A51172"/>
    <w:rsid w:val="00A5177C"/>
    <w:rsid w:val="00A51808"/>
    <w:rsid w:val="00A51A13"/>
    <w:rsid w:val="00A51E0F"/>
    <w:rsid w:val="00A51E51"/>
    <w:rsid w:val="00A51F19"/>
    <w:rsid w:val="00A52CDA"/>
    <w:rsid w:val="00A52DBD"/>
    <w:rsid w:val="00A5353F"/>
    <w:rsid w:val="00A5376B"/>
    <w:rsid w:val="00A5378B"/>
    <w:rsid w:val="00A53818"/>
    <w:rsid w:val="00A542FC"/>
    <w:rsid w:val="00A5458F"/>
    <w:rsid w:val="00A547B3"/>
    <w:rsid w:val="00A54D64"/>
    <w:rsid w:val="00A54E31"/>
    <w:rsid w:val="00A55205"/>
    <w:rsid w:val="00A55543"/>
    <w:rsid w:val="00A556D8"/>
    <w:rsid w:val="00A5575A"/>
    <w:rsid w:val="00A55765"/>
    <w:rsid w:val="00A56174"/>
    <w:rsid w:val="00A5684F"/>
    <w:rsid w:val="00A57955"/>
    <w:rsid w:val="00A579CA"/>
    <w:rsid w:val="00A57CF2"/>
    <w:rsid w:val="00A60A3D"/>
    <w:rsid w:val="00A60BE2"/>
    <w:rsid w:val="00A60CE5"/>
    <w:rsid w:val="00A61151"/>
    <w:rsid w:val="00A614B0"/>
    <w:rsid w:val="00A61A2B"/>
    <w:rsid w:val="00A61FEF"/>
    <w:rsid w:val="00A6200F"/>
    <w:rsid w:val="00A62012"/>
    <w:rsid w:val="00A62335"/>
    <w:rsid w:val="00A623CA"/>
    <w:rsid w:val="00A6277B"/>
    <w:rsid w:val="00A62983"/>
    <w:rsid w:val="00A62989"/>
    <w:rsid w:val="00A62B9A"/>
    <w:rsid w:val="00A62D71"/>
    <w:rsid w:val="00A6307F"/>
    <w:rsid w:val="00A63094"/>
    <w:rsid w:val="00A63225"/>
    <w:rsid w:val="00A6324E"/>
    <w:rsid w:val="00A6371A"/>
    <w:rsid w:val="00A63BFD"/>
    <w:rsid w:val="00A63D6D"/>
    <w:rsid w:val="00A641D6"/>
    <w:rsid w:val="00A64556"/>
    <w:rsid w:val="00A645E8"/>
    <w:rsid w:val="00A648A0"/>
    <w:rsid w:val="00A648C7"/>
    <w:rsid w:val="00A64A28"/>
    <w:rsid w:val="00A6517D"/>
    <w:rsid w:val="00A65B8F"/>
    <w:rsid w:val="00A65DC5"/>
    <w:rsid w:val="00A65EF9"/>
    <w:rsid w:val="00A65F18"/>
    <w:rsid w:val="00A663F1"/>
    <w:rsid w:val="00A66404"/>
    <w:rsid w:val="00A6646E"/>
    <w:rsid w:val="00A6695F"/>
    <w:rsid w:val="00A66DEF"/>
    <w:rsid w:val="00A66F4D"/>
    <w:rsid w:val="00A6707E"/>
    <w:rsid w:val="00A67724"/>
    <w:rsid w:val="00A677D1"/>
    <w:rsid w:val="00A67A2C"/>
    <w:rsid w:val="00A67BDE"/>
    <w:rsid w:val="00A67DCC"/>
    <w:rsid w:val="00A70076"/>
    <w:rsid w:val="00A70D62"/>
    <w:rsid w:val="00A71249"/>
    <w:rsid w:val="00A71756"/>
    <w:rsid w:val="00A71D1D"/>
    <w:rsid w:val="00A72039"/>
    <w:rsid w:val="00A72C9B"/>
    <w:rsid w:val="00A72CF2"/>
    <w:rsid w:val="00A72D4C"/>
    <w:rsid w:val="00A72E5B"/>
    <w:rsid w:val="00A72E8E"/>
    <w:rsid w:val="00A72F04"/>
    <w:rsid w:val="00A73392"/>
    <w:rsid w:val="00A73435"/>
    <w:rsid w:val="00A735E6"/>
    <w:rsid w:val="00A73715"/>
    <w:rsid w:val="00A73A30"/>
    <w:rsid w:val="00A73AA4"/>
    <w:rsid w:val="00A73B37"/>
    <w:rsid w:val="00A73CD8"/>
    <w:rsid w:val="00A73DB5"/>
    <w:rsid w:val="00A7414A"/>
    <w:rsid w:val="00A741EC"/>
    <w:rsid w:val="00A74ACD"/>
    <w:rsid w:val="00A74BFD"/>
    <w:rsid w:val="00A74F85"/>
    <w:rsid w:val="00A74F97"/>
    <w:rsid w:val="00A75187"/>
    <w:rsid w:val="00A756D3"/>
    <w:rsid w:val="00A75AF6"/>
    <w:rsid w:val="00A7650D"/>
    <w:rsid w:val="00A76776"/>
    <w:rsid w:val="00A769E9"/>
    <w:rsid w:val="00A76AB5"/>
    <w:rsid w:val="00A76CEC"/>
    <w:rsid w:val="00A76F5F"/>
    <w:rsid w:val="00A77788"/>
    <w:rsid w:val="00A77E34"/>
    <w:rsid w:val="00A802F6"/>
    <w:rsid w:val="00A8054C"/>
    <w:rsid w:val="00A809F7"/>
    <w:rsid w:val="00A813D0"/>
    <w:rsid w:val="00A814E9"/>
    <w:rsid w:val="00A817E4"/>
    <w:rsid w:val="00A81A99"/>
    <w:rsid w:val="00A81BB7"/>
    <w:rsid w:val="00A81DBD"/>
    <w:rsid w:val="00A81EC5"/>
    <w:rsid w:val="00A81F09"/>
    <w:rsid w:val="00A82316"/>
    <w:rsid w:val="00A824A7"/>
    <w:rsid w:val="00A82787"/>
    <w:rsid w:val="00A82DC0"/>
    <w:rsid w:val="00A83069"/>
    <w:rsid w:val="00A83148"/>
    <w:rsid w:val="00A8318E"/>
    <w:rsid w:val="00A8325E"/>
    <w:rsid w:val="00A8326B"/>
    <w:rsid w:val="00A8377B"/>
    <w:rsid w:val="00A838C3"/>
    <w:rsid w:val="00A839BE"/>
    <w:rsid w:val="00A83BA2"/>
    <w:rsid w:val="00A83BF8"/>
    <w:rsid w:val="00A83DDB"/>
    <w:rsid w:val="00A83DF9"/>
    <w:rsid w:val="00A83FAB"/>
    <w:rsid w:val="00A841D6"/>
    <w:rsid w:val="00A845A2"/>
    <w:rsid w:val="00A846F6"/>
    <w:rsid w:val="00A84859"/>
    <w:rsid w:val="00A849AE"/>
    <w:rsid w:val="00A84B1B"/>
    <w:rsid w:val="00A84B22"/>
    <w:rsid w:val="00A84B61"/>
    <w:rsid w:val="00A84E7F"/>
    <w:rsid w:val="00A8516F"/>
    <w:rsid w:val="00A85619"/>
    <w:rsid w:val="00A85F7C"/>
    <w:rsid w:val="00A8615F"/>
    <w:rsid w:val="00A861EE"/>
    <w:rsid w:val="00A86211"/>
    <w:rsid w:val="00A8626F"/>
    <w:rsid w:val="00A86288"/>
    <w:rsid w:val="00A86369"/>
    <w:rsid w:val="00A8699D"/>
    <w:rsid w:val="00A869A6"/>
    <w:rsid w:val="00A86D5D"/>
    <w:rsid w:val="00A86E59"/>
    <w:rsid w:val="00A8719E"/>
    <w:rsid w:val="00A874AB"/>
    <w:rsid w:val="00A8791A"/>
    <w:rsid w:val="00A87C9D"/>
    <w:rsid w:val="00A87D35"/>
    <w:rsid w:val="00A87FB4"/>
    <w:rsid w:val="00A9031D"/>
    <w:rsid w:val="00A906FE"/>
    <w:rsid w:val="00A90982"/>
    <w:rsid w:val="00A90CF7"/>
    <w:rsid w:val="00A910F1"/>
    <w:rsid w:val="00A91763"/>
    <w:rsid w:val="00A9189B"/>
    <w:rsid w:val="00A91CEB"/>
    <w:rsid w:val="00A91EF9"/>
    <w:rsid w:val="00A91F0B"/>
    <w:rsid w:val="00A92586"/>
    <w:rsid w:val="00A9376C"/>
    <w:rsid w:val="00A93ABB"/>
    <w:rsid w:val="00A93ED8"/>
    <w:rsid w:val="00A940B8"/>
    <w:rsid w:val="00A9425D"/>
    <w:rsid w:val="00A94631"/>
    <w:rsid w:val="00A948BB"/>
    <w:rsid w:val="00A94A6D"/>
    <w:rsid w:val="00A94C5D"/>
    <w:rsid w:val="00A951DF"/>
    <w:rsid w:val="00A95398"/>
    <w:rsid w:val="00A958A0"/>
    <w:rsid w:val="00A95E39"/>
    <w:rsid w:val="00A95EF5"/>
    <w:rsid w:val="00A96632"/>
    <w:rsid w:val="00A9670D"/>
    <w:rsid w:val="00A967D4"/>
    <w:rsid w:val="00A96EB9"/>
    <w:rsid w:val="00A97340"/>
    <w:rsid w:val="00A97491"/>
    <w:rsid w:val="00A9775A"/>
    <w:rsid w:val="00AA02F9"/>
    <w:rsid w:val="00AA0C85"/>
    <w:rsid w:val="00AA0D87"/>
    <w:rsid w:val="00AA0E63"/>
    <w:rsid w:val="00AA1002"/>
    <w:rsid w:val="00AA1795"/>
    <w:rsid w:val="00AA17FC"/>
    <w:rsid w:val="00AA18D4"/>
    <w:rsid w:val="00AA1AE6"/>
    <w:rsid w:val="00AA1D1A"/>
    <w:rsid w:val="00AA2000"/>
    <w:rsid w:val="00AA265D"/>
    <w:rsid w:val="00AA2906"/>
    <w:rsid w:val="00AA2A7A"/>
    <w:rsid w:val="00AA2EA4"/>
    <w:rsid w:val="00AA3026"/>
    <w:rsid w:val="00AA318A"/>
    <w:rsid w:val="00AA3B47"/>
    <w:rsid w:val="00AA3F07"/>
    <w:rsid w:val="00AA4014"/>
    <w:rsid w:val="00AA411B"/>
    <w:rsid w:val="00AA4210"/>
    <w:rsid w:val="00AA44E6"/>
    <w:rsid w:val="00AA48D4"/>
    <w:rsid w:val="00AA491F"/>
    <w:rsid w:val="00AA4D61"/>
    <w:rsid w:val="00AA54E2"/>
    <w:rsid w:val="00AA559A"/>
    <w:rsid w:val="00AA582B"/>
    <w:rsid w:val="00AA5BA7"/>
    <w:rsid w:val="00AA6640"/>
    <w:rsid w:val="00AA7054"/>
    <w:rsid w:val="00AA7846"/>
    <w:rsid w:val="00AA7976"/>
    <w:rsid w:val="00AA7A69"/>
    <w:rsid w:val="00AA7BA2"/>
    <w:rsid w:val="00AA7CDC"/>
    <w:rsid w:val="00AA7F28"/>
    <w:rsid w:val="00AB01E0"/>
    <w:rsid w:val="00AB0254"/>
    <w:rsid w:val="00AB048F"/>
    <w:rsid w:val="00AB0F99"/>
    <w:rsid w:val="00AB1302"/>
    <w:rsid w:val="00AB1C99"/>
    <w:rsid w:val="00AB20F2"/>
    <w:rsid w:val="00AB239C"/>
    <w:rsid w:val="00AB275F"/>
    <w:rsid w:val="00AB32B0"/>
    <w:rsid w:val="00AB36A1"/>
    <w:rsid w:val="00AB386B"/>
    <w:rsid w:val="00AB38CF"/>
    <w:rsid w:val="00AB3D21"/>
    <w:rsid w:val="00AB3D46"/>
    <w:rsid w:val="00AB3FF1"/>
    <w:rsid w:val="00AB41AB"/>
    <w:rsid w:val="00AB438B"/>
    <w:rsid w:val="00AB4411"/>
    <w:rsid w:val="00AB4830"/>
    <w:rsid w:val="00AB496F"/>
    <w:rsid w:val="00AB4E30"/>
    <w:rsid w:val="00AB4EC0"/>
    <w:rsid w:val="00AB587B"/>
    <w:rsid w:val="00AB5ABC"/>
    <w:rsid w:val="00AB5D2D"/>
    <w:rsid w:val="00AB6234"/>
    <w:rsid w:val="00AB6514"/>
    <w:rsid w:val="00AB6CFA"/>
    <w:rsid w:val="00AB6FF9"/>
    <w:rsid w:val="00AB716D"/>
    <w:rsid w:val="00AB764D"/>
    <w:rsid w:val="00AB7A7E"/>
    <w:rsid w:val="00AB7C11"/>
    <w:rsid w:val="00AB7F3D"/>
    <w:rsid w:val="00AB7FD1"/>
    <w:rsid w:val="00AC001C"/>
    <w:rsid w:val="00AC058D"/>
    <w:rsid w:val="00AC07D9"/>
    <w:rsid w:val="00AC0B44"/>
    <w:rsid w:val="00AC0BB6"/>
    <w:rsid w:val="00AC117F"/>
    <w:rsid w:val="00AC1FFC"/>
    <w:rsid w:val="00AC249B"/>
    <w:rsid w:val="00AC2633"/>
    <w:rsid w:val="00AC277F"/>
    <w:rsid w:val="00AC2917"/>
    <w:rsid w:val="00AC298B"/>
    <w:rsid w:val="00AC2A4E"/>
    <w:rsid w:val="00AC2C62"/>
    <w:rsid w:val="00AC2E12"/>
    <w:rsid w:val="00AC3350"/>
    <w:rsid w:val="00AC385F"/>
    <w:rsid w:val="00AC394F"/>
    <w:rsid w:val="00AC3B9D"/>
    <w:rsid w:val="00AC3BBB"/>
    <w:rsid w:val="00AC40A1"/>
    <w:rsid w:val="00AC4245"/>
    <w:rsid w:val="00AC449E"/>
    <w:rsid w:val="00AC459D"/>
    <w:rsid w:val="00AC466A"/>
    <w:rsid w:val="00AC4740"/>
    <w:rsid w:val="00AC48D8"/>
    <w:rsid w:val="00AC5935"/>
    <w:rsid w:val="00AC5F3F"/>
    <w:rsid w:val="00AC5F92"/>
    <w:rsid w:val="00AC6489"/>
    <w:rsid w:val="00AC6A9B"/>
    <w:rsid w:val="00AC6CB0"/>
    <w:rsid w:val="00AC70E2"/>
    <w:rsid w:val="00AC71CA"/>
    <w:rsid w:val="00AC7467"/>
    <w:rsid w:val="00AD099A"/>
    <w:rsid w:val="00AD09AB"/>
    <w:rsid w:val="00AD0AE5"/>
    <w:rsid w:val="00AD0BF2"/>
    <w:rsid w:val="00AD0D11"/>
    <w:rsid w:val="00AD1A27"/>
    <w:rsid w:val="00AD1AC6"/>
    <w:rsid w:val="00AD1B5F"/>
    <w:rsid w:val="00AD1CA9"/>
    <w:rsid w:val="00AD1CF5"/>
    <w:rsid w:val="00AD1E7E"/>
    <w:rsid w:val="00AD2483"/>
    <w:rsid w:val="00AD275F"/>
    <w:rsid w:val="00AD283A"/>
    <w:rsid w:val="00AD28F7"/>
    <w:rsid w:val="00AD2E53"/>
    <w:rsid w:val="00AD3168"/>
    <w:rsid w:val="00AD3E50"/>
    <w:rsid w:val="00AD4021"/>
    <w:rsid w:val="00AD42A5"/>
    <w:rsid w:val="00AD4503"/>
    <w:rsid w:val="00AD468E"/>
    <w:rsid w:val="00AD4843"/>
    <w:rsid w:val="00AD4B3F"/>
    <w:rsid w:val="00AD520B"/>
    <w:rsid w:val="00AD5238"/>
    <w:rsid w:val="00AD52DE"/>
    <w:rsid w:val="00AD5316"/>
    <w:rsid w:val="00AD57A8"/>
    <w:rsid w:val="00AD59D1"/>
    <w:rsid w:val="00AD5DA4"/>
    <w:rsid w:val="00AD617B"/>
    <w:rsid w:val="00AD643C"/>
    <w:rsid w:val="00AD65CB"/>
    <w:rsid w:val="00AD6695"/>
    <w:rsid w:val="00AD68F9"/>
    <w:rsid w:val="00AD69E1"/>
    <w:rsid w:val="00AD794C"/>
    <w:rsid w:val="00AD7BFF"/>
    <w:rsid w:val="00AE0052"/>
    <w:rsid w:val="00AE02EF"/>
    <w:rsid w:val="00AE04DC"/>
    <w:rsid w:val="00AE09BF"/>
    <w:rsid w:val="00AE0EA3"/>
    <w:rsid w:val="00AE1158"/>
    <w:rsid w:val="00AE11FA"/>
    <w:rsid w:val="00AE1642"/>
    <w:rsid w:val="00AE1838"/>
    <w:rsid w:val="00AE1B03"/>
    <w:rsid w:val="00AE21E5"/>
    <w:rsid w:val="00AE22C7"/>
    <w:rsid w:val="00AE25F9"/>
    <w:rsid w:val="00AE2857"/>
    <w:rsid w:val="00AE2B81"/>
    <w:rsid w:val="00AE2C5F"/>
    <w:rsid w:val="00AE427D"/>
    <w:rsid w:val="00AE4305"/>
    <w:rsid w:val="00AE43A4"/>
    <w:rsid w:val="00AE4638"/>
    <w:rsid w:val="00AE46D2"/>
    <w:rsid w:val="00AE47D2"/>
    <w:rsid w:val="00AE4A68"/>
    <w:rsid w:val="00AE4ABE"/>
    <w:rsid w:val="00AE4D23"/>
    <w:rsid w:val="00AE4E1D"/>
    <w:rsid w:val="00AE53CB"/>
    <w:rsid w:val="00AE551C"/>
    <w:rsid w:val="00AE5749"/>
    <w:rsid w:val="00AE58A2"/>
    <w:rsid w:val="00AE5B8B"/>
    <w:rsid w:val="00AE5D71"/>
    <w:rsid w:val="00AE5F63"/>
    <w:rsid w:val="00AE5F8F"/>
    <w:rsid w:val="00AE60A1"/>
    <w:rsid w:val="00AE60C2"/>
    <w:rsid w:val="00AE63BE"/>
    <w:rsid w:val="00AE6682"/>
    <w:rsid w:val="00AE6706"/>
    <w:rsid w:val="00AE6834"/>
    <w:rsid w:val="00AE6A22"/>
    <w:rsid w:val="00AE6A5B"/>
    <w:rsid w:val="00AE6AA3"/>
    <w:rsid w:val="00AE6CFD"/>
    <w:rsid w:val="00AE6FD4"/>
    <w:rsid w:val="00AE708C"/>
    <w:rsid w:val="00AE752E"/>
    <w:rsid w:val="00AE754A"/>
    <w:rsid w:val="00AE7A92"/>
    <w:rsid w:val="00AE7AC6"/>
    <w:rsid w:val="00AE7D49"/>
    <w:rsid w:val="00AE7FCE"/>
    <w:rsid w:val="00AF01FE"/>
    <w:rsid w:val="00AF0236"/>
    <w:rsid w:val="00AF03FE"/>
    <w:rsid w:val="00AF0888"/>
    <w:rsid w:val="00AF0EEF"/>
    <w:rsid w:val="00AF0F45"/>
    <w:rsid w:val="00AF0F9C"/>
    <w:rsid w:val="00AF1064"/>
    <w:rsid w:val="00AF1084"/>
    <w:rsid w:val="00AF154C"/>
    <w:rsid w:val="00AF1887"/>
    <w:rsid w:val="00AF1AD1"/>
    <w:rsid w:val="00AF1E3A"/>
    <w:rsid w:val="00AF1F43"/>
    <w:rsid w:val="00AF2729"/>
    <w:rsid w:val="00AF28CA"/>
    <w:rsid w:val="00AF294B"/>
    <w:rsid w:val="00AF2BDD"/>
    <w:rsid w:val="00AF2D47"/>
    <w:rsid w:val="00AF344A"/>
    <w:rsid w:val="00AF35E2"/>
    <w:rsid w:val="00AF3A52"/>
    <w:rsid w:val="00AF3ED6"/>
    <w:rsid w:val="00AF48A1"/>
    <w:rsid w:val="00AF4C61"/>
    <w:rsid w:val="00AF5110"/>
    <w:rsid w:val="00AF5442"/>
    <w:rsid w:val="00AF5DD8"/>
    <w:rsid w:val="00AF5F5E"/>
    <w:rsid w:val="00AF621E"/>
    <w:rsid w:val="00AF63E2"/>
    <w:rsid w:val="00AF64D5"/>
    <w:rsid w:val="00AF665D"/>
    <w:rsid w:val="00AF69A7"/>
    <w:rsid w:val="00AF7687"/>
    <w:rsid w:val="00AF7778"/>
    <w:rsid w:val="00AF7D27"/>
    <w:rsid w:val="00B0004D"/>
    <w:rsid w:val="00B0008C"/>
    <w:rsid w:val="00B0032A"/>
    <w:rsid w:val="00B00330"/>
    <w:rsid w:val="00B00884"/>
    <w:rsid w:val="00B00AFE"/>
    <w:rsid w:val="00B00BAC"/>
    <w:rsid w:val="00B00F1E"/>
    <w:rsid w:val="00B01060"/>
    <w:rsid w:val="00B0138D"/>
    <w:rsid w:val="00B01604"/>
    <w:rsid w:val="00B01BA9"/>
    <w:rsid w:val="00B01C00"/>
    <w:rsid w:val="00B01D36"/>
    <w:rsid w:val="00B01D66"/>
    <w:rsid w:val="00B0201E"/>
    <w:rsid w:val="00B027CE"/>
    <w:rsid w:val="00B02BD7"/>
    <w:rsid w:val="00B02C27"/>
    <w:rsid w:val="00B02EA9"/>
    <w:rsid w:val="00B02F06"/>
    <w:rsid w:val="00B02FF1"/>
    <w:rsid w:val="00B0317A"/>
    <w:rsid w:val="00B03AF7"/>
    <w:rsid w:val="00B03E7C"/>
    <w:rsid w:val="00B04342"/>
    <w:rsid w:val="00B043A6"/>
    <w:rsid w:val="00B04502"/>
    <w:rsid w:val="00B04647"/>
    <w:rsid w:val="00B0483A"/>
    <w:rsid w:val="00B049AF"/>
    <w:rsid w:val="00B04EF4"/>
    <w:rsid w:val="00B0558B"/>
    <w:rsid w:val="00B056CF"/>
    <w:rsid w:val="00B05879"/>
    <w:rsid w:val="00B0663D"/>
    <w:rsid w:val="00B068E0"/>
    <w:rsid w:val="00B06B1D"/>
    <w:rsid w:val="00B06B2C"/>
    <w:rsid w:val="00B07034"/>
    <w:rsid w:val="00B07218"/>
    <w:rsid w:val="00B07309"/>
    <w:rsid w:val="00B07EC8"/>
    <w:rsid w:val="00B101F7"/>
    <w:rsid w:val="00B1074C"/>
    <w:rsid w:val="00B10BFA"/>
    <w:rsid w:val="00B110F2"/>
    <w:rsid w:val="00B1130B"/>
    <w:rsid w:val="00B11874"/>
    <w:rsid w:val="00B118DB"/>
    <w:rsid w:val="00B119D0"/>
    <w:rsid w:val="00B119D7"/>
    <w:rsid w:val="00B11FDD"/>
    <w:rsid w:val="00B12692"/>
    <w:rsid w:val="00B12B89"/>
    <w:rsid w:val="00B13C64"/>
    <w:rsid w:val="00B13F44"/>
    <w:rsid w:val="00B140CA"/>
    <w:rsid w:val="00B145C7"/>
    <w:rsid w:val="00B147FD"/>
    <w:rsid w:val="00B149D2"/>
    <w:rsid w:val="00B15604"/>
    <w:rsid w:val="00B15630"/>
    <w:rsid w:val="00B1567B"/>
    <w:rsid w:val="00B15919"/>
    <w:rsid w:val="00B15B69"/>
    <w:rsid w:val="00B15C15"/>
    <w:rsid w:val="00B1691C"/>
    <w:rsid w:val="00B16AEE"/>
    <w:rsid w:val="00B16D88"/>
    <w:rsid w:val="00B16E6E"/>
    <w:rsid w:val="00B170D7"/>
    <w:rsid w:val="00B1712D"/>
    <w:rsid w:val="00B1738A"/>
    <w:rsid w:val="00B1744A"/>
    <w:rsid w:val="00B17977"/>
    <w:rsid w:val="00B179BF"/>
    <w:rsid w:val="00B17A6E"/>
    <w:rsid w:val="00B17B30"/>
    <w:rsid w:val="00B17B88"/>
    <w:rsid w:val="00B17E68"/>
    <w:rsid w:val="00B17ED4"/>
    <w:rsid w:val="00B202A1"/>
    <w:rsid w:val="00B202C6"/>
    <w:rsid w:val="00B205A8"/>
    <w:rsid w:val="00B20837"/>
    <w:rsid w:val="00B20A32"/>
    <w:rsid w:val="00B213F2"/>
    <w:rsid w:val="00B2153F"/>
    <w:rsid w:val="00B21567"/>
    <w:rsid w:val="00B21576"/>
    <w:rsid w:val="00B21801"/>
    <w:rsid w:val="00B2198E"/>
    <w:rsid w:val="00B219B9"/>
    <w:rsid w:val="00B21AEE"/>
    <w:rsid w:val="00B21E5E"/>
    <w:rsid w:val="00B21E66"/>
    <w:rsid w:val="00B21F39"/>
    <w:rsid w:val="00B22C56"/>
    <w:rsid w:val="00B22CF5"/>
    <w:rsid w:val="00B2307F"/>
    <w:rsid w:val="00B23907"/>
    <w:rsid w:val="00B2409C"/>
    <w:rsid w:val="00B246A8"/>
    <w:rsid w:val="00B24AD0"/>
    <w:rsid w:val="00B24EEF"/>
    <w:rsid w:val="00B252F7"/>
    <w:rsid w:val="00B25387"/>
    <w:rsid w:val="00B25684"/>
    <w:rsid w:val="00B25883"/>
    <w:rsid w:val="00B25A6A"/>
    <w:rsid w:val="00B25E56"/>
    <w:rsid w:val="00B26540"/>
    <w:rsid w:val="00B2660E"/>
    <w:rsid w:val="00B26AFE"/>
    <w:rsid w:val="00B26D3A"/>
    <w:rsid w:val="00B2704D"/>
    <w:rsid w:val="00B273A2"/>
    <w:rsid w:val="00B27546"/>
    <w:rsid w:val="00B27B16"/>
    <w:rsid w:val="00B30014"/>
    <w:rsid w:val="00B303CD"/>
    <w:rsid w:val="00B30B56"/>
    <w:rsid w:val="00B30D46"/>
    <w:rsid w:val="00B3169C"/>
    <w:rsid w:val="00B316A1"/>
    <w:rsid w:val="00B318B7"/>
    <w:rsid w:val="00B31E8E"/>
    <w:rsid w:val="00B31F6D"/>
    <w:rsid w:val="00B322D2"/>
    <w:rsid w:val="00B32458"/>
    <w:rsid w:val="00B32624"/>
    <w:rsid w:val="00B32886"/>
    <w:rsid w:val="00B32FDE"/>
    <w:rsid w:val="00B33233"/>
    <w:rsid w:val="00B337BE"/>
    <w:rsid w:val="00B337D3"/>
    <w:rsid w:val="00B339DC"/>
    <w:rsid w:val="00B33A86"/>
    <w:rsid w:val="00B33AD5"/>
    <w:rsid w:val="00B33B62"/>
    <w:rsid w:val="00B33B65"/>
    <w:rsid w:val="00B341BD"/>
    <w:rsid w:val="00B34327"/>
    <w:rsid w:val="00B34BBF"/>
    <w:rsid w:val="00B34DD2"/>
    <w:rsid w:val="00B34F72"/>
    <w:rsid w:val="00B34FE0"/>
    <w:rsid w:val="00B35B06"/>
    <w:rsid w:val="00B36220"/>
    <w:rsid w:val="00B36586"/>
    <w:rsid w:val="00B365E9"/>
    <w:rsid w:val="00B36772"/>
    <w:rsid w:val="00B36899"/>
    <w:rsid w:val="00B36966"/>
    <w:rsid w:val="00B37056"/>
    <w:rsid w:val="00B37969"/>
    <w:rsid w:val="00B40111"/>
    <w:rsid w:val="00B406D1"/>
    <w:rsid w:val="00B40860"/>
    <w:rsid w:val="00B40AFE"/>
    <w:rsid w:val="00B40CE3"/>
    <w:rsid w:val="00B4106B"/>
    <w:rsid w:val="00B41323"/>
    <w:rsid w:val="00B417B9"/>
    <w:rsid w:val="00B419DB"/>
    <w:rsid w:val="00B41E67"/>
    <w:rsid w:val="00B42040"/>
    <w:rsid w:val="00B421BB"/>
    <w:rsid w:val="00B424A8"/>
    <w:rsid w:val="00B42561"/>
    <w:rsid w:val="00B4269D"/>
    <w:rsid w:val="00B4280D"/>
    <w:rsid w:val="00B429E6"/>
    <w:rsid w:val="00B4327C"/>
    <w:rsid w:val="00B432E1"/>
    <w:rsid w:val="00B43659"/>
    <w:rsid w:val="00B43ABD"/>
    <w:rsid w:val="00B43DCB"/>
    <w:rsid w:val="00B440A5"/>
    <w:rsid w:val="00B44AF1"/>
    <w:rsid w:val="00B44D97"/>
    <w:rsid w:val="00B45B76"/>
    <w:rsid w:val="00B46020"/>
    <w:rsid w:val="00B46483"/>
    <w:rsid w:val="00B464E5"/>
    <w:rsid w:val="00B46BFD"/>
    <w:rsid w:val="00B46EF3"/>
    <w:rsid w:val="00B4714D"/>
    <w:rsid w:val="00B4745A"/>
    <w:rsid w:val="00B47508"/>
    <w:rsid w:val="00B47A83"/>
    <w:rsid w:val="00B47BA2"/>
    <w:rsid w:val="00B47D6F"/>
    <w:rsid w:val="00B500F6"/>
    <w:rsid w:val="00B502C3"/>
    <w:rsid w:val="00B5040D"/>
    <w:rsid w:val="00B50654"/>
    <w:rsid w:val="00B508CD"/>
    <w:rsid w:val="00B50941"/>
    <w:rsid w:val="00B50A8F"/>
    <w:rsid w:val="00B50B42"/>
    <w:rsid w:val="00B50BCD"/>
    <w:rsid w:val="00B51236"/>
    <w:rsid w:val="00B51789"/>
    <w:rsid w:val="00B518D4"/>
    <w:rsid w:val="00B51DB1"/>
    <w:rsid w:val="00B51E7B"/>
    <w:rsid w:val="00B51EFA"/>
    <w:rsid w:val="00B520FF"/>
    <w:rsid w:val="00B52A44"/>
    <w:rsid w:val="00B52C50"/>
    <w:rsid w:val="00B531EB"/>
    <w:rsid w:val="00B5335F"/>
    <w:rsid w:val="00B539F3"/>
    <w:rsid w:val="00B53C8E"/>
    <w:rsid w:val="00B53D29"/>
    <w:rsid w:val="00B54320"/>
    <w:rsid w:val="00B543A9"/>
    <w:rsid w:val="00B54BA4"/>
    <w:rsid w:val="00B54DEE"/>
    <w:rsid w:val="00B54E43"/>
    <w:rsid w:val="00B553D9"/>
    <w:rsid w:val="00B555DD"/>
    <w:rsid w:val="00B5578E"/>
    <w:rsid w:val="00B5597E"/>
    <w:rsid w:val="00B55F79"/>
    <w:rsid w:val="00B56037"/>
    <w:rsid w:val="00B56A58"/>
    <w:rsid w:val="00B56D89"/>
    <w:rsid w:val="00B56EFD"/>
    <w:rsid w:val="00B57104"/>
    <w:rsid w:val="00B5725D"/>
    <w:rsid w:val="00B576E8"/>
    <w:rsid w:val="00B57711"/>
    <w:rsid w:val="00B57763"/>
    <w:rsid w:val="00B57880"/>
    <w:rsid w:val="00B57985"/>
    <w:rsid w:val="00B57A0C"/>
    <w:rsid w:val="00B57ACE"/>
    <w:rsid w:val="00B57B6E"/>
    <w:rsid w:val="00B60235"/>
    <w:rsid w:val="00B602A9"/>
    <w:rsid w:val="00B606A0"/>
    <w:rsid w:val="00B606E0"/>
    <w:rsid w:val="00B6094E"/>
    <w:rsid w:val="00B60C9E"/>
    <w:rsid w:val="00B60D6C"/>
    <w:rsid w:val="00B60E79"/>
    <w:rsid w:val="00B612D2"/>
    <w:rsid w:val="00B6147C"/>
    <w:rsid w:val="00B61619"/>
    <w:rsid w:val="00B616CD"/>
    <w:rsid w:val="00B617FF"/>
    <w:rsid w:val="00B61DD5"/>
    <w:rsid w:val="00B620F0"/>
    <w:rsid w:val="00B623A8"/>
    <w:rsid w:val="00B628AA"/>
    <w:rsid w:val="00B629DC"/>
    <w:rsid w:val="00B62B01"/>
    <w:rsid w:val="00B630C0"/>
    <w:rsid w:val="00B63533"/>
    <w:rsid w:val="00B636AE"/>
    <w:rsid w:val="00B638E5"/>
    <w:rsid w:val="00B63C05"/>
    <w:rsid w:val="00B63D8F"/>
    <w:rsid w:val="00B63EF2"/>
    <w:rsid w:val="00B63F5E"/>
    <w:rsid w:val="00B64477"/>
    <w:rsid w:val="00B6464C"/>
    <w:rsid w:val="00B6466E"/>
    <w:rsid w:val="00B647AF"/>
    <w:rsid w:val="00B64B0B"/>
    <w:rsid w:val="00B64F42"/>
    <w:rsid w:val="00B65026"/>
    <w:rsid w:val="00B651D5"/>
    <w:rsid w:val="00B655D6"/>
    <w:rsid w:val="00B65B86"/>
    <w:rsid w:val="00B65B8A"/>
    <w:rsid w:val="00B65F2D"/>
    <w:rsid w:val="00B66144"/>
    <w:rsid w:val="00B664A7"/>
    <w:rsid w:val="00B66B79"/>
    <w:rsid w:val="00B66B9E"/>
    <w:rsid w:val="00B66FF4"/>
    <w:rsid w:val="00B6768B"/>
    <w:rsid w:val="00B6778A"/>
    <w:rsid w:val="00B679A2"/>
    <w:rsid w:val="00B7034D"/>
    <w:rsid w:val="00B70854"/>
    <w:rsid w:val="00B70B77"/>
    <w:rsid w:val="00B70C13"/>
    <w:rsid w:val="00B70CBF"/>
    <w:rsid w:val="00B70F81"/>
    <w:rsid w:val="00B71057"/>
    <w:rsid w:val="00B713CB"/>
    <w:rsid w:val="00B7179C"/>
    <w:rsid w:val="00B717D8"/>
    <w:rsid w:val="00B71861"/>
    <w:rsid w:val="00B71976"/>
    <w:rsid w:val="00B71C16"/>
    <w:rsid w:val="00B7215D"/>
    <w:rsid w:val="00B72882"/>
    <w:rsid w:val="00B72FCA"/>
    <w:rsid w:val="00B73295"/>
    <w:rsid w:val="00B7337D"/>
    <w:rsid w:val="00B7347A"/>
    <w:rsid w:val="00B73860"/>
    <w:rsid w:val="00B73E3D"/>
    <w:rsid w:val="00B73EB7"/>
    <w:rsid w:val="00B746F1"/>
    <w:rsid w:val="00B747CF"/>
    <w:rsid w:val="00B74941"/>
    <w:rsid w:val="00B74959"/>
    <w:rsid w:val="00B74FD9"/>
    <w:rsid w:val="00B75152"/>
    <w:rsid w:val="00B7527A"/>
    <w:rsid w:val="00B7543E"/>
    <w:rsid w:val="00B754B1"/>
    <w:rsid w:val="00B75890"/>
    <w:rsid w:val="00B7599B"/>
    <w:rsid w:val="00B75E00"/>
    <w:rsid w:val="00B75E3B"/>
    <w:rsid w:val="00B769D8"/>
    <w:rsid w:val="00B76BE2"/>
    <w:rsid w:val="00B76BEE"/>
    <w:rsid w:val="00B77182"/>
    <w:rsid w:val="00B7721F"/>
    <w:rsid w:val="00B77E7C"/>
    <w:rsid w:val="00B803CA"/>
    <w:rsid w:val="00B80988"/>
    <w:rsid w:val="00B80DAD"/>
    <w:rsid w:val="00B80DEC"/>
    <w:rsid w:val="00B81367"/>
    <w:rsid w:val="00B819DB"/>
    <w:rsid w:val="00B81BF2"/>
    <w:rsid w:val="00B81F26"/>
    <w:rsid w:val="00B824C1"/>
    <w:rsid w:val="00B824E4"/>
    <w:rsid w:val="00B82616"/>
    <w:rsid w:val="00B82629"/>
    <w:rsid w:val="00B82A97"/>
    <w:rsid w:val="00B82DC2"/>
    <w:rsid w:val="00B834BB"/>
    <w:rsid w:val="00B836C8"/>
    <w:rsid w:val="00B83744"/>
    <w:rsid w:val="00B83F00"/>
    <w:rsid w:val="00B84272"/>
    <w:rsid w:val="00B84282"/>
    <w:rsid w:val="00B84726"/>
    <w:rsid w:val="00B84D29"/>
    <w:rsid w:val="00B84FDB"/>
    <w:rsid w:val="00B8512B"/>
    <w:rsid w:val="00B856E1"/>
    <w:rsid w:val="00B85707"/>
    <w:rsid w:val="00B857A9"/>
    <w:rsid w:val="00B85A2D"/>
    <w:rsid w:val="00B85A44"/>
    <w:rsid w:val="00B85B75"/>
    <w:rsid w:val="00B85F57"/>
    <w:rsid w:val="00B860C8"/>
    <w:rsid w:val="00B86176"/>
    <w:rsid w:val="00B86389"/>
    <w:rsid w:val="00B865BB"/>
    <w:rsid w:val="00B87077"/>
    <w:rsid w:val="00B874F7"/>
    <w:rsid w:val="00B87A21"/>
    <w:rsid w:val="00B87AC6"/>
    <w:rsid w:val="00B87E1B"/>
    <w:rsid w:val="00B906D3"/>
    <w:rsid w:val="00B90862"/>
    <w:rsid w:val="00B90C7D"/>
    <w:rsid w:val="00B90E71"/>
    <w:rsid w:val="00B91311"/>
    <w:rsid w:val="00B91623"/>
    <w:rsid w:val="00B9173B"/>
    <w:rsid w:val="00B92157"/>
    <w:rsid w:val="00B923C2"/>
    <w:rsid w:val="00B92A32"/>
    <w:rsid w:val="00B92E44"/>
    <w:rsid w:val="00B92E5F"/>
    <w:rsid w:val="00B93130"/>
    <w:rsid w:val="00B9364D"/>
    <w:rsid w:val="00B93653"/>
    <w:rsid w:val="00B936B4"/>
    <w:rsid w:val="00B938F8"/>
    <w:rsid w:val="00B93ADF"/>
    <w:rsid w:val="00B93BCD"/>
    <w:rsid w:val="00B93C13"/>
    <w:rsid w:val="00B93DAB"/>
    <w:rsid w:val="00B93DE3"/>
    <w:rsid w:val="00B94298"/>
    <w:rsid w:val="00B94822"/>
    <w:rsid w:val="00B949E8"/>
    <w:rsid w:val="00B94C9D"/>
    <w:rsid w:val="00B94EF3"/>
    <w:rsid w:val="00B95349"/>
    <w:rsid w:val="00B9577E"/>
    <w:rsid w:val="00B9613F"/>
    <w:rsid w:val="00B96362"/>
    <w:rsid w:val="00B96851"/>
    <w:rsid w:val="00B96973"/>
    <w:rsid w:val="00B969CD"/>
    <w:rsid w:val="00B96A61"/>
    <w:rsid w:val="00B9727A"/>
    <w:rsid w:val="00B9740E"/>
    <w:rsid w:val="00BA070E"/>
    <w:rsid w:val="00BA0D08"/>
    <w:rsid w:val="00BA10EC"/>
    <w:rsid w:val="00BA1296"/>
    <w:rsid w:val="00BA1355"/>
    <w:rsid w:val="00BA14CB"/>
    <w:rsid w:val="00BA1563"/>
    <w:rsid w:val="00BA2073"/>
    <w:rsid w:val="00BA2314"/>
    <w:rsid w:val="00BA23F8"/>
    <w:rsid w:val="00BA2766"/>
    <w:rsid w:val="00BA2C8A"/>
    <w:rsid w:val="00BA2FFA"/>
    <w:rsid w:val="00BA327E"/>
    <w:rsid w:val="00BA396F"/>
    <w:rsid w:val="00BA40D4"/>
    <w:rsid w:val="00BA412C"/>
    <w:rsid w:val="00BA46C9"/>
    <w:rsid w:val="00BA4E57"/>
    <w:rsid w:val="00BA4ED5"/>
    <w:rsid w:val="00BA5785"/>
    <w:rsid w:val="00BA5833"/>
    <w:rsid w:val="00BA6525"/>
    <w:rsid w:val="00BA6662"/>
    <w:rsid w:val="00BA66EA"/>
    <w:rsid w:val="00BA6CF1"/>
    <w:rsid w:val="00BA70B3"/>
    <w:rsid w:val="00BA7528"/>
    <w:rsid w:val="00BA7C90"/>
    <w:rsid w:val="00BA7FF7"/>
    <w:rsid w:val="00BB0225"/>
    <w:rsid w:val="00BB10A8"/>
    <w:rsid w:val="00BB1294"/>
    <w:rsid w:val="00BB1B3A"/>
    <w:rsid w:val="00BB1B92"/>
    <w:rsid w:val="00BB20AC"/>
    <w:rsid w:val="00BB241E"/>
    <w:rsid w:val="00BB2567"/>
    <w:rsid w:val="00BB2658"/>
    <w:rsid w:val="00BB2B03"/>
    <w:rsid w:val="00BB2B28"/>
    <w:rsid w:val="00BB3296"/>
    <w:rsid w:val="00BB36A4"/>
    <w:rsid w:val="00BB38CA"/>
    <w:rsid w:val="00BB3C99"/>
    <w:rsid w:val="00BB3C9C"/>
    <w:rsid w:val="00BB3ECB"/>
    <w:rsid w:val="00BB42E0"/>
    <w:rsid w:val="00BB47AD"/>
    <w:rsid w:val="00BB4EC9"/>
    <w:rsid w:val="00BB5129"/>
    <w:rsid w:val="00BB5182"/>
    <w:rsid w:val="00BB51B9"/>
    <w:rsid w:val="00BB523B"/>
    <w:rsid w:val="00BB556C"/>
    <w:rsid w:val="00BB59A5"/>
    <w:rsid w:val="00BB5C82"/>
    <w:rsid w:val="00BB5D49"/>
    <w:rsid w:val="00BB6F0B"/>
    <w:rsid w:val="00BB720B"/>
    <w:rsid w:val="00BB7282"/>
    <w:rsid w:val="00BB7306"/>
    <w:rsid w:val="00BB75D1"/>
    <w:rsid w:val="00BB78B1"/>
    <w:rsid w:val="00BC04CE"/>
    <w:rsid w:val="00BC06D9"/>
    <w:rsid w:val="00BC078F"/>
    <w:rsid w:val="00BC08F4"/>
    <w:rsid w:val="00BC090A"/>
    <w:rsid w:val="00BC0977"/>
    <w:rsid w:val="00BC0B78"/>
    <w:rsid w:val="00BC10DC"/>
    <w:rsid w:val="00BC148D"/>
    <w:rsid w:val="00BC1595"/>
    <w:rsid w:val="00BC1B43"/>
    <w:rsid w:val="00BC1B66"/>
    <w:rsid w:val="00BC1F16"/>
    <w:rsid w:val="00BC2442"/>
    <w:rsid w:val="00BC2751"/>
    <w:rsid w:val="00BC276F"/>
    <w:rsid w:val="00BC3459"/>
    <w:rsid w:val="00BC3466"/>
    <w:rsid w:val="00BC3737"/>
    <w:rsid w:val="00BC3834"/>
    <w:rsid w:val="00BC3A68"/>
    <w:rsid w:val="00BC3D81"/>
    <w:rsid w:val="00BC3D85"/>
    <w:rsid w:val="00BC3FBD"/>
    <w:rsid w:val="00BC4409"/>
    <w:rsid w:val="00BC4470"/>
    <w:rsid w:val="00BC488F"/>
    <w:rsid w:val="00BC4B04"/>
    <w:rsid w:val="00BC4C4C"/>
    <w:rsid w:val="00BC5275"/>
    <w:rsid w:val="00BC5397"/>
    <w:rsid w:val="00BC542F"/>
    <w:rsid w:val="00BC5481"/>
    <w:rsid w:val="00BC56DD"/>
    <w:rsid w:val="00BC5A63"/>
    <w:rsid w:val="00BC5CA6"/>
    <w:rsid w:val="00BC6092"/>
    <w:rsid w:val="00BC63BF"/>
    <w:rsid w:val="00BC674F"/>
    <w:rsid w:val="00BC69FC"/>
    <w:rsid w:val="00BC6A50"/>
    <w:rsid w:val="00BC6BB6"/>
    <w:rsid w:val="00BC6D91"/>
    <w:rsid w:val="00BC7188"/>
    <w:rsid w:val="00BC7286"/>
    <w:rsid w:val="00BC7417"/>
    <w:rsid w:val="00BC765A"/>
    <w:rsid w:val="00BC7A22"/>
    <w:rsid w:val="00BD0988"/>
    <w:rsid w:val="00BD17E8"/>
    <w:rsid w:val="00BD18E4"/>
    <w:rsid w:val="00BD1A46"/>
    <w:rsid w:val="00BD1AE2"/>
    <w:rsid w:val="00BD1CDF"/>
    <w:rsid w:val="00BD28C3"/>
    <w:rsid w:val="00BD2B37"/>
    <w:rsid w:val="00BD3112"/>
    <w:rsid w:val="00BD3225"/>
    <w:rsid w:val="00BD3554"/>
    <w:rsid w:val="00BD37FD"/>
    <w:rsid w:val="00BD4148"/>
    <w:rsid w:val="00BD4162"/>
    <w:rsid w:val="00BD416F"/>
    <w:rsid w:val="00BD4303"/>
    <w:rsid w:val="00BD4379"/>
    <w:rsid w:val="00BD4721"/>
    <w:rsid w:val="00BD48EC"/>
    <w:rsid w:val="00BD4A80"/>
    <w:rsid w:val="00BD4B25"/>
    <w:rsid w:val="00BD51B5"/>
    <w:rsid w:val="00BD56E4"/>
    <w:rsid w:val="00BD5AE9"/>
    <w:rsid w:val="00BD5D50"/>
    <w:rsid w:val="00BD609B"/>
    <w:rsid w:val="00BD62BB"/>
    <w:rsid w:val="00BD62E6"/>
    <w:rsid w:val="00BD6394"/>
    <w:rsid w:val="00BD64BE"/>
    <w:rsid w:val="00BD64C0"/>
    <w:rsid w:val="00BD65B5"/>
    <w:rsid w:val="00BD67F3"/>
    <w:rsid w:val="00BD6E47"/>
    <w:rsid w:val="00BD7306"/>
    <w:rsid w:val="00BD7311"/>
    <w:rsid w:val="00BD749B"/>
    <w:rsid w:val="00BD74FE"/>
    <w:rsid w:val="00BD76DA"/>
    <w:rsid w:val="00BD7D39"/>
    <w:rsid w:val="00BD7DBD"/>
    <w:rsid w:val="00BD7FC2"/>
    <w:rsid w:val="00BE0726"/>
    <w:rsid w:val="00BE07CF"/>
    <w:rsid w:val="00BE0875"/>
    <w:rsid w:val="00BE0AB0"/>
    <w:rsid w:val="00BE0E04"/>
    <w:rsid w:val="00BE0FA7"/>
    <w:rsid w:val="00BE0FDE"/>
    <w:rsid w:val="00BE1088"/>
    <w:rsid w:val="00BE174A"/>
    <w:rsid w:val="00BE1BCD"/>
    <w:rsid w:val="00BE1E07"/>
    <w:rsid w:val="00BE2300"/>
    <w:rsid w:val="00BE2334"/>
    <w:rsid w:val="00BE2600"/>
    <w:rsid w:val="00BE265A"/>
    <w:rsid w:val="00BE2BB9"/>
    <w:rsid w:val="00BE2EB7"/>
    <w:rsid w:val="00BE301F"/>
    <w:rsid w:val="00BE3465"/>
    <w:rsid w:val="00BE34DC"/>
    <w:rsid w:val="00BE38A3"/>
    <w:rsid w:val="00BE406A"/>
    <w:rsid w:val="00BE461A"/>
    <w:rsid w:val="00BE489A"/>
    <w:rsid w:val="00BE4A93"/>
    <w:rsid w:val="00BE4D52"/>
    <w:rsid w:val="00BE54ED"/>
    <w:rsid w:val="00BE569B"/>
    <w:rsid w:val="00BE58EE"/>
    <w:rsid w:val="00BE5933"/>
    <w:rsid w:val="00BE5951"/>
    <w:rsid w:val="00BE5A63"/>
    <w:rsid w:val="00BE61DF"/>
    <w:rsid w:val="00BE6680"/>
    <w:rsid w:val="00BE6942"/>
    <w:rsid w:val="00BE69FC"/>
    <w:rsid w:val="00BE6EFF"/>
    <w:rsid w:val="00BE73FF"/>
    <w:rsid w:val="00BE7753"/>
    <w:rsid w:val="00BE7822"/>
    <w:rsid w:val="00BE7907"/>
    <w:rsid w:val="00BE7AAC"/>
    <w:rsid w:val="00BE7AE0"/>
    <w:rsid w:val="00BF0301"/>
    <w:rsid w:val="00BF0BFA"/>
    <w:rsid w:val="00BF0C84"/>
    <w:rsid w:val="00BF0D06"/>
    <w:rsid w:val="00BF0D7B"/>
    <w:rsid w:val="00BF0D88"/>
    <w:rsid w:val="00BF0F42"/>
    <w:rsid w:val="00BF1635"/>
    <w:rsid w:val="00BF1DF3"/>
    <w:rsid w:val="00BF1F6B"/>
    <w:rsid w:val="00BF243C"/>
    <w:rsid w:val="00BF288E"/>
    <w:rsid w:val="00BF290F"/>
    <w:rsid w:val="00BF2A30"/>
    <w:rsid w:val="00BF2B5B"/>
    <w:rsid w:val="00BF307E"/>
    <w:rsid w:val="00BF3094"/>
    <w:rsid w:val="00BF312B"/>
    <w:rsid w:val="00BF315D"/>
    <w:rsid w:val="00BF3908"/>
    <w:rsid w:val="00BF3984"/>
    <w:rsid w:val="00BF3AE0"/>
    <w:rsid w:val="00BF4427"/>
    <w:rsid w:val="00BF478A"/>
    <w:rsid w:val="00BF4A9A"/>
    <w:rsid w:val="00BF4EC1"/>
    <w:rsid w:val="00BF4FFB"/>
    <w:rsid w:val="00BF52F2"/>
    <w:rsid w:val="00BF56F0"/>
    <w:rsid w:val="00BF57DC"/>
    <w:rsid w:val="00BF5E5D"/>
    <w:rsid w:val="00BF65B6"/>
    <w:rsid w:val="00BF687B"/>
    <w:rsid w:val="00BF6B7F"/>
    <w:rsid w:val="00BF6D19"/>
    <w:rsid w:val="00BF6E72"/>
    <w:rsid w:val="00BF6F84"/>
    <w:rsid w:val="00BF706A"/>
    <w:rsid w:val="00BF7480"/>
    <w:rsid w:val="00BF7541"/>
    <w:rsid w:val="00BF7673"/>
    <w:rsid w:val="00BF76A9"/>
    <w:rsid w:val="00BF78CD"/>
    <w:rsid w:val="00BF7A91"/>
    <w:rsid w:val="00BF7E14"/>
    <w:rsid w:val="00C00168"/>
    <w:rsid w:val="00C00D62"/>
    <w:rsid w:val="00C00F8F"/>
    <w:rsid w:val="00C017CC"/>
    <w:rsid w:val="00C0182F"/>
    <w:rsid w:val="00C018EA"/>
    <w:rsid w:val="00C02659"/>
    <w:rsid w:val="00C027E8"/>
    <w:rsid w:val="00C02BE5"/>
    <w:rsid w:val="00C02F28"/>
    <w:rsid w:val="00C03452"/>
    <w:rsid w:val="00C03F3D"/>
    <w:rsid w:val="00C04536"/>
    <w:rsid w:val="00C04BBA"/>
    <w:rsid w:val="00C05478"/>
    <w:rsid w:val="00C055B5"/>
    <w:rsid w:val="00C05659"/>
    <w:rsid w:val="00C05811"/>
    <w:rsid w:val="00C058EB"/>
    <w:rsid w:val="00C05A16"/>
    <w:rsid w:val="00C05F8C"/>
    <w:rsid w:val="00C063E1"/>
    <w:rsid w:val="00C06464"/>
    <w:rsid w:val="00C0649F"/>
    <w:rsid w:val="00C06791"/>
    <w:rsid w:val="00C06892"/>
    <w:rsid w:val="00C06AAF"/>
    <w:rsid w:val="00C06C28"/>
    <w:rsid w:val="00C07040"/>
    <w:rsid w:val="00C0770C"/>
    <w:rsid w:val="00C07805"/>
    <w:rsid w:val="00C07C59"/>
    <w:rsid w:val="00C07E5A"/>
    <w:rsid w:val="00C07FB7"/>
    <w:rsid w:val="00C10071"/>
    <w:rsid w:val="00C1014A"/>
    <w:rsid w:val="00C102EA"/>
    <w:rsid w:val="00C1038D"/>
    <w:rsid w:val="00C103BC"/>
    <w:rsid w:val="00C10DA8"/>
    <w:rsid w:val="00C110EE"/>
    <w:rsid w:val="00C111A9"/>
    <w:rsid w:val="00C111C0"/>
    <w:rsid w:val="00C1138E"/>
    <w:rsid w:val="00C116EB"/>
    <w:rsid w:val="00C11726"/>
    <w:rsid w:val="00C119D3"/>
    <w:rsid w:val="00C11F1C"/>
    <w:rsid w:val="00C11F23"/>
    <w:rsid w:val="00C127E9"/>
    <w:rsid w:val="00C12DDA"/>
    <w:rsid w:val="00C12E7E"/>
    <w:rsid w:val="00C13514"/>
    <w:rsid w:val="00C1366A"/>
    <w:rsid w:val="00C1382C"/>
    <w:rsid w:val="00C1385A"/>
    <w:rsid w:val="00C13AC7"/>
    <w:rsid w:val="00C13DC6"/>
    <w:rsid w:val="00C14BBC"/>
    <w:rsid w:val="00C14C57"/>
    <w:rsid w:val="00C14D2A"/>
    <w:rsid w:val="00C15147"/>
    <w:rsid w:val="00C15549"/>
    <w:rsid w:val="00C15732"/>
    <w:rsid w:val="00C1575C"/>
    <w:rsid w:val="00C15C6A"/>
    <w:rsid w:val="00C162DB"/>
    <w:rsid w:val="00C1654B"/>
    <w:rsid w:val="00C166D5"/>
    <w:rsid w:val="00C16896"/>
    <w:rsid w:val="00C17052"/>
    <w:rsid w:val="00C1706C"/>
    <w:rsid w:val="00C17419"/>
    <w:rsid w:val="00C1762F"/>
    <w:rsid w:val="00C179BA"/>
    <w:rsid w:val="00C20335"/>
    <w:rsid w:val="00C203FF"/>
    <w:rsid w:val="00C2098C"/>
    <w:rsid w:val="00C20DFF"/>
    <w:rsid w:val="00C20EA2"/>
    <w:rsid w:val="00C20EC3"/>
    <w:rsid w:val="00C21397"/>
    <w:rsid w:val="00C21474"/>
    <w:rsid w:val="00C223CB"/>
    <w:rsid w:val="00C22B0C"/>
    <w:rsid w:val="00C22B98"/>
    <w:rsid w:val="00C22C10"/>
    <w:rsid w:val="00C23299"/>
    <w:rsid w:val="00C23881"/>
    <w:rsid w:val="00C23920"/>
    <w:rsid w:val="00C23AD0"/>
    <w:rsid w:val="00C23E50"/>
    <w:rsid w:val="00C23EF6"/>
    <w:rsid w:val="00C24550"/>
    <w:rsid w:val="00C24BE8"/>
    <w:rsid w:val="00C24EC4"/>
    <w:rsid w:val="00C2525A"/>
    <w:rsid w:val="00C256E6"/>
    <w:rsid w:val="00C256F2"/>
    <w:rsid w:val="00C2594F"/>
    <w:rsid w:val="00C25AA7"/>
    <w:rsid w:val="00C25E9D"/>
    <w:rsid w:val="00C25EC4"/>
    <w:rsid w:val="00C26412"/>
    <w:rsid w:val="00C265D7"/>
    <w:rsid w:val="00C266C1"/>
    <w:rsid w:val="00C267C1"/>
    <w:rsid w:val="00C26943"/>
    <w:rsid w:val="00C26A04"/>
    <w:rsid w:val="00C26BA5"/>
    <w:rsid w:val="00C26D60"/>
    <w:rsid w:val="00C26EE5"/>
    <w:rsid w:val="00C274B9"/>
    <w:rsid w:val="00C2764A"/>
    <w:rsid w:val="00C27679"/>
    <w:rsid w:val="00C27926"/>
    <w:rsid w:val="00C27AF7"/>
    <w:rsid w:val="00C27C4E"/>
    <w:rsid w:val="00C27E35"/>
    <w:rsid w:val="00C30827"/>
    <w:rsid w:val="00C308F7"/>
    <w:rsid w:val="00C30B6D"/>
    <w:rsid w:val="00C30EC6"/>
    <w:rsid w:val="00C317C6"/>
    <w:rsid w:val="00C31D1B"/>
    <w:rsid w:val="00C31FA5"/>
    <w:rsid w:val="00C32839"/>
    <w:rsid w:val="00C32CE2"/>
    <w:rsid w:val="00C32E76"/>
    <w:rsid w:val="00C32F65"/>
    <w:rsid w:val="00C32FA7"/>
    <w:rsid w:val="00C33139"/>
    <w:rsid w:val="00C333C5"/>
    <w:rsid w:val="00C33620"/>
    <w:rsid w:val="00C339C7"/>
    <w:rsid w:val="00C33BBA"/>
    <w:rsid w:val="00C347C6"/>
    <w:rsid w:val="00C347F6"/>
    <w:rsid w:val="00C34E9D"/>
    <w:rsid w:val="00C35029"/>
    <w:rsid w:val="00C3516C"/>
    <w:rsid w:val="00C3546F"/>
    <w:rsid w:val="00C354B1"/>
    <w:rsid w:val="00C3570B"/>
    <w:rsid w:val="00C35AC3"/>
    <w:rsid w:val="00C367D9"/>
    <w:rsid w:val="00C36B6B"/>
    <w:rsid w:val="00C36C41"/>
    <w:rsid w:val="00C36D65"/>
    <w:rsid w:val="00C37A09"/>
    <w:rsid w:val="00C37A69"/>
    <w:rsid w:val="00C37DCF"/>
    <w:rsid w:val="00C37E88"/>
    <w:rsid w:val="00C40445"/>
    <w:rsid w:val="00C41717"/>
    <w:rsid w:val="00C4188E"/>
    <w:rsid w:val="00C41ABE"/>
    <w:rsid w:val="00C41B45"/>
    <w:rsid w:val="00C42019"/>
    <w:rsid w:val="00C42965"/>
    <w:rsid w:val="00C434A8"/>
    <w:rsid w:val="00C43516"/>
    <w:rsid w:val="00C43706"/>
    <w:rsid w:val="00C43B1B"/>
    <w:rsid w:val="00C43C02"/>
    <w:rsid w:val="00C446FD"/>
    <w:rsid w:val="00C44908"/>
    <w:rsid w:val="00C44F84"/>
    <w:rsid w:val="00C45BA3"/>
    <w:rsid w:val="00C45D2C"/>
    <w:rsid w:val="00C46426"/>
    <w:rsid w:val="00C464A3"/>
    <w:rsid w:val="00C464F4"/>
    <w:rsid w:val="00C46A11"/>
    <w:rsid w:val="00C46AC8"/>
    <w:rsid w:val="00C46BBC"/>
    <w:rsid w:val="00C470B0"/>
    <w:rsid w:val="00C47974"/>
    <w:rsid w:val="00C50229"/>
    <w:rsid w:val="00C50355"/>
    <w:rsid w:val="00C50F2F"/>
    <w:rsid w:val="00C51111"/>
    <w:rsid w:val="00C5138C"/>
    <w:rsid w:val="00C519AB"/>
    <w:rsid w:val="00C52135"/>
    <w:rsid w:val="00C5262E"/>
    <w:rsid w:val="00C526C5"/>
    <w:rsid w:val="00C52B4F"/>
    <w:rsid w:val="00C52D1C"/>
    <w:rsid w:val="00C52E77"/>
    <w:rsid w:val="00C5374D"/>
    <w:rsid w:val="00C53766"/>
    <w:rsid w:val="00C54088"/>
    <w:rsid w:val="00C54C09"/>
    <w:rsid w:val="00C54E66"/>
    <w:rsid w:val="00C5505C"/>
    <w:rsid w:val="00C550B7"/>
    <w:rsid w:val="00C55251"/>
    <w:rsid w:val="00C55340"/>
    <w:rsid w:val="00C5547B"/>
    <w:rsid w:val="00C554B5"/>
    <w:rsid w:val="00C554E7"/>
    <w:rsid w:val="00C55946"/>
    <w:rsid w:val="00C563E6"/>
    <w:rsid w:val="00C56432"/>
    <w:rsid w:val="00C56AF0"/>
    <w:rsid w:val="00C56E61"/>
    <w:rsid w:val="00C5715F"/>
    <w:rsid w:val="00C5718F"/>
    <w:rsid w:val="00C574E2"/>
    <w:rsid w:val="00C57630"/>
    <w:rsid w:val="00C57964"/>
    <w:rsid w:val="00C57A6E"/>
    <w:rsid w:val="00C57A78"/>
    <w:rsid w:val="00C57ED0"/>
    <w:rsid w:val="00C57FAE"/>
    <w:rsid w:val="00C602AA"/>
    <w:rsid w:val="00C605D2"/>
    <w:rsid w:val="00C60783"/>
    <w:rsid w:val="00C6084A"/>
    <w:rsid w:val="00C6118F"/>
    <w:rsid w:val="00C611D4"/>
    <w:rsid w:val="00C611F1"/>
    <w:rsid w:val="00C612C0"/>
    <w:rsid w:val="00C616AE"/>
    <w:rsid w:val="00C61A13"/>
    <w:rsid w:val="00C61E1F"/>
    <w:rsid w:val="00C62227"/>
    <w:rsid w:val="00C629A1"/>
    <w:rsid w:val="00C62B7C"/>
    <w:rsid w:val="00C62BFF"/>
    <w:rsid w:val="00C62D1B"/>
    <w:rsid w:val="00C62EE7"/>
    <w:rsid w:val="00C633C1"/>
    <w:rsid w:val="00C63C41"/>
    <w:rsid w:val="00C63E7A"/>
    <w:rsid w:val="00C6416E"/>
    <w:rsid w:val="00C646D3"/>
    <w:rsid w:val="00C646F0"/>
    <w:rsid w:val="00C64740"/>
    <w:rsid w:val="00C64890"/>
    <w:rsid w:val="00C64E17"/>
    <w:rsid w:val="00C6535E"/>
    <w:rsid w:val="00C6552F"/>
    <w:rsid w:val="00C65654"/>
    <w:rsid w:val="00C6582C"/>
    <w:rsid w:val="00C659B4"/>
    <w:rsid w:val="00C659ED"/>
    <w:rsid w:val="00C65A09"/>
    <w:rsid w:val="00C65C60"/>
    <w:rsid w:val="00C665B4"/>
    <w:rsid w:val="00C66942"/>
    <w:rsid w:val="00C66D85"/>
    <w:rsid w:val="00C67227"/>
    <w:rsid w:val="00C6744F"/>
    <w:rsid w:val="00C67B8D"/>
    <w:rsid w:val="00C67ED5"/>
    <w:rsid w:val="00C705EB"/>
    <w:rsid w:val="00C7065A"/>
    <w:rsid w:val="00C70886"/>
    <w:rsid w:val="00C70F76"/>
    <w:rsid w:val="00C71C9E"/>
    <w:rsid w:val="00C71D92"/>
    <w:rsid w:val="00C725CF"/>
    <w:rsid w:val="00C72881"/>
    <w:rsid w:val="00C73155"/>
    <w:rsid w:val="00C7357E"/>
    <w:rsid w:val="00C73B49"/>
    <w:rsid w:val="00C73BE6"/>
    <w:rsid w:val="00C74214"/>
    <w:rsid w:val="00C74225"/>
    <w:rsid w:val="00C743EE"/>
    <w:rsid w:val="00C747A5"/>
    <w:rsid w:val="00C74888"/>
    <w:rsid w:val="00C74954"/>
    <w:rsid w:val="00C751A7"/>
    <w:rsid w:val="00C75317"/>
    <w:rsid w:val="00C755BA"/>
    <w:rsid w:val="00C756DF"/>
    <w:rsid w:val="00C75A98"/>
    <w:rsid w:val="00C75DF9"/>
    <w:rsid w:val="00C76364"/>
    <w:rsid w:val="00C764BE"/>
    <w:rsid w:val="00C76541"/>
    <w:rsid w:val="00C76575"/>
    <w:rsid w:val="00C76609"/>
    <w:rsid w:val="00C7664E"/>
    <w:rsid w:val="00C766E5"/>
    <w:rsid w:val="00C768BA"/>
    <w:rsid w:val="00C76D90"/>
    <w:rsid w:val="00C77E45"/>
    <w:rsid w:val="00C801CC"/>
    <w:rsid w:val="00C8043D"/>
    <w:rsid w:val="00C80570"/>
    <w:rsid w:val="00C80953"/>
    <w:rsid w:val="00C80D85"/>
    <w:rsid w:val="00C817F5"/>
    <w:rsid w:val="00C81BD4"/>
    <w:rsid w:val="00C8295F"/>
    <w:rsid w:val="00C82B99"/>
    <w:rsid w:val="00C82D8F"/>
    <w:rsid w:val="00C830BE"/>
    <w:rsid w:val="00C835D3"/>
    <w:rsid w:val="00C836E4"/>
    <w:rsid w:val="00C8384F"/>
    <w:rsid w:val="00C838C0"/>
    <w:rsid w:val="00C83A42"/>
    <w:rsid w:val="00C83DF9"/>
    <w:rsid w:val="00C83EBB"/>
    <w:rsid w:val="00C84479"/>
    <w:rsid w:val="00C84519"/>
    <w:rsid w:val="00C847FA"/>
    <w:rsid w:val="00C85473"/>
    <w:rsid w:val="00C8573E"/>
    <w:rsid w:val="00C85847"/>
    <w:rsid w:val="00C8647A"/>
    <w:rsid w:val="00C864B3"/>
    <w:rsid w:val="00C86516"/>
    <w:rsid w:val="00C86739"/>
    <w:rsid w:val="00C86754"/>
    <w:rsid w:val="00C87820"/>
    <w:rsid w:val="00C87913"/>
    <w:rsid w:val="00C900A9"/>
    <w:rsid w:val="00C90341"/>
    <w:rsid w:val="00C90431"/>
    <w:rsid w:val="00C90768"/>
    <w:rsid w:val="00C9198F"/>
    <w:rsid w:val="00C92683"/>
    <w:rsid w:val="00C926E7"/>
    <w:rsid w:val="00C9314E"/>
    <w:rsid w:val="00C93481"/>
    <w:rsid w:val="00C93708"/>
    <w:rsid w:val="00C93A81"/>
    <w:rsid w:val="00C93D30"/>
    <w:rsid w:val="00C94492"/>
    <w:rsid w:val="00C94844"/>
    <w:rsid w:val="00C94E4A"/>
    <w:rsid w:val="00C95035"/>
    <w:rsid w:val="00C95503"/>
    <w:rsid w:val="00C956DA"/>
    <w:rsid w:val="00C95B18"/>
    <w:rsid w:val="00C95D31"/>
    <w:rsid w:val="00C95E8D"/>
    <w:rsid w:val="00C95F8B"/>
    <w:rsid w:val="00C960F0"/>
    <w:rsid w:val="00C96443"/>
    <w:rsid w:val="00C96809"/>
    <w:rsid w:val="00C96B45"/>
    <w:rsid w:val="00C96D91"/>
    <w:rsid w:val="00C96FF1"/>
    <w:rsid w:val="00C97076"/>
    <w:rsid w:val="00C973BE"/>
    <w:rsid w:val="00C9786D"/>
    <w:rsid w:val="00C978DE"/>
    <w:rsid w:val="00C979AD"/>
    <w:rsid w:val="00C97DB0"/>
    <w:rsid w:val="00CA0885"/>
    <w:rsid w:val="00CA0951"/>
    <w:rsid w:val="00CA09BA"/>
    <w:rsid w:val="00CA0D69"/>
    <w:rsid w:val="00CA0F89"/>
    <w:rsid w:val="00CA121D"/>
    <w:rsid w:val="00CA1244"/>
    <w:rsid w:val="00CA128A"/>
    <w:rsid w:val="00CA16E9"/>
    <w:rsid w:val="00CA17A2"/>
    <w:rsid w:val="00CA1B13"/>
    <w:rsid w:val="00CA1B8E"/>
    <w:rsid w:val="00CA1EBA"/>
    <w:rsid w:val="00CA2379"/>
    <w:rsid w:val="00CA246F"/>
    <w:rsid w:val="00CA249A"/>
    <w:rsid w:val="00CA2515"/>
    <w:rsid w:val="00CA2545"/>
    <w:rsid w:val="00CA280C"/>
    <w:rsid w:val="00CA2C8C"/>
    <w:rsid w:val="00CA2FB1"/>
    <w:rsid w:val="00CA2FD4"/>
    <w:rsid w:val="00CA3160"/>
    <w:rsid w:val="00CA333E"/>
    <w:rsid w:val="00CA34C0"/>
    <w:rsid w:val="00CA359A"/>
    <w:rsid w:val="00CA3AD9"/>
    <w:rsid w:val="00CA3EEE"/>
    <w:rsid w:val="00CA44E4"/>
    <w:rsid w:val="00CA453C"/>
    <w:rsid w:val="00CA470F"/>
    <w:rsid w:val="00CA474B"/>
    <w:rsid w:val="00CA4994"/>
    <w:rsid w:val="00CA4A86"/>
    <w:rsid w:val="00CA4B34"/>
    <w:rsid w:val="00CA4F7C"/>
    <w:rsid w:val="00CA5990"/>
    <w:rsid w:val="00CA5A1D"/>
    <w:rsid w:val="00CA5ADA"/>
    <w:rsid w:val="00CA5CA3"/>
    <w:rsid w:val="00CA5E66"/>
    <w:rsid w:val="00CA6044"/>
    <w:rsid w:val="00CA6130"/>
    <w:rsid w:val="00CA621C"/>
    <w:rsid w:val="00CA684B"/>
    <w:rsid w:val="00CA69E4"/>
    <w:rsid w:val="00CA6E32"/>
    <w:rsid w:val="00CA72D0"/>
    <w:rsid w:val="00CA74E0"/>
    <w:rsid w:val="00CA7B39"/>
    <w:rsid w:val="00CB0CA5"/>
    <w:rsid w:val="00CB0D59"/>
    <w:rsid w:val="00CB0DE0"/>
    <w:rsid w:val="00CB10E1"/>
    <w:rsid w:val="00CB1211"/>
    <w:rsid w:val="00CB16DA"/>
    <w:rsid w:val="00CB17DB"/>
    <w:rsid w:val="00CB1F28"/>
    <w:rsid w:val="00CB24DB"/>
    <w:rsid w:val="00CB26F3"/>
    <w:rsid w:val="00CB284A"/>
    <w:rsid w:val="00CB2937"/>
    <w:rsid w:val="00CB2ABE"/>
    <w:rsid w:val="00CB2F0A"/>
    <w:rsid w:val="00CB3B8F"/>
    <w:rsid w:val="00CB3BA4"/>
    <w:rsid w:val="00CB3E76"/>
    <w:rsid w:val="00CB3F43"/>
    <w:rsid w:val="00CB40D7"/>
    <w:rsid w:val="00CB459D"/>
    <w:rsid w:val="00CB4A9D"/>
    <w:rsid w:val="00CB4D26"/>
    <w:rsid w:val="00CB4D41"/>
    <w:rsid w:val="00CB4F72"/>
    <w:rsid w:val="00CB50D8"/>
    <w:rsid w:val="00CB54A0"/>
    <w:rsid w:val="00CB585D"/>
    <w:rsid w:val="00CB63E8"/>
    <w:rsid w:val="00CB6885"/>
    <w:rsid w:val="00CB75B8"/>
    <w:rsid w:val="00CB7C25"/>
    <w:rsid w:val="00CB7CA0"/>
    <w:rsid w:val="00CB7E26"/>
    <w:rsid w:val="00CB7E96"/>
    <w:rsid w:val="00CC0050"/>
    <w:rsid w:val="00CC006A"/>
    <w:rsid w:val="00CC00A1"/>
    <w:rsid w:val="00CC0235"/>
    <w:rsid w:val="00CC045A"/>
    <w:rsid w:val="00CC09FD"/>
    <w:rsid w:val="00CC0B68"/>
    <w:rsid w:val="00CC0B85"/>
    <w:rsid w:val="00CC16A4"/>
    <w:rsid w:val="00CC171F"/>
    <w:rsid w:val="00CC1D8B"/>
    <w:rsid w:val="00CC2039"/>
    <w:rsid w:val="00CC224F"/>
    <w:rsid w:val="00CC2292"/>
    <w:rsid w:val="00CC2438"/>
    <w:rsid w:val="00CC26BB"/>
    <w:rsid w:val="00CC30F1"/>
    <w:rsid w:val="00CC3550"/>
    <w:rsid w:val="00CC374B"/>
    <w:rsid w:val="00CC3792"/>
    <w:rsid w:val="00CC3C68"/>
    <w:rsid w:val="00CC3D1D"/>
    <w:rsid w:val="00CC4626"/>
    <w:rsid w:val="00CC47F7"/>
    <w:rsid w:val="00CC4D70"/>
    <w:rsid w:val="00CC4DA9"/>
    <w:rsid w:val="00CC51BA"/>
    <w:rsid w:val="00CC5546"/>
    <w:rsid w:val="00CC5633"/>
    <w:rsid w:val="00CC5C5E"/>
    <w:rsid w:val="00CC6662"/>
    <w:rsid w:val="00CC6734"/>
    <w:rsid w:val="00CC6C63"/>
    <w:rsid w:val="00CC773E"/>
    <w:rsid w:val="00CC7A28"/>
    <w:rsid w:val="00CD0148"/>
    <w:rsid w:val="00CD0161"/>
    <w:rsid w:val="00CD097E"/>
    <w:rsid w:val="00CD09FD"/>
    <w:rsid w:val="00CD0B4F"/>
    <w:rsid w:val="00CD12B2"/>
    <w:rsid w:val="00CD147E"/>
    <w:rsid w:val="00CD1567"/>
    <w:rsid w:val="00CD1832"/>
    <w:rsid w:val="00CD1856"/>
    <w:rsid w:val="00CD1D1A"/>
    <w:rsid w:val="00CD2BF8"/>
    <w:rsid w:val="00CD2E5A"/>
    <w:rsid w:val="00CD3029"/>
    <w:rsid w:val="00CD32B4"/>
    <w:rsid w:val="00CD3486"/>
    <w:rsid w:val="00CD3547"/>
    <w:rsid w:val="00CD37BB"/>
    <w:rsid w:val="00CD3DA0"/>
    <w:rsid w:val="00CD3F5C"/>
    <w:rsid w:val="00CD3F9A"/>
    <w:rsid w:val="00CD4039"/>
    <w:rsid w:val="00CD4402"/>
    <w:rsid w:val="00CD4807"/>
    <w:rsid w:val="00CD4B81"/>
    <w:rsid w:val="00CD4D98"/>
    <w:rsid w:val="00CD5FA7"/>
    <w:rsid w:val="00CD619F"/>
    <w:rsid w:val="00CD61EC"/>
    <w:rsid w:val="00CD6538"/>
    <w:rsid w:val="00CD65B4"/>
    <w:rsid w:val="00CD6682"/>
    <w:rsid w:val="00CD6988"/>
    <w:rsid w:val="00CD742C"/>
    <w:rsid w:val="00CD74AB"/>
    <w:rsid w:val="00CD7542"/>
    <w:rsid w:val="00CD7B07"/>
    <w:rsid w:val="00CD7CEA"/>
    <w:rsid w:val="00CD7E51"/>
    <w:rsid w:val="00CD7FA2"/>
    <w:rsid w:val="00CE0268"/>
    <w:rsid w:val="00CE0671"/>
    <w:rsid w:val="00CE06DF"/>
    <w:rsid w:val="00CE07DB"/>
    <w:rsid w:val="00CE08DD"/>
    <w:rsid w:val="00CE0C16"/>
    <w:rsid w:val="00CE0F95"/>
    <w:rsid w:val="00CE12E4"/>
    <w:rsid w:val="00CE156E"/>
    <w:rsid w:val="00CE1750"/>
    <w:rsid w:val="00CE17F8"/>
    <w:rsid w:val="00CE18CC"/>
    <w:rsid w:val="00CE1BC2"/>
    <w:rsid w:val="00CE1EFA"/>
    <w:rsid w:val="00CE1F2A"/>
    <w:rsid w:val="00CE2035"/>
    <w:rsid w:val="00CE20FF"/>
    <w:rsid w:val="00CE2370"/>
    <w:rsid w:val="00CE2375"/>
    <w:rsid w:val="00CE2908"/>
    <w:rsid w:val="00CE2B8F"/>
    <w:rsid w:val="00CE2BB8"/>
    <w:rsid w:val="00CE30B4"/>
    <w:rsid w:val="00CE389A"/>
    <w:rsid w:val="00CE3C65"/>
    <w:rsid w:val="00CE403E"/>
    <w:rsid w:val="00CE44D9"/>
    <w:rsid w:val="00CE4C6C"/>
    <w:rsid w:val="00CE4DD7"/>
    <w:rsid w:val="00CE5C84"/>
    <w:rsid w:val="00CE5EC7"/>
    <w:rsid w:val="00CE5FEF"/>
    <w:rsid w:val="00CE64AC"/>
    <w:rsid w:val="00CE64C6"/>
    <w:rsid w:val="00CE69EC"/>
    <w:rsid w:val="00CE6D81"/>
    <w:rsid w:val="00CE7A4F"/>
    <w:rsid w:val="00CE7C6B"/>
    <w:rsid w:val="00CE7C87"/>
    <w:rsid w:val="00CE7EF7"/>
    <w:rsid w:val="00CF00EB"/>
    <w:rsid w:val="00CF1252"/>
    <w:rsid w:val="00CF14C1"/>
    <w:rsid w:val="00CF15C2"/>
    <w:rsid w:val="00CF1E3F"/>
    <w:rsid w:val="00CF2168"/>
    <w:rsid w:val="00CF252E"/>
    <w:rsid w:val="00CF28EE"/>
    <w:rsid w:val="00CF2EB3"/>
    <w:rsid w:val="00CF2EDC"/>
    <w:rsid w:val="00CF2FD1"/>
    <w:rsid w:val="00CF32E7"/>
    <w:rsid w:val="00CF3874"/>
    <w:rsid w:val="00CF393E"/>
    <w:rsid w:val="00CF3C76"/>
    <w:rsid w:val="00CF466F"/>
    <w:rsid w:val="00CF46AF"/>
    <w:rsid w:val="00CF53D4"/>
    <w:rsid w:val="00CF5482"/>
    <w:rsid w:val="00CF5495"/>
    <w:rsid w:val="00CF56FA"/>
    <w:rsid w:val="00CF581C"/>
    <w:rsid w:val="00CF58FE"/>
    <w:rsid w:val="00CF5AE0"/>
    <w:rsid w:val="00CF5E17"/>
    <w:rsid w:val="00CF6281"/>
    <w:rsid w:val="00CF6373"/>
    <w:rsid w:val="00CF67C6"/>
    <w:rsid w:val="00CF6A86"/>
    <w:rsid w:val="00CF6C98"/>
    <w:rsid w:val="00CF6CC7"/>
    <w:rsid w:val="00CF6D69"/>
    <w:rsid w:val="00CF729D"/>
    <w:rsid w:val="00CF73B3"/>
    <w:rsid w:val="00CF776C"/>
    <w:rsid w:val="00CF785C"/>
    <w:rsid w:val="00CF7960"/>
    <w:rsid w:val="00CF7B78"/>
    <w:rsid w:val="00D0038F"/>
    <w:rsid w:val="00D00560"/>
    <w:rsid w:val="00D009A9"/>
    <w:rsid w:val="00D00B32"/>
    <w:rsid w:val="00D00B76"/>
    <w:rsid w:val="00D00DED"/>
    <w:rsid w:val="00D00E4C"/>
    <w:rsid w:val="00D010E7"/>
    <w:rsid w:val="00D01350"/>
    <w:rsid w:val="00D01646"/>
    <w:rsid w:val="00D01BE0"/>
    <w:rsid w:val="00D01C38"/>
    <w:rsid w:val="00D0206E"/>
    <w:rsid w:val="00D02203"/>
    <w:rsid w:val="00D02523"/>
    <w:rsid w:val="00D028C6"/>
    <w:rsid w:val="00D03926"/>
    <w:rsid w:val="00D03E79"/>
    <w:rsid w:val="00D04112"/>
    <w:rsid w:val="00D046CC"/>
    <w:rsid w:val="00D04AA7"/>
    <w:rsid w:val="00D04B7D"/>
    <w:rsid w:val="00D04BA7"/>
    <w:rsid w:val="00D04CB8"/>
    <w:rsid w:val="00D04FCB"/>
    <w:rsid w:val="00D05169"/>
    <w:rsid w:val="00D05969"/>
    <w:rsid w:val="00D05BBE"/>
    <w:rsid w:val="00D05F13"/>
    <w:rsid w:val="00D05F32"/>
    <w:rsid w:val="00D062F7"/>
    <w:rsid w:val="00D0642D"/>
    <w:rsid w:val="00D06726"/>
    <w:rsid w:val="00D06D1A"/>
    <w:rsid w:val="00D06DAF"/>
    <w:rsid w:val="00D06E98"/>
    <w:rsid w:val="00D06EA8"/>
    <w:rsid w:val="00D06F6C"/>
    <w:rsid w:val="00D06F91"/>
    <w:rsid w:val="00D07010"/>
    <w:rsid w:val="00D0772C"/>
    <w:rsid w:val="00D07B90"/>
    <w:rsid w:val="00D1006B"/>
    <w:rsid w:val="00D10214"/>
    <w:rsid w:val="00D10631"/>
    <w:rsid w:val="00D1099C"/>
    <w:rsid w:val="00D10BF3"/>
    <w:rsid w:val="00D10CCF"/>
    <w:rsid w:val="00D11297"/>
    <w:rsid w:val="00D1145F"/>
    <w:rsid w:val="00D11B7A"/>
    <w:rsid w:val="00D1260D"/>
    <w:rsid w:val="00D128A9"/>
    <w:rsid w:val="00D12912"/>
    <w:rsid w:val="00D12A80"/>
    <w:rsid w:val="00D12D36"/>
    <w:rsid w:val="00D13148"/>
    <w:rsid w:val="00D132AC"/>
    <w:rsid w:val="00D13573"/>
    <w:rsid w:val="00D13948"/>
    <w:rsid w:val="00D13B54"/>
    <w:rsid w:val="00D14568"/>
    <w:rsid w:val="00D146BC"/>
    <w:rsid w:val="00D14BBB"/>
    <w:rsid w:val="00D14CF9"/>
    <w:rsid w:val="00D14DFC"/>
    <w:rsid w:val="00D156E1"/>
    <w:rsid w:val="00D15798"/>
    <w:rsid w:val="00D15927"/>
    <w:rsid w:val="00D15C77"/>
    <w:rsid w:val="00D15E8D"/>
    <w:rsid w:val="00D15FE3"/>
    <w:rsid w:val="00D16526"/>
    <w:rsid w:val="00D165AF"/>
    <w:rsid w:val="00D1674E"/>
    <w:rsid w:val="00D167CD"/>
    <w:rsid w:val="00D16994"/>
    <w:rsid w:val="00D16F53"/>
    <w:rsid w:val="00D1703E"/>
    <w:rsid w:val="00D17349"/>
    <w:rsid w:val="00D1782E"/>
    <w:rsid w:val="00D17F59"/>
    <w:rsid w:val="00D2003C"/>
    <w:rsid w:val="00D201D8"/>
    <w:rsid w:val="00D20506"/>
    <w:rsid w:val="00D205BD"/>
    <w:rsid w:val="00D20AEB"/>
    <w:rsid w:val="00D20E32"/>
    <w:rsid w:val="00D20F1B"/>
    <w:rsid w:val="00D213A5"/>
    <w:rsid w:val="00D2151C"/>
    <w:rsid w:val="00D21666"/>
    <w:rsid w:val="00D2185F"/>
    <w:rsid w:val="00D21993"/>
    <w:rsid w:val="00D21C48"/>
    <w:rsid w:val="00D21F35"/>
    <w:rsid w:val="00D22028"/>
    <w:rsid w:val="00D22507"/>
    <w:rsid w:val="00D22581"/>
    <w:rsid w:val="00D225B6"/>
    <w:rsid w:val="00D228AF"/>
    <w:rsid w:val="00D22BDD"/>
    <w:rsid w:val="00D22BFB"/>
    <w:rsid w:val="00D22C17"/>
    <w:rsid w:val="00D22D37"/>
    <w:rsid w:val="00D22E4F"/>
    <w:rsid w:val="00D2321D"/>
    <w:rsid w:val="00D232E5"/>
    <w:rsid w:val="00D233F7"/>
    <w:rsid w:val="00D234CC"/>
    <w:rsid w:val="00D2427A"/>
    <w:rsid w:val="00D2461A"/>
    <w:rsid w:val="00D24EA1"/>
    <w:rsid w:val="00D25448"/>
    <w:rsid w:val="00D2585B"/>
    <w:rsid w:val="00D26590"/>
    <w:rsid w:val="00D2685B"/>
    <w:rsid w:val="00D2687A"/>
    <w:rsid w:val="00D26993"/>
    <w:rsid w:val="00D275E4"/>
    <w:rsid w:val="00D27650"/>
    <w:rsid w:val="00D27718"/>
    <w:rsid w:val="00D305F4"/>
    <w:rsid w:val="00D30A8A"/>
    <w:rsid w:val="00D30C9E"/>
    <w:rsid w:val="00D30E18"/>
    <w:rsid w:val="00D30EB7"/>
    <w:rsid w:val="00D310D4"/>
    <w:rsid w:val="00D31120"/>
    <w:rsid w:val="00D31293"/>
    <w:rsid w:val="00D31696"/>
    <w:rsid w:val="00D31742"/>
    <w:rsid w:val="00D3234D"/>
    <w:rsid w:val="00D3269E"/>
    <w:rsid w:val="00D327FA"/>
    <w:rsid w:val="00D32833"/>
    <w:rsid w:val="00D328FC"/>
    <w:rsid w:val="00D3295B"/>
    <w:rsid w:val="00D329B4"/>
    <w:rsid w:val="00D32E7F"/>
    <w:rsid w:val="00D32EA5"/>
    <w:rsid w:val="00D333B0"/>
    <w:rsid w:val="00D33449"/>
    <w:rsid w:val="00D33937"/>
    <w:rsid w:val="00D33D2C"/>
    <w:rsid w:val="00D33D97"/>
    <w:rsid w:val="00D345BA"/>
    <w:rsid w:val="00D3485E"/>
    <w:rsid w:val="00D34ADF"/>
    <w:rsid w:val="00D34AE5"/>
    <w:rsid w:val="00D34BD6"/>
    <w:rsid w:val="00D35788"/>
    <w:rsid w:val="00D359F7"/>
    <w:rsid w:val="00D3610D"/>
    <w:rsid w:val="00D361DB"/>
    <w:rsid w:val="00D36644"/>
    <w:rsid w:val="00D3669C"/>
    <w:rsid w:val="00D36F45"/>
    <w:rsid w:val="00D373A3"/>
    <w:rsid w:val="00D37607"/>
    <w:rsid w:val="00D37A36"/>
    <w:rsid w:val="00D37B48"/>
    <w:rsid w:val="00D37DD6"/>
    <w:rsid w:val="00D37F80"/>
    <w:rsid w:val="00D40935"/>
    <w:rsid w:val="00D40E72"/>
    <w:rsid w:val="00D40EE7"/>
    <w:rsid w:val="00D40FE7"/>
    <w:rsid w:val="00D41375"/>
    <w:rsid w:val="00D4161C"/>
    <w:rsid w:val="00D417C3"/>
    <w:rsid w:val="00D42410"/>
    <w:rsid w:val="00D43639"/>
    <w:rsid w:val="00D437EF"/>
    <w:rsid w:val="00D43AEC"/>
    <w:rsid w:val="00D43D10"/>
    <w:rsid w:val="00D43E3B"/>
    <w:rsid w:val="00D43F58"/>
    <w:rsid w:val="00D43F64"/>
    <w:rsid w:val="00D43F6F"/>
    <w:rsid w:val="00D44164"/>
    <w:rsid w:val="00D441A9"/>
    <w:rsid w:val="00D44441"/>
    <w:rsid w:val="00D44622"/>
    <w:rsid w:val="00D448F0"/>
    <w:rsid w:val="00D4503D"/>
    <w:rsid w:val="00D4505C"/>
    <w:rsid w:val="00D451FB"/>
    <w:rsid w:val="00D452CE"/>
    <w:rsid w:val="00D454BF"/>
    <w:rsid w:val="00D4559E"/>
    <w:rsid w:val="00D458F5"/>
    <w:rsid w:val="00D45EED"/>
    <w:rsid w:val="00D46A29"/>
    <w:rsid w:val="00D46AAA"/>
    <w:rsid w:val="00D46ABF"/>
    <w:rsid w:val="00D4707E"/>
    <w:rsid w:val="00D4710B"/>
    <w:rsid w:val="00D47822"/>
    <w:rsid w:val="00D4786D"/>
    <w:rsid w:val="00D50145"/>
    <w:rsid w:val="00D507A8"/>
    <w:rsid w:val="00D50ADC"/>
    <w:rsid w:val="00D50DBB"/>
    <w:rsid w:val="00D511E3"/>
    <w:rsid w:val="00D5151F"/>
    <w:rsid w:val="00D515C1"/>
    <w:rsid w:val="00D5184A"/>
    <w:rsid w:val="00D5189A"/>
    <w:rsid w:val="00D5189E"/>
    <w:rsid w:val="00D51E2C"/>
    <w:rsid w:val="00D51E5B"/>
    <w:rsid w:val="00D523F4"/>
    <w:rsid w:val="00D5242A"/>
    <w:rsid w:val="00D52494"/>
    <w:rsid w:val="00D52A6C"/>
    <w:rsid w:val="00D5351E"/>
    <w:rsid w:val="00D5384A"/>
    <w:rsid w:val="00D53A61"/>
    <w:rsid w:val="00D53D82"/>
    <w:rsid w:val="00D5425B"/>
    <w:rsid w:val="00D54469"/>
    <w:rsid w:val="00D5454D"/>
    <w:rsid w:val="00D54A9E"/>
    <w:rsid w:val="00D55055"/>
    <w:rsid w:val="00D5538E"/>
    <w:rsid w:val="00D5552D"/>
    <w:rsid w:val="00D55721"/>
    <w:rsid w:val="00D55B95"/>
    <w:rsid w:val="00D55C67"/>
    <w:rsid w:val="00D56491"/>
    <w:rsid w:val="00D564FD"/>
    <w:rsid w:val="00D56562"/>
    <w:rsid w:val="00D56621"/>
    <w:rsid w:val="00D5680A"/>
    <w:rsid w:val="00D56A17"/>
    <w:rsid w:val="00D56BA0"/>
    <w:rsid w:val="00D56EBA"/>
    <w:rsid w:val="00D570AD"/>
    <w:rsid w:val="00D572CC"/>
    <w:rsid w:val="00D5772F"/>
    <w:rsid w:val="00D577AB"/>
    <w:rsid w:val="00D57924"/>
    <w:rsid w:val="00D579D2"/>
    <w:rsid w:val="00D57C07"/>
    <w:rsid w:val="00D57C84"/>
    <w:rsid w:val="00D57DDF"/>
    <w:rsid w:val="00D603A3"/>
    <w:rsid w:val="00D6042D"/>
    <w:rsid w:val="00D6076F"/>
    <w:rsid w:val="00D60C4E"/>
    <w:rsid w:val="00D60DDC"/>
    <w:rsid w:val="00D60FE3"/>
    <w:rsid w:val="00D611BE"/>
    <w:rsid w:val="00D61B03"/>
    <w:rsid w:val="00D61B45"/>
    <w:rsid w:val="00D61C4C"/>
    <w:rsid w:val="00D62144"/>
    <w:rsid w:val="00D6248A"/>
    <w:rsid w:val="00D626B8"/>
    <w:rsid w:val="00D626CC"/>
    <w:rsid w:val="00D62EC2"/>
    <w:rsid w:val="00D62F6C"/>
    <w:rsid w:val="00D62F7A"/>
    <w:rsid w:val="00D63DB2"/>
    <w:rsid w:val="00D6459E"/>
    <w:rsid w:val="00D64B6E"/>
    <w:rsid w:val="00D64EA1"/>
    <w:rsid w:val="00D64FD6"/>
    <w:rsid w:val="00D65BA7"/>
    <w:rsid w:val="00D65BBF"/>
    <w:rsid w:val="00D65BD7"/>
    <w:rsid w:val="00D65DD1"/>
    <w:rsid w:val="00D66028"/>
    <w:rsid w:val="00D661EA"/>
    <w:rsid w:val="00D666B2"/>
    <w:rsid w:val="00D66850"/>
    <w:rsid w:val="00D672F5"/>
    <w:rsid w:val="00D6757B"/>
    <w:rsid w:val="00D6794C"/>
    <w:rsid w:val="00D67960"/>
    <w:rsid w:val="00D701C3"/>
    <w:rsid w:val="00D703F2"/>
    <w:rsid w:val="00D70503"/>
    <w:rsid w:val="00D70646"/>
    <w:rsid w:val="00D70728"/>
    <w:rsid w:val="00D7087A"/>
    <w:rsid w:val="00D7099B"/>
    <w:rsid w:val="00D70EDD"/>
    <w:rsid w:val="00D712CE"/>
    <w:rsid w:val="00D7212C"/>
    <w:rsid w:val="00D72B01"/>
    <w:rsid w:val="00D72DAB"/>
    <w:rsid w:val="00D72EE4"/>
    <w:rsid w:val="00D72F4B"/>
    <w:rsid w:val="00D73503"/>
    <w:rsid w:val="00D73505"/>
    <w:rsid w:val="00D73A9D"/>
    <w:rsid w:val="00D73BBB"/>
    <w:rsid w:val="00D73CE9"/>
    <w:rsid w:val="00D73D6E"/>
    <w:rsid w:val="00D741AC"/>
    <w:rsid w:val="00D741BC"/>
    <w:rsid w:val="00D742A3"/>
    <w:rsid w:val="00D748A8"/>
    <w:rsid w:val="00D74A5C"/>
    <w:rsid w:val="00D74B60"/>
    <w:rsid w:val="00D74E82"/>
    <w:rsid w:val="00D74FC3"/>
    <w:rsid w:val="00D7527F"/>
    <w:rsid w:val="00D756AD"/>
    <w:rsid w:val="00D758B1"/>
    <w:rsid w:val="00D7607A"/>
    <w:rsid w:val="00D764DE"/>
    <w:rsid w:val="00D76D62"/>
    <w:rsid w:val="00D77D65"/>
    <w:rsid w:val="00D8005D"/>
    <w:rsid w:val="00D80228"/>
    <w:rsid w:val="00D808FD"/>
    <w:rsid w:val="00D809F8"/>
    <w:rsid w:val="00D80CB1"/>
    <w:rsid w:val="00D81274"/>
    <w:rsid w:val="00D8195F"/>
    <w:rsid w:val="00D81BFB"/>
    <w:rsid w:val="00D81C8A"/>
    <w:rsid w:val="00D81DEC"/>
    <w:rsid w:val="00D81F8D"/>
    <w:rsid w:val="00D82299"/>
    <w:rsid w:val="00D82472"/>
    <w:rsid w:val="00D8256C"/>
    <w:rsid w:val="00D82B5A"/>
    <w:rsid w:val="00D8387E"/>
    <w:rsid w:val="00D83ABC"/>
    <w:rsid w:val="00D83FA3"/>
    <w:rsid w:val="00D84290"/>
    <w:rsid w:val="00D8498A"/>
    <w:rsid w:val="00D850AE"/>
    <w:rsid w:val="00D852FF"/>
    <w:rsid w:val="00D8584F"/>
    <w:rsid w:val="00D85863"/>
    <w:rsid w:val="00D85895"/>
    <w:rsid w:val="00D8598F"/>
    <w:rsid w:val="00D85B09"/>
    <w:rsid w:val="00D85CFD"/>
    <w:rsid w:val="00D866FA"/>
    <w:rsid w:val="00D86815"/>
    <w:rsid w:val="00D87000"/>
    <w:rsid w:val="00D870B7"/>
    <w:rsid w:val="00D870E4"/>
    <w:rsid w:val="00D874C1"/>
    <w:rsid w:val="00D877A6"/>
    <w:rsid w:val="00D87CDE"/>
    <w:rsid w:val="00D903C5"/>
    <w:rsid w:val="00D90988"/>
    <w:rsid w:val="00D912E5"/>
    <w:rsid w:val="00D9145B"/>
    <w:rsid w:val="00D9169D"/>
    <w:rsid w:val="00D9170C"/>
    <w:rsid w:val="00D917B5"/>
    <w:rsid w:val="00D91A9D"/>
    <w:rsid w:val="00D91B74"/>
    <w:rsid w:val="00D92207"/>
    <w:rsid w:val="00D9222C"/>
    <w:rsid w:val="00D924E4"/>
    <w:rsid w:val="00D92783"/>
    <w:rsid w:val="00D92963"/>
    <w:rsid w:val="00D92FD9"/>
    <w:rsid w:val="00D93977"/>
    <w:rsid w:val="00D93B3E"/>
    <w:rsid w:val="00D93B53"/>
    <w:rsid w:val="00D93F54"/>
    <w:rsid w:val="00D94560"/>
    <w:rsid w:val="00D94692"/>
    <w:rsid w:val="00D94B0D"/>
    <w:rsid w:val="00D94CF4"/>
    <w:rsid w:val="00D94EF8"/>
    <w:rsid w:val="00D950A3"/>
    <w:rsid w:val="00D95585"/>
    <w:rsid w:val="00D9594C"/>
    <w:rsid w:val="00D95B18"/>
    <w:rsid w:val="00D95BB9"/>
    <w:rsid w:val="00D95BF2"/>
    <w:rsid w:val="00D95D01"/>
    <w:rsid w:val="00D95EA5"/>
    <w:rsid w:val="00D95F5B"/>
    <w:rsid w:val="00D966A8"/>
    <w:rsid w:val="00D96B71"/>
    <w:rsid w:val="00D96CA1"/>
    <w:rsid w:val="00D96D40"/>
    <w:rsid w:val="00D970F2"/>
    <w:rsid w:val="00D97417"/>
    <w:rsid w:val="00D97BBC"/>
    <w:rsid w:val="00D97D65"/>
    <w:rsid w:val="00D97D78"/>
    <w:rsid w:val="00D97F67"/>
    <w:rsid w:val="00DA008E"/>
    <w:rsid w:val="00DA02D5"/>
    <w:rsid w:val="00DA034F"/>
    <w:rsid w:val="00DA0443"/>
    <w:rsid w:val="00DA0B8F"/>
    <w:rsid w:val="00DA0C39"/>
    <w:rsid w:val="00DA1108"/>
    <w:rsid w:val="00DA1931"/>
    <w:rsid w:val="00DA1F6E"/>
    <w:rsid w:val="00DA2302"/>
    <w:rsid w:val="00DA2379"/>
    <w:rsid w:val="00DA2489"/>
    <w:rsid w:val="00DA25AE"/>
    <w:rsid w:val="00DA2736"/>
    <w:rsid w:val="00DA3422"/>
    <w:rsid w:val="00DA36FB"/>
    <w:rsid w:val="00DA37E0"/>
    <w:rsid w:val="00DA3F35"/>
    <w:rsid w:val="00DA4061"/>
    <w:rsid w:val="00DA50A3"/>
    <w:rsid w:val="00DA516B"/>
    <w:rsid w:val="00DA51B8"/>
    <w:rsid w:val="00DA5223"/>
    <w:rsid w:val="00DA527A"/>
    <w:rsid w:val="00DA57FF"/>
    <w:rsid w:val="00DA5918"/>
    <w:rsid w:val="00DA5957"/>
    <w:rsid w:val="00DA5EFF"/>
    <w:rsid w:val="00DA5FE6"/>
    <w:rsid w:val="00DA6B67"/>
    <w:rsid w:val="00DA6F39"/>
    <w:rsid w:val="00DA737F"/>
    <w:rsid w:val="00DA74CB"/>
    <w:rsid w:val="00DA779A"/>
    <w:rsid w:val="00DA77FB"/>
    <w:rsid w:val="00DA7A8C"/>
    <w:rsid w:val="00DA7C31"/>
    <w:rsid w:val="00DA7C43"/>
    <w:rsid w:val="00DA7FB6"/>
    <w:rsid w:val="00DB01CA"/>
    <w:rsid w:val="00DB02F7"/>
    <w:rsid w:val="00DB0EEF"/>
    <w:rsid w:val="00DB0F63"/>
    <w:rsid w:val="00DB1377"/>
    <w:rsid w:val="00DB13AB"/>
    <w:rsid w:val="00DB1B79"/>
    <w:rsid w:val="00DB1C16"/>
    <w:rsid w:val="00DB1FD1"/>
    <w:rsid w:val="00DB2048"/>
    <w:rsid w:val="00DB2065"/>
    <w:rsid w:val="00DB228D"/>
    <w:rsid w:val="00DB2490"/>
    <w:rsid w:val="00DB2519"/>
    <w:rsid w:val="00DB2754"/>
    <w:rsid w:val="00DB2E3E"/>
    <w:rsid w:val="00DB3577"/>
    <w:rsid w:val="00DB3D1A"/>
    <w:rsid w:val="00DB3F07"/>
    <w:rsid w:val="00DB3F14"/>
    <w:rsid w:val="00DB414B"/>
    <w:rsid w:val="00DB4376"/>
    <w:rsid w:val="00DB4744"/>
    <w:rsid w:val="00DB506A"/>
    <w:rsid w:val="00DB5388"/>
    <w:rsid w:val="00DB591B"/>
    <w:rsid w:val="00DB5A7C"/>
    <w:rsid w:val="00DB5E38"/>
    <w:rsid w:val="00DB61AA"/>
    <w:rsid w:val="00DB65BF"/>
    <w:rsid w:val="00DB6672"/>
    <w:rsid w:val="00DB66D2"/>
    <w:rsid w:val="00DB7106"/>
    <w:rsid w:val="00DB7516"/>
    <w:rsid w:val="00DB7637"/>
    <w:rsid w:val="00DB7655"/>
    <w:rsid w:val="00DB77D9"/>
    <w:rsid w:val="00DB7894"/>
    <w:rsid w:val="00DB7954"/>
    <w:rsid w:val="00DB7E3A"/>
    <w:rsid w:val="00DB7EF3"/>
    <w:rsid w:val="00DC006B"/>
    <w:rsid w:val="00DC02E2"/>
    <w:rsid w:val="00DC054C"/>
    <w:rsid w:val="00DC05AF"/>
    <w:rsid w:val="00DC08CA"/>
    <w:rsid w:val="00DC0A5A"/>
    <w:rsid w:val="00DC0AB7"/>
    <w:rsid w:val="00DC0ACB"/>
    <w:rsid w:val="00DC0F43"/>
    <w:rsid w:val="00DC11B2"/>
    <w:rsid w:val="00DC1223"/>
    <w:rsid w:val="00DC12C7"/>
    <w:rsid w:val="00DC1E52"/>
    <w:rsid w:val="00DC1E5D"/>
    <w:rsid w:val="00DC1E5F"/>
    <w:rsid w:val="00DC20AD"/>
    <w:rsid w:val="00DC22CB"/>
    <w:rsid w:val="00DC268D"/>
    <w:rsid w:val="00DC2DAE"/>
    <w:rsid w:val="00DC2E22"/>
    <w:rsid w:val="00DC2EC9"/>
    <w:rsid w:val="00DC3071"/>
    <w:rsid w:val="00DC33C6"/>
    <w:rsid w:val="00DC391C"/>
    <w:rsid w:val="00DC3A8C"/>
    <w:rsid w:val="00DC41DC"/>
    <w:rsid w:val="00DC44BF"/>
    <w:rsid w:val="00DC44FB"/>
    <w:rsid w:val="00DC4592"/>
    <w:rsid w:val="00DC46C0"/>
    <w:rsid w:val="00DC48D1"/>
    <w:rsid w:val="00DC498D"/>
    <w:rsid w:val="00DC4D28"/>
    <w:rsid w:val="00DC4DCB"/>
    <w:rsid w:val="00DC4FAC"/>
    <w:rsid w:val="00DC540E"/>
    <w:rsid w:val="00DC55ED"/>
    <w:rsid w:val="00DC56EB"/>
    <w:rsid w:val="00DC5F9C"/>
    <w:rsid w:val="00DC62E4"/>
    <w:rsid w:val="00DC63E2"/>
    <w:rsid w:val="00DC67E8"/>
    <w:rsid w:val="00DC6DA2"/>
    <w:rsid w:val="00DC7035"/>
    <w:rsid w:val="00DC72AE"/>
    <w:rsid w:val="00DC7879"/>
    <w:rsid w:val="00DC78DC"/>
    <w:rsid w:val="00DC7A72"/>
    <w:rsid w:val="00DC7B26"/>
    <w:rsid w:val="00DD00A1"/>
    <w:rsid w:val="00DD00DE"/>
    <w:rsid w:val="00DD08D8"/>
    <w:rsid w:val="00DD1159"/>
    <w:rsid w:val="00DD1227"/>
    <w:rsid w:val="00DD1354"/>
    <w:rsid w:val="00DD14E8"/>
    <w:rsid w:val="00DD152C"/>
    <w:rsid w:val="00DD1603"/>
    <w:rsid w:val="00DD187E"/>
    <w:rsid w:val="00DD19F5"/>
    <w:rsid w:val="00DD1BC2"/>
    <w:rsid w:val="00DD209B"/>
    <w:rsid w:val="00DD22F7"/>
    <w:rsid w:val="00DD24C5"/>
    <w:rsid w:val="00DD26C2"/>
    <w:rsid w:val="00DD2C05"/>
    <w:rsid w:val="00DD2C71"/>
    <w:rsid w:val="00DD2DC8"/>
    <w:rsid w:val="00DD3340"/>
    <w:rsid w:val="00DD33FF"/>
    <w:rsid w:val="00DD365F"/>
    <w:rsid w:val="00DD444B"/>
    <w:rsid w:val="00DD493E"/>
    <w:rsid w:val="00DD540C"/>
    <w:rsid w:val="00DD55F4"/>
    <w:rsid w:val="00DD5779"/>
    <w:rsid w:val="00DD6228"/>
    <w:rsid w:val="00DD68B6"/>
    <w:rsid w:val="00DD69DA"/>
    <w:rsid w:val="00DD6C13"/>
    <w:rsid w:val="00DD6E6A"/>
    <w:rsid w:val="00DD7045"/>
    <w:rsid w:val="00DD7311"/>
    <w:rsid w:val="00DD74BB"/>
    <w:rsid w:val="00DD764D"/>
    <w:rsid w:val="00DD7861"/>
    <w:rsid w:val="00DD791E"/>
    <w:rsid w:val="00DE015B"/>
    <w:rsid w:val="00DE058E"/>
    <w:rsid w:val="00DE0A87"/>
    <w:rsid w:val="00DE0C92"/>
    <w:rsid w:val="00DE0EC5"/>
    <w:rsid w:val="00DE1291"/>
    <w:rsid w:val="00DE1431"/>
    <w:rsid w:val="00DE15F9"/>
    <w:rsid w:val="00DE1622"/>
    <w:rsid w:val="00DE170D"/>
    <w:rsid w:val="00DE1804"/>
    <w:rsid w:val="00DE189B"/>
    <w:rsid w:val="00DE1B9B"/>
    <w:rsid w:val="00DE2084"/>
    <w:rsid w:val="00DE20E8"/>
    <w:rsid w:val="00DE23D8"/>
    <w:rsid w:val="00DE29F9"/>
    <w:rsid w:val="00DE2E5A"/>
    <w:rsid w:val="00DE3403"/>
    <w:rsid w:val="00DE37C1"/>
    <w:rsid w:val="00DE39B5"/>
    <w:rsid w:val="00DE3C95"/>
    <w:rsid w:val="00DE3CA7"/>
    <w:rsid w:val="00DE3E27"/>
    <w:rsid w:val="00DE4070"/>
    <w:rsid w:val="00DE4285"/>
    <w:rsid w:val="00DE46E5"/>
    <w:rsid w:val="00DE4943"/>
    <w:rsid w:val="00DE494A"/>
    <w:rsid w:val="00DE4BD9"/>
    <w:rsid w:val="00DE52D2"/>
    <w:rsid w:val="00DE55D9"/>
    <w:rsid w:val="00DE6405"/>
    <w:rsid w:val="00DE6948"/>
    <w:rsid w:val="00DE69C0"/>
    <w:rsid w:val="00DE76CB"/>
    <w:rsid w:val="00DE7B20"/>
    <w:rsid w:val="00DF01DA"/>
    <w:rsid w:val="00DF0770"/>
    <w:rsid w:val="00DF08E7"/>
    <w:rsid w:val="00DF091A"/>
    <w:rsid w:val="00DF09C5"/>
    <w:rsid w:val="00DF1080"/>
    <w:rsid w:val="00DF12E0"/>
    <w:rsid w:val="00DF1424"/>
    <w:rsid w:val="00DF1734"/>
    <w:rsid w:val="00DF18C9"/>
    <w:rsid w:val="00DF197D"/>
    <w:rsid w:val="00DF1AF1"/>
    <w:rsid w:val="00DF1B61"/>
    <w:rsid w:val="00DF2000"/>
    <w:rsid w:val="00DF2510"/>
    <w:rsid w:val="00DF2654"/>
    <w:rsid w:val="00DF279E"/>
    <w:rsid w:val="00DF27DB"/>
    <w:rsid w:val="00DF280A"/>
    <w:rsid w:val="00DF2A19"/>
    <w:rsid w:val="00DF2C59"/>
    <w:rsid w:val="00DF313A"/>
    <w:rsid w:val="00DF31E1"/>
    <w:rsid w:val="00DF39C3"/>
    <w:rsid w:val="00DF3A4A"/>
    <w:rsid w:val="00DF4491"/>
    <w:rsid w:val="00DF4F52"/>
    <w:rsid w:val="00DF5422"/>
    <w:rsid w:val="00DF56D0"/>
    <w:rsid w:val="00DF57E8"/>
    <w:rsid w:val="00DF5876"/>
    <w:rsid w:val="00DF5913"/>
    <w:rsid w:val="00DF5D61"/>
    <w:rsid w:val="00DF5E62"/>
    <w:rsid w:val="00DF5EAA"/>
    <w:rsid w:val="00DF6A62"/>
    <w:rsid w:val="00DF6F93"/>
    <w:rsid w:val="00DF7099"/>
    <w:rsid w:val="00DF7620"/>
    <w:rsid w:val="00DF7888"/>
    <w:rsid w:val="00E00248"/>
    <w:rsid w:val="00E005D4"/>
    <w:rsid w:val="00E0067C"/>
    <w:rsid w:val="00E009CB"/>
    <w:rsid w:val="00E00A78"/>
    <w:rsid w:val="00E00B7D"/>
    <w:rsid w:val="00E00CFC"/>
    <w:rsid w:val="00E00D3E"/>
    <w:rsid w:val="00E01043"/>
    <w:rsid w:val="00E011C5"/>
    <w:rsid w:val="00E01506"/>
    <w:rsid w:val="00E01564"/>
    <w:rsid w:val="00E015AC"/>
    <w:rsid w:val="00E0189F"/>
    <w:rsid w:val="00E018C5"/>
    <w:rsid w:val="00E0193F"/>
    <w:rsid w:val="00E01B8C"/>
    <w:rsid w:val="00E021B8"/>
    <w:rsid w:val="00E02326"/>
    <w:rsid w:val="00E02553"/>
    <w:rsid w:val="00E029DB"/>
    <w:rsid w:val="00E02DCA"/>
    <w:rsid w:val="00E03180"/>
    <w:rsid w:val="00E0334E"/>
    <w:rsid w:val="00E036D7"/>
    <w:rsid w:val="00E0383C"/>
    <w:rsid w:val="00E0434F"/>
    <w:rsid w:val="00E046D6"/>
    <w:rsid w:val="00E04B94"/>
    <w:rsid w:val="00E05331"/>
    <w:rsid w:val="00E055B5"/>
    <w:rsid w:val="00E05762"/>
    <w:rsid w:val="00E05B8B"/>
    <w:rsid w:val="00E05CB2"/>
    <w:rsid w:val="00E05F97"/>
    <w:rsid w:val="00E06363"/>
    <w:rsid w:val="00E06A34"/>
    <w:rsid w:val="00E06BFB"/>
    <w:rsid w:val="00E06D6F"/>
    <w:rsid w:val="00E06E78"/>
    <w:rsid w:val="00E06F56"/>
    <w:rsid w:val="00E07481"/>
    <w:rsid w:val="00E0749A"/>
    <w:rsid w:val="00E1033C"/>
    <w:rsid w:val="00E103D9"/>
    <w:rsid w:val="00E10DDE"/>
    <w:rsid w:val="00E10E51"/>
    <w:rsid w:val="00E110AC"/>
    <w:rsid w:val="00E1124E"/>
    <w:rsid w:val="00E113B5"/>
    <w:rsid w:val="00E113D5"/>
    <w:rsid w:val="00E11693"/>
    <w:rsid w:val="00E11928"/>
    <w:rsid w:val="00E121A9"/>
    <w:rsid w:val="00E12649"/>
    <w:rsid w:val="00E1268A"/>
    <w:rsid w:val="00E126F7"/>
    <w:rsid w:val="00E12F2F"/>
    <w:rsid w:val="00E1326C"/>
    <w:rsid w:val="00E13664"/>
    <w:rsid w:val="00E13A68"/>
    <w:rsid w:val="00E13E0A"/>
    <w:rsid w:val="00E13E43"/>
    <w:rsid w:val="00E140EA"/>
    <w:rsid w:val="00E14297"/>
    <w:rsid w:val="00E143A8"/>
    <w:rsid w:val="00E14F2A"/>
    <w:rsid w:val="00E14F8D"/>
    <w:rsid w:val="00E1545B"/>
    <w:rsid w:val="00E154D1"/>
    <w:rsid w:val="00E15611"/>
    <w:rsid w:val="00E15A7F"/>
    <w:rsid w:val="00E15BED"/>
    <w:rsid w:val="00E15C33"/>
    <w:rsid w:val="00E15D79"/>
    <w:rsid w:val="00E15F2E"/>
    <w:rsid w:val="00E163DE"/>
    <w:rsid w:val="00E164A7"/>
    <w:rsid w:val="00E165CF"/>
    <w:rsid w:val="00E16FB5"/>
    <w:rsid w:val="00E171AB"/>
    <w:rsid w:val="00E17BA5"/>
    <w:rsid w:val="00E17C11"/>
    <w:rsid w:val="00E17DD0"/>
    <w:rsid w:val="00E20745"/>
    <w:rsid w:val="00E207FA"/>
    <w:rsid w:val="00E2109E"/>
    <w:rsid w:val="00E211DD"/>
    <w:rsid w:val="00E2148A"/>
    <w:rsid w:val="00E2150B"/>
    <w:rsid w:val="00E21889"/>
    <w:rsid w:val="00E21C3D"/>
    <w:rsid w:val="00E21EA5"/>
    <w:rsid w:val="00E22696"/>
    <w:rsid w:val="00E22A0C"/>
    <w:rsid w:val="00E22A31"/>
    <w:rsid w:val="00E231AC"/>
    <w:rsid w:val="00E232A5"/>
    <w:rsid w:val="00E23715"/>
    <w:rsid w:val="00E237DC"/>
    <w:rsid w:val="00E24265"/>
    <w:rsid w:val="00E24465"/>
    <w:rsid w:val="00E244C3"/>
    <w:rsid w:val="00E246BB"/>
    <w:rsid w:val="00E247E1"/>
    <w:rsid w:val="00E25319"/>
    <w:rsid w:val="00E25777"/>
    <w:rsid w:val="00E257D9"/>
    <w:rsid w:val="00E25828"/>
    <w:rsid w:val="00E25A9D"/>
    <w:rsid w:val="00E25C62"/>
    <w:rsid w:val="00E25D6E"/>
    <w:rsid w:val="00E26215"/>
    <w:rsid w:val="00E262E3"/>
    <w:rsid w:val="00E2634B"/>
    <w:rsid w:val="00E2635D"/>
    <w:rsid w:val="00E264D6"/>
    <w:rsid w:val="00E2663A"/>
    <w:rsid w:val="00E26735"/>
    <w:rsid w:val="00E26C20"/>
    <w:rsid w:val="00E26D52"/>
    <w:rsid w:val="00E26DDF"/>
    <w:rsid w:val="00E26F75"/>
    <w:rsid w:val="00E270D2"/>
    <w:rsid w:val="00E27672"/>
    <w:rsid w:val="00E27A2A"/>
    <w:rsid w:val="00E27AC7"/>
    <w:rsid w:val="00E27C53"/>
    <w:rsid w:val="00E3030C"/>
    <w:rsid w:val="00E307CA"/>
    <w:rsid w:val="00E30AEE"/>
    <w:rsid w:val="00E30CEB"/>
    <w:rsid w:val="00E30DFD"/>
    <w:rsid w:val="00E30F93"/>
    <w:rsid w:val="00E30FFE"/>
    <w:rsid w:val="00E3101D"/>
    <w:rsid w:val="00E31051"/>
    <w:rsid w:val="00E3153C"/>
    <w:rsid w:val="00E316D8"/>
    <w:rsid w:val="00E3198A"/>
    <w:rsid w:val="00E31DDF"/>
    <w:rsid w:val="00E32190"/>
    <w:rsid w:val="00E32366"/>
    <w:rsid w:val="00E3255D"/>
    <w:rsid w:val="00E326CD"/>
    <w:rsid w:val="00E32738"/>
    <w:rsid w:val="00E327E0"/>
    <w:rsid w:val="00E32830"/>
    <w:rsid w:val="00E32ADB"/>
    <w:rsid w:val="00E32E84"/>
    <w:rsid w:val="00E32F07"/>
    <w:rsid w:val="00E337D3"/>
    <w:rsid w:val="00E33ACA"/>
    <w:rsid w:val="00E33ADB"/>
    <w:rsid w:val="00E33E6A"/>
    <w:rsid w:val="00E340A7"/>
    <w:rsid w:val="00E3439E"/>
    <w:rsid w:val="00E3461E"/>
    <w:rsid w:val="00E34B98"/>
    <w:rsid w:val="00E34D78"/>
    <w:rsid w:val="00E34E62"/>
    <w:rsid w:val="00E35099"/>
    <w:rsid w:val="00E353EB"/>
    <w:rsid w:val="00E354D7"/>
    <w:rsid w:val="00E358CF"/>
    <w:rsid w:val="00E35A55"/>
    <w:rsid w:val="00E35BAD"/>
    <w:rsid w:val="00E35BC5"/>
    <w:rsid w:val="00E3654A"/>
    <w:rsid w:val="00E36C27"/>
    <w:rsid w:val="00E36FD2"/>
    <w:rsid w:val="00E37172"/>
    <w:rsid w:val="00E37F87"/>
    <w:rsid w:val="00E40341"/>
    <w:rsid w:val="00E406FA"/>
    <w:rsid w:val="00E425BB"/>
    <w:rsid w:val="00E43406"/>
    <w:rsid w:val="00E434B2"/>
    <w:rsid w:val="00E436D4"/>
    <w:rsid w:val="00E439A9"/>
    <w:rsid w:val="00E43E0A"/>
    <w:rsid w:val="00E43ED8"/>
    <w:rsid w:val="00E43F6B"/>
    <w:rsid w:val="00E444FB"/>
    <w:rsid w:val="00E449A9"/>
    <w:rsid w:val="00E44D87"/>
    <w:rsid w:val="00E4509C"/>
    <w:rsid w:val="00E452A3"/>
    <w:rsid w:val="00E45488"/>
    <w:rsid w:val="00E45866"/>
    <w:rsid w:val="00E45DDA"/>
    <w:rsid w:val="00E45DDD"/>
    <w:rsid w:val="00E45F41"/>
    <w:rsid w:val="00E461F6"/>
    <w:rsid w:val="00E4625B"/>
    <w:rsid w:val="00E4640B"/>
    <w:rsid w:val="00E4675C"/>
    <w:rsid w:val="00E46FB2"/>
    <w:rsid w:val="00E47683"/>
    <w:rsid w:val="00E476D7"/>
    <w:rsid w:val="00E47714"/>
    <w:rsid w:val="00E47E7E"/>
    <w:rsid w:val="00E47FB7"/>
    <w:rsid w:val="00E50195"/>
    <w:rsid w:val="00E50643"/>
    <w:rsid w:val="00E50D61"/>
    <w:rsid w:val="00E50E25"/>
    <w:rsid w:val="00E50FC4"/>
    <w:rsid w:val="00E51CC6"/>
    <w:rsid w:val="00E52016"/>
    <w:rsid w:val="00E52510"/>
    <w:rsid w:val="00E5268E"/>
    <w:rsid w:val="00E52A6C"/>
    <w:rsid w:val="00E52EDC"/>
    <w:rsid w:val="00E52FEB"/>
    <w:rsid w:val="00E5311C"/>
    <w:rsid w:val="00E53BA0"/>
    <w:rsid w:val="00E53FFB"/>
    <w:rsid w:val="00E54038"/>
    <w:rsid w:val="00E5409A"/>
    <w:rsid w:val="00E54126"/>
    <w:rsid w:val="00E544AF"/>
    <w:rsid w:val="00E544FF"/>
    <w:rsid w:val="00E547A4"/>
    <w:rsid w:val="00E54A16"/>
    <w:rsid w:val="00E54C65"/>
    <w:rsid w:val="00E55060"/>
    <w:rsid w:val="00E552DB"/>
    <w:rsid w:val="00E55387"/>
    <w:rsid w:val="00E555AF"/>
    <w:rsid w:val="00E55E8A"/>
    <w:rsid w:val="00E55F52"/>
    <w:rsid w:val="00E56455"/>
    <w:rsid w:val="00E564B4"/>
    <w:rsid w:val="00E567ED"/>
    <w:rsid w:val="00E5691D"/>
    <w:rsid w:val="00E56D1B"/>
    <w:rsid w:val="00E56D2E"/>
    <w:rsid w:val="00E56EC3"/>
    <w:rsid w:val="00E56F9C"/>
    <w:rsid w:val="00E57182"/>
    <w:rsid w:val="00E573DB"/>
    <w:rsid w:val="00E60017"/>
    <w:rsid w:val="00E60332"/>
    <w:rsid w:val="00E609F8"/>
    <w:rsid w:val="00E60DD6"/>
    <w:rsid w:val="00E61173"/>
    <w:rsid w:val="00E61A45"/>
    <w:rsid w:val="00E61AEC"/>
    <w:rsid w:val="00E61E8C"/>
    <w:rsid w:val="00E62174"/>
    <w:rsid w:val="00E62358"/>
    <w:rsid w:val="00E63C96"/>
    <w:rsid w:val="00E63D14"/>
    <w:rsid w:val="00E64A11"/>
    <w:rsid w:val="00E651AB"/>
    <w:rsid w:val="00E65291"/>
    <w:rsid w:val="00E6565C"/>
    <w:rsid w:val="00E656CC"/>
    <w:rsid w:val="00E656E2"/>
    <w:rsid w:val="00E65977"/>
    <w:rsid w:val="00E65A42"/>
    <w:rsid w:val="00E65D1E"/>
    <w:rsid w:val="00E65F71"/>
    <w:rsid w:val="00E660DB"/>
    <w:rsid w:val="00E6619D"/>
    <w:rsid w:val="00E66264"/>
    <w:rsid w:val="00E66806"/>
    <w:rsid w:val="00E66A4B"/>
    <w:rsid w:val="00E66C34"/>
    <w:rsid w:val="00E66DDE"/>
    <w:rsid w:val="00E6700D"/>
    <w:rsid w:val="00E67390"/>
    <w:rsid w:val="00E673F7"/>
    <w:rsid w:val="00E67644"/>
    <w:rsid w:val="00E67805"/>
    <w:rsid w:val="00E678ED"/>
    <w:rsid w:val="00E679B9"/>
    <w:rsid w:val="00E67A1B"/>
    <w:rsid w:val="00E67BF3"/>
    <w:rsid w:val="00E7013C"/>
    <w:rsid w:val="00E705CC"/>
    <w:rsid w:val="00E7088F"/>
    <w:rsid w:val="00E70A51"/>
    <w:rsid w:val="00E70B58"/>
    <w:rsid w:val="00E70C08"/>
    <w:rsid w:val="00E710BE"/>
    <w:rsid w:val="00E711C6"/>
    <w:rsid w:val="00E7152B"/>
    <w:rsid w:val="00E717C4"/>
    <w:rsid w:val="00E71A4A"/>
    <w:rsid w:val="00E71D26"/>
    <w:rsid w:val="00E71F57"/>
    <w:rsid w:val="00E71FC9"/>
    <w:rsid w:val="00E72516"/>
    <w:rsid w:val="00E727F1"/>
    <w:rsid w:val="00E7309F"/>
    <w:rsid w:val="00E7325E"/>
    <w:rsid w:val="00E732BA"/>
    <w:rsid w:val="00E73ABC"/>
    <w:rsid w:val="00E73E19"/>
    <w:rsid w:val="00E73F96"/>
    <w:rsid w:val="00E749B3"/>
    <w:rsid w:val="00E74A99"/>
    <w:rsid w:val="00E74DDB"/>
    <w:rsid w:val="00E74E47"/>
    <w:rsid w:val="00E74FB7"/>
    <w:rsid w:val="00E7523F"/>
    <w:rsid w:val="00E75319"/>
    <w:rsid w:val="00E75724"/>
    <w:rsid w:val="00E759CA"/>
    <w:rsid w:val="00E75B74"/>
    <w:rsid w:val="00E76492"/>
    <w:rsid w:val="00E766BD"/>
    <w:rsid w:val="00E769AD"/>
    <w:rsid w:val="00E76A80"/>
    <w:rsid w:val="00E76E63"/>
    <w:rsid w:val="00E76EC6"/>
    <w:rsid w:val="00E77C2E"/>
    <w:rsid w:val="00E800AA"/>
    <w:rsid w:val="00E802D6"/>
    <w:rsid w:val="00E80982"/>
    <w:rsid w:val="00E80AB0"/>
    <w:rsid w:val="00E80D04"/>
    <w:rsid w:val="00E81455"/>
    <w:rsid w:val="00E8158B"/>
    <w:rsid w:val="00E8183F"/>
    <w:rsid w:val="00E81E5F"/>
    <w:rsid w:val="00E823B0"/>
    <w:rsid w:val="00E82662"/>
    <w:rsid w:val="00E82F1C"/>
    <w:rsid w:val="00E8303C"/>
    <w:rsid w:val="00E83221"/>
    <w:rsid w:val="00E8337C"/>
    <w:rsid w:val="00E833A2"/>
    <w:rsid w:val="00E835E8"/>
    <w:rsid w:val="00E836FA"/>
    <w:rsid w:val="00E837A1"/>
    <w:rsid w:val="00E838B3"/>
    <w:rsid w:val="00E83DD1"/>
    <w:rsid w:val="00E84157"/>
    <w:rsid w:val="00E841AD"/>
    <w:rsid w:val="00E842AF"/>
    <w:rsid w:val="00E843E2"/>
    <w:rsid w:val="00E84988"/>
    <w:rsid w:val="00E84AAD"/>
    <w:rsid w:val="00E84EC7"/>
    <w:rsid w:val="00E851CD"/>
    <w:rsid w:val="00E85292"/>
    <w:rsid w:val="00E85D8A"/>
    <w:rsid w:val="00E85F80"/>
    <w:rsid w:val="00E860C9"/>
    <w:rsid w:val="00E86A01"/>
    <w:rsid w:val="00E86BB7"/>
    <w:rsid w:val="00E86DB2"/>
    <w:rsid w:val="00E86FF5"/>
    <w:rsid w:val="00E87773"/>
    <w:rsid w:val="00E87E88"/>
    <w:rsid w:val="00E90435"/>
    <w:rsid w:val="00E90437"/>
    <w:rsid w:val="00E90D30"/>
    <w:rsid w:val="00E90D58"/>
    <w:rsid w:val="00E90FCB"/>
    <w:rsid w:val="00E91240"/>
    <w:rsid w:val="00E91602"/>
    <w:rsid w:val="00E91719"/>
    <w:rsid w:val="00E91831"/>
    <w:rsid w:val="00E91867"/>
    <w:rsid w:val="00E91883"/>
    <w:rsid w:val="00E91CA3"/>
    <w:rsid w:val="00E91CE7"/>
    <w:rsid w:val="00E91E01"/>
    <w:rsid w:val="00E92118"/>
    <w:rsid w:val="00E926FF"/>
    <w:rsid w:val="00E92B79"/>
    <w:rsid w:val="00E92F0D"/>
    <w:rsid w:val="00E9311B"/>
    <w:rsid w:val="00E93125"/>
    <w:rsid w:val="00E93310"/>
    <w:rsid w:val="00E93A25"/>
    <w:rsid w:val="00E93BCF"/>
    <w:rsid w:val="00E93BE1"/>
    <w:rsid w:val="00E944EF"/>
    <w:rsid w:val="00E949A5"/>
    <w:rsid w:val="00E94E48"/>
    <w:rsid w:val="00E9500D"/>
    <w:rsid w:val="00E9509C"/>
    <w:rsid w:val="00E951BF"/>
    <w:rsid w:val="00E9584D"/>
    <w:rsid w:val="00E95A7E"/>
    <w:rsid w:val="00E95E28"/>
    <w:rsid w:val="00E95F44"/>
    <w:rsid w:val="00E96066"/>
    <w:rsid w:val="00E9640B"/>
    <w:rsid w:val="00E96AF8"/>
    <w:rsid w:val="00E96E54"/>
    <w:rsid w:val="00E96F2F"/>
    <w:rsid w:val="00E97C78"/>
    <w:rsid w:val="00E97D93"/>
    <w:rsid w:val="00E97F0B"/>
    <w:rsid w:val="00EA0725"/>
    <w:rsid w:val="00EA0737"/>
    <w:rsid w:val="00EA0812"/>
    <w:rsid w:val="00EA0D2C"/>
    <w:rsid w:val="00EA116F"/>
    <w:rsid w:val="00EA14CC"/>
    <w:rsid w:val="00EA17CD"/>
    <w:rsid w:val="00EA187C"/>
    <w:rsid w:val="00EA1C22"/>
    <w:rsid w:val="00EA1E83"/>
    <w:rsid w:val="00EA2529"/>
    <w:rsid w:val="00EA2C4D"/>
    <w:rsid w:val="00EA2F7F"/>
    <w:rsid w:val="00EA3234"/>
    <w:rsid w:val="00EA3422"/>
    <w:rsid w:val="00EA3508"/>
    <w:rsid w:val="00EA373C"/>
    <w:rsid w:val="00EA3E3E"/>
    <w:rsid w:val="00EA4549"/>
    <w:rsid w:val="00EA4931"/>
    <w:rsid w:val="00EA4E8F"/>
    <w:rsid w:val="00EA506F"/>
    <w:rsid w:val="00EA53DB"/>
    <w:rsid w:val="00EA5410"/>
    <w:rsid w:val="00EA5933"/>
    <w:rsid w:val="00EA5995"/>
    <w:rsid w:val="00EA5C1E"/>
    <w:rsid w:val="00EA6045"/>
    <w:rsid w:val="00EA607A"/>
    <w:rsid w:val="00EA6498"/>
    <w:rsid w:val="00EA6752"/>
    <w:rsid w:val="00EA690D"/>
    <w:rsid w:val="00EA7046"/>
    <w:rsid w:val="00EA713B"/>
    <w:rsid w:val="00EA7404"/>
    <w:rsid w:val="00EA7979"/>
    <w:rsid w:val="00EA7B05"/>
    <w:rsid w:val="00EA7EC5"/>
    <w:rsid w:val="00EA7F16"/>
    <w:rsid w:val="00EB049D"/>
    <w:rsid w:val="00EB0B94"/>
    <w:rsid w:val="00EB11C8"/>
    <w:rsid w:val="00EB11FE"/>
    <w:rsid w:val="00EB1292"/>
    <w:rsid w:val="00EB141A"/>
    <w:rsid w:val="00EB149F"/>
    <w:rsid w:val="00EB1BEF"/>
    <w:rsid w:val="00EB1DEF"/>
    <w:rsid w:val="00EB2037"/>
    <w:rsid w:val="00EB2158"/>
    <w:rsid w:val="00EB2716"/>
    <w:rsid w:val="00EB2A7F"/>
    <w:rsid w:val="00EB3477"/>
    <w:rsid w:val="00EB35AE"/>
    <w:rsid w:val="00EB361D"/>
    <w:rsid w:val="00EB397E"/>
    <w:rsid w:val="00EB39FF"/>
    <w:rsid w:val="00EB3CBD"/>
    <w:rsid w:val="00EB3F14"/>
    <w:rsid w:val="00EB431B"/>
    <w:rsid w:val="00EB4739"/>
    <w:rsid w:val="00EB4A2E"/>
    <w:rsid w:val="00EB4BCE"/>
    <w:rsid w:val="00EB5597"/>
    <w:rsid w:val="00EB55A7"/>
    <w:rsid w:val="00EB5753"/>
    <w:rsid w:val="00EB5C43"/>
    <w:rsid w:val="00EB5ECF"/>
    <w:rsid w:val="00EB5F79"/>
    <w:rsid w:val="00EB60BD"/>
    <w:rsid w:val="00EB6716"/>
    <w:rsid w:val="00EB6B9B"/>
    <w:rsid w:val="00EB7098"/>
    <w:rsid w:val="00EC0475"/>
    <w:rsid w:val="00EC0A9D"/>
    <w:rsid w:val="00EC0CA7"/>
    <w:rsid w:val="00EC0F5B"/>
    <w:rsid w:val="00EC118E"/>
    <w:rsid w:val="00EC123D"/>
    <w:rsid w:val="00EC1488"/>
    <w:rsid w:val="00EC173D"/>
    <w:rsid w:val="00EC1759"/>
    <w:rsid w:val="00EC1BAD"/>
    <w:rsid w:val="00EC1BBD"/>
    <w:rsid w:val="00EC1FA5"/>
    <w:rsid w:val="00EC282C"/>
    <w:rsid w:val="00EC288E"/>
    <w:rsid w:val="00EC28D0"/>
    <w:rsid w:val="00EC2E68"/>
    <w:rsid w:val="00EC2F5D"/>
    <w:rsid w:val="00EC3334"/>
    <w:rsid w:val="00EC3630"/>
    <w:rsid w:val="00EC38DE"/>
    <w:rsid w:val="00EC3D45"/>
    <w:rsid w:val="00EC3D9D"/>
    <w:rsid w:val="00EC40CE"/>
    <w:rsid w:val="00EC439D"/>
    <w:rsid w:val="00EC43FD"/>
    <w:rsid w:val="00EC4753"/>
    <w:rsid w:val="00EC49A0"/>
    <w:rsid w:val="00EC57F9"/>
    <w:rsid w:val="00EC591E"/>
    <w:rsid w:val="00EC5990"/>
    <w:rsid w:val="00EC5D80"/>
    <w:rsid w:val="00EC5F85"/>
    <w:rsid w:val="00EC669A"/>
    <w:rsid w:val="00EC6929"/>
    <w:rsid w:val="00EC69D4"/>
    <w:rsid w:val="00EC75C1"/>
    <w:rsid w:val="00EC773B"/>
    <w:rsid w:val="00EC7DFE"/>
    <w:rsid w:val="00EC7E71"/>
    <w:rsid w:val="00EC7F00"/>
    <w:rsid w:val="00ED071F"/>
    <w:rsid w:val="00ED077C"/>
    <w:rsid w:val="00ED0905"/>
    <w:rsid w:val="00ED0A84"/>
    <w:rsid w:val="00ED16F5"/>
    <w:rsid w:val="00ED1737"/>
    <w:rsid w:val="00ED1871"/>
    <w:rsid w:val="00ED1D17"/>
    <w:rsid w:val="00ED1F3D"/>
    <w:rsid w:val="00ED22B6"/>
    <w:rsid w:val="00ED28E6"/>
    <w:rsid w:val="00ED315B"/>
    <w:rsid w:val="00ED31D0"/>
    <w:rsid w:val="00ED326C"/>
    <w:rsid w:val="00ED33C0"/>
    <w:rsid w:val="00ED399F"/>
    <w:rsid w:val="00ED3B93"/>
    <w:rsid w:val="00ED3D39"/>
    <w:rsid w:val="00ED3D71"/>
    <w:rsid w:val="00ED3F6C"/>
    <w:rsid w:val="00ED4269"/>
    <w:rsid w:val="00ED480A"/>
    <w:rsid w:val="00ED4D10"/>
    <w:rsid w:val="00ED50A6"/>
    <w:rsid w:val="00ED52F9"/>
    <w:rsid w:val="00ED55AD"/>
    <w:rsid w:val="00ED563E"/>
    <w:rsid w:val="00ED5D74"/>
    <w:rsid w:val="00ED5E22"/>
    <w:rsid w:val="00ED5F63"/>
    <w:rsid w:val="00ED6179"/>
    <w:rsid w:val="00ED6275"/>
    <w:rsid w:val="00ED631D"/>
    <w:rsid w:val="00ED64B6"/>
    <w:rsid w:val="00ED65E0"/>
    <w:rsid w:val="00ED6610"/>
    <w:rsid w:val="00ED67D0"/>
    <w:rsid w:val="00ED6A9D"/>
    <w:rsid w:val="00ED6BD2"/>
    <w:rsid w:val="00ED713F"/>
    <w:rsid w:val="00ED72F0"/>
    <w:rsid w:val="00ED75B2"/>
    <w:rsid w:val="00ED7B8A"/>
    <w:rsid w:val="00ED7BB2"/>
    <w:rsid w:val="00ED7D5F"/>
    <w:rsid w:val="00ED7FCC"/>
    <w:rsid w:val="00EE01DD"/>
    <w:rsid w:val="00EE1138"/>
    <w:rsid w:val="00EE1142"/>
    <w:rsid w:val="00EE1594"/>
    <w:rsid w:val="00EE17E1"/>
    <w:rsid w:val="00EE1F81"/>
    <w:rsid w:val="00EE1FAA"/>
    <w:rsid w:val="00EE21A2"/>
    <w:rsid w:val="00EE21E8"/>
    <w:rsid w:val="00EE248F"/>
    <w:rsid w:val="00EE24D3"/>
    <w:rsid w:val="00EE2672"/>
    <w:rsid w:val="00EE2C15"/>
    <w:rsid w:val="00EE2CC0"/>
    <w:rsid w:val="00EE3327"/>
    <w:rsid w:val="00EE348F"/>
    <w:rsid w:val="00EE36AF"/>
    <w:rsid w:val="00EE36C6"/>
    <w:rsid w:val="00EE3925"/>
    <w:rsid w:val="00EE3A00"/>
    <w:rsid w:val="00EE402B"/>
    <w:rsid w:val="00EE406D"/>
    <w:rsid w:val="00EE47B3"/>
    <w:rsid w:val="00EE4CF0"/>
    <w:rsid w:val="00EE50A4"/>
    <w:rsid w:val="00EE521D"/>
    <w:rsid w:val="00EE580F"/>
    <w:rsid w:val="00EE61CA"/>
    <w:rsid w:val="00EE6276"/>
    <w:rsid w:val="00EE6632"/>
    <w:rsid w:val="00EE6AA1"/>
    <w:rsid w:val="00EE7836"/>
    <w:rsid w:val="00EE7F2E"/>
    <w:rsid w:val="00EF017E"/>
    <w:rsid w:val="00EF01CE"/>
    <w:rsid w:val="00EF028F"/>
    <w:rsid w:val="00EF04C4"/>
    <w:rsid w:val="00EF061D"/>
    <w:rsid w:val="00EF081E"/>
    <w:rsid w:val="00EF0B23"/>
    <w:rsid w:val="00EF119F"/>
    <w:rsid w:val="00EF1282"/>
    <w:rsid w:val="00EF146E"/>
    <w:rsid w:val="00EF1621"/>
    <w:rsid w:val="00EF199D"/>
    <w:rsid w:val="00EF1B03"/>
    <w:rsid w:val="00EF1EB5"/>
    <w:rsid w:val="00EF203E"/>
    <w:rsid w:val="00EF2125"/>
    <w:rsid w:val="00EF239A"/>
    <w:rsid w:val="00EF270E"/>
    <w:rsid w:val="00EF29BD"/>
    <w:rsid w:val="00EF2DB4"/>
    <w:rsid w:val="00EF2E4C"/>
    <w:rsid w:val="00EF3118"/>
    <w:rsid w:val="00EF3175"/>
    <w:rsid w:val="00EF32DC"/>
    <w:rsid w:val="00EF330C"/>
    <w:rsid w:val="00EF3550"/>
    <w:rsid w:val="00EF36DA"/>
    <w:rsid w:val="00EF389B"/>
    <w:rsid w:val="00EF39D4"/>
    <w:rsid w:val="00EF3AA0"/>
    <w:rsid w:val="00EF3F0B"/>
    <w:rsid w:val="00EF46D8"/>
    <w:rsid w:val="00EF4841"/>
    <w:rsid w:val="00EF4E6A"/>
    <w:rsid w:val="00EF5142"/>
    <w:rsid w:val="00EF51E7"/>
    <w:rsid w:val="00EF5221"/>
    <w:rsid w:val="00EF54D1"/>
    <w:rsid w:val="00EF57D3"/>
    <w:rsid w:val="00EF5F56"/>
    <w:rsid w:val="00EF603D"/>
    <w:rsid w:val="00EF6187"/>
    <w:rsid w:val="00EF6221"/>
    <w:rsid w:val="00EF62F7"/>
    <w:rsid w:val="00EF635B"/>
    <w:rsid w:val="00EF6437"/>
    <w:rsid w:val="00EF66D7"/>
    <w:rsid w:val="00EF6C93"/>
    <w:rsid w:val="00EF6CEE"/>
    <w:rsid w:val="00EF6FCB"/>
    <w:rsid w:val="00EF7293"/>
    <w:rsid w:val="00EF77FB"/>
    <w:rsid w:val="00EF7932"/>
    <w:rsid w:val="00EF7B63"/>
    <w:rsid w:val="00EF7C02"/>
    <w:rsid w:val="00EF7C1C"/>
    <w:rsid w:val="00F00409"/>
    <w:rsid w:val="00F00A0E"/>
    <w:rsid w:val="00F00B14"/>
    <w:rsid w:val="00F00C2C"/>
    <w:rsid w:val="00F00DEB"/>
    <w:rsid w:val="00F011A2"/>
    <w:rsid w:val="00F0142A"/>
    <w:rsid w:val="00F01E48"/>
    <w:rsid w:val="00F01E5B"/>
    <w:rsid w:val="00F0216B"/>
    <w:rsid w:val="00F022D8"/>
    <w:rsid w:val="00F02349"/>
    <w:rsid w:val="00F02476"/>
    <w:rsid w:val="00F0249A"/>
    <w:rsid w:val="00F02668"/>
    <w:rsid w:val="00F028AB"/>
    <w:rsid w:val="00F02AC1"/>
    <w:rsid w:val="00F02CD0"/>
    <w:rsid w:val="00F02E1F"/>
    <w:rsid w:val="00F03016"/>
    <w:rsid w:val="00F030AF"/>
    <w:rsid w:val="00F03BEE"/>
    <w:rsid w:val="00F03C8C"/>
    <w:rsid w:val="00F03E13"/>
    <w:rsid w:val="00F03F17"/>
    <w:rsid w:val="00F0427F"/>
    <w:rsid w:val="00F0450A"/>
    <w:rsid w:val="00F04CC5"/>
    <w:rsid w:val="00F05068"/>
    <w:rsid w:val="00F053AC"/>
    <w:rsid w:val="00F05CC6"/>
    <w:rsid w:val="00F05D0E"/>
    <w:rsid w:val="00F06659"/>
    <w:rsid w:val="00F0671C"/>
    <w:rsid w:val="00F0680F"/>
    <w:rsid w:val="00F06B41"/>
    <w:rsid w:val="00F06C8F"/>
    <w:rsid w:val="00F06E64"/>
    <w:rsid w:val="00F06EEB"/>
    <w:rsid w:val="00F06F17"/>
    <w:rsid w:val="00F06F26"/>
    <w:rsid w:val="00F074C1"/>
    <w:rsid w:val="00F07567"/>
    <w:rsid w:val="00F07991"/>
    <w:rsid w:val="00F10146"/>
    <w:rsid w:val="00F1044D"/>
    <w:rsid w:val="00F106D2"/>
    <w:rsid w:val="00F107E9"/>
    <w:rsid w:val="00F10A7A"/>
    <w:rsid w:val="00F10A7B"/>
    <w:rsid w:val="00F10BE4"/>
    <w:rsid w:val="00F10C1A"/>
    <w:rsid w:val="00F10D2E"/>
    <w:rsid w:val="00F10D6E"/>
    <w:rsid w:val="00F111EE"/>
    <w:rsid w:val="00F11881"/>
    <w:rsid w:val="00F119E8"/>
    <w:rsid w:val="00F11F5D"/>
    <w:rsid w:val="00F12072"/>
    <w:rsid w:val="00F1208E"/>
    <w:rsid w:val="00F12295"/>
    <w:rsid w:val="00F12536"/>
    <w:rsid w:val="00F127FD"/>
    <w:rsid w:val="00F12D1A"/>
    <w:rsid w:val="00F12FB4"/>
    <w:rsid w:val="00F13244"/>
    <w:rsid w:val="00F1331D"/>
    <w:rsid w:val="00F136E0"/>
    <w:rsid w:val="00F13A4A"/>
    <w:rsid w:val="00F13B4A"/>
    <w:rsid w:val="00F13E19"/>
    <w:rsid w:val="00F144CB"/>
    <w:rsid w:val="00F149B1"/>
    <w:rsid w:val="00F14A8E"/>
    <w:rsid w:val="00F14B0E"/>
    <w:rsid w:val="00F14B21"/>
    <w:rsid w:val="00F14F09"/>
    <w:rsid w:val="00F150B3"/>
    <w:rsid w:val="00F15207"/>
    <w:rsid w:val="00F153DB"/>
    <w:rsid w:val="00F155B4"/>
    <w:rsid w:val="00F15648"/>
    <w:rsid w:val="00F15745"/>
    <w:rsid w:val="00F15751"/>
    <w:rsid w:val="00F158E3"/>
    <w:rsid w:val="00F15A3A"/>
    <w:rsid w:val="00F15D3F"/>
    <w:rsid w:val="00F15ECA"/>
    <w:rsid w:val="00F16377"/>
    <w:rsid w:val="00F163DB"/>
    <w:rsid w:val="00F164C9"/>
    <w:rsid w:val="00F16871"/>
    <w:rsid w:val="00F16D54"/>
    <w:rsid w:val="00F16F23"/>
    <w:rsid w:val="00F1700D"/>
    <w:rsid w:val="00F1705D"/>
    <w:rsid w:val="00F172EB"/>
    <w:rsid w:val="00F1765F"/>
    <w:rsid w:val="00F17ABD"/>
    <w:rsid w:val="00F17B19"/>
    <w:rsid w:val="00F17F8E"/>
    <w:rsid w:val="00F20ACC"/>
    <w:rsid w:val="00F20CBE"/>
    <w:rsid w:val="00F20E58"/>
    <w:rsid w:val="00F21272"/>
    <w:rsid w:val="00F2156C"/>
    <w:rsid w:val="00F22104"/>
    <w:rsid w:val="00F2223E"/>
    <w:rsid w:val="00F22279"/>
    <w:rsid w:val="00F2230C"/>
    <w:rsid w:val="00F22909"/>
    <w:rsid w:val="00F22BEB"/>
    <w:rsid w:val="00F232EA"/>
    <w:rsid w:val="00F23690"/>
    <w:rsid w:val="00F23728"/>
    <w:rsid w:val="00F2378E"/>
    <w:rsid w:val="00F23E45"/>
    <w:rsid w:val="00F243A1"/>
    <w:rsid w:val="00F243E5"/>
    <w:rsid w:val="00F244BA"/>
    <w:rsid w:val="00F2482F"/>
    <w:rsid w:val="00F24A44"/>
    <w:rsid w:val="00F2503E"/>
    <w:rsid w:val="00F25543"/>
    <w:rsid w:val="00F25682"/>
    <w:rsid w:val="00F25A5A"/>
    <w:rsid w:val="00F25A82"/>
    <w:rsid w:val="00F25EA4"/>
    <w:rsid w:val="00F262F0"/>
    <w:rsid w:val="00F263F0"/>
    <w:rsid w:val="00F26890"/>
    <w:rsid w:val="00F26ACA"/>
    <w:rsid w:val="00F26E33"/>
    <w:rsid w:val="00F270C5"/>
    <w:rsid w:val="00F2783B"/>
    <w:rsid w:val="00F30C47"/>
    <w:rsid w:val="00F31417"/>
    <w:rsid w:val="00F31664"/>
    <w:rsid w:val="00F31BCB"/>
    <w:rsid w:val="00F32319"/>
    <w:rsid w:val="00F3330B"/>
    <w:rsid w:val="00F33554"/>
    <w:rsid w:val="00F33891"/>
    <w:rsid w:val="00F338AC"/>
    <w:rsid w:val="00F33F12"/>
    <w:rsid w:val="00F34728"/>
    <w:rsid w:val="00F348D8"/>
    <w:rsid w:val="00F34B19"/>
    <w:rsid w:val="00F34C11"/>
    <w:rsid w:val="00F34EF8"/>
    <w:rsid w:val="00F3517C"/>
    <w:rsid w:val="00F3573D"/>
    <w:rsid w:val="00F3580C"/>
    <w:rsid w:val="00F35E6C"/>
    <w:rsid w:val="00F35FC6"/>
    <w:rsid w:val="00F3606A"/>
    <w:rsid w:val="00F362BE"/>
    <w:rsid w:val="00F363C3"/>
    <w:rsid w:val="00F367C2"/>
    <w:rsid w:val="00F36881"/>
    <w:rsid w:val="00F3735A"/>
    <w:rsid w:val="00F373F9"/>
    <w:rsid w:val="00F376C6"/>
    <w:rsid w:val="00F37AD5"/>
    <w:rsid w:val="00F37CE1"/>
    <w:rsid w:val="00F37E50"/>
    <w:rsid w:val="00F4057A"/>
    <w:rsid w:val="00F40A9C"/>
    <w:rsid w:val="00F40B51"/>
    <w:rsid w:val="00F41044"/>
    <w:rsid w:val="00F410CB"/>
    <w:rsid w:val="00F41130"/>
    <w:rsid w:val="00F4156D"/>
    <w:rsid w:val="00F417AC"/>
    <w:rsid w:val="00F41860"/>
    <w:rsid w:val="00F41AE7"/>
    <w:rsid w:val="00F41F2C"/>
    <w:rsid w:val="00F424A6"/>
    <w:rsid w:val="00F42509"/>
    <w:rsid w:val="00F425AB"/>
    <w:rsid w:val="00F4269D"/>
    <w:rsid w:val="00F42B92"/>
    <w:rsid w:val="00F42C15"/>
    <w:rsid w:val="00F42F9A"/>
    <w:rsid w:val="00F4357C"/>
    <w:rsid w:val="00F43995"/>
    <w:rsid w:val="00F43B42"/>
    <w:rsid w:val="00F43EC5"/>
    <w:rsid w:val="00F44965"/>
    <w:rsid w:val="00F45408"/>
    <w:rsid w:val="00F45C2B"/>
    <w:rsid w:val="00F460C9"/>
    <w:rsid w:val="00F46181"/>
    <w:rsid w:val="00F461C9"/>
    <w:rsid w:val="00F46494"/>
    <w:rsid w:val="00F46779"/>
    <w:rsid w:val="00F46855"/>
    <w:rsid w:val="00F47116"/>
    <w:rsid w:val="00F47359"/>
    <w:rsid w:val="00F474FB"/>
    <w:rsid w:val="00F475B1"/>
    <w:rsid w:val="00F477F0"/>
    <w:rsid w:val="00F47870"/>
    <w:rsid w:val="00F47F85"/>
    <w:rsid w:val="00F50197"/>
    <w:rsid w:val="00F50228"/>
    <w:rsid w:val="00F502AD"/>
    <w:rsid w:val="00F503F8"/>
    <w:rsid w:val="00F5135D"/>
    <w:rsid w:val="00F51C1E"/>
    <w:rsid w:val="00F51C40"/>
    <w:rsid w:val="00F52224"/>
    <w:rsid w:val="00F522DF"/>
    <w:rsid w:val="00F52A3F"/>
    <w:rsid w:val="00F52A93"/>
    <w:rsid w:val="00F5338D"/>
    <w:rsid w:val="00F533FF"/>
    <w:rsid w:val="00F53561"/>
    <w:rsid w:val="00F5362D"/>
    <w:rsid w:val="00F53689"/>
    <w:rsid w:val="00F53844"/>
    <w:rsid w:val="00F538A3"/>
    <w:rsid w:val="00F53EAC"/>
    <w:rsid w:val="00F53FF2"/>
    <w:rsid w:val="00F54178"/>
    <w:rsid w:val="00F54286"/>
    <w:rsid w:val="00F543AE"/>
    <w:rsid w:val="00F5466A"/>
    <w:rsid w:val="00F549BC"/>
    <w:rsid w:val="00F54E9D"/>
    <w:rsid w:val="00F5526A"/>
    <w:rsid w:val="00F55354"/>
    <w:rsid w:val="00F5536A"/>
    <w:rsid w:val="00F558EC"/>
    <w:rsid w:val="00F55BA1"/>
    <w:rsid w:val="00F55D76"/>
    <w:rsid w:val="00F56923"/>
    <w:rsid w:val="00F56A7E"/>
    <w:rsid w:val="00F56A81"/>
    <w:rsid w:val="00F56AB2"/>
    <w:rsid w:val="00F5773E"/>
    <w:rsid w:val="00F57B40"/>
    <w:rsid w:val="00F6060C"/>
    <w:rsid w:val="00F60952"/>
    <w:rsid w:val="00F60F80"/>
    <w:rsid w:val="00F6101D"/>
    <w:rsid w:val="00F6132C"/>
    <w:rsid w:val="00F613AF"/>
    <w:rsid w:val="00F618EF"/>
    <w:rsid w:val="00F61956"/>
    <w:rsid w:val="00F619B1"/>
    <w:rsid w:val="00F619E6"/>
    <w:rsid w:val="00F61A6F"/>
    <w:rsid w:val="00F61E4D"/>
    <w:rsid w:val="00F626E0"/>
    <w:rsid w:val="00F627F4"/>
    <w:rsid w:val="00F63149"/>
    <w:rsid w:val="00F63765"/>
    <w:rsid w:val="00F638F1"/>
    <w:rsid w:val="00F64279"/>
    <w:rsid w:val="00F64339"/>
    <w:rsid w:val="00F64414"/>
    <w:rsid w:val="00F64719"/>
    <w:rsid w:val="00F64765"/>
    <w:rsid w:val="00F649C1"/>
    <w:rsid w:val="00F650CB"/>
    <w:rsid w:val="00F650CC"/>
    <w:rsid w:val="00F65451"/>
    <w:rsid w:val="00F65713"/>
    <w:rsid w:val="00F65823"/>
    <w:rsid w:val="00F65926"/>
    <w:rsid w:val="00F659E7"/>
    <w:rsid w:val="00F65A13"/>
    <w:rsid w:val="00F65E30"/>
    <w:rsid w:val="00F66402"/>
    <w:rsid w:val="00F66485"/>
    <w:rsid w:val="00F67057"/>
    <w:rsid w:val="00F671D6"/>
    <w:rsid w:val="00F673B1"/>
    <w:rsid w:val="00F67797"/>
    <w:rsid w:val="00F677FD"/>
    <w:rsid w:val="00F678B2"/>
    <w:rsid w:val="00F67D55"/>
    <w:rsid w:val="00F67FA3"/>
    <w:rsid w:val="00F7059A"/>
    <w:rsid w:val="00F708DF"/>
    <w:rsid w:val="00F70AAD"/>
    <w:rsid w:val="00F70B9F"/>
    <w:rsid w:val="00F70CA9"/>
    <w:rsid w:val="00F70D55"/>
    <w:rsid w:val="00F7102D"/>
    <w:rsid w:val="00F7148A"/>
    <w:rsid w:val="00F716A3"/>
    <w:rsid w:val="00F718F3"/>
    <w:rsid w:val="00F719FE"/>
    <w:rsid w:val="00F71AC6"/>
    <w:rsid w:val="00F71BE0"/>
    <w:rsid w:val="00F720DA"/>
    <w:rsid w:val="00F72412"/>
    <w:rsid w:val="00F72B9E"/>
    <w:rsid w:val="00F72BCF"/>
    <w:rsid w:val="00F72F17"/>
    <w:rsid w:val="00F73184"/>
    <w:rsid w:val="00F73485"/>
    <w:rsid w:val="00F73768"/>
    <w:rsid w:val="00F738C9"/>
    <w:rsid w:val="00F73C75"/>
    <w:rsid w:val="00F73D57"/>
    <w:rsid w:val="00F74083"/>
    <w:rsid w:val="00F7415E"/>
    <w:rsid w:val="00F74380"/>
    <w:rsid w:val="00F7499C"/>
    <w:rsid w:val="00F74B10"/>
    <w:rsid w:val="00F74D89"/>
    <w:rsid w:val="00F74E25"/>
    <w:rsid w:val="00F751EA"/>
    <w:rsid w:val="00F7540F"/>
    <w:rsid w:val="00F7572C"/>
    <w:rsid w:val="00F75A64"/>
    <w:rsid w:val="00F75C2F"/>
    <w:rsid w:val="00F75E99"/>
    <w:rsid w:val="00F75F29"/>
    <w:rsid w:val="00F76193"/>
    <w:rsid w:val="00F76A30"/>
    <w:rsid w:val="00F76ABA"/>
    <w:rsid w:val="00F77120"/>
    <w:rsid w:val="00F7735F"/>
    <w:rsid w:val="00F77449"/>
    <w:rsid w:val="00F776AC"/>
    <w:rsid w:val="00F77A77"/>
    <w:rsid w:val="00F77B27"/>
    <w:rsid w:val="00F8061F"/>
    <w:rsid w:val="00F8070D"/>
    <w:rsid w:val="00F80A43"/>
    <w:rsid w:val="00F80E39"/>
    <w:rsid w:val="00F81266"/>
    <w:rsid w:val="00F8137D"/>
    <w:rsid w:val="00F814AF"/>
    <w:rsid w:val="00F816A5"/>
    <w:rsid w:val="00F81B4E"/>
    <w:rsid w:val="00F822C5"/>
    <w:rsid w:val="00F8246A"/>
    <w:rsid w:val="00F82B38"/>
    <w:rsid w:val="00F82EEA"/>
    <w:rsid w:val="00F831E0"/>
    <w:rsid w:val="00F83458"/>
    <w:rsid w:val="00F83668"/>
    <w:rsid w:val="00F83A08"/>
    <w:rsid w:val="00F83CF7"/>
    <w:rsid w:val="00F83E1A"/>
    <w:rsid w:val="00F83E3E"/>
    <w:rsid w:val="00F84030"/>
    <w:rsid w:val="00F84039"/>
    <w:rsid w:val="00F84068"/>
    <w:rsid w:val="00F84124"/>
    <w:rsid w:val="00F848EF"/>
    <w:rsid w:val="00F84D47"/>
    <w:rsid w:val="00F851EF"/>
    <w:rsid w:val="00F85769"/>
    <w:rsid w:val="00F85AC6"/>
    <w:rsid w:val="00F85DA2"/>
    <w:rsid w:val="00F85F7D"/>
    <w:rsid w:val="00F85FCE"/>
    <w:rsid w:val="00F86123"/>
    <w:rsid w:val="00F8674E"/>
    <w:rsid w:val="00F86A83"/>
    <w:rsid w:val="00F86A88"/>
    <w:rsid w:val="00F87169"/>
    <w:rsid w:val="00F8721F"/>
    <w:rsid w:val="00F8722C"/>
    <w:rsid w:val="00F90378"/>
    <w:rsid w:val="00F90BAA"/>
    <w:rsid w:val="00F910DD"/>
    <w:rsid w:val="00F914ED"/>
    <w:rsid w:val="00F915AE"/>
    <w:rsid w:val="00F92490"/>
    <w:rsid w:val="00F92689"/>
    <w:rsid w:val="00F927D4"/>
    <w:rsid w:val="00F92829"/>
    <w:rsid w:val="00F92BC1"/>
    <w:rsid w:val="00F92C34"/>
    <w:rsid w:val="00F93289"/>
    <w:rsid w:val="00F93358"/>
    <w:rsid w:val="00F939F8"/>
    <w:rsid w:val="00F93BDC"/>
    <w:rsid w:val="00F93BFF"/>
    <w:rsid w:val="00F93F2B"/>
    <w:rsid w:val="00F94643"/>
    <w:rsid w:val="00F94CA6"/>
    <w:rsid w:val="00F94D63"/>
    <w:rsid w:val="00F95080"/>
    <w:rsid w:val="00F951C8"/>
    <w:rsid w:val="00F9532E"/>
    <w:rsid w:val="00F9578B"/>
    <w:rsid w:val="00F959D7"/>
    <w:rsid w:val="00F95CF8"/>
    <w:rsid w:val="00F9615E"/>
    <w:rsid w:val="00F964A6"/>
    <w:rsid w:val="00F9660E"/>
    <w:rsid w:val="00F96775"/>
    <w:rsid w:val="00F96917"/>
    <w:rsid w:val="00F96A65"/>
    <w:rsid w:val="00F96CCF"/>
    <w:rsid w:val="00F970A7"/>
    <w:rsid w:val="00F97628"/>
    <w:rsid w:val="00F97FBB"/>
    <w:rsid w:val="00FA08D7"/>
    <w:rsid w:val="00FA0B4F"/>
    <w:rsid w:val="00FA0D59"/>
    <w:rsid w:val="00FA10C8"/>
    <w:rsid w:val="00FA1276"/>
    <w:rsid w:val="00FA1277"/>
    <w:rsid w:val="00FA197F"/>
    <w:rsid w:val="00FA1C78"/>
    <w:rsid w:val="00FA2159"/>
    <w:rsid w:val="00FA27A8"/>
    <w:rsid w:val="00FA2870"/>
    <w:rsid w:val="00FA2DB5"/>
    <w:rsid w:val="00FA2F58"/>
    <w:rsid w:val="00FA32C0"/>
    <w:rsid w:val="00FA354A"/>
    <w:rsid w:val="00FA3667"/>
    <w:rsid w:val="00FA3F23"/>
    <w:rsid w:val="00FA3F60"/>
    <w:rsid w:val="00FA4029"/>
    <w:rsid w:val="00FA416B"/>
    <w:rsid w:val="00FA4A62"/>
    <w:rsid w:val="00FA4C55"/>
    <w:rsid w:val="00FA4E7E"/>
    <w:rsid w:val="00FA54AB"/>
    <w:rsid w:val="00FA55DD"/>
    <w:rsid w:val="00FA56F3"/>
    <w:rsid w:val="00FA5965"/>
    <w:rsid w:val="00FA5ADB"/>
    <w:rsid w:val="00FA5F64"/>
    <w:rsid w:val="00FA5F77"/>
    <w:rsid w:val="00FA6216"/>
    <w:rsid w:val="00FA708B"/>
    <w:rsid w:val="00FA7759"/>
    <w:rsid w:val="00FA7801"/>
    <w:rsid w:val="00FA79E5"/>
    <w:rsid w:val="00FA7EAB"/>
    <w:rsid w:val="00FA7F0A"/>
    <w:rsid w:val="00FB0037"/>
    <w:rsid w:val="00FB04F3"/>
    <w:rsid w:val="00FB0586"/>
    <w:rsid w:val="00FB0682"/>
    <w:rsid w:val="00FB0886"/>
    <w:rsid w:val="00FB08A2"/>
    <w:rsid w:val="00FB0D9F"/>
    <w:rsid w:val="00FB0DB5"/>
    <w:rsid w:val="00FB10A0"/>
    <w:rsid w:val="00FB17D7"/>
    <w:rsid w:val="00FB1AE1"/>
    <w:rsid w:val="00FB1B64"/>
    <w:rsid w:val="00FB1E04"/>
    <w:rsid w:val="00FB2113"/>
    <w:rsid w:val="00FB2155"/>
    <w:rsid w:val="00FB2196"/>
    <w:rsid w:val="00FB2379"/>
    <w:rsid w:val="00FB2F80"/>
    <w:rsid w:val="00FB30EC"/>
    <w:rsid w:val="00FB3783"/>
    <w:rsid w:val="00FB41C7"/>
    <w:rsid w:val="00FB4203"/>
    <w:rsid w:val="00FB425E"/>
    <w:rsid w:val="00FB47E3"/>
    <w:rsid w:val="00FB495D"/>
    <w:rsid w:val="00FB4A5A"/>
    <w:rsid w:val="00FB4ACC"/>
    <w:rsid w:val="00FB4B75"/>
    <w:rsid w:val="00FB4BA3"/>
    <w:rsid w:val="00FB4DC6"/>
    <w:rsid w:val="00FB5735"/>
    <w:rsid w:val="00FB5F56"/>
    <w:rsid w:val="00FB5FB6"/>
    <w:rsid w:val="00FB61E3"/>
    <w:rsid w:val="00FB62B9"/>
    <w:rsid w:val="00FB6321"/>
    <w:rsid w:val="00FB636A"/>
    <w:rsid w:val="00FB637A"/>
    <w:rsid w:val="00FB6BDD"/>
    <w:rsid w:val="00FB6C63"/>
    <w:rsid w:val="00FB6CC5"/>
    <w:rsid w:val="00FB6D0C"/>
    <w:rsid w:val="00FB7131"/>
    <w:rsid w:val="00FB71FB"/>
    <w:rsid w:val="00FB7307"/>
    <w:rsid w:val="00FB7317"/>
    <w:rsid w:val="00FB752A"/>
    <w:rsid w:val="00FB7D08"/>
    <w:rsid w:val="00FB7ECE"/>
    <w:rsid w:val="00FC04C5"/>
    <w:rsid w:val="00FC1391"/>
    <w:rsid w:val="00FC1B03"/>
    <w:rsid w:val="00FC1C79"/>
    <w:rsid w:val="00FC1EC1"/>
    <w:rsid w:val="00FC2047"/>
    <w:rsid w:val="00FC21FA"/>
    <w:rsid w:val="00FC2970"/>
    <w:rsid w:val="00FC2A3A"/>
    <w:rsid w:val="00FC2CF1"/>
    <w:rsid w:val="00FC3530"/>
    <w:rsid w:val="00FC3DFA"/>
    <w:rsid w:val="00FC44C0"/>
    <w:rsid w:val="00FC46A3"/>
    <w:rsid w:val="00FC476E"/>
    <w:rsid w:val="00FC4A9D"/>
    <w:rsid w:val="00FC4E2E"/>
    <w:rsid w:val="00FC4FD9"/>
    <w:rsid w:val="00FC5680"/>
    <w:rsid w:val="00FC5D46"/>
    <w:rsid w:val="00FC6028"/>
    <w:rsid w:val="00FC65E9"/>
    <w:rsid w:val="00FC6A57"/>
    <w:rsid w:val="00FC7856"/>
    <w:rsid w:val="00FD01BE"/>
    <w:rsid w:val="00FD09BB"/>
    <w:rsid w:val="00FD0C62"/>
    <w:rsid w:val="00FD0FF7"/>
    <w:rsid w:val="00FD127D"/>
    <w:rsid w:val="00FD154E"/>
    <w:rsid w:val="00FD1757"/>
    <w:rsid w:val="00FD19BE"/>
    <w:rsid w:val="00FD1BD4"/>
    <w:rsid w:val="00FD1BEE"/>
    <w:rsid w:val="00FD2044"/>
    <w:rsid w:val="00FD215F"/>
    <w:rsid w:val="00FD21D1"/>
    <w:rsid w:val="00FD21E5"/>
    <w:rsid w:val="00FD223E"/>
    <w:rsid w:val="00FD2D66"/>
    <w:rsid w:val="00FD3070"/>
    <w:rsid w:val="00FD30A3"/>
    <w:rsid w:val="00FD32C6"/>
    <w:rsid w:val="00FD33FF"/>
    <w:rsid w:val="00FD362C"/>
    <w:rsid w:val="00FD3721"/>
    <w:rsid w:val="00FD3A31"/>
    <w:rsid w:val="00FD4425"/>
    <w:rsid w:val="00FD4869"/>
    <w:rsid w:val="00FD4CF8"/>
    <w:rsid w:val="00FD4F92"/>
    <w:rsid w:val="00FD5146"/>
    <w:rsid w:val="00FD521B"/>
    <w:rsid w:val="00FD52A0"/>
    <w:rsid w:val="00FD583D"/>
    <w:rsid w:val="00FD5997"/>
    <w:rsid w:val="00FD6703"/>
    <w:rsid w:val="00FD68DF"/>
    <w:rsid w:val="00FD6AD9"/>
    <w:rsid w:val="00FD6F38"/>
    <w:rsid w:val="00FD7A42"/>
    <w:rsid w:val="00FD7C9B"/>
    <w:rsid w:val="00FE00E0"/>
    <w:rsid w:val="00FE0315"/>
    <w:rsid w:val="00FE05AD"/>
    <w:rsid w:val="00FE07FC"/>
    <w:rsid w:val="00FE088E"/>
    <w:rsid w:val="00FE0C9C"/>
    <w:rsid w:val="00FE1500"/>
    <w:rsid w:val="00FE1590"/>
    <w:rsid w:val="00FE15ED"/>
    <w:rsid w:val="00FE19EE"/>
    <w:rsid w:val="00FE1CAE"/>
    <w:rsid w:val="00FE1CEE"/>
    <w:rsid w:val="00FE1DFE"/>
    <w:rsid w:val="00FE202E"/>
    <w:rsid w:val="00FE21C1"/>
    <w:rsid w:val="00FE22B3"/>
    <w:rsid w:val="00FE255D"/>
    <w:rsid w:val="00FE257E"/>
    <w:rsid w:val="00FE2900"/>
    <w:rsid w:val="00FE2C08"/>
    <w:rsid w:val="00FE2E67"/>
    <w:rsid w:val="00FE2F05"/>
    <w:rsid w:val="00FE31C6"/>
    <w:rsid w:val="00FE31CB"/>
    <w:rsid w:val="00FE340F"/>
    <w:rsid w:val="00FE3550"/>
    <w:rsid w:val="00FE3665"/>
    <w:rsid w:val="00FE37A9"/>
    <w:rsid w:val="00FE437C"/>
    <w:rsid w:val="00FE44B8"/>
    <w:rsid w:val="00FE47C2"/>
    <w:rsid w:val="00FE482B"/>
    <w:rsid w:val="00FE4986"/>
    <w:rsid w:val="00FE49EF"/>
    <w:rsid w:val="00FE4F60"/>
    <w:rsid w:val="00FE5053"/>
    <w:rsid w:val="00FE5121"/>
    <w:rsid w:val="00FE52E8"/>
    <w:rsid w:val="00FE5C5B"/>
    <w:rsid w:val="00FE6127"/>
    <w:rsid w:val="00FE6349"/>
    <w:rsid w:val="00FE67B6"/>
    <w:rsid w:val="00FE67E3"/>
    <w:rsid w:val="00FE6A61"/>
    <w:rsid w:val="00FE6D52"/>
    <w:rsid w:val="00FE6EA7"/>
    <w:rsid w:val="00FE74E7"/>
    <w:rsid w:val="00FE7768"/>
    <w:rsid w:val="00FE7CE1"/>
    <w:rsid w:val="00FF03D0"/>
    <w:rsid w:val="00FF0487"/>
    <w:rsid w:val="00FF07B0"/>
    <w:rsid w:val="00FF0989"/>
    <w:rsid w:val="00FF09C3"/>
    <w:rsid w:val="00FF1409"/>
    <w:rsid w:val="00FF176A"/>
    <w:rsid w:val="00FF1804"/>
    <w:rsid w:val="00FF1A2D"/>
    <w:rsid w:val="00FF24BF"/>
    <w:rsid w:val="00FF26F0"/>
    <w:rsid w:val="00FF275A"/>
    <w:rsid w:val="00FF2B0E"/>
    <w:rsid w:val="00FF2C14"/>
    <w:rsid w:val="00FF2DE7"/>
    <w:rsid w:val="00FF2DF8"/>
    <w:rsid w:val="00FF367C"/>
    <w:rsid w:val="00FF3693"/>
    <w:rsid w:val="00FF3814"/>
    <w:rsid w:val="00FF394B"/>
    <w:rsid w:val="00FF3963"/>
    <w:rsid w:val="00FF3A7D"/>
    <w:rsid w:val="00FF3AFF"/>
    <w:rsid w:val="00FF3BF1"/>
    <w:rsid w:val="00FF3C13"/>
    <w:rsid w:val="00FF3C32"/>
    <w:rsid w:val="00FF3F26"/>
    <w:rsid w:val="00FF43AD"/>
    <w:rsid w:val="00FF4667"/>
    <w:rsid w:val="00FF4703"/>
    <w:rsid w:val="00FF4FC6"/>
    <w:rsid w:val="00FF5365"/>
    <w:rsid w:val="00FF5445"/>
    <w:rsid w:val="00FF55C1"/>
    <w:rsid w:val="00FF59D9"/>
    <w:rsid w:val="00FF5D5F"/>
    <w:rsid w:val="00FF60B0"/>
    <w:rsid w:val="00FF6179"/>
    <w:rsid w:val="00FF623A"/>
    <w:rsid w:val="00FF6A77"/>
    <w:rsid w:val="00FF7534"/>
    <w:rsid w:val="00FF7966"/>
    <w:rsid w:val="00FF7D1F"/>
    <w:rsid w:val="00FF7D5A"/>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14:docId w14:val="70103F7A"/>
  <w15:docId w15:val="{D34CCFD5-CD66-49B0-AC43-E445175E3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uiPriority="1" w:qFormat="1"/>
    <w:lsdException w:name="heading 6" w:semiHidden="1" w:uiPriority="1" w:unhideWhenUsed="1"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99"/>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99"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39" w:unhideWhenUsed="1"/>
    <w:lsdException w:name="Plain Text" w:semiHidden="1" w:uiPriority="3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3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695"/>
    <w:rPr>
      <w:rFonts w:ascii="Arial" w:hAnsi="Arial"/>
    </w:rPr>
  </w:style>
  <w:style w:type="paragraph" w:styleId="Heading1">
    <w:name w:val="heading 1"/>
    <w:basedOn w:val="Normal"/>
    <w:next w:val="BodyText"/>
    <w:link w:val="Heading1Char"/>
    <w:uiPriority w:val="1"/>
    <w:qFormat/>
    <w:rsid w:val="00DE2084"/>
    <w:pPr>
      <w:keepNext/>
      <w:keepLines/>
      <w:numPr>
        <w:numId w:val="8"/>
      </w:numPr>
      <w:spacing w:before="480" w:after="240"/>
      <w:ind w:left="624"/>
      <w:outlineLvl w:val="0"/>
    </w:pPr>
    <w:rPr>
      <w:rFonts w:asciiTheme="majorHAnsi" w:eastAsiaTheme="minorEastAsia" w:hAnsiTheme="majorHAnsi" w:cstheme="majorBidi"/>
      <w:b/>
      <w:bCs/>
      <w:color w:val="007BC1"/>
      <w:sz w:val="32"/>
      <w:szCs w:val="32"/>
    </w:rPr>
  </w:style>
  <w:style w:type="paragraph" w:styleId="Heading2">
    <w:name w:val="heading 2"/>
    <w:basedOn w:val="Normal"/>
    <w:next w:val="BodyText"/>
    <w:link w:val="Heading2Char"/>
    <w:uiPriority w:val="1"/>
    <w:qFormat/>
    <w:rsid w:val="00912579"/>
    <w:pPr>
      <w:keepNext/>
      <w:keepLines/>
      <w:numPr>
        <w:ilvl w:val="1"/>
        <w:numId w:val="8"/>
      </w:numPr>
      <w:spacing w:before="360" w:after="240"/>
      <w:ind w:left="624"/>
      <w:outlineLvl w:val="1"/>
    </w:pPr>
    <w:rPr>
      <w:rFonts w:asciiTheme="majorHAnsi" w:eastAsiaTheme="majorEastAsia" w:hAnsiTheme="majorHAnsi" w:cstheme="majorBidi"/>
      <w:b/>
      <w:bCs/>
      <w:color w:val="007BC1"/>
      <w:sz w:val="28"/>
      <w:szCs w:val="26"/>
    </w:rPr>
  </w:style>
  <w:style w:type="paragraph" w:styleId="Heading3">
    <w:name w:val="heading 3"/>
    <w:basedOn w:val="Normal"/>
    <w:next w:val="BodyText"/>
    <w:link w:val="Heading3Char"/>
    <w:uiPriority w:val="1"/>
    <w:qFormat/>
    <w:rsid w:val="00697ADE"/>
    <w:pPr>
      <w:keepNext/>
      <w:keepLines/>
      <w:numPr>
        <w:ilvl w:val="2"/>
        <w:numId w:val="8"/>
      </w:numPr>
      <w:spacing w:before="360" w:after="240"/>
      <w:contextualSpacing/>
      <w:outlineLvl w:val="2"/>
    </w:pPr>
    <w:rPr>
      <w:rFonts w:asciiTheme="majorHAnsi" w:eastAsiaTheme="majorEastAsia" w:hAnsiTheme="majorHAnsi" w:cstheme="majorBidi"/>
      <w:b/>
      <w:bCs/>
      <w:color w:val="007BC1"/>
      <w:sz w:val="24"/>
    </w:rPr>
  </w:style>
  <w:style w:type="paragraph" w:styleId="Heading4">
    <w:name w:val="heading 4"/>
    <w:basedOn w:val="Normal"/>
    <w:next w:val="BodyText"/>
    <w:link w:val="Heading4Char"/>
    <w:uiPriority w:val="1"/>
    <w:qFormat/>
    <w:rsid w:val="00DE2084"/>
    <w:pPr>
      <w:keepNext/>
      <w:keepLines/>
      <w:numPr>
        <w:ilvl w:val="3"/>
        <w:numId w:val="8"/>
      </w:numPr>
      <w:spacing w:before="360" w:after="240"/>
      <w:outlineLvl w:val="3"/>
    </w:pPr>
    <w:rPr>
      <w:rFonts w:asciiTheme="majorHAnsi" w:eastAsiaTheme="majorEastAsia" w:hAnsiTheme="majorHAnsi" w:cstheme="majorBidi"/>
      <w:b/>
      <w:bCs/>
      <w:i/>
      <w:iCs/>
      <w:color w:val="007BC1"/>
    </w:rPr>
  </w:style>
  <w:style w:type="paragraph" w:styleId="Heading5">
    <w:name w:val="heading 5"/>
    <w:basedOn w:val="Normal"/>
    <w:next w:val="Normal"/>
    <w:link w:val="Heading5Char"/>
    <w:uiPriority w:val="1"/>
    <w:qFormat/>
    <w:rsid w:val="00A014E2"/>
    <w:pPr>
      <w:keepNext/>
      <w:keepLines/>
      <w:numPr>
        <w:ilvl w:val="4"/>
        <w:numId w:val="8"/>
      </w:numPr>
      <w:spacing w:before="360" w:after="240"/>
      <w:outlineLvl w:val="4"/>
    </w:pPr>
    <w:rPr>
      <w:rFonts w:asciiTheme="majorHAnsi" w:eastAsiaTheme="majorEastAsia" w:hAnsiTheme="majorHAnsi" w:cstheme="majorBidi"/>
      <w:i/>
      <w:color w:val="214C90" w:themeColor="text2"/>
    </w:rPr>
  </w:style>
  <w:style w:type="paragraph" w:styleId="Heading6">
    <w:name w:val="heading 6"/>
    <w:basedOn w:val="Normal"/>
    <w:next w:val="BodyText"/>
    <w:link w:val="Heading6Char"/>
    <w:uiPriority w:val="1"/>
    <w:qFormat/>
    <w:rsid w:val="00A014E2"/>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qFormat/>
    <w:rsid w:val="00D31696"/>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qFormat/>
    <w:rsid w:val="00FB10A0"/>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rsid w:val="007D7FFC"/>
    <w:pPr>
      <w:keepNext/>
      <w:keepLines/>
      <w:pageBreakBefore/>
      <w:numPr>
        <w:numId w:val="5"/>
      </w:numPr>
      <w:spacing w:before="240" w:after="240"/>
      <w:outlineLvl w:val="8"/>
    </w:pPr>
    <w:rPr>
      <w:rFonts w:asciiTheme="majorHAnsi" w:eastAsiaTheme="minorEastAsia" w:hAnsiTheme="majorHAnsi" w:cs="Arial"/>
      <w:b/>
      <w:color w:val="007BC1"/>
      <w:sz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782365"/>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AD6695"/>
    <w:pPr>
      <w:tabs>
        <w:tab w:val="left" w:pos="2268"/>
        <w:tab w:val="left" w:pos="4536"/>
        <w:tab w:val="left" w:pos="6804"/>
        <w:tab w:val="right" w:pos="9638"/>
      </w:tabs>
      <w:spacing w:before="240" w:after="120"/>
    </w:pPr>
  </w:style>
  <w:style w:type="character" w:customStyle="1" w:styleId="BodyTextChar">
    <w:name w:val="Body Text Char"/>
    <w:basedOn w:val="DefaultParagraphFont"/>
    <w:link w:val="BodyText"/>
    <w:rsid w:val="00AD6695"/>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link w:val="CaptionChar"/>
    <w:qFormat/>
    <w:rsid w:val="0013752B"/>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DE2084"/>
    <w:pPr>
      <w:pageBreakBefore/>
      <w:spacing w:after="600" w:line="240" w:lineRule="auto"/>
      <w:outlineLvl w:val="3"/>
    </w:pPr>
    <w:rPr>
      <w:rFonts w:asciiTheme="majorHAnsi" w:eastAsiaTheme="minorEastAsia" w:hAnsiTheme="majorHAnsi" w:cstheme="majorBidi"/>
      <w:b/>
      <w:bCs/>
      <w:color w:val="007BC1"/>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uiPriority w:val="99"/>
    <w:rsid w:val="003B6692"/>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B6692"/>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D7FFC"/>
    <w:pPr>
      <w:keepNext/>
      <w:numPr>
        <w:ilvl w:val="1"/>
        <w:numId w:val="5"/>
      </w:numPr>
      <w:spacing w:before="360" w:after="240"/>
    </w:pPr>
    <w:rPr>
      <w:rFonts w:asciiTheme="majorHAnsi" w:eastAsiaTheme="minorEastAsia" w:hAnsiTheme="majorHAnsi"/>
      <w:b/>
      <w:color w:val="007BC1"/>
      <w:sz w:val="28"/>
      <w:lang w:eastAsia="en-US"/>
    </w:rPr>
  </w:style>
  <w:style w:type="paragraph" w:customStyle="1" w:styleId="AppendixHeading3">
    <w:name w:val="Appendix Heading 3"/>
    <w:basedOn w:val="Normal"/>
    <w:next w:val="BodyText"/>
    <w:uiPriority w:val="4"/>
    <w:rsid w:val="007D7FFC"/>
    <w:pPr>
      <w:keepNext/>
      <w:numPr>
        <w:ilvl w:val="2"/>
        <w:numId w:val="5"/>
      </w:numPr>
      <w:tabs>
        <w:tab w:val="left" w:pos="1559"/>
        <w:tab w:val="left" w:pos="1843"/>
        <w:tab w:val="left" w:pos="2126"/>
        <w:tab w:val="left" w:pos="2410"/>
        <w:tab w:val="left" w:pos="6804"/>
        <w:tab w:val="right" w:pos="9639"/>
      </w:tabs>
      <w:spacing w:before="360" w:after="240"/>
    </w:pPr>
    <w:rPr>
      <w:rFonts w:asciiTheme="majorHAnsi" w:hAnsiTheme="majorHAnsi"/>
      <w:b/>
      <w:color w:val="007BC1"/>
      <w:lang w:eastAsia="en-US"/>
    </w:rPr>
  </w:style>
  <w:style w:type="character" w:customStyle="1" w:styleId="Italics">
    <w:name w:val="Italics"/>
    <w:uiPriority w:val="1"/>
    <w:rsid w:val="00C34E9D"/>
    <w:rPr>
      <w:i/>
      <w:lang w:eastAsia="en-US"/>
    </w:rPr>
  </w:style>
  <w:style w:type="character" w:customStyle="1" w:styleId="Heading1Char">
    <w:name w:val="Heading 1 Char"/>
    <w:basedOn w:val="DefaultParagraphFont"/>
    <w:link w:val="Heading1"/>
    <w:uiPriority w:val="1"/>
    <w:rsid w:val="00DE2084"/>
    <w:rPr>
      <w:rFonts w:asciiTheme="majorHAnsi" w:eastAsiaTheme="minorEastAsia" w:hAnsiTheme="majorHAnsi" w:cstheme="majorBidi"/>
      <w:b/>
      <w:bCs/>
      <w:color w:val="007BC1"/>
      <w:sz w:val="32"/>
      <w:szCs w:val="32"/>
    </w:rPr>
  </w:style>
  <w:style w:type="character" w:customStyle="1" w:styleId="Heading2Char">
    <w:name w:val="Heading 2 Char"/>
    <w:basedOn w:val="DefaultParagraphFont"/>
    <w:link w:val="Heading2"/>
    <w:uiPriority w:val="1"/>
    <w:rsid w:val="00912579"/>
    <w:rPr>
      <w:rFonts w:asciiTheme="majorHAnsi" w:eastAsiaTheme="majorEastAsia" w:hAnsiTheme="majorHAnsi" w:cstheme="majorBidi"/>
      <w:b/>
      <w:bCs/>
      <w:color w:val="007BC1"/>
      <w:sz w:val="28"/>
      <w:szCs w:val="26"/>
    </w:rPr>
  </w:style>
  <w:style w:type="character" w:customStyle="1" w:styleId="Heading3Char">
    <w:name w:val="Heading 3 Char"/>
    <w:basedOn w:val="DefaultParagraphFont"/>
    <w:link w:val="Heading3"/>
    <w:uiPriority w:val="1"/>
    <w:rsid w:val="00697ADE"/>
    <w:rPr>
      <w:rFonts w:asciiTheme="majorHAnsi" w:eastAsiaTheme="majorEastAsia" w:hAnsiTheme="majorHAnsi" w:cstheme="majorBidi"/>
      <w:b/>
      <w:bCs/>
      <w:color w:val="007BC1"/>
      <w:sz w:val="24"/>
    </w:rPr>
  </w:style>
  <w:style w:type="character" w:customStyle="1" w:styleId="Heading4Char">
    <w:name w:val="Heading 4 Char"/>
    <w:basedOn w:val="DefaultParagraphFont"/>
    <w:link w:val="Heading4"/>
    <w:uiPriority w:val="1"/>
    <w:rsid w:val="00DE2084"/>
    <w:rPr>
      <w:rFonts w:asciiTheme="majorHAnsi" w:eastAsiaTheme="majorEastAsia" w:hAnsiTheme="majorHAnsi" w:cstheme="majorBidi"/>
      <w:b/>
      <w:bCs/>
      <w:i/>
      <w:iCs/>
      <w:color w:val="007BC1"/>
    </w:rPr>
  </w:style>
  <w:style w:type="character" w:customStyle="1" w:styleId="Heading7Char">
    <w:name w:val="Heading 7 Char"/>
    <w:basedOn w:val="DefaultParagraphFont"/>
    <w:link w:val="Heading7"/>
    <w:rsid w:val="000D5E7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rsid w:val="000D5E7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rsid w:val="007D7FFC"/>
    <w:rPr>
      <w:rFonts w:asciiTheme="majorHAnsi" w:eastAsiaTheme="minorEastAsia" w:hAnsiTheme="majorHAnsi" w:cs="Arial"/>
      <w:b/>
      <w:color w:val="007BC1"/>
      <w:sz w:val="32"/>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1C06D5"/>
    <w:pPr>
      <w:numPr>
        <w:numId w:val="11"/>
      </w:numPr>
      <w:tabs>
        <w:tab w:val="clear" w:pos="2268"/>
        <w:tab w:val="clear" w:pos="4536"/>
        <w:tab w:val="clear" w:pos="6804"/>
        <w:tab w:val="clear" w:pos="9638"/>
      </w:tabs>
      <w:spacing w:before="120"/>
      <w:ind w:left="357" w:hanging="357"/>
    </w:pPr>
  </w:style>
  <w:style w:type="paragraph" w:styleId="ListBullet2">
    <w:name w:val="List Bullet 2"/>
    <w:basedOn w:val="ListBullet"/>
    <w:link w:val="ListBullet2Char"/>
    <w:uiPriority w:val="99"/>
    <w:rsid w:val="002276FF"/>
    <w:pPr>
      <w:numPr>
        <w:numId w:val="12"/>
      </w:numPr>
      <w:ind w:left="714" w:hanging="357"/>
    </w:pPr>
  </w:style>
  <w:style w:type="paragraph" w:styleId="ListBullet3">
    <w:name w:val="List Bullet 3"/>
    <w:basedOn w:val="ListBullet2"/>
    <w:uiPriority w:val="99"/>
    <w:rsid w:val="000709D4"/>
  </w:style>
  <w:style w:type="paragraph" w:styleId="ListContinue">
    <w:name w:val="List Continue"/>
    <w:basedOn w:val="Normal"/>
    <w:rsid w:val="0013752B"/>
    <w:pPr>
      <w:spacing w:before="120" w:after="120"/>
      <w:ind w:left="357"/>
    </w:pPr>
    <w:rPr>
      <w:rFonts w:eastAsiaTheme="minorEastAsia"/>
    </w:rPr>
  </w:style>
  <w:style w:type="paragraph" w:styleId="ListNumber">
    <w:name w:val="List Number"/>
    <w:basedOn w:val="BodyText"/>
    <w:uiPriority w:val="99"/>
    <w:unhideWhenUsed/>
    <w:qFormat/>
    <w:rsid w:val="001C06D5"/>
    <w:pPr>
      <w:numPr>
        <w:numId w:val="44"/>
      </w:numPr>
      <w:tabs>
        <w:tab w:val="clear" w:pos="2268"/>
        <w:tab w:val="clear" w:pos="4536"/>
        <w:tab w:val="clear" w:pos="6804"/>
        <w:tab w:val="clear" w:pos="9638"/>
      </w:tabs>
      <w:spacing w:before="120"/>
    </w:pPr>
  </w:style>
  <w:style w:type="paragraph" w:styleId="ListNumber2">
    <w:name w:val="List Number 2"/>
    <w:basedOn w:val="ListNumber"/>
    <w:uiPriority w:val="99"/>
    <w:unhideWhenUsed/>
    <w:rsid w:val="002E0889"/>
    <w:pPr>
      <w:numPr>
        <w:ilvl w:val="1"/>
        <w:numId w:val="14"/>
      </w:numPr>
    </w:pPr>
  </w:style>
  <w:style w:type="paragraph" w:styleId="ListNumber3">
    <w:name w:val="List Number 3"/>
    <w:basedOn w:val="ListNumber2"/>
    <w:uiPriority w:val="99"/>
    <w:unhideWhenUsed/>
    <w:rsid w:val="00D33D2C"/>
    <w:pPr>
      <w:numPr>
        <w:ilvl w:val="2"/>
      </w:numPr>
    </w:pPr>
  </w:style>
  <w:style w:type="numbering" w:customStyle="1" w:styleId="MyListNumbering">
    <w:name w:val="MyListNumbering"/>
    <w:uiPriority w:val="99"/>
    <w:rsid w:val="000C70ED"/>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13752B"/>
    <w:pPr>
      <w:spacing w:before="60" w:after="60"/>
      <w:ind w:left="85" w:right="85"/>
    </w:pPr>
    <w:rPr>
      <w:rFonts w:cs="Arial"/>
      <w:sz w:val="18"/>
    </w:rPr>
  </w:style>
  <w:style w:type="paragraph" w:customStyle="1" w:styleId="TableBodyTextBold">
    <w:name w:val="Table Body Text Bold"/>
    <w:basedOn w:val="TableBodyText"/>
    <w:rsid w:val="0013752B"/>
    <w:rPr>
      <w:b/>
    </w:rPr>
  </w:style>
  <w:style w:type="table" w:styleId="TableGrid">
    <w:name w:val="Table Grid"/>
    <w:basedOn w:val="TableNormal"/>
    <w:uiPriority w:val="59"/>
    <w:rsid w:val="001866D5"/>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uiPriority w:val="99"/>
    <w:qFormat/>
    <w:rsid w:val="0013752B"/>
    <w:rPr>
      <w:color w:val="FFFFFF"/>
    </w:rPr>
  </w:style>
  <w:style w:type="paragraph" w:customStyle="1" w:styleId="TableBullet1">
    <w:name w:val="Table Bullet 1"/>
    <w:basedOn w:val="TableBodyText"/>
    <w:qFormat/>
    <w:rsid w:val="0013752B"/>
    <w:pPr>
      <w:ind w:left="0"/>
    </w:pPr>
  </w:style>
  <w:style w:type="paragraph" w:customStyle="1" w:styleId="TableBullet2">
    <w:name w:val="Table Bullet 2"/>
    <w:basedOn w:val="TableBullet1"/>
    <w:qFormat/>
    <w:rsid w:val="0013752B"/>
  </w:style>
  <w:style w:type="paragraph" w:customStyle="1" w:styleId="TableBullet3">
    <w:name w:val="Table Bullet 3"/>
    <w:basedOn w:val="TableBullet2"/>
    <w:qFormat/>
    <w:rsid w:val="0013752B"/>
    <w:pPr>
      <w:numPr>
        <w:ilvl w:val="2"/>
      </w:numPr>
    </w:pPr>
  </w:style>
  <w:style w:type="paragraph" w:customStyle="1" w:styleId="TableListNumber">
    <w:name w:val="Table List Number"/>
    <w:basedOn w:val="TableBodyText"/>
    <w:qFormat/>
    <w:rsid w:val="0013752B"/>
    <w:pPr>
      <w:ind w:left="0"/>
    </w:pPr>
    <w:rPr>
      <w:rFonts w:eastAsiaTheme="minorEastAsia"/>
    </w:rPr>
  </w:style>
  <w:style w:type="paragraph" w:customStyle="1" w:styleId="TableListNumber2">
    <w:name w:val="Table List Number 2"/>
    <w:basedOn w:val="TableListNumber"/>
    <w:qFormat/>
    <w:rsid w:val="0013752B"/>
    <w:pPr>
      <w:numPr>
        <w:ilvl w:val="1"/>
      </w:numPr>
    </w:pPr>
  </w:style>
  <w:style w:type="paragraph" w:customStyle="1" w:styleId="TableListNumber3">
    <w:name w:val="Table List Number 3"/>
    <w:basedOn w:val="TableListNumber2"/>
    <w:qFormat/>
    <w:rsid w:val="0013752B"/>
    <w:pPr>
      <w:numPr>
        <w:ilvl w:val="2"/>
      </w:numPr>
    </w:pPr>
  </w:style>
  <w:style w:type="paragraph" w:styleId="TableofFigures">
    <w:name w:val="table of figures"/>
    <w:basedOn w:val="Normal"/>
    <w:next w:val="Normal"/>
    <w:uiPriority w:val="99"/>
    <w:rsid w:val="00844AB7"/>
    <w:pPr>
      <w:tabs>
        <w:tab w:val="right" w:leader="dot" w:pos="8165"/>
      </w:tabs>
      <w:spacing w:before="120" w:after="60"/>
      <w:ind w:left="1134" w:right="737" w:hanging="1134"/>
    </w:pPr>
    <w:rPr>
      <w:rFonts w:eastAsiaTheme="minorHAnsi" w:cstheme="minorBidi"/>
      <w:noProof/>
      <w:lang w:eastAsia="fr-CA"/>
    </w:rPr>
  </w:style>
  <w:style w:type="paragraph" w:customStyle="1" w:styleId="Source">
    <w:name w:val="Source"/>
    <w:basedOn w:val="Normal"/>
    <w:next w:val="BodyText"/>
    <w:rsid w:val="0013752B"/>
    <w:pPr>
      <w:spacing w:before="60" w:after="120" w:line="180" w:lineRule="atLeast"/>
    </w:pPr>
    <w:rPr>
      <w:rFonts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link w:val="TitleChar"/>
    <w:qFormat/>
    <w:rsid w:val="00D32EA5"/>
    <w:pPr>
      <w:spacing w:before="120" w:after="500" w:line="620" w:lineRule="exact"/>
      <w:ind w:left="227" w:right="1134"/>
    </w:pPr>
    <w:rPr>
      <w:rFonts w:asciiTheme="majorHAnsi" w:eastAsiaTheme="minorEastAsia" w:hAnsiTheme="majorHAnsi"/>
      <w:b/>
      <w:color w:val="214C90" w:themeColor="text2"/>
      <w:sz w:val="56"/>
      <w:szCs w:val="48"/>
    </w:rPr>
  </w:style>
  <w:style w:type="character" w:customStyle="1" w:styleId="TitleChar">
    <w:name w:val="Title Char"/>
    <w:basedOn w:val="DefaultParagraphFont"/>
    <w:link w:val="Title"/>
    <w:rsid w:val="00D32EA5"/>
    <w:rPr>
      <w:rFonts w:asciiTheme="majorHAnsi" w:eastAsiaTheme="minorEastAsia" w:hAnsiTheme="majorHAnsi"/>
      <w:b/>
      <w:color w:val="214C90" w:themeColor="text2"/>
      <w:sz w:val="56"/>
      <w:szCs w:val="48"/>
    </w:rPr>
  </w:style>
  <w:style w:type="paragraph" w:styleId="Subtitle">
    <w:name w:val="Subtitle"/>
    <w:basedOn w:val="Title"/>
    <w:next w:val="Normal"/>
    <w:link w:val="SubtitleChar"/>
    <w:uiPriority w:val="1"/>
    <w:rsid w:val="00D32EA5"/>
    <w:pPr>
      <w:spacing w:before="0" w:after="720" w:line="400" w:lineRule="exact"/>
      <w:contextualSpacing/>
    </w:pPr>
    <w:rPr>
      <w:rFonts w:asciiTheme="minorHAnsi" w:hAnsiTheme="minorHAnsi"/>
      <w:b w:val="0"/>
      <w:color w:val="5D89B4" w:themeColor="accent3"/>
      <w:spacing w:val="4"/>
      <w:sz w:val="40"/>
    </w:rPr>
  </w:style>
  <w:style w:type="paragraph" w:styleId="TOC1">
    <w:name w:val="toc 1"/>
    <w:basedOn w:val="Normal"/>
    <w:next w:val="Normal"/>
    <w:autoRedefine/>
    <w:uiPriority w:val="39"/>
    <w:rsid w:val="00717A36"/>
    <w:pPr>
      <w:tabs>
        <w:tab w:val="left" w:pos="851"/>
        <w:tab w:val="right" w:pos="8505"/>
      </w:tabs>
      <w:spacing w:before="240" w:after="60"/>
      <w:ind w:left="851" w:right="737" w:hanging="851"/>
    </w:pPr>
    <w:rPr>
      <w:rFonts w:eastAsiaTheme="minorHAnsi" w:cstheme="minorBidi"/>
      <w:b/>
      <w:noProof/>
      <w:lang w:eastAsia="en-US"/>
    </w:rPr>
  </w:style>
  <w:style w:type="paragraph" w:styleId="TOC2">
    <w:name w:val="toc 2"/>
    <w:basedOn w:val="Normal"/>
    <w:next w:val="Normal"/>
    <w:autoRedefine/>
    <w:uiPriority w:val="39"/>
    <w:rsid w:val="00717A36"/>
    <w:pPr>
      <w:tabs>
        <w:tab w:val="right" w:pos="8505"/>
      </w:tabs>
      <w:spacing w:before="120" w:after="60"/>
      <w:ind w:left="851" w:right="737" w:hanging="851"/>
    </w:pPr>
    <w:rPr>
      <w:rFonts w:eastAsiaTheme="minorHAnsi" w:cstheme="minorBidi"/>
      <w:noProof/>
      <w:lang w:eastAsia="fr-CA"/>
    </w:rPr>
  </w:style>
  <w:style w:type="paragraph" w:styleId="TOC3">
    <w:name w:val="toc 3"/>
    <w:basedOn w:val="Normal"/>
    <w:next w:val="Normal"/>
    <w:autoRedefine/>
    <w:rsid w:val="00717A36"/>
    <w:pPr>
      <w:tabs>
        <w:tab w:val="left" w:pos="851"/>
        <w:tab w:val="right" w:leader="dot" w:pos="8165"/>
      </w:tabs>
      <w:spacing w:before="120" w:after="60"/>
      <w:ind w:left="851" w:right="737" w:hanging="851"/>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D32EA5"/>
    <w:rPr>
      <w:rFonts w:eastAsiaTheme="minorEastAsia"/>
      <w:color w:val="5D89B4" w:themeColor="accent3"/>
      <w:spacing w:val="4"/>
      <w:sz w:val="40"/>
      <w:szCs w:val="48"/>
    </w:rPr>
  </w:style>
  <w:style w:type="paragraph" w:styleId="NormalWeb">
    <w:name w:val="Normal (Web)"/>
    <w:basedOn w:val="Normal"/>
    <w:uiPriority w:val="99"/>
    <w:rsid w:val="003255DA"/>
    <w:rPr>
      <w:szCs w:val="24"/>
    </w:rPr>
  </w:style>
  <w:style w:type="paragraph" w:styleId="ListContinue2">
    <w:name w:val="List Continue 2"/>
    <w:basedOn w:val="Normal"/>
    <w:rsid w:val="0013752B"/>
    <w:pPr>
      <w:spacing w:before="120" w:after="120"/>
      <w:ind w:left="714"/>
    </w:pPr>
    <w:rPr>
      <w:rFonts w:eastAsiaTheme="minorEastAsia"/>
    </w:rPr>
  </w:style>
  <w:style w:type="paragraph" w:styleId="ListContinue3">
    <w:name w:val="List Continue 3"/>
    <w:basedOn w:val="Normal"/>
    <w:rsid w:val="0013752B"/>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customStyle="1" w:styleId="TableofFiguresHeading">
    <w:name w:val="Table of Figures Heading"/>
    <w:basedOn w:val="Normal"/>
    <w:rsid w:val="006E2604"/>
    <w:pPr>
      <w:spacing w:before="120" w:after="120"/>
    </w:pPr>
    <w:rPr>
      <w:rFonts w:asciiTheme="majorHAnsi" w:eastAsiaTheme="minorEastAsia" w:hAnsiTheme="majorHAnsi"/>
      <w:b/>
      <w:bCs/>
      <w:color w:val="214C90" w:themeColor="text2"/>
    </w:rPr>
  </w:style>
  <w:style w:type="paragraph" w:customStyle="1" w:styleId="SideNote">
    <w:name w:val="Side Note"/>
    <w:basedOn w:val="BodyText"/>
    <w:qFormat/>
    <w:rsid w:val="00B651D5"/>
    <w:pPr>
      <w:framePr w:w="1418" w:h="397" w:wrap="around" w:vAnchor="text" w:hAnchor="page" w:x="568" w:y="143"/>
      <w:spacing w:before="0" w:line="247" w:lineRule="auto"/>
    </w:pPr>
    <w:rPr>
      <w:i/>
      <w:sz w:val="20"/>
    </w:rPr>
  </w:style>
  <w:style w:type="paragraph" w:customStyle="1" w:styleId="Address">
    <w:name w:val="Address"/>
    <w:basedOn w:val="Normal"/>
    <w:rsid w:val="00C6084A"/>
    <w:pPr>
      <w:framePr w:hSpace="181" w:wrap="around" w:vAnchor="page" w:hAnchor="page" w:xAlign="right" w:yAlign="bottom"/>
      <w:tabs>
        <w:tab w:val="left" w:pos="227"/>
      </w:tabs>
      <w:spacing w:line="220" w:lineRule="atLeast"/>
      <w:suppressOverlap/>
    </w:pPr>
    <w:rPr>
      <w:noProof/>
      <w:color w:val="FFFFFF"/>
    </w:rPr>
  </w:style>
  <w:style w:type="character" w:customStyle="1" w:styleId="Heading5Char">
    <w:name w:val="Heading 5 Char"/>
    <w:basedOn w:val="DefaultParagraphFont"/>
    <w:link w:val="Heading5"/>
    <w:uiPriority w:val="1"/>
    <w:rsid w:val="00A014E2"/>
    <w:rPr>
      <w:rFonts w:asciiTheme="majorHAnsi" w:eastAsiaTheme="majorEastAsia" w:hAnsiTheme="majorHAnsi" w:cstheme="majorBidi"/>
      <w:i/>
      <w:color w:val="214C90" w:themeColor="text2"/>
    </w:rPr>
  </w:style>
  <w:style w:type="character" w:customStyle="1" w:styleId="Heading6Char">
    <w:name w:val="Heading 6 Char"/>
    <w:basedOn w:val="DefaultParagraphFont"/>
    <w:link w:val="Heading6"/>
    <w:rsid w:val="00A014E2"/>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qFormat/>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782365"/>
    <w:pPr>
      <w:spacing w:before="120"/>
    </w:pPr>
    <w:rPr>
      <w:rFonts w:eastAsiaTheme="minorEastAsia" w:cstheme="minorBidi"/>
      <w:lang w:eastAsia="fr-CA"/>
    </w:rPr>
  </w:style>
  <w:style w:type="paragraph" w:customStyle="1" w:styleId="PullOutBoxHeading">
    <w:name w:val="Pull Out Box Heading"/>
    <w:basedOn w:val="Normal"/>
    <w:next w:val="PullOutBoxBodyText"/>
    <w:rsid w:val="00782365"/>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rsid w:val="00C34E9D"/>
    <w:rPr>
      <w:rFonts w:eastAsiaTheme="minorEastAsia"/>
      <w:b/>
      <w:i w:val="0"/>
      <w:strike w:val="0"/>
      <w:vertAlign w:val="baseline"/>
    </w:rPr>
  </w:style>
  <w:style w:type="character" w:customStyle="1" w:styleId="BoldAndItalics">
    <w:name w:val="Bold And Italics"/>
    <w:uiPriority w:val="99"/>
    <w:rsid w:val="00C34E9D"/>
    <w:rPr>
      <w:rFonts w:eastAsiaTheme="minorEastAsia"/>
      <w:b/>
      <w:i/>
      <w:strike w:val="0"/>
      <w:vertAlign w:val="baseline"/>
    </w:rPr>
  </w:style>
  <w:style w:type="paragraph" w:customStyle="1" w:styleId="TableHeadingBold">
    <w:name w:val="Table Heading Bold"/>
    <w:basedOn w:val="TableHeading"/>
    <w:rsid w:val="0013752B"/>
    <w:rPr>
      <w:b/>
    </w:rPr>
  </w:style>
  <w:style w:type="paragraph" w:customStyle="1" w:styleId="AppendixHeading4">
    <w:name w:val="Appendix Heading 4"/>
    <w:basedOn w:val="Normal"/>
    <w:next w:val="BodyText"/>
    <w:uiPriority w:val="4"/>
    <w:rsid w:val="007D7FFC"/>
    <w:pPr>
      <w:keepNext/>
      <w:numPr>
        <w:ilvl w:val="3"/>
        <w:numId w:val="5"/>
      </w:numPr>
      <w:spacing w:before="360" w:after="240"/>
    </w:pPr>
    <w:rPr>
      <w:rFonts w:asciiTheme="majorHAnsi" w:eastAsiaTheme="minorEastAsia" w:hAnsiTheme="majorHAnsi"/>
      <w:b/>
      <w:i/>
      <w:color w:val="007BC1"/>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782365"/>
    <w:pPr>
      <w:spacing w:before="120" w:after="120"/>
    </w:pPr>
    <w:rPr>
      <w:rFonts w:cs="Arial"/>
      <w:sz w:val="18"/>
    </w:rPr>
  </w:style>
  <w:style w:type="paragraph" w:styleId="Date">
    <w:name w:val="Date"/>
    <w:basedOn w:val="Normal"/>
    <w:next w:val="Normal"/>
    <w:link w:val="DateChar"/>
    <w:rsid w:val="007F2042"/>
    <w:pPr>
      <w:ind w:left="227"/>
    </w:pPr>
    <w:rPr>
      <w:rFonts w:eastAsiaTheme="minorEastAsia"/>
      <w:sz w:val="32"/>
    </w:rPr>
  </w:style>
  <w:style w:type="character" w:customStyle="1" w:styleId="DateChar">
    <w:name w:val="Date Char"/>
    <w:basedOn w:val="DefaultParagraphFont"/>
    <w:link w:val="Date"/>
    <w:rsid w:val="007F2042"/>
    <w:rPr>
      <w:rFonts w:eastAsiaTheme="minorEastAsia"/>
      <w:sz w:val="32"/>
    </w:rPr>
  </w:style>
  <w:style w:type="paragraph" w:customStyle="1" w:styleId="NotesNumbered">
    <w:name w:val="Notes Numbered"/>
    <w:basedOn w:val="Normal"/>
    <w:qFormat/>
    <w:rsid w:val="00323279"/>
    <w:pPr>
      <w:numPr>
        <w:numId w:val="6"/>
      </w:numPr>
      <w:spacing w:before="120" w:after="240" w:line="240" w:lineRule="auto"/>
      <w:contextualSpacing/>
    </w:pPr>
    <w:rPr>
      <w:sz w:val="18"/>
      <w:szCs w:val="20"/>
      <w:lang w:eastAsia="fr-CA"/>
    </w:rPr>
  </w:style>
  <w:style w:type="paragraph" w:styleId="FootnoteText">
    <w:name w:val="footnote text"/>
    <w:aliases w:val="BG Footnote Text,TBG Style"/>
    <w:basedOn w:val="Normal"/>
    <w:link w:val="FootnoteTextChar"/>
    <w:uiPriority w:val="99"/>
    <w:rsid w:val="003042FF"/>
    <w:pPr>
      <w:tabs>
        <w:tab w:val="left" w:pos="340"/>
      </w:tabs>
      <w:spacing w:before="60" w:after="60" w:line="240" w:lineRule="auto"/>
      <w:ind w:left="340" w:hanging="340"/>
    </w:pPr>
    <w:rPr>
      <w:sz w:val="16"/>
      <w:szCs w:val="20"/>
    </w:rPr>
  </w:style>
  <w:style w:type="character" w:customStyle="1" w:styleId="FootnoteTextChar">
    <w:name w:val="Footnote Text Char"/>
    <w:aliases w:val="BG Footnote Text Char,TBG Style Char"/>
    <w:basedOn w:val="DefaultParagraphFont"/>
    <w:link w:val="FootnoteText"/>
    <w:uiPriority w:val="99"/>
    <w:rsid w:val="003042FF"/>
    <w:rPr>
      <w:rFonts w:ascii="Arial" w:hAnsi="Arial"/>
      <w:sz w:val="16"/>
      <w:szCs w:val="20"/>
    </w:rPr>
  </w:style>
  <w:style w:type="character" w:styleId="FootnoteReference">
    <w:name w:val="footnote reference"/>
    <w:aliases w:val="(NECG) Footnote Reference,fr,o,Style 6 + 12 pt"/>
    <w:basedOn w:val="DefaultParagraphFont"/>
    <w:uiPriority w:val="99"/>
    <w:unhideWhenUsed/>
    <w:rsid w:val="00A176B6"/>
    <w:rPr>
      <w:vertAlign w:val="superscript"/>
    </w:rPr>
  </w:style>
  <w:style w:type="paragraph" w:styleId="ListNumber4">
    <w:name w:val="List Number 4"/>
    <w:basedOn w:val="Normal"/>
    <w:uiPriority w:val="99"/>
    <w:unhideWhenUsed/>
    <w:rsid w:val="00D33D2C"/>
    <w:pPr>
      <w:numPr>
        <w:ilvl w:val="3"/>
        <w:numId w:val="14"/>
      </w:numPr>
      <w:spacing w:before="120" w:after="120"/>
    </w:pPr>
  </w:style>
  <w:style w:type="paragraph" w:styleId="ListNumber5">
    <w:name w:val="List Number 5"/>
    <w:basedOn w:val="Normal"/>
    <w:uiPriority w:val="99"/>
    <w:unhideWhenUsed/>
    <w:rsid w:val="00D33D2C"/>
    <w:pPr>
      <w:numPr>
        <w:ilvl w:val="4"/>
        <w:numId w:val="14"/>
      </w:numPr>
      <w:spacing w:before="120" w:after="120"/>
    </w:pPr>
  </w:style>
  <w:style w:type="paragraph" w:styleId="ListBullet4">
    <w:name w:val="List Bullet 4"/>
    <w:basedOn w:val="Normal"/>
    <w:uiPriority w:val="99"/>
    <w:unhideWhenUsed/>
    <w:rsid w:val="001122BF"/>
    <w:pPr>
      <w:spacing w:before="120" w:after="120"/>
    </w:pPr>
  </w:style>
  <w:style w:type="paragraph" w:styleId="ListBullet5">
    <w:name w:val="List Bullet 5"/>
    <w:basedOn w:val="Normal"/>
    <w:uiPriority w:val="99"/>
    <w:unhideWhenUsed/>
    <w:rsid w:val="001122BF"/>
    <w:pPr>
      <w:contextualSpacing/>
    </w:pPr>
  </w:style>
  <w:style w:type="paragraph" w:customStyle="1" w:styleId="PageNumberinFrame">
    <w:name w:val="Page Number in Frame"/>
    <w:basedOn w:val="Normal"/>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D6695"/>
    <w:pPr>
      <w:spacing w:before="240" w:after="120"/>
    </w:pPr>
    <w:rPr>
      <w:sz w:val="18"/>
    </w:rPr>
  </w:style>
  <w:style w:type="paragraph" w:styleId="ListContinue4">
    <w:name w:val="List Continue 4"/>
    <w:basedOn w:val="Normal"/>
    <w:semiHidden/>
    <w:unhideWhenUsed/>
    <w:rsid w:val="0013752B"/>
    <w:pPr>
      <w:spacing w:before="120" w:after="120"/>
      <w:ind w:left="1429"/>
    </w:pPr>
  </w:style>
  <w:style w:type="paragraph" w:styleId="ListContinue5">
    <w:name w:val="List Continue 5"/>
    <w:basedOn w:val="Normal"/>
    <w:semiHidden/>
    <w:unhideWhenUsed/>
    <w:rsid w:val="0013752B"/>
    <w:pPr>
      <w:spacing w:before="120" w:after="120"/>
      <w:ind w:left="1786"/>
    </w:pPr>
  </w:style>
  <w:style w:type="paragraph" w:customStyle="1" w:styleId="ExecSummHeading1">
    <w:name w:val="Exec Summ Heading 1"/>
    <w:basedOn w:val="Normal"/>
    <w:next w:val="BodyText"/>
    <w:qFormat/>
    <w:rsid w:val="00DE2084"/>
    <w:pPr>
      <w:pageBreakBefore/>
      <w:spacing w:after="240"/>
      <w:ind w:left="851" w:hanging="851"/>
      <w:outlineLvl w:val="0"/>
    </w:pPr>
    <w:rPr>
      <w:rFonts w:asciiTheme="majorHAnsi" w:hAnsiTheme="majorHAnsi"/>
      <w:b/>
      <w:color w:val="007BC1"/>
      <w:sz w:val="32"/>
    </w:rPr>
  </w:style>
  <w:style w:type="paragraph" w:customStyle="1" w:styleId="ExecSummHeading2">
    <w:name w:val="Exec Summ Heading 2"/>
    <w:basedOn w:val="ExecSummHeading1"/>
    <w:next w:val="BodyText"/>
    <w:qFormat/>
    <w:rsid w:val="00DE2084"/>
    <w:pPr>
      <w:pageBreakBefore w:val="0"/>
      <w:spacing w:before="360"/>
      <w:outlineLvl w:val="9"/>
    </w:pPr>
    <w:rPr>
      <w:sz w:val="28"/>
    </w:rPr>
  </w:style>
  <w:style w:type="paragraph" w:customStyle="1" w:styleId="ExecSummHeading3">
    <w:name w:val="Exec Summ Heading 3"/>
    <w:basedOn w:val="ExecSummHeading2"/>
    <w:next w:val="BodyText"/>
    <w:qFormat/>
    <w:rsid w:val="00FF2DF8"/>
    <w:rPr>
      <w:sz w:val="22"/>
    </w:rPr>
  </w:style>
  <w:style w:type="paragraph" w:customStyle="1" w:styleId="ExecSummBodyText">
    <w:name w:val="Exec Summ Body Text"/>
    <w:basedOn w:val="Normal"/>
    <w:qFormat/>
    <w:rsid w:val="004B4F74"/>
    <w:pPr>
      <w:spacing w:before="240" w:after="120"/>
    </w:pPr>
  </w:style>
  <w:style w:type="paragraph" w:styleId="TOC4">
    <w:name w:val="toc 4"/>
    <w:basedOn w:val="Normal"/>
    <w:next w:val="Normal"/>
    <w:autoRedefine/>
    <w:unhideWhenUsed/>
    <w:rsid w:val="00774723"/>
    <w:pPr>
      <w:tabs>
        <w:tab w:val="right" w:leader="dot" w:pos="8165"/>
      </w:tabs>
      <w:spacing w:before="120" w:after="60"/>
      <w:ind w:right="737"/>
    </w:pPr>
  </w:style>
  <w:style w:type="character" w:customStyle="1" w:styleId="MyUnderlineStrikethrough">
    <w:name w:val="MyUnderline&amp;Strikethrough"/>
    <w:semiHidden/>
    <w:rsid w:val="00C34E9D"/>
    <w:rPr>
      <w:b w:val="0"/>
      <w:i w:val="0"/>
      <w:strike/>
      <w:dstrike w:val="0"/>
      <w:u w:val="single"/>
      <w:vertAlign w:val="baseline"/>
    </w:rPr>
  </w:style>
  <w:style w:type="character" w:customStyle="1" w:styleId="MyStrikethrough">
    <w:name w:val="MyStrikethrough"/>
    <w:semiHidden/>
    <w:rsid w:val="00C34E9D"/>
    <w:rPr>
      <w:b w:val="0"/>
      <w:i w:val="0"/>
      <w:strike/>
      <w:dstrike w:val="0"/>
      <w:vertAlign w:val="baseline"/>
    </w:rPr>
  </w:style>
  <w:style w:type="character" w:customStyle="1" w:styleId="MySuperscriptItalics">
    <w:name w:val="MySuperscript&amp;Italics"/>
    <w:semiHidden/>
    <w:rsid w:val="00C34E9D"/>
    <w:rPr>
      <w:b w:val="0"/>
      <w:i/>
      <w:strike w:val="0"/>
      <w:vertAlign w:val="superscript"/>
    </w:rPr>
  </w:style>
  <w:style w:type="character" w:customStyle="1" w:styleId="MySubscriptItalics">
    <w:name w:val="MySubscript&amp;Italics"/>
    <w:semiHidden/>
    <w:rsid w:val="00C34E9D"/>
    <w:rPr>
      <w:b w:val="0"/>
      <w:i/>
      <w:strike w:val="0"/>
      <w:vertAlign w:val="subscript"/>
    </w:rPr>
  </w:style>
  <w:style w:type="character" w:customStyle="1" w:styleId="MySuperscript">
    <w:name w:val="MySuperscript"/>
    <w:semiHidden/>
    <w:rsid w:val="00C34E9D"/>
    <w:rPr>
      <w:b w:val="0"/>
      <w:i w:val="0"/>
      <w:strike w:val="0"/>
      <w:vertAlign w:val="superscript"/>
    </w:rPr>
  </w:style>
  <w:style w:type="character" w:customStyle="1" w:styleId="MySubscript">
    <w:name w:val="MySubscript"/>
    <w:semiHidden/>
    <w:rsid w:val="00C34E9D"/>
    <w:rPr>
      <w:b w:val="0"/>
      <w:i w:val="0"/>
      <w:strike w:val="0"/>
      <w:vertAlign w:val="subscript"/>
    </w:rPr>
  </w:style>
  <w:style w:type="character" w:customStyle="1" w:styleId="MyBoldItalicsUnderline">
    <w:name w:val="MyBoldItalicsUnderline"/>
    <w:semiHidden/>
    <w:rsid w:val="00C34E9D"/>
    <w:rPr>
      <w:b/>
      <w:i/>
      <w:strike w:val="0"/>
      <w:u w:val="single"/>
      <w:vertAlign w:val="baseline"/>
    </w:rPr>
  </w:style>
  <w:style w:type="character" w:customStyle="1" w:styleId="MyBoldUnderline">
    <w:name w:val="MyBoldUnderline"/>
    <w:semiHidden/>
    <w:rsid w:val="00C34E9D"/>
    <w:rPr>
      <w:b/>
      <w:i/>
      <w:strike w:val="0"/>
      <w:u w:val="single"/>
      <w:vertAlign w:val="baseline"/>
    </w:rPr>
  </w:style>
  <w:style w:type="character" w:customStyle="1" w:styleId="MyItalicsUnderline">
    <w:name w:val="MyItalicsUnderline"/>
    <w:semiHidden/>
    <w:rsid w:val="00C34E9D"/>
    <w:rPr>
      <w:b/>
      <w:i/>
      <w:strike w:val="0"/>
      <w:u w:val="single"/>
      <w:vertAlign w:val="baseline"/>
    </w:rPr>
  </w:style>
  <w:style w:type="character" w:customStyle="1" w:styleId="MyUnderline">
    <w:name w:val="MyUnderline"/>
    <w:semiHidden/>
    <w:rsid w:val="00C34E9D"/>
    <w:rPr>
      <w:b w:val="0"/>
      <w:i w:val="0"/>
      <w:strike w:val="0"/>
      <w:u w:val="single"/>
      <w:vertAlign w:val="baseline"/>
    </w:rPr>
  </w:style>
  <w:style w:type="paragraph" w:styleId="CommentText">
    <w:name w:val="annotation text"/>
    <w:basedOn w:val="Normal"/>
    <w:link w:val="CommentTextChar"/>
    <w:uiPriority w:val="99"/>
    <w:unhideWhenUsed/>
    <w:rsid w:val="00130333"/>
    <w:pPr>
      <w:spacing w:after="160" w:line="240" w:lineRule="auto"/>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130333"/>
    <w:rPr>
      <w:rFonts w:eastAsiaTheme="minorHAnsi" w:cstheme="minorBidi"/>
      <w:sz w:val="20"/>
      <w:szCs w:val="20"/>
      <w:lang w:eastAsia="en-US"/>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130333"/>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130333"/>
    <w:pPr>
      <w:spacing w:after="160" w:line="256" w:lineRule="auto"/>
      <w:ind w:left="720"/>
      <w:contextualSpacing/>
    </w:pPr>
    <w:rPr>
      <w:rFonts w:asciiTheme="minorHAnsi" w:hAnsiTheme="minorHAnsi"/>
    </w:rPr>
  </w:style>
  <w:style w:type="paragraph" w:customStyle="1" w:styleId="Default">
    <w:name w:val="Default"/>
    <w:rsid w:val="00130333"/>
    <w:pPr>
      <w:autoSpaceDE w:val="0"/>
      <w:autoSpaceDN w:val="0"/>
      <w:adjustRightInd w:val="0"/>
      <w:spacing w:line="240" w:lineRule="auto"/>
    </w:pPr>
    <w:rPr>
      <w:rFonts w:ascii="Arial" w:eastAsia="Calibri" w:hAnsi="Arial" w:cs="Arial"/>
      <w:color w:val="000000"/>
      <w:sz w:val="24"/>
      <w:szCs w:val="24"/>
    </w:rPr>
  </w:style>
  <w:style w:type="character" w:styleId="CommentReference">
    <w:name w:val="annotation reference"/>
    <w:basedOn w:val="DefaultParagraphFont"/>
    <w:uiPriority w:val="99"/>
    <w:semiHidden/>
    <w:unhideWhenUsed/>
    <w:rsid w:val="00130333"/>
    <w:rPr>
      <w:sz w:val="16"/>
      <w:szCs w:val="16"/>
    </w:rPr>
  </w:style>
  <w:style w:type="numbering" w:customStyle="1" w:styleId="BulletList">
    <w:name w:val="Bullet List"/>
    <w:uiPriority w:val="99"/>
    <w:rsid w:val="00130333"/>
    <w:pPr>
      <w:numPr>
        <w:numId w:val="9"/>
      </w:numPr>
    </w:pPr>
  </w:style>
  <w:style w:type="paragraph" w:customStyle="1" w:styleId="Pa9">
    <w:name w:val="Pa9"/>
    <w:basedOn w:val="Default"/>
    <w:next w:val="Default"/>
    <w:uiPriority w:val="99"/>
    <w:rsid w:val="00CE1750"/>
    <w:pPr>
      <w:spacing w:line="201" w:lineRule="atLeast"/>
    </w:pPr>
    <w:rPr>
      <w:rFonts w:ascii="Gotham Light" w:eastAsia="Times New Roman" w:hAnsi="Gotham Light" w:cs="Times New Roman"/>
      <w:color w:val="auto"/>
    </w:rPr>
  </w:style>
  <w:style w:type="character" w:customStyle="1" w:styleId="A8">
    <w:name w:val="A8"/>
    <w:uiPriority w:val="99"/>
    <w:rsid w:val="00CE1750"/>
    <w:rPr>
      <w:rFonts w:cs="Gotham Light"/>
      <w:color w:val="000000"/>
      <w:sz w:val="11"/>
      <w:szCs w:val="11"/>
    </w:rPr>
  </w:style>
  <w:style w:type="character" w:customStyle="1" w:styleId="Mention1">
    <w:name w:val="Mention1"/>
    <w:basedOn w:val="DefaultParagraphFont"/>
    <w:uiPriority w:val="99"/>
    <w:semiHidden/>
    <w:unhideWhenUsed/>
    <w:rsid w:val="00823FB3"/>
    <w:rPr>
      <w:color w:val="2B579A"/>
      <w:shd w:val="clear" w:color="auto" w:fill="E6E6E6"/>
    </w:rPr>
  </w:style>
  <w:style w:type="paragraph" w:styleId="PlainText">
    <w:name w:val="Plain Text"/>
    <w:basedOn w:val="Normal"/>
    <w:link w:val="PlainTextChar"/>
    <w:uiPriority w:val="39"/>
    <w:semiHidden/>
    <w:unhideWhenUsed/>
    <w:rsid w:val="007617DF"/>
    <w:pPr>
      <w:spacing w:line="240" w:lineRule="auto"/>
    </w:pPr>
    <w:rPr>
      <w:rFonts w:ascii="Calibri" w:hAnsi="Calibri"/>
      <w:szCs w:val="21"/>
    </w:rPr>
  </w:style>
  <w:style w:type="character" w:customStyle="1" w:styleId="PlainTextChar">
    <w:name w:val="Plain Text Char"/>
    <w:basedOn w:val="DefaultParagraphFont"/>
    <w:link w:val="PlainText"/>
    <w:uiPriority w:val="39"/>
    <w:semiHidden/>
    <w:rsid w:val="007617DF"/>
    <w:rPr>
      <w:rFonts w:ascii="Calibri" w:hAnsi="Calibri"/>
      <w:szCs w:val="21"/>
    </w:rPr>
  </w:style>
  <w:style w:type="paragraph" w:styleId="CommentSubject">
    <w:name w:val="annotation subject"/>
    <w:basedOn w:val="CommentText"/>
    <w:next w:val="CommentText"/>
    <w:link w:val="CommentSubjectChar"/>
    <w:uiPriority w:val="39"/>
    <w:semiHidden/>
    <w:unhideWhenUsed/>
    <w:rsid w:val="0023587F"/>
    <w:pPr>
      <w:spacing w:after="0"/>
    </w:pPr>
    <w:rPr>
      <w:rFonts w:ascii="Arial" w:eastAsia="Times New Roman" w:hAnsi="Arial" w:cs="Times New Roman"/>
      <w:b/>
      <w:bCs/>
      <w:lang w:eastAsia="en-AU"/>
    </w:rPr>
  </w:style>
  <w:style w:type="character" w:customStyle="1" w:styleId="CommentSubjectChar">
    <w:name w:val="Comment Subject Char"/>
    <w:basedOn w:val="CommentTextChar"/>
    <w:link w:val="CommentSubject"/>
    <w:uiPriority w:val="39"/>
    <w:semiHidden/>
    <w:rsid w:val="0023587F"/>
    <w:rPr>
      <w:rFonts w:ascii="Arial" w:eastAsiaTheme="minorHAnsi" w:hAnsi="Arial" w:cstheme="minorBidi"/>
      <w:b/>
      <w:bCs/>
      <w:sz w:val="20"/>
      <w:szCs w:val="20"/>
      <w:lang w:eastAsia="en-US"/>
    </w:rPr>
  </w:style>
  <w:style w:type="paragraph" w:customStyle="1" w:styleId="Bullet2a">
    <w:name w:val="Bullet2a"/>
    <w:basedOn w:val="ListBullet2"/>
    <w:link w:val="Bullet2aChar"/>
    <w:rsid w:val="005B1992"/>
  </w:style>
  <w:style w:type="paragraph" w:customStyle="1" w:styleId="Bullet2b">
    <w:name w:val="Bullet2b"/>
    <w:basedOn w:val="ListBullet2"/>
    <w:link w:val="Bullet2bChar"/>
    <w:rsid w:val="005B1992"/>
  </w:style>
  <w:style w:type="character" w:customStyle="1" w:styleId="ListBulletChar">
    <w:name w:val="List Bullet Char"/>
    <w:basedOn w:val="BodyTextChar"/>
    <w:link w:val="ListBullet"/>
    <w:rsid w:val="001C06D5"/>
    <w:rPr>
      <w:rFonts w:ascii="Arial" w:hAnsi="Arial"/>
    </w:rPr>
  </w:style>
  <w:style w:type="character" w:customStyle="1" w:styleId="ListBullet2Char">
    <w:name w:val="List Bullet 2 Char"/>
    <w:basedOn w:val="ListBulletChar"/>
    <w:link w:val="ListBullet2"/>
    <w:uiPriority w:val="99"/>
    <w:rsid w:val="002276FF"/>
    <w:rPr>
      <w:rFonts w:ascii="Arial" w:hAnsi="Arial"/>
    </w:rPr>
  </w:style>
  <w:style w:type="character" w:customStyle="1" w:styleId="Bullet2aChar">
    <w:name w:val="Bullet2a Char"/>
    <w:basedOn w:val="ListBullet2Char"/>
    <w:link w:val="Bullet2a"/>
    <w:rsid w:val="005B1992"/>
    <w:rPr>
      <w:rFonts w:ascii="Arial" w:hAnsi="Arial"/>
    </w:rPr>
  </w:style>
  <w:style w:type="character" w:customStyle="1" w:styleId="Bullet2bChar">
    <w:name w:val="Bullet2b Char"/>
    <w:basedOn w:val="ListBullet2Char"/>
    <w:link w:val="Bullet2b"/>
    <w:rsid w:val="005B1992"/>
    <w:rPr>
      <w:rFonts w:ascii="Arial" w:hAnsi="Arial"/>
    </w:rPr>
  </w:style>
  <w:style w:type="paragraph" w:customStyle="1" w:styleId="text">
    <w:name w:val="text"/>
    <w:basedOn w:val="Normal"/>
    <w:uiPriority w:val="99"/>
    <w:rsid w:val="008E05C4"/>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character" w:styleId="Emphasis">
    <w:name w:val="Emphasis"/>
    <w:uiPriority w:val="20"/>
    <w:qFormat/>
    <w:rsid w:val="00E164A7"/>
    <w:rPr>
      <w:i/>
    </w:rPr>
  </w:style>
  <w:style w:type="character" w:styleId="Strong">
    <w:name w:val="Strong"/>
    <w:aliases w:val="AER text bold"/>
    <w:basedOn w:val="DefaultParagraphFont"/>
    <w:uiPriority w:val="22"/>
    <w:qFormat/>
    <w:rsid w:val="00057416"/>
    <w:rPr>
      <w:b/>
      <w:bCs/>
    </w:rPr>
  </w:style>
  <w:style w:type="character" w:customStyle="1" w:styleId="caps1">
    <w:name w:val="caps1"/>
    <w:basedOn w:val="DefaultParagraphFont"/>
    <w:rsid w:val="00057416"/>
    <w:rPr>
      <w:sz w:val="22"/>
      <w:szCs w:val="22"/>
    </w:rPr>
  </w:style>
  <w:style w:type="character" w:customStyle="1" w:styleId="tgc">
    <w:name w:val="_tgc"/>
    <w:basedOn w:val="DefaultParagraphFont"/>
    <w:rsid w:val="00057416"/>
  </w:style>
  <w:style w:type="table" w:styleId="ListTable4-Accent1">
    <w:name w:val="List Table 4 Accent 1"/>
    <w:basedOn w:val="TableNormal"/>
    <w:uiPriority w:val="49"/>
    <w:rsid w:val="00742868"/>
    <w:pPr>
      <w:spacing w:line="240" w:lineRule="auto"/>
    </w:pPr>
    <w:rPr>
      <w:rFonts w:eastAsiaTheme="minorHAnsi" w:cstheme="minorBidi"/>
      <w:lang w:eastAsia="en-US"/>
    </w:rPr>
    <w:tblPr>
      <w:tblStyleRowBandSize w:val="1"/>
      <w:tblStyleColBandSize w:val="1"/>
      <w:tblInd w:w="0" w:type="nil"/>
      <w:tblBorders>
        <w:top w:val="single" w:sz="4" w:space="0" w:color="5C8CD9" w:themeColor="accent1" w:themeTint="99"/>
        <w:left w:val="single" w:sz="4" w:space="0" w:color="5C8CD9" w:themeColor="accent1" w:themeTint="99"/>
        <w:bottom w:val="single" w:sz="4" w:space="0" w:color="5C8CD9" w:themeColor="accent1" w:themeTint="99"/>
        <w:right w:val="single" w:sz="4" w:space="0" w:color="5C8CD9" w:themeColor="accent1" w:themeTint="99"/>
        <w:insideH w:val="single" w:sz="4" w:space="0" w:color="5C8CD9" w:themeColor="accent1" w:themeTint="99"/>
      </w:tblBorders>
    </w:tblPr>
    <w:tblStylePr w:type="firstRow">
      <w:rPr>
        <w:b/>
        <w:bCs/>
        <w:color w:val="FFFFFF" w:themeColor="background1"/>
      </w:rPr>
      <w:tblPr/>
      <w:tcPr>
        <w:tcBorders>
          <w:top w:val="single" w:sz="4" w:space="0" w:color="214C90" w:themeColor="accent1"/>
          <w:left w:val="single" w:sz="4" w:space="0" w:color="214C90" w:themeColor="accent1"/>
          <w:bottom w:val="single" w:sz="4" w:space="0" w:color="214C90" w:themeColor="accent1"/>
          <w:right w:val="single" w:sz="4" w:space="0" w:color="214C90" w:themeColor="accent1"/>
          <w:insideH w:val="nil"/>
        </w:tcBorders>
        <w:shd w:val="clear" w:color="auto" w:fill="214C90" w:themeFill="accent1"/>
      </w:tcPr>
    </w:tblStylePr>
    <w:tblStylePr w:type="lastRow">
      <w:rPr>
        <w:b/>
        <w:bCs/>
      </w:rPr>
      <w:tblPr/>
      <w:tcPr>
        <w:tcBorders>
          <w:top w:val="double" w:sz="4" w:space="0" w:color="5C8CD9" w:themeColor="accent1" w:themeTint="99"/>
        </w:tcBorders>
      </w:tcPr>
    </w:tblStylePr>
    <w:tblStylePr w:type="firstCol">
      <w:rPr>
        <w:b/>
        <w:bCs/>
      </w:rPr>
    </w:tblStylePr>
    <w:tblStylePr w:type="lastCol">
      <w:rPr>
        <w:b/>
        <w:bCs/>
      </w:rPr>
    </w:tblStylePr>
    <w:tblStylePr w:type="band1Vert">
      <w:tblPr/>
      <w:tcPr>
        <w:shd w:val="clear" w:color="auto" w:fill="C8D8F2" w:themeFill="accent1" w:themeFillTint="33"/>
      </w:tcPr>
    </w:tblStylePr>
    <w:tblStylePr w:type="band1Horz">
      <w:tblPr/>
      <w:tcPr>
        <w:shd w:val="clear" w:color="auto" w:fill="C8D8F2" w:themeFill="accent1" w:themeFillTint="33"/>
      </w:tcPr>
    </w:tblStylePr>
  </w:style>
  <w:style w:type="character" w:customStyle="1" w:styleId="med11">
    <w:name w:val="med11"/>
    <w:basedOn w:val="DefaultParagraphFont"/>
    <w:rsid w:val="00742868"/>
    <w:rPr>
      <w:sz w:val="18"/>
      <w:szCs w:val="18"/>
    </w:rPr>
  </w:style>
  <w:style w:type="paragraph" w:customStyle="1" w:styleId="paragraph">
    <w:name w:val="paragraph"/>
    <w:basedOn w:val="Normal"/>
    <w:rsid w:val="00797E66"/>
    <w:pPr>
      <w:spacing w:before="100" w:beforeAutospacing="1" w:after="100" w:afterAutospacing="1" w:line="240" w:lineRule="auto"/>
    </w:pPr>
    <w:rPr>
      <w:rFonts w:ascii="Times New Roman" w:hAnsi="Times New Roman"/>
      <w:sz w:val="24"/>
      <w:szCs w:val="24"/>
    </w:rPr>
  </w:style>
  <w:style w:type="paragraph" w:customStyle="1" w:styleId="paragraphsub">
    <w:name w:val="paragraphsub"/>
    <w:basedOn w:val="Normal"/>
    <w:rsid w:val="00797E66"/>
    <w:pPr>
      <w:spacing w:before="100" w:beforeAutospacing="1" w:after="100" w:afterAutospacing="1" w:line="240" w:lineRule="auto"/>
    </w:pPr>
    <w:rPr>
      <w:rFonts w:ascii="Times New Roman" w:hAnsi="Times New Roman"/>
      <w:sz w:val="24"/>
      <w:szCs w:val="24"/>
    </w:rPr>
  </w:style>
  <w:style w:type="paragraph" w:customStyle="1" w:styleId="subsection">
    <w:name w:val="subsection"/>
    <w:basedOn w:val="Normal"/>
    <w:rsid w:val="006F250E"/>
    <w:pPr>
      <w:spacing w:before="100" w:beforeAutospacing="1" w:after="100" w:afterAutospacing="1" w:line="240" w:lineRule="auto"/>
    </w:pPr>
    <w:rPr>
      <w:rFonts w:ascii="Times New Roman" w:hAnsi="Times New Roman"/>
      <w:sz w:val="24"/>
      <w:szCs w:val="24"/>
    </w:rPr>
  </w:style>
  <w:style w:type="numbering" w:customStyle="1" w:styleId="KeyPoints">
    <w:name w:val="Key Points"/>
    <w:basedOn w:val="NoList"/>
    <w:uiPriority w:val="99"/>
    <w:rsid w:val="006F250E"/>
    <w:pPr>
      <w:numPr>
        <w:numId w:val="10"/>
      </w:numPr>
    </w:pPr>
  </w:style>
  <w:style w:type="paragraph" w:customStyle="1" w:styleId="subsectionhead">
    <w:name w:val="subsectionhead"/>
    <w:basedOn w:val="Normal"/>
    <w:rsid w:val="00153551"/>
    <w:pPr>
      <w:spacing w:before="100" w:beforeAutospacing="1" w:after="100" w:afterAutospacing="1" w:line="240" w:lineRule="auto"/>
    </w:pPr>
    <w:rPr>
      <w:rFonts w:ascii="Times New Roman" w:hAnsi="Times New Roman"/>
      <w:sz w:val="24"/>
      <w:szCs w:val="24"/>
    </w:rPr>
  </w:style>
  <w:style w:type="paragraph" w:customStyle="1" w:styleId="indenta-p">
    <w:name w:val="indenta-p"/>
    <w:basedOn w:val="Normal"/>
    <w:rsid w:val="00153551"/>
    <w:pPr>
      <w:spacing w:before="100" w:beforeAutospacing="1" w:after="100" w:afterAutospacing="1" w:line="240" w:lineRule="auto"/>
    </w:pPr>
    <w:rPr>
      <w:rFonts w:ascii="Times New Roman" w:eastAsiaTheme="minorHAnsi" w:hAnsi="Times New Roman"/>
      <w:sz w:val="24"/>
      <w:szCs w:val="24"/>
    </w:rPr>
  </w:style>
  <w:style w:type="character" w:customStyle="1" w:styleId="indenta-h">
    <w:name w:val="indenta-h"/>
    <w:basedOn w:val="DefaultParagraphFont"/>
    <w:rsid w:val="00153551"/>
  </w:style>
  <w:style w:type="character" w:customStyle="1" w:styleId="charsectno">
    <w:name w:val="charsectno"/>
    <w:basedOn w:val="DefaultParagraphFont"/>
    <w:rsid w:val="00DC48D1"/>
  </w:style>
  <w:style w:type="paragraph" w:customStyle="1" w:styleId="acthead5">
    <w:name w:val="acthead5"/>
    <w:basedOn w:val="Normal"/>
    <w:rsid w:val="00DC48D1"/>
    <w:pPr>
      <w:spacing w:before="100" w:beforeAutospacing="1" w:after="100" w:afterAutospacing="1" w:line="240" w:lineRule="auto"/>
    </w:pPr>
    <w:rPr>
      <w:rFonts w:ascii="Times New Roman" w:hAnsi="Times New Roman"/>
      <w:sz w:val="24"/>
      <w:szCs w:val="24"/>
    </w:rPr>
  </w:style>
  <w:style w:type="character" w:customStyle="1" w:styleId="sectionlabel">
    <w:name w:val="sectionlabel"/>
    <w:basedOn w:val="DefaultParagraphFont"/>
    <w:rsid w:val="007E1D14"/>
    <w:rPr>
      <w:b/>
      <w:bCs/>
      <w:color w:val="000000"/>
    </w:rPr>
  </w:style>
  <w:style w:type="character" w:customStyle="1" w:styleId="lawlabel2">
    <w:name w:val="lawlabel2"/>
    <w:basedOn w:val="DefaultParagraphFont"/>
    <w:rsid w:val="007E1D14"/>
    <w:rPr>
      <w:b/>
      <w:bCs/>
      <w:color w:val="000000"/>
    </w:rPr>
  </w:style>
  <w:style w:type="paragraph" w:customStyle="1" w:styleId="CM3">
    <w:name w:val="CM3"/>
    <w:basedOn w:val="Default"/>
    <w:next w:val="Default"/>
    <w:uiPriority w:val="99"/>
    <w:rsid w:val="003258F0"/>
    <w:pPr>
      <w:spacing w:line="280" w:lineRule="atLeast"/>
    </w:pPr>
    <w:rPr>
      <w:rFonts w:ascii="Myriad Pro" w:eastAsia="Times New Roman" w:hAnsi="Myriad Pro" w:cs="Times New Roman"/>
      <w:color w:val="auto"/>
    </w:rPr>
  </w:style>
  <w:style w:type="paragraph" w:customStyle="1" w:styleId="Footerclassification">
    <w:name w:val="Footer classification"/>
    <w:basedOn w:val="Normal"/>
    <w:rsid w:val="00D5384A"/>
    <w:pPr>
      <w:tabs>
        <w:tab w:val="center" w:pos="4536"/>
        <w:tab w:val="center" w:pos="4819"/>
        <w:tab w:val="right" w:pos="9356"/>
      </w:tabs>
      <w:spacing w:before="240" w:line="276" w:lineRule="auto"/>
      <w:jc w:val="center"/>
    </w:pPr>
    <w:rPr>
      <w:rFonts w:cs="Arial"/>
      <w:color w:val="FF0000"/>
      <w:sz w:val="28"/>
      <w:szCs w:val="28"/>
    </w:rPr>
  </w:style>
  <w:style w:type="paragraph" w:customStyle="1" w:styleId="Tabletext">
    <w:name w:val="Table text"/>
    <w:basedOn w:val="Normal"/>
    <w:uiPriority w:val="9"/>
    <w:qFormat/>
    <w:rsid w:val="00D5384A"/>
    <w:pPr>
      <w:spacing w:line="276" w:lineRule="auto"/>
    </w:pPr>
    <w:rPr>
      <w:rFonts w:eastAsia="Calibri"/>
      <w:lang w:eastAsia="en-US"/>
    </w:rPr>
  </w:style>
  <w:style w:type="paragraph" w:customStyle="1" w:styleId="Classificationsensitivity">
    <w:name w:val="Classification sensitivity"/>
    <w:basedOn w:val="Normal"/>
    <w:rsid w:val="00D5384A"/>
    <w:pPr>
      <w:tabs>
        <w:tab w:val="center" w:pos="4536"/>
        <w:tab w:val="center" w:pos="4819"/>
        <w:tab w:val="right" w:pos="9356"/>
      </w:tabs>
      <w:spacing w:after="240" w:line="276" w:lineRule="auto"/>
      <w:jc w:val="center"/>
    </w:pPr>
    <w:rPr>
      <w:rFonts w:cs="Arial"/>
      <w:color w:val="FF0000"/>
      <w:szCs w:val="28"/>
    </w:rPr>
  </w:style>
  <w:style w:type="character" w:customStyle="1" w:styleId="Numbered1Char">
    <w:name w:val="Numbered 1 Char"/>
    <w:basedOn w:val="DefaultParagraphFont"/>
    <w:link w:val="Numbered1"/>
    <w:locked/>
    <w:rsid w:val="00BE301F"/>
    <w:rPr>
      <w:sz w:val="24"/>
      <w:szCs w:val="24"/>
    </w:rPr>
  </w:style>
  <w:style w:type="paragraph" w:customStyle="1" w:styleId="Numbered1">
    <w:name w:val="Numbered 1"/>
    <w:basedOn w:val="Normal"/>
    <w:link w:val="Numbered1Char"/>
    <w:qFormat/>
    <w:rsid w:val="00BE301F"/>
    <w:pPr>
      <w:spacing w:after="200" w:line="276" w:lineRule="auto"/>
    </w:pPr>
    <w:rPr>
      <w:rFonts w:asciiTheme="minorHAnsi" w:hAnsiTheme="minorHAnsi"/>
      <w:sz w:val="24"/>
      <w:szCs w:val="24"/>
    </w:rPr>
  </w:style>
  <w:style w:type="paragraph" w:customStyle="1" w:styleId="Footnote">
    <w:name w:val="Footnote"/>
    <w:basedOn w:val="FootnoteText"/>
    <w:link w:val="FootnoteChar"/>
    <w:qFormat/>
    <w:rsid w:val="002634B1"/>
    <w:pPr>
      <w:tabs>
        <w:tab w:val="left" w:pos="720"/>
        <w:tab w:val="left" w:pos="1077"/>
      </w:tabs>
      <w:spacing w:before="0" w:after="0"/>
      <w:ind w:left="720" w:hanging="720"/>
    </w:pPr>
    <w:rPr>
      <w:rFonts w:ascii="Times New Roman" w:eastAsia="MS Mincho" w:hAnsi="Times New Roman" w:cstheme="minorBidi"/>
      <w:sz w:val="20"/>
      <w:lang w:eastAsia="en-US"/>
    </w:rPr>
  </w:style>
  <w:style w:type="character" w:customStyle="1" w:styleId="FootnoteChar">
    <w:name w:val="Footnote Char"/>
    <w:basedOn w:val="FootnoteTextChar"/>
    <w:link w:val="Footnote"/>
    <w:rsid w:val="002634B1"/>
    <w:rPr>
      <w:rFonts w:ascii="Times New Roman" w:eastAsia="MS Mincho" w:hAnsi="Times New Roman" w:cstheme="minorBidi"/>
      <w:sz w:val="20"/>
      <w:szCs w:val="20"/>
      <w:lang w:eastAsia="en-US"/>
    </w:rPr>
  </w:style>
  <w:style w:type="paragraph" w:customStyle="1" w:styleId="AppendixLevel1">
    <w:name w:val="Appendix Level 1"/>
    <w:basedOn w:val="Heading1"/>
    <w:next w:val="Normal"/>
    <w:rsid w:val="007D7FFC"/>
    <w:pPr>
      <w:pageBreakBefore/>
      <w:numPr>
        <w:numId w:val="13"/>
      </w:numPr>
      <w:tabs>
        <w:tab w:val="num" w:pos="360"/>
      </w:tabs>
      <w:spacing w:before="240" w:line="256" w:lineRule="auto"/>
      <w:ind w:left="0" w:right="1134" w:firstLine="0"/>
    </w:pPr>
    <w:rPr>
      <w:rFonts w:ascii="Franklin Gothic Demi Cond" w:eastAsiaTheme="majorEastAsia" w:hAnsi="Franklin Gothic Demi Cond"/>
      <w:b w:val="0"/>
      <w:bCs w:val="0"/>
      <w:color w:val="1C376B"/>
      <w:lang w:eastAsia="en-US"/>
    </w:rPr>
  </w:style>
  <w:style w:type="paragraph" w:customStyle="1" w:styleId="AppendixLevel2">
    <w:name w:val="Appendix Level 2"/>
    <w:basedOn w:val="Heading1"/>
    <w:next w:val="Normal"/>
    <w:rsid w:val="007D7FFC"/>
    <w:pPr>
      <w:numPr>
        <w:ilvl w:val="1"/>
        <w:numId w:val="13"/>
      </w:numPr>
      <w:tabs>
        <w:tab w:val="num" w:pos="360"/>
      </w:tabs>
      <w:spacing w:before="240" w:line="256" w:lineRule="auto"/>
      <w:ind w:left="0" w:firstLine="0"/>
    </w:pPr>
    <w:rPr>
      <w:rFonts w:ascii="Franklin Gothic Demi Cond" w:eastAsiaTheme="majorEastAsia" w:hAnsi="Franklin Gothic Demi Cond"/>
      <w:b w:val="0"/>
      <w:bCs w:val="0"/>
      <w:color w:val="1C376B"/>
      <w:lang w:eastAsia="en-US"/>
    </w:rPr>
  </w:style>
  <w:style w:type="paragraph" w:customStyle="1" w:styleId="AppendixLevel3">
    <w:name w:val="Appendix Level 3"/>
    <w:basedOn w:val="AppendixLevel2"/>
    <w:next w:val="Normal"/>
    <w:qFormat/>
    <w:rsid w:val="007D7FFC"/>
    <w:pPr>
      <w:numPr>
        <w:ilvl w:val="2"/>
      </w:numPr>
      <w:tabs>
        <w:tab w:val="num" w:pos="360"/>
      </w:tabs>
    </w:pPr>
  </w:style>
  <w:style w:type="character" w:customStyle="1" w:styleId="Mention2">
    <w:name w:val="Mention2"/>
    <w:basedOn w:val="DefaultParagraphFont"/>
    <w:uiPriority w:val="99"/>
    <w:semiHidden/>
    <w:unhideWhenUsed/>
    <w:rsid w:val="00C76364"/>
    <w:rPr>
      <w:color w:val="2B579A"/>
      <w:shd w:val="clear" w:color="auto" w:fill="E6E6E6"/>
    </w:rPr>
  </w:style>
  <w:style w:type="paragraph" w:customStyle="1" w:styleId="Pa4">
    <w:name w:val="Pa4"/>
    <w:basedOn w:val="Default"/>
    <w:next w:val="Default"/>
    <w:uiPriority w:val="99"/>
    <w:rsid w:val="006B1D5E"/>
    <w:pPr>
      <w:spacing w:line="161" w:lineRule="atLeast"/>
    </w:pPr>
    <w:rPr>
      <w:rFonts w:ascii="Myriad Pro" w:eastAsia="Times New Roman" w:hAnsi="Myriad Pro" w:cs="Times New Roman"/>
      <w:color w:val="auto"/>
    </w:rPr>
  </w:style>
  <w:style w:type="character" w:customStyle="1" w:styleId="Mention3">
    <w:name w:val="Mention3"/>
    <w:basedOn w:val="DefaultParagraphFont"/>
    <w:uiPriority w:val="99"/>
    <w:semiHidden/>
    <w:unhideWhenUsed/>
    <w:rsid w:val="00581557"/>
    <w:rPr>
      <w:color w:val="2B579A"/>
      <w:shd w:val="clear" w:color="auto" w:fill="E6E6E6"/>
    </w:rPr>
  </w:style>
  <w:style w:type="table" w:customStyle="1" w:styleId="AxiomAgendaMinutes">
    <w:name w:val="Axiom Agenda/Minutes"/>
    <w:basedOn w:val="TableNormal"/>
    <w:uiPriority w:val="99"/>
    <w:rsid w:val="00906A08"/>
    <w:pPr>
      <w:spacing w:line="240" w:lineRule="auto"/>
    </w:pPr>
    <w:tblPr>
      <w:tblBorders>
        <w:top w:val="single" w:sz="4" w:space="0" w:color="auto"/>
        <w:bottom w:val="single" w:sz="4" w:space="0" w:color="auto"/>
        <w:insideV w:val="single" w:sz="4" w:space="0" w:color="auto"/>
      </w:tblBorders>
      <w:tblCellMar>
        <w:top w:w="57" w:type="dxa"/>
        <w:left w:w="45" w:type="dxa"/>
        <w:bottom w:w="57" w:type="dxa"/>
        <w:right w:w="45" w:type="dxa"/>
      </w:tblCellMar>
    </w:tblPr>
    <w:tblStylePr w:type="firstRow">
      <w:tblPr/>
      <w:trPr>
        <w:cantSplit/>
        <w:tblHeader/>
      </w:trPr>
      <w:tcPr>
        <w:tcBorders>
          <w:top w:val="single" w:sz="4" w:space="0" w:color="auto"/>
          <w:left w:val="nil"/>
          <w:bottom w:val="single" w:sz="4" w:space="0" w:color="auto"/>
          <w:right w:val="nil"/>
          <w:insideH w:val="nil"/>
          <w:insideV w:val="single" w:sz="4" w:space="0" w:color="auto"/>
          <w:tl2br w:val="nil"/>
          <w:tr2bl w:val="nil"/>
        </w:tcBorders>
      </w:tcPr>
    </w:tblStylePr>
  </w:style>
  <w:style w:type="paragraph" w:customStyle="1" w:styleId="Bullet1a">
    <w:name w:val="Bullet 1a"/>
    <w:basedOn w:val="ListBullet"/>
    <w:link w:val="Bullet1aChar"/>
    <w:qFormat/>
    <w:rsid w:val="00A82787"/>
    <w:pPr>
      <w:numPr>
        <w:numId w:val="0"/>
      </w:numPr>
      <w:ind w:left="2268" w:hanging="2268"/>
    </w:pPr>
    <w:rPr>
      <w:rFonts w:cs="Arial"/>
    </w:rPr>
  </w:style>
  <w:style w:type="character" w:customStyle="1" w:styleId="Bullet1aChar">
    <w:name w:val="Bullet 1a Char"/>
    <w:basedOn w:val="ListBulletChar"/>
    <w:link w:val="Bullet1a"/>
    <w:rsid w:val="00A82787"/>
    <w:rPr>
      <w:rFonts w:ascii="Arial" w:hAnsi="Arial" w:cs="Arial"/>
    </w:rPr>
  </w:style>
  <w:style w:type="paragraph" w:customStyle="1" w:styleId="Bullet2a0">
    <w:name w:val="Bullet 2a"/>
    <w:basedOn w:val="ListBullet2"/>
    <w:link w:val="Bullet2aChar0"/>
    <w:qFormat/>
    <w:rsid w:val="009E1889"/>
    <w:pPr>
      <w:numPr>
        <w:numId w:val="0"/>
      </w:numPr>
      <w:ind w:left="851" w:hanging="851"/>
    </w:pPr>
    <w:rPr>
      <w:rFonts w:cs="Arial"/>
    </w:rPr>
  </w:style>
  <w:style w:type="character" w:customStyle="1" w:styleId="Bullet2aChar0">
    <w:name w:val="Bullet 2a Char"/>
    <w:basedOn w:val="DefaultParagraphFont"/>
    <w:link w:val="Bullet2a0"/>
    <w:rsid w:val="009E1889"/>
    <w:rPr>
      <w:rFonts w:ascii="Arial" w:hAnsi="Arial" w:cs="Arial"/>
    </w:rPr>
  </w:style>
  <w:style w:type="character" w:customStyle="1" w:styleId="UnresolvedMention1">
    <w:name w:val="Unresolved Mention1"/>
    <w:basedOn w:val="DefaultParagraphFont"/>
    <w:uiPriority w:val="99"/>
    <w:semiHidden/>
    <w:unhideWhenUsed/>
    <w:rsid w:val="00616B0F"/>
    <w:rPr>
      <w:color w:val="808080"/>
      <w:shd w:val="clear" w:color="auto" w:fill="E6E6E6"/>
    </w:rPr>
  </w:style>
  <w:style w:type="paragraph" w:customStyle="1" w:styleId="AERbulletlistfirststyle">
    <w:name w:val="AER bullet list (first style)"/>
    <w:basedOn w:val="ListBullet"/>
    <w:uiPriority w:val="99"/>
    <w:qFormat/>
    <w:rsid w:val="00D128A9"/>
    <w:pPr>
      <w:numPr>
        <w:numId w:val="15"/>
      </w:numPr>
      <w:tabs>
        <w:tab w:val="left" w:pos="340"/>
      </w:tabs>
      <w:spacing w:after="0" w:line="276" w:lineRule="auto"/>
      <w:ind w:left="357" w:hanging="357"/>
    </w:pPr>
    <w:rPr>
      <w:rFonts w:eastAsiaTheme="minorHAnsi"/>
      <w:lang w:eastAsia="en-US"/>
    </w:rPr>
  </w:style>
  <w:style w:type="character" w:customStyle="1" w:styleId="None">
    <w:name w:val="None"/>
    <w:rsid w:val="00BB42E0"/>
  </w:style>
  <w:style w:type="paragraph" w:customStyle="1" w:styleId="Bullet2b0">
    <w:name w:val="Bullet 2b"/>
    <w:basedOn w:val="ListBullet2"/>
    <w:link w:val="Bullet2bChar0"/>
    <w:qFormat/>
    <w:rsid w:val="00B13F44"/>
    <w:pPr>
      <w:spacing w:line="240" w:lineRule="auto"/>
    </w:pPr>
    <w:rPr>
      <w:rFonts w:eastAsiaTheme="majorEastAsia"/>
      <w:sz w:val="21"/>
      <w:szCs w:val="21"/>
    </w:rPr>
  </w:style>
  <w:style w:type="character" w:customStyle="1" w:styleId="Bullet2bChar0">
    <w:name w:val="Bullet 2b Char"/>
    <w:basedOn w:val="ListBullet2Char"/>
    <w:link w:val="Bullet2b0"/>
    <w:rsid w:val="00B13F44"/>
    <w:rPr>
      <w:rFonts w:ascii="Arial" w:eastAsiaTheme="majorEastAsia" w:hAnsi="Arial"/>
      <w:sz w:val="21"/>
      <w:szCs w:val="21"/>
    </w:rPr>
  </w:style>
  <w:style w:type="paragraph" w:customStyle="1" w:styleId="Footnotes">
    <w:name w:val="Footnotes"/>
    <w:basedOn w:val="Normal"/>
    <w:rsid w:val="00C34E9D"/>
    <w:pPr>
      <w:tabs>
        <w:tab w:val="num" w:pos="425"/>
      </w:tabs>
      <w:spacing w:before="180" w:after="180" w:line="240" w:lineRule="auto"/>
      <w:ind w:left="425" w:hanging="425"/>
      <w:contextualSpacing/>
    </w:pPr>
    <w:rPr>
      <w:rFonts w:cs="Arial"/>
      <w:sz w:val="18"/>
      <w:szCs w:val="20"/>
    </w:rPr>
  </w:style>
  <w:style w:type="paragraph" w:styleId="TOC5">
    <w:name w:val="toc 5"/>
    <w:basedOn w:val="Normal"/>
    <w:next w:val="Normal"/>
    <w:autoRedefine/>
    <w:semiHidden/>
    <w:unhideWhenUsed/>
    <w:rsid w:val="00C34E9D"/>
    <w:pPr>
      <w:tabs>
        <w:tab w:val="right" w:leader="dot" w:pos="9015"/>
      </w:tabs>
      <w:spacing w:before="120" w:after="80"/>
    </w:pPr>
    <w:rPr>
      <w:rFonts w:asciiTheme="minorHAnsi" w:hAnsiTheme="minorHAnsi"/>
    </w:rPr>
  </w:style>
  <w:style w:type="paragraph" w:styleId="NoteHeading">
    <w:name w:val="Note Heading"/>
    <w:basedOn w:val="Normal"/>
    <w:next w:val="Normal"/>
    <w:link w:val="NoteHeadingChar"/>
    <w:semiHidden/>
    <w:unhideWhenUsed/>
    <w:rsid w:val="00C34E9D"/>
    <w:pPr>
      <w:spacing w:line="240" w:lineRule="auto"/>
    </w:pPr>
    <w:rPr>
      <w:rFonts w:asciiTheme="minorHAnsi" w:hAnsiTheme="minorHAnsi"/>
    </w:rPr>
  </w:style>
  <w:style w:type="character" w:customStyle="1" w:styleId="NoteHeadingChar">
    <w:name w:val="Note Heading Char"/>
    <w:basedOn w:val="DefaultParagraphFont"/>
    <w:link w:val="NoteHeading"/>
    <w:semiHidden/>
    <w:rsid w:val="00C34E9D"/>
  </w:style>
  <w:style w:type="paragraph" w:styleId="DocumentMap">
    <w:name w:val="Document Map"/>
    <w:basedOn w:val="Normal"/>
    <w:link w:val="DocumentMapChar"/>
    <w:uiPriority w:val="39"/>
    <w:semiHidden/>
    <w:unhideWhenUsed/>
    <w:rsid w:val="00C34E9D"/>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39"/>
    <w:semiHidden/>
    <w:rsid w:val="00C34E9D"/>
    <w:rPr>
      <w:rFonts w:ascii="Segoe UI" w:hAnsi="Segoe UI" w:cs="Segoe UI"/>
      <w:sz w:val="16"/>
      <w:szCs w:val="16"/>
    </w:rPr>
  </w:style>
  <w:style w:type="paragraph" w:styleId="BodyText3">
    <w:name w:val="Body Text 3"/>
    <w:basedOn w:val="Normal"/>
    <w:link w:val="BodyText3Char"/>
    <w:semiHidden/>
    <w:unhideWhenUsed/>
    <w:rsid w:val="00732ECD"/>
    <w:pPr>
      <w:spacing w:after="120"/>
    </w:pPr>
    <w:rPr>
      <w:sz w:val="16"/>
      <w:szCs w:val="16"/>
    </w:rPr>
  </w:style>
  <w:style w:type="character" w:customStyle="1" w:styleId="BodyText3Char">
    <w:name w:val="Body Text 3 Char"/>
    <w:basedOn w:val="DefaultParagraphFont"/>
    <w:link w:val="BodyText3"/>
    <w:semiHidden/>
    <w:rsid w:val="00732ECD"/>
    <w:rPr>
      <w:rFonts w:ascii="Arial" w:hAnsi="Arial"/>
      <w:sz w:val="16"/>
      <w:szCs w:val="16"/>
    </w:rPr>
  </w:style>
  <w:style w:type="table" w:styleId="DarkList-Accent1">
    <w:name w:val="Dark List Accent 1"/>
    <w:basedOn w:val="TableNormal"/>
    <w:uiPriority w:val="70"/>
    <w:rsid w:val="004154A3"/>
    <w:pPr>
      <w:spacing w:line="240" w:lineRule="auto"/>
    </w:pPr>
    <w:rPr>
      <w:rFonts w:ascii="Times New Roman" w:hAnsi="Times New Roman"/>
      <w:color w:val="FFFFFF" w:themeColor="background1"/>
      <w:sz w:val="20"/>
      <w:szCs w:val="20"/>
      <w:lang w:val="en-US" w:eastAsia="zh-CN"/>
    </w:rPr>
    <w:tblPr>
      <w:tblStyleRowBandSize w:val="1"/>
      <w:tblStyleColBandSize w:val="1"/>
    </w:tblPr>
    <w:tcPr>
      <w:shd w:val="clear" w:color="auto" w:fill="214C9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0254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18386B"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18386B" w:themeFill="accent1" w:themeFillShade="BF"/>
      </w:tcPr>
    </w:tblStylePr>
    <w:tblStylePr w:type="band1Vert">
      <w:tblPr/>
      <w:tcPr>
        <w:tcBorders>
          <w:top w:val="nil"/>
          <w:left w:val="nil"/>
          <w:bottom w:val="nil"/>
          <w:right w:val="nil"/>
          <w:insideH w:val="nil"/>
          <w:insideV w:val="nil"/>
        </w:tcBorders>
        <w:shd w:val="clear" w:color="auto" w:fill="18386B" w:themeFill="accent1" w:themeFillShade="BF"/>
      </w:tcPr>
    </w:tblStylePr>
    <w:tblStylePr w:type="band1Horz">
      <w:tblPr/>
      <w:tcPr>
        <w:tcBorders>
          <w:top w:val="nil"/>
          <w:left w:val="nil"/>
          <w:bottom w:val="nil"/>
          <w:right w:val="nil"/>
          <w:insideH w:val="nil"/>
          <w:insideV w:val="nil"/>
        </w:tcBorders>
        <w:shd w:val="clear" w:color="auto" w:fill="18386B" w:themeFill="accent1" w:themeFillShade="BF"/>
      </w:tcPr>
    </w:tblStylePr>
  </w:style>
  <w:style w:type="table" w:customStyle="1" w:styleId="NERATable">
    <w:name w:val="NERA Table"/>
    <w:basedOn w:val="TableNormal"/>
    <w:uiPriority w:val="99"/>
    <w:rsid w:val="004154A3"/>
    <w:pPr>
      <w:spacing w:line="240" w:lineRule="auto"/>
    </w:pPr>
    <w:rPr>
      <w:rFonts w:ascii="Times New Roman" w:eastAsia="MS Mincho" w:hAnsi="Times New Roman"/>
      <w:sz w:val="20"/>
      <w:szCs w:val="20"/>
      <w:lang w:val="en-US" w:eastAsia="zh-CN"/>
    </w:rPr>
    <w:tblPr>
      <w:jc w:val="center"/>
    </w:tblPr>
    <w:trPr>
      <w:jc w:val="center"/>
    </w:trPr>
    <w:tblStylePr w:type="firstRow">
      <w:pPr>
        <w:wordWrap/>
        <w:spacing w:afterLines="0" w:after="60" w:afterAutospacing="0"/>
      </w:pPr>
      <w:rPr>
        <w:b/>
      </w:rPr>
      <w:tblPr/>
      <w:tcPr>
        <w:tcBorders>
          <w:bottom w:val="single" w:sz="4" w:space="0" w:color="auto"/>
        </w:tcBorders>
      </w:tcPr>
    </w:tblStylePr>
    <w:tblStylePr w:type="lastRow">
      <w:tblPr/>
      <w:tcPr>
        <w:tcBorders>
          <w:bottom w:val="single" w:sz="4" w:space="0" w:color="auto"/>
        </w:tcBorders>
      </w:tcPr>
    </w:tblStylePr>
    <w:tblStylePr w:type="firstCol">
      <w:rPr>
        <w:b w:val="0"/>
      </w:rPr>
      <w:tblPr/>
      <w:tcPr>
        <w:tcBorders>
          <w:top w:val="nil"/>
          <w:left w:val="nil"/>
          <w:bottom w:val="nil"/>
          <w:right w:val="nil"/>
          <w:insideH w:val="nil"/>
          <w:insideV w:val="nil"/>
          <w:tl2br w:val="nil"/>
          <w:tr2bl w:val="nil"/>
        </w:tcBorders>
      </w:tcPr>
    </w:tblStylePr>
  </w:style>
  <w:style w:type="paragraph" w:customStyle="1" w:styleId="Exhibit">
    <w:name w:val="Exhibit"/>
    <w:basedOn w:val="Normal"/>
    <w:next w:val="Normal"/>
    <w:qFormat/>
    <w:rsid w:val="00A94C5D"/>
    <w:pPr>
      <w:keepLines/>
      <w:numPr>
        <w:numId w:val="16"/>
      </w:numPr>
      <w:spacing w:after="260" w:line="240" w:lineRule="auto"/>
    </w:pPr>
    <w:rPr>
      <w:rFonts w:asciiTheme="minorHAnsi" w:eastAsiaTheme="minorEastAsia" w:hAnsiTheme="minorHAnsi" w:cstheme="minorBidi"/>
      <w:i/>
      <w:sz w:val="24"/>
      <w:szCs w:val="24"/>
      <w:lang w:val="en-GB" w:eastAsia="ja-JP"/>
    </w:rPr>
  </w:style>
  <w:style w:type="numbering" w:customStyle="1" w:styleId="HeadingsList">
    <w:name w:val="Headings List"/>
    <w:uiPriority w:val="99"/>
    <w:rsid w:val="00735C04"/>
    <w:pPr>
      <w:numPr>
        <w:numId w:val="17"/>
      </w:numPr>
    </w:pPr>
  </w:style>
  <w:style w:type="character" w:customStyle="1" w:styleId="UnresolvedMention2">
    <w:name w:val="Unresolved Mention2"/>
    <w:basedOn w:val="DefaultParagraphFont"/>
    <w:uiPriority w:val="99"/>
    <w:semiHidden/>
    <w:unhideWhenUsed/>
    <w:rsid w:val="008F3C8D"/>
    <w:rPr>
      <w:color w:val="808080"/>
      <w:shd w:val="clear" w:color="auto" w:fill="E6E6E6"/>
    </w:rPr>
  </w:style>
  <w:style w:type="paragraph" w:customStyle="1" w:styleId="Bullet1">
    <w:name w:val="Bullet 1"/>
    <w:basedOn w:val="ListParagraph"/>
    <w:link w:val="Bullet1Char"/>
    <w:qFormat/>
    <w:rsid w:val="00525115"/>
    <w:pPr>
      <w:numPr>
        <w:numId w:val="18"/>
      </w:numPr>
      <w:spacing w:after="240" w:line="276" w:lineRule="auto"/>
      <w:contextualSpacing w:val="0"/>
      <w:jc w:val="both"/>
    </w:pPr>
    <w:rPr>
      <w:rFonts w:ascii="Times New Roman" w:eastAsia="MS Mincho" w:hAnsi="Times New Roman"/>
      <w:sz w:val="24"/>
      <w:szCs w:val="20"/>
      <w:lang w:val="en-GB" w:eastAsia="ja-JP"/>
    </w:rPr>
  </w:style>
  <w:style w:type="character" w:customStyle="1" w:styleId="Bullet1Char">
    <w:name w:val="Bullet 1 Char"/>
    <w:basedOn w:val="ListParagraphChar"/>
    <w:link w:val="Bullet1"/>
    <w:rsid w:val="00525115"/>
    <w:rPr>
      <w:rFonts w:ascii="Times New Roman" w:eastAsia="MS Mincho" w:hAnsi="Times New Roman"/>
      <w:sz w:val="24"/>
      <w:szCs w:val="20"/>
      <w:lang w:val="en-GB" w:eastAsia="ja-JP"/>
    </w:rPr>
  </w:style>
  <w:style w:type="character" w:customStyle="1" w:styleId="CaptionChar">
    <w:name w:val="Caption Char"/>
    <w:basedOn w:val="DefaultParagraphFont"/>
    <w:link w:val="Caption"/>
    <w:rsid w:val="00525115"/>
    <w:rPr>
      <w:rFonts w:ascii="Arial" w:eastAsiaTheme="minorHAnsi" w:hAnsi="Arial" w:cstheme="minorBidi"/>
      <w:b/>
      <w:bCs/>
      <w:lang w:eastAsia="fr-CA"/>
    </w:rPr>
  </w:style>
  <w:style w:type="paragraph" w:customStyle="1" w:styleId="ListBullets">
    <w:name w:val="List Bullets"/>
    <w:basedOn w:val="List"/>
    <w:link w:val="ListBulletsChar"/>
    <w:rsid w:val="00525115"/>
    <w:pPr>
      <w:widowControl w:val="0"/>
      <w:numPr>
        <w:numId w:val="19"/>
      </w:numPr>
      <w:autoSpaceDE w:val="0"/>
      <w:autoSpaceDN w:val="0"/>
      <w:adjustRightInd w:val="0"/>
      <w:spacing w:after="240" w:line="240" w:lineRule="auto"/>
      <w:contextualSpacing w:val="0"/>
      <w:textboxTightWrap w:val="allLines"/>
    </w:pPr>
    <w:rPr>
      <w:rFonts w:ascii="Times New Roman" w:hAnsi="Times New Roman"/>
      <w:sz w:val="24"/>
      <w:szCs w:val="24"/>
      <w:lang w:eastAsia="en-US"/>
    </w:rPr>
  </w:style>
  <w:style w:type="character" w:customStyle="1" w:styleId="ListBulletsChar">
    <w:name w:val="List Bullets Char"/>
    <w:basedOn w:val="DefaultParagraphFont"/>
    <w:link w:val="ListBullets"/>
    <w:rsid w:val="00525115"/>
    <w:rPr>
      <w:rFonts w:ascii="Times New Roman" w:hAnsi="Times New Roman"/>
      <w:sz w:val="24"/>
      <w:szCs w:val="24"/>
      <w:lang w:eastAsia="en-US"/>
    </w:rPr>
  </w:style>
  <w:style w:type="paragraph" w:styleId="List">
    <w:name w:val="List"/>
    <w:basedOn w:val="Normal"/>
    <w:semiHidden/>
    <w:unhideWhenUsed/>
    <w:rsid w:val="00525115"/>
    <w:pPr>
      <w:ind w:left="283" w:hanging="283"/>
      <w:contextualSpacing/>
    </w:pPr>
  </w:style>
  <w:style w:type="paragraph" w:customStyle="1" w:styleId="Indent2">
    <w:name w:val="Indent 2"/>
    <w:basedOn w:val="Normal"/>
    <w:uiPriority w:val="3"/>
    <w:qFormat/>
    <w:locked/>
    <w:rsid w:val="00025F54"/>
    <w:pPr>
      <w:spacing w:before="120" w:after="120" w:line="269" w:lineRule="auto"/>
      <w:ind w:left="1134"/>
      <w:jc w:val="both"/>
    </w:pPr>
    <w:rPr>
      <w:rFonts w:ascii="Times New Roman" w:hAnsi="Times New Roman"/>
      <w:sz w:val="24"/>
      <w:szCs w:val="20"/>
      <w:lang w:eastAsia="en-US"/>
    </w:rPr>
  </w:style>
  <w:style w:type="paragraph" w:customStyle="1" w:styleId="Definitionsubparagraph">
    <w:name w:val="Definition subparagraph"/>
    <w:basedOn w:val="Indent2"/>
    <w:qFormat/>
    <w:rsid w:val="00025F54"/>
    <w:pPr>
      <w:ind w:left="1701" w:hanging="567"/>
    </w:pPr>
  </w:style>
  <w:style w:type="paragraph" w:customStyle="1" w:styleId="Definitonindent1">
    <w:name w:val="Definiton indent (1)"/>
    <w:basedOn w:val="Indent2"/>
    <w:qFormat/>
    <w:rsid w:val="00025F54"/>
    <w:pPr>
      <w:ind w:left="1701" w:hanging="567"/>
    </w:pPr>
  </w:style>
  <w:style w:type="paragraph" w:customStyle="1" w:styleId="NoteHeading1">
    <w:name w:val="Note Heading1"/>
    <w:basedOn w:val="Indent2"/>
    <w:qFormat/>
    <w:rsid w:val="00036CDC"/>
    <w:pPr>
      <w:keepNext/>
    </w:pPr>
    <w:rPr>
      <w:rFonts w:ascii="Arial" w:hAnsi="Arial"/>
      <w:b/>
      <w:sz w:val="18"/>
    </w:rPr>
  </w:style>
  <w:style w:type="paragraph" w:customStyle="1" w:styleId="Definitionssubparagraph">
    <w:name w:val="Definitions sub paragraph"/>
    <w:basedOn w:val="Indent2"/>
    <w:qFormat/>
    <w:rsid w:val="00BB10A8"/>
    <w:pPr>
      <w:ind w:left="1701" w:hanging="567"/>
    </w:pPr>
  </w:style>
  <w:style w:type="paragraph" w:customStyle="1" w:styleId="Definitionindent2">
    <w:name w:val="Definition indent 2"/>
    <w:basedOn w:val="Definitionssubparagraph"/>
    <w:qFormat/>
    <w:rsid w:val="00BB10A8"/>
    <w:pPr>
      <w:ind w:left="2268"/>
    </w:pPr>
  </w:style>
  <w:style w:type="character" w:customStyle="1" w:styleId="EMR-Term-Local">
    <w:name w:val="EMR-Term-Local"/>
    <w:uiPriority w:val="99"/>
    <w:rsid w:val="00110FC0"/>
    <w:rPr>
      <w:b/>
      <w:bCs/>
      <w:w w:val="100"/>
    </w:rPr>
  </w:style>
  <w:style w:type="character" w:customStyle="1" w:styleId="UnresolvedMention3">
    <w:name w:val="Unresolved Mention3"/>
    <w:basedOn w:val="DefaultParagraphFont"/>
    <w:uiPriority w:val="99"/>
    <w:semiHidden/>
    <w:unhideWhenUsed/>
    <w:rsid w:val="00452066"/>
    <w:rPr>
      <w:color w:val="808080"/>
      <w:shd w:val="clear" w:color="auto" w:fill="E6E6E6"/>
    </w:rPr>
  </w:style>
  <w:style w:type="paragraph" w:customStyle="1" w:styleId="Indent3">
    <w:name w:val="Indent 3"/>
    <w:basedOn w:val="Normal"/>
    <w:uiPriority w:val="3"/>
    <w:qFormat/>
    <w:locked/>
    <w:rsid w:val="007174BC"/>
    <w:pPr>
      <w:spacing w:before="120" w:after="120" w:line="269" w:lineRule="auto"/>
      <w:ind w:left="1701"/>
      <w:jc w:val="both"/>
    </w:pPr>
    <w:rPr>
      <w:rFonts w:ascii="Times New Roman" w:hAnsi="Times New Roman"/>
      <w:sz w:val="24"/>
      <w:szCs w:val="20"/>
      <w:lang w:eastAsia="en-US"/>
    </w:rPr>
  </w:style>
  <w:style w:type="paragraph" w:customStyle="1" w:styleId="Noteexplain">
    <w:name w:val="Note explain"/>
    <w:basedOn w:val="Indent2"/>
    <w:qFormat/>
    <w:rsid w:val="00EE580F"/>
    <w:rPr>
      <w:sz w:val="20"/>
    </w:rPr>
  </w:style>
  <w:style w:type="character" w:customStyle="1" w:styleId="UnresolvedMention4">
    <w:name w:val="Unresolved Mention4"/>
    <w:basedOn w:val="DefaultParagraphFont"/>
    <w:uiPriority w:val="99"/>
    <w:semiHidden/>
    <w:unhideWhenUsed/>
    <w:rsid w:val="0055731F"/>
    <w:rPr>
      <w:color w:val="808080"/>
      <w:shd w:val="clear" w:color="auto" w:fill="E6E6E6"/>
    </w:rPr>
  </w:style>
  <w:style w:type="paragraph" w:customStyle="1" w:styleId="EMR-Explain-Para">
    <w:name w:val="EMR-Explain-Para"/>
    <w:basedOn w:val="Normal"/>
    <w:uiPriority w:val="99"/>
    <w:rsid w:val="00CF3C76"/>
    <w:pPr>
      <w:autoSpaceDE w:val="0"/>
      <w:autoSpaceDN w:val="0"/>
      <w:adjustRightInd w:val="0"/>
      <w:spacing w:before="120" w:after="120" w:line="240" w:lineRule="auto"/>
      <w:ind w:left="1134"/>
      <w:jc w:val="both"/>
    </w:pPr>
    <w:rPr>
      <w:rFonts w:ascii="Times New Roman" w:eastAsiaTheme="minorEastAsia" w:hAnsi="Times New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03572">
      <w:bodyDiv w:val="1"/>
      <w:marLeft w:val="0"/>
      <w:marRight w:val="0"/>
      <w:marTop w:val="0"/>
      <w:marBottom w:val="0"/>
      <w:divBdr>
        <w:top w:val="none" w:sz="0" w:space="0" w:color="auto"/>
        <w:left w:val="none" w:sz="0" w:space="0" w:color="auto"/>
        <w:bottom w:val="none" w:sz="0" w:space="0" w:color="auto"/>
        <w:right w:val="none" w:sz="0" w:space="0" w:color="auto"/>
      </w:divBdr>
      <w:divsChild>
        <w:div w:id="1574465123">
          <w:marLeft w:val="0"/>
          <w:marRight w:val="0"/>
          <w:marTop w:val="0"/>
          <w:marBottom w:val="0"/>
          <w:divBdr>
            <w:top w:val="none" w:sz="0" w:space="0" w:color="auto"/>
            <w:left w:val="none" w:sz="0" w:space="0" w:color="auto"/>
            <w:bottom w:val="none" w:sz="0" w:space="0" w:color="auto"/>
            <w:right w:val="none" w:sz="0" w:space="0" w:color="auto"/>
          </w:divBdr>
          <w:divsChild>
            <w:div w:id="144627051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56514405">
      <w:bodyDiv w:val="1"/>
      <w:marLeft w:val="0"/>
      <w:marRight w:val="0"/>
      <w:marTop w:val="0"/>
      <w:marBottom w:val="0"/>
      <w:divBdr>
        <w:top w:val="none" w:sz="0" w:space="0" w:color="auto"/>
        <w:left w:val="none" w:sz="0" w:space="0" w:color="auto"/>
        <w:bottom w:val="none" w:sz="0" w:space="0" w:color="auto"/>
        <w:right w:val="none" w:sz="0" w:space="0" w:color="auto"/>
      </w:divBdr>
    </w:div>
    <w:div w:id="82846156">
      <w:bodyDiv w:val="1"/>
      <w:marLeft w:val="0"/>
      <w:marRight w:val="0"/>
      <w:marTop w:val="0"/>
      <w:marBottom w:val="0"/>
      <w:divBdr>
        <w:top w:val="none" w:sz="0" w:space="0" w:color="auto"/>
        <w:left w:val="none" w:sz="0" w:space="0" w:color="auto"/>
        <w:bottom w:val="none" w:sz="0" w:space="0" w:color="auto"/>
        <w:right w:val="none" w:sz="0" w:space="0" w:color="auto"/>
      </w:divBdr>
    </w:div>
    <w:div w:id="91779223">
      <w:bodyDiv w:val="1"/>
      <w:marLeft w:val="0"/>
      <w:marRight w:val="0"/>
      <w:marTop w:val="0"/>
      <w:marBottom w:val="0"/>
      <w:divBdr>
        <w:top w:val="none" w:sz="0" w:space="0" w:color="auto"/>
        <w:left w:val="none" w:sz="0" w:space="0" w:color="auto"/>
        <w:bottom w:val="none" w:sz="0" w:space="0" w:color="auto"/>
        <w:right w:val="none" w:sz="0" w:space="0" w:color="auto"/>
      </w:divBdr>
      <w:divsChild>
        <w:div w:id="801384474">
          <w:marLeft w:val="547"/>
          <w:marRight w:val="0"/>
          <w:marTop w:val="120"/>
          <w:marBottom w:val="120"/>
          <w:divBdr>
            <w:top w:val="none" w:sz="0" w:space="0" w:color="auto"/>
            <w:left w:val="none" w:sz="0" w:space="0" w:color="auto"/>
            <w:bottom w:val="none" w:sz="0" w:space="0" w:color="auto"/>
            <w:right w:val="none" w:sz="0" w:space="0" w:color="auto"/>
          </w:divBdr>
        </w:div>
        <w:div w:id="888569436">
          <w:marLeft w:val="547"/>
          <w:marRight w:val="0"/>
          <w:marTop w:val="120"/>
          <w:marBottom w:val="120"/>
          <w:divBdr>
            <w:top w:val="none" w:sz="0" w:space="0" w:color="auto"/>
            <w:left w:val="none" w:sz="0" w:space="0" w:color="auto"/>
            <w:bottom w:val="none" w:sz="0" w:space="0" w:color="auto"/>
            <w:right w:val="none" w:sz="0" w:space="0" w:color="auto"/>
          </w:divBdr>
        </w:div>
      </w:divsChild>
    </w:div>
    <w:div w:id="108211038">
      <w:bodyDiv w:val="1"/>
      <w:marLeft w:val="0"/>
      <w:marRight w:val="0"/>
      <w:marTop w:val="0"/>
      <w:marBottom w:val="0"/>
      <w:divBdr>
        <w:top w:val="none" w:sz="0" w:space="0" w:color="auto"/>
        <w:left w:val="none" w:sz="0" w:space="0" w:color="auto"/>
        <w:bottom w:val="none" w:sz="0" w:space="0" w:color="auto"/>
        <w:right w:val="none" w:sz="0" w:space="0" w:color="auto"/>
      </w:divBdr>
    </w:div>
    <w:div w:id="108933404">
      <w:bodyDiv w:val="1"/>
      <w:marLeft w:val="0"/>
      <w:marRight w:val="0"/>
      <w:marTop w:val="0"/>
      <w:marBottom w:val="0"/>
      <w:divBdr>
        <w:top w:val="none" w:sz="0" w:space="0" w:color="auto"/>
        <w:left w:val="none" w:sz="0" w:space="0" w:color="auto"/>
        <w:bottom w:val="none" w:sz="0" w:space="0" w:color="auto"/>
        <w:right w:val="none" w:sz="0" w:space="0" w:color="auto"/>
      </w:divBdr>
    </w:div>
    <w:div w:id="128862405">
      <w:bodyDiv w:val="1"/>
      <w:marLeft w:val="0"/>
      <w:marRight w:val="0"/>
      <w:marTop w:val="0"/>
      <w:marBottom w:val="0"/>
      <w:divBdr>
        <w:top w:val="none" w:sz="0" w:space="0" w:color="auto"/>
        <w:left w:val="none" w:sz="0" w:space="0" w:color="auto"/>
        <w:bottom w:val="none" w:sz="0" w:space="0" w:color="auto"/>
        <w:right w:val="none" w:sz="0" w:space="0" w:color="auto"/>
      </w:divBdr>
    </w:div>
    <w:div w:id="149255328">
      <w:bodyDiv w:val="1"/>
      <w:marLeft w:val="0"/>
      <w:marRight w:val="0"/>
      <w:marTop w:val="0"/>
      <w:marBottom w:val="0"/>
      <w:divBdr>
        <w:top w:val="none" w:sz="0" w:space="0" w:color="auto"/>
        <w:left w:val="none" w:sz="0" w:space="0" w:color="auto"/>
        <w:bottom w:val="none" w:sz="0" w:space="0" w:color="auto"/>
        <w:right w:val="none" w:sz="0" w:space="0" w:color="auto"/>
      </w:divBdr>
    </w:div>
    <w:div w:id="171145230">
      <w:bodyDiv w:val="1"/>
      <w:marLeft w:val="0"/>
      <w:marRight w:val="0"/>
      <w:marTop w:val="0"/>
      <w:marBottom w:val="0"/>
      <w:divBdr>
        <w:top w:val="none" w:sz="0" w:space="0" w:color="auto"/>
        <w:left w:val="none" w:sz="0" w:space="0" w:color="auto"/>
        <w:bottom w:val="none" w:sz="0" w:space="0" w:color="auto"/>
        <w:right w:val="none" w:sz="0" w:space="0" w:color="auto"/>
      </w:divBdr>
    </w:div>
    <w:div w:id="188567540">
      <w:bodyDiv w:val="1"/>
      <w:marLeft w:val="0"/>
      <w:marRight w:val="0"/>
      <w:marTop w:val="0"/>
      <w:marBottom w:val="0"/>
      <w:divBdr>
        <w:top w:val="none" w:sz="0" w:space="0" w:color="auto"/>
        <w:left w:val="none" w:sz="0" w:space="0" w:color="auto"/>
        <w:bottom w:val="none" w:sz="0" w:space="0" w:color="auto"/>
        <w:right w:val="none" w:sz="0" w:space="0" w:color="auto"/>
      </w:divBdr>
    </w:div>
    <w:div w:id="217205931">
      <w:bodyDiv w:val="1"/>
      <w:marLeft w:val="0"/>
      <w:marRight w:val="0"/>
      <w:marTop w:val="0"/>
      <w:marBottom w:val="0"/>
      <w:divBdr>
        <w:top w:val="none" w:sz="0" w:space="0" w:color="auto"/>
        <w:left w:val="none" w:sz="0" w:space="0" w:color="auto"/>
        <w:bottom w:val="none" w:sz="0" w:space="0" w:color="auto"/>
        <w:right w:val="none" w:sz="0" w:space="0" w:color="auto"/>
      </w:divBdr>
    </w:div>
    <w:div w:id="245505233">
      <w:bodyDiv w:val="1"/>
      <w:marLeft w:val="0"/>
      <w:marRight w:val="0"/>
      <w:marTop w:val="0"/>
      <w:marBottom w:val="0"/>
      <w:divBdr>
        <w:top w:val="none" w:sz="0" w:space="0" w:color="auto"/>
        <w:left w:val="none" w:sz="0" w:space="0" w:color="auto"/>
        <w:bottom w:val="none" w:sz="0" w:space="0" w:color="auto"/>
        <w:right w:val="none" w:sz="0" w:space="0" w:color="auto"/>
      </w:divBdr>
    </w:div>
    <w:div w:id="252278018">
      <w:bodyDiv w:val="1"/>
      <w:marLeft w:val="0"/>
      <w:marRight w:val="0"/>
      <w:marTop w:val="0"/>
      <w:marBottom w:val="0"/>
      <w:divBdr>
        <w:top w:val="none" w:sz="0" w:space="0" w:color="auto"/>
        <w:left w:val="none" w:sz="0" w:space="0" w:color="auto"/>
        <w:bottom w:val="none" w:sz="0" w:space="0" w:color="auto"/>
        <w:right w:val="none" w:sz="0" w:space="0" w:color="auto"/>
      </w:divBdr>
      <w:divsChild>
        <w:div w:id="73209317">
          <w:marLeft w:val="446"/>
          <w:marRight w:val="0"/>
          <w:marTop w:val="200"/>
          <w:marBottom w:val="200"/>
          <w:divBdr>
            <w:top w:val="none" w:sz="0" w:space="0" w:color="auto"/>
            <w:left w:val="none" w:sz="0" w:space="0" w:color="auto"/>
            <w:bottom w:val="none" w:sz="0" w:space="0" w:color="auto"/>
            <w:right w:val="none" w:sz="0" w:space="0" w:color="auto"/>
          </w:divBdr>
        </w:div>
        <w:div w:id="411244741">
          <w:marLeft w:val="446"/>
          <w:marRight w:val="0"/>
          <w:marTop w:val="200"/>
          <w:marBottom w:val="200"/>
          <w:divBdr>
            <w:top w:val="none" w:sz="0" w:space="0" w:color="auto"/>
            <w:left w:val="none" w:sz="0" w:space="0" w:color="auto"/>
            <w:bottom w:val="none" w:sz="0" w:space="0" w:color="auto"/>
            <w:right w:val="none" w:sz="0" w:space="0" w:color="auto"/>
          </w:divBdr>
        </w:div>
      </w:divsChild>
    </w:div>
    <w:div w:id="254674782">
      <w:bodyDiv w:val="1"/>
      <w:marLeft w:val="0"/>
      <w:marRight w:val="0"/>
      <w:marTop w:val="0"/>
      <w:marBottom w:val="0"/>
      <w:divBdr>
        <w:top w:val="none" w:sz="0" w:space="0" w:color="auto"/>
        <w:left w:val="none" w:sz="0" w:space="0" w:color="auto"/>
        <w:bottom w:val="none" w:sz="0" w:space="0" w:color="auto"/>
        <w:right w:val="none" w:sz="0" w:space="0" w:color="auto"/>
      </w:divBdr>
    </w:div>
    <w:div w:id="263197748">
      <w:bodyDiv w:val="1"/>
      <w:marLeft w:val="0"/>
      <w:marRight w:val="0"/>
      <w:marTop w:val="0"/>
      <w:marBottom w:val="0"/>
      <w:divBdr>
        <w:top w:val="none" w:sz="0" w:space="0" w:color="auto"/>
        <w:left w:val="none" w:sz="0" w:space="0" w:color="auto"/>
        <w:bottom w:val="none" w:sz="0" w:space="0" w:color="auto"/>
        <w:right w:val="none" w:sz="0" w:space="0" w:color="auto"/>
      </w:divBdr>
    </w:div>
    <w:div w:id="263879027">
      <w:bodyDiv w:val="1"/>
      <w:marLeft w:val="0"/>
      <w:marRight w:val="0"/>
      <w:marTop w:val="0"/>
      <w:marBottom w:val="0"/>
      <w:divBdr>
        <w:top w:val="none" w:sz="0" w:space="0" w:color="auto"/>
        <w:left w:val="none" w:sz="0" w:space="0" w:color="auto"/>
        <w:bottom w:val="none" w:sz="0" w:space="0" w:color="auto"/>
        <w:right w:val="none" w:sz="0" w:space="0" w:color="auto"/>
      </w:divBdr>
    </w:div>
    <w:div w:id="288244801">
      <w:bodyDiv w:val="1"/>
      <w:marLeft w:val="0"/>
      <w:marRight w:val="0"/>
      <w:marTop w:val="0"/>
      <w:marBottom w:val="0"/>
      <w:divBdr>
        <w:top w:val="none" w:sz="0" w:space="0" w:color="auto"/>
        <w:left w:val="none" w:sz="0" w:space="0" w:color="auto"/>
        <w:bottom w:val="none" w:sz="0" w:space="0" w:color="auto"/>
        <w:right w:val="none" w:sz="0" w:space="0" w:color="auto"/>
      </w:divBdr>
      <w:divsChild>
        <w:div w:id="274605286">
          <w:marLeft w:val="446"/>
          <w:marRight w:val="0"/>
          <w:marTop w:val="180"/>
          <w:marBottom w:val="0"/>
          <w:divBdr>
            <w:top w:val="none" w:sz="0" w:space="0" w:color="auto"/>
            <w:left w:val="none" w:sz="0" w:space="0" w:color="auto"/>
            <w:bottom w:val="none" w:sz="0" w:space="0" w:color="auto"/>
            <w:right w:val="none" w:sz="0" w:space="0" w:color="auto"/>
          </w:divBdr>
        </w:div>
        <w:div w:id="850073378">
          <w:marLeft w:val="446"/>
          <w:marRight w:val="0"/>
          <w:marTop w:val="200"/>
          <w:marBottom w:val="0"/>
          <w:divBdr>
            <w:top w:val="none" w:sz="0" w:space="0" w:color="auto"/>
            <w:left w:val="none" w:sz="0" w:space="0" w:color="auto"/>
            <w:bottom w:val="none" w:sz="0" w:space="0" w:color="auto"/>
            <w:right w:val="none" w:sz="0" w:space="0" w:color="auto"/>
          </w:divBdr>
        </w:div>
        <w:div w:id="1120878842">
          <w:marLeft w:val="446"/>
          <w:marRight w:val="0"/>
          <w:marTop w:val="200"/>
          <w:marBottom w:val="0"/>
          <w:divBdr>
            <w:top w:val="none" w:sz="0" w:space="0" w:color="auto"/>
            <w:left w:val="none" w:sz="0" w:space="0" w:color="auto"/>
            <w:bottom w:val="none" w:sz="0" w:space="0" w:color="auto"/>
            <w:right w:val="none" w:sz="0" w:space="0" w:color="auto"/>
          </w:divBdr>
        </w:div>
        <w:div w:id="1251086855">
          <w:marLeft w:val="446"/>
          <w:marRight w:val="0"/>
          <w:marTop w:val="200"/>
          <w:marBottom w:val="0"/>
          <w:divBdr>
            <w:top w:val="none" w:sz="0" w:space="0" w:color="auto"/>
            <w:left w:val="none" w:sz="0" w:space="0" w:color="auto"/>
            <w:bottom w:val="none" w:sz="0" w:space="0" w:color="auto"/>
            <w:right w:val="none" w:sz="0" w:space="0" w:color="auto"/>
          </w:divBdr>
        </w:div>
        <w:div w:id="1352533981">
          <w:marLeft w:val="446"/>
          <w:marRight w:val="0"/>
          <w:marTop w:val="200"/>
          <w:marBottom w:val="200"/>
          <w:divBdr>
            <w:top w:val="none" w:sz="0" w:space="0" w:color="auto"/>
            <w:left w:val="none" w:sz="0" w:space="0" w:color="auto"/>
            <w:bottom w:val="none" w:sz="0" w:space="0" w:color="auto"/>
            <w:right w:val="none" w:sz="0" w:space="0" w:color="auto"/>
          </w:divBdr>
        </w:div>
        <w:div w:id="1967391334">
          <w:marLeft w:val="446"/>
          <w:marRight w:val="0"/>
          <w:marTop w:val="200"/>
          <w:marBottom w:val="0"/>
          <w:divBdr>
            <w:top w:val="none" w:sz="0" w:space="0" w:color="auto"/>
            <w:left w:val="none" w:sz="0" w:space="0" w:color="auto"/>
            <w:bottom w:val="none" w:sz="0" w:space="0" w:color="auto"/>
            <w:right w:val="none" w:sz="0" w:space="0" w:color="auto"/>
          </w:divBdr>
        </w:div>
      </w:divsChild>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11563272">
      <w:bodyDiv w:val="1"/>
      <w:marLeft w:val="0"/>
      <w:marRight w:val="0"/>
      <w:marTop w:val="0"/>
      <w:marBottom w:val="0"/>
      <w:divBdr>
        <w:top w:val="none" w:sz="0" w:space="0" w:color="auto"/>
        <w:left w:val="none" w:sz="0" w:space="0" w:color="auto"/>
        <w:bottom w:val="none" w:sz="0" w:space="0" w:color="auto"/>
        <w:right w:val="none" w:sz="0" w:space="0" w:color="auto"/>
      </w:divBdr>
    </w:div>
    <w:div w:id="316688687">
      <w:bodyDiv w:val="1"/>
      <w:marLeft w:val="0"/>
      <w:marRight w:val="0"/>
      <w:marTop w:val="0"/>
      <w:marBottom w:val="0"/>
      <w:divBdr>
        <w:top w:val="none" w:sz="0" w:space="0" w:color="auto"/>
        <w:left w:val="none" w:sz="0" w:space="0" w:color="auto"/>
        <w:bottom w:val="none" w:sz="0" w:space="0" w:color="auto"/>
        <w:right w:val="none" w:sz="0" w:space="0" w:color="auto"/>
      </w:divBdr>
    </w:div>
    <w:div w:id="321784575">
      <w:bodyDiv w:val="1"/>
      <w:marLeft w:val="0"/>
      <w:marRight w:val="0"/>
      <w:marTop w:val="0"/>
      <w:marBottom w:val="0"/>
      <w:divBdr>
        <w:top w:val="none" w:sz="0" w:space="0" w:color="auto"/>
        <w:left w:val="none" w:sz="0" w:space="0" w:color="auto"/>
        <w:bottom w:val="none" w:sz="0" w:space="0" w:color="auto"/>
        <w:right w:val="none" w:sz="0" w:space="0" w:color="auto"/>
      </w:divBdr>
      <w:divsChild>
        <w:div w:id="114712560">
          <w:marLeft w:val="446"/>
          <w:marRight w:val="0"/>
          <w:marTop w:val="200"/>
          <w:marBottom w:val="0"/>
          <w:divBdr>
            <w:top w:val="none" w:sz="0" w:space="0" w:color="auto"/>
            <w:left w:val="none" w:sz="0" w:space="0" w:color="auto"/>
            <w:bottom w:val="none" w:sz="0" w:space="0" w:color="auto"/>
            <w:right w:val="none" w:sz="0" w:space="0" w:color="auto"/>
          </w:divBdr>
        </w:div>
      </w:divsChild>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409888901">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31633048">
      <w:bodyDiv w:val="1"/>
      <w:marLeft w:val="0"/>
      <w:marRight w:val="0"/>
      <w:marTop w:val="0"/>
      <w:marBottom w:val="0"/>
      <w:divBdr>
        <w:top w:val="none" w:sz="0" w:space="0" w:color="auto"/>
        <w:left w:val="none" w:sz="0" w:space="0" w:color="auto"/>
        <w:bottom w:val="none" w:sz="0" w:space="0" w:color="auto"/>
        <w:right w:val="none" w:sz="0" w:space="0" w:color="auto"/>
      </w:divBdr>
    </w:div>
    <w:div w:id="432239340">
      <w:bodyDiv w:val="1"/>
      <w:marLeft w:val="0"/>
      <w:marRight w:val="0"/>
      <w:marTop w:val="0"/>
      <w:marBottom w:val="0"/>
      <w:divBdr>
        <w:top w:val="none" w:sz="0" w:space="0" w:color="auto"/>
        <w:left w:val="none" w:sz="0" w:space="0" w:color="auto"/>
        <w:bottom w:val="none" w:sz="0" w:space="0" w:color="auto"/>
        <w:right w:val="none" w:sz="0" w:space="0" w:color="auto"/>
      </w:divBdr>
      <w:divsChild>
        <w:div w:id="1491100996">
          <w:marLeft w:val="0"/>
          <w:marRight w:val="0"/>
          <w:marTop w:val="180"/>
          <w:marBottom w:val="180"/>
          <w:divBdr>
            <w:top w:val="none" w:sz="0" w:space="0" w:color="auto"/>
            <w:left w:val="none" w:sz="0" w:space="0" w:color="auto"/>
            <w:bottom w:val="none" w:sz="0" w:space="0" w:color="auto"/>
            <w:right w:val="none" w:sz="0" w:space="0" w:color="auto"/>
          </w:divBdr>
          <w:divsChild>
            <w:div w:id="696081580">
              <w:marLeft w:val="-225"/>
              <w:marRight w:val="-225"/>
              <w:marTop w:val="0"/>
              <w:marBottom w:val="0"/>
              <w:divBdr>
                <w:top w:val="none" w:sz="0" w:space="0" w:color="auto"/>
                <w:left w:val="none" w:sz="0" w:space="0" w:color="auto"/>
                <w:bottom w:val="none" w:sz="0" w:space="0" w:color="auto"/>
                <w:right w:val="none" w:sz="0" w:space="0" w:color="auto"/>
              </w:divBdr>
              <w:divsChild>
                <w:div w:id="1273434157">
                  <w:marLeft w:val="0"/>
                  <w:marRight w:val="0"/>
                  <w:marTop w:val="0"/>
                  <w:marBottom w:val="0"/>
                  <w:divBdr>
                    <w:top w:val="none" w:sz="0" w:space="0" w:color="auto"/>
                    <w:left w:val="none" w:sz="0" w:space="0" w:color="auto"/>
                    <w:bottom w:val="none" w:sz="0" w:space="0" w:color="auto"/>
                    <w:right w:val="none" w:sz="0" w:space="0" w:color="auto"/>
                  </w:divBdr>
                  <w:divsChild>
                    <w:div w:id="1661808245">
                      <w:marLeft w:val="-225"/>
                      <w:marRight w:val="-225"/>
                      <w:marTop w:val="0"/>
                      <w:marBottom w:val="0"/>
                      <w:divBdr>
                        <w:top w:val="none" w:sz="0" w:space="0" w:color="auto"/>
                        <w:left w:val="none" w:sz="0" w:space="0" w:color="auto"/>
                        <w:bottom w:val="none" w:sz="0" w:space="0" w:color="auto"/>
                        <w:right w:val="none" w:sz="0" w:space="0" w:color="auto"/>
                      </w:divBdr>
                      <w:divsChild>
                        <w:div w:id="2135518722">
                          <w:marLeft w:val="0"/>
                          <w:marRight w:val="0"/>
                          <w:marTop w:val="0"/>
                          <w:marBottom w:val="0"/>
                          <w:divBdr>
                            <w:top w:val="none" w:sz="0" w:space="0" w:color="auto"/>
                            <w:left w:val="none" w:sz="0" w:space="0" w:color="auto"/>
                            <w:bottom w:val="none" w:sz="0" w:space="0" w:color="auto"/>
                            <w:right w:val="none" w:sz="0" w:space="0" w:color="auto"/>
                          </w:divBdr>
                          <w:divsChild>
                            <w:div w:id="437801079">
                              <w:marLeft w:val="0"/>
                              <w:marRight w:val="0"/>
                              <w:marTop w:val="0"/>
                              <w:marBottom w:val="0"/>
                              <w:divBdr>
                                <w:top w:val="none" w:sz="0" w:space="0" w:color="auto"/>
                                <w:left w:val="none" w:sz="0" w:space="0" w:color="auto"/>
                                <w:bottom w:val="none" w:sz="0" w:space="0" w:color="auto"/>
                                <w:right w:val="none" w:sz="0" w:space="0" w:color="auto"/>
                              </w:divBdr>
                              <w:divsChild>
                                <w:div w:id="1834174159">
                                  <w:marLeft w:val="0"/>
                                  <w:marRight w:val="0"/>
                                  <w:marTop w:val="0"/>
                                  <w:marBottom w:val="0"/>
                                  <w:divBdr>
                                    <w:top w:val="none" w:sz="0" w:space="0" w:color="auto"/>
                                    <w:left w:val="none" w:sz="0" w:space="0" w:color="auto"/>
                                    <w:bottom w:val="none" w:sz="0" w:space="0" w:color="auto"/>
                                    <w:right w:val="none" w:sz="0" w:space="0" w:color="auto"/>
                                  </w:divBdr>
                                  <w:divsChild>
                                    <w:div w:id="1711106365">
                                      <w:marLeft w:val="0"/>
                                      <w:marRight w:val="0"/>
                                      <w:marTop w:val="0"/>
                                      <w:marBottom w:val="0"/>
                                      <w:divBdr>
                                        <w:top w:val="none" w:sz="0" w:space="0" w:color="auto"/>
                                        <w:left w:val="none" w:sz="0" w:space="0" w:color="auto"/>
                                        <w:bottom w:val="none" w:sz="0" w:space="0" w:color="auto"/>
                                        <w:right w:val="none" w:sz="0" w:space="0" w:color="auto"/>
                                      </w:divBdr>
                                      <w:divsChild>
                                        <w:div w:id="10599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178875">
      <w:bodyDiv w:val="1"/>
      <w:marLeft w:val="0"/>
      <w:marRight w:val="0"/>
      <w:marTop w:val="0"/>
      <w:marBottom w:val="0"/>
      <w:divBdr>
        <w:top w:val="none" w:sz="0" w:space="0" w:color="auto"/>
        <w:left w:val="none" w:sz="0" w:space="0" w:color="auto"/>
        <w:bottom w:val="none" w:sz="0" w:space="0" w:color="auto"/>
        <w:right w:val="none" w:sz="0" w:space="0" w:color="auto"/>
      </w:divBdr>
      <w:divsChild>
        <w:div w:id="3675361">
          <w:marLeft w:val="446"/>
          <w:marRight w:val="0"/>
          <w:marTop w:val="200"/>
          <w:marBottom w:val="0"/>
          <w:divBdr>
            <w:top w:val="none" w:sz="0" w:space="0" w:color="auto"/>
            <w:left w:val="none" w:sz="0" w:space="0" w:color="auto"/>
            <w:bottom w:val="none" w:sz="0" w:space="0" w:color="auto"/>
            <w:right w:val="none" w:sz="0" w:space="0" w:color="auto"/>
          </w:divBdr>
        </w:div>
        <w:div w:id="379324096">
          <w:marLeft w:val="446"/>
          <w:marRight w:val="0"/>
          <w:marTop w:val="200"/>
          <w:marBottom w:val="0"/>
          <w:divBdr>
            <w:top w:val="none" w:sz="0" w:space="0" w:color="auto"/>
            <w:left w:val="none" w:sz="0" w:space="0" w:color="auto"/>
            <w:bottom w:val="none" w:sz="0" w:space="0" w:color="auto"/>
            <w:right w:val="none" w:sz="0" w:space="0" w:color="auto"/>
          </w:divBdr>
        </w:div>
        <w:div w:id="973146200">
          <w:marLeft w:val="446"/>
          <w:marRight w:val="0"/>
          <w:marTop w:val="200"/>
          <w:marBottom w:val="0"/>
          <w:divBdr>
            <w:top w:val="none" w:sz="0" w:space="0" w:color="auto"/>
            <w:left w:val="none" w:sz="0" w:space="0" w:color="auto"/>
            <w:bottom w:val="none" w:sz="0" w:space="0" w:color="auto"/>
            <w:right w:val="none" w:sz="0" w:space="0" w:color="auto"/>
          </w:divBdr>
        </w:div>
        <w:div w:id="1171025289">
          <w:marLeft w:val="446"/>
          <w:marRight w:val="0"/>
          <w:marTop w:val="200"/>
          <w:marBottom w:val="0"/>
          <w:divBdr>
            <w:top w:val="none" w:sz="0" w:space="0" w:color="auto"/>
            <w:left w:val="none" w:sz="0" w:space="0" w:color="auto"/>
            <w:bottom w:val="none" w:sz="0" w:space="0" w:color="auto"/>
            <w:right w:val="none" w:sz="0" w:space="0" w:color="auto"/>
          </w:divBdr>
        </w:div>
        <w:div w:id="1745761871">
          <w:marLeft w:val="446"/>
          <w:marRight w:val="0"/>
          <w:marTop w:val="200"/>
          <w:marBottom w:val="0"/>
          <w:divBdr>
            <w:top w:val="none" w:sz="0" w:space="0" w:color="auto"/>
            <w:left w:val="none" w:sz="0" w:space="0" w:color="auto"/>
            <w:bottom w:val="none" w:sz="0" w:space="0" w:color="auto"/>
            <w:right w:val="none" w:sz="0" w:space="0" w:color="auto"/>
          </w:divBdr>
        </w:div>
      </w:divsChild>
    </w:div>
    <w:div w:id="435634065">
      <w:bodyDiv w:val="1"/>
      <w:marLeft w:val="0"/>
      <w:marRight w:val="0"/>
      <w:marTop w:val="0"/>
      <w:marBottom w:val="0"/>
      <w:divBdr>
        <w:top w:val="none" w:sz="0" w:space="0" w:color="auto"/>
        <w:left w:val="none" w:sz="0" w:space="0" w:color="auto"/>
        <w:bottom w:val="none" w:sz="0" w:space="0" w:color="auto"/>
        <w:right w:val="none" w:sz="0" w:space="0" w:color="auto"/>
      </w:divBdr>
    </w:div>
    <w:div w:id="496573682">
      <w:bodyDiv w:val="1"/>
      <w:marLeft w:val="0"/>
      <w:marRight w:val="0"/>
      <w:marTop w:val="0"/>
      <w:marBottom w:val="0"/>
      <w:divBdr>
        <w:top w:val="none" w:sz="0" w:space="0" w:color="auto"/>
        <w:left w:val="none" w:sz="0" w:space="0" w:color="auto"/>
        <w:bottom w:val="none" w:sz="0" w:space="0" w:color="auto"/>
        <w:right w:val="none" w:sz="0" w:space="0" w:color="auto"/>
      </w:divBdr>
    </w:div>
    <w:div w:id="504367595">
      <w:bodyDiv w:val="1"/>
      <w:marLeft w:val="0"/>
      <w:marRight w:val="0"/>
      <w:marTop w:val="0"/>
      <w:marBottom w:val="0"/>
      <w:divBdr>
        <w:top w:val="none" w:sz="0" w:space="0" w:color="auto"/>
        <w:left w:val="none" w:sz="0" w:space="0" w:color="auto"/>
        <w:bottom w:val="none" w:sz="0" w:space="0" w:color="auto"/>
        <w:right w:val="none" w:sz="0" w:space="0" w:color="auto"/>
      </w:divBdr>
    </w:div>
    <w:div w:id="508495325">
      <w:bodyDiv w:val="1"/>
      <w:marLeft w:val="0"/>
      <w:marRight w:val="0"/>
      <w:marTop w:val="0"/>
      <w:marBottom w:val="0"/>
      <w:divBdr>
        <w:top w:val="none" w:sz="0" w:space="0" w:color="auto"/>
        <w:left w:val="none" w:sz="0" w:space="0" w:color="auto"/>
        <w:bottom w:val="none" w:sz="0" w:space="0" w:color="auto"/>
        <w:right w:val="none" w:sz="0" w:space="0" w:color="auto"/>
      </w:divBdr>
      <w:divsChild>
        <w:div w:id="685523343">
          <w:marLeft w:val="274"/>
          <w:marRight w:val="0"/>
          <w:marTop w:val="40"/>
          <w:marBottom w:val="40"/>
          <w:divBdr>
            <w:top w:val="none" w:sz="0" w:space="0" w:color="auto"/>
            <w:left w:val="none" w:sz="0" w:space="0" w:color="auto"/>
            <w:bottom w:val="none" w:sz="0" w:space="0" w:color="auto"/>
            <w:right w:val="none" w:sz="0" w:space="0" w:color="auto"/>
          </w:divBdr>
        </w:div>
        <w:div w:id="1450858106">
          <w:marLeft w:val="274"/>
          <w:marRight w:val="0"/>
          <w:marTop w:val="40"/>
          <w:marBottom w:val="40"/>
          <w:divBdr>
            <w:top w:val="none" w:sz="0" w:space="0" w:color="auto"/>
            <w:left w:val="none" w:sz="0" w:space="0" w:color="auto"/>
            <w:bottom w:val="none" w:sz="0" w:space="0" w:color="auto"/>
            <w:right w:val="none" w:sz="0" w:space="0" w:color="auto"/>
          </w:divBdr>
        </w:div>
      </w:divsChild>
    </w:div>
    <w:div w:id="520901116">
      <w:bodyDiv w:val="1"/>
      <w:marLeft w:val="0"/>
      <w:marRight w:val="0"/>
      <w:marTop w:val="0"/>
      <w:marBottom w:val="0"/>
      <w:divBdr>
        <w:top w:val="none" w:sz="0" w:space="0" w:color="auto"/>
        <w:left w:val="none" w:sz="0" w:space="0" w:color="auto"/>
        <w:bottom w:val="none" w:sz="0" w:space="0" w:color="auto"/>
        <w:right w:val="none" w:sz="0" w:space="0" w:color="auto"/>
      </w:divBdr>
      <w:divsChild>
        <w:div w:id="22292488">
          <w:marLeft w:val="792"/>
          <w:marRight w:val="0"/>
          <w:marTop w:val="120"/>
          <w:marBottom w:val="120"/>
          <w:divBdr>
            <w:top w:val="none" w:sz="0" w:space="0" w:color="auto"/>
            <w:left w:val="none" w:sz="0" w:space="0" w:color="auto"/>
            <w:bottom w:val="none" w:sz="0" w:space="0" w:color="auto"/>
            <w:right w:val="none" w:sz="0" w:space="0" w:color="auto"/>
          </w:divBdr>
        </w:div>
        <w:div w:id="358700736">
          <w:marLeft w:val="792"/>
          <w:marRight w:val="0"/>
          <w:marTop w:val="120"/>
          <w:marBottom w:val="120"/>
          <w:divBdr>
            <w:top w:val="none" w:sz="0" w:space="0" w:color="auto"/>
            <w:left w:val="none" w:sz="0" w:space="0" w:color="auto"/>
            <w:bottom w:val="none" w:sz="0" w:space="0" w:color="auto"/>
            <w:right w:val="none" w:sz="0" w:space="0" w:color="auto"/>
          </w:divBdr>
        </w:div>
        <w:div w:id="898320837">
          <w:marLeft w:val="792"/>
          <w:marRight w:val="0"/>
          <w:marTop w:val="120"/>
          <w:marBottom w:val="120"/>
          <w:divBdr>
            <w:top w:val="none" w:sz="0" w:space="0" w:color="auto"/>
            <w:left w:val="none" w:sz="0" w:space="0" w:color="auto"/>
            <w:bottom w:val="none" w:sz="0" w:space="0" w:color="auto"/>
            <w:right w:val="none" w:sz="0" w:space="0" w:color="auto"/>
          </w:divBdr>
        </w:div>
        <w:div w:id="1075052971">
          <w:marLeft w:val="446"/>
          <w:marRight w:val="0"/>
          <w:marTop w:val="60"/>
          <w:marBottom w:val="120"/>
          <w:divBdr>
            <w:top w:val="none" w:sz="0" w:space="0" w:color="auto"/>
            <w:left w:val="none" w:sz="0" w:space="0" w:color="auto"/>
            <w:bottom w:val="none" w:sz="0" w:space="0" w:color="auto"/>
            <w:right w:val="none" w:sz="0" w:space="0" w:color="auto"/>
          </w:divBdr>
        </w:div>
      </w:divsChild>
    </w:div>
    <w:div w:id="523250720">
      <w:bodyDiv w:val="1"/>
      <w:marLeft w:val="0"/>
      <w:marRight w:val="0"/>
      <w:marTop w:val="0"/>
      <w:marBottom w:val="0"/>
      <w:divBdr>
        <w:top w:val="none" w:sz="0" w:space="0" w:color="auto"/>
        <w:left w:val="none" w:sz="0" w:space="0" w:color="auto"/>
        <w:bottom w:val="none" w:sz="0" w:space="0" w:color="auto"/>
        <w:right w:val="none" w:sz="0" w:space="0" w:color="auto"/>
      </w:divBdr>
    </w:div>
    <w:div w:id="526992760">
      <w:bodyDiv w:val="1"/>
      <w:marLeft w:val="0"/>
      <w:marRight w:val="0"/>
      <w:marTop w:val="0"/>
      <w:marBottom w:val="0"/>
      <w:divBdr>
        <w:top w:val="none" w:sz="0" w:space="0" w:color="auto"/>
        <w:left w:val="none" w:sz="0" w:space="0" w:color="auto"/>
        <w:bottom w:val="none" w:sz="0" w:space="0" w:color="auto"/>
        <w:right w:val="none" w:sz="0" w:space="0" w:color="auto"/>
      </w:divBdr>
    </w:div>
    <w:div w:id="539364512">
      <w:bodyDiv w:val="1"/>
      <w:marLeft w:val="0"/>
      <w:marRight w:val="0"/>
      <w:marTop w:val="0"/>
      <w:marBottom w:val="0"/>
      <w:divBdr>
        <w:top w:val="none" w:sz="0" w:space="0" w:color="auto"/>
        <w:left w:val="none" w:sz="0" w:space="0" w:color="auto"/>
        <w:bottom w:val="none" w:sz="0" w:space="0" w:color="auto"/>
        <w:right w:val="none" w:sz="0" w:space="0" w:color="auto"/>
      </w:divBdr>
      <w:divsChild>
        <w:div w:id="322315265">
          <w:marLeft w:val="547"/>
          <w:marRight w:val="0"/>
          <w:marTop w:val="180"/>
          <w:marBottom w:val="0"/>
          <w:divBdr>
            <w:top w:val="none" w:sz="0" w:space="0" w:color="auto"/>
            <w:left w:val="none" w:sz="0" w:space="0" w:color="auto"/>
            <w:bottom w:val="none" w:sz="0" w:space="0" w:color="auto"/>
            <w:right w:val="none" w:sz="0" w:space="0" w:color="auto"/>
          </w:divBdr>
        </w:div>
        <w:div w:id="1246694050">
          <w:marLeft w:val="547"/>
          <w:marRight w:val="0"/>
          <w:marTop w:val="180"/>
          <w:marBottom w:val="0"/>
          <w:divBdr>
            <w:top w:val="none" w:sz="0" w:space="0" w:color="auto"/>
            <w:left w:val="none" w:sz="0" w:space="0" w:color="auto"/>
            <w:bottom w:val="none" w:sz="0" w:space="0" w:color="auto"/>
            <w:right w:val="none" w:sz="0" w:space="0" w:color="auto"/>
          </w:divBdr>
        </w:div>
        <w:div w:id="1351029936">
          <w:marLeft w:val="547"/>
          <w:marRight w:val="0"/>
          <w:marTop w:val="180"/>
          <w:marBottom w:val="0"/>
          <w:divBdr>
            <w:top w:val="none" w:sz="0" w:space="0" w:color="auto"/>
            <w:left w:val="none" w:sz="0" w:space="0" w:color="auto"/>
            <w:bottom w:val="none" w:sz="0" w:space="0" w:color="auto"/>
            <w:right w:val="none" w:sz="0" w:space="0" w:color="auto"/>
          </w:divBdr>
        </w:div>
      </w:divsChild>
    </w:div>
    <w:div w:id="561791160">
      <w:bodyDiv w:val="1"/>
      <w:marLeft w:val="0"/>
      <w:marRight w:val="0"/>
      <w:marTop w:val="0"/>
      <w:marBottom w:val="0"/>
      <w:divBdr>
        <w:top w:val="none" w:sz="0" w:space="0" w:color="auto"/>
        <w:left w:val="none" w:sz="0" w:space="0" w:color="auto"/>
        <w:bottom w:val="none" w:sz="0" w:space="0" w:color="auto"/>
        <w:right w:val="none" w:sz="0" w:space="0" w:color="auto"/>
      </w:divBdr>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571768777">
      <w:bodyDiv w:val="1"/>
      <w:marLeft w:val="0"/>
      <w:marRight w:val="0"/>
      <w:marTop w:val="0"/>
      <w:marBottom w:val="0"/>
      <w:divBdr>
        <w:top w:val="none" w:sz="0" w:space="0" w:color="auto"/>
        <w:left w:val="none" w:sz="0" w:space="0" w:color="auto"/>
        <w:bottom w:val="none" w:sz="0" w:space="0" w:color="auto"/>
        <w:right w:val="none" w:sz="0" w:space="0" w:color="auto"/>
      </w:divBdr>
    </w:div>
    <w:div w:id="591358823">
      <w:bodyDiv w:val="1"/>
      <w:marLeft w:val="0"/>
      <w:marRight w:val="0"/>
      <w:marTop w:val="0"/>
      <w:marBottom w:val="0"/>
      <w:divBdr>
        <w:top w:val="none" w:sz="0" w:space="0" w:color="auto"/>
        <w:left w:val="none" w:sz="0" w:space="0" w:color="auto"/>
        <w:bottom w:val="none" w:sz="0" w:space="0" w:color="auto"/>
        <w:right w:val="none" w:sz="0" w:space="0" w:color="auto"/>
      </w:divBdr>
    </w:div>
    <w:div w:id="618150967">
      <w:bodyDiv w:val="1"/>
      <w:marLeft w:val="0"/>
      <w:marRight w:val="0"/>
      <w:marTop w:val="0"/>
      <w:marBottom w:val="0"/>
      <w:divBdr>
        <w:top w:val="none" w:sz="0" w:space="0" w:color="auto"/>
        <w:left w:val="none" w:sz="0" w:space="0" w:color="auto"/>
        <w:bottom w:val="none" w:sz="0" w:space="0" w:color="auto"/>
        <w:right w:val="none" w:sz="0" w:space="0" w:color="auto"/>
      </w:divBdr>
    </w:div>
    <w:div w:id="639698129">
      <w:bodyDiv w:val="1"/>
      <w:marLeft w:val="0"/>
      <w:marRight w:val="0"/>
      <w:marTop w:val="0"/>
      <w:marBottom w:val="0"/>
      <w:divBdr>
        <w:top w:val="none" w:sz="0" w:space="0" w:color="auto"/>
        <w:left w:val="none" w:sz="0" w:space="0" w:color="auto"/>
        <w:bottom w:val="none" w:sz="0" w:space="0" w:color="auto"/>
        <w:right w:val="none" w:sz="0" w:space="0" w:color="auto"/>
      </w:divBdr>
      <w:divsChild>
        <w:div w:id="536117246">
          <w:marLeft w:val="850"/>
          <w:marRight w:val="0"/>
          <w:marTop w:val="180"/>
          <w:marBottom w:val="0"/>
          <w:divBdr>
            <w:top w:val="none" w:sz="0" w:space="0" w:color="auto"/>
            <w:left w:val="none" w:sz="0" w:space="0" w:color="auto"/>
            <w:bottom w:val="none" w:sz="0" w:space="0" w:color="auto"/>
            <w:right w:val="none" w:sz="0" w:space="0" w:color="auto"/>
          </w:divBdr>
        </w:div>
        <w:div w:id="1407531565">
          <w:marLeft w:val="850"/>
          <w:marRight w:val="0"/>
          <w:marTop w:val="180"/>
          <w:marBottom w:val="0"/>
          <w:divBdr>
            <w:top w:val="none" w:sz="0" w:space="0" w:color="auto"/>
            <w:left w:val="none" w:sz="0" w:space="0" w:color="auto"/>
            <w:bottom w:val="none" w:sz="0" w:space="0" w:color="auto"/>
            <w:right w:val="none" w:sz="0" w:space="0" w:color="auto"/>
          </w:divBdr>
        </w:div>
        <w:div w:id="1531801222">
          <w:marLeft w:val="446"/>
          <w:marRight w:val="0"/>
          <w:marTop w:val="180"/>
          <w:marBottom w:val="0"/>
          <w:divBdr>
            <w:top w:val="none" w:sz="0" w:space="0" w:color="auto"/>
            <w:left w:val="none" w:sz="0" w:space="0" w:color="auto"/>
            <w:bottom w:val="none" w:sz="0" w:space="0" w:color="auto"/>
            <w:right w:val="none" w:sz="0" w:space="0" w:color="auto"/>
          </w:divBdr>
        </w:div>
        <w:div w:id="2083944437">
          <w:marLeft w:val="446"/>
          <w:marRight w:val="0"/>
          <w:marTop w:val="180"/>
          <w:marBottom w:val="0"/>
          <w:divBdr>
            <w:top w:val="none" w:sz="0" w:space="0" w:color="auto"/>
            <w:left w:val="none" w:sz="0" w:space="0" w:color="auto"/>
            <w:bottom w:val="none" w:sz="0" w:space="0" w:color="auto"/>
            <w:right w:val="none" w:sz="0" w:space="0" w:color="auto"/>
          </w:divBdr>
        </w:div>
      </w:divsChild>
    </w:div>
    <w:div w:id="640039007">
      <w:bodyDiv w:val="1"/>
      <w:marLeft w:val="0"/>
      <w:marRight w:val="0"/>
      <w:marTop w:val="0"/>
      <w:marBottom w:val="0"/>
      <w:divBdr>
        <w:top w:val="none" w:sz="0" w:space="0" w:color="auto"/>
        <w:left w:val="none" w:sz="0" w:space="0" w:color="auto"/>
        <w:bottom w:val="none" w:sz="0" w:space="0" w:color="auto"/>
        <w:right w:val="none" w:sz="0" w:space="0" w:color="auto"/>
      </w:divBdr>
      <w:divsChild>
        <w:div w:id="44180876">
          <w:marLeft w:val="446"/>
          <w:marRight w:val="0"/>
          <w:marTop w:val="120"/>
          <w:marBottom w:val="40"/>
          <w:divBdr>
            <w:top w:val="none" w:sz="0" w:space="0" w:color="auto"/>
            <w:left w:val="none" w:sz="0" w:space="0" w:color="auto"/>
            <w:bottom w:val="none" w:sz="0" w:space="0" w:color="auto"/>
            <w:right w:val="none" w:sz="0" w:space="0" w:color="auto"/>
          </w:divBdr>
        </w:div>
        <w:div w:id="327174997">
          <w:marLeft w:val="446"/>
          <w:marRight w:val="0"/>
          <w:marTop w:val="120"/>
          <w:marBottom w:val="40"/>
          <w:divBdr>
            <w:top w:val="none" w:sz="0" w:space="0" w:color="auto"/>
            <w:left w:val="none" w:sz="0" w:space="0" w:color="auto"/>
            <w:bottom w:val="none" w:sz="0" w:space="0" w:color="auto"/>
            <w:right w:val="none" w:sz="0" w:space="0" w:color="auto"/>
          </w:divBdr>
        </w:div>
        <w:div w:id="525757292">
          <w:marLeft w:val="446"/>
          <w:marRight w:val="0"/>
          <w:marTop w:val="120"/>
          <w:marBottom w:val="160"/>
          <w:divBdr>
            <w:top w:val="none" w:sz="0" w:space="0" w:color="auto"/>
            <w:left w:val="none" w:sz="0" w:space="0" w:color="auto"/>
            <w:bottom w:val="none" w:sz="0" w:space="0" w:color="auto"/>
            <w:right w:val="none" w:sz="0" w:space="0" w:color="auto"/>
          </w:divBdr>
        </w:div>
        <w:div w:id="595359874">
          <w:marLeft w:val="446"/>
          <w:marRight w:val="0"/>
          <w:marTop w:val="120"/>
          <w:marBottom w:val="40"/>
          <w:divBdr>
            <w:top w:val="none" w:sz="0" w:space="0" w:color="auto"/>
            <w:left w:val="none" w:sz="0" w:space="0" w:color="auto"/>
            <w:bottom w:val="none" w:sz="0" w:space="0" w:color="auto"/>
            <w:right w:val="none" w:sz="0" w:space="0" w:color="auto"/>
          </w:divBdr>
        </w:div>
        <w:div w:id="1364550895">
          <w:marLeft w:val="446"/>
          <w:marRight w:val="0"/>
          <w:marTop w:val="120"/>
          <w:marBottom w:val="40"/>
          <w:divBdr>
            <w:top w:val="none" w:sz="0" w:space="0" w:color="auto"/>
            <w:left w:val="none" w:sz="0" w:space="0" w:color="auto"/>
            <w:bottom w:val="none" w:sz="0" w:space="0" w:color="auto"/>
            <w:right w:val="none" w:sz="0" w:space="0" w:color="auto"/>
          </w:divBdr>
        </w:div>
      </w:divsChild>
    </w:div>
    <w:div w:id="646471961">
      <w:bodyDiv w:val="1"/>
      <w:marLeft w:val="0"/>
      <w:marRight w:val="0"/>
      <w:marTop w:val="0"/>
      <w:marBottom w:val="0"/>
      <w:divBdr>
        <w:top w:val="none" w:sz="0" w:space="0" w:color="auto"/>
        <w:left w:val="none" w:sz="0" w:space="0" w:color="auto"/>
        <w:bottom w:val="none" w:sz="0" w:space="0" w:color="auto"/>
        <w:right w:val="none" w:sz="0" w:space="0" w:color="auto"/>
      </w:divBdr>
    </w:div>
    <w:div w:id="678508385">
      <w:bodyDiv w:val="1"/>
      <w:marLeft w:val="0"/>
      <w:marRight w:val="0"/>
      <w:marTop w:val="0"/>
      <w:marBottom w:val="0"/>
      <w:divBdr>
        <w:top w:val="none" w:sz="0" w:space="0" w:color="auto"/>
        <w:left w:val="none" w:sz="0" w:space="0" w:color="auto"/>
        <w:bottom w:val="none" w:sz="0" w:space="0" w:color="auto"/>
        <w:right w:val="none" w:sz="0" w:space="0" w:color="auto"/>
      </w:divBdr>
      <w:divsChild>
        <w:div w:id="479880577">
          <w:marLeft w:val="446"/>
          <w:marRight w:val="0"/>
          <w:marTop w:val="180"/>
          <w:marBottom w:val="0"/>
          <w:divBdr>
            <w:top w:val="none" w:sz="0" w:space="0" w:color="auto"/>
            <w:left w:val="none" w:sz="0" w:space="0" w:color="auto"/>
            <w:bottom w:val="none" w:sz="0" w:space="0" w:color="auto"/>
            <w:right w:val="none" w:sz="0" w:space="0" w:color="auto"/>
          </w:divBdr>
        </w:div>
        <w:div w:id="1361009442">
          <w:marLeft w:val="446"/>
          <w:marRight w:val="0"/>
          <w:marTop w:val="180"/>
          <w:marBottom w:val="0"/>
          <w:divBdr>
            <w:top w:val="none" w:sz="0" w:space="0" w:color="auto"/>
            <w:left w:val="none" w:sz="0" w:space="0" w:color="auto"/>
            <w:bottom w:val="none" w:sz="0" w:space="0" w:color="auto"/>
            <w:right w:val="none" w:sz="0" w:space="0" w:color="auto"/>
          </w:divBdr>
        </w:div>
      </w:divsChild>
    </w:div>
    <w:div w:id="700135624">
      <w:bodyDiv w:val="1"/>
      <w:marLeft w:val="0"/>
      <w:marRight w:val="0"/>
      <w:marTop w:val="0"/>
      <w:marBottom w:val="0"/>
      <w:divBdr>
        <w:top w:val="none" w:sz="0" w:space="0" w:color="auto"/>
        <w:left w:val="none" w:sz="0" w:space="0" w:color="auto"/>
        <w:bottom w:val="none" w:sz="0" w:space="0" w:color="auto"/>
        <w:right w:val="none" w:sz="0" w:space="0" w:color="auto"/>
      </w:divBdr>
    </w:div>
    <w:div w:id="702095454">
      <w:bodyDiv w:val="1"/>
      <w:marLeft w:val="0"/>
      <w:marRight w:val="0"/>
      <w:marTop w:val="0"/>
      <w:marBottom w:val="0"/>
      <w:divBdr>
        <w:top w:val="none" w:sz="0" w:space="0" w:color="auto"/>
        <w:left w:val="none" w:sz="0" w:space="0" w:color="auto"/>
        <w:bottom w:val="none" w:sz="0" w:space="0" w:color="auto"/>
        <w:right w:val="none" w:sz="0" w:space="0" w:color="auto"/>
      </w:divBdr>
      <w:divsChild>
        <w:div w:id="144200796">
          <w:marLeft w:val="446"/>
          <w:marRight w:val="0"/>
          <w:marTop w:val="200"/>
          <w:marBottom w:val="200"/>
          <w:divBdr>
            <w:top w:val="none" w:sz="0" w:space="0" w:color="auto"/>
            <w:left w:val="none" w:sz="0" w:space="0" w:color="auto"/>
            <w:bottom w:val="none" w:sz="0" w:space="0" w:color="auto"/>
            <w:right w:val="none" w:sz="0" w:space="0" w:color="auto"/>
          </w:divBdr>
        </w:div>
        <w:div w:id="544145427">
          <w:marLeft w:val="446"/>
          <w:marRight w:val="0"/>
          <w:marTop w:val="200"/>
          <w:marBottom w:val="200"/>
          <w:divBdr>
            <w:top w:val="none" w:sz="0" w:space="0" w:color="auto"/>
            <w:left w:val="none" w:sz="0" w:space="0" w:color="auto"/>
            <w:bottom w:val="none" w:sz="0" w:space="0" w:color="auto"/>
            <w:right w:val="none" w:sz="0" w:space="0" w:color="auto"/>
          </w:divBdr>
        </w:div>
        <w:div w:id="598567975">
          <w:marLeft w:val="446"/>
          <w:marRight w:val="0"/>
          <w:marTop w:val="200"/>
          <w:marBottom w:val="200"/>
          <w:divBdr>
            <w:top w:val="none" w:sz="0" w:space="0" w:color="auto"/>
            <w:left w:val="none" w:sz="0" w:space="0" w:color="auto"/>
            <w:bottom w:val="none" w:sz="0" w:space="0" w:color="auto"/>
            <w:right w:val="none" w:sz="0" w:space="0" w:color="auto"/>
          </w:divBdr>
        </w:div>
        <w:div w:id="1155416667">
          <w:marLeft w:val="446"/>
          <w:marRight w:val="0"/>
          <w:marTop w:val="200"/>
          <w:marBottom w:val="200"/>
          <w:divBdr>
            <w:top w:val="none" w:sz="0" w:space="0" w:color="auto"/>
            <w:left w:val="none" w:sz="0" w:space="0" w:color="auto"/>
            <w:bottom w:val="none" w:sz="0" w:space="0" w:color="auto"/>
            <w:right w:val="none" w:sz="0" w:space="0" w:color="auto"/>
          </w:divBdr>
        </w:div>
      </w:divsChild>
    </w:div>
    <w:div w:id="704871404">
      <w:bodyDiv w:val="1"/>
      <w:marLeft w:val="0"/>
      <w:marRight w:val="0"/>
      <w:marTop w:val="0"/>
      <w:marBottom w:val="0"/>
      <w:divBdr>
        <w:top w:val="none" w:sz="0" w:space="0" w:color="auto"/>
        <w:left w:val="none" w:sz="0" w:space="0" w:color="auto"/>
        <w:bottom w:val="none" w:sz="0" w:space="0" w:color="auto"/>
        <w:right w:val="none" w:sz="0" w:space="0" w:color="auto"/>
      </w:divBdr>
    </w:div>
    <w:div w:id="724062736">
      <w:bodyDiv w:val="1"/>
      <w:marLeft w:val="0"/>
      <w:marRight w:val="0"/>
      <w:marTop w:val="0"/>
      <w:marBottom w:val="0"/>
      <w:divBdr>
        <w:top w:val="none" w:sz="0" w:space="0" w:color="auto"/>
        <w:left w:val="none" w:sz="0" w:space="0" w:color="auto"/>
        <w:bottom w:val="none" w:sz="0" w:space="0" w:color="auto"/>
        <w:right w:val="none" w:sz="0" w:space="0" w:color="auto"/>
      </w:divBdr>
    </w:div>
    <w:div w:id="765737871">
      <w:bodyDiv w:val="1"/>
      <w:marLeft w:val="0"/>
      <w:marRight w:val="0"/>
      <w:marTop w:val="0"/>
      <w:marBottom w:val="0"/>
      <w:divBdr>
        <w:top w:val="none" w:sz="0" w:space="0" w:color="auto"/>
        <w:left w:val="none" w:sz="0" w:space="0" w:color="auto"/>
        <w:bottom w:val="none" w:sz="0" w:space="0" w:color="auto"/>
        <w:right w:val="none" w:sz="0" w:space="0" w:color="auto"/>
      </w:divBdr>
    </w:div>
    <w:div w:id="785927527">
      <w:bodyDiv w:val="1"/>
      <w:marLeft w:val="0"/>
      <w:marRight w:val="0"/>
      <w:marTop w:val="0"/>
      <w:marBottom w:val="0"/>
      <w:divBdr>
        <w:top w:val="none" w:sz="0" w:space="0" w:color="auto"/>
        <w:left w:val="none" w:sz="0" w:space="0" w:color="auto"/>
        <w:bottom w:val="none" w:sz="0" w:space="0" w:color="auto"/>
        <w:right w:val="none" w:sz="0" w:space="0" w:color="auto"/>
      </w:divBdr>
    </w:div>
    <w:div w:id="805270791">
      <w:bodyDiv w:val="1"/>
      <w:marLeft w:val="0"/>
      <w:marRight w:val="0"/>
      <w:marTop w:val="0"/>
      <w:marBottom w:val="0"/>
      <w:divBdr>
        <w:top w:val="none" w:sz="0" w:space="0" w:color="auto"/>
        <w:left w:val="none" w:sz="0" w:space="0" w:color="auto"/>
        <w:bottom w:val="none" w:sz="0" w:space="0" w:color="auto"/>
        <w:right w:val="none" w:sz="0" w:space="0" w:color="auto"/>
      </w:divBdr>
    </w:div>
    <w:div w:id="819229603">
      <w:bodyDiv w:val="1"/>
      <w:marLeft w:val="0"/>
      <w:marRight w:val="0"/>
      <w:marTop w:val="0"/>
      <w:marBottom w:val="0"/>
      <w:divBdr>
        <w:top w:val="none" w:sz="0" w:space="0" w:color="auto"/>
        <w:left w:val="none" w:sz="0" w:space="0" w:color="auto"/>
        <w:bottom w:val="none" w:sz="0" w:space="0" w:color="auto"/>
        <w:right w:val="none" w:sz="0" w:space="0" w:color="auto"/>
      </w:divBdr>
    </w:div>
    <w:div w:id="821039709">
      <w:bodyDiv w:val="1"/>
      <w:marLeft w:val="0"/>
      <w:marRight w:val="0"/>
      <w:marTop w:val="0"/>
      <w:marBottom w:val="0"/>
      <w:divBdr>
        <w:top w:val="none" w:sz="0" w:space="0" w:color="auto"/>
        <w:left w:val="none" w:sz="0" w:space="0" w:color="auto"/>
        <w:bottom w:val="none" w:sz="0" w:space="0" w:color="auto"/>
        <w:right w:val="none" w:sz="0" w:space="0" w:color="auto"/>
      </w:divBdr>
      <w:divsChild>
        <w:div w:id="1999651810">
          <w:marLeft w:val="547"/>
          <w:marRight w:val="0"/>
          <w:marTop w:val="180"/>
          <w:marBottom w:val="0"/>
          <w:divBdr>
            <w:top w:val="none" w:sz="0" w:space="0" w:color="auto"/>
            <w:left w:val="none" w:sz="0" w:space="0" w:color="auto"/>
            <w:bottom w:val="none" w:sz="0" w:space="0" w:color="auto"/>
            <w:right w:val="none" w:sz="0" w:space="0" w:color="auto"/>
          </w:divBdr>
        </w:div>
        <w:div w:id="2093428874">
          <w:marLeft w:val="547"/>
          <w:marRight w:val="0"/>
          <w:marTop w:val="180"/>
          <w:marBottom w:val="0"/>
          <w:divBdr>
            <w:top w:val="none" w:sz="0" w:space="0" w:color="auto"/>
            <w:left w:val="none" w:sz="0" w:space="0" w:color="auto"/>
            <w:bottom w:val="none" w:sz="0" w:space="0" w:color="auto"/>
            <w:right w:val="none" w:sz="0" w:space="0" w:color="auto"/>
          </w:divBdr>
        </w:div>
      </w:divsChild>
    </w:div>
    <w:div w:id="822700466">
      <w:bodyDiv w:val="1"/>
      <w:marLeft w:val="0"/>
      <w:marRight w:val="0"/>
      <w:marTop w:val="0"/>
      <w:marBottom w:val="0"/>
      <w:divBdr>
        <w:top w:val="none" w:sz="0" w:space="0" w:color="auto"/>
        <w:left w:val="none" w:sz="0" w:space="0" w:color="auto"/>
        <w:bottom w:val="none" w:sz="0" w:space="0" w:color="auto"/>
        <w:right w:val="none" w:sz="0" w:space="0" w:color="auto"/>
      </w:divBdr>
      <w:divsChild>
        <w:div w:id="341595036">
          <w:marLeft w:val="274"/>
          <w:marRight w:val="0"/>
          <w:marTop w:val="180"/>
          <w:marBottom w:val="0"/>
          <w:divBdr>
            <w:top w:val="none" w:sz="0" w:space="0" w:color="auto"/>
            <w:left w:val="none" w:sz="0" w:space="0" w:color="auto"/>
            <w:bottom w:val="none" w:sz="0" w:space="0" w:color="auto"/>
            <w:right w:val="none" w:sz="0" w:space="0" w:color="auto"/>
          </w:divBdr>
        </w:div>
        <w:div w:id="438179248">
          <w:marLeft w:val="274"/>
          <w:marRight w:val="0"/>
          <w:marTop w:val="180"/>
          <w:marBottom w:val="0"/>
          <w:divBdr>
            <w:top w:val="none" w:sz="0" w:space="0" w:color="auto"/>
            <w:left w:val="none" w:sz="0" w:space="0" w:color="auto"/>
            <w:bottom w:val="none" w:sz="0" w:space="0" w:color="auto"/>
            <w:right w:val="none" w:sz="0" w:space="0" w:color="auto"/>
          </w:divBdr>
        </w:div>
        <w:div w:id="958415966">
          <w:marLeft w:val="274"/>
          <w:marRight w:val="0"/>
          <w:marTop w:val="180"/>
          <w:marBottom w:val="0"/>
          <w:divBdr>
            <w:top w:val="none" w:sz="0" w:space="0" w:color="auto"/>
            <w:left w:val="none" w:sz="0" w:space="0" w:color="auto"/>
            <w:bottom w:val="none" w:sz="0" w:space="0" w:color="auto"/>
            <w:right w:val="none" w:sz="0" w:space="0" w:color="auto"/>
          </w:divBdr>
        </w:div>
        <w:div w:id="1297297328">
          <w:marLeft w:val="274"/>
          <w:marRight w:val="0"/>
          <w:marTop w:val="180"/>
          <w:marBottom w:val="0"/>
          <w:divBdr>
            <w:top w:val="none" w:sz="0" w:space="0" w:color="auto"/>
            <w:left w:val="none" w:sz="0" w:space="0" w:color="auto"/>
            <w:bottom w:val="none" w:sz="0" w:space="0" w:color="auto"/>
            <w:right w:val="none" w:sz="0" w:space="0" w:color="auto"/>
          </w:divBdr>
        </w:div>
      </w:divsChild>
    </w:div>
    <w:div w:id="864951816">
      <w:bodyDiv w:val="1"/>
      <w:marLeft w:val="0"/>
      <w:marRight w:val="0"/>
      <w:marTop w:val="0"/>
      <w:marBottom w:val="0"/>
      <w:divBdr>
        <w:top w:val="none" w:sz="0" w:space="0" w:color="auto"/>
        <w:left w:val="none" w:sz="0" w:space="0" w:color="auto"/>
        <w:bottom w:val="none" w:sz="0" w:space="0" w:color="auto"/>
        <w:right w:val="none" w:sz="0" w:space="0" w:color="auto"/>
      </w:divBdr>
    </w:div>
    <w:div w:id="876283048">
      <w:bodyDiv w:val="1"/>
      <w:marLeft w:val="0"/>
      <w:marRight w:val="0"/>
      <w:marTop w:val="0"/>
      <w:marBottom w:val="0"/>
      <w:divBdr>
        <w:top w:val="none" w:sz="0" w:space="0" w:color="auto"/>
        <w:left w:val="none" w:sz="0" w:space="0" w:color="auto"/>
        <w:bottom w:val="none" w:sz="0" w:space="0" w:color="auto"/>
        <w:right w:val="none" w:sz="0" w:space="0" w:color="auto"/>
      </w:divBdr>
    </w:div>
    <w:div w:id="902184549">
      <w:bodyDiv w:val="1"/>
      <w:marLeft w:val="0"/>
      <w:marRight w:val="0"/>
      <w:marTop w:val="0"/>
      <w:marBottom w:val="0"/>
      <w:divBdr>
        <w:top w:val="none" w:sz="0" w:space="0" w:color="auto"/>
        <w:left w:val="none" w:sz="0" w:space="0" w:color="auto"/>
        <w:bottom w:val="none" w:sz="0" w:space="0" w:color="auto"/>
        <w:right w:val="none" w:sz="0" w:space="0" w:color="auto"/>
      </w:divBdr>
    </w:div>
    <w:div w:id="904146266">
      <w:bodyDiv w:val="1"/>
      <w:marLeft w:val="0"/>
      <w:marRight w:val="0"/>
      <w:marTop w:val="0"/>
      <w:marBottom w:val="0"/>
      <w:divBdr>
        <w:top w:val="none" w:sz="0" w:space="0" w:color="auto"/>
        <w:left w:val="none" w:sz="0" w:space="0" w:color="auto"/>
        <w:bottom w:val="none" w:sz="0" w:space="0" w:color="auto"/>
        <w:right w:val="none" w:sz="0" w:space="0" w:color="auto"/>
      </w:divBdr>
      <w:divsChild>
        <w:div w:id="582568793">
          <w:marLeft w:val="547"/>
          <w:marRight w:val="0"/>
          <w:marTop w:val="180"/>
          <w:marBottom w:val="0"/>
          <w:divBdr>
            <w:top w:val="none" w:sz="0" w:space="0" w:color="auto"/>
            <w:left w:val="none" w:sz="0" w:space="0" w:color="auto"/>
            <w:bottom w:val="none" w:sz="0" w:space="0" w:color="auto"/>
            <w:right w:val="none" w:sz="0" w:space="0" w:color="auto"/>
          </w:divBdr>
        </w:div>
      </w:divsChild>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1400430">
      <w:bodyDiv w:val="1"/>
      <w:marLeft w:val="0"/>
      <w:marRight w:val="0"/>
      <w:marTop w:val="0"/>
      <w:marBottom w:val="0"/>
      <w:divBdr>
        <w:top w:val="none" w:sz="0" w:space="0" w:color="auto"/>
        <w:left w:val="none" w:sz="0" w:space="0" w:color="auto"/>
        <w:bottom w:val="none" w:sz="0" w:space="0" w:color="auto"/>
        <w:right w:val="none" w:sz="0" w:space="0" w:color="auto"/>
      </w:divBdr>
      <w:divsChild>
        <w:div w:id="869605576">
          <w:marLeft w:val="446"/>
          <w:marRight w:val="0"/>
          <w:marTop w:val="180"/>
          <w:marBottom w:val="0"/>
          <w:divBdr>
            <w:top w:val="none" w:sz="0" w:space="0" w:color="auto"/>
            <w:left w:val="none" w:sz="0" w:space="0" w:color="auto"/>
            <w:bottom w:val="none" w:sz="0" w:space="0" w:color="auto"/>
            <w:right w:val="none" w:sz="0" w:space="0" w:color="auto"/>
          </w:divBdr>
        </w:div>
        <w:div w:id="1962686439">
          <w:marLeft w:val="446"/>
          <w:marRight w:val="0"/>
          <w:marTop w:val="180"/>
          <w:marBottom w:val="0"/>
          <w:divBdr>
            <w:top w:val="none" w:sz="0" w:space="0" w:color="auto"/>
            <w:left w:val="none" w:sz="0" w:space="0" w:color="auto"/>
            <w:bottom w:val="none" w:sz="0" w:space="0" w:color="auto"/>
            <w:right w:val="none" w:sz="0" w:space="0" w:color="auto"/>
          </w:divBdr>
        </w:div>
      </w:divsChild>
    </w:div>
    <w:div w:id="952637423">
      <w:bodyDiv w:val="1"/>
      <w:marLeft w:val="0"/>
      <w:marRight w:val="0"/>
      <w:marTop w:val="0"/>
      <w:marBottom w:val="0"/>
      <w:divBdr>
        <w:top w:val="none" w:sz="0" w:space="0" w:color="auto"/>
        <w:left w:val="none" w:sz="0" w:space="0" w:color="auto"/>
        <w:bottom w:val="none" w:sz="0" w:space="0" w:color="auto"/>
        <w:right w:val="none" w:sz="0" w:space="0" w:color="auto"/>
      </w:divBdr>
      <w:divsChild>
        <w:div w:id="206918186">
          <w:marLeft w:val="446"/>
          <w:marRight w:val="0"/>
          <w:marTop w:val="120"/>
          <w:marBottom w:val="200"/>
          <w:divBdr>
            <w:top w:val="none" w:sz="0" w:space="0" w:color="auto"/>
            <w:left w:val="none" w:sz="0" w:space="0" w:color="auto"/>
            <w:bottom w:val="none" w:sz="0" w:space="0" w:color="auto"/>
            <w:right w:val="none" w:sz="0" w:space="0" w:color="auto"/>
          </w:divBdr>
        </w:div>
        <w:div w:id="384914045">
          <w:marLeft w:val="1166"/>
          <w:marRight w:val="0"/>
          <w:marTop w:val="60"/>
          <w:marBottom w:val="60"/>
          <w:divBdr>
            <w:top w:val="none" w:sz="0" w:space="0" w:color="auto"/>
            <w:left w:val="none" w:sz="0" w:space="0" w:color="auto"/>
            <w:bottom w:val="none" w:sz="0" w:space="0" w:color="auto"/>
            <w:right w:val="none" w:sz="0" w:space="0" w:color="auto"/>
          </w:divBdr>
        </w:div>
        <w:div w:id="1460227099">
          <w:marLeft w:val="446"/>
          <w:marRight w:val="0"/>
          <w:marTop w:val="60"/>
          <w:marBottom w:val="60"/>
          <w:divBdr>
            <w:top w:val="none" w:sz="0" w:space="0" w:color="auto"/>
            <w:left w:val="none" w:sz="0" w:space="0" w:color="auto"/>
            <w:bottom w:val="none" w:sz="0" w:space="0" w:color="auto"/>
            <w:right w:val="none" w:sz="0" w:space="0" w:color="auto"/>
          </w:divBdr>
        </w:div>
        <w:div w:id="1679236773">
          <w:marLeft w:val="446"/>
          <w:marRight w:val="0"/>
          <w:marTop w:val="120"/>
          <w:marBottom w:val="200"/>
          <w:divBdr>
            <w:top w:val="none" w:sz="0" w:space="0" w:color="auto"/>
            <w:left w:val="none" w:sz="0" w:space="0" w:color="auto"/>
            <w:bottom w:val="none" w:sz="0" w:space="0" w:color="auto"/>
            <w:right w:val="none" w:sz="0" w:space="0" w:color="auto"/>
          </w:divBdr>
        </w:div>
        <w:div w:id="1830901546">
          <w:marLeft w:val="1166"/>
          <w:marRight w:val="0"/>
          <w:marTop w:val="60"/>
          <w:marBottom w:val="60"/>
          <w:divBdr>
            <w:top w:val="none" w:sz="0" w:space="0" w:color="auto"/>
            <w:left w:val="none" w:sz="0" w:space="0" w:color="auto"/>
            <w:bottom w:val="none" w:sz="0" w:space="0" w:color="auto"/>
            <w:right w:val="none" w:sz="0" w:space="0" w:color="auto"/>
          </w:divBdr>
        </w:div>
        <w:div w:id="2041127539">
          <w:marLeft w:val="1166"/>
          <w:marRight w:val="0"/>
          <w:marTop w:val="60"/>
          <w:marBottom w:val="60"/>
          <w:divBdr>
            <w:top w:val="none" w:sz="0" w:space="0" w:color="auto"/>
            <w:left w:val="none" w:sz="0" w:space="0" w:color="auto"/>
            <w:bottom w:val="none" w:sz="0" w:space="0" w:color="auto"/>
            <w:right w:val="none" w:sz="0" w:space="0" w:color="auto"/>
          </w:divBdr>
        </w:div>
      </w:divsChild>
    </w:div>
    <w:div w:id="953288797">
      <w:bodyDiv w:val="1"/>
      <w:marLeft w:val="0"/>
      <w:marRight w:val="0"/>
      <w:marTop w:val="0"/>
      <w:marBottom w:val="0"/>
      <w:divBdr>
        <w:top w:val="none" w:sz="0" w:space="0" w:color="auto"/>
        <w:left w:val="none" w:sz="0" w:space="0" w:color="auto"/>
        <w:bottom w:val="none" w:sz="0" w:space="0" w:color="auto"/>
        <w:right w:val="none" w:sz="0" w:space="0" w:color="auto"/>
      </w:divBdr>
      <w:divsChild>
        <w:div w:id="1481656557">
          <w:marLeft w:val="446"/>
          <w:marRight w:val="0"/>
          <w:marTop w:val="180"/>
          <w:marBottom w:val="0"/>
          <w:divBdr>
            <w:top w:val="none" w:sz="0" w:space="0" w:color="auto"/>
            <w:left w:val="none" w:sz="0" w:space="0" w:color="auto"/>
            <w:bottom w:val="none" w:sz="0" w:space="0" w:color="auto"/>
            <w:right w:val="none" w:sz="0" w:space="0" w:color="auto"/>
          </w:divBdr>
        </w:div>
        <w:div w:id="1883666924">
          <w:marLeft w:val="446"/>
          <w:marRight w:val="0"/>
          <w:marTop w:val="180"/>
          <w:marBottom w:val="0"/>
          <w:divBdr>
            <w:top w:val="none" w:sz="0" w:space="0" w:color="auto"/>
            <w:left w:val="none" w:sz="0" w:space="0" w:color="auto"/>
            <w:bottom w:val="none" w:sz="0" w:space="0" w:color="auto"/>
            <w:right w:val="none" w:sz="0" w:space="0" w:color="auto"/>
          </w:divBdr>
        </w:div>
      </w:divsChild>
    </w:div>
    <w:div w:id="959386085">
      <w:bodyDiv w:val="1"/>
      <w:marLeft w:val="0"/>
      <w:marRight w:val="0"/>
      <w:marTop w:val="0"/>
      <w:marBottom w:val="0"/>
      <w:divBdr>
        <w:top w:val="none" w:sz="0" w:space="0" w:color="auto"/>
        <w:left w:val="none" w:sz="0" w:space="0" w:color="auto"/>
        <w:bottom w:val="none" w:sz="0" w:space="0" w:color="auto"/>
        <w:right w:val="none" w:sz="0" w:space="0" w:color="auto"/>
      </w:divBdr>
    </w:div>
    <w:div w:id="959532131">
      <w:bodyDiv w:val="1"/>
      <w:marLeft w:val="0"/>
      <w:marRight w:val="0"/>
      <w:marTop w:val="0"/>
      <w:marBottom w:val="0"/>
      <w:divBdr>
        <w:top w:val="none" w:sz="0" w:space="0" w:color="auto"/>
        <w:left w:val="none" w:sz="0" w:space="0" w:color="auto"/>
        <w:bottom w:val="none" w:sz="0" w:space="0" w:color="auto"/>
        <w:right w:val="none" w:sz="0" w:space="0" w:color="auto"/>
      </w:divBdr>
    </w:div>
    <w:div w:id="985084933">
      <w:bodyDiv w:val="1"/>
      <w:marLeft w:val="0"/>
      <w:marRight w:val="0"/>
      <w:marTop w:val="0"/>
      <w:marBottom w:val="0"/>
      <w:divBdr>
        <w:top w:val="none" w:sz="0" w:space="0" w:color="auto"/>
        <w:left w:val="none" w:sz="0" w:space="0" w:color="auto"/>
        <w:bottom w:val="none" w:sz="0" w:space="0" w:color="auto"/>
        <w:right w:val="none" w:sz="0" w:space="0" w:color="auto"/>
      </w:divBdr>
      <w:divsChild>
        <w:div w:id="518856731">
          <w:marLeft w:val="418"/>
          <w:marRight w:val="86"/>
          <w:marTop w:val="179"/>
          <w:marBottom w:val="160"/>
          <w:divBdr>
            <w:top w:val="none" w:sz="0" w:space="0" w:color="auto"/>
            <w:left w:val="none" w:sz="0" w:space="0" w:color="auto"/>
            <w:bottom w:val="none" w:sz="0" w:space="0" w:color="auto"/>
            <w:right w:val="none" w:sz="0" w:space="0" w:color="auto"/>
          </w:divBdr>
        </w:div>
        <w:div w:id="778257631">
          <w:marLeft w:val="418"/>
          <w:marRight w:val="86"/>
          <w:marTop w:val="179"/>
          <w:marBottom w:val="160"/>
          <w:divBdr>
            <w:top w:val="none" w:sz="0" w:space="0" w:color="auto"/>
            <w:left w:val="none" w:sz="0" w:space="0" w:color="auto"/>
            <w:bottom w:val="none" w:sz="0" w:space="0" w:color="auto"/>
            <w:right w:val="none" w:sz="0" w:space="0" w:color="auto"/>
          </w:divBdr>
        </w:div>
      </w:divsChild>
    </w:div>
    <w:div w:id="986398022">
      <w:bodyDiv w:val="1"/>
      <w:marLeft w:val="0"/>
      <w:marRight w:val="0"/>
      <w:marTop w:val="0"/>
      <w:marBottom w:val="0"/>
      <w:divBdr>
        <w:top w:val="none" w:sz="0" w:space="0" w:color="auto"/>
        <w:left w:val="none" w:sz="0" w:space="0" w:color="auto"/>
        <w:bottom w:val="none" w:sz="0" w:space="0" w:color="auto"/>
        <w:right w:val="none" w:sz="0" w:space="0" w:color="auto"/>
      </w:divBdr>
    </w:div>
    <w:div w:id="996540745">
      <w:bodyDiv w:val="1"/>
      <w:marLeft w:val="0"/>
      <w:marRight w:val="0"/>
      <w:marTop w:val="0"/>
      <w:marBottom w:val="0"/>
      <w:divBdr>
        <w:top w:val="none" w:sz="0" w:space="0" w:color="auto"/>
        <w:left w:val="none" w:sz="0" w:space="0" w:color="auto"/>
        <w:bottom w:val="none" w:sz="0" w:space="0" w:color="auto"/>
        <w:right w:val="none" w:sz="0" w:space="0" w:color="auto"/>
      </w:divBdr>
      <w:divsChild>
        <w:div w:id="1231649722">
          <w:marLeft w:val="446"/>
          <w:marRight w:val="0"/>
          <w:marTop w:val="180"/>
          <w:marBottom w:val="0"/>
          <w:divBdr>
            <w:top w:val="none" w:sz="0" w:space="0" w:color="auto"/>
            <w:left w:val="none" w:sz="0" w:space="0" w:color="auto"/>
            <w:bottom w:val="none" w:sz="0" w:space="0" w:color="auto"/>
            <w:right w:val="none" w:sz="0" w:space="0" w:color="auto"/>
          </w:divBdr>
        </w:div>
      </w:divsChild>
    </w:div>
    <w:div w:id="998995026">
      <w:bodyDiv w:val="1"/>
      <w:marLeft w:val="0"/>
      <w:marRight w:val="0"/>
      <w:marTop w:val="0"/>
      <w:marBottom w:val="0"/>
      <w:divBdr>
        <w:top w:val="none" w:sz="0" w:space="0" w:color="auto"/>
        <w:left w:val="none" w:sz="0" w:space="0" w:color="auto"/>
        <w:bottom w:val="none" w:sz="0" w:space="0" w:color="auto"/>
        <w:right w:val="none" w:sz="0" w:space="0" w:color="auto"/>
      </w:divBdr>
      <w:divsChild>
        <w:div w:id="48236100">
          <w:marLeft w:val="792"/>
          <w:marRight w:val="0"/>
          <w:marTop w:val="200"/>
          <w:marBottom w:val="0"/>
          <w:divBdr>
            <w:top w:val="none" w:sz="0" w:space="0" w:color="auto"/>
            <w:left w:val="none" w:sz="0" w:space="0" w:color="auto"/>
            <w:bottom w:val="none" w:sz="0" w:space="0" w:color="auto"/>
            <w:right w:val="none" w:sz="0" w:space="0" w:color="auto"/>
          </w:divBdr>
        </w:div>
        <w:div w:id="1372656578">
          <w:marLeft w:val="446"/>
          <w:marRight w:val="0"/>
          <w:marTop w:val="200"/>
          <w:marBottom w:val="0"/>
          <w:divBdr>
            <w:top w:val="none" w:sz="0" w:space="0" w:color="auto"/>
            <w:left w:val="none" w:sz="0" w:space="0" w:color="auto"/>
            <w:bottom w:val="none" w:sz="0" w:space="0" w:color="auto"/>
            <w:right w:val="none" w:sz="0" w:space="0" w:color="auto"/>
          </w:divBdr>
        </w:div>
        <w:div w:id="1549758694">
          <w:marLeft w:val="792"/>
          <w:marRight w:val="0"/>
          <w:marTop w:val="200"/>
          <w:marBottom w:val="0"/>
          <w:divBdr>
            <w:top w:val="none" w:sz="0" w:space="0" w:color="auto"/>
            <w:left w:val="none" w:sz="0" w:space="0" w:color="auto"/>
            <w:bottom w:val="none" w:sz="0" w:space="0" w:color="auto"/>
            <w:right w:val="none" w:sz="0" w:space="0" w:color="auto"/>
          </w:divBdr>
        </w:div>
        <w:div w:id="1644848960">
          <w:marLeft w:val="792"/>
          <w:marRight w:val="0"/>
          <w:marTop w:val="200"/>
          <w:marBottom w:val="0"/>
          <w:divBdr>
            <w:top w:val="none" w:sz="0" w:space="0" w:color="auto"/>
            <w:left w:val="none" w:sz="0" w:space="0" w:color="auto"/>
            <w:bottom w:val="none" w:sz="0" w:space="0" w:color="auto"/>
            <w:right w:val="none" w:sz="0" w:space="0" w:color="auto"/>
          </w:divBdr>
        </w:div>
        <w:div w:id="1781879544">
          <w:marLeft w:val="1123"/>
          <w:marRight w:val="0"/>
          <w:marTop w:val="200"/>
          <w:marBottom w:val="0"/>
          <w:divBdr>
            <w:top w:val="none" w:sz="0" w:space="0" w:color="auto"/>
            <w:left w:val="none" w:sz="0" w:space="0" w:color="auto"/>
            <w:bottom w:val="none" w:sz="0" w:space="0" w:color="auto"/>
            <w:right w:val="none" w:sz="0" w:space="0" w:color="auto"/>
          </w:divBdr>
        </w:div>
        <w:div w:id="1788740640">
          <w:marLeft w:val="792"/>
          <w:marRight w:val="0"/>
          <w:marTop w:val="200"/>
          <w:marBottom w:val="0"/>
          <w:divBdr>
            <w:top w:val="none" w:sz="0" w:space="0" w:color="auto"/>
            <w:left w:val="none" w:sz="0" w:space="0" w:color="auto"/>
            <w:bottom w:val="none" w:sz="0" w:space="0" w:color="auto"/>
            <w:right w:val="none" w:sz="0" w:space="0" w:color="auto"/>
          </w:divBdr>
        </w:div>
        <w:div w:id="2108765646">
          <w:marLeft w:val="446"/>
          <w:marRight w:val="0"/>
          <w:marTop w:val="200"/>
          <w:marBottom w:val="0"/>
          <w:divBdr>
            <w:top w:val="none" w:sz="0" w:space="0" w:color="auto"/>
            <w:left w:val="none" w:sz="0" w:space="0" w:color="auto"/>
            <w:bottom w:val="none" w:sz="0" w:space="0" w:color="auto"/>
            <w:right w:val="none" w:sz="0" w:space="0" w:color="auto"/>
          </w:divBdr>
        </w:div>
      </w:divsChild>
    </w:div>
    <w:div w:id="1006901131">
      <w:bodyDiv w:val="1"/>
      <w:marLeft w:val="0"/>
      <w:marRight w:val="0"/>
      <w:marTop w:val="0"/>
      <w:marBottom w:val="0"/>
      <w:divBdr>
        <w:top w:val="none" w:sz="0" w:space="0" w:color="auto"/>
        <w:left w:val="none" w:sz="0" w:space="0" w:color="auto"/>
        <w:bottom w:val="none" w:sz="0" w:space="0" w:color="auto"/>
        <w:right w:val="none" w:sz="0" w:space="0" w:color="auto"/>
      </w:divBdr>
    </w:div>
    <w:div w:id="1008017888">
      <w:bodyDiv w:val="1"/>
      <w:marLeft w:val="0"/>
      <w:marRight w:val="0"/>
      <w:marTop w:val="0"/>
      <w:marBottom w:val="0"/>
      <w:divBdr>
        <w:top w:val="none" w:sz="0" w:space="0" w:color="auto"/>
        <w:left w:val="none" w:sz="0" w:space="0" w:color="auto"/>
        <w:bottom w:val="none" w:sz="0" w:space="0" w:color="auto"/>
        <w:right w:val="none" w:sz="0" w:space="0" w:color="auto"/>
      </w:divBdr>
    </w:div>
    <w:div w:id="1024097335">
      <w:bodyDiv w:val="1"/>
      <w:marLeft w:val="0"/>
      <w:marRight w:val="0"/>
      <w:marTop w:val="0"/>
      <w:marBottom w:val="0"/>
      <w:divBdr>
        <w:top w:val="none" w:sz="0" w:space="0" w:color="auto"/>
        <w:left w:val="none" w:sz="0" w:space="0" w:color="auto"/>
        <w:bottom w:val="none" w:sz="0" w:space="0" w:color="auto"/>
        <w:right w:val="none" w:sz="0" w:space="0" w:color="auto"/>
      </w:divBdr>
    </w:div>
    <w:div w:id="1063403780">
      <w:bodyDiv w:val="1"/>
      <w:marLeft w:val="0"/>
      <w:marRight w:val="0"/>
      <w:marTop w:val="0"/>
      <w:marBottom w:val="0"/>
      <w:divBdr>
        <w:top w:val="none" w:sz="0" w:space="0" w:color="auto"/>
        <w:left w:val="none" w:sz="0" w:space="0" w:color="auto"/>
        <w:bottom w:val="none" w:sz="0" w:space="0" w:color="auto"/>
        <w:right w:val="none" w:sz="0" w:space="0" w:color="auto"/>
      </w:divBdr>
    </w:div>
    <w:div w:id="1078669345">
      <w:bodyDiv w:val="1"/>
      <w:marLeft w:val="0"/>
      <w:marRight w:val="0"/>
      <w:marTop w:val="0"/>
      <w:marBottom w:val="0"/>
      <w:divBdr>
        <w:top w:val="none" w:sz="0" w:space="0" w:color="auto"/>
        <w:left w:val="none" w:sz="0" w:space="0" w:color="auto"/>
        <w:bottom w:val="none" w:sz="0" w:space="0" w:color="auto"/>
        <w:right w:val="none" w:sz="0" w:space="0" w:color="auto"/>
      </w:divBdr>
    </w:div>
    <w:div w:id="1080327665">
      <w:bodyDiv w:val="1"/>
      <w:marLeft w:val="0"/>
      <w:marRight w:val="0"/>
      <w:marTop w:val="0"/>
      <w:marBottom w:val="0"/>
      <w:divBdr>
        <w:top w:val="none" w:sz="0" w:space="0" w:color="auto"/>
        <w:left w:val="none" w:sz="0" w:space="0" w:color="auto"/>
        <w:bottom w:val="none" w:sz="0" w:space="0" w:color="auto"/>
        <w:right w:val="none" w:sz="0" w:space="0" w:color="auto"/>
      </w:divBdr>
    </w:div>
    <w:div w:id="1088117647">
      <w:bodyDiv w:val="1"/>
      <w:marLeft w:val="0"/>
      <w:marRight w:val="0"/>
      <w:marTop w:val="0"/>
      <w:marBottom w:val="0"/>
      <w:divBdr>
        <w:top w:val="none" w:sz="0" w:space="0" w:color="auto"/>
        <w:left w:val="none" w:sz="0" w:space="0" w:color="auto"/>
        <w:bottom w:val="none" w:sz="0" w:space="0" w:color="auto"/>
        <w:right w:val="none" w:sz="0" w:space="0" w:color="auto"/>
      </w:divBdr>
    </w:div>
    <w:div w:id="1109161220">
      <w:bodyDiv w:val="1"/>
      <w:marLeft w:val="0"/>
      <w:marRight w:val="0"/>
      <w:marTop w:val="0"/>
      <w:marBottom w:val="0"/>
      <w:divBdr>
        <w:top w:val="none" w:sz="0" w:space="0" w:color="auto"/>
        <w:left w:val="none" w:sz="0" w:space="0" w:color="auto"/>
        <w:bottom w:val="none" w:sz="0" w:space="0" w:color="auto"/>
        <w:right w:val="none" w:sz="0" w:space="0" w:color="auto"/>
      </w:divBdr>
      <w:divsChild>
        <w:div w:id="421727683">
          <w:marLeft w:val="547"/>
          <w:marRight w:val="0"/>
          <w:marTop w:val="120"/>
          <w:marBottom w:val="120"/>
          <w:divBdr>
            <w:top w:val="none" w:sz="0" w:space="0" w:color="auto"/>
            <w:left w:val="none" w:sz="0" w:space="0" w:color="auto"/>
            <w:bottom w:val="none" w:sz="0" w:space="0" w:color="auto"/>
            <w:right w:val="none" w:sz="0" w:space="0" w:color="auto"/>
          </w:divBdr>
        </w:div>
        <w:div w:id="1679503882">
          <w:marLeft w:val="547"/>
          <w:marRight w:val="0"/>
          <w:marTop w:val="120"/>
          <w:marBottom w:val="120"/>
          <w:divBdr>
            <w:top w:val="none" w:sz="0" w:space="0" w:color="auto"/>
            <w:left w:val="none" w:sz="0" w:space="0" w:color="auto"/>
            <w:bottom w:val="none" w:sz="0" w:space="0" w:color="auto"/>
            <w:right w:val="none" w:sz="0" w:space="0" w:color="auto"/>
          </w:divBdr>
        </w:div>
        <w:div w:id="1724208122">
          <w:marLeft w:val="547"/>
          <w:marRight w:val="0"/>
          <w:marTop w:val="120"/>
          <w:marBottom w:val="120"/>
          <w:divBdr>
            <w:top w:val="none" w:sz="0" w:space="0" w:color="auto"/>
            <w:left w:val="none" w:sz="0" w:space="0" w:color="auto"/>
            <w:bottom w:val="none" w:sz="0" w:space="0" w:color="auto"/>
            <w:right w:val="none" w:sz="0" w:space="0" w:color="auto"/>
          </w:divBdr>
        </w:div>
      </w:divsChild>
    </w:div>
    <w:div w:id="1126512193">
      <w:bodyDiv w:val="1"/>
      <w:marLeft w:val="0"/>
      <w:marRight w:val="0"/>
      <w:marTop w:val="0"/>
      <w:marBottom w:val="0"/>
      <w:divBdr>
        <w:top w:val="none" w:sz="0" w:space="0" w:color="auto"/>
        <w:left w:val="none" w:sz="0" w:space="0" w:color="auto"/>
        <w:bottom w:val="none" w:sz="0" w:space="0" w:color="auto"/>
        <w:right w:val="none" w:sz="0" w:space="0" w:color="auto"/>
      </w:divBdr>
    </w:div>
    <w:div w:id="1151143047">
      <w:bodyDiv w:val="1"/>
      <w:marLeft w:val="0"/>
      <w:marRight w:val="0"/>
      <w:marTop w:val="0"/>
      <w:marBottom w:val="0"/>
      <w:divBdr>
        <w:top w:val="none" w:sz="0" w:space="0" w:color="auto"/>
        <w:left w:val="none" w:sz="0" w:space="0" w:color="auto"/>
        <w:bottom w:val="none" w:sz="0" w:space="0" w:color="auto"/>
        <w:right w:val="none" w:sz="0" w:space="0" w:color="auto"/>
      </w:divBdr>
    </w:div>
    <w:div w:id="1178613862">
      <w:bodyDiv w:val="1"/>
      <w:marLeft w:val="0"/>
      <w:marRight w:val="0"/>
      <w:marTop w:val="0"/>
      <w:marBottom w:val="0"/>
      <w:divBdr>
        <w:top w:val="none" w:sz="0" w:space="0" w:color="auto"/>
        <w:left w:val="none" w:sz="0" w:space="0" w:color="auto"/>
        <w:bottom w:val="none" w:sz="0" w:space="0" w:color="auto"/>
        <w:right w:val="none" w:sz="0" w:space="0" w:color="auto"/>
      </w:divBdr>
    </w:div>
    <w:div w:id="1190559184">
      <w:bodyDiv w:val="1"/>
      <w:marLeft w:val="0"/>
      <w:marRight w:val="0"/>
      <w:marTop w:val="0"/>
      <w:marBottom w:val="0"/>
      <w:divBdr>
        <w:top w:val="none" w:sz="0" w:space="0" w:color="auto"/>
        <w:left w:val="none" w:sz="0" w:space="0" w:color="auto"/>
        <w:bottom w:val="none" w:sz="0" w:space="0" w:color="auto"/>
        <w:right w:val="none" w:sz="0" w:space="0" w:color="auto"/>
      </w:divBdr>
    </w:div>
    <w:div w:id="1226335016">
      <w:bodyDiv w:val="1"/>
      <w:marLeft w:val="0"/>
      <w:marRight w:val="0"/>
      <w:marTop w:val="0"/>
      <w:marBottom w:val="0"/>
      <w:divBdr>
        <w:top w:val="none" w:sz="0" w:space="0" w:color="auto"/>
        <w:left w:val="none" w:sz="0" w:space="0" w:color="auto"/>
        <w:bottom w:val="none" w:sz="0" w:space="0" w:color="auto"/>
        <w:right w:val="none" w:sz="0" w:space="0" w:color="auto"/>
      </w:divBdr>
    </w:div>
    <w:div w:id="1231624218">
      <w:bodyDiv w:val="1"/>
      <w:marLeft w:val="0"/>
      <w:marRight w:val="0"/>
      <w:marTop w:val="0"/>
      <w:marBottom w:val="0"/>
      <w:divBdr>
        <w:top w:val="none" w:sz="0" w:space="0" w:color="auto"/>
        <w:left w:val="none" w:sz="0" w:space="0" w:color="auto"/>
        <w:bottom w:val="none" w:sz="0" w:space="0" w:color="auto"/>
        <w:right w:val="none" w:sz="0" w:space="0" w:color="auto"/>
      </w:divBdr>
    </w:div>
    <w:div w:id="1264335977">
      <w:bodyDiv w:val="1"/>
      <w:marLeft w:val="0"/>
      <w:marRight w:val="0"/>
      <w:marTop w:val="0"/>
      <w:marBottom w:val="0"/>
      <w:divBdr>
        <w:top w:val="none" w:sz="0" w:space="0" w:color="auto"/>
        <w:left w:val="none" w:sz="0" w:space="0" w:color="auto"/>
        <w:bottom w:val="none" w:sz="0" w:space="0" w:color="auto"/>
        <w:right w:val="none" w:sz="0" w:space="0" w:color="auto"/>
      </w:divBdr>
    </w:div>
    <w:div w:id="1282414508">
      <w:bodyDiv w:val="1"/>
      <w:marLeft w:val="0"/>
      <w:marRight w:val="0"/>
      <w:marTop w:val="0"/>
      <w:marBottom w:val="0"/>
      <w:divBdr>
        <w:top w:val="none" w:sz="0" w:space="0" w:color="auto"/>
        <w:left w:val="none" w:sz="0" w:space="0" w:color="auto"/>
        <w:bottom w:val="none" w:sz="0" w:space="0" w:color="auto"/>
        <w:right w:val="none" w:sz="0" w:space="0" w:color="auto"/>
      </w:divBdr>
      <w:divsChild>
        <w:div w:id="521821402">
          <w:marLeft w:val="547"/>
          <w:marRight w:val="0"/>
          <w:marTop w:val="100"/>
          <w:marBottom w:val="200"/>
          <w:divBdr>
            <w:top w:val="none" w:sz="0" w:space="0" w:color="auto"/>
            <w:left w:val="none" w:sz="0" w:space="0" w:color="auto"/>
            <w:bottom w:val="none" w:sz="0" w:space="0" w:color="auto"/>
            <w:right w:val="none" w:sz="0" w:space="0" w:color="auto"/>
          </w:divBdr>
        </w:div>
        <w:div w:id="1254438359">
          <w:marLeft w:val="547"/>
          <w:marRight w:val="0"/>
          <w:marTop w:val="100"/>
          <w:marBottom w:val="200"/>
          <w:divBdr>
            <w:top w:val="none" w:sz="0" w:space="0" w:color="auto"/>
            <w:left w:val="none" w:sz="0" w:space="0" w:color="auto"/>
            <w:bottom w:val="none" w:sz="0" w:space="0" w:color="auto"/>
            <w:right w:val="none" w:sz="0" w:space="0" w:color="auto"/>
          </w:divBdr>
        </w:div>
      </w:divsChild>
    </w:div>
    <w:div w:id="1284729993">
      <w:bodyDiv w:val="1"/>
      <w:marLeft w:val="0"/>
      <w:marRight w:val="0"/>
      <w:marTop w:val="0"/>
      <w:marBottom w:val="0"/>
      <w:divBdr>
        <w:top w:val="none" w:sz="0" w:space="0" w:color="auto"/>
        <w:left w:val="none" w:sz="0" w:space="0" w:color="auto"/>
        <w:bottom w:val="none" w:sz="0" w:space="0" w:color="auto"/>
        <w:right w:val="none" w:sz="0" w:space="0" w:color="auto"/>
      </w:divBdr>
    </w:div>
    <w:div w:id="1308361619">
      <w:bodyDiv w:val="1"/>
      <w:marLeft w:val="0"/>
      <w:marRight w:val="0"/>
      <w:marTop w:val="0"/>
      <w:marBottom w:val="0"/>
      <w:divBdr>
        <w:top w:val="none" w:sz="0" w:space="0" w:color="auto"/>
        <w:left w:val="none" w:sz="0" w:space="0" w:color="auto"/>
        <w:bottom w:val="none" w:sz="0" w:space="0" w:color="auto"/>
        <w:right w:val="none" w:sz="0" w:space="0" w:color="auto"/>
      </w:divBdr>
    </w:div>
    <w:div w:id="1319185860">
      <w:bodyDiv w:val="1"/>
      <w:marLeft w:val="0"/>
      <w:marRight w:val="0"/>
      <w:marTop w:val="0"/>
      <w:marBottom w:val="0"/>
      <w:divBdr>
        <w:top w:val="none" w:sz="0" w:space="0" w:color="auto"/>
        <w:left w:val="none" w:sz="0" w:space="0" w:color="auto"/>
        <w:bottom w:val="none" w:sz="0" w:space="0" w:color="auto"/>
        <w:right w:val="none" w:sz="0" w:space="0" w:color="auto"/>
      </w:divBdr>
    </w:div>
    <w:div w:id="1329289588">
      <w:bodyDiv w:val="1"/>
      <w:marLeft w:val="0"/>
      <w:marRight w:val="0"/>
      <w:marTop w:val="0"/>
      <w:marBottom w:val="0"/>
      <w:divBdr>
        <w:top w:val="none" w:sz="0" w:space="0" w:color="auto"/>
        <w:left w:val="none" w:sz="0" w:space="0" w:color="auto"/>
        <w:bottom w:val="none" w:sz="0" w:space="0" w:color="auto"/>
        <w:right w:val="none" w:sz="0" w:space="0" w:color="auto"/>
      </w:divBdr>
    </w:div>
    <w:div w:id="1346397611">
      <w:bodyDiv w:val="1"/>
      <w:marLeft w:val="0"/>
      <w:marRight w:val="0"/>
      <w:marTop w:val="0"/>
      <w:marBottom w:val="0"/>
      <w:divBdr>
        <w:top w:val="none" w:sz="0" w:space="0" w:color="auto"/>
        <w:left w:val="none" w:sz="0" w:space="0" w:color="auto"/>
        <w:bottom w:val="none" w:sz="0" w:space="0" w:color="auto"/>
        <w:right w:val="none" w:sz="0" w:space="0" w:color="auto"/>
      </w:divBdr>
    </w:div>
    <w:div w:id="1375156955">
      <w:bodyDiv w:val="1"/>
      <w:marLeft w:val="0"/>
      <w:marRight w:val="0"/>
      <w:marTop w:val="0"/>
      <w:marBottom w:val="0"/>
      <w:divBdr>
        <w:top w:val="none" w:sz="0" w:space="0" w:color="auto"/>
        <w:left w:val="none" w:sz="0" w:space="0" w:color="auto"/>
        <w:bottom w:val="none" w:sz="0" w:space="0" w:color="auto"/>
        <w:right w:val="none" w:sz="0" w:space="0" w:color="auto"/>
      </w:divBdr>
    </w:div>
    <w:div w:id="1408576459">
      <w:bodyDiv w:val="1"/>
      <w:marLeft w:val="0"/>
      <w:marRight w:val="0"/>
      <w:marTop w:val="0"/>
      <w:marBottom w:val="0"/>
      <w:divBdr>
        <w:top w:val="none" w:sz="0" w:space="0" w:color="auto"/>
        <w:left w:val="none" w:sz="0" w:space="0" w:color="auto"/>
        <w:bottom w:val="none" w:sz="0" w:space="0" w:color="auto"/>
        <w:right w:val="none" w:sz="0" w:space="0" w:color="auto"/>
      </w:divBdr>
    </w:div>
    <w:div w:id="1431122940">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64082948">
      <w:bodyDiv w:val="1"/>
      <w:marLeft w:val="0"/>
      <w:marRight w:val="0"/>
      <w:marTop w:val="0"/>
      <w:marBottom w:val="0"/>
      <w:divBdr>
        <w:top w:val="none" w:sz="0" w:space="0" w:color="auto"/>
        <w:left w:val="none" w:sz="0" w:space="0" w:color="auto"/>
        <w:bottom w:val="none" w:sz="0" w:space="0" w:color="auto"/>
        <w:right w:val="none" w:sz="0" w:space="0" w:color="auto"/>
      </w:divBdr>
    </w:div>
    <w:div w:id="1498381950">
      <w:bodyDiv w:val="1"/>
      <w:marLeft w:val="0"/>
      <w:marRight w:val="0"/>
      <w:marTop w:val="0"/>
      <w:marBottom w:val="0"/>
      <w:divBdr>
        <w:top w:val="none" w:sz="0" w:space="0" w:color="auto"/>
        <w:left w:val="none" w:sz="0" w:space="0" w:color="auto"/>
        <w:bottom w:val="none" w:sz="0" w:space="0" w:color="auto"/>
        <w:right w:val="none" w:sz="0" w:space="0" w:color="auto"/>
      </w:divBdr>
      <w:divsChild>
        <w:div w:id="46492877">
          <w:marLeft w:val="1469"/>
          <w:marRight w:val="0"/>
          <w:marTop w:val="240"/>
          <w:marBottom w:val="0"/>
          <w:divBdr>
            <w:top w:val="none" w:sz="0" w:space="0" w:color="auto"/>
            <w:left w:val="none" w:sz="0" w:space="0" w:color="auto"/>
            <w:bottom w:val="none" w:sz="0" w:space="0" w:color="auto"/>
            <w:right w:val="none" w:sz="0" w:space="0" w:color="auto"/>
          </w:divBdr>
        </w:div>
        <w:div w:id="289363511">
          <w:marLeft w:val="1224"/>
          <w:marRight w:val="0"/>
          <w:marTop w:val="240"/>
          <w:marBottom w:val="0"/>
          <w:divBdr>
            <w:top w:val="none" w:sz="0" w:space="0" w:color="auto"/>
            <w:left w:val="none" w:sz="0" w:space="0" w:color="auto"/>
            <w:bottom w:val="none" w:sz="0" w:space="0" w:color="auto"/>
            <w:right w:val="none" w:sz="0" w:space="0" w:color="auto"/>
          </w:divBdr>
        </w:div>
        <w:div w:id="674456366">
          <w:marLeft w:val="1555"/>
          <w:marRight w:val="0"/>
          <w:marTop w:val="240"/>
          <w:marBottom w:val="0"/>
          <w:divBdr>
            <w:top w:val="none" w:sz="0" w:space="0" w:color="auto"/>
            <w:left w:val="none" w:sz="0" w:space="0" w:color="auto"/>
            <w:bottom w:val="none" w:sz="0" w:space="0" w:color="auto"/>
            <w:right w:val="none" w:sz="0" w:space="0" w:color="auto"/>
          </w:divBdr>
        </w:div>
        <w:div w:id="1004818082">
          <w:marLeft w:val="1469"/>
          <w:marRight w:val="0"/>
          <w:marTop w:val="240"/>
          <w:marBottom w:val="0"/>
          <w:divBdr>
            <w:top w:val="none" w:sz="0" w:space="0" w:color="auto"/>
            <w:left w:val="none" w:sz="0" w:space="0" w:color="auto"/>
            <w:bottom w:val="none" w:sz="0" w:space="0" w:color="auto"/>
            <w:right w:val="none" w:sz="0" w:space="0" w:color="auto"/>
          </w:divBdr>
        </w:div>
        <w:div w:id="1021052987">
          <w:marLeft w:val="1224"/>
          <w:marRight w:val="0"/>
          <w:marTop w:val="240"/>
          <w:marBottom w:val="0"/>
          <w:divBdr>
            <w:top w:val="none" w:sz="0" w:space="0" w:color="auto"/>
            <w:left w:val="none" w:sz="0" w:space="0" w:color="auto"/>
            <w:bottom w:val="none" w:sz="0" w:space="0" w:color="auto"/>
            <w:right w:val="none" w:sz="0" w:space="0" w:color="auto"/>
          </w:divBdr>
        </w:div>
        <w:div w:id="1301569873">
          <w:marLeft w:val="547"/>
          <w:marRight w:val="0"/>
          <w:marTop w:val="180"/>
          <w:marBottom w:val="0"/>
          <w:divBdr>
            <w:top w:val="none" w:sz="0" w:space="0" w:color="auto"/>
            <w:left w:val="none" w:sz="0" w:space="0" w:color="auto"/>
            <w:bottom w:val="none" w:sz="0" w:space="0" w:color="auto"/>
            <w:right w:val="none" w:sz="0" w:space="0" w:color="auto"/>
          </w:divBdr>
        </w:div>
        <w:div w:id="1576545230">
          <w:marLeft w:val="547"/>
          <w:marRight w:val="0"/>
          <w:marTop w:val="180"/>
          <w:marBottom w:val="0"/>
          <w:divBdr>
            <w:top w:val="none" w:sz="0" w:space="0" w:color="auto"/>
            <w:left w:val="none" w:sz="0" w:space="0" w:color="auto"/>
            <w:bottom w:val="none" w:sz="0" w:space="0" w:color="auto"/>
            <w:right w:val="none" w:sz="0" w:space="0" w:color="auto"/>
          </w:divBdr>
        </w:div>
        <w:div w:id="1812012576">
          <w:marLeft w:val="1224"/>
          <w:marRight w:val="0"/>
          <w:marTop w:val="240"/>
          <w:marBottom w:val="0"/>
          <w:divBdr>
            <w:top w:val="none" w:sz="0" w:space="0" w:color="auto"/>
            <w:left w:val="none" w:sz="0" w:space="0" w:color="auto"/>
            <w:bottom w:val="none" w:sz="0" w:space="0" w:color="auto"/>
            <w:right w:val="none" w:sz="0" w:space="0" w:color="auto"/>
          </w:divBdr>
        </w:div>
        <w:div w:id="2095857987">
          <w:marLeft w:val="547"/>
          <w:marRight w:val="0"/>
          <w:marTop w:val="180"/>
          <w:marBottom w:val="0"/>
          <w:divBdr>
            <w:top w:val="none" w:sz="0" w:space="0" w:color="auto"/>
            <w:left w:val="none" w:sz="0" w:space="0" w:color="auto"/>
            <w:bottom w:val="none" w:sz="0" w:space="0" w:color="auto"/>
            <w:right w:val="none" w:sz="0" w:space="0" w:color="auto"/>
          </w:divBdr>
        </w:div>
      </w:divsChild>
    </w:div>
    <w:div w:id="1500776798">
      <w:bodyDiv w:val="1"/>
      <w:marLeft w:val="0"/>
      <w:marRight w:val="0"/>
      <w:marTop w:val="0"/>
      <w:marBottom w:val="0"/>
      <w:divBdr>
        <w:top w:val="none" w:sz="0" w:space="0" w:color="auto"/>
        <w:left w:val="none" w:sz="0" w:space="0" w:color="auto"/>
        <w:bottom w:val="none" w:sz="0" w:space="0" w:color="auto"/>
        <w:right w:val="none" w:sz="0" w:space="0" w:color="auto"/>
      </w:divBdr>
    </w:div>
    <w:div w:id="1501457815">
      <w:bodyDiv w:val="1"/>
      <w:marLeft w:val="0"/>
      <w:marRight w:val="0"/>
      <w:marTop w:val="0"/>
      <w:marBottom w:val="0"/>
      <w:divBdr>
        <w:top w:val="none" w:sz="0" w:space="0" w:color="auto"/>
        <w:left w:val="none" w:sz="0" w:space="0" w:color="auto"/>
        <w:bottom w:val="none" w:sz="0" w:space="0" w:color="auto"/>
        <w:right w:val="none" w:sz="0" w:space="0" w:color="auto"/>
      </w:divBdr>
    </w:div>
    <w:div w:id="1520392550">
      <w:bodyDiv w:val="1"/>
      <w:marLeft w:val="0"/>
      <w:marRight w:val="0"/>
      <w:marTop w:val="0"/>
      <w:marBottom w:val="0"/>
      <w:divBdr>
        <w:top w:val="none" w:sz="0" w:space="0" w:color="auto"/>
        <w:left w:val="none" w:sz="0" w:space="0" w:color="auto"/>
        <w:bottom w:val="none" w:sz="0" w:space="0" w:color="auto"/>
        <w:right w:val="none" w:sz="0" w:space="0" w:color="auto"/>
      </w:divBdr>
    </w:div>
    <w:div w:id="1546407831">
      <w:bodyDiv w:val="1"/>
      <w:marLeft w:val="0"/>
      <w:marRight w:val="0"/>
      <w:marTop w:val="0"/>
      <w:marBottom w:val="0"/>
      <w:divBdr>
        <w:top w:val="none" w:sz="0" w:space="0" w:color="auto"/>
        <w:left w:val="none" w:sz="0" w:space="0" w:color="auto"/>
        <w:bottom w:val="none" w:sz="0" w:space="0" w:color="auto"/>
        <w:right w:val="none" w:sz="0" w:space="0" w:color="auto"/>
      </w:divBdr>
      <w:divsChild>
        <w:div w:id="104858987">
          <w:marLeft w:val="274"/>
          <w:marRight w:val="0"/>
          <w:marTop w:val="0"/>
          <w:marBottom w:val="0"/>
          <w:divBdr>
            <w:top w:val="none" w:sz="0" w:space="0" w:color="auto"/>
            <w:left w:val="none" w:sz="0" w:space="0" w:color="auto"/>
            <w:bottom w:val="none" w:sz="0" w:space="0" w:color="auto"/>
            <w:right w:val="none" w:sz="0" w:space="0" w:color="auto"/>
          </w:divBdr>
        </w:div>
        <w:div w:id="1535653829">
          <w:marLeft w:val="274"/>
          <w:marRight w:val="0"/>
          <w:marTop w:val="0"/>
          <w:marBottom w:val="0"/>
          <w:divBdr>
            <w:top w:val="none" w:sz="0" w:space="0" w:color="auto"/>
            <w:left w:val="none" w:sz="0" w:space="0" w:color="auto"/>
            <w:bottom w:val="none" w:sz="0" w:space="0" w:color="auto"/>
            <w:right w:val="none" w:sz="0" w:space="0" w:color="auto"/>
          </w:divBdr>
        </w:div>
        <w:div w:id="1825007664">
          <w:marLeft w:val="274"/>
          <w:marRight w:val="0"/>
          <w:marTop w:val="0"/>
          <w:marBottom w:val="0"/>
          <w:divBdr>
            <w:top w:val="none" w:sz="0" w:space="0" w:color="auto"/>
            <w:left w:val="none" w:sz="0" w:space="0" w:color="auto"/>
            <w:bottom w:val="none" w:sz="0" w:space="0" w:color="auto"/>
            <w:right w:val="none" w:sz="0" w:space="0" w:color="auto"/>
          </w:divBdr>
        </w:div>
        <w:div w:id="1860003459">
          <w:marLeft w:val="274"/>
          <w:marRight w:val="0"/>
          <w:marTop w:val="0"/>
          <w:marBottom w:val="0"/>
          <w:divBdr>
            <w:top w:val="none" w:sz="0" w:space="0" w:color="auto"/>
            <w:left w:val="none" w:sz="0" w:space="0" w:color="auto"/>
            <w:bottom w:val="none" w:sz="0" w:space="0" w:color="auto"/>
            <w:right w:val="none" w:sz="0" w:space="0" w:color="auto"/>
          </w:divBdr>
        </w:div>
      </w:divsChild>
    </w:div>
    <w:div w:id="1559782349">
      <w:bodyDiv w:val="1"/>
      <w:marLeft w:val="0"/>
      <w:marRight w:val="0"/>
      <w:marTop w:val="0"/>
      <w:marBottom w:val="0"/>
      <w:divBdr>
        <w:top w:val="none" w:sz="0" w:space="0" w:color="auto"/>
        <w:left w:val="none" w:sz="0" w:space="0" w:color="auto"/>
        <w:bottom w:val="none" w:sz="0" w:space="0" w:color="auto"/>
        <w:right w:val="none" w:sz="0" w:space="0" w:color="auto"/>
      </w:divBdr>
    </w:div>
    <w:div w:id="1583416454">
      <w:bodyDiv w:val="1"/>
      <w:marLeft w:val="0"/>
      <w:marRight w:val="0"/>
      <w:marTop w:val="0"/>
      <w:marBottom w:val="0"/>
      <w:divBdr>
        <w:top w:val="none" w:sz="0" w:space="0" w:color="auto"/>
        <w:left w:val="none" w:sz="0" w:space="0" w:color="auto"/>
        <w:bottom w:val="none" w:sz="0" w:space="0" w:color="auto"/>
        <w:right w:val="none" w:sz="0" w:space="0" w:color="auto"/>
      </w:divBdr>
      <w:divsChild>
        <w:div w:id="2008633162">
          <w:marLeft w:val="0"/>
          <w:marRight w:val="0"/>
          <w:marTop w:val="180"/>
          <w:marBottom w:val="180"/>
          <w:divBdr>
            <w:top w:val="none" w:sz="0" w:space="0" w:color="auto"/>
            <w:left w:val="none" w:sz="0" w:space="0" w:color="auto"/>
            <w:bottom w:val="none" w:sz="0" w:space="0" w:color="auto"/>
            <w:right w:val="none" w:sz="0" w:space="0" w:color="auto"/>
          </w:divBdr>
          <w:divsChild>
            <w:div w:id="1584802605">
              <w:marLeft w:val="-225"/>
              <w:marRight w:val="-225"/>
              <w:marTop w:val="0"/>
              <w:marBottom w:val="0"/>
              <w:divBdr>
                <w:top w:val="none" w:sz="0" w:space="0" w:color="auto"/>
                <w:left w:val="none" w:sz="0" w:space="0" w:color="auto"/>
                <w:bottom w:val="none" w:sz="0" w:space="0" w:color="auto"/>
                <w:right w:val="none" w:sz="0" w:space="0" w:color="auto"/>
              </w:divBdr>
              <w:divsChild>
                <w:div w:id="1984505778">
                  <w:marLeft w:val="0"/>
                  <w:marRight w:val="0"/>
                  <w:marTop w:val="0"/>
                  <w:marBottom w:val="0"/>
                  <w:divBdr>
                    <w:top w:val="none" w:sz="0" w:space="0" w:color="auto"/>
                    <w:left w:val="none" w:sz="0" w:space="0" w:color="auto"/>
                    <w:bottom w:val="none" w:sz="0" w:space="0" w:color="auto"/>
                    <w:right w:val="none" w:sz="0" w:space="0" w:color="auto"/>
                  </w:divBdr>
                  <w:divsChild>
                    <w:div w:id="110899673">
                      <w:marLeft w:val="-225"/>
                      <w:marRight w:val="-225"/>
                      <w:marTop w:val="0"/>
                      <w:marBottom w:val="0"/>
                      <w:divBdr>
                        <w:top w:val="none" w:sz="0" w:space="0" w:color="auto"/>
                        <w:left w:val="none" w:sz="0" w:space="0" w:color="auto"/>
                        <w:bottom w:val="none" w:sz="0" w:space="0" w:color="auto"/>
                        <w:right w:val="none" w:sz="0" w:space="0" w:color="auto"/>
                      </w:divBdr>
                      <w:divsChild>
                        <w:div w:id="2126344320">
                          <w:marLeft w:val="0"/>
                          <w:marRight w:val="0"/>
                          <w:marTop w:val="0"/>
                          <w:marBottom w:val="0"/>
                          <w:divBdr>
                            <w:top w:val="none" w:sz="0" w:space="0" w:color="auto"/>
                            <w:left w:val="none" w:sz="0" w:space="0" w:color="auto"/>
                            <w:bottom w:val="none" w:sz="0" w:space="0" w:color="auto"/>
                            <w:right w:val="none" w:sz="0" w:space="0" w:color="auto"/>
                          </w:divBdr>
                          <w:divsChild>
                            <w:div w:id="1420710697">
                              <w:marLeft w:val="0"/>
                              <w:marRight w:val="0"/>
                              <w:marTop w:val="0"/>
                              <w:marBottom w:val="0"/>
                              <w:divBdr>
                                <w:top w:val="none" w:sz="0" w:space="0" w:color="auto"/>
                                <w:left w:val="none" w:sz="0" w:space="0" w:color="auto"/>
                                <w:bottom w:val="none" w:sz="0" w:space="0" w:color="auto"/>
                                <w:right w:val="none" w:sz="0" w:space="0" w:color="auto"/>
                              </w:divBdr>
                              <w:divsChild>
                                <w:div w:id="1447431097">
                                  <w:marLeft w:val="0"/>
                                  <w:marRight w:val="0"/>
                                  <w:marTop w:val="0"/>
                                  <w:marBottom w:val="0"/>
                                  <w:divBdr>
                                    <w:top w:val="none" w:sz="0" w:space="0" w:color="auto"/>
                                    <w:left w:val="none" w:sz="0" w:space="0" w:color="auto"/>
                                    <w:bottom w:val="none" w:sz="0" w:space="0" w:color="auto"/>
                                    <w:right w:val="none" w:sz="0" w:space="0" w:color="auto"/>
                                  </w:divBdr>
                                  <w:divsChild>
                                    <w:div w:id="2086419072">
                                      <w:marLeft w:val="0"/>
                                      <w:marRight w:val="0"/>
                                      <w:marTop w:val="0"/>
                                      <w:marBottom w:val="0"/>
                                      <w:divBdr>
                                        <w:top w:val="none" w:sz="0" w:space="0" w:color="auto"/>
                                        <w:left w:val="none" w:sz="0" w:space="0" w:color="auto"/>
                                        <w:bottom w:val="none" w:sz="0" w:space="0" w:color="auto"/>
                                        <w:right w:val="none" w:sz="0" w:space="0" w:color="auto"/>
                                      </w:divBdr>
                                      <w:divsChild>
                                        <w:div w:id="2112242793">
                                          <w:marLeft w:val="0"/>
                                          <w:marRight w:val="0"/>
                                          <w:marTop w:val="0"/>
                                          <w:marBottom w:val="0"/>
                                          <w:divBdr>
                                            <w:top w:val="none" w:sz="0" w:space="0" w:color="auto"/>
                                            <w:left w:val="none" w:sz="0" w:space="0" w:color="auto"/>
                                            <w:bottom w:val="none" w:sz="0" w:space="0" w:color="auto"/>
                                            <w:right w:val="none" w:sz="0" w:space="0" w:color="auto"/>
                                          </w:divBdr>
                                          <w:divsChild>
                                            <w:div w:id="1828551158">
                                              <w:marLeft w:val="0"/>
                                              <w:marRight w:val="0"/>
                                              <w:marTop w:val="0"/>
                                              <w:marBottom w:val="0"/>
                                              <w:divBdr>
                                                <w:top w:val="none" w:sz="0" w:space="0" w:color="auto"/>
                                                <w:left w:val="none" w:sz="0" w:space="0" w:color="auto"/>
                                                <w:bottom w:val="none" w:sz="0" w:space="0" w:color="auto"/>
                                                <w:right w:val="none" w:sz="0" w:space="0" w:color="auto"/>
                                              </w:divBdr>
                                              <w:divsChild>
                                                <w:div w:id="613100396">
                                                  <w:marLeft w:val="0"/>
                                                  <w:marRight w:val="0"/>
                                                  <w:marTop w:val="0"/>
                                                  <w:marBottom w:val="0"/>
                                                  <w:divBdr>
                                                    <w:top w:val="none" w:sz="0" w:space="0" w:color="auto"/>
                                                    <w:left w:val="none" w:sz="0" w:space="0" w:color="auto"/>
                                                    <w:bottom w:val="none" w:sz="0" w:space="0" w:color="auto"/>
                                                    <w:right w:val="none" w:sz="0" w:space="0" w:color="auto"/>
                                                  </w:divBdr>
                                                  <w:divsChild>
                                                    <w:div w:id="90426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634483205">
      <w:bodyDiv w:val="1"/>
      <w:marLeft w:val="0"/>
      <w:marRight w:val="0"/>
      <w:marTop w:val="0"/>
      <w:marBottom w:val="0"/>
      <w:divBdr>
        <w:top w:val="none" w:sz="0" w:space="0" w:color="auto"/>
        <w:left w:val="none" w:sz="0" w:space="0" w:color="auto"/>
        <w:bottom w:val="none" w:sz="0" w:space="0" w:color="auto"/>
        <w:right w:val="none" w:sz="0" w:space="0" w:color="auto"/>
      </w:divBdr>
    </w:div>
    <w:div w:id="1635023634">
      <w:bodyDiv w:val="1"/>
      <w:marLeft w:val="0"/>
      <w:marRight w:val="0"/>
      <w:marTop w:val="0"/>
      <w:marBottom w:val="0"/>
      <w:divBdr>
        <w:top w:val="none" w:sz="0" w:space="0" w:color="auto"/>
        <w:left w:val="none" w:sz="0" w:space="0" w:color="auto"/>
        <w:bottom w:val="none" w:sz="0" w:space="0" w:color="auto"/>
        <w:right w:val="none" w:sz="0" w:space="0" w:color="auto"/>
      </w:divBdr>
    </w:div>
    <w:div w:id="1640065814">
      <w:bodyDiv w:val="1"/>
      <w:marLeft w:val="0"/>
      <w:marRight w:val="0"/>
      <w:marTop w:val="0"/>
      <w:marBottom w:val="0"/>
      <w:divBdr>
        <w:top w:val="none" w:sz="0" w:space="0" w:color="auto"/>
        <w:left w:val="none" w:sz="0" w:space="0" w:color="auto"/>
        <w:bottom w:val="none" w:sz="0" w:space="0" w:color="auto"/>
        <w:right w:val="none" w:sz="0" w:space="0" w:color="auto"/>
      </w:divBdr>
    </w:div>
    <w:div w:id="1641881971">
      <w:bodyDiv w:val="1"/>
      <w:marLeft w:val="0"/>
      <w:marRight w:val="0"/>
      <w:marTop w:val="0"/>
      <w:marBottom w:val="0"/>
      <w:divBdr>
        <w:top w:val="none" w:sz="0" w:space="0" w:color="auto"/>
        <w:left w:val="none" w:sz="0" w:space="0" w:color="auto"/>
        <w:bottom w:val="none" w:sz="0" w:space="0" w:color="auto"/>
        <w:right w:val="none" w:sz="0" w:space="0" w:color="auto"/>
      </w:divBdr>
    </w:div>
    <w:div w:id="1659378450">
      <w:bodyDiv w:val="1"/>
      <w:marLeft w:val="0"/>
      <w:marRight w:val="0"/>
      <w:marTop w:val="0"/>
      <w:marBottom w:val="0"/>
      <w:divBdr>
        <w:top w:val="none" w:sz="0" w:space="0" w:color="auto"/>
        <w:left w:val="none" w:sz="0" w:space="0" w:color="auto"/>
        <w:bottom w:val="none" w:sz="0" w:space="0" w:color="auto"/>
        <w:right w:val="none" w:sz="0" w:space="0" w:color="auto"/>
      </w:divBdr>
    </w:div>
    <w:div w:id="1672021840">
      <w:bodyDiv w:val="1"/>
      <w:marLeft w:val="0"/>
      <w:marRight w:val="0"/>
      <w:marTop w:val="0"/>
      <w:marBottom w:val="0"/>
      <w:divBdr>
        <w:top w:val="none" w:sz="0" w:space="0" w:color="auto"/>
        <w:left w:val="none" w:sz="0" w:space="0" w:color="auto"/>
        <w:bottom w:val="none" w:sz="0" w:space="0" w:color="auto"/>
        <w:right w:val="none" w:sz="0" w:space="0" w:color="auto"/>
      </w:divBdr>
    </w:div>
    <w:div w:id="1677269500">
      <w:bodyDiv w:val="1"/>
      <w:marLeft w:val="0"/>
      <w:marRight w:val="0"/>
      <w:marTop w:val="0"/>
      <w:marBottom w:val="0"/>
      <w:divBdr>
        <w:top w:val="none" w:sz="0" w:space="0" w:color="auto"/>
        <w:left w:val="none" w:sz="0" w:space="0" w:color="auto"/>
        <w:bottom w:val="none" w:sz="0" w:space="0" w:color="auto"/>
        <w:right w:val="none" w:sz="0" w:space="0" w:color="auto"/>
      </w:divBdr>
      <w:divsChild>
        <w:div w:id="126049069">
          <w:marLeft w:val="446"/>
          <w:marRight w:val="0"/>
          <w:marTop w:val="180"/>
          <w:marBottom w:val="0"/>
          <w:divBdr>
            <w:top w:val="none" w:sz="0" w:space="0" w:color="auto"/>
            <w:left w:val="none" w:sz="0" w:space="0" w:color="auto"/>
            <w:bottom w:val="none" w:sz="0" w:space="0" w:color="auto"/>
            <w:right w:val="none" w:sz="0" w:space="0" w:color="auto"/>
          </w:divBdr>
        </w:div>
        <w:div w:id="468088579">
          <w:marLeft w:val="446"/>
          <w:marRight w:val="0"/>
          <w:marTop w:val="180"/>
          <w:marBottom w:val="0"/>
          <w:divBdr>
            <w:top w:val="none" w:sz="0" w:space="0" w:color="auto"/>
            <w:left w:val="none" w:sz="0" w:space="0" w:color="auto"/>
            <w:bottom w:val="none" w:sz="0" w:space="0" w:color="auto"/>
            <w:right w:val="none" w:sz="0" w:space="0" w:color="auto"/>
          </w:divBdr>
        </w:div>
        <w:div w:id="898319180">
          <w:marLeft w:val="346"/>
          <w:marRight w:val="0"/>
          <w:marTop w:val="180"/>
          <w:marBottom w:val="0"/>
          <w:divBdr>
            <w:top w:val="none" w:sz="0" w:space="0" w:color="auto"/>
            <w:left w:val="none" w:sz="0" w:space="0" w:color="auto"/>
            <w:bottom w:val="none" w:sz="0" w:space="0" w:color="auto"/>
            <w:right w:val="none" w:sz="0" w:space="0" w:color="auto"/>
          </w:divBdr>
        </w:div>
        <w:div w:id="1184171969">
          <w:marLeft w:val="446"/>
          <w:marRight w:val="0"/>
          <w:marTop w:val="180"/>
          <w:marBottom w:val="0"/>
          <w:divBdr>
            <w:top w:val="none" w:sz="0" w:space="0" w:color="auto"/>
            <w:left w:val="none" w:sz="0" w:space="0" w:color="auto"/>
            <w:bottom w:val="none" w:sz="0" w:space="0" w:color="auto"/>
            <w:right w:val="none" w:sz="0" w:space="0" w:color="auto"/>
          </w:divBdr>
        </w:div>
        <w:div w:id="1414668543">
          <w:marLeft w:val="346"/>
          <w:marRight w:val="0"/>
          <w:marTop w:val="180"/>
          <w:marBottom w:val="0"/>
          <w:divBdr>
            <w:top w:val="none" w:sz="0" w:space="0" w:color="auto"/>
            <w:left w:val="none" w:sz="0" w:space="0" w:color="auto"/>
            <w:bottom w:val="none" w:sz="0" w:space="0" w:color="auto"/>
            <w:right w:val="none" w:sz="0" w:space="0" w:color="auto"/>
          </w:divBdr>
        </w:div>
        <w:div w:id="1537966003">
          <w:marLeft w:val="446"/>
          <w:marRight w:val="0"/>
          <w:marTop w:val="180"/>
          <w:marBottom w:val="0"/>
          <w:divBdr>
            <w:top w:val="none" w:sz="0" w:space="0" w:color="auto"/>
            <w:left w:val="none" w:sz="0" w:space="0" w:color="auto"/>
            <w:bottom w:val="none" w:sz="0" w:space="0" w:color="auto"/>
            <w:right w:val="none" w:sz="0" w:space="0" w:color="auto"/>
          </w:divBdr>
        </w:div>
        <w:div w:id="1869684483">
          <w:marLeft w:val="446"/>
          <w:marRight w:val="0"/>
          <w:marTop w:val="180"/>
          <w:marBottom w:val="0"/>
          <w:divBdr>
            <w:top w:val="none" w:sz="0" w:space="0" w:color="auto"/>
            <w:left w:val="none" w:sz="0" w:space="0" w:color="auto"/>
            <w:bottom w:val="none" w:sz="0" w:space="0" w:color="auto"/>
            <w:right w:val="none" w:sz="0" w:space="0" w:color="auto"/>
          </w:divBdr>
        </w:div>
        <w:div w:id="1995335895">
          <w:marLeft w:val="446"/>
          <w:marRight w:val="0"/>
          <w:marTop w:val="180"/>
          <w:marBottom w:val="0"/>
          <w:divBdr>
            <w:top w:val="none" w:sz="0" w:space="0" w:color="auto"/>
            <w:left w:val="none" w:sz="0" w:space="0" w:color="auto"/>
            <w:bottom w:val="none" w:sz="0" w:space="0" w:color="auto"/>
            <w:right w:val="none" w:sz="0" w:space="0" w:color="auto"/>
          </w:divBdr>
        </w:div>
        <w:div w:id="2064672884">
          <w:marLeft w:val="446"/>
          <w:marRight w:val="0"/>
          <w:marTop w:val="180"/>
          <w:marBottom w:val="0"/>
          <w:divBdr>
            <w:top w:val="none" w:sz="0" w:space="0" w:color="auto"/>
            <w:left w:val="none" w:sz="0" w:space="0" w:color="auto"/>
            <w:bottom w:val="none" w:sz="0" w:space="0" w:color="auto"/>
            <w:right w:val="none" w:sz="0" w:space="0" w:color="auto"/>
          </w:divBdr>
        </w:div>
      </w:divsChild>
    </w:div>
    <w:div w:id="1694839396">
      <w:bodyDiv w:val="1"/>
      <w:marLeft w:val="0"/>
      <w:marRight w:val="0"/>
      <w:marTop w:val="0"/>
      <w:marBottom w:val="0"/>
      <w:divBdr>
        <w:top w:val="none" w:sz="0" w:space="0" w:color="auto"/>
        <w:left w:val="none" w:sz="0" w:space="0" w:color="auto"/>
        <w:bottom w:val="none" w:sz="0" w:space="0" w:color="auto"/>
        <w:right w:val="none" w:sz="0" w:space="0" w:color="auto"/>
      </w:divBdr>
    </w:div>
    <w:div w:id="1739088643">
      <w:bodyDiv w:val="1"/>
      <w:marLeft w:val="0"/>
      <w:marRight w:val="0"/>
      <w:marTop w:val="0"/>
      <w:marBottom w:val="0"/>
      <w:divBdr>
        <w:top w:val="none" w:sz="0" w:space="0" w:color="auto"/>
        <w:left w:val="none" w:sz="0" w:space="0" w:color="auto"/>
        <w:bottom w:val="none" w:sz="0" w:space="0" w:color="auto"/>
        <w:right w:val="none" w:sz="0" w:space="0" w:color="auto"/>
      </w:divBdr>
    </w:div>
    <w:div w:id="1746418759">
      <w:bodyDiv w:val="1"/>
      <w:marLeft w:val="0"/>
      <w:marRight w:val="0"/>
      <w:marTop w:val="0"/>
      <w:marBottom w:val="0"/>
      <w:divBdr>
        <w:top w:val="none" w:sz="0" w:space="0" w:color="auto"/>
        <w:left w:val="none" w:sz="0" w:space="0" w:color="auto"/>
        <w:bottom w:val="none" w:sz="0" w:space="0" w:color="auto"/>
        <w:right w:val="none" w:sz="0" w:space="0" w:color="auto"/>
      </w:divBdr>
    </w:div>
    <w:div w:id="1790777974">
      <w:bodyDiv w:val="1"/>
      <w:marLeft w:val="0"/>
      <w:marRight w:val="0"/>
      <w:marTop w:val="0"/>
      <w:marBottom w:val="0"/>
      <w:divBdr>
        <w:top w:val="none" w:sz="0" w:space="0" w:color="auto"/>
        <w:left w:val="none" w:sz="0" w:space="0" w:color="auto"/>
        <w:bottom w:val="none" w:sz="0" w:space="0" w:color="auto"/>
        <w:right w:val="none" w:sz="0" w:space="0" w:color="auto"/>
      </w:divBdr>
      <w:divsChild>
        <w:div w:id="1706129636">
          <w:marLeft w:val="0"/>
          <w:marRight w:val="0"/>
          <w:marTop w:val="0"/>
          <w:marBottom w:val="0"/>
          <w:divBdr>
            <w:top w:val="none" w:sz="0" w:space="0" w:color="auto"/>
            <w:left w:val="none" w:sz="0" w:space="0" w:color="auto"/>
            <w:bottom w:val="none" w:sz="0" w:space="0" w:color="auto"/>
            <w:right w:val="none" w:sz="0" w:space="0" w:color="auto"/>
          </w:divBdr>
          <w:divsChild>
            <w:div w:id="1665040035">
              <w:marLeft w:val="-225"/>
              <w:marRight w:val="-225"/>
              <w:marTop w:val="0"/>
              <w:marBottom w:val="0"/>
              <w:divBdr>
                <w:top w:val="none" w:sz="0" w:space="0" w:color="auto"/>
                <w:left w:val="none" w:sz="0" w:space="0" w:color="auto"/>
                <w:bottom w:val="none" w:sz="0" w:space="0" w:color="auto"/>
                <w:right w:val="none" w:sz="0" w:space="0" w:color="auto"/>
              </w:divBdr>
              <w:divsChild>
                <w:div w:id="1936400846">
                  <w:marLeft w:val="0"/>
                  <w:marRight w:val="0"/>
                  <w:marTop w:val="0"/>
                  <w:marBottom w:val="0"/>
                  <w:divBdr>
                    <w:top w:val="none" w:sz="0" w:space="0" w:color="auto"/>
                    <w:left w:val="none" w:sz="0" w:space="0" w:color="auto"/>
                    <w:bottom w:val="none" w:sz="0" w:space="0" w:color="auto"/>
                    <w:right w:val="none" w:sz="0" w:space="0" w:color="auto"/>
                  </w:divBdr>
                  <w:divsChild>
                    <w:div w:id="290868162">
                      <w:marLeft w:val="0"/>
                      <w:marRight w:val="0"/>
                      <w:marTop w:val="0"/>
                      <w:marBottom w:val="225"/>
                      <w:divBdr>
                        <w:top w:val="none" w:sz="0" w:space="0" w:color="auto"/>
                        <w:left w:val="none" w:sz="0" w:space="0" w:color="auto"/>
                        <w:bottom w:val="none" w:sz="0" w:space="0" w:color="auto"/>
                        <w:right w:val="none" w:sz="0" w:space="0" w:color="auto"/>
                      </w:divBdr>
                      <w:divsChild>
                        <w:div w:id="1634603410">
                          <w:marLeft w:val="0"/>
                          <w:marRight w:val="0"/>
                          <w:marTop w:val="0"/>
                          <w:marBottom w:val="0"/>
                          <w:divBdr>
                            <w:top w:val="none" w:sz="0" w:space="0" w:color="auto"/>
                            <w:left w:val="none" w:sz="0" w:space="0" w:color="auto"/>
                            <w:bottom w:val="none" w:sz="0" w:space="0" w:color="auto"/>
                            <w:right w:val="none" w:sz="0" w:space="0" w:color="auto"/>
                          </w:divBdr>
                          <w:divsChild>
                            <w:div w:id="1980914003">
                              <w:marLeft w:val="0"/>
                              <w:marRight w:val="0"/>
                              <w:marTop w:val="0"/>
                              <w:marBottom w:val="0"/>
                              <w:divBdr>
                                <w:top w:val="none" w:sz="0" w:space="0" w:color="auto"/>
                                <w:left w:val="none" w:sz="0" w:space="0" w:color="auto"/>
                                <w:bottom w:val="none" w:sz="0" w:space="0" w:color="auto"/>
                                <w:right w:val="none" w:sz="0" w:space="0" w:color="auto"/>
                              </w:divBdr>
                              <w:divsChild>
                                <w:div w:id="442308713">
                                  <w:marLeft w:val="0"/>
                                  <w:marRight w:val="0"/>
                                  <w:marTop w:val="0"/>
                                  <w:marBottom w:val="0"/>
                                  <w:divBdr>
                                    <w:top w:val="none" w:sz="0" w:space="0" w:color="auto"/>
                                    <w:left w:val="none" w:sz="0" w:space="0" w:color="auto"/>
                                    <w:bottom w:val="none" w:sz="0" w:space="0" w:color="auto"/>
                                    <w:right w:val="none" w:sz="0" w:space="0" w:color="auto"/>
                                  </w:divBdr>
                                  <w:divsChild>
                                    <w:div w:id="499854453">
                                      <w:marLeft w:val="0"/>
                                      <w:marRight w:val="0"/>
                                      <w:marTop w:val="0"/>
                                      <w:marBottom w:val="0"/>
                                      <w:divBdr>
                                        <w:top w:val="none" w:sz="0" w:space="0" w:color="auto"/>
                                        <w:left w:val="none" w:sz="0" w:space="0" w:color="auto"/>
                                        <w:bottom w:val="none" w:sz="0" w:space="0" w:color="auto"/>
                                        <w:right w:val="none" w:sz="0" w:space="0" w:color="auto"/>
                                      </w:divBdr>
                                      <w:divsChild>
                                        <w:div w:id="948312627">
                                          <w:marLeft w:val="0"/>
                                          <w:marRight w:val="0"/>
                                          <w:marTop w:val="0"/>
                                          <w:marBottom w:val="0"/>
                                          <w:divBdr>
                                            <w:top w:val="none" w:sz="0" w:space="0" w:color="auto"/>
                                            <w:left w:val="none" w:sz="0" w:space="0" w:color="auto"/>
                                            <w:bottom w:val="none" w:sz="0" w:space="0" w:color="auto"/>
                                            <w:right w:val="none" w:sz="0" w:space="0" w:color="auto"/>
                                          </w:divBdr>
                                          <w:divsChild>
                                            <w:div w:id="607929881">
                                              <w:marLeft w:val="0"/>
                                              <w:marRight w:val="0"/>
                                              <w:marTop w:val="0"/>
                                              <w:marBottom w:val="0"/>
                                              <w:divBdr>
                                                <w:top w:val="none" w:sz="0" w:space="0" w:color="auto"/>
                                                <w:left w:val="none" w:sz="0" w:space="0" w:color="auto"/>
                                                <w:bottom w:val="none" w:sz="0" w:space="0" w:color="auto"/>
                                                <w:right w:val="none" w:sz="0" w:space="0" w:color="auto"/>
                                              </w:divBdr>
                                              <w:divsChild>
                                                <w:div w:id="1239553820">
                                                  <w:marLeft w:val="0"/>
                                                  <w:marRight w:val="0"/>
                                                  <w:marTop w:val="0"/>
                                                  <w:marBottom w:val="0"/>
                                                  <w:divBdr>
                                                    <w:top w:val="none" w:sz="0" w:space="0" w:color="auto"/>
                                                    <w:left w:val="none" w:sz="0" w:space="0" w:color="auto"/>
                                                    <w:bottom w:val="none" w:sz="0" w:space="0" w:color="auto"/>
                                                    <w:right w:val="none" w:sz="0" w:space="0" w:color="auto"/>
                                                  </w:divBdr>
                                                  <w:divsChild>
                                                    <w:div w:id="17377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2768492">
      <w:bodyDiv w:val="1"/>
      <w:marLeft w:val="0"/>
      <w:marRight w:val="0"/>
      <w:marTop w:val="0"/>
      <w:marBottom w:val="0"/>
      <w:divBdr>
        <w:top w:val="none" w:sz="0" w:space="0" w:color="auto"/>
        <w:left w:val="none" w:sz="0" w:space="0" w:color="auto"/>
        <w:bottom w:val="none" w:sz="0" w:space="0" w:color="auto"/>
        <w:right w:val="none" w:sz="0" w:space="0" w:color="auto"/>
      </w:divBdr>
      <w:divsChild>
        <w:div w:id="653293045">
          <w:marLeft w:val="446"/>
          <w:marRight w:val="0"/>
          <w:marTop w:val="200"/>
          <w:marBottom w:val="0"/>
          <w:divBdr>
            <w:top w:val="none" w:sz="0" w:space="0" w:color="auto"/>
            <w:left w:val="none" w:sz="0" w:space="0" w:color="auto"/>
            <w:bottom w:val="none" w:sz="0" w:space="0" w:color="auto"/>
            <w:right w:val="none" w:sz="0" w:space="0" w:color="auto"/>
          </w:divBdr>
        </w:div>
        <w:div w:id="1035891811">
          <w:marLeft w:val="446"/>
          <w:marRight w:val="0"/>
          <w:marTop w:val="200"/>
          <w:marBottom w:val="0"/>
          <w:divBdr>
            <w:top w:val="none" w:sz="0" w:space="0" w:color="auto"/>
            <w:left w:val="none" w:sz="0" w:space="0" w:color="auto"/>
            <w:bottom w:val="none" w:sz="0" w:space="0" w:color="auto"/>
            <w:right w:val="none" w:sz="0" w:space="0" w:color="auto"/>
          </w:divBdr>
        </w:div>
        <w:div w:id="1172839789">
          <w:marLeft w:val="446"/>
          <w:marRight w:val="0"/>
          <w:marTop w:val="200"/>
          <w:marBottom w:val="0"/>
          <w:divBdr>
            <w:top w:val="none" w:sz="0" w:space="0" w:color="auto"/>
            <w:left w:val="none" w:sz="0" w:space="0" w:color="auto"/>
            <w:bottom w:val="none" w:sz="0" w:space="0" w:color="auto"/>
            <w:right w:val="none" w:sz="0" w:space="0" w:color="auto"/>
          </w:divBdr>
        </w:div>
        <w:div w:id="1394160763">
          <w:marLeft w:val="446"/>
          <w:marRight w:val="0"/>
          <w:marTop w:val="200"/>
          <w:marBottom w:val="0"/>
          <w:divBdr>
            <w:top w:val="none" w:sz="0" w:space="0" w:color="auto"/>
            <w:left w:val="none" w:sz="0" w:space="0" w:color="auto"/>
            <w:bottom w:val="none" w:sz="0" w:space="0" w:color="auto"/>
            <w:right w:val="none" w:sz="0" w:space="0" w:color="auto"/>
          </w:divBdr>
        </w:div>
        <w:div w:id="1690184653">
          <w:marLeft w:val="446"/>
          <w:marRight w:val="0"/>
          <w:marTop w:val="200"/>
          <w:marBottom w:val="0"/>
          <w:divBdr>
            <w:top w:val="none" w:sz="0" w:space="0" w:color="auto"/>
            <w:left w:val="none" w:sz="0" w:space="0" w:color="auto"/>
            <w:bottom w:val="none" w:sz="0" w:space="0" w:color="auto"/>
            <w:right w:val="none" w:sz="0" w:space="0" w:color="auto"/>
          </w:divBdr>
        </w:div>
      </w:divsChild>
    </w:div>
    <w:div w:id="1805075798">
      <w:bodyDiv w:val="1"/>
      <w:marLeft w:val="0"/>
      <w:marRight w:val="0"/>
      <w:marTop w:val="0"/>
      <w:marBottom w:val="0"/>
      <w:divBdr>
        <w:top w:val="none" w:sz="0" w:space="0" w:color="auto"/>
        <w:left w:val="none" w:sz="0" w:space="0" w:color="auto"/>
        <w:bottom w:val="none" w:sz="0" w:space="0" w:color="auto"/>
        <w:right w:val="none" w:sz="0" w:space="0" w:color="auto"/>
      </w:divBdr>
      <w:divsChild>
        <w:div w:id="99959514">
          <w:marLeft w:val="547"/>
          <w:marRight w:val="0"/>
          <w:marTop w:val="180"/>
          <w:marBottom w:val="0"/>
          <w:divBdr>
            <w:top w:val="none" w:sz="0" w:space="0" w:color="auto"/>
            <w:left w:val="none" w:sz="0" w:space="0" w:color="auto"/>
            <w:bottom w:val="none" w:sz="0" w:space="0" w:color="auto"/>
            <w:right w:val="none" w:sz="0" w:space="0" w:color="auto"/>
          </w:divBdr>
        </w:div>
        <w:div w:id="286206944">
          <w:marLeft w:val="547"/>
          <w:marRight w:val="0"/>
          <w:marTop w:val="180"/>
          <w:marBottom w:val="0"/>
          <w:divBdr>
            <w:top w:val="none" w:sz="0" w:space="0" w:color="auto"/>
            <w:left w:val="none" w:sz="0" w:space="0" w:color="auto"/>
            <w:bottom w:val="none" w:sz="0" w:space="0" w:color="auto"/>
            <w:right w:val="none" w:sz="0" w:space="0" w:color="auto"/>
          </w:divBdr>
        </w:div>
        <w:div w:id="1072704174">
          <w:marLeft w:val="547"/>
          <w:marRight w:val="0"/>
          <w:marTop w:val="180"/>
          <w:marBottom w:val="0"/>
          <w:divBdr>
            <w:top w:val="none" w:sz="0" w:space="0" w:color="auto"/>
            <w:left w:val="none" w:sz="0" w:space="0" w:color="auto"/>
            <w:bottom w:val="none" w:sz="0" w:space="0" w:color="auto"/>
            <w:right w:val="none" w:sz="0" w:space="0" w:color="auto"/>
          </w:divBdr>
        </w:div>
        <w:div w:id="1129783082">
          <w:marLeft w:val="547"/>
          <w:marRight w:val="0"/>
          <w:marTop w:val="180"/>
          <w:marBottom w:val="0"/>
          <w:divBdr>
            <w:top w:val="none" w:sz="0" w:space="0" w:color="auto"/>
            <w:left w:val="none" w:sz="0" w:space="0" w:color="auto"/>
            <w:bottom w:val="none" w:sz="0" w:space="0" w:color="auto"/>
            <w:right w:val="none" w:sz="0" w:space="0" w:color="auto"/>
          </w:divBdr>
        </w:div>
        <w:div w:id="1962835227">
          <w:marLeft w:val="547"/>
          <w:marRight w:val="0"/>
          <w:marTop w:val="180"/>
          <w:marBottom w:val="0"/>
          <w:divBdr>
            <w:top w:val="none" w:sz="0" w:space="0" w:color="auto"/>
            <w:left w:val="none" w:sz="0" w:space="0" w:color="auto"/>
            <w:bottom w:val="none" w:sz="0" w:space="0" w:color="auto"/>
            <w:right w:val="none" w:sz="0" w:space="0" w:color="auto"/>
          </w:divBdr>
        </w:div>
        <w:div w:id="2056074961">
          <w:marLeft w:val="547"/>
          <w:marRight w:val="0"/>
          <w:marTop w:val="180"/>
          <w:marBottom w:val="0"/>
          <w:divBdr>
            <w:top w:val="none" w:sz="0" w:space="0" w:color="auto"/>
            <w:left w:val="none" w:sz="0" w:space="0" w:color="auto"/>
            <w:bottom w:val="none" w:sz="0" w:space="0" w:color="auto"/>
            <w:right w:val="none" w:sz="0" w:space="0" w:color="auto"/>
          </w:divBdr>
        </w:div>
      </w:divsChild>
    </w:div>
    <w:div w:id="1817794441">
      <w:bodyDiv w:val="1"/>
      <w:marLeft w:val="0"/>
      <w:marRight w:val="0"/>
      <w:marTop w:val="0"/>
      <w:marBottom w:val="0"/>
      <w:divBdr>
        <w:top w:val="none" w:sz="0" w:space="0" w:color="auto"/>
        <w:left w:val="none" w:sz="0" w:space="0" w:color="auto"/>
        <w:bottom w:val="none" w:sz="0" w:space="0" w:color="auto"/>
        <w:right w:val="none" w:sz="0" w:space="0" w:color="auto"/>
      </w:divBdr>
    </w:div>
    <w:div w:id="1821075435">
      <w:bodyDiv w:val="1"/>
      <w:marLeft w:val="0"/>
      <w:marRight w:val="0"/>
      <w:marTop w:val="0"/>
      <w:marBottom w:val="0"/>
      <w:divBdr>
        <w:top w:val="none" w:sz="0" w:space="0" w:color="auto"/>
        <w:left w:val="none" w:sz="0" w:space="0" w:color="auto"/>
        <w:bottom w:val="none" w:sz="0" w:space="0" w:color="auto"/>
        <w:right w:val="none" w:sz="0" w:space="0" w:color="auto"/>
      </w:divBdr>
    </w:div>
    <w:div w:id="1831746330">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847667106">
      <w:bodyDiv w:val="1"/>
      <w:marLeft w:val="0"/>
      <w:marRight w:val="0"/>
      <w:marTop w:val="0"/>
      <w:marBottom w:val="0"/>
      <w:divBdr>
        <w:top w:val="none" w:sz="0" w:space="0" w:color="auto"/>
        <w:left w:val="none" w:sz="0" w:space="0" w:color="auto"/>
        <w:bottom w:val="none" w:sz="0" w:space="0" w:color="auto"/>
        <w:right w:val="none" w:sz="0" w:space="0" w:color="auto"/>
      </w:divBdr>
    </w:div>
    <w:div w:id="1859998212">
      <w:bodyDiv w:val="1"/>
      <w:marLeft w:val="0"/>
      <w:marRight w:val="0"/>
      <w:marTop w:val="0"/>
      <w:marBottom w:val="0"/>
      <w:divBdr>
        <w:top w:val="none" w:sz="0" w:space="0" w:color="auto"/>
        <w:left w:val="none" w:sz="0" w:space="0" w:color="auto"/>
        <w:bottom w:val="none" w:sz="0" w:space="0" w:color="auto"/>
        <w:right w:val="none" w:sz="0" w:space="0" w:color="auto"/>
      </w:divBdr>
      <w:divsChild>
        <w:div w:id="842399817">
          <w:marLeft w:val="547"/>
          <w:marRight w:val="0"/>
          <w:marTop w:val="180"/>
          <w:marBottom w:val="0"/>
          <w:divBdr>
            <w:top w:val="none" w:sz="0" w:space="0" w:color="auto"/>
            <w:left w:val="none" w:sz="0" w:space="0" w:color="auto"/>
            <w:bottom w:val="none" w:sz="0" w:space="0" w:color="auto"/>
            <w:right w:val="none" w:sz="0" w:space="0" w:color="auto"/>
          </w:divBdr>
        </w:div>
      </w:divsChild>
    </w:div>
    <w:div w:id="1916625343">
      <w:bodyDiv w:val="1"/>
      <w:marLeft w:val="0"/>
      <w:marRight w:val="0"/>
      <w:marTop w:val="0"/>
      <w:marBottom w:val="0"/>
      <w:divBdr>
        <w:top w:val="none" w:sz="0" w:space="0" w:color="auto"/>
        <w:left w:val="none" w:sz="0" w:space="0" w:color="auto"/>
        <w:bottom w:val="none" w:sz="0" w:space="0" w:color="auto"/>
        <w:right w:val="none" w:sz="0" w:space="0" w:color="auto"/>
      </w:divBdr>
      <w:divsChild>
        <w:div w:id="154684614">
          <w:marLeft w:val="274"/>
          <w:marRight w:val="0"/>
          <w:marTop w:val="40"/>
          <w:marBottom w:val="60"/>
          <w:divBdr>
            <w:top w:val="none" w:sz="0" w:space="0" w:color="auto"/>
            <w:left w:val="none" w:sz="0" w:space="0" w:color="auto"/>
            <w:bottom w:val="none" w:sz="0" w:space="0" w:color="auto"/>
            <w:right w:val="none" w:sz="0" w:space="0" w:color="auto"/>
          </w:divBdr>
        </w:div>
        <w:div w:id="768550978">
          <w:marLeft w:val="274"/>
          <w:marRight w:val="0"/>
          <w:marTop w:val="40"/>
          <w:marBottom w:val="60"/>
          <w:divBdr>
            <w:top w:val="none" w:sz="0" w:space="0" w:color="auto"/>
            <w:left w:val="none" w:sz="0" w:space="0" w:color="auto"/>
            <w:bottom w:val="none" w:sz="0" w:space="0" w:color="auto"/>
            <w:right w:val="none" w:sz="0" w:space="0" w:color="auto"/>
          </w:divBdr>
        </w:div>
        <w:div w:id="1051075080">
          <w:marLeft w:val="274"/>
          <w:marRight w:val="0"/>
          <w:marTop w:val="40"/>
          <w:marBottom w:val="60"/>
          <w:divBdr>
            <w:top w:val="none" w:sz="0" w:space="0" w:color="auto"/>
            <w:left w:val="none" w:sz="0" w:space="0" w:color="auto"/>
            <w:bottom w:val="none" w:sz="0" w:space="0" w:color="auto"/>
            <w:right w:val="none" w:sz="0" w:space="0" w:color="auto"/>
          </w:divBdr>
        </w:div>
        <w:div w:id="1074426181">
          <w:marLeft w:val="288"/>
          <w:marRight w:val="0"/>
          <w:marTop w:val="40"/>
          <w:marBottom w:val="60"/>
          <w:divBdr>
            <w:top w:val="none" w:sz="0" w:space="0" w:color="auto"/>
            <w:left w:val="none" w:sz="0" w:space="0" w:color="auto"/>
            <w:bottom w:val="none" w:sz="0" w:space="0" w:color="auto"/>
            <w:right w:val="none" w:sz="0" w:space="0" w:color="auto"/>
          </w:divBdr>
        </w:div>
        <w:div w:id="1178350924">
          <w:marLeft w:val="274"/>
          <w:marRight w:val="0"/>
          <w:marTop w:val="40"/>
          <w:marBottom w:val="60"/>
          <w:divBdr>
            <w:top w:val="none" w:sz="0" w:space="0" w:color="auto"/>
            <w:left w:val="none" w:sz="0" w:space="0" w:color="auto"/>
            <w:bottom w:val="none" w:sz="0" w:space="0" w:color="auto"/>
            <w:right w:val="none" w:sz="0" w:space="0" w:color="auto"/>
          </w:divBdr>
        </w:div>
        <w:div w:id="1295332141">
          <w:marLeft w:val="288"/>
          <w:marRight w:val="0"/>
          <w:marTop w:val="40"/>
          <w:marBottom w:val="60"/>
          <w:divBdr>
            <w:top w:val="none" w:sz="0" w:space="0" w:color="auto"/>
            <w:left w:val="none" w:sz="0" w:space="0" w:color="auto"/>
            <w:bottom w:val="none" w:sz="0" w:space="0" w:color="auto"/>
            <w:right w:val="none" w:sz="0" w:space="0" w:color="auto"/>
          </w:divBdr>
        </w:div>
        <w:div w:id="1527282594">
          <w:marLeft w:val="274"/>
          <w:marRight w:val="0"/>
          <w:marTop w:val="40"/>
          <w:marBottom w:val="60"/>
          <w:divBdr>
            <w:top w:val="none" w:sz="0" w:space="0" w:color="auto"/>
            <w:left w:val="none" w:sz="0" w:space="0" w:color="auto"/>
            <w:bottom w:val="none" w:sz="0" w:space="0" w:color="auto"/>
            <w:right w:val="none" w:sz="0" w:space="0" w:color="auto"/>
          </w:divBdr>
        </w:div>
        <w:div w:id="2035157059">
          <w:marLeft w:val="274"/>
          <w:marRight w:val="0"/>
          <w:marTop w:val="40"/>
          <w:marBottom w:val="60"/>
          <w:divBdr>
            <w:top w:val="none" w:sz="0" w:space="0" w:color="auto"/>
            <w:left w:val="none" w:sz="0" w:space="0" w:color="auto"/>
            <w:bottom w:val="none" w:sz="0" w:space="0" w:color="auto"/>
            <w:right w:val="none" w:sz="0" w:space="0" w:color="auto"/>
          </w:divBdr>
        </w:div>
      </w:divsChild>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19443071">
      <w:bodyDiv w:val="1"/>
      <w:marLeft w:val="0"/>
      <w:marRight w:val="0"/>
      <w:marTop w:val="0"/>
      <w:marBottom w:val="0"/>
      <w:divBdr>
        <w:top w:val="none" w:sz="0" w:space="0" w:color="auto"/>
        <w:left w:val="none" w:sz="0" w:space="0" w:color="auto"/>
        <w:bottom w:val="none" w:sz="0" w:space="0" w:color="auto"/>
        <w:right w:val="none" w:sz="0" w:space="0" w:color="auto"/>
      </w:divBdr>
    </w:div>
    <w:div w:id="1928610811">
      <w:bodyDiv w:val="1"/>
      <w:marLeft w:val="0"/>
      <w:marRight w:val="0"/>
      <w:marTop w:val="0"/>
      <w:marBottom w:val="0"/>
      <w:divBdr>
        <w:top w:val="none" w:sz="0" w:space="0" w:color="auto"/>
        <w:left w:val="none" w:sz="0" w:space="0" w:color="auto"/>
        <w:bottom w:val="none" w:sz="0" w:space="0" w:color="auto"/>
        <w:right w:val="none" w:sz="0" w:space="0" w:color="auto"/>
      </w:divBdr>
    </w:div>
    <w:div w:id="1938706610">
      <w:bodyDiv w:val="1"/>
      <w:marLeft w:val="0"/>
      <w:marRight w:val="0"/>
      <w:marTop w:val="0"/>
      <w:marBottom w:val="0"/>
      <w:divBdr>
        <w:top w:val="none" w:sz="0" w:space="0" w:color="auto"/>
        <w:left w:val="none" w:sz="0" w:space="0" w:color="auto"/>
        <w:bottom w:val="none" w:sz="0" w:space="0" w:color="auto"/>
        <w:right w:val="none" w:sz="0" w:space="0" w:color="auto"/>
      </w:divBdr>
      <w:divsChild>
        <w:div w:id="91710263">
          <w:marLeft w:val="274"/>
          <w:marRight w:val="0"/>
          <w:marTop w:val="40"/>
          <w:marBottom w:val="80"/>
          <w:divBdr>
            <w:top w:val="none" w:sz="0" w:space="0" w:color="auto"/>
            <w:left w:val="none" w:sz="0" w:space="0" w:color="auto"/>
            <w:bottom w:val="none" w:sz="0" w:space="0" w:color="auto"/>
            <w:right w:val="none" w:sz="0" w:space="0" w:color="auto"/>
          </w:divBdr>
        </w:div>
        <w:div w:id="282419411">
          <w:marLeft w:val="274"/>
          <w:marRight w:val="0"/>
          <w:marTop w:val="40"/>
          <w:marBottom w:val="80"/>
          <w:divBdr>
            <w:top w:val="none" w:sz="0" w:space="0" w:color="auto"/>
            <w:left w:val="none" w:sz="0" w:space="0" w:color="auto"/>
            <w:bottom w:val="none" w:sz="0" w:space="0" w:color="auto"/>
            <w:right w:val="none" w:sz="0" w:space="0" w:color="auto"/>
          </w:divBdr>
        </w:div>
        <w:div w:id="330959550">
          <w:marLeft w:val="274"/>
          <w:marRight w:val="0"/>
          <w:marTop w:val="40"/>
          <w:marBottom w:val="80"/>
          <w:divBdr>
            <w:top w:val="none" w:sz="0" w:space="0" w:color="auto"/>
            <w:left w:val="none" w:sz="0" w:space="0" w:color="auto"/>
            <w:bottom w:val="none" w:sz="0" w:space="0" w:color="auto"/>
            <w:right w:val="none" w:sz="0" w:space="0" w:color="auto"/>
          </w:divBdr>
        </w:div>
        <w:div w:id="752504913">
          <w:marLeft w:val="274"/>
          <w:marRight w:val="0"/>
          <w:marTop w:val="40"/>
          <w:marBottom w:val="80"/>
          <w:divBdr>
            <w:top w:val="none" w:sz="0" w:space="0" w:color="auto"/>
            <w:left w:val="none" w:sz="0" w:space="0" w:color="auto"/>
            <w:bottom w:val="none" w:sz="0" w:space="0" w:color="auto"/>
            <w:right w:val="none" w:sz="0" w:space="0" w:color="auto"/>
          </w:divBdr>
        </w:div>
        <w:div w:id="916865390">
          <w:marLeft w:val="274"/>
          <w:marRight w:val="0"/>
          <w:marTop w:val="40"/>
          <w:marBottom w:val="80"/>
          <w:divBdr>
            <w:top w:val="none" w:sz="0" w:space="0" w:color="auto"/>
            <w:left w:val="none" w:sz="0" w:space="0" w:color="auto"/>
            <w:bottom w:val="none" w:sz="0" w:space="0" w:color="auto"/>
            <w:right w:val="none" w:sz="0" w:space="0" w:color="auto"/>
          </w:divBdr>
        </w:div>
        <w:div w:id="1000890615">
          <w:marLeft w:val="274"/>
          <w:marRight w:val="0"/>
          <w:marTop w:val="40"/>
          <w:marBottom w:val="80"/>
          <w:divBdr>
            <w:top w:val="none" w:sz="0" w:space="0" w:color="auto"/>
            <w:left w:val="none" w:sz="0" w:space="0" w:color="auto"/>
            <w:bottom w:val="none" w:sz="0" w:space="0" w:color="auto"/>
            <w:right w:val="none" w:sz="0" w:space="0" w:color="auto"/>
          </w:divBdr>
        </w:div>
        <w:div w:id="1107043537">
          <w:marLeft w:val="446"/>
          <w:marRight w:val="0"/>
          <w:marTop w:val="40"/>
          <w:marBottom w:val="80"/>
          <w:divBdr>
            <w:top w:val="none" w:sz="0" w:space="0" w:color="auto"/>
            <w:left w:val="none" w:sz="0" w:space="0" w:color="auto"/>
            <w:bottom w:val="none" w:sz="0" w:space="0" w:color="auto"/>
            <w:right w:val="none" w:sz="0" w:space="0" w:color="auto"/>
          </w:divBdr>
        </w:div>
        <w:div w:id="1343704879">
          <w:marLeft w:val="274"/>
          <w:marRight w:val="0"/>
          <w:marTop w:val="40"/>
          <w:marBottom w:val="80"/>
          <w:divBdr>
            <w:top w:val="none" w:sz="0" w:space="0" w:color="auto"/>
            <w:left w:val="none" w:sz="0" w:space="0" w:color="auto"/>
            <w:bottom w:val="none" w:sz="0" w:space="0" w:color="auto"/>
            <w:right w:val="none" w:sz="0" w:space="0" w:color="auto"/>
          </w:divBdr>
        </w:div>
        <w:div w:id="1376932784">
          <w:marLeft w:val="446"/>
          <w:marRight w:val="0"/>
          <w:marTop w:val="40"/>
          <w:marBottom w:val="80"/>
          <w:divBdr>
            <w:top w:val="none" w:sz="0" w:space="0" w:color="auto"/>
            <w:left w:val="none" w:sz="0" w:space="0" w:color="auto"/>
            <w:bottom w:val="none" w:sz="0" w:space="0" w:color="auto"/>
            <w:right w:val="none" w:sz="0" w:space="0" w:color="auto"/>
          </w:divBdr>
        </w:div>
        <w:div w:id="1381057304">
          <w:marLeft w:val="274"/>
          <w:marRight w:val="0"/>
          <w:marTop w:val="40"/>
          <w:marBottom w:val="80"/>
          <w:divBdr>
            <w:top w:val="none" w:sz="0" w:space="0" w:color="auto"/>
            <w:left w:val="none" w:sz="0" w:space="0" w:color="auto"/>
            <w:bottom w:val="none" w:sz="0" w:space="0" w:color="auto"/>
            <w:right w:val="none" w:sz="0" w:space="0" w:color="auto"/>
          </w:divBdr>
        </w:div>
        <w:div w:id="1450393541">
          <w:marLeft w:val="274"/>
          <w:marRight w:val="0"/>
          <w:marTop w:val="40"/>
          <w:marBottom w:val="80"/>
          <w:divBdr>
            <w:top w:val="none" w:sz="0" w:space="0" w:color="auto"/>
            <w:left w:val="none" w:sz="0" w:space="0" w:color="auto"/>
            <w:bottom w:val="none" w:sz="0" w:space="0" w:color="auto"/>
            <w:right w:val="none" w:sz="0" w:space="0" w:color="auto"/>
          </w:divBdr>
        </w:div>
        <w:div w:id="1981692763">
          <w:marLeft w:val="446"/>
          <w:marRight w:val="0"/>
          <w:marTop w:val="40"/>
          <w:marBottom w:val="80"/>
          <w:divBdr>
            <w:top w:val="none" w:sz="0" w:space="0" w:color="auto"/>
            <w:left w:val="none" w:sz="0" w:space="0" w:color="auto"/>
            <w:bottom w:val="none" w:sz="0" w:space="0" w:color="auto"/>
            <w:right w:val="none" w:sz="0" w:space="0" w:color="auto"/>
          </w:divBdr>
        </w:div>
        <w:div w:id="2040737597">
          <w:marLeft w:val="446"/>
          <w:marRight w:val="0"/>
          <w:marTop w:val="40"/>
          <w:marBottom w:val="80"/>
          <w:divBdr>
            <w:top w:val="none" w:sz="0" w:space="0" w:color="auto"/>
            <w:left w:val="none" w:sz="0" w:space="0" w:color="auto"/>
            <w:bottom w:val="none" w:sz="0" w:space="0" w:color="auto"/>
            <w:right w:val="none" w:sz="0" w:space="0" w:color="auto"/>
          </w:divBdr>
        </w:div>
      </w:divsChild>
    </w:div>
    <w:div w:id="1961448950">
      <w:bodyDiv w:val="1"/>
      <w:marLeft w:val="0"/>
      <w:marRight w:val="0"/>
      <w:marTop w:val="0"/>
      <w:marBottom w:val="0"/>
      <w:divBdr>
        <w:top w:val="none" w:sz="0" w:space="0" w:color="auto"/>
        <w:left w:val="none" w:sz="0" w:space="0" w:color="auto"/>
        <w:bottom w:val="none" w:sz="0" w:space="0" w:color="auto"/>
        <w:right w:val="none" w:sz="0" w:space="0" w:color="auto"/>
      </w:divBdr>
    </w:div>
    <w:div w:id="1994024555">
      <w:bodyDiv w:val="1"/>
      <w:marLeft w:val="0"/>
      <w:marRight w:val="0"/>
      <w:marTop w:val="0"/>
      <w:marBottom w:val="0"/>
      <w:divBdr>
        <w:top w:val="none" w:sz="0" w:space="0" w:color="auto"/>
        <w:left w:val="none" w:sz="0" w:space="0" w:color="auto"/>
        <w:bottom w:val="none" w:sz="0" w:space="0" w:color="auto"/>
        <w:right w:val="none" w:sz="0" w:space="0" w:color="auto"/>
      </w:divBdr>
      <w:divsChild>
        <w:div w:id="132917691">
          <w:marLeft w:val="0"/>
          <w:marRight w:val="0"/>
          <w:marTop w:val="0"/>
          <w:marBottom w:val="0"/>
          <w:divBdr>
            <w:top w:val="none" w:sz="0" w:space="0" w:color="auto"/>
            <w:left w:val="none" w:sz="0" w:space="0" w:color="auto"/>
            <w:bottom w:val="none" w:sz="0" w:space="0" w:color="auto"/>
            <w:right w:val="none" w:sz="0" w:space="0" w:color="auto"/>
          </w:divBdr>
          <w:divsChild>
            <w:div w:id="589387979">
              <w:marLeft w:val="-225"/>
              <w:marRight w:val="-225"/>
              <w:marTop w:val="0"/>
              <w:marBottom w:val="0"/>
              <w:divBdr>
                <w:top w:val="none" w:sz="0" w:space="0" w:color="auto"/>
                <w:left w:val="none" w:sz="0" w:space="0" w:color="auto"/>
                <w:bottom w:val="none" w:sz="0" w:space="0" w:color="auto"/>
                <w:right w:val="none" w:sz="0" w:space="0" w:color="auto"/>
              </w:divBdr>
              <w:divsChild>
                <w:div w:id="1499687681">
                  <w:marLeft w:val="0"/>
                  <w:marRight w:val="0"/>
                  <w:marTop w:val="0"/>
                  <w:marBottom w:val="0"/>
                  <w:divBdr>
                    <w:top w:val="none" w:sz="0" w:space="0" w:color="auto"/>
                    <w:left w:val="none" w:sz="0" w:space="0" w:color="auto"/>
                    <w:bottom w:val="none" w:sz="0" w:space="0" w:color="auto"/>
                    <w:right w:val="none" w:sz="0" w:space="0" w:color="auto"/>
                  </w:divBdr>
                  <w:divsChild>
                    <w:div w:id="636836389">
                      <w:marLeft w:val="0"/>
                      <w:marRight w:val="0"/>
                      <w:marTop w:val="0"/>
                      <w:marBottom w:val="225"/>
                      <w:divBdr>
                        <w:top w:val="none" w:sz="0" w:space="0" w:color="auto"/>
                        <w:left w:val="none" w:sz="0" w:space="0" w:color="auto"/>
                        <w:bottom w:val="none" w:sz="0" w:space="0" w:color="auto"/>
                        <w:right w:val="none" w:sz="0" w:space="0" w:color="auto"/>
                      </w:divBdr>
                      <w:divsChild>
                        <w:div w:id="1090587379">
                          <w:marLeft w:val="0"/>
                          <w:marRight w:val="0"/>
                          <w:marTop w:val="0"/>
                          <w:marBottom w:val="0"/>
                          <w:divBdr>
                            <w:top w:val="none" w:sz="0" w:space="0" w:color="auto"/>
                            <w:left w:val="none" w:sz="0" w:space="0" w:color="auto"/>
                            <w:bottom w:val="none" w:sz="0" w:space="0" w:color="auto"/>
                            <w:right w:val="none" w:sz="0" w:space="0" w:color="auto"/>
                          </w:divBdr>
                          <w:divsChild>
                            <w:div w:id="981498480">
                              <w:marLeft w:val="0"/>
                              <w:marRight w:val="0"/>
                              <w:marTop w:val="0"/>
                              <w:marBottom w:val="0"/>
                              <w:divBdr>
                                <w:top w:val="none" w:sz="0" w:space="0" w:color="auto"/>
                                <w:left w:val="none" w:sz="0" w:space="0" w:color="auto"/>
                                <w:bottom w:val="none" w:sz="0" w:space="0" w:color="auto"/>
                                <w:right w:val="none" w:sz="0" w:space="0" w:color="auto"/>
                              </w:divBdr>
                              <w:divsChild>
                                <w:div w:id="1884975924">
                                  <w:marLeft w:val="0"/>
                                  <w:marRight w:val="0"/>
                                  <w:marTop w:val="0"/>
                                  <w:marBottom w:val="0"/>
                                  <w:divBdr>
                                    <w:top w:val="none" w:sz="0" w:space="0" w:color="auto"/>
                                    <w:left w:val="none" w:sz="0" w:space="0" w:color="auto"/>
                                    <w:bottom w:val="none" w:sz="0" w:space="0" w:color="auto"/>
                                    <w:right w:val="none" w:sz="0" w:space="0" w:color="auto"/>
                                  </w:divBdr>
                                  <w:divsChild>
                                    <w:div w:id="222644389">
                                      <w:marLeft w:val="0"/>
                                      <w:marRight w:val="0"/>
                                      <w:marTop w:val="0"/>
                                      <w:marBottom w:val="0"/>
                                      <w:divBdr>
                                        <w:top w:val="none" w:sz="0" w:space="0" w:color="auto"/>
                                        <w:left w:val="none" w:sz="0" w:space="0" w:color="auto"/>
                                        <w:bottom w:val="none" w:sz="0" w:space="0" w:color="auto"/>
                                        <w:right w:val="none" w:sz="0" w:space="0" w:color="auto"/>
                                      </w:divBdr>
                                      <w:divsChild>
                                        <w:div w:id="1559433704">
                                          <w:marLeft w:val="0"/>
                                          <w:marRight w:val="0"/>
                                          <w:marTop w:val="0"/>
                                          <w:marBottom w:val="0"/>
                                          <w:divBdr>
                                            <w:top w:val="none" w:sz="0" w:space="0" w:color="auto"/>
                                            <w:left w:val="none" w:sz="0" w:space="0" w:color="auto"/>
                                            <w:bottom w:val="none" w:sz="0" w:space="0" w:color="auto"/>
                                            <w:right w:val="none" w:sz="0" w:space="0" w:color="auto"/>
                                          </w:divBdr>
                                          <w:divsChild>
                                            <w:div w:id="920866480">
                                              <w:marLeft w:val="0"/>
                                              <w:marRight w:val="0"/>
                                              <w:marTop w:val="0"/>
                                              <w:marBottom w:val="0"/>
                                              <w:divBdr>
                                                <w:top w:val="none" w:sz="0" w:space="0" w:color="auto"/>
                                                <w:left w:val="none" w:sz="0" w:space="0" w:color="auto"/>
                                                <w:bottom w:val="none" w:sz="0" w:space="0" w:color="auto"/>
                                                <w:right w:val="none" w:sz="0" w:space="0" w:color="auto"/>
                                              </w:divBdr>
                                              <w:divsChild>
                                                <w:div w:id="834882593">
                                                  <w:marLeft w:val="0"/>
                                                  <w:marRight w:val="0"/>
                                                  <w:marTop w:val="0"/>
                                                  <w:marBottom w:val="0"/>
                                                  <w:divBdr>
                                                    <w:top w:val="none" w:sz="0" w:space="0" w:color="auto"/>
                                                    <w:left w:val="none" w:sz="0" w:space="0" w:color="auto"/>
                                                    <w:bottom w:val="none" w:sz="0" w:space="0" w:color="auto"/>
                                                    <w:right w:val="none" w:sz="0" w:space="0" w:color="auto"/>
                                                  </w:divBdr>
                                                  <w:divsChild>
                                                    <w:div w:id="1780367693">
                                                      <w:marLeft w:val="0"/>
                                                      <w:marRight w:val="0"/>
                                                      <w:marTop w:val="0"/>
                                                      <w:marBottom w:val="0"/>
                                                      <w:divBdr>
                                                        <w:top w:val="none" w:sz="0" w:space="0" w:color="auto"/>
                                                        <w:left w:val="none" w:sz="0" w:space="0" w:color="auto"/>
                                                        <w:bottom w:val="none" w:sz="0" w:space="0" w:color="auto"/>
                                                        <w:right w:val="none" w:sz="0" w:space="0" w:color="auto"/>
                                                      </w:divBdr>
                                                      <w:divsChild>
                                                        <w:div w:id="766274020">
                                                          <w:marLeft w:val="-225"/>
                                                          <w:marRight w:val="-225"/>
                                                          <w:marTop w:val="0"/>
                                                          <w:marBottom w:val="0"/>
                                                          <w:divBdr>
                                                            <w:top w:val="none" w:sz="0" w:space="0" w:color="auto"/>
                                                            <w:left w:val="none" w:sz="0" w:space="0" w:color="auto"/>
                                                            <w:bottom w:val="none" w:sz="0" w:space="0" w:color="auto"/>
                                                            <w:right w:val="none" w:sz="0" w:space="0" w:color="auto"/>
                                                          </w:divBdr>
                                                          <w:divsChild>
                                                            <w:div w:id="1017972127">
                                                              <w:marLeft w:val="0"/>
                                                              <w:marRight w:val="0"/>
                                                              <w:marTop w:val="0"/>
                                                              <w:marBottom w:val="0"/>
                                                              <w:divBdr>
                                                                <w:top w:val="none" w:sz="0" w:space="0" w:color="auto"/>
                                                                <w:left w:val="none" w:sz="0" w:space="0" w:color="auto"/>
                                                                <w:bottom w:val="none" w:sz="0" w:space="0" w:color="auto"/>
                                                                <w:right w:val="none" w:sz="0" w:space="0" w:color="auto"/>
                                                              </w:divBdr>
                                                            </w:div>
                                                          </w:divsChild>
                                                        </w:div>
                                                        <w:div w:id="984625264">
                                                          <w:marLeft w:val="-225"/>
                                                          <w:marRight w:val="-225"/>
                                                          <w:marTop w:val="0"/>
                                                          <w:marBottom w:val="0"/>
                                                          <w:divBdr>
                                                            <w:top w:val="none" w:sz="0" w:space="0" w:color="auto"/>
                                                            <w:left w:val="none" w:sz="0" w:space="0" w:color="auto"/>
                                                            <w:bottom w:val="none" w:sz="0" w:space="0" w:color="auto"/>
                                                            <w:right w:val="none" w:sz="0" w:space="0" w:color="auto"/>
                                                          </w:divBdr>
                                                          <w:divsChild>
                                                            <w:div w:id="1731657743">
                                                              <w:marLeft w:val="0"/>
                                                              <w:marRight w:val="0"/>
                                                              <w:marTop w:val="0"/>
                                                              <w:marBottom w:val="0"/>
                                                              <w:divBdr>
                                                                <w:top w:val="none" w:sz="0" w:space="0" w:color="auto"/>
                                                                <w:left w:val="none" w:sz="0" w:space="0" w:color="auto"/>
                                                                <w:bottom w:val="none" w:sz="0" w:space="0" w:color="auto"/>
                                                                <w:right w:val="none" w:sz="0" w:space="0" w:color="auto"/>
                                                              </w:divBdr>
                                                            </w:div>
                                                          </w:divsChild>
                                                        </w:div>
                                                        <w:div w:id="993415310">
                                                          <w:marLeft w:val="-225"/>
                                                          <w:marRight w:val="-225"/>
                                                          <w:marTop w:val="0"/>
                                                          <w:marBottom w:val="0"/>
                                                          <w:divBdr>
                                                            <w:top w:val="none" w:sz="0" w:space="0" w:color="auto"/>
                                                            <w:left w:val="none" w:sz="0" w:space="0" w:color="auto"/>
                                                            <w:bottom w:val="none" w:sz="0" w:space="0" w:color="auto"/>
                                                            <w:right w:val="none" w:sz="0" w:space="0" w:color="auto"/>
                                                          </w:divBdr>
                                                          <w:divsChild>
                                                            <w:div w:id="50806770">
                                                              <w:marLeft w:val="0"/>
                                                              <w:marRight w:val="0"/>
                                                              <w:marTop w:val="0"/>
                                                              <w:marBottom w:val="0"/>
                                                              <w:divBdr>
                                                                <w:top w:val="none" w:sz="0" w:space="0" w:color="auto"/>
                                                                <w:left w:val="none" w:sz="0" w:space="0" w:color="auto"/>
                                                                <w:bottom w:val="none" w:sz="0" w:space="0" w:color="auto"/>
                                                                <w:right w:val="none" w:sz="0" w:space="0" w:color="auto"/>
                                                              </w:divBdr>
                                                            </w:div>
                                                          </w:divsChild>
                                                        </w:div>
                                                        <w:div w:id="1784566654">
                                                          <w:marLeft w:val="-225"/>
                                                          <w:marRight w:val="-225"/>
                                                          <w:marTop w:val="0"/>
                                                          <w:marBottom w:val="0"/>
                                                          <w:divBdr>
                                                            <w:top w:val="none" w:sz="0" w:space="0" w:color="auto"/>
                                                            <w:left w:val="none" w:sz="0" w:space="0" w:color="auto"/>
                                                            <w:bottom w:val="none" w:sz="0" w:space="0" w:color="auto"/>
                                                            <w:right w:val="none" w:sz="0" w:space="0" w:color="auto"/>
                                                          </w:divBdr>
                                                          <w:divsChild>
                                                            <w:div w:id="17898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21159990">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35766067">
      <w:bodyDiv w:val="1"/>
      <w:marLeft w:val="0"/>
      <w:marRight w:val="0"/>
      <w:marTop w:val="0"/>
      <w:marBottom w:val="0"/>
      <w:divBdr>
        <w:top w:val="none" w:sz="0" w:space="0" w:color="auto"/>
        <w:left w:val="none" w:sz="0" w:space="0" w:color="auto"/>
        <w:bottom w:val="none" w:sz="0" w:space="0" w:color="auto"/>
        <w:right w:val="none" w:sz="0" w:space="0" w:color="auto"/>
      </w:divBdr>
      <w:divsChild>
        <w:div w:id="22635111">
          <w:marLeft w:val="475"/>
          <w:marRight w:val="0"/>
          <w:marTop w:val="141"/>
          <w:marBottom w:val="0"/>
          <w:divBdr>
            <w:top w:val="none" w:sz="0" w:space="0" w:color="auto"/>
            <w:left w:val="none" w:sz="0" w:space="0" w:color="auto"/>
            <w:bottom w:val="none" w:sz="0" w:space="0" w:color="auto"/>
            <w:right w:val="none" w:sz="0" w:space="0" w:color="auto"/>
          </w:divBdr>
        </w:div>
        <w:div w:id="172568743">
          <w:marLeft w:val="475"/>
          <w:marRight w:val="86"/>
          <w:marTop w:val="179"/>
          <w:marBottom w:val="0"/>
          <w:divBdr>
            <w:top w:val="none" w:sz="0" w:space="0" w:color="auto"/>
            <w:left w:val="none" w:sz="0" w:space="0" w:color="auto"/>
            <w:bottom w:val="none" w:sz="0" w:space="0" w:color="auto"/>
            <w:right w:val="none" w:sz="0" w:space="0" w:color="auto"/>
          </w:divBdr>
        </w:div>
        <w:div w:id="509295616">
          <w:marLeft w:val="475"/>
          <w:marRight w:val="14"/>
          <w:marTop w:val="185"/>
          <w:marBottom w:val="0"/>
          <w:divBdr>
            <w:top w:val="none" w:sz="0" w:space="0" w:color="auto"/>
            <w:left w:val="none" w:sz="0" w:space="0" w:color="auto"/>
            <w:bottom w:val="none" w:sz="0" w:space="0" w:color="auto"/>
            <w:right w:val="none" w:sz="0" w:space="0" w:color="auto"/>
          </w:divBdr>
        </w:div>
        <w:div w:id="1058746012">
          <w:marLeft w:val="475"/>
          <w:marRight w:val="0"/>
          <w:marTop w:val="142"/>
          <w:marBottom w:val="0"/>
          <w:divBdr>
            <w:top w:val="none" w:sz="0" w:space="0" w:color="auto"/>
            <w:left w:val="none" w:sz="0" w:space="0" w:color="auto"/>
            <w:bottom w:val="none" w:sz="0" w:space="0" w:color="auto"/>
            <w:right w:val="none" w:sz="0" w:space="0" w:color="auto"/>
          </w:divBdr>
        </w:div>
        <w:div w:id="1356157675">
          <w:marLeft w:val="1195"/>
          <w:marRight w:val="86"/>
          <w:marTop w:val="179"/>
          <w:marBottom w:val="0"/>
          <w:divBdr>
            <w:top w:val="none" w:sz="0" w:space="0" w:color="auto"/>
            <w:left w:val="none" w:sz="0" w:space="0" w:color="auto"/>
            <w:bottom w:val="none" w:sz="0" w:space="0" w:color="auto"/>
            <w:right w:val="none" w:sz="0" w:space="0" w:color="auto"/>
          </w:divBdr>
        </w:div>
        <w:div w:id="1535970366">
          <w:marLeft w:val="1195"/>
          <w:marRight w:val="86"/>
          <w:marTop w:val="179"/>
          <w:marBottom w:val="0"/>
          <w:divBdr>
            <w:top w:val="none" w:sz="0" w:space="0" w:color="auto"/>
            <w:left w:val="none" w:sz="0" w:space="0" w:color="auto"/>
            <w:bottom w:val="none" w:sz="0" w:space="0" w:color="auto"/>
            <w:right w:val="none" w:sz="0" w:space="0" w:color="auto"/>
          </w:divBdr>
        </w:div>
        <w:div w:id="1956137849">
          <w:marLeft w:val="1195"/>
          <w:marRight w:val="86"/>
          <w:marTop w:val="179"/>
          <w:marBottom w:val="0"/>
          <w:divBdr>
            <w:top w:val="none" w:sz="0" w:space="0" w:color="auto"/>
            <w:left w:val="none" w:sz="0" w:space="0" w:color="auto"/>
            <w:bottom w:val="none" w:sz="0" w:space="0" w:color="auto"/>
            <w:right w:val="none" w:sz="0" w:space="0" w:color="auto"/>
          </w:divBdr>
        </w:div>
      </w:divsChild>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057118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gmrg.coagenergycouncil.gov.au/" TargetMode="External"/><Relationship Id="rId26" Type="http://schemas.openxmlformats.org/officeDocument/2006/relationships/image" Target="media/image4.emf"/><Relationship Id="rId39"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header" Target="header8.xml"/><Relationship Id="rId42" Type="http://schemas.openxmlformats.org/officeDocument/2006/relationships/header" Target="header11.xml"/><Relationship Id="rId47" Type="http://schemas.openxmlformats.org/officeDocument/2006/relationships/footer" Target="footer1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mailto:enquiries@gmrg.coagenergycouncil.gov.au" TargetMode="External"/><Relationship Id="rId25" Type="http://schemas.openxmlformats.org/officeDocument/2006/relationships/footer" Target="footer5.xml"/><Relationship Id="rId33" Type="http://schemas.openxmlformats.org/officeDocument/2006/relationships/header" Target="header7.xml"/><Relationship Id="rId38" Type="http://schemas.openxmlformats.org/officeDocument/2006/relationships/footer" Target="footer9.xml"/><Relationship Id="rId46"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mailto:enquiries@gmrg.coagenergycouncil.gov.au" TargetMode="External"/><Relationship Id="rId29" Type="http://schemas.openxmlformats.org/officeDocument/2006/relationships/header" Target="header6.xml"/><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5.xml"/><Relationship Id="rId32" Type="http://schemas.openxmlformats.org/officeDocument/2006/relationships/image" Target="media/image7.PNG"/><Relationship Id="rId37" Type="http://schemas.openxmlformats.org/officeDocument/2006/relationships/header" Target="header9.xml"/><Relationship Id="rId40" Type="http://schemas.openxmlformats.org/officeDocument/2006/relationships/header" Target="header10.xml"/><Relationship Id="rId45" Type="http://schemas.openxmlformats.org/officeDocument/2006/relationships/footer" Target="footer13.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8.xm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enquiries@gmrg.coagenergycouncil.gov.au" TargetMode="External"/><Relationship Id="rId31" Type="http://schemas.openxmlformats.org/officeDocument/2006/relationships/image" Target="media/image6.png"/><Relationship Id="rId44" Type="http://schemas.openxmlformats.org/officeDocument/2006/relationships/footer" Target="footer1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footer" Target="footer3.xml"/><Relationship Id="rId27" Type="http://schemas.openxmlformats.org/officeDocument/2006/relationships/hyperlink" Target="mailto:enquiries@gmrg.coagenergycouncil.gov.au" TargetMode="External"/><Relationship Id="rId30" Type="http://schemas.openxmlformats.org/officeDocument/2006/relationships/footer" Target="footer6.xml"/><Relationship Id="rId35" Type="http://schemas.openxmlformats.org/officeDocument/2006/relationships/footer" Target="footer7.xml"/><Relationship Id="rId43" Type="http://schemas.openxmlformats.org/officeDocument/2006/relationships/footer" Target="footer11.xml"/><Relationship Id="rId48" Type="http://schemas.openxmlformats.org/officeDocument/2006/relationships/fontTable" Target="fontTable.xml"/><Relationship Id="rId8" Type="http://schemas.openxmlformats.org/officeDocument/2006/relationships/webSettings" Target="webSettings.xm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2E8C1A015F23C4FBB98617DE4247464" ma:contentTypeVersion="6" ma:contentTypeDescription="Create a new document." ma:contentTypeScope="" ma:versionID="bdfbbb4a9975bd0396efcb39b5a2a4d8">
  <xsd:schema xmlns:xsd="http://www.w3.org/2001/XMLSchema" xmlns:xs="http://www.w3.org/2001/XMLSchema" xmlns:p="http://schemas.microsoft.com/office/2006/metadata/properties" xmlns:ns2="b36f0a4f-5506-4329-9a4e-301ad29d175f" xmlns:ns3="4a9afdaf-ab64-48c3-9c8c-735e54f00f2f" targetNamespace="http://schemas.microsoft.com/office/2006/metadata/properties" ma:root="true" ma:fieldsID="bef64ad71cce3e0eabccc4e831666558" ns2:_="" ns3:_="">
    <xsd:import namespace="b36f0a4f-5506-4329-9a4e-301ad29d175f"/>
    <xsd:import namespace="4a9afdaf-ab64-48c3-9c8c-735e54f00f2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6f0a4f-5506-4329-9a4e-301ad29d175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9afdaf-ab64-48c3-9c8c-735e54f00f2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255001-7064-495A-8898-F50D10692B50}">
  <ds:schemaRefs>
    <ds:schemaRef ds:uri="http://schemas.openxmlformats.org/package/2006/metadata/core-properties"/>
    <ds:schemaRef ds:uri="http://www.w3.org/XML/1998/namespace"/>
    <ds:schemaRef ds:uri="http://purl.org/dc/terms/"/>
    <ds:schemaRef ds:uri="b36f0a4f-5506-4329-9a4e-301ad29d175f"/>
    <ds:schemaRef ds:uri="http://schemas.microsoft.com/office/2006/metadata/properties"/>
    <ds:schemaRef ds:uri="4a9afdaf-ab64-48c3-9c8c-735e54f00f2f"/>
    <ds:schemaRef ds:uri="http://purl.org/dc/elements/1.1/"/>
    <ds:schemaRef ds:uri="http://schemas.microsoft.com/office/2006/documentManagement/types"/>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88956E52-22A0-4F14-8D8D-C1433A664DFF}">
  <ds:schemaRefs>
    <ds:schemaRef ds:uri="http://schemas.microsoft.com/sharepoint/v3/contenttype/forms"/>
  </ds:schemaRefs>
</ds:datastoreItem>
</file>

<file path=customXml/itemProps3.xml><?xml version="1.0" encoding="utf-8"?>
<ds:datastoreItem xmlns:ds="http://schemas.openxmlformats.org/officeDocument/2006/customXml" ds:itemID="{288BE869-6CBE-4E14-A714-949653C505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6f0a4f-5506-4329-9a4e-301ad29d175f"/>
    <ds:schemaRef ds:uri="4a9afdaf-ab64-48c3-9c8c-735e54f00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6529A0-6808-41F1-A3FC-70D68A525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CEB71445.dotm</Template>
  <TotalTime>0</TotalTime>
  <Pages>91</Pages>
  <Words>33830</Words>
  <Characters>181206</Characters>
  <Application>Microsoft Office Word</Application>
  <DocSecurity>4</DocSecurity>
  <Lines>1510</Lines>
  <Paragraphs>429</Paragraphs>
  <ScaleCrop>false</ScaleCrop>
  <HeadingPairs>
    <vt:vector size="2" baseType="variant">
      <vt:variant>
        <vt:lpstr>Title</vt:lpstr>
      </vt:variant>
      <vt:variant>
        <vt:i4>1</vt:i4>
      </vt:variant>
    </vt:vector>
  </HeadingPairs>
  <TitlesOfParts>
    <vt:vector size="1" baseType="lpstr">
      <vt:lpstr>GMRG Consultation Paper Legal and Regulatory Framework</vt:lpstr>
    </vt:vector>
  </TitlesOfParts>
  <Company/>
  <LinksUpToDate>false</LinksUpToDate>
  <CharactersWithSpaces>214607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GMRG Consultation Paper Legal and Regulatory Framework</dc:title>
  <dc:subject/>
  <dc:creator>GMRG</dc:creator>
  <cp:keywords/>
  <dc:description/>
  <cp:lastModifiedBy>Murphy, Erin</cp:lastModifiedBy>
  <cp:revision>2</cp:revision>
  <cp:lastPrinted>2018-03-18T18:29:00Z</cp:lastPrinted>
  <dcterms:created xsi:type="dcterms:W3CDTF">2018-03-23T00:14:00Z</dcterms:created>
  <dcterms:modified xsi:type="dcterms:W3CDTF">2018-03-23T00:14:00Z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0x01010052E8C1A015F23C4FBB98617DE4247464</vt:lpwstr>
  </property>
</Properties>
</file>