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364B1" w14:textId="77777777" w:rsidR="00893D30" w:rsidRDefault="00893D30" w:rsidP="007F66E0">
      <w:pPr>
        <w:pStyle w:val="TableBodyText"/>
        <w:rPr>
          <w:sz w:val="2"/>
          <w:szCs w:val="2"/>
        </w:rPr>
      </w:pPr>
      <w:bookmarkStart w:id="1" w:name="_GoBack"/>
      <w:bookmarkEnd w:id="1"/>
    </w:p>
    <w:p w14:paraId="703E3530" w14:textId="009D9D6D" w:rsidR="00EC525F" w:rsidRDefault="00EC525F" w:rsidP="007F66E0">
      <w:pPr>
        <w:pStyle w:val="TableBodyText"/>
        <w:rPr>
          <w:sz w:val="2"/>
          <w:szCs w:val="2"/>
        </w:rPr>
      </w:pPr>
      <w:r>
        <w:rPr>
          <w:sz w:val="2"/>
          <w:szCs w:val="2"/>
        </w:rPr>
        <w:t> </w:t>
      </w:r>
    </w:p>
    <w:p w14:paraId="3805AE77" w14:textId="1B34BB1D" w:rsidR="00EC525F" w:rsidRDefault="00254F2B" w:rsidP="00254F2B">
      <w:pPr>
        <w:pStyle w:val="Heading9"/>
        <w:keepNext w:val="0"/>
        <w:keepLines w:val="0"/>
        <w:pageBreakBefore w:val="0"/>
        <w:numPr>
          <w:ilvl w:val="0"/>
          <w:numId w:val="0"/>
        </w:numPr>
        <w:tabs>
          <w:tab w:val="left" w:pos="1395"/>
        </w:tabs>
        <w:spacing w:before="0" w:after="120" w:line="240" w:lineRule="auto"/>
      </w:pPr>
      <w:r>
        <w:t xml:space="preserve">Attachment 2 </w:t>
      </w:r>
      <w:r>
        <w:tab/>
      </w:r>
      <w:r>
        <w:tab/>
      </w:r>
      <w:r w:rsidR="00EC525F">
        <w:t>Stakeholder feedback template</w:t>
      </w:r>
    </w:p>
    <w:p w14:paraId="39D55AD6" w14:textId="77777777" w:rsidR="00C93AF4" w:rsidRDefault="00C93AF4" w:rsidP="00C93AF4">
      <w:pPr>
        <w:pStyle w:val="BodyText"/>
      </w:pPr>
      <w:r>
        <w:t xml:space="preserve">The template below has been developed to enable stakeholders to provide their feedback on the questions posed in this paper and any other issues that they would like to provide feedback on. The GMRG strongly encourages stakeholders to use this template, so that it can have due regard to the views expressed by stakeholders on each issue. </w:t>
      </w:r>
      <w:r>
        <w:rPr>
          <w:rFonts w:cs="Arial"/>
        </w:rPr>
        <w:t>Stakeholders should not feel obliged to answer each question, but rather address those issues of particular interest or concern.</w:t>
      </w:r>
    </w:p>
    <w:p w14:paraId="3E73655E" w14:textId="48BEC112" w:rsidR="00751619" w:rsidRPr="00751619" w:rsidRDefault="00751619" w:rsidP="00751619">
      <w:pPr>
        <w:pStyle w:val="ExecSummHeading2"/>
      </w:pPr>
      <w:r w:rsidRPr="00751619">
        <w:t>PART A – Standardisation Reforms</w:t>
      </w:r>
    </w:p>
    <w:tbl>
      <w:tblPr>
        <w:tblStyle w:val="TableGrid"/>
        <w:tblW w:w="5003" w:type="pct"/>
        <w:tblInd w:w="-5" w:type="dxa"/>
        <w:tblLook w:val="0420" w:firstRow="1" w:lastRow="0" w:firstColumn="0" w:lastColumn="0" w:noHBand="0" w:noVBand="1"/>
        <w:tblCaption w:val="Part A - Standardiation reforms"/>
        <w:tblDescription w:val="Part A - Standardiation reforms questions"/>
      </w:tblPr>
      <w:tblGrid>
        <w:gridCol w:w="1237"/>
        <w:gridCol w:w="5566"/>
        <w:gridCol w:w="7484"/>
      </w:tblGrid>
      <w:tr w:rsidR="003303D0" w:rsidRPr="00852BE3" w14:paraId="61381AFA" w14:textId="77777777" w:rsidTr="0005387E">
        <w:trPr>
          <w:cnfStyle w:val="100000000000" w:firstRow="1" w:lastRow="0" w:firstColumn="0" w:lastColumn="0" w:oddVBand="0" w:evenVBand="0" w:oddHBand="0" w:evenHBand="0" w:firstRowFirstColumn="0" w:firstRowLastColumn="0" w:lastRowFirstColumn="0" w:lastRowLastColumn="0"/>
          <w:tblHeader/>
        </w:trPr>
        <w:tc>
          <w:tcPr>
            <w:tcW w:w="433" w:type="pct"/>
            <w:tcBorders>
              <w:top w:val="single" w:sz="4" w:space="0" w:color="auto"/>
              <w:left w:val="single" w:sz="4" w:space="0" w:color="auto"/>
              <w:bottom w:val="single" w:sz="4" w:space="0" w:color="auto"/>
              <w:right w:val="single" w:sz="4" w:space="0" w:color="auto"/>
            </w:tcBorders>
            <w:shd w:val="clear" w:color="auto" w:fill="0099CC"/>
          </w:tcPr>
          <w:p w14:paraId="2376FBDA" w14:textId="44D276FB" w:rsidR="00ED6E2A" w:rsidRPr="00852BE3" w:rsidRDefault="00ED6E2A" w:rsidP="001A5C7F">
            <w:pPr>
              <w:pStyle w:val="TableHeading"/>
              <w:keepNext/>
              <w:spacing w:before="20" w:after="20"/>
              <w:ind w:left="75" w:right="75"/>
              <w:jc w:val="center"/>
              <w:rPr>
                <w:rFonts w:asciiTheme="majorHAnsi" w:hAnsiTheme="majorHAnsi" w:cstheme="majorHAnsi"/>
                <w:sz w:val="19"/>
                <w:szCs w:val="19"/>
                <w:lang w:eastAsia="fr-CA"/>
              </w:rPr>
            </w:pPr>
          </w:p>
        </w:tc>
        <w:tc>
          <w:tcPr>
            <w:tcW w:w="1948" w:type="pct"/>
            <w:tcBorders>
              <w:top w:val="single" w:sz="4" w:space="0" w:color="auto"/>
              <w:left w:val="single" w:sz="4" w:space="0" w:color="auto"/>
              <w:bottom w:val="single" w:sz="4" w:space="0" w:color="auto"/>
              <w:right w:val="single" w:sz="4" w:space="0" w:color="auto"/>
            </w:tcBorders>
            <w:shd w:val="clear" w:color="auto" w:fill="0099CC"/>
          </w:tcPr>
          <w:p w14:paraId="6969C5BB" w14:textId="58A01A97" w:rsidR="00ED6E2A" w:rsidRPr="00852BE3" w:rsidRDefault="00ED6E2A" w:rsidP="00EC525F">
            <w:pPr>
              <w:pStyle w:val="TableHeading"/>
              <w:keepNext/>
              <w:spacing w:before="20" w:after="20"/>
              <w:ind w:left="75" w:right="75"/>
              <w:rPr>
                <w:rFonts w:asciiTheme="majorHAnsi" w:hAnsiTheme="majorHAnsi" w:cstheme="majorHAnsi"/>
                <w:sz w:val="19"/>
                <w:szCs w:val="19"/>
                <w:lang w:eastAsia="fr-CA"/>
              </w:rPr>
            </w:pPr>
            <w:r w:rsidRPr="00852BE3">
              <w:rPr>
                <w:rFonts w:asciiTheme="majorHAnsi" w:hAnsiTheme="majorHAnsi" w:cstheme="majorHAnsi"/>
                <w:sz w:val="19"/>
                <w:szCs w:val="19"/>
                <w:lang w:eastAsia="fr-CA"/>
              </w:rPr>
              <w:t>Questions</w:t>
            </w:r>
          </w:p>
        </w:tc>
        <w:tc>
          <w:tcPr>
            <w:tcW w:w="2619" w:type="pct"/>
            <w:tcBorders>
              <w:top w:val="single" w:sz="4" w:space="0" w:color="auto"/>
              <w:left w:val="single" w:sz="4" w:space="0" w:color="auto"/>
              <w:bottom w:val="single" w:sz="4" w:space="0" w:color="auto"/>
              <w:right w:val="single" w:sz="4" w:space="0" w:color="auto"/>
            </w:tcBorders>
            <w:shd w:val="clear" w:color="auto" w:fill="0099CC"/>
            <w:hideMark/>
          </w:tcPr>
          <w:p w14:paraId="19D37B91" w14:textId="44758995" w:rsidR="00ED6E2A" w:rsidRPr="00852BE3" w:rsidRDefault="00ED6E2A" w:rsidP="00EC525F">
            <w:pPr>
              <w:pStyle w:val="TableHeading"/>
              <w:keepNext/>
              <w:spacing w:before="20" w:after="20"/>
              <w:ind w:left="75" w:right="75"/>
              <w:rPr>
                <w:rFonts w:asciiTheme="majorHAnsi" w:hAnsiTheme="majorHAnsi" w:cstheme="majorHAnsi"/>
                <w:sz w:val="19"/>
                <w:szCs w:val="19"/>
                <w:lang w:eastAsia="fr-CA"/>
              </w:rPr>
            </w:pPr>
            <w:r w:rsidRPr="00852BE3">
              <w:rPr>
                <w:rFonts w:asciiTheme="majorHAnsi" w:hAnsiTheme="majorHAnsi" w:cstheme="majorHAnsi"/>
                <w:sz w:val="19"/>
                <w:szCs w:val="19"/>
                <w:lang w:eastAsia="fr-CA"/>
              </w:rPr>
              <w:t>Feedback</w:t>
            </w:r>
          </w:p>
        </w:tc>
      </w:tr>
      <w:tr w:rsidR="000434CC" w:rsidRPr="00852BE3" w14:paraId="28286518" w14:textId="77777777" w:rsidTr="000D6A82">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6316B7FE" w14:textId="2305ACF5" w:rsidR="000434CC" w:rsidRPr="00852BE3" w:rsidRDefault="000434CC" w:rsidP="001A5C7F">
            <w:pPr>
              <w:pStyle w:val="TableBullet1"/>
              <w:keepNext/>
              <w:numPr>
                <w:ilvl w:val="0"/>
                <w:numId w:val="0"/>
              </w:numPr>
              <w:tabs>
                <w:tab w:val="left" w:pos="720"/>
              </w:tabs>
              <w:spacing w:before="20" w:after="20"/>
              <w:ind w:left="75"/>
              <w:jc w:val="center"/>
              <w:rPr>
                <w:rFonts w:asciiTheme="majorHAnsi" w:hAnsiTheme="majorHAnsi" w:cstheme="majorHAnsi"/>
                <w:b/>
                <w:sz w:val="19"/>
                <w:szCs w:val="19"/>
                <w:lang w:eastAsia="fr-CA"/>
              </w:rPr>
            </w:pPr>
            <w:r w:rsidRPr="00852BE3">
              <w:rPr>
                <w:rFonts w:asciiTheme="majorHAnsi" w:hAnsiTheme="majorHAnsi" w:cstheme="majorHAnsi"/>
                <w:b/>
                <w:sz w:val="19"/>
                <w:szCs w:val="19"/>
                <w:lang w:eastAsia="fr-CA"/>
              </w:rPr>
              <w:t>3.2</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799D71EC" w14:textId="6CD7A316" w:rsidR="000434CC" w:rsidRPr="00852BE3" w:rsidRDefault="000434CC" w:rsidP="000434CC">
            <w:pPr>
              <w:pStyle w:val="TableBullet1"/>
              <w:keepNext/>
              <w:numPr>
                <w:ilvl w:val="0"/>
                <w:numId w:val="0"/>
              </w:numPr>
              <w:tabs>
                <w:tab w:val="left" w:pos="720"/>
              </w:tabs>
              <w:spacing w:before="20" w:after="20"/>
              <w:ind w:left="141"/>
              <w:rPr>
                <w:rFonts w:asciiTheme="majorHAnsi" w:hAnsiTheme="majorHAnsi" w:cstheme="majorHAnsi"/>
                <w:b/>
                <w:sz w:val="19"/>
                <w:szCs w:val="19"/>
                <w:lang w:eastAsia="fr-CA"/>
              </w:rPr>
            </w:pPr>
            <w:r w:rsidRPr="00852BE3">
              <w:rPr>
                <w:rFonts w:asciiTheme="majorHAnsi" w:hAnsiTheme="majorHAnsi" w:cstheme="majorHAnsi"/>
                <w:b/>
                <w:sz w:val="19"/>
                <w:szCs w:val="19"/>
                <w:lang w:eastAsia="fr-CA"/>
              </w:rPr>
              <w:t>Contracts to be standardised</w:t>
            </w:r>
          </w:p>
        </w:tc>
      </w:tr>
      <w:tr w:rsidR="000434CC" w:rsidRPr="00852BE3" w14:paraId="03F6F9D2"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1039FEC9" w14:textId="77EE8C21"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9E6CC94" w14:textId="29E6A44E"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Given the objective of the standardisation reforms is to facilitate more secondary capacity trading and the majority of trade is expected to be conducted using operational transfers, do you think it is sufficient to standardise terms for operational GTAs, or do you think primary GTAs also need to be standardised? </w:t>
            </w:r>
          </w:p>
        </w:tc>
        <w:tc>
          <w:tcPr>
            <w:tcW w:w="2619" w:type="pct"/>
            <w:tcBorders>
              <w:top w:val="single" w:sz="4" w:space="0" w:color="auto"/>
              <w:left w:val="single" w:sz="4" w:space="0" w:color="auto"/>
              <w:bottom w:val="single" w:sz="4" w:space="0" w:color="auto"/>
              <w:right w:val="single" w:sz="4" w:space="0" w:color="auto"/>
            </w:tcBorders>
          </w:tcPr>
          <w:p w14:paraId="764303D5" w14:textId="49935DA5"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7BB9DFA1" w14:textId="77777777" w:rsidTr="0005387E">
        <w:tc>
          <w:tcPr>
            <w:tcW w:w="433" w:type="pct"/>
            <w:tcBorders>
              <w:top w:val="single" w:sz="4" w:space="0" w:color="auto"/>
              <w:left w:val="single" w:sz="4" w:space="0" w:color="auto"/>
              <w:bottom w:val="single" w:sz="4" w:space="0" w:color="auto"/>
              <w:right w:val="single" w:sz="4" w:space="0" w:color="auto"/>
            </w:tcBorders>
          </w:tcPr>
          <w:p w14:paraId="63112704" w14:textId="1582C74D"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3FAFEF65" w14:textId="1BF00C36"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there is any value in carrying out more work to standardise the CTA for bilateral trades that are given effect through a bare transfer? If so, what amendments do you think need to be made to the contract that AEMO has developed?</w:t>
            </w:r>
          </w:p>
        </w:tc>
        <w:tc>
          <w:tcPr>
            <w:tcW w:w="2619" w:type="pct"/>
            <w:tcBorders>
              <w:top w:val="single" w:sz="4" w:space="0" w:color="auto"/>
              <w:left w:val="single" w:sz="4" w:space="0" w:color="auto"/>
              <w:bottom w:val="single" w:sz="4" w:space="0" w:color="auto"/>
              <w:right w:val="single" w:sz="4" w:space="0" w:color="auto"/>
            </w:tcBorders>
          </w:tcPr>
          <w:p w14:paraId="533D8F93" w14:textId="357C592F"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1763AC80" w14:textId="77777777" w:rsidTr="000D6A82">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7CCA8CD3" w14:textId="7E55547E" w:rsidR="000434CC" w:rsidRPr="00852BE3" w:rsidRDefault="000434CC" w:rsidP="001A5C7F">
            <w:pPr>
              <w:pStyle w:val="TableBullet1"/>
              <w:keepNext/>
              <w:numPr>
                <w:ilvl w:val="0"/>
                <w:numId w:val="0"/>
              </w:numPr>
              <w:tabs>
                <w:tab w:val="left" w:pos="720"/>
              </w:tabs>
              <w:spacing w:before="20" w:after="20"/>
              <w:ind w:left="75"/>
              <w:jc w:val="center"/>
              <w:rPr>
                <w:rFonts w:asciiTheme="majorHAnsi" w:hAnsiTheme="majorHAnsi" w:cstheme="majorHAnsi"/>
                <w:b/>
                <w:sz w:val="19"/>
                <w:szCs w:val="19"/>
                <w:lang w:eastAsia="fr-CA"/>
              </w:rPr>
            </w:pPr>
            <w:r w:rsidRPr="00852BE3">
              <w:rPr>
                <w:rFonts w:asciiTheme="majorHAnsi" w:hAnsiTheme="majorHAnsi" w:cstheme="majorHAnsi"/>
                <w:b/>
                <w:sz w:val="19"/>
                <w:szCs w:val="19"/>
                <w:lang w:eastAsia="fr-CA"/>
              </w:rPr>
              <w:t>3.3</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3DB8400" w14:textId="10BE2C18" w:rsidR="000434CC" w:rsidRPr="00852BE3" w:rsidRDefault="000434CC" w:rsidP="001A5C7F">
            <w:pPr>
              <w:pStyle w:val="TableBullet1"/>
              <w:keepNext/>
              <w:numPr>
                <w:ilvl w:val="0"/>
                <w:numId w:val="0"/>
              </w:numPr>
              <w:tabs>
                <w:tab w:val="left" w:pos="720"/>
              </w:tabs>
              <w:spacing w:before="20" w:after="20"/>
              <w:ind w:left="137"/>
              <w:rPr>
                <w:rFonts w:asciiTheme="majorHAnsi" w:hAnsiTheme="majorHAnsi" w:cstheme="majorHAnsi"/>
                <w:b/>
                <w:sz w:val="19"/>
                <w:szCs w:val="19"/>
                <w:lang w:eastAsia="fr-CA"/>
              </w:rPr>
            </w:pPr>
            <w:r w:rsidRPr="00852BE3">
              <w:rPr>
                <w:rFonts w:asciiTheme="majorHAnsi" w:hAnsiTheme="majorHAnsi" w:cstheme="majorHAnsi"/>
                <w:b/>
                <w:sz w:val="19"/>
                <w:szCs w:val="19"/>
                <w:lang w:eastAsia="fr-CA"/>
              </w:rPr>
              <w:t>Standard terms and facility specific terms</w:t>
            </w:r>
          </w:p>
        </w:tc>
      </w:tr>
      <w:tr w:rsidR="000434CC" w:rsidRPr="00852BE3" w14:paraId="75322289" w14:textId="77777777" w:rsidTr="0005387E">
        <w:tc>
          <w:tcPr>
            <w:tcW w:w="433" w:type="pct"/>
            <w:tcBorders>
              <w:top w:val="single" w:sz="4" w:space="0" w:color="auto"/>
              <w:left w:val="single" w:sz="4" w:space="0" w:color="auto"/>
              <w:bottom w:val="single" w:sz="4" w:space="0" w:color="auto"/>
              <w:right w:val="single" w:sz="4" w:space="0" w:color="auto"/>
            </w:tcBorders>
          </w:tcPr>
          <w:p w14:paraId="106F0A00" w14:textId="55248B72"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237A8953" w14:textId="01896EDF"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the standard terms and the proposed scope of the facility specific terms: </w:t>
            </w:r>
          </w:p>
          <w:p w14:paraId="4832E5E3"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will</w:t>
            </w:r>
            <w:proofErr w:type="gramEnd"/>
            <w:r w:rsidRPr="00852BE3">
              <w:rPr>
                <w:rFonts w:asciiTheme="majorHAnsi" w:eastAsiaTheme="majorEastAsia" w:hAnsiTheme="majorHAnsi" w:cstheme="majorHAnsi"/>
                <w:sz w:val="19"/>
                <w:szCs w:val="19"/>
              </w:rPr>
              <w:t xml:space="preserve"> achieve the stated objectives of facilitating more secondary capacity trading by making capacity products more fungible and reducing search and transaction costs? If not, please explain why.</w:t>
            </w:r>
          </w:p>
          <w:p w14:paraId="782BD456" w14:textId="63AA106D"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are</w:t>
            </w:r>
            <w:proofErr w:type="gramEnd"/>
            <w:r w:rsidRPr="00852BE3">
              <w:rPr>
                <w:rFonts w:asciiTheme="majorHAnsi" w:eastAsiaTheme="majorEastAsia" w:hAnsiTheme="majorHAnsi" w:cstheme="majorHAnsi"/>
                <w:sz w:val="19"/>
                <w:szCs w:val="19"/>
              </w:rPr>
              <w:t xml:space="preserve"> fit for purpose and embody the principles set out in section </w:t>
            </w:r>
            <w:r w:rsidRPr="00852BE3">
              <w:rPr>
                <w:rFonts w:asciiTheme="majorHAnsi" w:eastAsiaTheme="majorEastAsia" w:hAnsiTheme="majorHAnsi" w:cstheme="majorHAnsi"/>
                <w:sz w:val="19"/>
                <w:szCs w:val="19"/>
              </w:rPr>
              <w:fldChar w:fldCharType="begin"/>
            </w:r>
            <w:r w:rsidRPr="00852BE3">
              <w:rPr>
                <w:rFonts w:asciiTheme="majorHAnsi" w:eastAsiaTheme="majorEastAsia" w:hAnsiTheme="majorHAnsi" w:cstheme="majorHAnsi"/>
                <w:sz w:val="19"/>
                <w:szCs w:val="19"/>
              </w:rPr>
              <w:instrText xml:space="preserve"> REF _Ref491754432 \r \h  \* MERGEFORMAT </w:instrText>
            </w:r>
            <w:r w:rsidRPr="00852BE3">
              <w:rPr>
                <w:rFonts w:asciiTheme="majorHAnsi" w:eastAsiaTheme="majorEastAsia" w:hAnsiTheme="majorHAnsi" w:cstheme="majorHAnsi"/>
                <w:sz w:val="19"/>
                <w:szCs w:val="19"/>
              </w:rPr>
            </w:r>
            <w:r w:rsidRPr="00852BE3">
              <w:rPr>
                <w:rFonts w:asciiTheme="majorHAnsi" w:eastAsiaTheme="majorEastAsia" w:hAnsiTheme="majorHAnsi" w:cstheme="majorHAnsi"/>
                <w:sz w:val="19"/>
                <w:szCs w:val="19"/>
              </w:rPr>
              <w:fldChar w:fldCharType="separate"/>
            </w:r>
            <w:r w:rsidRPr="00852BE3">
              <w:rPr>
                <w:rFonts w:asciiTheme="majorHAnsi" w:eastAsiaTheme="majorEastAsia" w:hAnsiTheme="majorHAnsi" w:cstheme="majorHAnsi"/>
                <w:sz w:val="19"/>
                <w:szCs w:val="19"/>
              </w:rPr>
              <w:t>2.3</w:t>
            </w:r>
            <w:r w:rsidRPr="00852BE3">
              <w:rPr>
                <w:rFonts w:asciiTheme="majorHAnsi" w:eastAsiaTheme="majorEastAsia" w:hAnsiTheme="majorHAnsi" w:cstheme="majorHAnsi"/>
                <w:sz w:val="19"/>
                <w:szCs w:val="19"/>
              </w:rPr>
              <w:fldChar w:fldCharType="end"/>
            </w:r>
            <w:r w:rsidRPr="00852BE3">
              <w:rPr>
                <w:rFonts w:asciiTheme="majorHAnsi" w:eastAsiaTheme="majorEastAsia" w:hAnsiTheme="majorHAnsi" w:cstheme="majorHAnsi"/>
                <w:sz w:val="19"/>
                <w:szCs w:val="19"/>
              </w:rPr>
              <w:t>? If not, please explain why.</w:t>
            </w:r>
          </w:p>
        </w:tc>
        <w:tc>
          <w:tcPr>
            <w:tcW w:w="2619" w:type="pct"/>
            <w:tcBorders>
              <w:top w:val="single" w:sz="4" w:space="0" w:color="auto"/>
              <w:left w:val="single" w:sz="4" w:space="0" w:color="auto"/>
              <w:bottom w:val="single" w:sz="4" w:space="0" w:color="auto"/>
              <w:right w:val="single" w:sz="4" w:space="0" w:color="auto"/>
            </w:tcBorders>
          </w:tcPr>
          <w:p w14:paraId="4BB83766" w14:textId="68AA988A" w:rsidR="000434CC" w:rsidRPr="00852BE3" w:rsidRDefault="000434CC" w:rsidP="000434CC">
            <w:pPr>
              <w:pStyle w:val="TableBullet1"/>
              <w:keepNext/>
              <w:numPr>
                <w:ilvl w:val="0"/>
                <w:numId w:val="0"/>
              </w:numPr>
              <w:tabs>
                <w:tab w:val="left" w:pos="426"/>
              </w:tabs>
              <w:ind w:left="312" w:hanging="227"/>
              <w:rPr>
                <w:rFonts w:asciiTheme="majorHAnsi" w:eastAsiaTheme="majorEastAsia" w:hAnsiTheme="majorHAnsi" w:cstheme="majorHAnsi"/>
                <w:sz w:val="19"/>
                <w:szCs w:val="19"/>
              </w:rPr>
            </w:pPr>
          </w:p>
        </w:tc>
      </w:tr>
      <w:tr w:rsidR="000434CC" w:rsidRPr="00852BE3" w14:paraId="3A5FBE20"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2AED0ED4" w14:textId="76067046"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1B372B2B" w14:textId="0EDF6331"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 balance between the standard terms and facility specific terms is appropriate, or do you think:</w:t>
            </w:r>
          </w:p>
          <w:p w14:paraId="3CF652D2"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a</w:t>
            </w:r>
            <w:proofErr w:type="gramEnd"/>
            <w:r w:rsidRPr="00852BE3">
              <w:rPr>
                <w:rFonts w:asciiTheme="majorHAnsi" w:eastAsiaTheme="majorEastAsia" w:hAnsiTheme="majorHAnsi" w:cstheme="majorHAnsi"/>
                <w:sz w:val="19"/>
                <w:szCs w:val="19"/>
              </w:rPr>
              <w:t xml:space="preserve"> greater level of standardisation is required? If so, please specify which provisions you think should be standardised.</w:t>
            </w:r>
          </w:p>
          <w:p w14:paraId="5628BBE5" w14:textId="153F58AE" w:rsidR="000434CC" w:rsidRPr="00852BE3" w:rsidRDefault="000434CC" w:rsidP="00CF5A9C">
            <w:pPr>
              <w:pStyle w:val="ListParagraph"/>
              <w:numPr>
                <w:ilvl w:val="0"/>
                <w:numId w:val="17"/>
              </w:numPr>
              <w:spacing w:before="120" w:after="120"/>
              <w:ind w:left="562"/>
              <w:rPr>
                <w:rFonts w:asciiTheme="majorHAnsi" w:hAnsiTheme="majorHAnsi" w:cstheme="majorHAnsi"/>
                <w:sz w:val="19"/>
                <w:szCs w:val="19"/>
                <w:lang w:eastAsia="fr-CA"/>
              </w:rPr>
            </w:pPr>
            <w:proofErr w:type="gramStart"/>
            <w:r w:rsidRPr="00852BE3">
              <w:rPr>
                <w:rFonts w:asciiTheme="majorHAnsi" w:eastAsiaTheme="majorEastAsia" w:hAnsiTheme="majorHAnsi" w:cstheme="majorHAnsi"/>
                <w:sz w:val="19"/>
                <w:szCs w:val="19"/>
              </w:rPr>
              <w:t>a</w:t>
            </w:r>
            <w:proofErr w:type="gramEnd"/>
            <w:r w:rsidRPr="00852BE3">
              <w:rPr>
                <w:rFonts w:asciiTheme="majorHAnsi" w:eastAsiaTheme="majorEastAsia" w:hAnsiTheme="majorHAnsi" w:cstheme="majorHAnsi"/>
                <w:sz w:val="19"/>
                <w:szCs w:val="19"/>
              </w:rPr>
              <w:t xml:space="preserve"> lower level of standardisation is required? If so, please specify which provisions you think should not be standardised.</w:t>
            </w:r>
          </w:p>
        </w:tc>
        <w:tc>
          <w:tcPr>
            <w:tcW w:w="2619" w:type="pct"/>
            <w:tcBorders>
              <w:top w:val="single" w:sz="4" w:space="0" w:color="auto"/>
              <w:left w:val="single" w:sz="4" w:space="0" w:color="auto"/>
              <w:bottom w:val="single" w:sz="4" w:space="0" w:color="auto"/>
              <w:right w:val="single" w:sz="4" w:space="0" w:color="auto"/>
            </w:tcBorders>
          </w:tcPr>
          <w:p w14:paraId="10CA4257" w14:textId="73AAE090"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1F514E88" w14:textId="77777777" w:rsidTr="0005387E">
        <w:tc>
          <w:tcPr>
            <w:tcW w:w="433" w:type="pct"/>
            <w:tcBorders>
              <w:top w:val="single" w:sz="4" w:space="0" w:color="auto"/>
              <w:left w:val="single" w:sz="4" w:space="0" w:color="auto"/>
              <w:bottom w:val="single" w:sz="4" w:space="0" w:color="auto"/>
              <w:right w:val="single" w:sz="4" w:space="0" w:color="auto"/>
            </w:tcBorders>
          </w:tcPr>
          <w:p w14:paraId="41A50A4E" w14:textId="75D2B335"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7CC6A938" w14:textId="635EA9CD"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agree with the proposed approach to the </w:t>
            </w:r>
            <w:r w:rsidRPr="00852BE3">
              <w:rPr>
                <w:rFonts w:asciiTheme="majorHAnsi" w:eastAsiaTheme="majorEastAsia" w:hAnsiTheme="majorHAnsi" w:cstheme="majorHAnsi"/>
                <w:sz w:val="19"/>
                <w:szCs w:val="19"/>
                <w:u w:val="single"/>
              </w:rPr>
              <w:t>secondary shipper’s</w:t>
            </w:r>
            <w:r w:rsidRPr="00852BE3">
              <w:rPr>
                <w:rFonts w:asciiTheme="majorHAnsi" w:eastAsiaTheme="majorEastAsia" w:hAnsiTheme="majorHAnsi" w:cstheme="majorHAnsi"/>
                <w:sz w:val="19"/>
                <w:szCs w:val="19"/>
              </w:rPr>
              <w:t xml:space="preserve"> liability for off-specification gas? If not:</w:t>
            </w:r>
          </w:p>
          <w:p w14:paraId="6C56C4AC"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there should be limits on the secondary shipper’s liability for off-specification gas? If so, what do you think the limits should be?</w:t>
            </w:r>
          </w:p>
          <w:p w14:paraId="54ABAF15" w14:textId="10EA22BD" w:rsidR="000434CC" w:rsidRPr="00852BE3" w:rsidRDefault="000434CC" w:rsidP="00CF5A9C">
            <w:pPr>
              <w:pStyle w:val="ListParagraph"/>
              <w:numPr>
                <w:ilvl w:val="0"/>
                <w:numId w:val="17"/>
              </w:numPr>
              <w:spacing w:before="120" w:after="120"/>
              <w:ind w:left="562"/>
              <w:rPr>
                <w:rFonts w:asciiTheme="majorHAnsi" w:hAnsiTheme="majorHAnsi" w:cstheme="majorHAnsi"/>
                <w:sz w:val="19"/>
                <w:szCs w:val="19"/>
                <w:lang w:eastAsia="fr-CA"/>
              </w:rPr>
            </w:pPr>
            <w:r w:rsidRPr="00852BE3">
              <w:rPr>
                <w:rFonts w:asciiTheme="majorHAnsi" w:eastAsiaTheme="majorEastAsia" w:hAnsiTheme="majorHAnsi" w:cstheme="majorHAnsi"/>
                <w:sz w:val="19"/>
                <w:szCs w:val="19"/>
              </w:rPr>
              <w:t>Do you think the secondary shipper should be liable for the service provider’s loss of profits caused by the secondary shipper supplying off-specification gas?</w:t>
            </w:r>
          </w:p>
        </w:tc>
        <w:tc>
          <w:tcPr>
            <w:tcW w:w="2619" w:type="pct"/>
            <w:tcBorders>
              <w:top w:val="single" w:sz="4" w:space="0" w:color="auto"/>
              <w:left w:val="single" w:sz="4" w:space="0" w:color="auto"/>
              <w:bottom w:val="single" w:sz="4" w:space="0" w:color="auto"/>
              <w:right w:val="single" w:sz="4" w:space="0" w:color="auto"/>
            </w:tcBorders>
          </w:tcPr>
          <w:p w14:paraId="5968AA12" w14:textId="7D75ECDE"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116135A3"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7B71B318" w14:textId="2F31E8F3"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58FB3E27" w14:textId="51C13095"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agree with the proposed approach to</w:t>
            </w:r>
            <w:r w:rsidRPr="00852BE3">
              <w:rPr>
                <w:rFonts w:asciiTheme="majorHAnsi" w:hAnsiTheme="majorHAnsi" w:cstheme="majorHAnsi"/>
                <w:sz w:val="19"/>
                <w:szCs w:val="19"/>
                <w:lang w:eastAsia="fr-CA"/>
              </w:rPr>
              <w:t xml:space="preserve"> the </w:t>
            </w:r>
            <w:r w:rsidRPr="00852BE3">
              <w:rPr>
                <w:rFonts w:asciiTheme="majorHAnsi" w:hAnsiTheme="majorHAnsi" w:cstheme="majorHAnsi"/>
                <w:sz w:val="19"/>
                <w:szCs w:val="19"/>
                <w:u w:val="single"/>
                <w:lang w:eastAsia="fr-CA"/>
              </w:rPr>
              <w:t>service provider</w:t>
            </w:r>
            <w:r w:rsidRPr="00852BE3">
              <w:rPr>
                <w:rFonts w:asciiTheme="majorHAnsi" w:eastAsiaTheme="majorEastAsia" w:hAnsiTheme="majorHAnsi" w:cstheme="majorHAnsi"/>
                <w:sz w:val="19"/>
                <w:szCs w:val="19"/>
                <w:u w:val="single"/>
              </w:rPr>
              <w:t xml:space="preserve">’s </w:t>
            </w:r>
            <w:r w:rsidRPr="00852BE3">
              <w:rPr>
                <w:rFonts w:asciiTheme="majorHAnsi" w:eastAsiaTheme="majorEastAsia" w:hAnsiTheme="majorHAnsi" w:cstheme="majorHAnsi"/>
                <w:sz w:val="19"/>
                <w:szCs w:val="19"/>
              </w:rPr>
              <w:t>liability for off-specification gas? If not:</w:t>
            </w:r>
          </w:p>
          <w:p w14:paraId="526AE435" w14:textId="562F3EE6"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 service provider should be liable to other shippers, or should other shippers be required to make a claim against the shipper responsible for delivering off-specification gas into the pipeline?</w:t>
            </w:r>
          </w:p>
        </w:tc>
        <w:tc>
          <w:tcPr>
            <w:tcW w:w="2619" w:type="pct"/>
            <w:tcBorders>
              <w:top w:val="single" w:sz="4" w:space="0" w:color="auto"/>
              <w:left w:val="single" w:sz="4" w:space="0" w:color="auto"/>
              <w:bottom w:val="single" w:sz="4" w:space="0" w:color="auto"/>
              <w:right w:val="single" w:sz="4" w:space="0" w:color="auto"/>
            </w:tcBorders>
          </w:tcPr>
          <w:p w14:paraId="46FDCAFD"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7C06BAAC" w14:textId="77777777" w:rsidTr="0005387E">
        <w:tc>
          <w:tcPr>
            <w:tcW w:w="433" w:type="pct"/>
            <w:tcBorders>
              <w:top w:val="single" w:sz="4" w:space="0" w:color="auto"/>
              <w:left w:val="single" w:sz="4" w:space="0" w:color="auto"/>
              <w:bottom w:val="single" w:sz="4" w:space="0" w:color="auto"/>
              <w:right w:val="single" w:sz="4" w:space="0" w:color="auto"/>
            </w:tcBorders>
          </w:tcPr>
          <w:p w14:paraId="514251C2"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5107CC07" w14:textId="53F0A04B"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agree with the proposed approach to the </w:t>
            </w:r>
            <w:r w:rsidRPr="00852BE3">
              <w:rPr>
                <w:rFonts w:asciiTheme="majorHAnsi" w:eastAsiaTheme="majorEastAsia" w:hAnsiTheme="majorHAnsi" w:cstheme="majorHAnsi"/>
                <w:sz w:val="19"/>
                <w:szCs w:val="19"/>
                <w:u w:val="single"/>
              </w:rPr>
              <w:t>secondary shipper’s</w:t>
            </w:r>
            <w:r w:rsidRPr="00852BE3">
              <w:rPr>
                <w:rFonts w:asciiTheme="majorHAnsi" w:eastAsiaTheme="majorEastAsia" w:hAnsiTheme="majorHAnsi" w:cstheme="majorHAnsi"/>
                <w:sz w:val="19"/>
                <w:szCs w:val="19"/>
              </w:rPr>
              <w:t xml:space="preserve"> liability for breach of contract? If not:</w:t>
            </w:r>
          </w:p>
          <w:p w14:paraId="332B02AF"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the uncapped liability will act as a barrier to entry? </w:t>
            </w:r>
          </w:p>
          <w:p w14:paraId="7089A171" w14:textId="2EF6523B"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there should be monetary caps, or other forms of limits, on the secondary shipper’s liability?  If so what should the caps and limits be?</w:t>
            </w:r>
          </w:p>
        </w:tc>
        <w:tc>
          <w:tcPr>
            <w:tcW w:w="2619" w:type="pct"/>
            <w:tcBorders>
              <w:top w:val="single" w:sz="4" w:space="0" w:color="auto"/>
              <w:left w:val="single" w:sz="4" w:space="0" w:color="auto"/>
              <w:bottom w:val="single" w:sz="4" w:space="0" w:color="auto"/>
              <w:right w:val="single" w:sz="4" w:space="0" w:color="auto"/>
            </w:tcBorders>
          </w:tcPr>
          <w:p w14:paraId="6B036356" w14:textId="7F67AB9C"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0032D85C"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66D24C39"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53C82ABE" w14:textId="78476A9F"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agree with the proposed approach to</w:t>
            </w:r>
            <w:r w:rsidRPr="00852BE3">
              <w:rPr>
                <w:rFonts w:asciiTheme="majorHAnsi" w:hAnsiTheme="majorHAnsi" w:cstheme="majorHAnsi"/>
                <w:sz w:val="19"/>
                <w:szCs w:val="19"/>
                <w:lang w:eastAsia="fr-CA"/>
              </w:rPr>
              <w:t xml:space="preserve"> the </w:t>
            </w:r>
            <w:r w:rsidRPr="00852BE3">
              <w:rPr>
                <w:rFonts w:asciiTheme="majorHAnsi" w:hAnsiTheme="majorHAnsi" w:cstheme="majorHAnsi"/>
                <w:sz w:val="19"/>
                <w:szCs w:val="19"/>
                <w:u w:val="single"/>
                <w:lang w:eastAsia="fr-CA"/>
              </w:rPr>
              <w:t>service provider</w:t>
            </w:r>
            <w:r w:rsidRPr="00852BE3">
              <w:rPr>
                <w:rFonts w:asciiTheme="majorHAnsi" w:eastAsiaTheme="majorEastAsia" w:hAnsiTheme="majorHAnsi" w:cstheme="majorHAnsi"/>
                <w:sz w:val="19"/>
                <w:szCs w:val="19"/>
                <w:u w:val="single"/>
              </w:rPr>
              <w:t>’s</w:t>
            </w:r>
            <w:r w:rsidRPr="00852BE3">
              <w:rPr>
                <w:rFonts w:asciiTheme="majorHAnsi" w:eastAsiaTheme="majorEastAsia" w:hAnsiTheme="majorHAnsi" w:cstheme="majorHAnsi"/>
                <w:sz w:val="19"/>
                <w:szCs w:val="19"/>
              </w:rPr>
              <w:t xml:space="preserve"> liability for breach of contract?</w:t>
            </w:r>
          </w:p>
          <w:p w14:paraId="411C96F6"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so, what level do you think the monetary cap on liability (or other limits) should be set at and do you think the repair or replacement of property should be subject to a different cap?</w:t>
            </w:r>
          </w:p>
          <w:p w14:paraId="24C0F3F8" w14:textId="5855669F"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How do you think the term ‘consequential </w:t>
            </w:r>
            <w:proofErr w:type="gramStart"/>
            <w:r w:rsidRPr="00852BE3">
              <w:rPr>
                <w:rFonts w:asciiTheme="majorHAnsi" w:eastAsiaTheme="majorEastAsia" w:hAnsiTheme="majorHAnsi" w:cstheme="majorHAnsi"/>
                <w:sz w:val="19"/>
                <w:szCs w:val="19"/>
              </w:rPr>
              <w:t>loss’</w:t>
            </w:r>
            <w:proofErr w:type="gramEnd"/>
            <w:r w:rsidRPr="00852BE3">
              <w:rPr>
                <w:rFonts w:asciiTheme="majorHAnsi" w:eastAsiaTheme="majorEastAsia" w:hAnsiTheme="majorHAnsi" w:cstheme="majorHAnsi"/>
                <w:sz w:val="19"/>
                <w:szCs w:val="19"/>
              </w:rPr>
              <w:t xml:space="preserve"> should be defined?</w:t>
            </w:r>
          </w:p>
        </w:tc>
        <w:tc>
          <w:tcPr>
            <w:tcW w:w="2619" w:type="pct"/>
            <w:tcBorders>
              <w:top w:val="single" w:sz="4" w:space="0" w:color="auto"/>
              <w:left w:val="single" w:sz="4" w:space="0" w:color="auto"/>
              <w:bottom w:val="single" w:sz="4" w:space="0" w:color="auto"/>
              <w:right w:val="single" w:sz="4" w:space="0" w:color="auto"/>
            </w:tcBorders>
          </w:tcPr>
          <w:p w14:paraId="195C2CE4"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470068E9" w14:textId="77777777" w:rsidTr="0005387E">
        <w:tc>
          <w:tcPr>
            <w:tcW w:w="433" w:type="pct"/>
            <w:tcBorders>
              <w:top w:val="single" w:sz="4" w:space="0" w:color="auto"/>
              <w:left w:val="single" w:sz="4" w:space="0" w:color="auto"/>
              <w:bottom w:val="single" w:sz="4" w:space="0" w:color="auto"/>
              <w:right w:val="single" w:sz="4" w:space="0" w:color="auto"/>
            </w:tcBorders>
          </w:tcPr>
          <w:p w14:paraId="50FB80E4"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78C4582C" w14:textId="2CC3074B"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Is it appropriate to have differing liability regimes for the </w:t>
            </w:r>
            <w:r w:rsidRPr="00852BE3">
              <w:rPr>
                <w:rFonts w:asciiTheme="majorHAnsi" w:hAnsiTheme="majorHAnsi" w:cstheme="majorHAnsi"/>
                <w:sz w:val="19"/>
                <w:szCs w:val="19"/>
                <w:lang w:eastAsia="fr-CA"/>
              </w:rPr>
              <w:t xml:space="preserve">service provider </w:t>
            </w:r>
            <w:r w:rsidRPr="00852BE3">
              <w:rPr>
                <w:rFonts w:asciiTheme="majorHAnsi" w:eastAsiaTheme="majorEastAsia" w:hAnsiTheme="majorHAnsi" w:cstheme="majorHAnsi"/>
                <w:sz w:val="19"/>
                <w:szCs w:val="19"/>
              </w:rPr>
              <w:t>and secondary shipper?</w:t>
            </w:r>
          </w:p>
        </w:tc>
        <w:tc>
          <w:tcPr>
            <w:tcW w:w="2619" w:type="pct"/>
            <w:tcBorders>
              <w:top w:val="single" w:sz="4" w:space="0" w:color="auto"/>
              <w:left w:val="single" w:sz="4" w:space="0" w:color="auto"/>
              <w:bottom w:val="single" w:sz="4" w:space="0" w:color="auto"/>
              <w:right w:val="single" w:sz="4" w:space="0" w:color="auto"/>
            </w:tcBorders>
          </w:tcPr>
          <w:p w14:paraId="1F77839A"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50CFFF67"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3AA1D096"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7E415508" w14:textId="5B8C90F4"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agree that if a shipper has a credit rating of BBB- and above it should not be required to provide credit support? If not, please explain why.</w:t>
            </w:r>
          </w:p>
        </w:tc>
        <w:tc>
          <w:tcPr>
            <w:tcW w:w="2619" w:type="pct"/>
            <w:tcBorders>
              <w:top w:val="single" w:sz="4" w:space="0" w:color="auto"/>
              <w:left w:val="single" w:sz="4" w:space="0" w:color="auto"/>
              <w:bottom w:val="single" w:sz="4" w:space="0" w:color="auto"/>
              <w:right w:val="single" w:sz="4" w:space="0" w:color="auto"/>
            </w:tcBorders>
          </w:tcPr>
          <w:p w14:paraId="2B68068C"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2DDFB29E" w14:textId="77777777" w:rsidTr="0005387E">
        <w:tc>
          <w:tcPr>
            <w:tcW w:w="433" w:type="pct"/>
            <w:tcBorders>
              <w:top w:val="single" w:sz="4" w:space="0" w:color="auto"/>
              <w:left w:val="single" w:sz="4" w:space="0" w:color="auto"/>
              <w:bottom w:val="single" w:sz="4" w:space="0" w:color="auto"/>
              <w:right w:val="single" w:sz="4" w:space="0" w:color="auto"/>
            </w:tcBorders>
          </w:tcPr>
          <w:p w14:paraId="6165CC3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40270A0" w14:textId="6CCBCC34"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the amount of credit support should be a function of the value of the MDQ as outlined in section </w:t>
            </w:r>
            <w:r w:rsidRPr="00852BE3">
              <w:rPr>
                <w:rFonts w:asciiTheme="majorHAnsi" w:eastAsiaTheme="majorEastAsia" w:hAnsiTheme="majorHAnsi" w:cstheme="majorHAnsi"/>
                <w:sz w:val="19"/>
                <w:szCs w:val="19"/>
              </w:rPr>
              <w:fldChar w:fldCharType="begin"/>
            </w:r>
            <w:r w:rsidRPr="00852BE3">
              <w:rPr>
                <w:rFonts w:asciiTheme="majorHAnsi" w:eastAsiaTheme="majorEastAsia" w:hAnsiTheme="majorHAnsi" w:cstheme="majorHAnsi"/>
                <w:sz w:val="19"/>
                <w:szCs w:val="19"/>
              </w:rPr>
              <w:instrText xml:space="preserve"> REF _Ref491798708 \r \h  \* MERGEFORMAT </w:instrText>
            </w:r>
            <w:r w:rsidRPr="00852BE3">
              <w:rPr>
                <w:rFonts w:asciiTheme="majorHAnsi" w:eastAsiaTheme="majorEastAsia" w:hAnsiTheme="majorHAnsi" w:cstheme="majorHAnsi"/>
                <w:sz w:val="19"/>
                <w:szCs w:val="19"/>
              </w:rPr>
            </w:r>
            <w:r w:rsidRPr="00852BE3">
              <w:rPr>
                <w:rFonts w:asciiTheme="majorHAnsi" w:eastAsiaTheme="majorEastAsia" w:hAnsiTheme="majorHAnsi" w:cstheme="majorHAnsi"/>
                <w:sz w:val="19"/>
                <w:szCs w:val="19"/>
              </w:rPr>
              <w:fldChar w:fldCharType="separate"/>
            </w:r>
            <w:r w:rsidRPr="00852BE3">
              <w:rPr>
                <w:rFonts w:asciiTheme="majorHAnsi" w:eastAsiaTheme="majorEastAsia" w:hAnsiTheme="majorHAnsi" w:cstheme="majorHAnsi"/>
                <w:sz w:val="19"/>
                <w:szCs w:val="19"/>
              </w:rPr>
              <w:t>3.3.3</w:t>
            </w:r>
            <w:r w:rsidRPr="00852BE3">
              <w:rPr>
                <w:rFonts w:asciiTheme="majorHAnsi" w:eastAsiaTheme="majorEastAsia" w:hAnsiTheme="majorHAnsi" w:cstheme="majorHAnsi"/>
                <w:sz w:val="19"/>
                <w:szCs w:val="19"/>
              </w:rPr>
              <w:fldChar w:fldCharType="end"/>
            </w:r>
            <w:r w:rsidRPr="00852BE3">
              <w:rPr>
                <w:rFonts w:asciiTheme="majorHAnsi" w:eastAsiaTheme="majorEastAsia" w:hAnsiTheme="majorHAnsi" w:cstheme="majorHAnsi"/>
                <w:sz w:val="19"/>
                <w:szCs w:val="19"/>
              </w:rPr>
              <w:t xml:space="preserve">? </w:t>
            </w:r>
          </w:p>
          <w:p w14:paraId="6CA749BE"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If not, please explain why and set out what other option you think should be used to determine the level of credit support. </w:t>
            </w:r>
          </w:p>
          <w:p w14:paraId="7FAFCDC1" w14:textId="4B5F8A2D"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If so, do you think the level of credit support should be based on 100% of the value of the MDQ or a lower percentage given that the secondary shipper won’t actually be paying the service provider for the capacity? If you think a lower percentage should be applied, please state what percentage should be applied and why you think it is appropriate. </w:t>
            </w:r>
          </w:p>
        </w:tc>
        <w:tc>
          <w:tcPr>
            <w:tcW w:w="2619" w:type="pct"/>
            <w:tcBorders>
              <w:top w:val="single" w:sz="4" w:space="0" w:color="auto"/>
              <w:left w:val="single" w:sz="4" w:space="0" w:color="auto"/>
              <w:bottom w:val="single" w:sz="4" w:space="0" w:color="auto"/>
              <w:right w:val="single" w:sz="4" w:space="0" w:color="auto"/>
            </w:tcBorders>
          </w:tcPr>
          <w:p w14:paraId="16755237"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3C4B0EC7"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489D37F8"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6E028434" w14:textId="195763D2"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Is the proposed approach to curtailment timeframes appropriate?  Does the regime appropriately balance the interests of shippers and the need to preserve pipeline integrity </w:t>
            </w:r>
            <w:r w:rsidRPr="00852BE3">
              <w:rPr>
                <w:rFonts w:asciiTheme="majorHAnsi" w:eastAsiaTheme="majorEastAsia" w:hAnsiTheme="majorHAnsi" w:cstheme="majorHAnsi"/>
                <w:sz w:val="19"/>
                <w:szCs w:val="19"/>
              </w:rPr>
              <w:lastRenderedPageBreak/>
              <w:t>and ensure that shippers have sufficient time to react to a curtailment?</w:t>
            </w:r>
          </w:p>
        </w:tc>
        <w:tc>
          <w:tcPr>
            <w:tcW w:w="2619" w:type="pct"/>
            <w:tcBorders>
              <w:top w:val="single" w:sz="4" w:space="0" w:color="auto"/>
              <w:left w:val="single" w:sz="4" w:space="0" w:color="auto"/>
              <w:bottom w:val="single" w:sz="4" w:space="0" w:color="auto"/>
              <w:right w:val="single" w:sz="4" w:space="0" w:color="auto"/>
            </w:tcBorders>
          </w:tcPr>
          <w:p w14:paraId="7196ABD5"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C93AF4" w:rsidRPr="00852BE3" w14:paraId="4D00A623" w14:textId="77777777" w:rsidTr="0005387E">
        <w:tc>
          <w:tcPr>
            <w:tcW w:w="433" w:type="pct"/>
            <w:tcBorders>
              <w:top w:val="single" w:sz="4" w:space="0" w:color="auto"/>
              <w:left w:val="single" w:sz="4" w:space="0" w:color="auto"/>
              <w:bottom w:val="single" w:sz="4" w:space="0" w:color="auto"/>
              <w:right w:val="single" w:sz="4" w:space="0" w:color="auto"/>
            </w:tcBorders>
          </w:tcPr>
          <w:p w14:paraId="1A0111EC" w14:textId="77777777" w:rsidR="00C93AF4" w:rsidRPr="00852BE3" w:rsidRDefault="00C93AF4"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36194B53" w14:textId="60938DF5" w:rsidR="00C93AF4" w:rsidRPr="00852BE3" w:rsidRDefault="00C93AF4" w:rsidP="00C93AF4">
            <w:pPr>
              <w:spacing w:before="120" w:after="120"/>
              <w:ind w:left="137"/>
              <w:rPr>
                <w:rFonts w:asciiTheme="majorHAnsi" w:eastAsiaTheme="majorEastAsia" w:hAnsiTheme="majorHAnsi" w:cstheme="majorHAnsi"/>
                <w:sz w:val="19"/>
                <w:szCs w:val="19"/>
              </w:rPr>
            </w:pPr>
            <w:r w:rsidRPr="00C93AF4">
              <w:rPr>
                <w:rFonts w:asciiTheme="majorHAnsi" w:eastAsiaTheme="majorEastAsia" w:hAnsiTheme="majorHAnsi" w:cstheme="majorHAnsi"/>
                <w:sz w:val="19"/>
                <w:szCs w:val="19"/>
              </w:rPr>
              <w:t>Are the standard terms a suitable foundation for the provision of a stand-alone compression service or will such a service require a more tailored set of terms?  What specific provisions do stakeholders consider are required for a workable stand-alone compression service?</w:t>
            </w:r>
          </w:p>
        </w:tc>
        <w:tc>
          <w:tcPr>
            <w:tcW w:w="2619" w:type="pct"/>
            <w:tcBorders>
              <w:top w:val="single" w:sz="4" w:space="0" w:color="auto"/>
              <w:left w:val="single" w:sz="4" w:space="0" w:color="auto"/>
              <w:bottom w:val="single" w:sz="4" w:space="0" w:color="auto"/>
              <w:right w:val="single" w:sz="4" w:space="0" w:color="auto"/>
            </w:tcBorders>
          </w:tcPr>
          <w:p w14:paraId="036B78A9" w14:textId="77777777" w:rsidR="00C93AF4" w:rsidRPr="00852BE3" w:rsidRDefault="00C93AF4"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C93AF4" w:rsidRPr="00852BE3" w14:paraId="2AC97226"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2427D73C" w14:textId="77777777" w:rsidR="00C93AF4" w:rsidRPr="00852BE3" w:rsidRDefault="00C93AF4"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207AC84D" w14:textId="7D13D62E" w:rsidR="00C93AF4" w:rsidRPr="00C93AF4" w:rsidRDefault="00C93AF4" w:rsidP="00C93AF4">
            <w:pPr>
              <w:spacing w:before="120" w:after="120"/>
              <w:ind w:left="137"/>
              <w:rPr>
                <w:rFonts w:asciiTheme="majorHAnsi" w:eastAsiaTheme="majorEastAsia" w:hAnsiTheme="majorHAnsi" w:cstheme="majorHAnsi"/>
                <w:sz w:val="19"/>
                <w:szCs w:val="19"/>
              </w:rPr>
            </w:pPr>
            <w:r w:rsidRPr="00C93AF4">
              <w:rPr>
                <w:rFonts w:asciiTheme="majorHAnsi" w:eastAsiaTheme="majorEastAsia" w:hAnsiTheme="majorHAnsi" w:cstheme="majorHAnsi"/>
                <w:sz w:val="19"/>
                <w:szCs w:val="19"/>
              </w:rPr>
              <w:t xml:space="preserve">Do you agree with the way in which imbalance trading and in-pipe trade services have been dealt with in the operational GTA? Or do you think: </w:t>
            </w:r>
          </w:p>
          <w:p w14:paraId="2163079E" w14:textId="37B8EECB" w:rsidR="00C93AF4" w:rsidRPr="00C93AF4" w:rsidRDefault="00C93AF4" w:rsidP="00C93AF4">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C93AF4">
              <w:rPr>
                <w:rFonts w:asciiTheme="majorHAnsi" w:eastAsiaTheme="majorEastAsia" w:hAnsiTheme="majorHAnsi" w:cstheme="majorHAnsi"/>
                <w:sz w:val="19"/>
                <w:szCs w:val="19"/>
              </w:rPr>
              <w:t>the</w:t>
            </w:r>
            <w:proofErr w:type="gramEnd"/>
            <w:r w:rsidRPr="00C93AF4">
              <w:rPr>
                <w:rFonts w:asciiTheme="majorHAnsi" w:eastAsiaTheme="majorEastAsia" w:hAnsiTheme="majorHAnsi" w:cstheme="majorHAnsi"/>
                <w:sz w:val="19"/>
                <w:szCs w:val="19"/>
              </w:rPr>
              <w:t xml:space="preserve"> service provider should have the option of offering either (1) imbalance trading or (2) in-pipe trading? </w:t>
            </w:r>
          </w:p>
          <w:p w14:paraId="6F280379" w14:textId="2D58A636" w:rsidR="00C93AF4" w:rsidRPr="00C93AF4" w:rsidRDefault="00C93AF4" w:rsidP="00C93AF4">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C93AF4">
              <w:rPr>
                <w:rFonts w:asciiTheme="majorHAnsi" w:eastAsiaTheme="majorEastAsia" w:hAnsiTheme="majorHAnsi" w:cstheme="majorHAnsi"/>
                <w:sz w:val="19"/>
                <w:szCs w:val="19"/>
              </w:rPr>
              <w:t>the</w:t>
            </w:r>
            <w:proofErr w:type="gramEnd"/>
            <w:r w:rsidRPr="00C93AF4">
              <w:rPr>
                <w:rFonts w:asciiTheme="majorHAnsi" w:eastAsiaTheme="majorEastAsia" w:hAnsiTheme="majorHAnsi" w:cstheme="majorHAnsi"/>
                <w:sz w:val="19"/>
                <w:szCs w:val="19"/>
              </w:rPr>
              <w:t xml:space="preserve"> standard terms should make in-pipe trading the standard position rather than imbalance trades? </w:t>
            </w:r>
          </w:p>
          <w:p w14:paraId="2778DBD2" w14:textId="6D1A394F" w:rsidR="00C93AF4" w:rsidRPr="00C93AF4" w:rsidRDefault="00C93AF4" w:rsidP="00C93AF4">
            <w:pPr>
              <w:spacing w:before="120" w:after="120"/>
              <w:ind w:left="137"/>
              <w:rPr>
                <w:rFonts w:asciiTheme="majorHAnsi" w:eastAsiaTheme="majorEastAsia" w:hAnsiTheme="majorHAnsi" w:cstheme="majorHAnsi"/>
                <w:sz w:val="19"/>
                <w:szCs w:val="19"/>
              </w:rPr>
            </w:pPr>
            <w:r w:rsidRPr="00C93AF4">
              <w:rPr>
                <w:rFonts w:asciiTheme="majorHAnsi" w:eastAsiaTheme="majorEastAsia" w:hAnsiTheme="majorHAnsi" w:cstheme="majorHAnsi"/>
                <w:sz w:val="19"/>
                <w:szCs w:val="19"/>
              </w:rPr>
              <w:t>If you think in-pipe trading should be reflected in the standard terms, what changes would need to be made to the standard terms.</w:t>
            </w:r>
          </w:p>
        </w:tc>
        <w:tc>
          <w:tcPr>
            <w:tcW w:w="2619" w:type="pct"/>
            <w:tcBorders>
              <w:top w:val="single" w:sz="4" w:space="0" w:color="auto"/>
              <w:left w:val="single" w:sz="4" w:space="0" w:color="auto"/>
              <w:bottom w:val="single" w:sz="4" w:space="0" w:color="auto"/>
              <w:right w:val="single" w:sz="4" w:space="0" w:color="auto"/>
            </w:tcBorders>
          </w:tcPr>
          <w:p w14:paraId="6295E044" w14:textId="77777777" w:rsidR="00C93AF4" w:rsidRPr="00852BE3" w:rsidRDefault="00C93AF4"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C93AF4" w:rsidRPr="00852BE3" w14:paraId="0580EC84" w14:textId="77777777" w:rsidTr="0005387E">
        <w:tc>
          <w:tcPr>
            <w:tcW w:w="433" w:type="pct"/>
            <w:tcBorders>
              <w:top w:val="single" w:sz="4" w:space="0" w:color="auto"/>
              <w:left w:val="single" w:sz="4" w:space="0" w:color="auto"/>
              <w:bottom w:val="single" w:sz="4" w:space="0" w:color="auto"/>
              <w:right w:val="single" w:sz="4" w:space="0" w:color="auto"/>
            </w:tcBorders>
          </w:tcPr>
          <w:p w14:paraId="1B2C2BAE" w14:textId="77777777" w:rsidR="00C93AF4" w:rsidRPr="00852BE3" w:rsidRDefault="00C93AF4"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8946145" w14:textId="046E10A6" w:rsidR="00C93AF4" w:rsidRPr="00C93AF4" w:rsidRDefault="00C93AF4" w:rsidP="00C93AF4">
            <w:pPr>
              <w:spacing w:before="120" w:after="120"/>
              <w:ind w:left="137"/>
              <w:rPr>
                <w:rFonts w:asciiTheme="majorHAnsi" w:eastAsiaTheme="majorEastAsia" w:hAnsiTheme="majorHAnsi" w:cstheme="majorHAnsi"/>
                <w:sz w:val="19"/>
                <w:szCs w:val="19"/>
              </w:rPr>
            </w:pPr>
            <w:r w:rsidRPr="00C93AF4">
              <w:rPr>
                <w:rFonts w:asciiTheme="majorHAnsi" w:eastAsiaTheme="majorEastAsia" w:hAnsiTheme="majorHAnsi" w:cstheme="majorHAnsi"/>
                <w:sz w:val="19"/>
                <w:szCs w:val="19"/>
              </w:rPr>
              <w:t>Do you think the maintenance provisions are appropriate, or do you think the maintenance information that service providers are required to publish on the BB as part of the medium-term capacity outlook is sufficient?</w:t>
            </w:r>
          </w:p>
        </w:tc>
        <w:tc>
          <w:tcPr>
            <w:tcW w:w="2619" w:type="pct"/>
            <w:tcBorders>
              <w:top w:val="single" w:sz="4" w:space="0" w:color="auto"/>
              <w:left w:val="single" w:sz="4" w:space="0" w:color="auto"/>
              <w:bottom w:val="single" w:sz="4" w:space="0" w:color="auto"/>
              <w:right w:val="single" w:sz="4" w:space="0" w:color="auto"/>
            </w:tcBorders>
          </w:tcPr>
          <w:p w14:paraId="3F644A3D" w14:textId="77777777" w:rsidR="00C93AF4" w:rsidRPr="00852BE3" w:rsidRDefault="00C93AF4"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78D3039D" w14:textId="77777777" w:rsidTr="000D6A82">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07F29BD3" w14:textId="4515B7CD" w:rsidR="000434CC" w:rsidRPr="00852BE3" w:rsidRDefault="003303D0" w:rsidP="001A5C7F">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3.4</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56EDB8AF" w14:textId="7F74F631" w:rsidR="000434CC" w:rsidRPr="00852BE3" w:rsidRDefault="003303D0" w:rsidP="003303D0">
            <w:pPr>
              <w:pStyle w:val="TableBullet1"/>
              <w:numPr>
                <w:ilvl w:val="0"/>
                <w:numId w:val="0"/>
              </w:numPr>
              <w:tabs>
                <w:tab w:val="left" w:pos="720"/>
              </w:tabs>
              <w:spacing w:before="20" w:after="20"/>
              <w:ind w:left="312" w:hanging="227"/>
              <w:rPr>
                <w:rFonts w:asciiTheme="majorHAnsi" w:hAnsiTheme="majorHAnsi" w:cstheme="majorHAnsi"/>
                <w:sz w:val="19"/>
                <w:szCs w:val="19"/>
                <w:lang w:eastAsia="fr-CA"/>
              </w:rPr>
            </w:pPr>
            <w:r w:rsidRPr="00852BE3">
              <w:rPr>
                <w:rFonts w:asciiTheme="majorHAnsi" w:eastAsiaTheme="minorHAnsi" w:hAnsiTheme="majorHAnsi" w:cstheme="majorHAnsi"/>
                <w:b/>
                <w:sz w:val="19"/>
                <w:szCs w:val="19"/>
                <w:lang w:eastAsia="fr-CA"/>
              </w:rPr>
              <w:t>A</w:t>
            </w:r>
            <w:r w:rsidR="000434CC" w:rsidRPr="00852BE3">
              <w:rPr>
                <w:rFonts w:asciiTheme="majorHAnsi" w:eastAsiaTheme="minorHAnsi" w:hAnsiTheme="majorHAnsi" w:cstheme="majorHAnsi"/>
                <w:b/>
                <w:sz w:val="19"/>
                <w:szCs w:val="19"/>
                <w:lang w:eastAsia="fr-CA"/>
              </w:rPr>
              <w:t>pplication of the standardised operational GTA</w:t>
            </w:r>
          </w:p>
        </w:tc>
      </w:tr>
      <w:tr w:rsidR="000434CC" w:rsidRPr="00852BE3" w14:paraId="6F936F01" w14:textId="77777777" w:rsidTr="0005387E">
        <w:tc>
          <w:tcPr>
            <w:tcW w:w="433" w:type="pct"/>
            <w:tcBorders>
              <w:top w:val="single" w:sz="4" w:space="0" w:color="auto"/>
              <w:left w:val="single" w:sz="4" w:space="0" w:color="auto"/>
              <w:bottom w:val="single" w:sz="4" w:space="0" w:color="auto"/>
              <w:right w:val="single" w:sz="4" w:space="0" w:color="auto"/>
            </w:tcBorders>
          </w:tcPr>
          <w:p w14:paraId="0FE8A224"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442A3FDC" w14:textId="0150B2D1"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What if any exceptions or qualifications should apply to the obligation for service providers that provide third party access to offer the standardised operational GTA?</w:t>
            </w:r>
          </w:p>
        </w:tc>
        <w:tc>
          <w:tcPr>
            <w:tcW w:w="2619" w:type="pct"/>
            <w:tcBorders>
              <w:top w:val="single" w:sz="4" w:space="0" w:color="auto"/>
              <w:left w:val="single" w:sz="4" w:space="0" w:color="auto"/>
              <w:bottom w:val="single" w:sz="4" w:space="0" w:color="auto"/>
              <w:right w:val="single" w:sz="4" w:space="0" w:color="auto"/>
            </w:tcBorders>
          </w:tcPr>
          <w:p w14:paraId="65E0791E" w14:textId="472F7742"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25802C9E"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3F2F2499"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2403C6E0" w14:textId="6AA10AFB"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the secondary shipper and service provider should be able to negotiate terms for operational transfers that are different to those in the standardised operational GTA, or </w:t>
            </w:r>
            <w:r w:rsidRPr="00852BE3">
              <w:rPr>
                <w:rFonts w:asciiTheme="majorHAnsi" w:eastAsiaTheme="majorEastAsia" w:hAnsiTheme="majorHAnsi" w:cstheme="majorHAnsi"/>
                <w:sz w:val="19"/>
                <w:szCs w:val="19"/>
              </w:rPr>
              <w:lastRenderedPageBreak/>
              <w:t>do you think the terms should be compulsory for all operational transfers?</w:t>
            </w:r>
          </w:p>
        </w:tc>
        <w:tc>
          <w:tcPr>
            <w:tcW w:w="2619" w:type="pct"/>
            <w:tcBorders>
              <w:top w:val="single" w:sz="4" w:space="0" w:color="auto"/>
              <w:left w:val="single" w:sz="4" w:space="0" w:color="auto"/>
              <w:bottom w:val="single" w:sz="4" w:space="0" w:color="auto"/>
              <w:right w:val="single" w:sz="4" w:space="0" w:color="auto"/>
            </w:tcBorders>
          </w:tcPr>
          <w:p w14:paraId="3FF14210" w14:textId="02FEF4EC"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63D8BEAD" w14:textId="77777777" w:rsidTr="0005387E">
        <w:tc>
          <w:tcPr>
            <w:tcW w:w="433" w:type="pct"/>
            <w:tcBorders>
              <w:top w:val="single" w:sz="4" w:space="0" w:color="auto"/>
              <w:left w:val="single" w:sz="4" w:space="0" w:color="auto"/>
              <w:bottom w:val="single" w:sz="4" w:space="0" w:color="auto"/>
              <w:right w:val="single" w:sz="4" w:space="0" w:color="auto"/>
            </w:tcBorders>
          </w:tcPr>
          <w:p w14:paraId="0E4018C3"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44CF2305" w14:textId="77777777"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 secondary shipper should have the option to request the inclusion of any secondary capacity in its primary GTA, or do you have concerns with this option (e.g. do you think it will affect the nature of the product being sold)? If you think the option is reasonable, do you think it should be left to the service provider to decide whether to approve such a request?</w:t>
            </w:r>
          </w:p>
        </w:tc>
        <w:tc>
          <w:tcPr>
            <w:tcW w:w="2619" w:type="pct"/>
            <w:tcBorders>
              <w:top w:val="single" w:sz="4" w:space="0" w:color="auto"/>
              <w:left w:val="single" w:sz="4" w:space="0" w:color="auto"/>
              <w:bottom w:val="single" w:sz="4" w:space="0" w:color="auto"/>
              <w:right w:val="single" w:sz="4" w:space="0" w:color="auto"/>
            </w:tcBorders>
          </w:tcPr>
          <w:p w14:paraId="20687EE4" w14:textId="0A06C254"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120B896F" w14:textId="77777777" w:rsidTr="000D6A82">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1B04F902" w14:textId="51F70B6B" w:rsidR="000434CC" w:rsidRPr="00852BE3" w:rsidRDefault="003303D0"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3.5</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3BED1A02" w14:textId="42C67158" w:rsidR="000434CC" w:rsidRPr="00852BE3" w:rsidRDefault="003303D0" w:rsidP="003303D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G</w:t>
            </w:r>
            <w:r w:rsidR="000434CC" w:rsidRPr="00852BE3">
              <w:rPr>
                <w:rFonts w:asciiTheme="majorHAnsi" w:eastAsiaTheme="minorHAnsi" w:hAnsiTheme="majorHAnsi" w:cstheme="majorHAnsi"/>
                <w:b/>
                <w:sz w:val="19"/>
                <w:szCs w:val="19"/>
                <w:lang w:eastAsia="fr-CA"/>
              </w:rPr>
              <w:t>overnance of Operational GTA Code</w:t>
            </w:r>
          </w:p>
        </w:tc>
      </w:tr>
      <w:tr w:rsidR="000434CC" w:rsidRPr="00852BE3" w14:paraId="3DE4438A" w14:textId="77777777" w:rsidTr="0005387E">
        <w:tc>
          <w:tcPr>
            <w:tcW w:w="433" w:type="pct"/>
            <w:tcBorders>
              <w:top w:val="single" w:sz="4" w:space="0" w:color="auto"/>
              <w:left w:val="single" w:sz="4" w:space="0" w:color="auto"/>
              <w:bottom w:val="single" w:sz="4" w:space="0" w:color="auto"/>
              <w:right w:val="single" w:sz="4" w:space="0" w:color="auto"/>
            </w:tcBorders>
          </w:tcPr>
          <w:p w14:paraId="07B2303F"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3631D5CF" w14:textId="28D17CEC"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agree with GMRG’s preliminary view on the governance model? If not, what model do you think should be used and why?</w:t>
            </w:r>
          </w:p>
        </w:tc>
        <w:tc>
          <w:tcPr>
            <w:tcW w:w="2619" w:type="pct"/>
            <w:tcBorders>
              <w:top w:val="single" w:sz="4" w:space="0" w:color="auto"/>
              <w:left w:val="single" w:sz="4" w:space="0" w:color="auto"/>
              <w:bottom w:val="single" w:sz="4" w:space="0" w:color="auto"/>
              <w:right w:val="single" w:sz="4" w:space="0" w:color="auto"/>
            </w:tcBorders>
          </w:tcPr>
          <w:p w14:paraId="30E43579" w14:textId="0D114E9B"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472FFD56"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23656A8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BE01F35" w14:textId="59F19170"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What principles do you think should be included in the NGR to guide any future amendments to the Operational GTA Code?</w:t>
            </w:r>
          </w:p>
        </w:tc>
        <w:tc>
          <w:tcPr>
            <w:tcW w:w="2619" w:type="pct"/>
            <w:tcBorders>
              <w:top w:val="single" w:sz="4" w:space="0" w:color="auto"/>
              <w:left w:val="single" w:sz="4" w:space="0" w:color="auto"/>
              <w:bottom w:val="single" w:sz="4" w:space="0" w:color="auto"/>
              <w:right w:val="single" w:sz="4" w:space="0" w:color="auto"/>
            </w:tcBorders>
          </w:tcPr>
          <w:p w14:paraId="702E9C53" w14:textId="6C015936"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32AE4018" w14:textId="77777777" w:rsidTr="0005387E">
        <w:tc>
          <w:tcPr>
            <w:tcW w:w="433" w:type="pct"/>
            <w:tcBorders>
              <w:top w:val="single" w:sz="4" w:space="0" w:color="auto"/>
              <w:left w:val="single" w:sz="4" w:space="0" w:color="auto"/>
              <w:bottom w:val="single" w:sz="4" w:space="0" w:color="auto"/>
              <w:right w:val="single" w:sz="4" w:space="0" w:color="auto"/>
            </w:tcBorders>
          </w:tcPr>
          <w:p w14:paraId="77D4918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5892A075" w14:textId="04B39129"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 AEMC should have a formal role in the change process, for example, to provide advice to the panel and/or the AER on the effect the proposed change may have on the broader market or gas market development more generally?</w:t>
            </w:r>
          </w:p>
        </w:tc>
        <w:tc>
          <w:tcPr>
            <w:tcW w:w="2619" w:type="pct"/>
            <w:tcBorders>
              <w:top w:val="single" w:sz="4" w:space="0" w:color="auto"/>
              <w:left w:val="single" w:sz="4" w:space="0" w:color="auto"/>
              <w:bottom w:val="single" w:sz="4" w:space="0" w:color="auto"/>
              <w:right w:val="single" w:sz="4" w:space="0" w:color="auto"/>
            </w:tcBorders>
          </w:tcPr>
          <w:p w14:paraId="6BD3AD5A" w14:textId="0AC862B5" w:rsidR="000434CC" w:rsidRPr="00852BE3" w:rsidRDefault="000434CC" w:rsidP="000434CC">
            <w:pPr>
              <w:pStyle w:val="TableBullet1"/>
              <w:keepNext/>
              <w:numPr>
                <w:ilvl w:val="0"/>
                <w:numId w:val="0"/>
              </w:numPr>
              <w:tabs>
                <w:tab w:val="left" w:pos="720"/>
              </w:tabs>
              <w:spacing w:before="20" w:after="20"/>
              <w:ind w:left="130"/>
              <w:rPr>
                <w:rFonts w:asciiTheme="majorHAnsi" w:hAnsiTheme="majorHAnsi" w:cstheme="majorHAnsi"/>
                <w:sz w:val="19"/>
                <w:szCs w:val="19"/>
                <w:lang w:eastAsia="fr-CA"/>
              </w:rPr>
            </w:pPr>
          </w:p>
        </w:tc>
      </w:tr>
      <w:tr w:rsidR="000434CC" w:rsidRPr="00852BE3" w14:paraId="5C232918"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779869BF"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10B06E48" w14:textId="30DF0A3C"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agree with the way in which changes to the Operational GTA Code and the facility specific terms would take effect? If not, please explain why.</w:t>
            </w:r>
          </w:p>
        </w:tc>
        <w:tc>
          <w:tcPr>
            <w:tcW w:w="2619" w:type="pct"/>
            <w:tcBorders>
              <w:top w:val="single" w:sz="4" w:space="0" w:color="auto"/>
              <w:left w:val="single" w:sz="4" w:space="0" w:color="auto"/>
              <w:bottom w:val="single" w:sz="4" w:space="0" w:color="auto"/>
              <w:right w:val="single" w:sz="4" w:space="0" w:color="auto"/>
            </w:tcBorders>
          </w:tcPr>
          <w:p w14:paraId="5B836E16" w14:textId="447F776C"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024FA149" w14:textId="77777777" w:rsidTr="000D6A82">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6BA6B42E" w14:textId="46D65CDD" w:rsidR="000434CC" w:rsidRPr="00852BE3" w:rsidRDefault="003303D0"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3.5.2</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67C16BC0" w14:textId="669020FC" w:rsidR="000434CC" w:rsidRPr="00852BE3" w:rsidRDefault="003303D0" w:rsidP="003303D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S</w:t>
            </w:r>
            <w:r w:rsidR="000434CC" w:rsidRPr="00852BE3">
              <w:rPr>
                <w:rFonts w:asciiTheme="majorHAnsi" w:eastAsiaTheme="minorHAnsi" w:hAnsiTheme="majorHAnsi" w:cstheme="majorHAnsi"/>
                <w:b/>
                <w:sz w:val="19"/>
                <w:szCs w:val="19"/>
                <w:lang w:eastAsia="fr-CA"/>
              </w:rPr>
              <w:t>ervice provider obligations</w:t>
            </w:r>
          </w:p>
        </w:tc>
      </w:tr>
      <w:tr w:rsidR="000434CC" w:rsidRPr="00852BE3" w14:paraId="00C767A4"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49FAAB7A"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448BDEC2" w14:textId="755B4889"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agree that the obligation of service providers to publish and offer to enter into the standardised operational GTA should be classified as civil penalty provisions? </w:t>
            </w:r>
          </w:p>
        </w:tc>
        <w:tc>
          <w:tcPr>
            <w:tcW w:w="2619" w:type="pct"/>
            <w:tcBorders>
              <w:top w:val="single" w:sz="4" w:space="0" w:color="auto"/>
              <w:left w:val="single" w:sz="4" w:space="0" w:color="auto"/>
              <w:bottom w:val="single" w:sz="4" w:space="0" w:color="auto"/>
              <w:right w:val="single" w:sz="4" w:space="0" w:color="auto"/>
            </w:tcBorders>
          </w:tcPr>
          <w:p w14:paraId="6B85A2E7" w14:textId="69153084"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255CE8FD" w14:textId="77777777" w:rsidTr="0005387E">
        <w:tc>
          <w:tcPr>
            <w:tcW w:w="433" w:type="pct"/>
            <w:tcBorders>
              <w:top w:val="single" w:sz="4" w:space="0" w:color="auto"/>
              <w:left w:val="single" w:sz="4" w:space="0" w:color="auto"/>
              <w:bottom w:val="single" w:sz="4" w:space="0" w:color="auto"/>
              <w:right w:val="single" w:sz="4" w:space="0" w:color="auto"/>
            </w:tcBorders>
          </w:tcPr>
          <w:p w14:paraId="4EDC9ACF"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2BC1A024" w14:textId="30913CF7"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exemptions from the obligation to publish and offer to enter into the standardised operational GTA should be available if the asset in question is not providing third party access? If not, please explain why.  Are there any other exemptions that you think should be available to service providers? </w:t>
            </w:r>
          </w:p>
        </w:tc>
        <w:tc>
          <w:tcPr>
            <w:tcW w:w="2619" w:type="pct"/>
            <w:tcBorders>
              <w:top w:val="single" w:sz="4" w:space="0" w:color="auto"/>
              <w:left w:val="single" w:sz="4" w:space="0" w:color="auto"/>
              <w:bottom w:val="single" w:sz="4" w:space="0" w:color="auto"/>
              <w:right w:val="single" w:sz="4" w:space="0" w:color="auto"/>
            </w:tcBorders>
          </w:tcPr>
          <w:p w14:paraId="753C4CD8" w14:textId="6CF32053"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00CD01E8"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2C04FE0C"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A539B99" w14:textId="002BD131"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 AER should be able to monitor the compliance of a service provider’s facility specific terms with the requirements in the Operational GTA Code and the principles in the NGR (for example, the imbalance provisions or the charges)? If not, please explain why.</w:t>
            </w:r>
          </w:p>
        </w:tc>
        <w:tc>
          <w:tcPr>
            <w:tcW w:w="2619" w:type="pct"/>
            <w:tcBorders>
              <w:top w:val="single" w:sz="4" w:space="0" w:color="auto"/>
              <w:left w:val="single" w:sz="4" w:space="0" w:color="auto"/>
              <w:bottom w:val="single" w:sz="4" w:space="0" w:color="auto"/>
              <w:right w:val="single" w:sz="4" w:space="0" w:color="auto"/>
            </w:tcBorders>
          </w:tcPr>
          <w:p w14:paraId="6E565378" w14:textId="462C1154"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5ADC60A2" w14:textId="77777777" w:rsidTr="000D6A82">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5C2ECF96" w14:textId="28B55AFC" w:rsidR="000434CC" w:rsidRPr="00852BE3" w:rsidRDefault="003303D0"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3.5.3</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959F36D" w14:textId="402D104F" w:rsidR="000434CC" w:rsidRPr="00852BE3" w:rsidRDefault="003303D0" w:rsidP="003303D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P</w:t>
            </w:r>
            <w:r w:rsidR="000434CC" w:rsidRPr="00852BE3">
              <w:rPr>
                <w:rFonts w:asciiTheme="majorHAnsi" w:eastAsiaTheme="minorHAnsi" w:hAnsiTheme="majorHAnsi" w:cstheme="majorHAnsi"/>
                <w:b/>
                <w:sz w:val="19"/>
                <w:szCs w:val="19"/>
                <w:lang w:eastAsia="fr-CA"/>
              </w:rPr>
              <w:t>rinciples governing facility specific principles</w:t>
            </w:r>
          </w:p>
        </w:tc>
      </w:tr>
      <w:tr w:rsidR="000434CC" w:rsidRPr="00852BE3" w14:paraId="4F28921B"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17D7C416"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1FF8F96F" w14:textId="0ADE93C6" w:rsidR="000434CC" w:rsidRPr="00852BE3" w:rsidRDefault="000434CC" w:rsidP="001A5C7F">
            <w:pPr>
              <w:spacing w:before="120" w:after="120"/>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agree with the proposed principles for the facility specific terms, or do you think some modifications to these principles are required?</w:t>
            </w:r>
          </w:p>
          <w:p w14:paraId="2D85D13F"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AAs are an appropriate reference point for determining whether facility specific terms are reasonable, or do you think previous AA decisions may have resulted in terms that are not reasonable?  In answering this question please provide examples of terms that have been approved by a regulator that you do not consider reasonable.</w:t>
            </w:r>
          </w:p>
          <w:p w14:paraId="01B92107"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To what extent do you think the terms in primary GTAs are an appropriate reference point for determining whether the facility specific terms are reasonable? </w:t>
            </w:r>
          </w:p>
          <w:p w14:paraId="4109E50C" w14:textId="3634B36E" w:rsidR="000434CC" w:rsidRPr="00852BE3" w:rsidRDefault="000434CC" w:rsidP="00CF5A9C">
            <w:pPr>
              <w:pStyle w:val="ListParagraph"/>
              <w:numPr>
                <w:ilvl w:val="0"/>
                <w:numId w:val="17"/>
              </w:numPr>
              <w:spacing w:before="120" w:after="120"/>
              <w:ind w:left="562"/>
              <w:rPr>
                <w:rFonts w:asciiTheme="majorHAnsi" w:hAnsiTheme="majorHAnsi" w:cstheme="majorHAnsi"/>
                <w:sz w:val="19"/>
                <w:szCs w:val="19"/>
                <w:lang w:eastAsia="fr-CA"/>
              </w:rPr>
            </w:pPr>
            <w:r w:rsidRPr="00852BE3">
              <w:rPr>
                <w:rFonts w:asciiTheme="majorHAnsi" w:eastAsiaTheme="majorEastAsia" w:hAnsiTheme="majorHAnsi" w:cstheme="majorHAnsi"/>
                <w:sz w:val="19"/>
                <w:szCs w:val="19"/>
              </w:rPr>
              <w:t>To what extent do you think the terms in existing secondary shipper gas transportation agreements (whether in an operational GTA or incorporated in a primary GTA) are an appropriate reference point for determining whether the facility specific terms are reasonable?</w:t>
            </w:r>
          </w:p>
        </w:tc>
        <w:tc>
          <w:tcPr>
            <w:tcW w:w="2619" w:type="pct"/>
            <w:tcBorders>
              <w:top w:val="single" w:sz="4" w:space="0" w:color="auto"/>
              <w:left w:val="single" w:sz="4" w:space="0" w:color="auto"/>
              <w:bottom w:val="single" w:sz="4" w:space="0" w:color="auto"/>
              <w:right w:val="single" w:sz="4" w:space="0" w:color="auto"/>
            </w:tcBorders>
          </w:tcPr>
          <w:p w14:paraId="08C02A6F" w14:textId="321A8904" w:rsidR="000434CC" w:rsidRPr="00852BE3" w:rsidRDefault="000434CC" w:rsidP="000434CC">
            <w:pPr>
              <w:pStyle w:val="TableBullet2"/>
              <w:numPr>
                <w:ilvl w:val="0"/>
                <w:numId w:val="0"/>
              </w:numPr>
              <w:rPr>
                <w:rFonts w:asciiTheme="majorHAnsi" w:hAnsiTheme="majorHAnsi" w:cstheme="majorHAnsi"/>
                <w:sz w:val="19"/>
                <w:szCs w:val="19"/>
                <w:lang w:eastAsia="fr-CA"/>
              </w:rPr>
            </w:pPr>
            <w:r w:rsidRPr="00852BE3">
              <w:rPr>
                <w:rFonts w:asciiTheme="majorHAnsi" w:hAnsiTheme="majorHAnsi" w:cstheme="majorHAnsi"/>
                <w:sz w:val="19"/>
                <w:szCs w:val="19"/>
                <w:lang w:eastAsia="fr-CA"/>
              </w:rPr>
              <w:t xml:space="preserve">  </w:t>
            </w:r>
          </w:p>
        </w:tc>
      </w:tr>
      <w:tr w:rsidR="000434CC" w:rsidRPr="00852BE3" w14:paraId="3C2152FD" w14:textId="77777777" w:rsidTr="000D6A82">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10CB49EC" w14:textId="1BD77BE5" w:rsidR="000434CC" w:rsidRPr="00852BE3" w:rsidRDefault="003303D0"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lastRenderedPageBreak/>
              <w:t>3.5.4</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448EFA33" w14:textId="135F04B1" w:rsidR="000434CC" w:rsidRPr="00852BE3" w:rsidRDefault="00855230" w:rsidP="00855230">
            <w:pPr>
              <w:pStyle w:val="TableBullet1"/>
              <w:numPr>
                <w:ilvl w:val="0"/>
                <w:numId w:val="0"/>
              </w:numPr>
              <w:tabs>
                <w:tab w:val="left" w:pos="720"/>
              </w:tabs>
              <w:spacing w:before="20" w:after="20"/>
              <w:ind w:left="312" w:hanging="227"/>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C</w:t>
            </w:r>
            <w:r w:rsidR="000434CC" w:rsidRPr="00852BE3">
              <w:rPr>
                <w:rFonts w:asciiTheme="majorHAnsi" w:eastAsiaTheme="minorHAnsi" w:hAnsiTheme="majorHAnsi" w:cstheme="majorHAnsi"/>
                <w:b/>
                <w:sz w:val="19"/>
                <w:szCs w:val="19"/>
                <w:lang w:eastAsia="fr-CA"/>
              </w:rPr>
              <w:t>apacity transfer procedures</w:t>
            </w:r>
          </w:p>
        </w:tc>
      </w:tr>
      <w:tr w:rsidR="000434CC" w:rsidRPr="00852BE3" w14:paraId="119A2F5C"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5BD70D2A"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41486DB" w14:textId="61DFA558" w:rsidR="000434CC" w:rsidRPr="00852BE3" w:rsidRDefault="000434CC" w:rsidP="001A5C7F">
            <w:pPr>
              <w:spacing w:before="120" w:after="120"/>
              <w:ind w:left="137"/>
              <w:rPr>
                <w:rFonts w:asciiTheme="majorHAnsi" w:hAnsiTheme="majorHAnsi" w:cstheme="majorHAnsi"/>
                <w:sz w:val="19"/>
                <w:szCs w:val="19"/>
                <w:lang w:eastAsia="fr-CA"/>
              </w:rPr>
            </w:pPr>
            <w:r w:rsidRPr="00852BE3">
              <w:rPr>
                <w:rFonts w:asciiTheme="majorHAnsi" w:eastAsiaTheme="majorEastAsia" w:hAnsiTheme="majorHAnsi" w:cstheme="majorHAnsi"/>
                <w:sz w:val="19"/>
                <w:szCs w:val="19"/>
              </w:rPr>
              <w:t>Do you think AEMO should have the power to make capacity transfer procedures? If not, please explain why.</w:t>
            </w:r>
          </w:p>
        </w:tc>
        <w:tc>
          <w:tcPr>
            <w:tcW w:w="2619" w:type="pct"/>
            <w:tcBorders>
              <w:top w:val="single" w:sz="4" w:space="0" w:color="auto"/>
              <w:left w:val="single" w:sz="4" w:space="0" w:color="auto"/>
              <w:bottom w:val="single" w:sz="4" w:space="0" w:color="auto"/>
              <w:right w:val="single" w:sz="4" w:space="0" w:color="auto"/>
            </w:tcBorders>
          </w:tcPr>
          <w:p w14:paraId="22863489" w14:textId="09BF63DC" w:rsidR="000434CC" w:rsidRPr="00852BE3" w:rsidRDefault="000434CC" w:rsidP="000434CC">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C93AF4" w:rsidRPr="00852BE3" w14:paraId="57F3A65D" w14:textId="77777777" w:rsidTr="0005387E">
        <w:tc>
          <w:tcPr>
            <w:tcW w:w="433" w:type="pct"/>
            <w:tcBorders>
              <w:top w:val="single" w:sz="4" w:space="0" w:color="auto"/>
              <w:left w:val="single" w:sz="4" w:space="0" w:color="auto"/>
              <w:bottom w:val="single" w:sz="4" w:space="0" w:color="auto"/>
              <w:right w:val="single" w:sz="4" w:space="0" w:color="auto"/>
            </w:tcBorders>
          </w:tcPr>
          <w:p w14:paraId="798029ED" w14:textId="77777777" w:rsidR="00C93AF4" w:rsidRPr="00852BE3" w:rsidRDefault="00C93AF4"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44D574D7" w14:textId="5ECD9798" w:rsidR="00C93AF4" w:rsidRPr="00852BE3" w:rsidRDefault="00C93AF4" w:rsidP="001A5C7F">
            <w:pPr>
              <w:spacing w:before="120" w:after="120"/>
              <w:ind w:left="137"/>
              <w:rPr>
                <w:rFonts w:asciiTheme="majorHAnsi" w:eastAsiaTheme="majorEastAsia" w:hAnsiTheme="majorHAnsi" w:cstheme="majorHAnsi"/>
                <w:sz w:val="19"/>
                <w:szCs w:val="19"/>
              </w:rPr>
            </w:pPr>
            <w:r w:rsidRPr="00C93AF4">
              <w:rPr>
                <w:rFonts w:asciiTheme="majorHAnsi" w:eastAsiaTheme="majorEastAsia" w:hAnsiTheme="majorHAnsi" w:cstheme="majorHAnsi"/>
                <w:sz w:val="19"/>
                <w:szCs w:val="19"/>
              </w:rPr>
              <w:t>Is any guidance required in the NGR on the matters AEMO should consider when developing these procedures?</w:t>
            </w:r>
          </w:p>
        </w:tc>
        <w:tc>
          <w:tcPr>
            <w:tcW w:w="2619" w:type="pct"/>
            <w:tcBorders>
              <w:top w:val="single" w:sz="4" w:space="0" w:color="auto"/>
              <w:left w:val="single" w:sz="4" w:space="0" w:color="auto"/>
              <w:bottom w:val="single" w:sz="4" w:space="0" w:color="auto"/>
              <w:right w:val="single" w:sz="4" w:space="0" w:color="auto"/>
            </w:tcBorders>
          </w:tcPr>
          <w:p w14:paraId="4BF02CCE" w14:textId="77777777" w:rsidR="00C93AF4" w:rsidRPr="00852BE3" w:rsidRDefault="00C93AF4" w:rsidP="000434CC">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1A5C7F" w:rsidRPr="00852BE3" w14:paraId="0F197DD6"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5C009C4D" w14:textId="64397E91" w:rsidR="000434CC" w:rsidRPr="00852BE3" w:rsidRDefault="00855230"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3.6</w:t>
            </w:r>
          </w:p>
        </w:tc>
        <w:tc>
          <w:tcPr>
            <w:tcW w:w="1948" w:type="pct"/>
            <w:tcBorders>
              <w:top w:val="single" w:sz="4" w:space="0" w:color="auto"/>
              <w:left w:val="single" w:sz="4" w:space="0" w:color="auto"/>
              <w:bottom w:val="single" w:sz="4" w:space="0" w:color="auto"/>
              <w:right w:val="single" w:sz="4" w:space="0" w:color="auto"/>
            </w:tcBorders>
            <w:shd w:val="clear" w:color="auto" w:fill="000000" w:themeFill="text1"/>
          </w:tcPr>
          <w:p w14:paraId="247D1D5C" w14:textId="6FFD51D6" w:rsidR="000434CC" w:rsidRPr="00852BE3" w:rsidRDefault="00855230" w:rsidP="003303D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C</w:t>
            </w:r>
            <w:r w:rsidR="000434CC" w:rsidRPr="00852BE3">
              <w:rPr>
                <w:rFonts w:asciiTheme="majorHAnsi" w:eastAsiaTheme="minorHAnsi" w:hAnsiTheme="majorHAnsi" w:cstheme="majorHAnsi"/>
                <w:b/>
                <w:sz w:val="19"/>
                <w:szCs w:val="19"/>
                <w:lang w:eastAsia="fr-CA"/>
              </w:rPr>
              <w:t>ost recovery</w:t>
            </w:r>
          </w:p>
        </w:tc>
        <w:tc>
          <w:tcPr>
            <w:tcW w:w="2619" w:type="pct"/>
            <w:tcBorders>
              <w:top w:val="single" w:sz="4" w:space="0" w:color="auto"/>
              <w:left w:val="single" w:sz="4" w:space="0" w:color="auto"/>
              <w:bottom w:val="single" w:sz="4" w:space="0" w:color="auto"/>
              <w:right w:val="single" w:sz="4" w:space="0" w:color="auto"/>
            </w:tcBorders>
            <w:shd w:val="clear" w:color="auto" w:fill="000000" w:themeFill="text1"/>
          </w:tcPr>
          <w:p w14:paraId="6EDC28E3" w14:textId="77777777" w:rsidR="000434CC" w:rsidRPr="00852BE3" w:rsidRDefault="000434CC"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p>
        </w:tc>
      </w:tr>
      <w:tr w:rsidR="000434CC" w:rsidRPr="00852BE3" w14:paraId="120E1554" w14:textId="77777777" w:rsidTr="0005387E">
        <w:tc>
          <w:tcPr>
            <w:tcW w:w="433" w:type="pct"/>
            <w:tcBorders>
              <w:top w:val="single" w:sz="4" w:space="0" w:color="auto"/>
              <w:left w:val="single" w:sz="4" w:space="0" w:color="auto"/>
              <w:bottom w:val="single" w:sz="4" w:space="0" w:color="auto"/>
              <w:right w:val="single" w:sz="4" w:space="0" w:color="auto"/>
            </w:tcBorders>
          </w:tcPr>
          <w:p w14:paraId="27BC1514"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94C64A5" w14:textId="1E791F8D" w:rsidR="000434CC" w:rsidRPr="00852BE3" w:rsidRDefault="000434CC" w:rsidP="001A5C7F">
            <w:pPr>
              <w:pStyle w:val="ListNumber"/>
              <w:keepNext/>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agree that service providers should be able to recover the incremental establishment and capacity trading costs from shippers? </w:t>
            </w:r>
          </w:p>
          <w:p w14:paraId="52BDB893"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not, please explain why.</w:t>
            </w:r>
          </w:p>
          <w:p w14:paraId="535EC6CD"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If so, do you think: </w:t>
            </w:r>
          </w:p>
          <w:p w14:paraId="1A512829" w14:textId="77777777" w:rsidR="00855230" w:rsidRPr="00852BE3" w:rsidRDefault="000434CC" w:rsidP="00CF5A9C">
            <w:pPr>
              <w:pStyle w:val="ListParagraph"/>
              <w:numPr>
                <w:ilvl w:val="0"/>
                <w:numId w:val="18"/>
              </w:numPr>
              <w:spacing w:before="120" w:after="120"/>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the costs should be recovered from secondary shippers and primary shippers that sell their capacity, or do you think they should only be recovered from:</w:t>
            </w:r>
          </w:p>
          <w:p w14:paraId="75522F6E" w14:textId="77777777" w:rsidR="00855230" w:rsidRPr="00852BE3" w:rsidRDefault="00855230" w:rsidP="00855230">
            <w:pPr>
              <w:pStyle w:val="ListBullet2"/>
              <w:keepNext/>
              <w:numPr>
                <w:ilvl w:val="0"/>
                <w:numId w:val="0"/>
              </w:numPr>
              <w:spacing w:line="240" w:lineRule="auto"/>
              <w:ind w:left="1071"/>
              <w:rPr>
                <w:rFonts w:eastAsiaTheme="majorEastAsia"/>
                <w:sz w:val="19"/>
                <w:szCs w:val="19"/>
              </w:rPr>
            </w:pPr>
            <w:r w:rsidRPr="00852BE3">
              <w:rPr>
                <w:rFonts w:eastAsiaTheme="majorEastAsia"/>
                <w:sz w:val="19"/>
                <w:szCs w:val="19"/>
              </w:rPr>
              <w:t xml:space="preserve">(i) </w:t>
            </w:r>
            <w:proofErr w:type="gramStart"/>
            <w:r w:rsidR="000434CC" w:rsidRPr="00852BE3">
              <w:rPr>
                <w:rFonts w:eastAsiaTheme="majorEastAsia"/>
                <w:sz w:val="19"/>
                <w:szCs w:val="19"/>
              </w:rPr>
              <w:t>secondary</w:t>
            </w:r>
            <w:proofErr w:type="gramEnd"/>
            <w:r w:rsidR="000434CC" w:rsidRPr="00852BE3">
              <w:rPr>
                <w:rFonts w:eastAsiaTheme="majorEastAsia"/>
                <w:sz w:val="19"/>
                <w:szCs w:val="19"/>
              </w:rPr>
              <w:t xml:space="preserve"> shippers?</w:t>
            </w:r>
          </w:p>
          <w:p w14:paraId="21332025" w14:textId="77777777" w:rsidR="00855230" w:rsidRPr="00852BE3" w:rsidRDefault="00855230" w:rsidP="00855230">
            <w:pPr>
              <w:pStyle w:val="ListBullet2"/>
              <w:keepNext/>
              <w:numPr>
                <w:ilvl w:val="0"/>
                <w:numId w:val="0"/>
              </w:numPr>
              <w:spacing w:line="240" w:lineRule="auto"/>
              <w:ind w:left="1071"/>
              <w:rPr>
                <w:rFonts w:eastAsiaTheme="majorEastAsia"/>
                <w:sz w:val="19"/>
                <w:szCs w:val="19"/>
              </w:rPr>
            </w:pPr>
            <w:r w:rsidRPr="00852BE3">
              <w:rPr>
                <w:rFonts w:eastAsiaTheme="majorEastAsia"/>
                <w:sz w:val="19"/>
                <w:szCs w:val="19"/>
              </w:rPr>
              <w:t xml:space="preserve">(ii) </w:t>
            </w:r>
            <w:proofErr w:type="gramStart"/>
            <w:r w:rsidR="000434CC" w:rsidRPr="00852BE3">
              <w:rPr>
                <w:rFonts w:eastAsiaTheme="majorEastAsia"/>
                <w:sz w:val="19"/>
                <w:szCs w:val="19"/>
              </w:rPr>
              <w:t>primary</w:t>
            </w:r>
            <w:proofErr w:type="gramEnd"/>
            <w:r w:rsidR="000434CC" w:rsidRPr="00852BE3">
              <w:rPr>
                <w:rFonts w:eastAsiaTheme="majorEastAsia"/>
                <w:sz w:val="19"/>
                <w:szCs w:val="19"/>
              </w:rPr>
              <w:t xml:space="preserve"> shippers?</w:t>
            </w:r>
          </w:p>
          <w:p w14:paraId="13AF81D9" w14:textId="5AB0D687" w:rsidR="000434CC" w:rsidRPr="00852BE3" w:rsidRDefault="00855230" w:rsidP="00855230">
            <w:pPr>
              <w:pStyle w:val="ListBullet2"/>
              <w:keepNext/>
              <w:numPr>
                <w:ilvl w:val="0"/>
                <w:numId w:val="0"/>
              </w:numPr>
              <w:spacing w:line="240" w:lineRule="auto"/>
              <w:ind w:left="1071"/>
              <w:rPr>
                <w:rFonts w:eastAsiaTheme="majorEastAsia"/>
                <w:sz w:val="19"/>
                <w:szCs w:val="19"/>
              </w:rPr>
            </w:pPr>
            <w:r w:rsidRPr="00852BE3">
              <w:rPr>
                <w:rFonts w:eastAsiaTheme="majorEastAsia"/>
                <w:sz w:val="19"/>
                <w:szCs w:val="19"/>
              </w:rPr>
              <w:t xml:space="preserve">(iii) </w:t>
            </w:r>
            <w:proofErr w:type="gramStart"/>
            <w:r w:rsidR="000434CC" w:rsidRPr="00852BE3">
              <w:rPr>
                <w:rFonts w:asciiTheme="majorHAnsi" w:eastAsiaTheme="majorEastAsia" w:hAnsiTheme="majorHAnsi" w:cstheme="majorHAnsi"/>
                <w:sz w:val="19"/>
                <w:szCs w:val="19"/>
              </w:rPr>
              <w:t>secondary</w:t>
            </w:r>
            <w:proofErr w:type="gramEnd"/>
            <w:r w:rsidR="000434CC" w:rsidRPr="00852BE3">
              <w:rPr>
                <w:rFonts w:asciiTheme="majorHAnsi" w:eastAsiaTheme="majorEastAsia" w:hAnsiTheme="majorHAnsi" w:cstheme="majorHAnsi"/>
                <w:sz w:val="19"/>
                <w:szCs w:val="19"/>
              </w:rPr>
              <w:t xml:space="preserve"> shippers and all primary shippers?</w:t>
            </w:r>
          </w:p>
          <w:p w14:paraId="0DE037A9" w14:textId="44CE7DCE" w:rsidR="000434CC" w:rsidRPr="00852BE3" w:rsidRDefault="000434CC" w:rsidP="00CF5A9C">
            <w:pPr>
              <w:pStyle w:val="ListParagraph"/>
              <w:numPr>
                <w:ilvl w:val="0"/>
                <w:numId w:val="18"/>
              </w:numPr>
              <w:spacing w:before="120" w:after="120"/>
              <w:rPr>
                <w:rFonts w:asciiTheme="majorHAnsi" w:hAnsiTheme="majorHAnsi" w:cstheme="majorHAnsi"/>
                <w:sz w:val="19"/>
                <w:szCs w:val="19"/>
                <w:lang w:eastAsia="fr-CA"/>
              </w:rPr>
            </w:pPr>
            <w:proofErr w:type="gramStart"/>
            <w:r w:rsidRPr="00852BE3">
              <w:rPr>
                <w:rFonts w:asciiTheme="majorHAnsi" w:eastAsiaTheme="majorEastAsia" w:hAnsiTheme="majorHAnsi" w:cstheme="majorHAnsi"/>
                <w:sz w:val="19"/>
                <w:szCs w:val="19"/>
              </w:rPr>
              <w:t>the</w:t>
            </w:r>
            <w:proofErr w:type="gramEnd"/>
            <w:r w:rsidRPr="00852BE3">
              <w:rPr>
                <w:rFonts w:asciiTheme="majorHAnsi" w:eastAsiaTheme="majorEastAsia" w:hAnsiTheme="majorHAnsi" w:cstheme="majorHAnsi"/>
                <w:sz w:val="19"/>
                <w:szCs w:val="19"/>
              </w:rPr>
              <w:t xml:space="preserve"> costs should be recovered using a combination of a monthly administrative fee and a per trade (or per GJ) fee, or another mechanism?</w:t>
            </w:r>
          </w:p>
        </w:tc>
        <w:tc>
          <w:tcPr>
            <w:tcW w:w="2619" w:type="pct"/>
            <w:tcBorders>
              <w:top w:val="single" w:sz="4" w:space="0" w:color="auto"/>
              <w:left w:val="single" w:sz="4" w:space="0" w:color="auto"/>
              <w:bottom w:val="single" w:sz="4" w:space="0" w:color="auto"/>
              <w:right w:val="single" w:sz="4" w:space="0" w:color="auto"/>
            </w:tcBorders>
          </w:tcPr>
          <w:p w14:paraId="7B735197" w14:textId="02B5C806" w:rsidR="000434CC" w:rsidRPr="00852BE3" w:rsidRDefault="000434CC" w:rsidP="000434CC">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39C76CD0"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7FEED53D"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741DC90B" w14:textId="75816439" w:rsidR="000434CC" w:rsidRPr="00852BE3" w:rsidRDefault="000434CC" w:rsidP="001A5C7F">
            <w:pPr>
              <w:pStyle w:val="ListNumber"/>
              <w:keepNext/>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the costs that service providers seek to recover from shippers should be subject to the same pricing principle that applies under Part 23 of the NGR, or do you think a more stringent pricing principle should be applied (e.g. the prudent service provider acting efficiently test in Part 9 of the NGR)? </w:t>
            </w:r>
          </w:p>
        </w:tc>
        <w:tc>
          <w:tcPr>
            <w:tcW w:w="2619" w:type="pct"/>
            <w:tcBorders>
              <w:top w:val="single" w:sz="4" w:space="0" w:color="auto"/>
              <w:left w:val="single" w:sz="4" w:space="0" w:color="auto"/>
              <w:bottom w:val="single" w:sz="4" w:space="0" w:color="auto"/>
              <w:right w:val="single" w:sz="4" w:space="0" w:color="auto"/>
            </w:tcBorders>
          </w:tcPr>
          <w:p w14:paraId="35B69D90" w14:textId="12C751EB" w:rsidR="000434CC" w:rsidRPr="00852BE3" w:rsidRDefault="000434CC" w:rsidP="000434CC">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1AC92D9E" w14:textId="77777777" w:rsidTr="0005387E">
        <w:tc>
          <w:tcPr>
            <w:tcW w:w="433" w:type="pct"/>
            <w:tcBorders>
              <w:top w:val="single" w:sz="4" w:space="0" w:color="auto"/>
              <w:left w:val="single" w:sz="4" w:space="0" w:color="auto"/>
              <w:bottom w:val="single" w:sz="4" w:space="0" w:color="auto"/>
              <w:right w:val="single" w:sz="4" w:space="0" w:color="auto"/>
            </w:tcBorders>
          </w:tcPr>
          <w:p w14:paraId="6E54FABC"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626ED48" w14:textId="08779327" w:rsidR="000434CC" w:rsidRPr="00852BE3" w:rsidRDefault="000434CC" w:rsidP="001A5C7F">
            <w:pPr>
              <w:pStyle w:val="ListNumber"/>
              <w:keepNext/>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 AER should be able to review the costs that service providers seek to recover?</w:t>
            </w:r>
          </w:p>
          <w:p w14:paraId="1E6992E4"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not, please explain why.</w:t>
            </w:r>
          </w:p>
          <w:p w14:paraId="2D8CD096" w14:textId="5334F3FC" w:rsidR="000434CC" w:rsidRPr="00852BE3" w:rsidRDefault="000434CC" w:rsidP="00CF5A9C">
            <w:pPr>
              <w:pStyle w:val="ListParagraph"/>
              <w:numPr>
                <w:ilvl w:val="0"/>
                <w:numId w:val="17"/>
              </w:numPr>
              <w:spacing w:before="120" w:after="120"/>
              <w:ind w:left="562"/>
              <w:rPr>
                <w:rFonts w:asciiTheme="majorHAnsi" w:hAnsiTheme="majorHAnsi" w:cstheme="majorHAnsi"/>
                <w:sz w:val="19"/>
                <w:szCs w:val="19"/>
                <w:lang w:eastAsia="fr-CA"/>
              </w:rPr>
            </w:pPr>
            <w:r w:rsidRPr="00852BE3">
              <w:rPr>
                <w:rFonts w:asciiTheme="majorHAnsi" w:eastAsiaTheme="majorEastAsia" w:hAnsiTheme="majorHAnsi" w:cstheme="majorHAnsi"/>
                <w:sz w:val="19"/>
                <w:szCs w:val="19"/>
              </w:rPr>
              <w:t>If so, do you think the proposal that the AER could initiate its own review if it was concerned about the level of charges (or if another interested party raised concerns) would work, or do you think another approach would be more effective?</w:t>
            </w:r>
          </w:p>
        </w:tc>
        <w:tc>
          <w:tcPr>
            <w:tcW w:w="2619" w:type="pct"/>
            <w:tcBorders>
              <w:top w:val="single" w:sz="4" w:space="0" w:color="auto"/>
              <w:left w:val="single" w:sz="4" w:space="0" w:color="auto"/>
              <w:bottom w:val="single" w:sz="4" w:space="0" w:color="auto"/>
              <w:right w:val="single" w:sz="4" w:space="0" w:color="auto"/>
            </w:tcBorders>
          </w:tcPr>
          <w:p w14:paraId="0E2ACB62" w14:textId="039E5FA5" w:rsidR="000434CC" w:rsidRPr="00852BE3" w:rsidRDefault="000434CC" w:rsidP="000434CC">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0D6A82" w:rsidRPr="00852BE3" w14:paraId="5531D087" w14:textId="77777777" w:rsidTr="000D6A82">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66CB409A" w14:textId="1B9AAA53" w:rsidR="000D6A82" w:rsidRPr="00852BE3" w:rsidRDefault="000D6A82" w:rsidP="00610E03">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1E7A4EE8" w14:textId="6792F381" w:rsidR="000D6A82" w:rsidRPr="00852BE3" w:rsidRDefault="00C13C9E" w:rsidP="002A6BF2">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 xml:space="preserve">Standardised </w:t>
            </w:r>
            <w:r w:rsidR="002A6BF2">
              <w:rPr>
                <w:rFonts w:asciiTheme="majorHAnsi" w:eastAsiaTheme="minorHAnsi" w:hAnsiTheme="majorHAnsi" w:cstheme="majorHAnsi"/>
                <w:b/>
                <w:sz w:val="19"/>
                <w:szCs w:val="19"/>
                <w:lang w:eastAsia="fr-CA"/>
              </w:rPr>
              <w:t>O</w:t>
            </w:r>
            <w:r>
              <w:rPr>
                <w:rFonts w:asciiTheme="majorHAnsi" w:eastAsiaTheme="minorHAnsi" w:hAnsiTheme="majorHAnsi" w:cstheme="majorHAnsi"/>
                <w:b/>
                <w:sz w:val="19"/>
                <w:szCs w:val="19"/>
                <w:lang w:eastAsia="fr-CA"/>
              </w:rPr>
              <w:t>perational GTA</w:t>
            </w:r>
          </w:p>
        </w:tc>
      </w:tr>
      <w:tr w:rsidR="000D6A82" w:rsidRPr="00852BE3" w14:paraId="0F939DB3" w14:textId="77777777" w:rsidTr="0005387E">
        <w:tc>
          <w:tcPr>
            <w:tcW w:w="433" w:type="pct"/>
            <w:tcBorders>
              <w:top w:val="single" w:sz="4" w:space="0" w:color="auto"/>
              <w:left w:val="single" w:sz="4" w:space="0" w:color="auto"/>
              <w:bottom w:val="single" w:sz="4" w:space="0" w:color="auto"/>
              <w:right w:val="single" w:sz="4" w:space="0" w:color="auto"/>
            </w:tcBorders>
          </w:tcPr>
          <w:p w14:paraId="491E16C4" w14:textId="77777777" w:rsidR="000D6A82" w:rsidRPr="00852BE3" w:rsidRDefault="000D6A82" w:rsidP="00CF299B">
            <w:pPr>
              <w:pStyle w:val="ListParagraph"/>
              <w:spacing w:before="120" w:after="120"/>
              <w:ind w:left="75"/>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225C358C" w14:textId="23C8D631" w:rsidR="000D6A82" w:rsidRPr="00852BE3" w:rsidRDefault="000D6A82" w:rsidP="00C13C9E">
            <w:pPr>
              <w:pStyle w:val="ListNumber"/>
              <w:keepNext/>
              <w:ind w:left="137"/>
              <w:rPr>
                <w:rFonts w:asciiTheme="majorHAnsi" w:eastAsiaTheme="majorEastAsia" w:hAnsiTheme="majorHAnsi" w:cstheme="majorHAnsi"/>
                <w:sz w:val="19"/>
                <w:szCs w:val="19"/>
              </w:rPr>
            </w:pPr>
            <w:r>
              <w:rPr>
                <w:rFonts w:asciiTheme="majorHAnsi" w:eastAsiaTheme="majorEastAsia" w:hAnsiTheme="majorHAnsi" w:cstheme="majorHAnsi"/>
                <w:sz w:val="19"/>
                <w:szCs w:val="19"/>
              </w:rPr>
              <w:t xml:space="preserve">Do you have any other feedback on the </w:t>
            </w:r>
            <w:r w:rsidR="00C13C9E">
              <w:rPr>
                <w:rFonts w:asciiTheme="majorHAnsi" w:eastAsiaTheme="majorEastAsia" w:hAnsiTheme="majorHAnsi" w:cstheme="majorHAnsi"/>
                <w:sz w:val="19"/>
                <w:szCs w:val="19"/>
              </w:rPr>
              <w:t>contract terms?</w:t>
            </w:r>
          </w:p>
        </w:tc>
        <w:tc>
          <w:tcPr>
            <w:tcW w:w="2619" w:type="pct"/>
            <w:tcBorders>
              <w:top w:val="single" w:sz="4" w:space="0" w:color="auto"/>
              <w:left w:val="single" w:sz="4" w:space="0" w:color="auto"/>
              <w:bottom w:val="single" w:sz="4" w:space="0" w:color="auto"/>
              <w:right w:val="single" w:sz="4" w:space="0" w:color="auto"/>
            </w:tcBorders>
          </w:tcPr>
          <w:p w14:paraId="4F2AAE91" w14:textId="77777777" w:rsidR="00610E03" w:rsidRDefault="00610E03" w:rsidP="000434CC">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p w14:paraId="467EF541" w14:textId="77777777" w:rsidR="00610E03" w:rsidRPr="00852BE3" w:rsidRDefault="00610E03" w:rsidP="000434CC">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23E3DCA1" w14:textId="77777777" w:rsidTr="000D6A82">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757A8DC3" w14:textId="1D022DA8" w:rsidR="000434CC" w:rsidRPr="00852BE3" w:rsidRDefault="00855230"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4.2.1</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5373FDFE" w14:textId="494ADBF6" w:rsidR="000434CC" w:rsidRPr="00852BE3" w:rsidRDefault="00855230" w:rsidP="003303D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R</w:t>
            </w:r>
            <w:r w:rsidR="000434CC" w:rsidRPr="00852BE3">
              <w:rPr>
                <w:rFonts w:asciiTheme="majorHAnsi" w:eastAsiaTheme="minorHAnsi" w:hAnsiTheme="majorHAnsi" w:cstheme="majorHAnsi"/>
                <w:b/>
                <w:sz w:val="19"/>
                <w:szCs w:val="19"/>
                <w:lang w:eastAsia="fr-CA"/>
              </w:rPr>
              <w:t>eceipt and delivery point zones</w:t>
            </w:r>
          </w:p>
        </w:tc>
      </w:tr>
      <w:tr w:rsidR="000434CC" w:rsidRPr="00852BE3" w14:paraId="1480BBDB" w14:textId="77777777" w:rsidTr="0005387E">
        <w:tc>
          <w:tcPr>
            <w:tcW w:w="433" w:type="pct"/>
            <w:tcBorders>
              <w:top w:val="single" w:sz="4" w:space="0" w:color="auto"/>
              <w:left w:val="single" w:sz="4" w:space="0" w:color="auto"/>
              <w:bottom w:val="single" w:sz="4" w:space="0" w:color="auto"/>
              <w:right w:val="single" w:sz="4" w:space="0" w:color="auto"/>
            </w:tcBorders>
          </w:tcPr>
          <w:p w14:paraId="28D67A30"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15B2F5D5" w14:textId="799D7676"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What, if any, refinements do you think could be made to the indicative zones set out in Table 4.1 to maximise the pool of prospective buyers and sellers, while also:</w:t>
            </w:r>
          </w:p>
          <w:p w14:paraId="0D8DB2AA"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ensuring that capacity can be transferred between points within the zone on a one-for-one basis if there is physical capacity at the relevant point; and</w:t>
            </w:r>
          </w:p>
          <w:p w14:paraId="0330C5BE" w14:textId="13080251" w:rsidR="000434CC" w:rsidRPr="00852BE3" w:rsidRDefault="000434CC" w:rsidP="00CF5A9C">
            <w:pPr>
              <w:pStyle w:val="ListParagraph"/>
              <w:numPr>
                <w:ilvl w:val="0"/>
                <w:numId w:val="17"/>
              </w:numPr>
              <w:spacing w:before="120" w:after="120"/>
              <w:ind w:left="562"/>
              <w:rPr>
                <w:rFonts w:asciiTheme="majorHAnsi" w:hAnsiTheme="majorHAnsi" w:cstheme="majorHAnsi"/>
                <w:sz w:val="19"/>
                <w:szCs w:val="19"/>
                <w:lang w:eastAsia="fr-CA"/>
              </w:rPr>
            </w:pPr>
            <w:proofErr w:type="gramStart"/>
            <w:r w:rsidRPr="00852BE3">
              <w:rPr>
                <w:rFonts w:asciiTheme="majorHAnsi" w:eastAsiaTheme="majorEastAsia" w:hAnsiTheme="majorHAnsi" w:cstheme="majorHAnsi"/>
                <w:sz w:val="19"/>
                <w:szCs w:val="19"/>
              </w:rPr>
              <w:t>minimising</w:t>
            </w:r>
            <w:proofErr w:type="gramEnd"/>
            <w:r w:rsidRPr="00852BE3">
              <w:rPr>
                <w:rFonts w:asciiTheme="majorHAnsi" w:eastAsiaTheme="majorEastAsia" w:hAnsiTheme="majorHAnsi" w:cstheme="majorHAnsi"/>
                <w:sz w:val="19"/>
                <w:szCs w:val="19"/>
              </w:rPr>
              <w:t xml:space="preserve"> the risk that secondary shippers will not be able to access capacity at a receipt or delivery point within the zone?</w:t>
            </w:r>
          </w:p>
        </w:tc>
        <w:tc>
          <w:tcPr>
            <w:tcW w:w="2619" w:type="pct"/>
            <w:tcBorders>
              <w:top w:val="single" w:sz="4" w:space="0" w:color="auto"/>
              <w:left w:val="single" w:sz="4" w:space="0" w:color="auto"/>
              <w:bottom w:val="single" w:sz="4" w:space="0" w:color="auto"/>
              <w:right w:val="single" w:sz="4" w:space="0" w:color="auto"/>
            </w:tcBorders>
          </w:tcPr>
          <w:p w14:paraId="011EC539" w14:textId="6DC7FB0E"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650D6531"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59903D6E"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46EA40CA" w14:textId="471A5DE0"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 xml:space="preserve">Do you think that: </w:t>
            </w:r>
          </w:p>
          <w:p w14:paraId="23C458C8" w14:textId="6533BAED"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pipelines</w:t>
            </w:r>
            <w:proofErr w:type="gramEnd"/>
            <w:r w:rsidRPr="00852BE3">
              <w:rPr>
                <w:rFonts w:asciiTheme="majorHAnsi" w:eastAsiaTheme="majorEastAsia" w:hAnsiTheme="majorHAnsi" w:cstheme="majorHAnsi"/>
                <w:sz w:val="19"/>
                <w:szCs w:val="19"/>
              </w:rPr>
              <w:t xml:space="preserve"> that are connected to another pipeline should be required to define a transit point delivery zone to minimise the risk that gas cannot be transp</w:t>
            </w:r>
            <w:r w:rsidR="00610E03">
              <w:rPr>
                <w:rFonts w:asciiTheme="majorHAnsi" w:eastAsiaTheme="majorEastAsia" w:hAnsiTheme="majorHAnsi" w:cstheme="majorHAnsi"/>
                <w:sz w:val="19"/>
                <w:szCs w:val="19"/>
              </w:rPr>
              <w:t>orted between the two pipelines?</w:t>
            </w:r>
          </w:p>
          <w:p w14:paraId="3E8EAA80" w14:textId="3DF8F8C5"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pipelines</w:t>
            </w:r>
            <w:proofErr w:type="gramEnd"/>
            <w:r w:rsidRPr="00852BE3">
              <w:rPr>
                <w:rFonts w:asciiTheme="majorHAnsi" w:eastAsiaTheme="majorEastAsia" w:hAnsiTheme="majorHAnsi" w:cstheme="majorHAnsi"/>
                <w:sz w:val="19"/>
                <w:szCs w:val="19"/>
              </w:rPr>
              <w:t xml:space="preserve"> connected to an STTM should be required to define an STTM delivery to minimise the risk that gas cannot be supplied into the STTM?</w:t>
            </w:r>
          </w:p>
          <w:p w14:paraId="181E1459" w14:textId="1CCDC4C3" w:rsidR="000434CC" w:rsidRPr="00852BE3" w:rsidRDefault="000434CC" w:rsidP="00855230">
            <w:pPr>
              <w:pStyle w:val="ListBullet"/>
              <w:numPr>
                <w:ilvl w:val="0"/>
                <w:numId w:val="0"/>
              </w:numPr>
              <w:ind w:left="137"/>
              <w:rPr>
                <w:rFonts w:asciiTheme="majorHAnsi" w:hAnsiTheme="majorHAnsi" w:cstheme="majorHAnsi"/>
                <w:sz w:val="19"/>
                <w:szCs w:val="19"/>
                <w:lang w:eastAsia="fr-CA"/>
              </w:rPr>
            </w:pPr>
            <w:r w:rsidRPr="00852BE3">
              <w:rPr>
                <w:rFonts w:asciiTheme="majorHAnsi" w:hAnsiTheme="majorHAnsi" w:cstheme="majorHAnsi"/>
                <w:sz w:val="19"/>
                <w:szCs w:val="19"/>
              </w:rPr>
              <w:lastRenderedPageBreak/>
              <w:t>Are there any other special cases that you think would require more careful consideration to be given to the bounds of the zones?</w:t>
            </w:r>
          </w:p>
        </w:tc>
        <w:tc>
          <w:tcPr>
            <w:tcW w:w="2619" w:type="pct"/>
            <w:tcBorders>
              <w:top w:val="single" w:sz="4" w:space="0" w:color="auto"/>
              <w:left w:val="single" w:sz="4" w:space="0" w:color="auto"/>
              <w:bottom w:val="single" w:sz="4" w:space="0" w:color="auto"/>
              <w:right w:val="single" w:sz="4" w:space="0" w:color="auto"/>
            </w:tcBorders>
          </w:tcPr>
          <w:p w14:paraId="54FF6688"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6BA69D67" w14:textId="77777777" w:rsidTr="0005387E">
        <w:tc>
          <w:tcPr>
            <w:tcW w:w="433" w:type="pct"/>
            <w:tcBorders>
              <w:top w:val="single" w:sz="4" w:space="0" w:color="auto"/>
              <w:left w:val="single" w:sz="4" w:space="0" w:color="auto"/>
              <w:bottom w:val="single" w:sz="4" w:space="0" w:color="auto"/>
              <w:right w:val="single" w:sz="4" w:space="0" w:color="auto"/>
            </w:tcBorders>
          </w:tcPr>
          <w:p w14:paraId="2278079C"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6AF45A45" w14:textId="0D9183C0"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 xml:space="preserve">Do you agree with the principles that have been suggested by the Standardisation project team should guide the development of zones, or are there other principles you think should be considered? </w:t>
            </w:r>
          </w:p>
        </w:tc>
        <w:tc>
          <w:tcPr>
            <w:tcW w:w="2619" w:type="pct"/>
            <w:tcBorders>
              <w:top w:val="single" w:sz="4" w:space="0" w:color="auto"/>
              <w:left w:val="single" w:sz="4" w:space="0" w:color="auto"/>
              <w:bottom w:val="single" w:sz="4" w:space="0" w:color="auto"/>
              <w:right w:val="single" w:sz="4" w:space="0" w:color="auto"/>
            </w:tcBorders>
          </w:tcPr>
          <w:p w14:paraId="3B37EDB2"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3726A274"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3DB88AFD"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5C1C5979" w14:textId="71C8C19D"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Do you think these principles should be included in the NGR?</w:t>
            </w:r>
          </w:p>
        </w:tc>
        <w:tc>
          <w:tcPr>
            <w:tcW w:w="2619" w:type="pct"/>
            <w:tcBorders>
              <w:top w:val="single" w:sz="4" w:space="0" w:color="auto"/>
              <w:left w:val="single" w:sz="4" w:space="0" w:color="auto"/>
              <w:bottom w:val="single" w:sz="4" w:space="0" w:color="auto"/>
              <w:right w:val="single" w:sz="4" w:space="0" w:color="auto"/>
            </w:tcBorders>
          </w:tcPr>
          <w:p w14:paraId="10C3C1A6" w14:textId="77777777" w:rsidR="000434CC"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p w14:paraId="46A15AD6" w14:textId="2BF7382E" w:rsidR="00610E03" w:rsidRPr="00852BE3" w:rsidRDefault="00610E03"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852BE3" w14:paraId="7F233FC1" w14:textId="77777777" w:rsidTr="000D6A82">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2CE5E45C" w14:textId="2CEBB369" w:rsidR="000434CC" w:rsidRPr="00852BE3" w:rsidRDefault="00855230"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4.2.2</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7793E0C8" w14:textId="7D39C947" w:rsidR="000434CC" w:rsidRPr="00852BE3" w:rsidRDefault="00855230" w:rsidP="0085523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S</w:t>
            </w:r>
            <w:r w:rsidR="000434CC" w:rsidRPr="00852BE3">
              <w:rPr>
                <w:rFonts w:asciiTheme="majorHAnsi" w:eastAsiaTheme="minorHAnsi" w:hAnsiTheme="majorHAnsi" w:cstheme="majorHAnsi"/>
                <w:b/>
                <w:sz w:val="19"/>
                <w:szCs w:val="19"/>
                <w:lang w:eastAsia="fr-CA"/>
              </w:rPr>
              <w:t>econdary firm rights</w:t>
            </w:r>
          </w:p>
        </w:tc>
      </w:tr>
      <w:tr w:rsidR="000434CC" w:rsidRPr="00852BE3" w14:paraId="54389753"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7929CC4A"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20892AC2" w14:textId="0A765865"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Do you agree with the project team’s observations about the level of risk associated with secondary firm rights at receipt and delivery points? If not, please explain why.</w:t>
            </w:r>
          </w:p>
        </w:tc>
        <w:tc>
          <w:tcPr>
            <w:tcW w:w="2619" w:type="pct"/>
            <w:tcBorders>
              <w:top w:val="single" w:sz="4" w:space="0" w:color="auto"/>
              <w:left w:val="single" w:sz="4" w:space="0" w:color="auto"/>
              <w:bottom w:val="single" w:sz="4" w:space="0" w:color="auto"/>
              <w:right w:val="single" w:sz="4" w:space="0" w:color="auto"/>
            </w:tcBorders>
          </w:tcPr>
          <w:p w14:paraId="493A14B1" w14:textId="46330C5C"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208816E0" w14:textId="77777777" w:rsidTr="0005387E">
        <w:tc>
          <w:tcPr>
            <w:tcW w:w="433" w:type="pct"/>
            <w:tcBorders>
              <w:top w:val="single" w:sz="4" w:space="0" w:color="auto"/>
              <w:left w:val="single" w:sz="4" w:space="0" w:color="auto"/>
              <w:bottom w:val="single" w:sz="4" w:space="0" w:color="auto"/>
              <w:right w:val="single" w:sz="4" w:space="0" w:color="auto"/>
            </w:tcBorders>
          </w:tcPr>
          <w:p w14:paraId="3911D472"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5ACDA119" w14:textId="538F3C86"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 xml:space="preserve">Apart from defining the zones more narrowly or utilising the point-to-point model, do you think there are any other ways that the risk associated with the zonal model could be reduced? </w:t>
            </w:r>
          </w:p>
        </w:tc>
        <w:tc>
          <w:tcPr>
            <w:tcW w:w="2619" w:type="pct"/>
            <w:tcBorders>
              <w:top w:val="single" w:sz="4" w:space="0" w:color="auto"/>
              <w:left w:val="single" w:sz="4" w:space="0" w:color="auto"/>
              <w:bottom w:val="single" w:sz="4" w:space="0" w:color="auto"/>
              <w:right w:val="single" w:sz="4" w:space="0" w:color="auto"/>
            </w:tcBorders>
          </w:tcPr>
          <w:p w14:paraId="1DAA122D"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242D9A85"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08DA4E79"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69EDF5A2" w14:textId="03593861" w:rsidR="000434CC" w:rsidRPr="00852BE3" w:rsidRDefault="000434CC" w:rsidP="00610E03">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If you are a potential user of the capacity trading platform would the risk discour</w:t>
            </w:r>
            <w:r w:rsidR="00610E03">
              <w:rPr>
                <w:rFonts w:asciiTheme="majorHAnsi" w:hAnsiTheme="majorHAnsi" w:cstheme="majorHAnsi"/>
                <w:sz w:val="19"/>
                <w:szCs w:val="19"/>
              </w:rPr>
              <w:t xml:space="preserve">age you from using the exchange, </w:t>
            </w:r>
            <w:r w:rsidRPr="00852BE3">
              <w:rPr>
                <w:rFonts w:asciiTheme="majorHAnsi" w:hAnsiTheme="majorHAnsi" w:cstheme="majorHAnsi"/>
                <w:sz w:val="19"/>
                <w:szCs w:val="19"/>
              </w:rPr>
              <w:t>or do you think the risks are manageable?</w:t>
            </w:r>
          </w:p>
        </w:tc>
        <w:tc>
          <w:tcPr>
            <w:tcW w:w="2619" w:type="pct"/>
            <w:tcBorders>
              <w:top w:val="single" w:sz="4" w:space="0" w:color="auto"/>
              <w:left w:val="single" w:sz="4" w:space="0" w:color="auto"/>
              <w:bottom w:val="single" w:sz="4" w:space="0" w:color="auto"/>
              <w:right w:val="single" w:sz="4" w:space="0" w:color="auto"/>
            </w:tcBorders>
          </w:tcPr>
          <w:p w14:paraId="68F5438E"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F308D8" w:rsidRPr="00852BE3" w14:paraId="0C247E53" w14:textId="77777777" w:rsidTr="0005387E">
        <w:tc>
          <w:tcPr>
            <w:tcW w:w="433" w:type="pct"/>
            <w:tcBorders>
              <w:top w:val="single" w:sz="4" w:space="0" w:color="auto"/>
              <w:left w:val="single" w:sz="4" w:space="0" w:color="auto"/>
              <w:bottom w:val="single" w:sz="4" w:space="0" w:color="auto"/>
              <w:right w:val="single" w:sz="4" w:space="0" w:color="auto"/>
            </w:tcBorders>
          </w:tcPr>
          <w:p w14:paraId="7676F5F7" w14:textId="77777777" w:rsidR="00F308D8" w:rsidRPr="00852BE3" w:rsidRDefault="00F308D8"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4CC6EA42" w14:textId="50FB1529" w:rsidR="00610E03" w:rsidRPr="00852BE3" w:rsidRDefault="00F308D8" w:rsidP="00254F2B">
            <w:pPr>
              <w:pStyle w:val="ListBullet"/>
              <w:numPr>
                <w:ilvl w:val="0"/>
                <w:numId w:val="0"/>
              </w:numPr>
              <w:ind w:left="137"/>
              <w:rPr>
                <w:rFonts w:asciiTheme="majorHAnsi" w:hAnsiTheme="majorHAnsi" w:cstheme="majorHAnsi"/>
                <w:sz w:val="19"/>
                <w:szCs w:val="19"/>
              </w:rPr>
            </w:pPr>
            <w:r w:rsidRPr="00F308D8">
              <w:rPr>
                <w:rFonts w:asciiTheme="majorHAnsi" w:hAnsiTheme="majorHAnsi" w:cstheme="majorHAnsi"/>
                <w:sz w:val="19"/>
                <w:szCs w:val="19"/>
              </w:rPr>
              <w:t xml:space="preserve">How do you think renomination rights should be treated </w:t>
            </w:r>
            <w:r w:rsidRPr="00F308D8">
              <w:rPr>
                <w:rFonts w:asciiTheme="majorHAnsi" w:hAnsiTheme="majorHAnsi" w:cstheme="majorHAnsi"/>
                <w:i/>
                <w:sz w:val="19"/>
                <w:szCs w:val="19"/>
              </w:rPr>
              <w:t>vis-à-vis</w:t>
            </w:r>
            <w:r w:rsidRPr="00F308D8">
              <w:rPr>
                <w:rFonts w:asciiTheme="majorHAnsi" w:hAnsiTheme="majorHAnsi" w:cstheme="majorHAnsi"/>
                <w:sz w:val="19"/>
                <w:szCs w:val="19"/>
              </w:rPr>
              <w:t xml:space="preserve"> secondary firm rights under the zonal model?</w:t>
            </w:r>
          </w:p>
        </w:tc>
        <w:tc>
          <w:tcPr>
            <w:tcW w:w="2619" w:type="pct"/>
            <w:tcBorders>
              <w:top w:val="single" w:sz="4" w:space="0" w:color="auto"/>
              <w:left w:val="single" w:sz="4" w:space="0" w:color="auto"/>
              <w:bottom w:val="single" w:sz="4" w:space="0" w:color="auto"/>
              <w:right w:val="single" w:sz="4" w:space="0" w:color="auto"/>
            </w:tcBorders>
          </w:tcPr>
          <w:p w14:paraId="240F381D" w14:textId="77777777" w:rsidR="00610E03" w:rsidRDefault="00610E03"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p w14:paraId="0615C49D" w14:textId="77777777" w:rsidR="00610E03" w:rsidRPr="00852BE3" w:rsidRDefault="00610E03"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6542F279" w14:textId="77777777" w:rsidTr="000D6A82">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5A5F0DD2" w14:textId="45057094" w:rsidR="000434CC" w:rsidRPr="00852BE3" w:rsidRDefault="00855230"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4.2.3</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6C49C622" w14:textId="37F8208C" w:rsidR="000434CC" w:rsidRPr="00852BE3" w:rsidRDefault="00855230" w:rsidP="00855230">
            <w:pPr>
              <w:pStyle w:val="TableBullet1"/>
              <w:numPr>
                <w:ilvl w:val="0"/>
                <w:numId w:val="0"/>
              </w:numPr>
              <w:tabs>
                <w:tab w:val="left" w:pos="720"/>
              </w:tabs>
              <w:spacing w:before="20" w:after="20"/>
              <w:ind w:left="312" w:hanging="227"/>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G</w:t>
            </w:r>
            <w:r w:rsidR="000434CC" w:rsidRPr="00852BE3">
              <w:rPr>
                <w:rFonts w:asciiTheme="majorHAnsi" w:eastAsiaTheme="minorHAnsi" w:hAnsiTheme="majorHAnsi" w:cstheme="majorHAnsi"/>
                <w:b/>
                <w:sz w:val="19"/>
                <w:szCs w:val="19"/>
                <w:lang w:eastAsia="fr-CA"/>
              </w:rPr>
              <w:t>overnance for the zonal model</w:t>
            </w:r>
          </w:p>
        </w:tc>
      </w:tr>
      <w:tr w:rsidR="000434CC" w:rsidRPr="00852BE3" w14:paraId="4FD51BDB" w14:textId="77777777" w:rsidTr="0005387E">
        <w:tc>
          <w:tcPr>
            <w:tcW w:w="433" w:type="pct"/>
            <w:tcBorders>
              <w:top w:val="single" w:sz="4" w:space="0" w:color="auto"/>
              <w:left w:val="single" w:sz="4" w:space="0" w:color="auto"/>
              <w:bottom w:val="single" w:sz="4" w:space="0" w:color="auto"/>
              <w:right w:val="single" w:sz="4" w:space="0" w:color="auto"/>
            </w:tcBorders>
          </w:tcPr>
          <w:p w14:paraId="668B54E0"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5464DEB7" w14:textId="0BA225A8"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 xml:space="preserve">Do you agree with the proposed governance arrangements for the zonal model? If not, please explain why. </w:t>
            </w:r>
          </w:p>
        </w:tc>
        <w:tc>
          <w:tcPr>
            <w:tcW w:w="2619" w:type="pct"/>
            <w:tcBorders>
              <w:top w:val="single" w:sz="4" w:space="0" w:color="auto"/>
              <w:left w:val="single" w:sz="4" w:space="0" w:color="auto"/>
              <w:bottom w:val="single" w:sz="4" w:space="0" w:color="auto"/>
              <w:right w:val="single" w:sz="4" w:space="0" w:color="auto"/>
            </w:tcBorders>
          </w:tcPr>
          <w:p w14:paraId="3CC0E9C6"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639104ED"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70C32305"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4D5960BB" w14:textId="0A441415"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 xml:space="preserve">Do you think the rules should specify the principles a pipeline operator, Industry Panel and/or AER would be required to consider before making a change to the zonal definition? </w:t>
            </w:r>
          </w:p>
        </w:tc>
        <w:tc>
          <w:tcPr>
            <w:tcW w:w="2619" w:type="pct"/>
            <w:tcBorders>
              <w:top w:val="single" w:sz="4" w:space="0" w:color="auto"/>
              <w:left w:val="single" w:sz="4" w:space="0" w:color="auto"/>
              <w:bottom w:val="single" w:sz="4" w:space="0" w:color="auto"/>
              <w:right w:val="single" w:sz="4" w:space="0" w:color="auto"/>
            </w:tcBorders>
          </w:tcPr>
          <w:p w14:paraId="78E0CFCE"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3707BFEC" w14:textId="77777777" w:rsidTr="000D6A82">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5C718496" w14:textId="6FB4529C" w:rsidR="000434CC" w:rsidRPr="00852BE3" w:rsidRDefault="000C245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4.3</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B898D8B" w14:textId="4C3F6CE8" w:rsidR="000434CC" w:rsidRPr="00852BE3" w:rsidRDefault="000C2451" w:rsidP="000C245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R</w:t>
            </w:r>
            <w:r w:rsidR="000434CC" w:rsidRPr="00852BE3">
              <w:rPr>
                <w:rFonts w:asciiTheme="majorHAnsi" w:eastAsiaTheme="minorHAnsi" w:hAnsiTheme="majorHAnsi" w:cstheme="majorHAnsi"/>
                <w:b/>
                <w:sz w:val="19"/>
                <w:szCs w:val="19"/>
                <w:lang w:eastAsia="fr-CA"/>
              </w:rPr>
              <w:t>eceipt and delivery point change process</w:t>
            </w:r>
          </w:p>
        </w:tc>
      </w:tr>
      <w:tr w:rsidR="000434CC" w:rsidRPr="00852BE3" w14:paraId="4261FF38"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17883932"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59FA6B88" w14:textId="09F85958"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 xml:space="preserve">Do you agree with the proposal to amend the NGR to provide shippers and service providers with greater guidance on the rights shippers have to seek a change; the circumstances in which a service provider can withhold its consent, the time service providers should have to respond and the level of any charges that can be recovered from shippers? If not, please explain why. </w:t>
            </w:r>
          </w:p>
        </w:tc>
        <w:tc>
          <w:tcPr>
            <w:tcW w:w="2619" w:type="pct"/>
            <w:tcBorders>
              <w:top w:val="single" w:sz="4" w:space="0" w:color="auto"/>
              <w:left w:val="single" w:sz="4" w:space="0" w:color="auto"/>
              <w:bottom w:val="single" w:sz="4" w:space="0" w:color="auto"/>
              <w:right w:val="single" w:sz="4" w:space="0" w:color="auto"/>
            </w:tcBorders>
          </w:tcPr>
          <w:p w14:paraId="76FC269B"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6467644E" w14:textId="77777777" w:rsidTr="0005387E">
        <w:tc>
          <w:tcPr>
            <w:tcW w:w="433" w:type="pct"/>
            <w:tcBorders>
              <w:top w:val="single" w:sz="4" w:space="0" w:color="auto"/>
              <w:left w:val="single" w:sz="4" w:space="0" w:color="auto"/>
              <w:bottom w:val="single" w:sz="4" w:space="0" w:color="auto"/>
              <w:right w:val="single" w:sz="4" w:space="0" w:color="auto"/>
            </w:tcBorders>
          </w:tcPr>
          <w:p w14:paraId="07432B4B"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7C106CDB" w14:textId="6006FDCA"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Do you agree that service providers should be able to withhold their consent if the change is not technically feasible or if the change would adversely affect other shippers’ access to services?</w:t>
            </w:r>
          </w:p>
        </w:tc>
        <w:tc>
          <w:tcPr>
            <w:tcW w:w="2619" w:type="pct"/>
            <w:tcBorders>
              <w:top w:val="single" w:sz="4" w:space="0" w:color="auto"/>
              <w:left w:val="single" w:sz="4" w:space="0" w:color="auto"/>
              <w:bottom w:val="single" w:sz="4" w:space="0" w:color="auto"/>
              <w:right w:val="single" w:sz="4" w:space="0" w:color="auto"/>
            </w:tcBorders>
          </w:tcPr>
          <w:p w14:paraId="1D2D0D64"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07A07BB2"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5EC8AB75"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61B7C73A" w14:textId="36E087DB"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Do you agree with the proposed limitation of commercial considerations (i.e. consent can be withheld if the service provider receives less revenue under its contract with the shipper or incurs additional costs and the shipper is not prepared to pay for any shortfall)? If not, please explain why.</w:t>
            </w:r>
          </w:p>
        </w:tc>
        <w:tc>
          <w:tcPr>
            <w:tcW w:w="2619" w:type="pct"/>
            <w:tcBorders>
              <w:top w:val="single" w:sz="4" w:space="0" w:color="auto"/>
              <w:left w:val="single" w:sz="4" w:space="0" w:color="auto"/>
              <w:bottom w:val="single" w:sz="4" w:space="0" w:color="auto"/>
              <w:right w:val="single" w:sz="4" w:space="0" w:color="auto"/>
            </w:tcBorders>
          </w:tcPr>
          <w:p w14:paraId="6262E964"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2531DB54" w14:textId="77777777" w:rsidTr="0005387E">
        <w:tc>
          <w:tcPr>
            <w:tcW w:w="433" w:type="pct"/>
            <w:tcBorders>
              <w:top w:val="single" w:sz="4" w:space="0" w:color="auto"/>
              <w:left w:val="single" w:sz="4" w:space="0" w:color="auto"/>
              <w:bottom w:val="single" w:sz="4" w:space="0" w:color="auto"/>
              <w:right w:val="single" w:sz="4" w:space="0" w:color="auto"/>
            </w:tcBorders>
          </w:tcPr>
          <w:p w14:paraId="2006ACED"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6D7DAB57" w14:textId="53668B9B"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hAnsiTheme="majorHAnsi" w:cstheme="majorHAnsi"/>
                <w:sz w:val="19"/>
                <w:szCs w:val="19"/>
              </w:rPr>
              <w:t>Are there any other reasons why you think consent should be able to be withheld by a service provider?</w:t>
            </w:r>
          </w:p>
        </w:tc>
        <w:tc>
          <w:tcPr>
            <w:tcW w:w="2619" w:type="pct"/>
            <w:tcBorders>
              <w:top w:val="single" w:sz="4" w:space="0" w:color="auto"/>
              <w:left w:val="single" w:sz="4" w:space="0" w:color="auto"/>
              <w:bottom w:val="single" w:sz="4" w:space="0" w:color="auto"/>
              <w:right w:val="single" w:sz="4" w:space="0" w:color="auto"/>
            </w:tcBorders>
          </w:tcPr>
          <w:p w14:paraId="09232AE9"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3356DC59"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0B996E1A"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4A6485CA" w14:textId="3B24BDFD" w:rsidR="000434CC" w:rsidRPr="00852BE3" w:rsidRDefault="000434CC" w:rsidP="001A5C7F">
            <w:pPr>
              <w:pStyle w:val="ListNumber"/>
              <w:keepNext/>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the timeframe that has been proposed for service providers to respond to requests to transfer receipt or delivery points: </w:t>
            </w:r>
          </w:p>
          <w:p w14:paraId="0D6D716D"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within</w:t>
            </w:r>
            <w:proofErr w:type="gramEnd"/>
            <w:r w:rsidRPr="00852BE3">
              <w:rPr>
                <w:rFonts w:asciiTheme="majorHAnsi" w:eastAsiaTheme="majorEastAsia" w:hAnsiTheme="majorHAnsi" w:cstheme="majorHAnsi"/>
                <w:sz w:val="19"/>
                <w:szCs w:val="19"/>
              </w:rPr>
              <w:t xml:space="preserve"> a zone is appropriate (i.e. within five business days)? If not, please explain why.</w:t>
            </w:r>
          </w:p>
          <w:p w14:paraId="6AB2ADCC" w14:textId="164D31E5" w:rsidR="000434CC" w:rsidRPr="00852BE3" w:rsidRDefault="000434CC" w:rsidP="00CF5A9C">
            <w:pPr>
              <w:pStyle w:val="ListParagraph"/>
              <w:numPr>
                <w:ilvl w:val="0"/>
                <w:numId w:val="17"/>
              </w:numPr>
              <w:spacing w:before="120" w:after="120"/>
              <w:ind w:left="562"/>
              <w:rPr>
                <w:rFonts w:asciiTheme="majorHAnsi" w:hAnsiTheme="majorHAnsi" w:cstheme="majorHAnsi"/>
                <w:sz w:val="19"/>
                <w:szCs w:val="19"/>
              </w:rPr>
            </w:pPr>
            <w:proofErr w:type="gramStart"/>
            <w:r w:rsidRPr="00852BE3">
              <w:rPr>
                <w:rFonts w:asciiTheme="majorHAnsi" w:eastAsiaTheme="majorEastAsia" w:hAnsiTheme="majorHAnsi" w:cstheme="majorHAnsi"/>
                <w:sz w:val="19"/>
                <w:szCs w:val="19"/>
              </w:rPr>
              <w:lastRenderedPageBreak/>
              <w:t>across</w:t>
            </w:r>
            <w:proofErr w:type="gramEnd"/>
            <w:r w:rsidRPr="00852BE3">
              <w:rPr>
                <w:rFonts w:asciiTheme="majorHAnsi" w:eastAsiaTheme="majorEastAsia" w:hAnsiTheme="majorHAnsi" w:cstheme="majorHAnsi"/>
                <w:sz w:val="19"/>
                <w:szCs w:val="19"/>
              </w:rPr>
              <w:t xml:space="preserve"> a zone is appropriate (i.e. within five business days for an initial response and up to 20 business days for a final response)? If not, please explain why.</w:t>
            </w:r>
            <w:r w:rsidRPr="00852BE3">
              <w:rPr>
                <w:rFonts w:asciiTheme="majorHAnsi" w:hAnsiTheme="majorHAnsi" w:cstheme="majorHAnsi"/>
                <w:sz w:val="19"/>
                <w:szCs w:val="19"/>
              </w:rPr>
              <w:t xml:space="preserve"> </w:t>
            </w:r>
          </w:p>
        </w:tc>
        <w:tc>
          <w:tcPr>
            <w:tcW w:w="2619" w:type="pct"/>
            <w:tcBorders>
              <w:top w:val="single" w:sz="4" w:space="0" w:color="auto"/>
              <w:left w:val="single" w:sz="4" w:space="0" w:color="auto"/>
              <w:bottom w:val="single" w:sz="4" w:space="0" w:color="auto"/>
              <w:right w:val="single" w:sz="4" w:space="0" w:color="auto"/>
            </w:tcBorders>
          </w:tcPr>
          <w:p w14:paraId="63C262D8"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213B063F" w14:textId="77777777" w:rsidTr="0005387E">
        <w:tc>
          <w:tcPr>
            <w:tcW w:w="433" w:type="pct"/>
            <w:tcBorders>
              <w:top w:val="single" w:sz="4" w:space="0" w:color="auto"/>
              <w:left w:val="single" w:sz="4" w:space="0" w:color="auto"/>
              <w:bottom w:val="single" w:sz="4" w:space="0" w:color="auto"/>
              <w:right w:val="single" w:sz="4" w:space="0" w:color="auto"/>
            </w:tcBorders>
          </w:tcPr>
          <w:p w14:paraId="5AC821A8"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995ED4F" w14:textId="18219119"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eastAsiaTheme="majorEastAsia" w:hAnsiTheme="majorHAnsi" w:cstheme="majorHAnsi"/>
                <w:sz w:val="19"/>
                <w:szCs w:val="19"/>
              </w:rPr>
              <w:t xml:space="preserve">Do you think provisions should be included in the NGR to override any contractual limitations on shippers seeking changes to receipt and delivery points? </w:t>
            </w:r>
          </w:p>
        </w:tc>
        <w:tc>
          <w:tcPr>
            <w:tcW w:w="2619" w:type="pct"/>
            <w:tcBorders>
              <w:top w:val="single" w:sz="4" w:space="0" w:color="auto"/>
              <w:left w:val="single" w:sz="4" w:space="0" w:color="auto"/>
              <w:bottom w:val="single" w:sz="4" w:space="0" w:color="auto"/>
              <w:right w:val="single" w:sz="4" w:space="0" w:color="auto"/>
            </w:tcBorders>
          </w:tcPr>
          <w:p w14:paraId="57BDA3A0"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5131CF6F"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42A67C17"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54121EBB" w14:textId="4ABFFF00" w:rsidR="000434CC" w:rsidRPr="00852BE3" w:rsidRDefault="000434CC" w:rsidP="001A5C7F">
            <w:pPr>
              <w:pStyle w:val="ListBullet"/>
              <w:numPr>
                <w:ilvl w:val="0"/>
                <w:numId w:val="0"/>
              </w:numPr>
              <w:ind w:left="137"/>
              <w:rPr>
                <w:rFonts w:asciiTheme="majorHAnsi" w:hAnsiTheme="majorHAnsi" w:cstheme="majorHAnsi"/>
                <w:sz w:val="19"/>
                <w:szCs w:val="19"/>
              </w:rPr>
            </w:pPr>
            <w:r w:rsidRPr="00852BE3">
              <w:rPr>
                <w:rFonts w:asciiTheme="majorHAnsi" w:eastAsiaTheme="majorEastAsia" w:hAnsiTheme="majorHAnsi" w:cstheme="majorHAnsi"/>
                <w:sz w:val="19"/>
                <w:szCs w:val="19"/>
              </w:rPr>
              <w:t xml:space="preserve">Are there any other steps that you think could be taken to reduce the impediments to secondary trading currently posed by the receipt and delivery point change process? </w:t>
            </w:r>
          </w:p>
        </w:tc>
        <w:tc>
          <w:tcPr>
            <w:tcW w:w="2619" w:type="pct"/>
            <w:tcBorders>
              <w:top w:val="single" w:sz="4" w:space="0" w:color="auto"/>
              <w:left w:val="single" w:sz="4" w:space="0" w:color="auto"/>
              <w:bottom w:val="single" w:sz="4" w:space="0" w:color="auto"/>
              <w:right w:val="single" w:sz="4" w:space="0" w:color="auto"/>
            </w:tcBorders>
          </w:tcPr>
          <w:p w14:paraId="5631D7D4"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4A99C567" w14:textId="77777777" w:rsidTr="000D6A82">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1D6029C7" w14:textId="5AF8E89C" w:rsidR="000434CC" w:rsidRPr="00852BE3" w:rsidRDefault="000C245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5.1</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6DE6CED5" w14:textId="419DBA17" w:rsidR="000434CC" w:rsidRPr="00852BE3" w:rsidRDefault="000C2451" w:rsidP="000C245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A</w:t>
            </w:r>
            <w:r w:rsidR="000434CC" w:rsidRPr="00852BE3">
              <w:rPr>
                <w:rFonts w:asciiTheme="majorHAnsi" w:eastAsiaTheme="minorHAnsi" w:hAnsiTheme="majorHAnsi" w:cstheme="majorHAnsi"/>
                <w:b/>
                <w:sz w:val="19"/>
                <w:szCs w:val="19"/>
                <w:lang w:eastAsia="fr-CA"/>
              </w:rPr>
              <w:t>llocation agreements</w:t>
            </w:r>
          </w:p>
        </w:tc>
      </w:tr>
      <w:tr w:rsidR="000434CC" w:rsidRPr="00852BE3" w14:paraId="2920B22D"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72925188"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716C26B5" w14:textId="0D2F81C6" w:rsidR="000434CC" w:rsidRPr="00852BE3" w:rsidRDefault="000434CC" w:rsidP="001A5C7F">
            <w:pPr>
              <w:pStyle w:val="ListBullet"/>
              <w:numPr>
                <w:ilvl w:val="0"/>
                <w:numId w:val="0"/>
              </w:numP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How significant an impediment to trade do you think allocation agreements are?</w:t>
            </w:r>
          </w:p>
        </w:tc>
        <w:tc>
          <w:tcPr>
            <w:tcW w:w="2619" w:type="pct"/>
            <w:tcBorders>
              <w:top w:val="single" w:sz="4" w:space="0" w:color="auto"/>
              <w:left w:val="single" w:sz="4" w:space="0" w:color="auto"/>
              <w:bottom w:val="single" w:sz="4" w:space="0" w:color="auto"/>
              <w:right w:val="single" w:sz="4" w:space="0" w:color="auto"/>
            </w:tcBorders>
          </w:tcPr>
          <w:p w14:paraId="5D15D1DB"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1BFFFCCC" w14:textId="77777777" w:rsidTr="0005387E">
        <w:tc>
          <w:tcPr>
            <w:tcW w:w="433" w:type="pct"/>
            <w:tcBorders>
              <w:top w:val="single" w:sz="4" w:space="0" w:color="auto"/>
              <w:left w:val="single" w:sz="4" w:space="0" w:color="auto"/>
              <w:bottom w:val="single" w:sz="4" w:space="0" w:color="auto"/>
              <w:right w:val="single" w:sz="4" w:space="0" w:color="auto"/>
            </w:tcBorders>
          </w:tcPr>
          <w:p w14:paraId="546767B2"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114ADF72" w14:textId="724ECEFB" w:rsidR="000434CC" w:rsidRPr="00852BE3" w:rsidRDefault="000434CC" w:rsidP="001A5C7F">
            <w:pPr>
              <w:pStyle w:val="ListBullet"/>
              <w:numPr>
                <w:ilvl w:val="0"/>
                <w:numId w:val="0"/>
              </w:numP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Are there any other impediments to trade posed by allocation agreements and/or contribution agreements that have not been identified in this consultation paper? If so, please explain what they are and how you think they could be addressed. </w:t>
            </w:r>
          </w:p>
        </w:tc>
        <w:tc>
          <w:tcPr>
            <w:tcW w:w="2619" w:type="pct"/>
            <w:tcBorders>
              <w:top w:val="single" w:sz="4" w:space="0" w:color="auto"/>
              <w:left w:val="single" w:sz="4" w:space="0" w:color="auto"/>
              <w:bottom w:val="single" w:sz="4" w:space="0" w:color="auto"/>
              <w:right w:val="single" w:sz="4" w:space="0" w:color="auto"/>
            </w:tcBorders>
          </w:tcPr>
          <w:p w14:paraId="006ACB25"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7556AC95"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4E359588"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13C67202" w14:textId="1E0202E4" w:rsidR="000434CC" w:rsidRPr="00852BE3" w:rsidRDefault="000434CC" w:rsidP="001A5C7F">
            <w:pPr>
              <w:pStyle w:val="ListBullet"/>
              <w:numPr>
                <w:ilvl w:val="0"/>
                <w:numId w:val="0"/>
              </w:numP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that deeming secondary shippers to be a party to the allocation agreement is a workable solution, or can you foresee issues with this solution?</w:t>
            </w:r>
          </w:p>
        </w:tc>
        <w:tc>
          <w:tcPr>
            <w:tcW w:w="2619" w:type="pct"/>
            <w:tcBorders>
              <w:top w:val="single" w:sz="4" w:space="0" w:color="auto"/>
              <w:left w:val="single" w:sz="4" w:space="0" w:color="auto"/>
              <w:bottom w:val="single" w:sz="4" w:space="0" w:color="auto"/>
              <w:right w:val="single" w:sz="4" w:space="0" w:color="auto"/>
            </w:tcBorders>
          </w:tcPr>
          <w:p w14:paraId="3F10749E"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1FE352C0" w14:textId="77777777" w:rsidTr="0005387E">
        <w:tc>
          <w:tcPr>
            <w:tcW w:w="433" w:type="pct"/>
            <w:tcBorders>
              <w:top w:val="single" w:sz="4" w:space="0" w:color="auto"/>
              <w:left w:val="single" w:sz="4" w:space="0" w:color="auto"/>
              <w:bottom w:val="single" w:sz="4" w:space="0" w:color="auto"/>
              <w:right w:val="single" w:sz="4" w:space="0" w:color="auto"/>
            </w:tcBorders>
          </w:tcPr>
          <w:p w14:paraId="075F6A2A"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258A4643" w14:textId="78B65ECA" w:rsidR="000434CC" w:rsidRPr="00852BE3" w:rsidRDefault="000434CC" w:rsidP="001A5C7F">
            <w:pPr>
              <w:pStyle w:val="ListBullet"/>
              <w:numPr>
                <w:ilvl w:val="0"/>
                <w:numId w:val="0"/>
              </w:numP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that providing greater transparency about who to contact to become a party to an allocation arrangement will be sufficient to reduce the impediments to trade posed by allocation agreements, or do you think that other measures (including those outlined in </w:t>
            </w:r>
            <w:r w:rsidRPr="00852BE3">
              <w:rPr>
                <w:rFonts w:asciiTheme="majorHAnsi" w:eastAsiaTheme="majorEastAsia" w:hAnsiTheme="majorHAnsi" w:cstheme="majorHAnsi"/>
                <w:sz w:val="19"/>
                <w:szCs w:val="19"/>
              </w:rPr>
              <w:fldChar w:fldCharType="begin"/>
            </w:r>
            <w:r w:rsidRPr="00852BE3">
              <w:rPr>
                <w:rFonts w:asciiTheme="majorHAnsi" w:eastAsiaTheme="majorEastAsia" w:hAnsiTheme="majorHAnsi" w:cstheme="majorHAnsi"/>
                <w:sz w:val="19"/>
                <w:szCs w:val="19"/>
              </w:rPr>
              <w:instrText xml:space="preserve"> REF _Ref491424696 \h  \* MERGEFORMAT </w:instrText>
            </w:r>
            <w:r w:rsidRPr="00852BE3">
              <w:rPr>
                <w:rFonts w:asciiTheme="majorHAnsi" w:eastAsiaTheme="majorEastAsia" w:hAnsiTheme="majorHAnsi" w:cstheme="majorHAnsi"/>
                <w:sz w:val="19"/>
                <w:szCs w:val="19"/>
              </w:rPr>
            </w:r>
            <w:r w:rsidRPr="00852BE3">
              <w:rPr>
                <w:rFonts w:asciiTheme="majorHAnsi" w:eastAsiaTheme="majorEastAsia" w:hAnsiTheme="majorHAnsi" w:cstheme="majorHAnsi"/>
                <w:sz w:val="19"/>
                <w:szCs w:val="19"/>
              </w:rPr>
              <w:fldChar w:fldCharType="separate"/>
            </w:r>
            <w:r w:rsidRPr="00852BE3">
              <w:rPr>
                <w:rFonts w:asciiTheme="majorHAnsi" w:eastAsiaTheme="majorEastAsia" w:hAnsiTheme="majorHAnsi" w:cstheme="majorHAnsi"/>
                <w:sz w:val="19"/>
                <w:szCs w:val="19"/>
              </w:rPr>
              <w:t>Table 5.1</w:t>
            </w:r>
            <w:r w:rsidRPr="00852BE3">
              <w:rPr>
                <w:rFonts w:asciiTheme="majorHAnsi" w:eastAsiaTheme="majorEastAsia" w:hAnsiTheme="majorHAnsi" w:cstheme="majorHAnsi"/>
                <w:sz w:val="19"/>
                <w:szCs w:val="19"/>
              </w:rPr>
              <w:fldChar w:fldCharType="end"/>
            </w:r>
            <w:r w:rsidRPr="00852BE3">
              <w:rPr>
                <w:rFonts w:asciiTheme="majorHAnsi" w:eastAsiaTheme="majorEastAsia" w:hAnsiTheme="majorHAnsi" w:cstheme="majorHAnsi"/>
                <w:sz w:val="19"/>
                <w:szCs w:val="19"/>
              </w:rPr>
              <w:t xml:space="preserve">) are required to facilitate access to these agreements? </w:t>
            </w:r>
          </w:p>
        </w:tc>
        <w:tc>
          <w:tcPr>
            <w:tcW w:w="2619" w:type="pct"/>
            <w:tcBorders>
              <w:top w:val="single" w:sz="4" w:space="0" w:color="auto"/>
              <w:left w:val="single" w:sz="4" w:space="0" w:color="auto"/>
              <w:bottom w:val="single" w:sz="4" w:space="0" w:color="auto"/>
              <w:right w:val="single" w:sz="4" w:space="0" w:color="auto"/>
            </w:tcBorders>
          </w:tcPr>
          <w:p w14:paraId="44B6478A"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032B0B41"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15DDE7BA"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45A1C69" w14:textId="72788D9E" w:rsidR="000434CC" w:rsidRPr="00852BE3" w:rsidRDefault="000434CC" w:rsidP="001A5C7F">
            <w:pPr>
              <w:pStyle w:val="ListBullet"/>
              <w:numPr>
                <w:ilvl w:val="0"/>
                <w:numId w:val="0"/>
              </w:numP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What effect are differences in allocation rules at points where pipelines interconnect having on shippers at these locations?  </w:t>
            </w:r>
            <w:r w:rsidRPr="00852BE3">
              <w:rPr>
                <w:rFonts w:asciiTheme="majorHAnsi" w:eastAsiaTheme="majorEastAsia" w:hAnsiTheme="majorHAnsi" w:cstheme="majorHAnsi"/>
                <w:sz w:val="19"/>
                <w:szCs w:val="19"/>
              </w:rPr>
              <w:lastRenderedPageBreak/>
              <w:t>Is the effect material and do you think a common allocation rule should be adopted across the east coast?</w:t>
            </w:r>
          </w:p>
        </w:tc>
        <w:tc>
          <w:tcPr>
            <w:tcW w:w="2619" w:type="pct"/>
            <w:tcBorders>
              <w:top w:val="single" w:sz="4" w:space="0" w:color="auto"/>
              <w:left w:val="single" w:sz="4" w:space="0" w:color="auto"/>
              <w:bottom w:val="single" w:sz="4" w:space="0" w:color="auto"/>
              <w:right w:val="single" w:sz="4" w:space="0" w:color="auto"/>
            </w:tcBorders>
          </w:tcPr>
          <w:p w14:paraId="1000A0F2"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5A470203" w14:textId="77777777" w:rsidTr="0005387E">
        <w:tc>
          <w:tcPr>
            <w:tcW w:w="433" w:type="pct"/>
            <w:tcBorders>
              <w:top w:val="single" w:sz="4" w:space="0" w:color="auto"/>
              <w:left w:val="single" w:sz="4" w:space="0" w:color="auto"/>
              <w:bottom w:val="single" w:sz="4" w:space="0" w:color="auto"/>
              <w:right w:val="single" w:sz="4" w:space="0" w:color="auto"/>
            </w:tcBorders>
          </w:tcPr>
          <w:p w14:paraId="595A41E3"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35BEE023" w14:textId="7D0F91D3" w:rsidR="000434CC" w:rsidRPr="00852BE3" w:rsidRDefault="000434CC" w:rsidP="001A5C7F">
            <w:pPr>
              <w:pStyle w:val="ListBullet"/>
              <w:numPr>
                <w:ilvl w:val="0"/>
                <w:numId w:val="0"/>
              </w:numP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there is any value in standardising allocation agreements? </w:t>
            </w:r>
          </w:p>
        </w:tc>
        <w:tc>
          <w:tcPr>
            <w:tcW w:w="2619" w:type="pct"/>
            <w:tcBorders>
              <w:top w:val="single" w:sz="4" w:space="0" w:color="auto"/>
              <w:left w:val="single" w:sz="4" w:space="0" w:color="auto"/>
              <w:bottom w:val="single" w:sz="4" w:space="0" w:color="auto"/>
              <w:right w:val="single" w:sz="4" w:space="0" w:color="auto"/>
            </w:tcBorders>
          </w:tcPr>
          <w:p w14:paraId="76A95C4E"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62CD43A2"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3C90871B"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332D9250" w14:textId="769E9394" w:rsidR="000434CC" w:rsidRPr="00852BE3" w:rsidRDefault="000434CC" w:rsidP="001A5C7F">
            <w:pPr>
              <w:pStyle w:val="ListBullet"/>
              <w:numPr>
                <w:ilvl w:val="0"/>
                <w:numId w:val="0"/>
              </w:numP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Have you experienced any difficulties accessing receipt or delivery points that are controlled by a shipper? How prevalent an issue do you think this is and how do you think it could be addressed?</w:t>
            </w:r>
          </w:p>
        </w:tc>
        <w:tc>
          <w:tcPr>
            <w:tcW w:w="2619" w:type="pct"/>
            <w:tcBorders>
              <w:top w:val="single" w:sz="4" w:space="0" w:color="auto"/>
              <w:left w:val="single" w:sz="4" w:space="0" w:color="auto"/>
              <w:bottom w:val="single" w:sz="4" w:space="0" w:color="auto"/>
              <w:right w:val="single" w:sz="4" w:space="0" w:color="auto"/>
            </w:tcBorders>
          </w:tcPr>
          <w:p w14:paraId="7652D549"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58E2016C" w14:textId="77777777" w:rsidTr="0005387E">
        <w:tc>
          <w:tcPr>
            <w:tcW w:w="433" w:type="pct"/>
            <w:tcBorders>
              <w:top w:val="single" w:sz="4" w:space="0" w:color="auto"/>
              <w:left w:val="single" w:sz="4" w:space="0" w:color="auto"/>
              <w:bottom w:val="single" w:sz="4" w:space="0" w:color="auto"/>
              <w:right w:val="single" w:sz="4" w:space="0" w:color="auto"/>
            </w:tcBorders>
          </w:tcPr>
          <w:p w14:paraId="6D7FD58F"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4F5949D7" w14:textId="0F9BF7D8" w:rsidR="000434CC" w:rsidRPr="00852BE3" w:rsidRDefault="000434CC" w:rsidP="001A5C7F">
            <w:pPr>
              <w:pStyle w:val="ListBullet"/>
              <w:numPr>
                <w:ilvl w:val="0"/>
                <w:numId w:val="0"/>
              </w:numPr>
              <w:ind w:left="137"/>
              <w:rPr>
                <w:rFonts w:asciiTheme="majorHAnsi" w:eastAsiaTheme="majorEastAsia" w:hAnsiTheme="majorHAnsi" w:cstheme="majorHAnsi"/>
                <w:sz w:val="19"/>
                <w:szCs w:val="19"/>
              </w:rPr>
            </w:pPr>
            <w:r w:rsidRPr="00852BE3">
              <w:rPr>
                <w:rFonts w:asciiTheme="majorHAnsi" w:hAnsiTheme="majorHAnsi" w:cstheme="majorHAnsi"/>
                <w:sz w:val="19"/>
                <w:szCs w:val="19"/>
              </w:rPr>
              <w:t>Can contribution agreements, or the charges levied under these agreements, act as a barrier to trade?</w:t>
            </w:r>
          </w:p>
        </w:tc>
        <w:tc>
          <w:tcPr>
            <w:tcW w:w="2619" w:type="pct"/>
            <w:tcBorders>
              <w:top w:val="single" w:sz="4" w:space="0" w:color="auto"/>
              <w:left w:val="single" w:sz="4" w:space="0" w:color="auto"/>
              <w:bottom w:val="single" w:sz="4" w:space="0" w:color="auto"/>
              <w:right w:val="single" w:sz="4" w:space="0" w:color="auto"/>
            </w:tcBorders>
          </w:tcPr>
          <w:p w14:paraId="2F728EEE"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3BB06407" w14:textId="77777777" w:rsidTr="000D6A82">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55AAB262" w14:textId="1A0083DD" w:rsidR="000434CC" w:rsidRPr="00852BE3" w:rsidRDefault="000C245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5.2</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836DC5C" w14:textId="2F7CC3CF" w:rsidR="000434CC" w:rsidRPr="00852BE3" w:rsidRDefault="000C2451" w:rsidP="000C245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I</w:t>
            </w:r>
            <w:r w:rsidR="000434CC" w:rsidRPr="00852BE3">
              <w:rPr>
                <w:rFonts w:asciiTheme="majorHAnsi" w:eastAsiaTheme="minorHAnsi" w:hAnsiTheme="majorHAnsi" w:cstheme="majorHAnsi"/>
                <w:b/>
                <w:sz w:val="19"/>
                <w:szCs w:val="19"/>
                <w:lang w:eastAsia="fr-CA"/>
              </w:rPr>
              <w:t>mbalance clearing</w:t>
            </w:r>
          </w:p>
        </w:tc>
      </w:tr>
      <w:tr w:rsidR="000434CC" w:rsidRPr="00852BE3" w14:paraId="7DC3C113" w14:textId="77777777" w:rsidTr="0005387E">
        <w:tc>
          <w:tcPr>
            <w:tcW w:w="433" w:type="pct"/>
            <w:tcBorders>
              <w:top w:val="single" w:sz="4" w:space="0" w:color="auto"/>
              <w:left w:val="single" w:sz="4" w:space="0" w:color="auto"/>
              <w:bottom w:val="single" w:sz="4" w:space="0" w:color="auto"/>
              <w:right w:val="single" w:sz="4" w:space="0" w:color="auto"/>
            </w:tcBorders>
          </w:tcPr>
          <w:p w14:paraId="20E72798"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22524826" w14:textId="108A3385"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 capacity trading platform should facilitate the trade of imbalances?</w:t>
            </w:r>
          </w:p>
          <w:p w14:paraId="49A6A675"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so, do you think this should be done through the listing service or exchange?</w:t>
            </w:r>
          </w:p>
          <w:p w14:paraId="7F5B07D2" w14:textId="4258116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not, please explain why.</w:t>
            </w:r>
          </w:p>
        </w:tc>
        <w:tc>
          <w:tcPr>
            <w:tcW w:w="2619" w:type="pct"/>
            <w:tcBorders>
              <w:top w:val="single" w:sz="4" w:space="0" w:color="auto"/>
              <w:left w:val="single" w:sz="4" w:space="0" w:color="auto"/>
              <w:bottom w:val="single" w:sz="4" w:space="0" w:color="auto"/>
              <w:right w:val="single" w:sz="4" w:space="0" w:color="auto"/>
            </w:tcBorders>
          </w:tcPr>
          <w:p w14:paraId="6247F661"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55203AB6"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567FD502"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105E7732" w14:textId="5EE6C77C"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Are there other options you think could be made available to shippers to facilitate the clearing of an imbalance (e.g. extending in-pipe trading services to other pipelines)? </w:t>
            </w:r>
          </w:p>
        </w:tc>
        <w:tc>
          <w:tcPr>
            <w:tcW w:w="2619" w:type="pct"/>
            <w:tcBorders>
              <w:top w:val="single" w:sz="4" w:space="0" w:color="auto"/>
              <w:left w:val="single" w:sz="4" w:space="0" w:color="auto"/>
              <w:bottom w:val="single" w:sz="4" w:space="0" w:color="auto"/>
              <w:right w:val="single" w:sz="4" w:space="0" w:color="auto"/>
            </w:tcBorders>
          </w:tcPr>
          <w:p w14:paraId="130F82F9"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79F0F362" w14:textId="77777777" w:rsidTr="0005387E">
        <w:tc>
          <w:tcPr>
            <w:tcW w:w="433" w:type="pct"/>
            <w:tcBorders>
              <w:top w:val="single" w:sz="4" w:space="0" w:color="auto"/>
              <w:left w:val="single" w:sz="4" w:space="0" w:color="auto"/>
              <w:bottom w:val="single" w:sz="4" w:space="0" w:color="auto"/>
              <w:right w:val="single" w:sz="4" w:space="0" w:color="auto"/>
            </w:tcBorders>
          </w:tcPr>
          <w:p w14:paraId="1B48D387"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16F3FAC8" w14:textId="011B9C53"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Are there any other impediments to a shipper clearing an imbalance (for example, are there provisions in GTAs that prohibit shippers from trading imbalances)?</w:t>
            </w:r>
          </w:p>
        </w:tc>
        <w:tc>
          <w:tcPr>
            <w:tcW w:w="2619" w:type="pct"/>
            <w:tcBorders>
              <w:top w:val="single" w:sz="4" w:space="0" w:color="auto"/>
              <w:left w:val="single" w:sz="4" w:space="0" w:color="auto"/>
              <w:bottom w:val="single" w:sz="4" w:space="0" w:color="auto"/>
              <w:right w:val="single" w:sz="4" w:space="0" w:color="auto"/>
            </w:tcBorders>
          </w:tcPr>
          <w:p w14:paraId="28E87C30"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3281D491" w14:textId="77777777" w:rsidTr="000D6A82">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77B5FD19" w14:textId="4652ED8B" w:rsidR="000434CC" w:rsidRPr="00852BE3" w:rsidRDefault="000C245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5.3</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78FA39A1" w14:textId="11C17930" w:rsidR="000434CC" w:rsidRPr="00852BE3" w:rsidRDefault="000C2451" w:rsidP="000C245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H</w:t>
            </w:r>
            <w:r w:rsidR="000434CC" w:rsidRPr="00852BE3">
              <w:rPr>
                <w:rFonts w:asciiTheme="majorHAnsi" w:eastAsiaTheme="minorHAnsi" w:hAnsiTheme="majorHAnsi" w:cstheme="majorHAnsi"/>
                <w:b/>
                <w:sz w:val="19"/>
                <w:szCs w:val="19"/>
                <w:lang w:eastAsia="fr-CA"/>
              </w:rPr>
              <w:t>armonisation of gas day start times and nomination times</w:t>
            </w:r>
          </w:p>
        </w:tc>
      </w:tr>
      <w:tr w:rsidR="000434CC" w:rsidRPr="00852BE3" w14:paraId="61E32C04" w14:textId="77777777" w:rsidTr="0005387E">
        <w:tc>
          <w:tcPr>
            <w:tcW w:w="433" w:type="pct"/>
            <w:tcBorders>
              <w:top w:val="single" w:sz="4" w:space="0" w:color="auto"/>
              <w:left w:val="single" w:sz="4" w:space="0" w:color="auto"/>
              <w:bottom w:val="single" w:sz="4" w:space="0" w:color="auto"/>
              <w:right w:val="single" w:sz="4" w:space="0" w:color="auto"/>
            </w:tcBorders>
          </w:tcPr>
          <w:p w14:paraId="06D5457C"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6C6CEB13" w14:textId="1BBB987A" w:rsidR="000434CC" w:rsidRPr="00852BE3" w:rsidRDefault="000434CC" w:rsidP="001A5C7F">
            <w:pPr>
              <w:pStyle w:val="ListNumber"/>
              <w:keepNext/>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there is value in bringing forward the harmonisation of gas day start times in the facilitated markets?</w:t>
            </w:r>
          </w:p>
          <w:p w14:paraId="29832FF0"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not, why not?</w:t>
            </w:r>
          </w:p>
          <w:p w14:paraId="0736FE3A" w14:textId="28D2E3BB" w:rsidR="000434CC" w:rsidRPr="00852BE3" w:rsidRDefault="000434CC" w:rsidP="00CF5A9C">
            <w:pPr>
              <w:pStyle w:val="ListParagraph"/>
              <w:numPr>
                <w:ilvl w:val="0"/>
                <w:numId w:val="17"/>
              </w:numPr>
              <w:spacing w:before="120" w:after="120"/>
              <w:ind w:left="562"/>
              <w:rPr>
                <w:rFonts w:asciiTheme="majorHAnsi" w:hAnsiTheme="majorHAnsi" w:cstheme="majorHAnsi"/>
                <w:color w:val="000000"/>
                <w:sz w:val="19"/>
                <w:szCs w:val="19"/>
              </w:rPr>
            </w:pPr>
            <w:r w:rsidRPr="00852BE3">
              <w:rPr>
                <w:rFonts w:asciiTheme="majorHAnsi" w:eastAsiaTheme="majorEastAsia" w:hAnsiTheme="majorHAnsi" w:cstheme="majorHAnsi"/>
                <w:sz w:val="19"/>
                <w:szCs w:val="19"/>
              </w:rPr>
              <w:lastRenderedPageBreak/>
              <w:t>If so, do you think it should be brought forward to 1 October 2019, or another time?</w:t>
            </w:r>
          </w:p>
        </w:tc>
        <w:tc>
          <w:tcPr>
            <w:tcW w:w="2619" w:type="pct"/>
            <w:tcBorders>
              <w:top w:val="single" w:sz="4" w:space="0" w:color="auto"/>
              <w:left w:val="single" w:sz="4" w:space="0" w:color="auto"/>
              <w:bottom w:val="single" w:sz="4" w:space="0" w:color="auto"/>
              <w:right w:val="single" w:sz="4" w:space="0" w:color="auto"/>
            </w:tcBorders>
          </w:tcPr>
          <w:p w14:paraId="63C39976"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30DACEF0" w14:textId="77777777" w:rsidTr="00254F2B">
        <w:trPr>
          <w:cnfStyle w:val="000000010000" w:firstRow="0" w:lastRow="0" w:firstColumn="0" w:lastColumn="0" w:oddVBand="0" w:evenVBand="0" w:oddHBand="0" w:evenHBand="1" w:firstRowFirstColumn="0" w:firstRowLastColumn="0" w:lastRowFirstColumn="0" w:lastRowLastColumn="0"/>
          <w:trHeight w:val="2065"/>
        </w:trPr>
        <w:tc>
          <w:tcPr>
            <w:tcW w:w="433" w:type="pct"/>
            <w:tcBorders>
              <w:top w:val="single" w:sz="4" w:space="0" w:color="auto"/>
              <w:left w:val="single" w:sz="4" w:space="0" w:color="auto"/>
              <w:bottom w:val="single" w:sz="4" w:space="0" w:color="auto"/>
              <w:right w:val="single" w:sz="4" w:space="0" w:color="auto"/>
            </w:tcBorders>
          </w:tcPr>
          <w:p w14:paraId="6495723E"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3DDC574A" w14:textId="3ED74C43" w:rsidR="000434CC" w:rsidRPr="00852BE3" w:rsidRDefault="000434CC" w:rsidP="001A5C7F">
            <w:pPr>
              <w:pStyle w:val="ListNumber"/>
              <w:keepNext/>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Should all facilities (i.e. production facilities, pipelines, compressors and storage facilities) in the east coast to be subject to a common gas day start time?</w:t>
            </w:r>
          </w:p>
          <w:p w14:paraId="490D7DA3"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not, why not?</w:t>
            </w:r>
          </w:p>
          <w:p w14:paraId="3E0AD3A6" w14:textId="6C0A4E16"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so, do you think that this should be given effect through a provision in the NGL and NGR, or is it a matter for the facilities to negotiate with users?</w:t>
            </w:r>
          </w:p>
        </w:tc>
        <w:tc>
          <w:tcPr>
            <w:tcW w:w="2619" w:type="pct"/>
            <w:tcBorders>
              <w:top w:val="single" w:sz="4" w:space="0" w:color="auto"/>
              <w:left w:val="single" w:sz="4" w:space="0" w:color="auto"/>
              <w:bottom w:val="single" w:sz="4" w:space="0" w:color="auto"/>
              <w:right w:val="single" w:sz="4" w:space="0" w:color="auto"/>
            </w:tcBorders>
          </w:tcPr>
          <w:p w14:paraId="40665515"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0805697E" w14:textId="77777777" w:rsidTr="00254F2B">
        <w:trPr>
          <w:trHeight w:val="2831"/>
        </w:trPr>
        <w:tc>
          <w:tcPr>
            <w:tcW w:w="433" w:type="pct"/>
            <w:tcBorders>
              <w:top w:val="single" w:sz="4" w:space="0" w:color="auto"/>
              <w:left w:val="single" w:sz="4" w:space="0" w:color="auto"/>
              <w:bottom w:val="single" w:sz="4" w:space="0" w:color="auto"/>
              <w:right w:val="single" w:sz="4" w:space="0" w:color="auto"/>
            </w:tcBorders>
          </w:tcPr>
          <w:p w14:paraId="18013755"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6427BD09" w14:textId="544C8E70" w:rsidR="000434CC" w:rsidRPr="00852BE3" w:rsidRDefault="000434CC" w:rsidP="001A5C7F">
            <w:pPr>
              <w:pStyle w:val="ListNumber"/>
              <w:keepNext/>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there is merit in harmonising nomination cut-off times across pipelines and other facilities that will be </w:t>
            </w:r>
            <w:r w:rsidRPr="00852BE3">
              <w:rPr>
                <w:rFonts w:asciiTheme="majorHAnsi" w:hAnsiTheme="majorHAnsi" w:cstheme="majorHAnsi"/>
                <w:sz w:val="19"/>
                <w:szCs w:val="19"/>
              </w:rPr>
              <w:t>subject to the capacity trading reforms (e.g. compressors)</w:t>
            </w:r>
            <w:r w:rsidRPr="00852BE3">
              <w:rPr>
                <w:rFonts w:asciiTheme="majorHAnsi" w:eastAsiaTheme="majorEastAsia" w:hAnsiTheme="majorHAnsi" w:cstheme="majorHAnsi"/>
                <w:sz w:val="19"/>
                <w:szCs w:val="19"/>
              </w:rPr>
              <w:t>?</w:t>
            </w:r>
          </w:p>
          <w:p w14:paraId="638BF9C7"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not, why not?</w:t>
            </w:r>
          </w:p>
          <w:p w14:paraId="0BFA3CA2"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If so: </w:t>
            </w:r>
          </w:p>
          <w:p w14:paraId="19F4D790" w14:textId="77777777" w:rsidR="000434CC" w:rsidRPr="00852BE3" w:rsidRDefault="000434CC" w:rsidP="00CF5A9C">
            <w:pPr>
              <w:pStyle w:val="ListParagraph"/>
              <w:numPr>
                <w:ilvl w:val="0"/>
                <w:numId w:val="18"/>
              </w:numPr>
              <w:spacing w:before="120" w:after="120"/>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it should be harmonised to 3 pm (AEST) or another time?</w:t>
            </w:r>
          </w:p>
          <w:p w14:paraId="5B95D3A6" w14:textId="671B9867" w:rsidR="000434CC" w:rsidRPr="00852BE3" w:rsidRDefault="000434CC" w:rsidP="00CF5A9C">
            <w:pPr>
              <w:pStyle w:val="ListParagraph"/>
              <w:numPr>
                <w:ilvl w:val="0"/>
                <w:numId w:val="18"/>
              </w:numPr>
              <w:spacing w:before="120" w:after="120"/>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that it should be given effect through a provision in the NGL and NGR, or is it a matter for the facilities to negotiate with users? </w:t>
            </w:r>
          </w:p>
        </w:tc>
        <w:tc>
          <w:tcPr>
            <w:tcW w:w="2619" w:type="pct"/>
            <w:tcBorders>
              <w:top w:val="single" w:sz="4" w:space="0" w:color="auto"/>
              <w:left w:val="single" w:sz="4" w:space="0" w:color="auto"/>
              <w:bottom w:val="single" w:sz="4" w:space="0" w:color="auto"/>
              <w:right w:val="single" w:sz="4" w:space="0" w:color="auto"/>
            </w:tcBorders>
          </w:tcPr>
          <w:p w14:paraId="1DE57D52"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44D76466" w14:textId="77777777" w:rsidTr="00254F2B">
        <w:trPr>
          <w:cnfStyle w:val="000000010000" w:firstRow="0" w:lastRow="0" w:firstColumn="0" w:lastColumn="0" w:oddVBand="0" w:evenVBand="0" w:oddHBand="0" w:evenHBand="1" w:firstRowFirstColumn="0" w:firstRowLastColumn="0" w:lastRowFirstColumn="0" w:lastRowLastColumn="0"/>
          <w:trHeight w:val="1128"/>
        </w:trPr>
        <w:tc>
          <w:tcPr>
            <w:tcW w:w="433" w:type="pct"/>
            <w:tcBorders>
              <w:top w:val="single" w:sz="4" w:space="0" w:color="auto"/>
              <w:left w:val="single" w:sz="4" w:space="0" w:color="auto"/>
              <w:bottom w:val="single" w:sz="4" w:space="0" w:color="auto"/>
              <w:right w:val="single" w:sz="4" w:space="0" w:color="auto"/>
            </w:tcBorders>
          </w:tcPr>
          <w:p w14:paraId="00D7FBA0"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42BFFB17" w14:textId="01B466CA" w:rsidR="000434CC" w:rsidRPr="00852BE3" w:rsidRDefault="000434CC" w:rsidP="001A5C7F">
            <w:pPr>
              <w:pStyle w:val="ListNumber"/>
              <w:keepNext/>
              <w:ind w:left="137"/>
              <w:rPr>
                <w:rFonts w:asciiTheme="majorHAnsi" w:hAnsiTheme="majorHAnsi" w:cstheme="majorHAnsi"/>
                <w:color w:val="000000"/>
                <w:sz w:val="19"/>
                <w:szCs w:val="19"/>
              </w:rPr>
            </w:pPr>
            <w:r w:rsidRPr="00852BE3">
              <w:rPr>
                <w:rFonts w:asciiTheme="majorHAnsi" w:eastAsiaTheme="majorEastAsia" w:hAnsiTheme="majorHAnsi" w:cstheme="majorHAnsi"/>
                <w:sz w:val="19"/>
                <w:szCs w:val="19"/>
              </w:rPr>
              <w:t>Are there any other costs or benefits associated with the harmonisation of gas day start times and nomination cut-off times that you think the GMRG should take into account?</w:t>
            </w:r>
          </w:p>
        </w:tc>
        <w:tc>
          <w:tcPr>
            <w:tcW w:w="2619" w:type="pct"/>
            <w:tcBorders>
              <w:top w:val="single" w:sz="4" w:space="0" w:color="auto"/>
              <w:left w:val="single" w:sz="4" w:space="0" w:color="auto"/>
              <w:bottom w:val="single" w:sz="4" w:space="0" w:color="auto"/>
              <w:right w:val="single" w:sz="4" w:space="0" w:color="auto"/>
            </w:tcBorders>
          </w:tcPr>
          <w:p w14:paraId="5A1077F9"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F308D8" w:rsidRPr="00852BE3" w14:paraId="5735FC57" w14:textId="77777777" w:rsidTr="00254F2B">
        <w:trPr>
          <w:trHeight w:val="1815"/>
        </w:trPr>
        <w:tc>
          <w:tcPr>
            <w:tcW w:w="433" w:type="pct"/>
            <w:tcBorders>
              <w:top w:val="single" w:sz="4" w:space="0" w:color="auto"/>
              <w:left w:val="single" w:sz="4" w:space="0" w:color="auto"/>
              <w:bottom w:val="single" w:sz="4" w:space="0" w:color="auto"/>
              <w:right w:val="single" w:sz="4" w:space="0" w:color="auto"/>
            </w:tcBorders>
          </w:tcPr>
          <w:p w14:paraId="26FB5AC3" w14:textId="77777777" w:rsidR="00F308D8" w:rsidRPr="00852BE3" w:rsidRDefault="00F308D8"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13D5B506" w14:textId="5B5EF2F2" w:rsidR="00F308D8" w:rsidRPr="00852BE3" w:rsidRDefault="00F308D8" w:rsidP="001A5C7F">
            <w:pPr>
              <w:pStyle w:val="ListNumber"/>
              <w:keepNext/>
              <w:ind w:left="137"/>
              <w:rPr>
                <w:rFonts w:asciiTheme="majorHAnsi" w:eastAsiaTheme="majorEastAsia" w:hAnsiTheme="majorHAnsi" w:cstheme="majorHAnsi"/>
                <w:sz w:val="19"/>
                <w:szCs w:val="19"/>
              </w:rPr>
            </w:pPr>
            <w:r w:rsidRPr="00F308D8">
              <w:rPr>
                <w:rFonts w:asciiTheme="majorHAnsi" w:eastAsiaTheme="majorEastAsia" w:hAnsiTheme="majorHAnsi" w:cstheme="majorHAnsi"/>
                <w:sz w:val="19"/>
                <w:szCs w:val="19"/>
              </w:rPr>
              <w:t>Do you agree that provisions should be included in the standardised operational GTA to require service providers operating at the interface of markets to accommodate the differences in gas days? If so, how do you suggest that this obligation be drafted?</w:t>
            </w:r>
          </w:p>
        </w:tc>
        <w:tc>
          <w:tcPr>
            <w:tcW w:w="2619" w:type="pct"/>
            <w:tcBorders>
              <w:top w:val="single" w:sz="4" w:space="0" w:color="auto"/>
              <w:left w:val="single" w:sz="4" w:space="0" w:color="auto"/>
              <w:bottom w:val="single" w:sz="4" w:space="0" w:color="auto"/>
              <w:right w:val="single" w:sz="4" w:space="0" w:color="auto"/>
            </w:tcBorders>
          </w:tcPr>
          <w:p w14:paraId="088E53EA" w14:textId="77777777" w:rsidR="00F308D8" w:rsidRPr="00852BE3" w:rsidRDefault="00F308D8"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4677CD7D" w14:textId="77777777" w:rsidTr="000D6A82">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49646701" w14:textId="7BAF6B4C" w:rsidR="000434CC" w:rsidRPr="00852BE3" w:rsidRDefault="000C245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lastRenderedPageBreak/>
              <w:t>5.4</w:t>
            </w: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39C49AEA" w14:textId="62914FCE" w:rsidR="000434CC" w:rsidRPr="00852BE3" w:rsidRDefault="000C2451" w:rsidP="000C245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C</w:t>
            </w:r>
            <w:r w:rsidR="000434CC" w:rsidRPr="00852BE3">
              <w:rPr>
                <w:rFonts w:asciiTheme="majorHAnsi" w:eastAsiaTheme="minorHAnsi" w:hAnsiTheme="majorHAnsi" w:cstheme="majorHAnsi"/>
                <w:b/>
                <w:sz w:val="19"/>
                <w:szCs w:val="19"/>
                <w:lang w:eastAsia="fr-CA"/>
              </w:rPr>
              <w:t>ontractual limitations</w:t>
            </w:r>
          </w:p>
        </w:tc>
      </w:tr>
      <w:tr w:rsidR="000434CC" w:rsidRPr="00852BE3" w14:paraId="7013AF0B" w14:textId="77777777" w:rsidTr="0005387E">
        <w:tc>
          <w:tcPr>
            <w:tcW w:w="433" w:type="pct"/>
            <w:tcBorders>
              <w:top w:val="single" w:sz="4" w:space="0" w:color="auto"/>
              <w:left w:val="single" w:sz="4" w:space="0" w:color="auto"/>
              <w:bottom w:val="single" w:sz="4" w:space="0" w:color="auto"/>
              <w:right w:val="single" w:sz="4" w:space="0" w:color="auto"/>
            </w:tcBorders>
          </w:tcPr>
          <w:p w14:paraId="788D5A74"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23251541" w14:textId="2BD07E63" w:rsidR="000434CC" w:rsidRPr="00852BE3" w:rsidRDefault="000434CC" w:rsidP="001A5C7F">
            <w:pPr>
              <w:pStyle w:val="ListNumber"/>
              <w:keepNext/>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Are there any other provisions in primary GTAs that may limit a shipper’s ability to trade capacity? If so, please provide an overview of the provisions and the effect they have on a primary shipper’s ability to trade.</w:t>
            </w:r>
          </w:p>
        </w:tc>
        <w:tc>
          <w:tcPr>
            <w:tcW w:w="2619" w:type="pct"/>
            <w:tcBorders>
              <w:top w:val="single" w:sz="4" w:space="0" w:color="auto"/>
              <w:left w:val="single" w:sz="4" w:space="0" w:color="auto"/>
              <w:bottom w:val="single" w:sz="4" w:space="0" w:color="auto"/>
              <w:right w:val="single" w:sz="4" w:space="0" w:color="auto"/>
            </w:tcBorders>
          </w:tcPr>
          <w:p w14:paraId="60AD3694"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06B39E3A" w14:textId="77777777" w:rsidTr="0005387E">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tcPr>
          <w:p w14:paraId="1D2C279A"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110574EB" w14:textId="61D400B6" w:rsidR="000434CC" w:rsidRPr="00852BE3" w:rsidRDefault="000434CC" w:rsidP="001A5C7F">
            <w:pPr>
              <w:pStyle w:val="ListNumber"/>
              <w:keepNext/>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How prevalent do you think these types of contractual limitations are?</w:t>
            </w:r>
          </w:p>
        </w:tc>
        <w:tc>
          <w:tcPr>
            <w:tcW w:w="2619" w:type="pct"/>
            <w:tcBorders>
              <w:top w:val="single" w:sz="4" w:space="0" w:color="auto"/>
              <w:left w:val="single" w:sz="4" w:space="0" w:color="auto"/>
              <w:bottom w:val="single" w:sz="4" w:space="0" w:color="auto"/>
              <w:right w:val="single" w:sz="4" w:space="0" w:color="auto"/>
            </w:tcBorders>
          </w:tcPr>
          <w:p w14:paraId="19630496"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0EC7B22B" w14:textId="77777777" w:rsidTr="0005387E">
        <w:tc>
          <w:tcPr>
            <w:tcW w:w="433" w:type="pct"/>
            <w:tcBorders>
              <w:top w:val="single" w:sz="4" w:space="0" w:color="auto"/>
              <w:left w:val="single" w:sz="4" w:space="0" w:color="auto"/>
              <w:bottom w:val="single" w:sz="4" w:space="0" w:color="auto"/>
              <w:right w:val="single" w:sz="4" w:space="0" w:color="auto"/>
            </w:tcBorders>
          </w:tcPr>
          <w:p w14:paraId="61EAB615"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212BA1A8" w14:textId="41F7FE7C"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the contractual limitations on capacity trading need to be addressed? </w:t>
            </w:r>
          </w:p>
          <w:p w14:paraId="2A29B96D"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so, should they be addressed through amendments to the NGR, or should the primary GTAs be re-opened?</w:t>
            </w:r>
          </w:p>
          <w:p w14:paraId="3E501186" w14:textId="1DBB5ED2"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not, please explain why.</w:t>
            </w:r>
          </w:p>
        </w:tc>
        <w:tc>
          <w:tcPr>
            <w:tcW w:w="2619" w:type="pct"/>
            <w:tcBorders>
              <w:top w:val="single" w:sz="4" w:space="0" w:color="auto"/>
              <w:left w:val="single" w:sz="4" w:space="0" w:color="auto"/>
              <w:bottom w:val="single" w:sz="4" w:space="0" w:color="auto"/>
              <w:right w:val="single" w:sz="4" w:space="0" w:color="auto"/>
            </w:tcBorders>
          </w:tcPr>
          <w:p w14:paraId="20BD0724"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C13C9E" w:rsidRPr="00852BE3" w14:paraId="3754E193" w14:textId="77777777" w:rsidTr="00610E03">
        <w:trPr>
          <w:cnfStyle w:val="000000010000" w:firstRow="0" w:lastRow="0" w:firstColumn="0" w:lastColumn="0" w:oddVBand="0" w:evenVBand="0" w:oddHBand="0" w:evenHBand="1" w:firstRowFirstColumn="0" w:firstRowLastColumn="0" w:lastRowFirstColumn="0" w:lastRowLastColumn="0"/>
        </w:trPr>
        <w:tc>
          <w:tcPr>
            <w:tcW w:w="433" w:type="pct"/>
            <w:tcBorders>
              <w:top w:val="single" w:sz="4" w:space="0" w:color="auto"/>
              <w:left w:val="single" w:sz="4" w:space="0" w:color="auto"/>
              <w:bottom w:val="single" w:sz="4" w:space="0" w:color="auto"/>
              <w:right w:val="single" w:sz="4" w:space="0" w:color="auto"/>
            </w:tcBorders>
            <w:shd w:val="clear" w:color="auto" w:fill="000000" w:themeFill="text1"/>
          </w:tcPr>
          <w:p w14:paraId="48954E57" w14:textId="4E5E9CF8" w:rsidR="00C13C9E" w:rsidRPr="00852BE3" w:rsidRDefault="00C13C9E" w:rsidP="00610E03">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p>
        </w:tc>
        <w:tc>
          <w:tcPr>
            <w:tcW w:w="4567"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22EB48CF" w14:textId="5B910929" w:rsidR="00C13C9E" w:rsidRPr="00852BE3" w:rsidRDefault="00C13C9E" w:rsidP="00610E03">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Other</w:t>
            </w:r>
          </w:p>
        </w:tc>
      </w:tr>
      <w:tr w:rsidR="00C13C9E" w:rsidRPr="00852BE3" w14:paraId="3EFC3CB3" w14:textId="77777777" w:rsidTr="0005387E">
        <w:tc>
          <w:tcPr>
            <w:tcW w:w="433" w:type="pct"/>
            <w:tcBorders>
              <w:top w:val="single" w:sz="4" w:space="0" w:color="auto"/>
              <w:left w:val="single" w:sz="4" w:space="0" w:color="auto"/>
              <w:bottom w:val="single" w:sz="4" w:space="0" w:color="auto"/>
              <w:right w:val="single" w:sz="4" w:space="0" w:color="auto"/>
            </w:tcBorders>
          </w:tcPr>
          <w:p w14:paraId="52399998" w14:textId="77777777" w:rsidR="00C13C9E" w:rsidRPr="00852BE3" w:rsidRDefault="00C13C9E" w:rsidP="00610E03">
            <w:pPr>
              <w:pStyle w:val="ListParagraph"/>
              <w:spacing w:before="120" w:after="120"/>
              <w:ind w:left="75"/>
              <w:rPr>
                <w:rFonts w:asciiTheme="majorHAnsi" w:eastAsiaTheme="majorEastAsia" w:hAnsiTheme="majorHAnsi" w:cstheme="majorHAnsi"/>
                <w:sz w:val="19"/>
                <w:szCs w:val="19"/>
              </w:rPr>
            </w:pPr>
          </w:p>
        </w:tc>
        <w:tc>
          <w:tcPr>
            <w:tcW w:w="1948" w:type="pct"/>
            <w:tcBorders>
              <w:top w:val="single" w:sz="4" w:space="0" w:color="auto"/>
              <w:left w:val="single" w:sz="4" w:space="0" w:color="auto"/>
              <w:bottom w:val="single" w:sz="4" w:space="0" w:color="auto"/>
              <w:right w:val="single" w:sz="4" w:space="0" w:color="auto"/>
            </w:tcBorders>
          </w:tcPr>
          <w:p w14:paraId="06C63816" w14:textId="66196320" w:rsidR="00C13C9E" w:rsidRPr="00852BE3" w:rsidRDefault="00C13C9E" w:rsidP="001A5C7F">
            <w:pPr>
              <w:pStyle w:val="ListNumber"/>
              <w:ind w:left="137"/>
              <w:rPr>
                <w:rFonts w:asciiTheme="majorHAnsi" w:eastAsiaTheme="majorEastAsia" w:hAnsiTheme="majorHAnsi" w:cstheme="majorHAnsi"/>
                <w:sz w:val="19"/>
                <w:szCs w:val="19"/>
              </w:rPr>
            </w:pPr>
            <w:r>
              <w:rPr>
                <w:rFonts w:asciiTheme="majorHAnsi" w:eastAsiaTheme="majorEastAsia" w:hAnsiTheme="majorHAnsi" w:cstheme="majorHAnsi"/>
                <w:sz w:val="19"/>
                <w:szCs w:val="19"/>
              </w:rPr>
              <w:t>Do you have any other feedback?</w:t>
            </w:r>
          </w:p>
        </w:tc>
        <w:tc>
          <w:tcPr>
            <w:tcW w:w="2619" w:type="pct"/>
            <w:tcBorders>
              <w:top w:val="single" w:sz="4" w:space="0" w:color="auto"/>
              <w:left w:val="single" w:sz="4" w:space="0" w:color="auto"/>
              <w:bottom w:val="single" w:sz="4" w:space="0" w:color="auto"/>
              <w:right w:val="single" w:sz="4" w:space="0" w:color="auto"/>
            </w:tcBorders>
          </w:tcPr>
          <w:p w14:paraId="7D624BA0" w14:textId="77777777" w:rsidR="00C13C9E" w:rsidRPr="00852BE3" w:rsidRDefault="00C13C9E"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bl>
    <w:p w14:paraId="338B32BD" w14:textId="1BCFB018" w:rsidR="000C2451" w:rsidRDefault="000C2451"/>
    <w:p w14:paraId="09A34CE8" w14:textId="77777777" w:rsidR="000C2451" w:rsidRDefault="000C2451">
      <w:r>
        <w:br w:type="page"/>
      </w:r>
    </w:p>
    <w:p w14:paraId="7A9885A2" w14:textId="77777777" w:rsidR="00F308D8" w:rsidRPr="00F308D8" w:rsidRDefault="00751619" w:rsidP="00F308D8">
      <w:pPr>
        <w:pStyle w:val="ExecSummHeading2"/>
      </w:pPr>
      <w:r>
        <w:lastRenderedPageBreak/>
        <w:t>PART B – Capacity Trading Platform</w:t>
      </w:r>
    </w:p>
    <w:tbl>
      <w:tblPr>
        <w:tblStyle w:val="TableGrid"/>
        <w:tblW w:w="5003" w:type="pct"/>
        <w:tblInd w:w="-5" w:type="dxa"/>
        <w:tblLook w:val="0420" w:firstRow="1" w:lastRow="0" w:firstColumn="0" w:lastColumn="0" w:noHBand="0" w:noVBand="1"/>
        <w:tblCaption w:val="PART B - Capacity Trading Platform"/>
        <w:tblDescription w:val="PART B - Capacity Trading Platform questions"/>
      </w:tblPr>
      <w:tblGrid>
        <w:gridCol w:w="754"/>
        <w:gridCol w:w="6475"/>
        <w:gridCol w:w="7058"/>
      </w:tblGrid>
      <w:tr w:rsidR="000C2451" w:rsidRPr="00852BE3" w14:paraId="5152C793" w14:textId="77777777" w:rsidTr="00C51E11">
        <w:trPr>
          <w:cnfStyle w:val="100000000000" w:firstRow="1" w:lastRow="0" w:firstColumn="0" w:lastColumn="0" w:oddVBand="0" w:evenVBand="0" w:oddHBand="0" w:evenHBand="0" w:firstRowFirstColumn="0" w:firstRowLastColumn="0" w:lastRowFirstColumn="0" w:lastRowLastColumn="0"/>
          <w:tblHeader/>
        </w:trPr>
        <w:tc>
          <w:tcPr>
            <w:tcW w:w="264" w:type="pct"/>
            <w:tcBorders>
              <w:top w:val="single" w:sz="4" w:space="0" w:color="auto"/>
              <w:left w:val="single" w:sz="4" w:space="0" w:color="auto"/>
              <w:bottom w:val="single" w:sz="4" w:space="0" w:color="auto"/>
              <w:right w:val="single" w:sz="4" w:space="0" w:color="auto"/>
            </w:tcBorders>
            <w:shd w:val="clear" w:color="auto" w:fill="0099CC"/>
          </w:tcPr>
          <w:p w14:paraId="6CE7BE13" w14:textId="77777777" w:rsidR="000C2451" w:rsidRPr="00852BE3" w:rsidRDefault="000C2451" w:rsidP="000C2451">
            <w:pPr>
              <w:pStyle w:val="TableHeading"/>
              <w:keepNext/>
              <w:spacing w:before="20" w:after="20"/>
              <w:ind w:left="75" w:right="75"/>
              <w:jc w:val="center"/>
              <w:rPr>
                <w:rFonts w:asciiTheme="majorHAnsi" w:hAnsiTheme="majorHAnsi" w:cstheme="majorHAnsi"/>
                <w:sz w:val="19"/>
                <w:szCs w:val="19"/>
                <w:lang w:eastAsia="fr-CA"/>
              </w:rPr>
            </w:pPr>
          </w:p>
        </w:tc>
        <w:tc>
          <w:tcPr>
            <w:tcW w:w="2266" w:type="pct"/>
            <w:tcBorders>
              <w:top w:val="single" w:sz="4" w:space="0" w:color="auto"/>
              <w:left w:val="single" w:sz="4" w:space="0" w:color="auto"/>
              <w:bottom w:val="single" w:sz="4" w:space="0" w:color="auto"/>
              <w:right w:val="single" w:sz="4" w:space="0" w:color="auto"/>
            </w:tcBorders>
            <w:shd w:val="clear" w:color="auto" w:fill="0099CC"/>
          </w:tcPr>
          <w:p w14:paraId="1173C568" w14:textId="77777777" w:rsidR="000C2451" w:rsidRPr="00852BE3" w:rsidRDefault="000C2451" w:rsidP="000C2451">
            <w:pPr>
              <w:pStyle w:val="TableHeading"/>
              <w:keepNext/>
              <w:spacing w:before="20" w:after="20"/>
              <w:ind w:left="75" w:right="75"/>
              <w:rPr>
                <w:rFonts w:asciiTheme="majorHAnsi" w:hAnsiTheme="majorHAnsi" w:cstheme="majorHAnsi"/>
                <w:sz w:val="19"/>
                <w:szCs w:val="19"/>
                <w:lang w:eastAsia="fr-CA"/>
              </w:rPr>
            </w:pPr>
            <w:r w:rsidRPr="00852BE3">
              <w:rPr>
                <w:rFonts w:asciiTheme="majorHAnsi" w:hAnsiTheme="majorHAnsi" w:cstheme="majorHAnsi"/>
                <w:sz w:val="19"/>
                <w:szCs w:val="19"/>
                <w:lang w:eastAsia="fr-CA"/>
              </w:rPr>
              <w:t>Questions</w:t>
            </w:r>
          </w:p>
        </w:tc>
        <w:tc>
          <w:tcPr>
            <w:tcW w:w="2470" w:type="pct"/>
            <w:tcBorders>
              <w:top w:val="single" w:sz="4" w:space="0" w:color="auto"/>
              <w:left w:val="single" w:sz="4" w:space="0" w:color="auto"/>
              <w:bottom w:val="single" w:sz="4" w:space="0" w:color="auto"/>
              <w:right w:val="single" w:sz="4" w:space="0" w:color="auto"/>
            </w:tcBorders>
            <w:shd w:val="clear" w:color="auto" w:fill="0099CC"/>
            <w:hideMark/>
          </w:tcPr>
          <w:p w14:paraId="2168ECD7" w14:textId="77777777" w:rsidR="000C2451" w:rsidRPr="00852BE3" w:rsidRDefault="000C2451" w:rsidP="000C2451">
            <w:pPr>
              <w:pStyle w:val="TableHeading"/>
              <w:keepNext/>
              <w:spacing w:before="20" w:after="20"/>
              <w:ind w:left="75" w:right="75"/>
              <w:rPr>
                <w:rFonts w:asciiTheme="majorHAnsi" w:hAnsiTheme="majorHAnsi" w:cstheme="majorHAnsi"/>
                <w:sz w:val="19"/>
                <w:szCs w:val="19"/>
                <w:lang w:eastAsia="fr-CA"/>
              </w:rPr>
            </w:pPr>
            <w:r w:rsidRPr="00852BE3">
              <w:rPr>
                <w:rFonts w:asciiTheme="majorHAnsi" w:hAnsiTheme="majorHAnsi" w:cstheme="majorHAnsi"/>
                <w:sz w:val="19"/>
                <w:szCs w:val="19"/>
                <w:lang w:eastAsia="fr-CA"/>
              </w:rPr>
              <w:t>Feedback</w:t>
            </w:r>
          </w:p>
        </w:tc>
      </w:tr>
      <w:tr w:rsidR="000434CC" w:rsidRPr="00852BE3" w14:paraId="5C815CAA"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3FA6C6ED" w14:textId="61FA3AD4" w:rsidR="000434CC" w:rsidRPr="00852BE3" w:rsidRDefault="00751619"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7.1</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7D12FD03" w14:textId="67B8B1D5" w:rsidR="000434CC" w:rsidRPr="00852BE3" w:rsidRDefault="000C2451" w:rsidP="000C2451">
            <w:pPr>
              <w:pStyle w:val="TableBullet1"/>
              <w:numPr>
                <w:ilvl w:val="0"/>
                <w:numId w:val="0"/>
              </w:numPr>
              <w:tabs>
                <w:tab w:val="left" w:pos="720"/>
              </w:tabs>
              <w:spacing w:before="20" w:after="20"/>
              <w:ind w:left="312" w:hanging="227"/>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I</w:t>
            </w:r>
            <w:r w:rsidR="000434CC" w:rsidRPr="00852BE3">
              <w:rPr>
                <w:rFonts w:asciiTheme="majorHAnsi" w:eastAsiaTheme="minorHAnsi" w:hAnsiTheme="majorHAnsi" w:cstheme="majorHAnsi"/>
                <w:b/>
                <w:sz w:val="19"/>
                <w:szCs w:val="19"/>
                <w:lang w:eastAsia="fr-CA"/>
              </w:rPr>
              <w:t>nitial set of exchange traded products</w:t>
            </w:r>
          </w:p>
        </w:tc>
      </w:tr>
      <w:tr w:rsidR="000434CC" w:rsidRPr="00852BE3" w14:paraId="538C5C1E"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7DF224E2"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45636E87" w14:textId="4FF40C0A" w:rsidR="000434CC" w:rsidRPr="00852BE3" w:rsidRDefault="000434CC" w:rsidP="001A5C7F">
            <w:pPr>
              <w:pStyle w:val="ListNumber"/>
              <w:keepNext/>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agree with the project team’s view that the initial set of products should be limited to firm forward haul, </w:t>
            </w:r>
            <w:proofErr w:type="gramStart"/>
            <w:r w:rsidR="00F308D8">
              <w:rPr>
                <w:rFonts w:asciiTheme="majorHAnsi" w:eastAsiaTheme="majorEastAsia" w:hAnsiTheme="majorHAnsi" w:cstheme="majorHAnsi"/>
                <w:sz w:val="19"/>
                <w:szCs w:val="19"/>
              </w:rPr>
              <w:t xml:space="preserve">firm </w:t>
            </w:r>
            <w:r w:rsidRPr="00852BE3">
              <w:rPr>
                <w:rFonts w:asciiTheme="majorHAnsi" w:eastAsiaTheme="majorEastAsia" w:hAnsiTheme="majorHAnsi" w:cstheme="majorHAnsi"/>
                <w:sz w:val="19"/>
                <w:szCs w:val="19"/>
              </w:rPr>
              <w:t>park</w:t>
            </w:r>
            <w:proofErr w:type="gramEnd"/>
            <w:r w:rsidRPr="00852BE3">
              <w:rPr>
                <w:rFonts w:asciiTheme="majorHAnsi" w:eastAsiaTheme="majorEastAsia" w:hAnsiTheme="majorHAnsi" w:cstheme="majorHAnsi"/>
                <w:sz w:val="19"/>
                <w:szCs w:val="19"/>
              </w:rPr>
              <w:t xml:space="preserve"> and </w:t>
            </w:r>
            <w:r w:rsidR="00F308D8">
              <w:rPr>
                <w:rFonts w:asciiTheme="majorHAnsi" w:eastAsiaTheme="majorEastAsia" w:hAnsiTheme="majorHAnsi" w:cstheme="majorHAnsi"/>
                <w:sz w:val="19"/>
                <w:szCs w:val="19"/>
              </w:rPr>
              <w:t xml:space="preserve">firm </w:t>
            </w:r>
            <w:r w:rsidRPr="00852BE3">
              <w:rPr>
                <w:rFonts w:asciiTheme="majorHAnsi" w:eastAsiaTheme="majorEastAsia" w:hAnsiTheme="majorHAnsi" w:cstheme="majorHAnsi"/>
                <w:sz w:val="19"/>
                <w:szCs w:val="19"/>
              </w:rPr>
              <w:t>compression services on the transportation assets connecting major supply and demand centres in the east coast? If not, what products do you think should be excluded from or added to the list?</w:t>
            </w:r>
          </w:p>
        </w:tc>
        <w:tc>
          <w:tcPr>
            <w:tcW w:w="2470" w:type="pct"/>
            <w:tcBorders>
              <w:top w:val="single" w:sz="4" w:space="0" w:color="auto"/>
              <w:left w:val="single" w:sz="4" w:space="0" w:color="auto"/>
              <w:bottom w:val="single" w:sz="4" w:space="0" w:color="auto"/>
              <w:right w:val="single" w:sz="4" w:space="0" w:color="auto"/>
            </w:tcBorders>
          </w:tcPr>
          <w:p w14:paraId="129404E4"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6EF9B20B" w14:textId="77777777" w:rsidTr="00C51E11">
        <w:tc>
          <w:tcPr>
            <w:tcW w:w="264" w:type="pct"/>
            <w:tcBorders>
              <w:top w:val="single" w:sz="4" w:space="0" w:color="auto"/>
              <w:left w:val="single" w:sz="4" w:space="0" w:color="auto"/>
              <w:bottom w:val="single" w:sz="4" w:space="0" w:color="auto"/>
              <w:right w:val="single" w:sz="4" w:space="0" w:color="auto"/>
            </w:tcBorders>
          </w:tcPr>
          <w:p w14:paraId="71024BE5"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2DC5DDA0" w14:textId="64594BA5" w:rsidR="00F308D8" w:rsidRPr="00F308D8" w:rsidRDefault="00F308D8" w:rsidP="00F308D8">
            <w:pPr>
              <w:pStyle w:val="ListNumber"/>
              <w:keepNext/>
              <w:ind w:left="137"/>
              <w:rPr>
                <w:rFonts w:asciiTheme="majorHAnsi" w:eastAsiaTheme="majorEastAsia" w:hAnsiTheme="majorHAnsi" w:cstheme="majorHAnsi"/>
                <w:sz w:val="19"/>
                <w:szCs w:val="19"/>
              </w:rPr>
            </w:pPr>
            <w:r w:rsidRPr="00F308D8">
              <w:rPr>
                <w:rFonts w:asciiTheme="majorHAnsi" w:eastAsiaTheme="majorEastAsia" w:hAnsiTheme="majorHAnsi" w:cstheme="majorHAnsi"/>
                <w:sz w:val="19"/>
                <w:szCs w:val="19"/>
              </w:rPr>
              <w:t>Do you think there would be value in the GMRG developing the following services ahead of market start, or do you think they could be developed after market start:</w:t>
            </w:r>
          </w:p>
          <w:p w14:paraId="1AD41E64" w14:textId="02A2E704" w:rsidR="00F308D8" w:rsidRPr="00F308D8" w:rsidRDefault="00F308D8" w:rsidP="00F308D8">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F308D8">
              <w:rPr>
                <w:rFonts w:asciiTheme="majorHAnsi" w:eastAsiaTheme="majorEastAsia" w:hAnsiTheme="majorHAnsi" w:cstheme="majorHAnsi"/>
                <w:sz w:val="19"/>
                <w:szCs w:val="19"/>
              </w:rPr>
              <w:t>backhaul</w:t>
            </w:r>
            <w:proofErr w:type="gramEnd"/>
            <w:r w:rsidRPr="00F308D8">
              <w:rPr>
                <w:rFonts w:asciiTheme="majorHAnsi" w:eastAsiaTheme="majorEastAsia" w:hAnsiTheme="majorHAnsi" w:cstheme="majorHAnsi"/>
                <w:sz w:val="19"/>
                <w:szCs w:val="19"/>
              </w:rPr>
              <w:t xml:space="preserve"> services on pipelines that are not bi-directional? </w:t>
            </w:r>
          </w:p>
          <w:p w14:paraId="569E9EF2" w14:textId="34EB8FD3" w:rsidR="00F308D8" w:rsidRPr="00F308D8" w:rsidRDefault="00F308D8" w:rsidP="00F308D8">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F308D8">
              <w:rPr>
                <w:rFonts w:asciiTheme="majorHAnsi" w:eastAsiaTheme="majorEastAsia" w:hAnsiTheme="majorHAnsi" w:cstheme="majorHAnsi"/>
                <w:sz w:val="19"/>
                <w:szCs w:val="19"/>
              </w:rPr>
              <w:t>locational</w:t>
            </w:r>
            <w:proofErr w:type="gramEnd"/>
            <w:r w:rsidRPr="00F308D8">
              <w:rPr>
                <w:rFonts w:asciiTheme="majorHAnsi" w:eastAsiaTheme="majorEastAsia" w:hAnsiTheme="majorHAnsi" w:cstheme="majorHAnsi"/>
                <w:sz w:val="19"/>
                <w:szCs w:val="19"/>
              </w:rPr>
              <w:t xml:space="preserve"> swaps?</w:t>
            </w:r>
          </w:p>
          <w:p w14:paraId="1E4481BB" w14:textId="2A351DDA" w:rsidR="00F308D8" w:rsidRPr="00F308D8" w:rsidRDefault="00F308D8" w:rsidP="00F308D8">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F308D8">
              <w:rPr>
                <w:rFonts w:asciiTheme="majorHAnsi" w:eastAsiaTheme="majorEastAsia" w:hAnsiTheme="majorHAnsi" w:cstheme="majorHAnsi"/>
                <w:sz w:val="19"/>
                <w:szCs w:val="19"/>
              </w:rPr>
              <w:t>an</w:t>
            </w:r>
            <w:proofErr w:type="gramEnd"/>
            <w:r w:rsidRPr="00F308D8">
              <w:rPr>
                <w:rFonts w:asciiTheme="majorHAnsi" w:eastAsiaTheme="majorEastAsia" w:hAnsiTheme="majorHAnsi" w:cstheme="majorHAnsi"/>
                <w:sz w:val="19"/>
                <w:szCs w:val="19"/>
              </w:rPr>
              <w:t xml:space="preserve"> imbalance exchange traded product that parties could use to clear imbalances (see section 5.2)?</w:t>
            </w:r>
          </w:p>
          <w:p w14:paraId="0A754152" w14:textId="7BBE3B8C" w:rsidR="000434CC" w:rsidRPr="00852BE3" w:rsidRDefault="00F308D8" w:rsidP="00F308D8">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F308D8">
              <w:rPr>
                <w:rFonts w:asciiTheme="majorHAnsi" w:eastAsiaTheme="majorEastAsia" w:hAnsiTheme="majorHAnsi" w:cstheme="majorHAnsi"/>
                <w:sz w:val="19"/>
                <w:szCs w:val="19"/>
              </w:rPr>
              <w:t>other</w:t>
            </w:r>
            <w:proofErr w:type="gramEnd"/>
            <w:r w:rsidRPr="00F308D8">
              <w:rPr>
                <w:rFonts w:asciiTheme="majorHAnsi" w:eastAsiaTheme="majorEastAsia" w:hAnsiTheme="majorHAnsi" w:cstheme="majorHAnsi"/>
                <w:sz w:val="19"/>
                <w:szCs w:val="19"/>
              </w:rPr>
              <w:t xml:space="preserve"> (non-pipeline) storage products, such as those offered by </w:t>
            </w:r>
            <w:proofErr w:type="spellStart"/>
            <w:r w:rsidRPr="00F308D8">
              <w:rPr>
                <w:rFonts w:asciiTheme="majorHAnsi" w:eastAsiaTheme="majorEastAsia" w:hAnsiTheme="majorHAnsi" w:cstheme="majorHAnsi"/>
                <w:sz w:val="19"/>
                <w:szCs w:val="19"/>
              </w:rPr>
              <w:t>Lochard’s</w:t>
            </w:r>
            <w:proofErr w:type="spellEnd"/>
            <w:r w:rsidRPr="00F308D8">
              <w:rPr>
                <w:rFonts w:asciiTheme="majorHAnsi" w:eastAsiaTheme="majorEastAsia" w:hAnsiTheme="majorHAnsi" w:cstheme="majorHAnsi"/>
                <w:sz w:val="19"/>
                <w:szCs w:val="19"/>
              </w:rPr>
              <w:t xml:space="preserve"> underground storage facility, APA’s Dandenong LNG storage facility?</w:t>
            </w:r>
          </w:p>
        </w:tc>
        <w:tc>
          <w:tcPr>
            <w:tcW w:w="2470" w:type="pct"/>
            <w:tcBorders>
              <w:top w:val="single" w:sz="4" w:space="0" w:color="auto"/>
              <w:left w:val="single" w:sz="4" w:space="0" w:color="auto"/>
              <w:bottom w:val="single" w:sz="4" w:space="0" w:color="auto"/>
              <w:right w:val="single" w:sz="4" w:space="0" w:color="auto"/>
            </w:tcBorders>
          </w:tcPr>
          <w:p w14:paraId="4F579B9D"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4E56C942"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602B3F22"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12F1B247" w14:textId="24DB5A95" w:rsidR="00F308D8" w:rsidRPr="00F308D8" w:rsidRDefault="00F308D8" w:rsidP="00F308D8">
            <w:pPr>
              <w:spacing w:before="120" w:after="120"/>
              <w:rPr>
                <w:rFonts w:asciiTheme="majorHAnsi" w:hAnsiTheme="majorHAnsi" w:cstheme="majorHAnsi"/>
                <w:color w:val="000000"/>
                <w:sz w:val="19"/>
                <w:szCs w:val="19"/>
              </w:rPr>
            </w:pPr>
            <w:r w:rsidRPr="00F308D8">
              <w:rPr>
                <w:rFonts w:asciiTheme="majorHAnsi" w:hAnsiTheme="majorHAnsi" w:cstheme="majorHAnsi"/>
                <w:color w:val="000000"/>
                <w:sz w:val="19"/>
                <w:szCs w:val="19"/>
              </w:rPr>
              <w:t>If you think locational swaps should be developed for market start:</w:t>
            </w:r>
          </w:p>
          <w:p w14:paraId="5D50FD85" w14:textId="19FDB7EF" w:rsidR="00F308D8" w:rsidRPr="00F308D8" w:rsidRDefault="00F308D8" w:rsidP="00F308D8">
            <w:pPr>
              <w:pStyle w:val="ListParagraph"/>
              <w:numPr>
                <w:ilvl w:val="0"/>
                <w:numId w:val="17"/>
              </w:numPr>
              <w:spacing w:before="120" w:after="120"/>
              <w:ind w:left="562"/>
              <w:rPr>
                <w:rFonts w:asciiTheme="majorHAnsi" w:eastAsiaTheme="majorEastAsia" w:hAnsiTheme="majorHAnsi" w:cstheme="majorHAnsi"/>
                <w:sz w:val="19"/>
                <w:szCs w:val="19"/>
              </w:rPr>
            </w:pPr>
            <w:r w:rsidRPr="00F308D8">
              <w:rPr>
                <w:rFonts w:asciiTheme="majorHAnsi" w:eastAsiaTheme="majorEastAsia" w:hAnsiTheme="majorHAnsi" w:cstheme="majorHAnsi"/>
                <w:sz w:val="19"/>
                <w:szCs w:val="19"/>
              </w:rPr>
              <w:t xml:space="preserve">Do you think they are a substitute for capacity products, or a separate product? </w:t>
            </w:r>
          </w:p>
          <w:p w14:paraId="071ACC35" w14:textId="371D986F" w:rsidR="00F308D8" w:rsidRPr="00F308D8" w:rsidRDefault="00F308D8" w:rsidP="00F308D8">
            <w:pPr>
              <w:pStyle w:val="ListParagraph"/>
              <w:numPr>
                <w:ilvl w:val="0"/>
                <w:numId w:val="17"/>
              </w:numPr>
              <w:spacing w:before="120" w:after="120"/>
              <w:ind w:left="562"/>
              <w:rPr>
                <w:rFonts w:asciiTheme="majorHAnsi" w:eastAsiaTheme="majorEastAsia" w:hAnsiTheme="majorHAnsi" w:cstheme="majorHAnsi"/>
                <w:sz w:val="19"/>
                <w:szCs w:val="19"/>
              </w:rPr>
            </w:pPr>
            <w:r w:rsidRPr="00F308D8">
              <w:rPr>
                <w:rFonts w:asciiTheme="majorHAnsi" w:eastAsiaTheme="majorEastAsia" w:hAnsiTheme="majorHAnsi" w:cstheme="majorHAnsi"/>
                <w:sz w:val="19"/>
                <w:szCs w:val="19"/>
              </w:rPr>
              <w:t>Do you think swaps could be used in place of backhaul services at market start?</w:t>
            </w:r>
          </w:p>
          <w:p w14:paraId="2839AD7A" w14:textId="47E90CE8" w:rsidR="000434CC" w:rsidRPr="00F308D8" w:rsidRDefault="00F308D8" w:rsidP="00F308D8">
            <w:pPr>
              <w:pStyle w:val="ListParagraph"/>
              <w:numPr>
                <w:ilvl w:val="0"/>
                <w:numId w:val="17"/>
              </w:numPr>
              <w:spacing w:before="120" w:after="120"/>
              <w:ind w:left="562"/>
              <w:rPr>
                <w:rFonts w:asciiTheme="majorHAnsi" w:hAnsiTheme="majorHAnsi" w:cstheme="majorHAnsi"/>
                <w:color w:val="000000"/>
                <w:sz w:val="19"/>
                <w:szCs w:val="19"/>
              </w:rPr>
            </w:pPr>
            <w:r w:rsidRPr="00F308D8">
              <w:rPr>
                <w:rFonts w:asciiTheme="majorHAnsi" w:eastAsiaTheme="majorEastAsia" w:hAnsiTheme="majorHAnsi" w:cstheme="majorHAnsi"/>
                <w:sz w:val="19"/>
                <w:szCs w:val="19"/>
              </w:rPr>
              <w:t>What locational combinations do you think should be available?</w:t>
            </w:r>
          </w:p>
        </w:tc>
        <w:tc>
          <w:tcPr>
            <w:tcW w:w="2470" w:type="pct"/>
            <w:tcBorders>
              <w:top w:val="single" w:sz="4" w:space="0" w:color="auto"/>
              <w:left w:val="single" w:sz="4" w:space="0" w:color="auto"/>
              <w:bottom w:val="single" w:sz="4" w:space="0" w:color="auto"/>
              <w:right w:val="single" w:sz="4" w:space="0" w:color="auto"/>
            </w:tcBorders>
          </w:tcPr>
          <w:p w14:paraId="47C0E67B"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13398F4D"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0AC12C95" w14:textId="6E1AF79B" w:rsidR="000434CC" w:rsidRPr="00852BE3" w:rsidRDefault="001A6397" w:rsidP="001A6397">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7.</w:t>
            </w:r>
            <w:r w:rsidR="002A6BF2">
              <w:rPr>
                <w:rFonts w:asciiTheme="majorHAnsi" w:eastAsiaTheme="minorHAnsi" w:hAnsiTheme="majorHAnsi" w:cstheme="majorHAnsi"/>
                <w:b/>
                <w:sz w:val="19"/>
                <w:szCs w:val="19"/>
                <w:lang w:eastAsia="fr-CA"/>
              </w:rPr>
              <w:t>2</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FC1A73D" w14:textId="45E3129A" w:rsidR="000434CC" w:rsidRPr="00852BE3" w:rsidRDefault="00751619" w:rsidP="001A6397">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S</w:t>
            </w:r>
            <w:r w:rsidR="000434CC" w:rsidRPr="00852BE3">
              <w:rPr>
                <w:rFonts w:asciiTheme="majorHAnsi" w:eastAsiaTheme="minorHAnsi" w:hAnsiTheme="majorHAnsi" w:cstheme="majorHAnsi"/>
                <w:b/>
                <w:sz w:val="19"/>
                <w:szCs w:val="19"/>
                <w:lang w:eastAsia="fr-CA"/>
              </w:rPr>
              <w:t>tandardised products</w:t>
            </w:r>
          </w:p>
        </w:tc>
      </w:tr>
      <w:tr w:rsidR="000434CC" w:rsidRPr="00852BE3" w14:paraId="7FBA56E5"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0D4E6024"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0BCA6CF0" w14:textId="067C3A78" w:rsidR="000434CC" w:rsidRPr="00852BE3" w:rsidRDefault="001A6397" w:rsidP="001A5C7F">
            <w:pPr>
              <w:pStyle w:val="ListNumber"/>
              <w:ind w:left="137"/>
              <w:rPr>
                <w:rFonts w:asciiTheme="majorHAnsi" w:eastAsiaTheme="majorEastAsia" w:hAnsiTheme="majorHAnsi" w:cstheme="majorHAnsi"/>
                <w:sz w:val="19"/>
                <w:szCs w:val="19"/>
              </w:rPr>
            </w:pPr>
            <w:r w:rsidRPr="001A6397">
              <w:rPr>
                <w:rFonts w:asciiTheme="majorHAnsi" w:eastAsiaTheme="majorEastAsia" w:hAnsiTheme="majorHAnsi" w:cstheme="majorHAnsi"/>
                <w:sz w:val="19"/>
                <w:szCs w:val="19"/>
              </w:rPr>
              <w:t>Do you agree with the proposed contract tenors for the standardised products (i.e. day-ahead, daily, weekly and monthly) at market start, or do you think other tenors should be included (e.g. a quarterly product) or excluded at market start?</w:t>
            </w:r>
          </w:p>
        </w:tc>
        <w:tc>
          <w:tcPr>
            <w:tcW w:w="2470" w:type="pct"/>
            <w:tcBorders>
              <w:top w:val="single" w:sz="4" w:space="0" w:color="auto"/>
              <w:left w:val="single" w:sz="4" w:space="0" w:color="auto"/>
              <w:bottom w:val="single" w:sz="4" w:space="0" w:color="auto"/>
              <w:right w:val="single" w:sz="4" w:space="0" w:color="auto"/>
            </w:tcBorders>
          </w:tcPr>
          <w:p w14:paraId="6FC1FAAB"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39D989C6" w14:textId="77777777" w:rsidTr="00C51E11">
        <w:tc>
          <w:tcPr>
            <w:tcW w:w="264" w:type="pct"/>
            <w:tcBorders>
              <w:top w:val="single" w:sz="4" w:space="0" w:color="auto"/>
              <w:left w:val="single" w:sz="4" w:space="0" w:color="auto"/>
              <w:bottom w:val="single" w:sz="4" w:space="0" w:color="auto"/>
              <w:right w:val="single" w:sz="4" w:space="0" w:color="auto"/>
            </w:tcBorders>
          </w:tcPr>
          <w:p w14:paraId="0D864A17"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5B056BCC" w14:textId="6DB40619" w:rsidR="000434CC" w:rsidRPr="00852BE3" w:rsidRDefault="001A6397" w:rsidP="001A5C7F">
            <w:pPr>
              <w:pStyle w:val="ListNumber"/>
              <w:ind w:left="137"/>
              <w:rPr>
                <w:rFonts w:asciiTheme="majorHAnsi" w:eastAsiaTheme="majorEastAsia" w:hAnsiTheme="majorHAnsi" w:cstheme="majorHAnsi"/>
                <w:sz w:val="19"/>
                <w:szCs w:val="19"/>
              </w:rPr>
            </w:pPr>
            <w:r w:rsidRPr="001A6397">
              <w:rPr>
                <w:rFonts w:asciiTheme="majorHAnsi" w:eastAsiaTheme="majorEastAsia" w:hAnsiTheme="majorHAnsi" w:cstheme="majorHAnsi"/>
                <w:sz w:val="19"/>
                <w:szCs w:val="19"/>
              </w:rPr>
              <w:t>Do you agree with the proposed contract sizes for the standardised products (500 GJ), or do you think a higher (e.g. 1 TJ) or lower (e.g. 100 GJ) contract size should be adopted?</w:t>
            </w:r>
          </w:p>
        </w:tc>
        <w:tc>
          <w:tcPr>
            <w:tcW w:w="2470" w:type="pct"/>
            <w:tcBorders>
              <w:top w:val="single" w:sz="4" w:space="0" w:color="auto"/>
              <w:left w:val="single" w:sz="4" w:space="0" w:color="auto"/>
              <w:bottom w:val="single" w:sz="4" w:space="0" w:color="auto"/>
              <w:right w:val="single" w:sz="4" w:space="0" w:color="auto"/>
            </w:tcBorders>
          </w:tcPr>
          <w:p w14:paraId="7A0556A2"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28FCC61A"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5220DF7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2552B877" w14:textId="7A4E9F97" w:rsidR="000434CC" w:rsidRPr="00852BE3" w:rsidRDefault="001A6397" w:rsidP="001A5C7F">
            <w:pPr>
              <w:pStyle w:val="ListNumber"/>
              <w:ind w:left="137"/>
              <w:rPr>
                <w:rFonts w:asciiTheme="majorHAnsi" w:eastAsiaTheme="majorEastAsia" w:hAnsiTheme="majorHAnsi" w:cstheme="majorHAnsi"/>
                <w:sz w:val="19"/>
                <w:szCs w:val="19"/>
              </w:rPr>
            </w:pPr>
            <w:r w:rsidRPr="001A6397">
              <w:rPr>
                <w:rFonts w:asciiTheme="majorHAnsi" w:eastAsiaTheme="majorEastAsia" w:hAnsiTheme="majorHAnsi" w:cstheme="majorHAnsi"/>
                <w:b/>
                <w:sz w:val="19"/>
                <w:szCs w:val="19"/>
              </w:rPr>
              <w:t>Firm forward haul products</w:t>
            </w:r>
            <w:r w:rsidRPr="001A6397">
              <w:rPr>
                <w:rFonts w:asciiTheme="majorHAnsi" w:eastAsiaTheme="majorEastAsia" w:hAnsiTheme="majorHAnsi" w:cstheme="majorHAnsi"/>
                <w:sz w:val="19"/>
                <w:szCs w:val="19"/>
              </w:rPr>
              <w:t>: Do you agree with the proposed contract paths for the standardised firm forward haul products, or do you think other contract paths should be considered for market start</w:t>
            </w:r>
          </w:p>
        </w:tc>
        <w:tc>
          <w:tcPr>
            <w:tcW w:w="2470" w:type="pct"/>
            <w:tcBorders>
              <w:top w:val="single" w:sz="4" w:space="0" w:color="auto"/>
              <w:left w:val="single" w:sz="4" w:space="0" w:color="auto"/>
              <w:bottom w:val="single" w:sz="4" w:space="0" w:color="auto"/>
              <w:right w:val="single" w:sz="4" w:space="0" w:color="auto"/>
            </w:tcBorders>
          </w:tcPr>
          <w:p w14:paraId="717B79CE"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65AB5351" w14:textId="77777777" w:rsidTr="00C51E11">
        <w:tc>
          <w:tcPr>
            <w:tcW w:w="264" w:type="pct"/>
            <w:tcBorders>
              <w:top w:val="single" w:sz="4" w:space="0" w:color="auto"/>
              <w:left w:val="single" w:sz="4" w:space="0" w:color="auto"/>
              <w:bottom w:val="single" w:sz="4" w:space="0" w:color="auto"/>
              <w:right w:val="single" w:sz="4" w:space="0" w:color="auto"/>
            </w:tcBorders>
          </w:tcPr>
          <w:p w14:paraId="039E2A6F"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015109B2" w14:textId="07F7DD73" w:rsidR="000434CC" w:rsidRPr="00852BE3" w:rsidRDefault="001A6397" w:rsidP="001A5C7F">
            <w:pPr>
              <w:pStyle w:val="ListNumber"/>
              <w:ind w:left="137"/>
              <w:rPr>
                <w:rFonts w:asciiTheme="majorHAnsi" w:eastAsiaTheme="majorEastAsia" w:hAnsiTheme="majorHAnsi" w:cstheme="majorHAnsi"/>
                <w:sz w:val="19"/>
                <w:szCs w:val="19"/>
              </w:rPr>
            </w:pPr>
            <w:r w:rsidRPr="001A6397">
              <w:rPr>
                <w:rFonts w:asciiTheme="majorHAnsi" w:eastAsiaTheme="majorEastAsia" w:hAnsiTheme="majorHAnsi" w:cstheme="majorHAnsi"/>
                <w:b/>
                <w:sz w:val="19"/>
                <w:szCs w:val="19"/>
              </w:rPr>
              <w:t>Compression products</w:t>
            </w:r>
            <w:r w:rsidRPr="001A6397">
              <w:rPr>
                <w:rFonts w:asciiTheme="majorHAnsi" w:eastAsiaTheme="majorEastAsia" w:hAnsiTheme="majorHAnsi" w:cstheme="majorHAnsi"/>
                <w:sz w:val="19"/>
                <w:szCs w:val="19"/>
              </w:rPr>
              <w:t>: Do you agree with the proposed facilities on which this service would be available at market start?</w:t>
            </w:r>
          </w:p>
        </w:tc>
        <w:tc>
          <w:tcPr>
            <w:tcW w:w="2470" w:type="pct"/>
            <w:tcBorders>
              <w:top w:val="single" w:sz="4" w:space="0" w:color="auto"/>
              <w:left w:val="single" w:sz="4" w:space="0" w:color="auto"/>
              <w:bottom w:val="single" w:sz="4" w:space="0" w:color="auto"/>
              <w:right w:val="single" w:sz="4" w:space="0" w:color="auto"/>
            </w:tcBorders>
          </w:tcPr>
          <w:p w14:paraId="1CEDB0FB"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1A6397" w:rsidRPr="00852BE3" w14:paraId="332A4070"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5FE58B9D" w14:textId="77777777" w:rsidR="001A6397" w:rsidRPr="00852BE3" w:rsidRDefault="001A6397"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042A01AC" w14:textId="6DF12A1F" w:rsidR="001A6397" w:rsidRPr="00852BE3" w:rsidRDefault="001A6397" w:rsidP="001A5C7F">
            <w:pPr>
              <w:pStyle w:val="ListNumber"/>
              <w:ind w:left="137"/>
              <w:rPr>
                <w:rFonts w:asciiTheme="majorHAnsi" w:eastAsiaTheme="majorEastAsia" w:hAnsiTheme="majorHAnsi" w:cstheme="majorHAnsi"/>
                <w:sz w:val="19"/>
                <w:szCs w:val="19"/>
              </w:rPr>
            </w:pPr>
            <w:r w:rsidRPr="001A6397">
              <w:rPr>
                <w:rFonts w:asciiTheme="majorHAnsi" w:eastAsiaTheme="majorEastAsia" w:hAnsiTheme="majorHAnsi" w:cstheme="majorHAnsi"/>
                <w:b/>
                <w:sz w:val="19"/>
                <w:szCs w:val="19"/>
              </w:rPr>
              <w:t>Park products</w:t>
            </w:r>
            <w:r w:rsidRPr="001A6397">
              <w:rPr>
                <w:rFonts w:asciiTheme="majorHAnsi" w:eastAsiaTheme="majorEastAsia" w:hAnsiTheme="majorHAnsi" w:cstheme="majorHAnsi"/>
                <w:sz w:val="19"/>
                <w:szCs w:val="19"/>
              </w:rPr>
              <w:t>: Do you agree with the proposed pipelines on which this service would be available?</w:t>
            </w:r>
          </w:p>
        </w:tc>
        <w:tc>
          <w:tcPr>
            <w:tcW w:w="2470" w:type="pct"/>
            <w:tcBorders>
              <w:top w:val="single" w:sz="4" w:space="0" w:color="auto"/>
              <w:left w:val="single" w:sz="4" w:space="0" w:color="auto"/>
              <w:bottom w:val="single" w:sz="4" w:space="0" w:color="auto"/>
              <w:right w:val="single" w:sz="4" w:space="0" w:color="auto"/>
            </w:tcBorders>
          </w:tcPr>
          <w:p w14:paraId="5A8ECBB8" w14:textId="77777777" w:rsidR="001A6397" w:rsidRPr="00852BE3" w:rsidRDefault="001A6397"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56875D60"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4088B1D2" w14:textId="396220D2"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7.3</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223B4308" w14:textId="5AE5B51E" w:rsidR="000434CC" w:rsidRPr="00852BE3" w:rsidRDefault="00CA068D"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T</w:t>
            </w:r>
            <w:r w:rsidR="000434CC" w:rsidRPr="00852BE3">
              <w:rPr>
                <w:rFonts w:asciiTheme="majorHAnsi" w:eastAsiaTheme="minorHAnsi" w:hAnsiTheme="majorHAnsi" w:cstheme="majorHAnsi"/>
                <w:b/>
                <w:sz w:val="19"/>
                <w:szCs w:val="19"/>
                <w:lang w:eastAsia="fr-CA"/>
              </w:rPr>
              <w:t>reatment of variable transportation charges</w:t>
            </w:r>
          </w:p>
        </w:tc>
      </w:tr>
      <w:tr w:rsidR="000434CC" w:rsidRPr="00852BE3" w14:paraId="14E249FF"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308EA6BC"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20A2F637" w14:textId="571A8C8B"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Which option do you think should be used to deal with those cases where a primary shipper is liable to pay a variable transportation charge under its primary GTA:</w:t>
            </w:r>
          </w:p>
          <w:p w14:paraId="26CC58D3"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variable</w:t>
            </w:r>
            <w:proofErr w:type="gramEnd"/>
            <w:r w:rsidRPr="00852BE3">
              <w:rPr>
                <w:rFonts w:asciiTheme="majorHAnsi" w:eastAsiaTheme="majorEastAsia" w:hAnsiTheme="majorHAnsi" w:cstheme="majorHAnsi"/>
                <w:sz w:val="19"/>
                <w:szCs w:val="19"/>
              </w:rPr>
              <w:t xml:space="preserve"> charge paid by secondary shipper to service provider?</w:t>
            </w:r>
          </w:p>
          <w:p w14:paraId="08785D04"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variable</w:t>
            </w:r>
            <w:proofErr w:type="gramEnd"/>
            <w:r w:rsidRPr="00852BE3">
              <w:rPr>
                <w:rFonts w:asciiTheme="majorHAnsi" w:eastAsiaTheme="majorEastAsia" w:hAnsiTheme="majorHAnsi" w:cstheme="majorHAnsi"/>
                <w:sz w:val="19"/>
                <w:szCs w:val="19"/>
              </w:rPr>
              <w:t xml:space="preserve"> charge paid by primary shipper to service provider, based on actual volumes transported by the secondary shipper?</w:t>
            </w:r>
          </w:p>
          <w:p w14:paraId="759B17FF" w14:textId="0C950513" w:rsidR="000434CC" w:rsidRPr="00852BE3" w:rsidRDefault="000434CC" w:rsidP="00CF5A9C">
            <w:pPr>
              <w:pStyle w:val="ListParagraph"/>
              <w:numPr>
                <w:ilvl w:val="0"/>
                <w:numId w:val="17"/>
              </w:numPr>
              <w:spacing w:before="120" w:after="120"/>
              <w:ind w:left="562"/>
              <w:rPr>
                <w:rFonts w:asciiTheme="majorHAnsi" w:hAnsiTheme="majorHAnsi" w:cstheme="majorHAnsi"/>
                <w:sz w:val="19"/>
                <w:szCs w:val="19"/>
                <w:lang w:eastAsia="fr-CA"/>
              </w:rPr>
            </w:pPr>
            <w:proofErr w:type="gramStart"/>
            <w:r w:rsidRPr="00852BE3">
              <w:rPr>
                <w:rFonts w:asciiTheme="majorHAnsi" w:eastAsiaTheme="majorEastAsia" w:hAnsiTheme="majorHAnsi" w:cstheme="majorHAnsi"/>
                <w:sz w:val="19"/>
                <w:szCs w:val="19"/>
              </w:rPr>
              <w:t>primary</w:t>
            </w:r>
            <w:proofErr w:type="gramEnd"/>
            <w:r w:rsidRPr="00852BE3">
              <w:rPr>
                <w:rFonts w:asciiTheme="majorHAnsi" w:eastAsiaTheme="majorEastAsia" w:hAnsiTheme="majorHAnsi" w:cstheme="majorHAnsi"/>
                <w:sz w:val="19"/>
                <w:szCs w:val="19"/>
              </w:rPr>
              <w:t xml:space="preserve"> shipper’s variable charge converted to a fixed charge for that portion of capacity sold for the duration of the trade.</w:t>
            </w:r>
          </w:p>
        </w:tc>
        <w:tc>
          <w:tcPr>
            <w:tcW w:w="2470" w:type="pct"/>
            <w:tcBorders>
              <w:top w:val="single" w:sz="4" w:space="0" w:color="auto"/>
              <w:left w:val="single" w:sz="4" w:space="0" w:color="auto"/>
              <w:bottom w:val="single" w:sz="4" w:space="0" w:color="auto"/>
              <w:right w:val="single" w:sz="4" w:space="0" w:color="auto"/>
            </w:tcBorders>
          </w:tcPr>
          <w:p w14:paraId="59F486C0"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451EE29C"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58496CF5" w14:textId="02608F05"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8.1.1</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486E28C5" w14:textId="2CDF021B" w:rsidR="000434CC" w:rsidRPr="00852BE3" w:rsidRDefault="00CA068D"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P</w:t>
            </w:r>
            <w:r w:rsidR="000434CC" w:rsidRPr="00852BE3">
              <w:rPr>
                <w:rFonts w:asciiTheme="majorHAnsi" w:eastAsiaTheme="minorHAnsi" w:hAnsiTheme="majorHAnsi" w:cstheme="majorHAnsi"/>
                <w:b/>
                <w:sz w:val="19"/>
                <w:szCs w:val="19"/>
                <w:lang w:eastAsia="fr-CA"/>
              </w:rPr>
              <w:t>artial or full anonymity</w:t>
            </w:r>
          </w:p>
        </w:tc>
      </w:tr>
      <w:tr w:rsidR="000434CC" w:rsidRPr="00852BE3" w14:paraId="1368ADA1"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743AB1C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78DE690C" w14:textId="13E5DC22"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agree that the fully anonymous option should be implemented? If not, please explain why. </w:t>
            </w:r>
          </w:p>
        </w:tc>
        <w:tc>
          <w:tcPr>
            <w:tcW w:w="2470" w:type="pct"/>
            <w:tcBorders>
              <w:top w:val="single" w:sz="4" w:space="0" w:color="auto"/>
              <w:left w:val="single" w:sz="4" w:space="0" w:color="auto"/>
              <w:bottom w:val="single" w:sz="4" w:space="0" w:color="auto"/>
              <w:right w:val="single" w:sz="4" w:space="0" w:color="auto"/>
            </w:tcBorders>
          </w:tcPr>
          <w:p w14:paraId="0770F4B6"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217DD1DB"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3E1CF3C7" w14:textId="0D2A239B"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8.1.2</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4C883C4A" w14:textId="606E93D4" w:rsidR="000434CC" w:rsidRPr="00852BE3" w:rsidRDefault="00CA068D"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I</w:t>
            </w:r>
            <w:r w:rsidR="000434CC" w:rsidRPr="00852BE3">
              <w:rPr>
                <w:rFonts w:asciiTheme="majorHAnsi" w:eastAsiaTheme="minorHAnsi" w:hAnsiTheme="majorHAnsi" w:cstheme="majorHAnsi"/>
                <w:b/>
                <w:sz w:val="19"/>
                <w:szCs w:val="19"/>
                <w:lang w:eastAsia="fr-CA"/>
              </w:rPr>
              <w:t>nformation to be provided to service providers</w:t>
            </w:r>
          </w:p>
        </w:tc>
      </w:tr>
      <w:tr w:rsidR="000434CC" w:rsidRPr="00852BE3" w14:paraId="2BE63B81"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411F46CF"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66150861" w14:textId="77C0F90C"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agree that Option 2 should be implemented? If not, please explain why. </w:t>
            </w:r>
          </w:p>
        </w:tc>
        <w:tc>
          <w:tcPr>
            <w:tcW w:w="2470" w:type="pct"/>
            <w:tcBorders>
              <w:top w:val="single" w:sz="4" w:space="0" w:color="auto"/>
              <w:left w:val="single" w:sz="4" w:space="0" w:color="auto"/>
              <w:bottom w:val="single" w:sz="4" w:space="0" w:color="auto"/>
              <w:right w:val="single" w:sz="4" w:space="0" w:color="auto"/>
            </w:tcBorders>
          </w:tcPr>
          <w:p w14:paraId="4FEF56EA"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0AEA1554" w14:textId="77777777" w:rsidTr="00C51E11">
        <w:tc>
          <w:tcPr>
            <w:tcW w:w="264" w:type="pct"/>
            <w:tcBorders>
              <w:top w:val="single" w:sz="4" w:space="0" w:color="auto"/>
              <w:left w:val="single" w:sz="4" w:space="0" w:color="auto"/>
              <w:bottom w:val="single" w:sz="4" w:space="0" w:color="auto"/>
              <w:right w:val="single" w:sz="4" w:space="0" w:color="auto"/>
            </w:tcBorders>
          </w:tcPr>
          <w:p w14:paraId="6C7A2B27"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0CFAE0D1" w14:textId="67EC3A01"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AEMO should net out shippers’ positions prior to transaction information being provided to service providers to transfer capacity? If not, please explain why.</w:t>
            </w:r>
          </w:p>
        </w:tc>
        <w:tc>
          <w:tcPr>
            <w:tcW w:w="2470" w:type="pct"/>
            <w:tcBorders>
              <w:top w:val="single" w:sz="4" w:space="0" w:color="auto"/>
              <w:left w:val="single" w:sz="4" w:space="0" w:color="auto"/>
              <w:bottom w:val="single" w:sz="4" w:space="0" w:color="auto"/>
              <w:right w:val="single" w:sz="4" w:space="0" w:color="auto"/>
            </w:tcBorders>
          </w:tcPr>
          <w:p w14:paraId="0F8F6388"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08ED8C88" w14:textId="77777777" w:rsidTr="00D12406">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2B80F95F" w14:textId="24A4A0E4"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8.1.3</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4CE85ABB" w14:textId="404C30FB" w:rsidR="000434CC" w:rsidRPr="00852BE3" w:rsidRDefault="00CA068D"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O</w:t>
            </w:r>
            <w:r w:rsidR="000434CC" w:rsidRPr="00852BE3">
              <w:rPr>
                <w:rFonts w:asciiTheme="majorHAnsi" w:eastAsiaTheme="minorHAnsi" w:hAnsiTheme="majorHAnsi" w:cstheme="majorHAnsi"/>
                <w:b/>
                <w:sz w:val="19"/>
                <w:szCs w:val="19"/>
                <w:lang w:eastAsia="fr-CA"/>
              </w:rPr>
              <w:t>ther information that could be collected and provided</w:t>
            </w:r>
          </w:p>
        </w:tc>
      </w:tr>
      <w:tr w:rsidR="000434CC" w:rsidRPr="00852BE3" w14:paraId="0CE15532" w14:textId="77777777" w:rsidTr="00C51E11">
        <w:tc>
          <w:tcPr>
            <w:tcW w:w="264" w:type="pct"/>
            <w:tcBorders>
              <w:top w:val="single" w:sz="4" w:space="0" w:color="auto"/>
              <w:left w:val="single" w:sz="4" w:space="0" w:color="auto"/>
              <w:bottom w:val="single" w:sz="4" w:space="0" w:color="auto"/>
              <w:right w:val="single" w:sz="4" w:space="0" w:color="auto"/>
            </w:tcBorders>
          </w:tcPr>
          <w:p w14:paraId="1B4EA6EB"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2D26828E" w14:textId="0DEB6A03"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there is value in having AEMO: </w:t>
            </w:r>
          </w:p>
          <w:p w14:paraId="396B3AC2"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collect</w:t>
            </w:r>
            <w:proofErr w:type="gramEnd"/>
            <w:r w:rsidRPr="00852BE3">
              <w:rPr>
                <w:rFonts w:asciiTheme="majorHAnsi" w:eastAsiaTheme="majorEastAsia" w:hAnsiTheme="majorHAnsi" w:cstheme="majorHAnsi"/>
                <w:sz w:val="19"/>
                <w:szCs w:val="19"/>
              </w:rPr>
              <w:t xml:space="preserve"> information from the seller on the GTA and receipt and delivery points that it wants to deduct the capacity from and to provide this to service providers? </w:t>
            </w:r>
          </w:p>
          <w:p w14:paraId="61B9EEA7"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collect</w:t>
            </w:r>
            <w:proofErr w:type="gramEnd"/>
            <w:r w:rsidRPr="00852BE3">
              <w:rPr>
                <w:rFonts w:asciiTheme="majorHAnsi" w:eastAsiaTheme="majorEastAsia" w:hAnsiTheme="majorHAnsi" w:cstheme="majorHAnsi"/>
                <w:sz w:val="19"/>
                <w:szCs w:val="19"/>
              </w:rPr>
              <w:t xml:space="preserve"> information from buyers on the GTA they want to add the capacity to and the receipt and delivery points they intend to use?</w:t>
            </w:r>
          </w:p>
          <w:p w14:paraId="7F7D3053" w14:textId="4E0067D8" w:rsidR="000434CC" w:rsidRPr="00852BE3" w:rsidRDefault="000434CC" w:rsidP="00CA068D">
            <w:pPr>
              <w:pStyle w:val="ListNumber"/>
              <w:ind w:left="137"/>
              <w:rPr>
                <w:rFonts w:asciiTheme="majorHAnsi" w:hAnsiTheme="majorHAnsi" w:cstheme="majorHAnsi"/>
                <w:sz w:val="19"/>
                <w:szCs w:val="19"/>
                <w:lang w:eastAsia="fr-CA"/>
              </w:rPr>
            </w:pPr>
            <w:r w:rsidRPr="00852BE3">
              <w:rPr>
                <w:rFonts w:asciiTheme="majorHAnsi" w:eastAsiaTheme="majorEastAsia" w:hAnsiTheme="majorHAnsi" w:cstheme="majorHAnsi"/>
                <w:sz w:val="19"/>
                <w:szCs w:val="19"/>
              </w:rPr>
              <w:t xml:space="preserve">Or do you think this information should be provided directly by the counterparties to the service provider? </w:t>
            </w:r>
          </w:p>
        </w:tc>
        <w:tc>
          <w:tcPr>
            <w:tcW w:w="2470" w:type="pct"/>
            <w:tcBorders>
              <w:top w:val="single" w:sz="4" w:space="0" w:color="auto"/>
              <w:left w:val="single" w:sz="4" w:space="0" w:color="auto"/>
              <w:bottom w:val="single" w:sz="4" w:space="0" w:color="auto"/>
              <w:right w:val="single" w:sz="4" w:space="0" w:color="auto"/>
            </w:tcBorders>
          </w:tcPr>
          <w:p w14:paraId="00B3CD8D"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16AA046C"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782BDA20"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2EA893DE" w14:textId="33665732"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you think the information should be provided by counterparties, at what point do you think they should be required to do so (e.g. as soon as practicable after the trade occurs or through the nomination process)?</w:t>
            </w:r>
          </w:p>
        </w:tc>
        <w:tc>
          <w:tcPr>
            <w:tcW w:w="2470" w:type="pct"/>
            <w:tcBorders>
              <w:top w:val="single" w:sz="4" w:space="0" w:color="auto"/>
              <w:left w:val="single" w:sz="4" w:space="0" w:color="auto"/>
              <w:bottom w:val="single" w:sz="4" w:space="0" w:color="auto"/>
              <w:right w:val="single" w:sz="4" w:space="0" w:color="auto"/>
            </w:tcBorders>
          </w:tcPr>
          <w:p w14:paraId="143D81D2"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6359A1CD"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722BC21B" w14:textId="3C7FA376"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8.1.4</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1E05E61D" w14:textId="78179A19" w:rsidR="000434CC" w:rsidRPr="00852BE3" w:rsidRDefault="00CA068D"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D</w:t>
            </w:r>
            <w:r w:rsidR="000434CC" w:rsidRPr="00852BE3">
              <w:rPr>
                <w:rFonts w:asciiTheme="majorHAnsi" w:eastAsiaTheme="minorHAnsi" w:hAnsiTheme="majorHAnsi" w:cstheme="majorHAnsi"/>
                <w:b/>
                <w:sz w:val="19"/>
                <w:szCs w:val="19"/>
                <w:lang w:eastAsia="fr-CA"/>
              </w:rPr>
              <w:t>ata interchange</w:t>
            </w:r>
          </w:p>
        </w:tc>
      </w:tr>
      <w:tr w:rsidR="000434CC" w:rsidRPr="00852BE3" w14:paraId="76C1490F"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27909EF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5F166EED" w14:textId="32768955" w:rsidR="000434CC" w:rsidRPr="00852BE3" w:rsidRDefault="000434CC" w:rsidP="001A5C7F">
            <w:pPr>
              <w:pStyle w:val="ListNumber"/>
              <w:ind w:left="137"/>
              <w:rPr>
                <w:rFonts w:asciiTheme="majorHAnsi" w:hAnsiTheme="majorHAnsi" w:cstheme="majorHAnsi"/>
                <w:sz w:val="19"/>
                <w:szCs w:val="19"/>
                <w:lang w:eastAsia="fr-CA"/>
              </w:rPr>
            </w:pPr>
            <w:r w:rsidRPr="00852BE3">
              <w:rPr>
                <w:rFonts w:asciiTheme="majorHAnsi" w:eastAsiaTheme="majorEastAsia" w:hAnsiTheme="majorHAnsi" w:cstheme="majorHAnsi"/>
                <w:sz w:val="19"/>
                <w:szCs w:val="19"/>
              </w:rPr>
              <w:t>Do you think the BB CSV interface or STTM SIP data link should be used?</w:t>
            </w:r>
            <w:r w:rsidR="001A6397">
              <w:rPr>
                <w:rFonts w:asciiTheme="majorHAnsi" w:eastAsiaTheme="majorEastAsia" w:hAnsiTheme="majorHAnsi" w:cstheme="majorHAnsi"/>
                <w:sz w:val="19"/>
                <w:szCs w:val="19"/>
              </w:rPr>
              <w:t xml:space="preserve"> </w:t>
            </w:r>
            <w:r w:rsidR="001A6397" w:rsidRPr="001A6397">
              <w:rPr>
                <w:rFonts w:asciiTheme="majorHAnsi" w:eastAsiaTheme="majorEastAsia" w:hAnsiTheme="majorHAnsi" w:cstheme="majorHAnsi"/>
                <w:sz w:val="19"/>
                <w:szCs w:val="19"/>
              </w:rPr>
              <w:t>Or do you think another option could be used?</w:t>
            </w:r>
          </w:p>
        </w:tc>
        <w:tc>
          <w:tcPr>
            <w:tcW w:w="2470" w:type="pct"/>
            <w:tcBorders>
              <w:top w:val="single" w:sz="4" w:space="0" w:color="auto"/>
              <w:left w:val="single" w:sz="4" w:space="0" w:color="auto"/>
              <w:bottom w:val="single" w:sz="4" w:space="0" w:color="auto"/>
              <w:right w:val="single" w:sz="4" w:space="0" w:color="auto"/>
            </w:tcBorders>
          </w:tcPr>
          <w:p w14:paraId="7AAA6A69"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41BAB4DC"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73F8E294" w14:textId="0AA0BC68"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8.2</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0A12951" w14:textId="088FAB06" w:rsidR="000434CC" w:rsidRPr="00852BE3" w:rsidRDefault="00CA068D"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T</w:t>
            </w:r>
            <w:r w:rsidR="000434CC" w:rsidRPr="00852BE3">
              <w:rPr>
                <w:rFonts w:asciiTheme="majorHAnsi" w:eastAsiaTheme="minorHAnsi" w:hAnsiTheme="majorHAnsi" w:cstheme="majorHAnsi"/>
                <w:b/>
                <w:sz w:val="19"/>
                <w:szCs w:val="19"/>
                <w:lang w:eastAsia="fr-CA"/>
              </w:rPr>
              <w:t>ransfer of capacity</w:t>
            </w:r>
          </w:p>
        </w:tc>
      </w:tr>
      <w:tr w:rsidR="000434CC" w:rsidRPr="00852BE3" w14:paraId="71C3128E"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1C047A2B"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3FB26266" w14:textId="2E194F50"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agree with the proposal for service providers to provide AEMO with confirmation that the transfer has occurred?</w:t>
            </w:r>
          </w:p>
        </w:tc>
        <w:tc>
          <w:tcPr>
            <w:tcW w:w="2470" w:type="pct"/>
            <w:tcBorders>
              <w:top w:val="single" w:sz="4" w:space="0" w:color="auto"/>
              <w:left w:val="single" w:sz="4" w:space="0" w:color="auto"/>
              <w:bottom w:val="single" w:sz="4" w:space="0" w:color="auto"/>
              <w:right w:val="single" w:sz="4" w:space="0" w:color="auto"/>
            </w:tcBorders>
          </w:tcPr>
          <w:p w14:paraId="3975A837"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02DF06C2" w14:textId="77777777" w:rsidTr="00C51E11">
        <w:tc>
          <w:tcPr>
            <w:tcW w:w="264" w:type="pct"/>
            <w:tcBorders>
              <w:top w:val="single" w:sz="4" w:space="0" w:color="auto"/>
              <w:left w:val="single" w:sz="4" w:space="0" w:color="auto"/>
              <w:bottom w:val="single" w:sz="4" w:space="0" w:color="auto"/>
              <w:right w:val="single" w:sz="4" w:space="0" w:color="auto"/>
            </w:tcBorders>
          </w:tcPr>
          <w:p w14:paraId="1FCA8135"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486F5BD1" w14:textId="72CF8FBF"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 buyer should also be provided a confirmation, or should they only be notified if there is a problem with the transfer?</w:t>
            </w:r>
          </w:p>
        </w:tc>
        <w:tc>
          <w:tcPr>
            <w:tcW w:w="2470" w:type="pct"/>
            <w:tcBorders>
              <w:top w:val="single" w:sz="4" w:space="0" w:color="auto"/>
              <w:left w:val="single" w:sz="4" w:space="0" w:color="auto"/>
              <w:bottom w:val="single" w:sz="4" w:space="0" w:color="auto"/>
              <w:right w:val="single" w:sz="4" w:space="0" w:color="auto"/>
            </w:tcBorders>
          </w:tcPr>
          <w:p w14:paraId="73223884"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74F8576E"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3BF709AB"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17AC38A1" w14:textId="22FEDD16" w:rsidR="00CF299B" w:rsidRPr="00852BE3" w:rsidRDefault="000434CC" w:rsidP="00CF299B">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have a view on the processes that should be put in place to deal with failure to transfer capacity for technical reasons?</w:t>
            </w:r>
          </w:p>
        </w:tc>
        <w:tc>
          <w:tcPr>
            <w:tcW w:w="2470" w:type="pct"/>
            <w:tcBorders>
              <w:top w:val="single" w:sz="4" w:space="0" w:color="auto"/>
              <w:left w:val="single" w:sz="4" w:space="0" w:color="auto"/>
              <w:bottom w:val="single" w:sz="4" w:space="0" w:color="auto"/>
              <w:right w:val="single" w:sz="4" w:space="0" w:color="auto"/>
            </w:tcBorders>
          </w:tcPr>
          <w:p w14:paraId="468D2EAC" w14:textId="77777777" w:rsidR="000434CC"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p w14:paraId="717387D3" w14:textId="77777777" w:rsidR="00CF299B" w:rsidRDefault="00CF299B"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p w14:paraId="45053CBF" w14:textId="77777777" w:rsidR="00CF299B" w:rsidRPr="00852BE3" w:rsidRDefault="00CF299B"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04A9C9FE"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5D99DF92" w14:textId="6C40B874"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lastRenderedPageBreak/>
              <w:t>8.3.1</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32B92AC0" w14:textId="52F3C105" w:rsidR="000434CC" w:rsidRPr="00852BE3" w:rsidRDefault="000434CC"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STTM participation and integration</w:t>
            </w:r>
          </w:p>
        </w:tc>
      </w:tr>
      <w:tr w:rsidR="000434CC" w:rsidRPr="00852BE3" w14:paraId="7A9844FF"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17C1281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31383C4D" w14:textId="1F828432"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have any concerns about the proposal that shippers w</w:t>
            </w:r>
            <w:r w:rsidR="001A6397">
              <w:rPr>
                <w:rFonts w:asciiTheme="majorHAnsi" w:eastAsiaTheme="majorEastAsia" w:hAnsiTheme="majorHAnsi" w:cstheme="majorHAnsi"/>
                <w:sz w:val="19"/>
                <w:szCs w:val="19"/>
              </w:rPr>
              <w:t>anting to participate in the ex-</w:t>
            </w:r>
            <w:r w:rsidRPr="00852BE3">
              <w:rPr>
                <w:rFonts w:asciiTheme="majorHAnsi" w:eastAsiaTheme="majorEastAsia" w:hAnsiTheme="majorHAnsi" w:cstheme="majorHAnsi"/>
                <w:sz w:val="19"/>
                <w:szCs w:val="19"/>
              </w:rPr>
              <w:t xml:space="preserve">ante STTM schedule would need to purchase the capacity on D-2? If so, please explain how you think this could be addressed. </w:t>
            </w:r>
          </w:p>
        </w:tc>
        <w:tc>
          <w:tcPr>
            <w:tcW w:w="2470" w:type="pct"/>
            <w:tcBorders>
              <w:top w:val="single" w:sz="4" w:space="0" w:color="auto"/>
              <w:left w:val="single" w:sz="4" w:space="0" w:color="auto"/>
              <w:bottom w:val="single" w:sz="4" w:space="0" w:color="auto"/>
              <w:right w:val="single" w:sz="4" w:space="0" w:color="auto"/>
            </w:tcBorders>
          </w:tcPr>
          <w:p w14:paraId="556E113D"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0CB89E74" w14:textId="77777777" w:rsidTr="00C51E11">
        <w:tc>
          <w:tcPr>
            <w:tcW w:w="264" w:type="pct"/>
            <w:tcBorders>
              <w:top w:val="single" w:sz="4" w:space="0" w:color="auto"/>
              <w:left w:val="single" w:sz="4" w:space="0" w:color="auto"/>
              <w:bottom w:val="single" w:sz="4" w:space="0" w:color="auto"/>
              <w:right w:val="single" w:sz="4" w:space="0" w:color="auto"/>
            </w:tcBorders>
          </w:tcPr>
          <w:p w14:paraId="4E8488F5"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2889E537" w14:textId="682AD6EF"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there is value in trying to integrate the capacity trading platform and the STTM? If so, do you think the manual and partially anonymous, the automatic and fully anonymous or the hybrid option should be implemented? Or are there other options you think should be considered?</w:t>
            </w:r>
          </w:p>
        </w:tc>
        <w:tc>
          <w:tcPr>
            <w:tcW w:w="2470" w:type="pct"/>
            <w:tcBorders>
              <w:top w:val="single" w:sz="4" w:space="0" w:color="auto"/>
              <w:left w:val="single" w:sz="4" w:space="0" w:color="auto"/>
              <w:bottom w:val="single" w:sz="4" w:space="0" w:color="auto"/>
              <w:right w:val="single" w:sz="4" w:space="0" w:color="auto"/>
            </w:tcBorders>
          </w:tcPr>
          <w:p w14:paraId="4D2B2F0B"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7CC7DBDF" w14:textId="77777777" w:rsidTr="00D12406">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4E72833A" w14:textId="3DC9517D"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8.3.2</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0B6B845" w14:textId="016FEC4F" w:rsidR="000434CC" w:rsidRPr="00852BE3" w:rsidRDefault="000434CC"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DWGM integration</w:t>
            </w:r>
          </w:p>
        </w:tc>
      </w:tr>
      <w:tr w:rsidR="000434CC" w:rsidRPr="00852BE3" w14:paraId="78D246CC" w14:textId="77777777" w:rsidTr="00C51E11">
        <w:tc>
          <w:tcPr>
            <w:tcW w:w="264" w:type="pct"/>
            <w:tcBorders>
              <w:top w:val="single" w:sz="4" w:space="0" w:color="auto"/>
              <w:left w:val="single" w:sz="4" w:space="0" w:color="auto"/>
              <w:bottom w:val="single" w:sz="4" w:space="0" w:color="auto"/>
              <w:right w:val="single" w:sz="4" w:space="0" w:color="auto"/>
            </w:tcBorders>
          </w:tcPr>
          <w:p w14:paraId="0394BF87"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34BA098E" w14:textId="1A211E51"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How do market participants currently manage MHQ constraints in the DWGM and how significant an issue do you think it is?</w:t>
            </w:r>
          </w:p>
        </w:tc>
        <w:tc>
          <w:tcPr>
            <w:tcW w:w="2470" w:type="pct"/>
            <w:tcBorders>
              <w:top w:val="single" w:sz="4" w:space="0" w:color="auto"/>
              <w:left w:val="single" w:sz="4" w:space="0" w:color="auto"/>
              <w:bottom w:val="single" w:sz="4" w:space="0" w:color="auto"/>
              <w:right w:val="single" w:sz="4" w:space="0" w:color="auto"/>
            </w:tcBorders>
          </w:tcPr>
          <w:p w14:paraId="600D49BA"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23E3A3BA"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7C0CE36A"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359D94B0" w14:textId="7C84570F"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any of the options that have been identified to deal with accreditation constraints should be implemented? If so, please state which option you think should be implemented and why. </w:t>
            </w:r>
          </w:p>
        </w:tc>
        <w:tc>
          <w:tcPr>
            <w:tcW w:w="2470" w:type="pct"/>
            <w:tcBorders>
              <w:top w:val="single" w:sz="4" w:space="0" w:color="auto"/>
              <w:left w:val="single" w:sz="4" w:space="0" w:color="auto"/>
              <w:bottom w:val="single" w:sz="4" w:space="0" w:color="auto"/>
              <w:right w:val="single" w:sz="4" w:space="0" w:color="auto"/>
            </w:tcBorders>
          </w:tcPr>
          <w:p w14:paraId="795DF096"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422FB2AA" w14:textId="77777777" w:rsidTr="00C51E11">
        <w:tc>
          <w:tcPr>
            <w:tcW w:w="264" w:type="pct"/>
            <w:tcBorders>
              <w:top w:val="single" w:sz="4" w:space="0" w:color="auto"/>
              <w:left w:val="single" w:sz="4" w:space="0" w:color="auto"/>
              <w:bottom w:val="single" w:sz="4" w:space="0" w:color="auto"/>
              <w:right w:val="single" w:sz="4" w:space="0" w:color="auto"/>
            </w:tcBorders>
          </w:tcPr>
          <w:p w14:paraId="0520EA48"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457D281B" w14:textId="157D5B36"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To minimise implementation costs for industry, could standing or blank accreditation constraints be used?</w:t>
            </w:r>
          </w:p>
        </w:tc>
        <w:tc>
          <w:tcPr>
            <w:tcW w:w="2470" w:type="pct"/>
            <w:tcBorders>
              <w:top w:val="single" w:sz="4" w:space="0" w:color="auto"/>
              <w:left w:val="single" w:sz="4" w:space="0" w:color="auto"/>
              <w:bottom w:val="single" w:sz="4" w:space="0" w:color="auto"/>
              <w:right w:val="single" w:sz="4" w:space="0" w:color="auto"/>
            </w:tcBorders>
          </w:tcPr>
          <w:p w14:paraId="6D787BBB"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4740465B" w14:textId="77777777" w:rsidTr="00D12406">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58F4DA1A" w14:textId="1A59EEA1"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8.4</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1A4AEBAF" w14:textId="659B8569" w:rsidR="000434CC" w:rsidRPr="00852BE3" w:rsidRDefault="00CA068D" w:rsidP="00CA068D">
            <w:pPr>
              <w:pStyle w:val="TableBullet1"/>
              <w:numPr>
                <w:ilvl w:val="0"/>
                <w:numId w:val="0"/>
              </w:numPr>
              <w:tabs>
                <w:tab w:val="left" w:pos="720"/>
              </w:tabs>
              <w:spacing w:before="20" w:after="20"/>
              <w:ind w:left="312" w:hanging="227"/>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T</w:t>
            </w:r>
            <w:r w:rsidR="000434CC" w:rsidRPr="00852BE3">
              <w:rPr>
                <w:rFonts w:asciiTheme="majorHAnsi" w:eastAsiaTheme="minorHAnsi" w:hAnsiTheme="majorHAnsi" w:cstheme="majorHAnsi"/>
                <w:b/>
                <w:sz w:val="19"/>
                <w:szCs w:val="19"/>
                <w:lang w:eastAsia="fr-CA"/>
              </w:rPr>
              <w:t>iming of activities on D-1</w:t>
            </w:r>
          </w:p>
        </w:tc>
      </w:tr>
      <w:tr w:rsidR="000434CC" w:rsidRPr="00852BE3" w14:paraId="7D73A4BD" w14:textId="77777777" w:rsidTr="00C51E11">
        <w:tc>
          <w:tcPr>
            <w:tcW w:w="264" w:type="pct"/>
            <w:tcBorders>
              <w:top w:val="single" w:sz="4" w:space="0" w:color="auto"/>
              <w:left w:val="single" w:sz="4" w:space="0" w:color="auto"/>
              <w:bottom w:val="single" w:sz="4" w:space="0" w:color="auto"/>
              <w:right w:val="single" w:sz="4" w:space="0" w:color="auto"/>
            </w:tcBorders>
          </w:tcPr>
          <w:p w14:paraId="2E9BBBFF"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6977976A" w14:textId="445FE9DE"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agree with the proposed timing offsets for D-1 activities? If not, how long do you think should be allowed for each activity?</w:t>
            </w:r>
          </w:p>
        </w:tc>
        <w:tc>
          <w:tcPr>
            <w:tcW w:w="2470" w:type="pct"/>
            <w:tcBorders>
              <w:top w:val="single" w:sz="4" w:space="0" w:color="auto"/>
              <w:left w:val="single" w:sz="4" w:space="0" w:color="auto"/>
              <w:bottom w:val="single" w:sz="4" w:space="0" w:color="auto"/>
              <w:right w:val="single" w:sz="4" w:space="0" w:color="auto"/>
            </w:tcBorders>
          </w:tcPr>
          <w:p w14:paraId="2BF8A8E2"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0942D9E3"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2535F5F4"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489A5BAB" w14:textId="2787F104"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a uniform close of trading time should be adopted or different close of trading times? </w:t>
            </w:r>
          </w:p>
        </w:tc>
        <w:tc>
          <w:tcPr>
            <w:tcW w:w="2470" w:type="pct"/>
            <w:tcBorders>
              <w:top w:val="single" w:sz="4" w:space="0" w:color="auto"/>
              <w:left w:val="single" w:sz="4" w:space="0" w:color="auto"/>
              <w:bottom w:val="single" w:sz="4" w:space="0" w:color="auto"/>
              <w:right w:val="single" w:sz="4" w:space="0" w:color="auto"/>
            </w:tcBorders>
          </w:tcPr>
          <w:p w14:paraId="64BB874F"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1A6397" w:rsidRPr="00852BE3" w14:paraId="2ED71A5A" w14:textId="77777777" w:rsidTr="00C51E11">
        <w:tc>
          <w:tcPr>
            <w:tcW w:w="264" w:type="pct"/>
            <w:tcBorders>
              <w:top w:val="single" w:sz="4" w:space="0" w:color="auto"/>
              <w:left w:val="single" w:sz="4" w:space="0" w:color="auto"/>
              <w:bottom w:val="single" w:sz="4" w:space="0" w:color="auto"/>
              <w:right w:val="single" w:sz="4" w:space="0" w:color="auto"/>
            </w:tcBorders>
          </w:tcPr>
          <w:p w14:paraId="566EC0E4" w14:textId="77777777" w:rsidR="001A6397" w:rsidRPr="00852BE3" w:rsidRDefault="001A6397"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71EAC75D" w14:textId="6C2D4197" w:rsidR="001A6397" w:rsidRPr="00852BE3" w:rsidRDefault="001A6397" w:rsidP="002279B3">
            <w:pPr>
              <w:pStyle w:val="ListNumber"/>
              <w:ind w:left="137"/>
              <w:rPr>
                <w:rFonts w:asciiTheme="majorHAnsi" w:eastAsiaTheme="majorEastAsia" w:hAnsiTheme="majorHAnsi" w:cstheme="majorHAnsi"/>
                <w:sz w:val="19"/>
                <w:szCs w:val="19"/>
              </w:rPr>
            </w:pPr>
            <w:r w:rsidRPr="001A6397">
              <w:rPr>
                <w:rFonts w:asciiTheme="majorHAnsi" w:eastAsiaTheme="majorEastAsia" w:hAnsiTheme="majorHAnsi" w:cstheme="majorHAnsi"/>
                <w:sz w:val="19"/>
                <w:szCs w:val="19"/>
              </w:rPr>
              <w:t>If a uniform close of trading time is</w:t>
            </w:r>
            <w:r w:rsidR="00CF299B">
              <w:rPr>
                <w:rFonts w:asciiTheme="majorHAnsi" w:eastAsiaTheme="majorEastAsia" w:hAnsiTheme="majorHAnsi" w:cstheme="majorHAnsi"/>
                <w:sz w:val="19"/>
                <w:szCs w:val="19"/>
              </w:rPr>
              <w:t xml:space="preserve"> to be adopted, do you think 11</w:t>
            </w:r>
            <w:r w:rsidRPr="001A6397">
              <w:rPr>
                <w:rFonts w:asciiTheme="majorHAnsi" w:eastAsiaTheme="majorEastAsia" w:hAnsiTheme="majorHAnsi" w:cstheme="majorHAnsi"/>
                <w:sz w:val="19"/>
                <w:szCs w:val="19"/>
              </w:rPr>
              <w:t xml:space="preserve">am is appropriate or do you think another time would be more appropriate (e.g. post the NEM pre-dispatch, which currently occurs shortly after 12.30pm)? </w:t>
            </w:r>
            <w:r w:rsidRPr="001A6397">
              <w:rPr>
                <w:rFonts w:asciiTheme="majorHAnsi" w:eastAsiaTheme="majorEastAsia" w:hAnsiTheme="majorHAnsi" w:cstheme="majorHAnsi"/>
                <w:sz w:val="19"/>
                <w:szCs w:val="19"/>
              </w:rPr>
              <w:lastRenderedPageBreak/>
              <w:t>If you think a later time would be more appropriate, how do you foresee all the activities being carried out prior to nomination cut-off time?</w:t>
            </w:r>
          </w:p>
        </w:tc>
        <w:tc>
          <w:tcPr>
            <w:tcW w:w="2470" w:type="pct"/>
            <w:tcBorders>
              <w:top w:val="single" w:sz="4" w:space="0" w:color="auto"/>
              <w:left w:val="single" w:sz="4" w:space="0" w:color="auto"/>
              <w:bottom w:val="single" w:sz="4" w:space="0" w:color="auto"/>
              <w:right w:val="single" w:sz="4" w:space="0" w:color="auto"/>
            </w:tcBorders>
          </w:tcPr>
          <w:p w14:paraId="56EF2123" w14:textId="77777777" w:rsidR="001A6397" w:rsidRPr="00852BE3" w:rsidRDefault="001A6397"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01416C65" w14:textId="77777777" w:rsidTr="00D12406">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287211DA" w14:textId="62193849"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9.1</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7D7EA3A" w14:textId="03D6CA3D" w:rsidR="000434CC" w:rsidRPr="00852BE3" w:rsidRDefault="00CA068D"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S</w:t>
            </w:r>
            <w:r w:rsidR="000434CC" w:rsidRPr="00852BE3">
              <w:rPr>
                <w:rFonts w:asciiTheme="majorHAnsi" w:eastAsiaTheme="minorHAnsi" w:hAnsiTheme="majorHAnsi" w:cstheme="majorHAnsi"/>
                <w:b/>
                <w:sz w:val="19"/>
                <w:szCs w:val="19"/>
                <w:lang w:eastAsia="fr-CA"/>
              </w:rPr>
              <w:t>ettlement process</w:t>
            </w:r>
          </w:p>
        </w:tc>
      </w:tr>
      <w:tr w:rsidR="000434CC" w:rsidRPr="00852BE3" w14:paraId="5CC07601" w14:textId="77777777" w:rsidTr="00C51E11">
        <w:tc>
          <w:tcPr>
            <w:tcW w:w="264" w:type="pct"/>
            <w:tcBorders>
              <w:top w:val="single" w:sz="4" w:space="0" w:color="auto"/>
              <w:left w:val="single" w:sz="4" w:space="0" w:color="auto"/>
              <w:bottom w:val="single" w:sz="4" w:space="0" w:color="auto"/>
              <w:right w:val="single" w:sz="4" w:space="0" w:color="auto"/>
            </w:tcBorders>
          </w:tcPr>
          <w:p w14:paraId="5FB4A00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370B4CD4" w14:textId="3B239915"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agree with AEMO’s proposal to combine the settlement amounts for capacity products and gas products? If not, please explain why.</w:t>
            </w:r>
          </w:p>
        </w:tc>
        <w:tc>
          <w:tcPr>
            <w:tcW w:w="2470" w:type="pct"/>
            <w:tcBorders>
              <w:top w:val="single" w:sz="4" w:space="0" w:color="auto"/>
              <w:left w:val="single" w:sz="4" w:space="0" w:color="auto"/>
              <w:bottom w:val="single" w:sz="4" w:space="0" w:color="auto"/>
              <w:right w:val="single" w:sz="4" w:space="0" w:color="auto"/>
            </w:tcBorders>
          </w:tcPr>
          <w:p w14:paraId="478F3A68"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7D248BF2"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401D6A4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3FC5E8AD" w14:textId="2F6B3D5A"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 xml:space="preserve">Do you think any changes need to be made to the settlement process to accommodate capacity products? </w:t>
            </w:r>
          </w:p>
        </w:tc>
        <w:tc>
          <w:tcPr>
            <w:tcW w:w="2470" w:type="pct"/>
            <w:tcBorders>
              <w:top w:val="single" w:sz="4" w:space="0" w:color="auto"/>
              <w:left w:val="single" w:sz="4" w:space="0" w:color="auto"/>
              <w:bottom w:val="single" w:sz="4" w:space="0" w:color="auto"/>
              <w:right w:val="single" w:sz="4" w:space="0" w:color="auto"/>
            </w:tcBorders>
          </w:tcPr>
          <w:p w14:paraId="267BF9A2"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72CBB044"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723F5B7D" w14:textId="33B0AD00" w:rsidR="000434CC" w:rsidRPr="00852BE3" w:rsidRDefault="00CA068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9.2.2</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45E81072" w14:textId="5FAE1035" w:rsidR="000434CC" w:rsidRPr="00852BE3" w:rsidRDefault="00CA068D"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P</w:t>
            </w:r>
            <w:r w:rsidR="000434CC" w:rsidRPr="00852BE3">
              <w:rPr>
                <w:rFonts w:asciiTheme="majorHAnsi" w:eastAsiaTheme="minorHAnsi" w:hAnsiTheme="majorHAnsi" w:cstheme="majorHAnsi"/>
                <w:b/>
                <w:sz w:val="19"/>
                <w:szCs w:val="19"/>
                <w:lang w:eastAsia="fr-CA"/>
              </w:rPr>
              <w:t>rudential exposure</w:t>
            </w:r>
          </w:p>
        </w:tc>
      </w:tr>
      <w:tr w:rsidR="000434CC" w:rsidRPr="00852BE3" w14:paraId="1C58F227"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09EA9FC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4CB6C332" w14:textId="03A5C7B2" w:rsidR="000434CC" w:rsidRPr="00852BE3" w:rsidRDefault="000434CC" w:rsidP="001A5C7F">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agree with AEMO’s proposal to aggregate the prudential requirements across gas and capacity products on the GSH? If not, please explain why.</w:t>
            </w:r>
          </w:p>
        </w:tc>
        <w:tc>
          <w:tcPr>
            <w:tcW w:w="2470" w:type="pct"/>
            <w:tcBorders>
              <w:top w:val="single" w:sz="4" w:space="0" w:color="auto"/>
              <w:left w:val="single" w:sz="4" w:space="0" w:color="auto"/>
              <w:bottom w:val="single" w:sz="4" w:space="0" w:color="auto"/>
              <w:right w:val="single" w:sz="4" w:space="0" w:color="auto"/>
            </w:tcBorders>
          </w:tcPr>
          <w:p w14:paraId="1A6B2AE2"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3B339CC0" w14:textId="77777777" w:rsidTr="00C51E11">
        <w:tc>
          <w:tcPr>
            <w:tcW w:w="264" w:type="pct"/>
            <w:tcBorders>
              <w:top w:val="single" w:sz="4" w:space="0" w:color="auto"/>
              <w:left w:val="single" w:sz="4" w:space="0" w:color="auto"/>
              <w:bottom w:val="single" w:sz="4" w:space="0" w:color="auto"/>
              <w:right w:val="single" w:sz="4" w:space="0" w:color="auto"/>
            </w:tcBorders>
          </w:tcPr>
          <w:p w14:paraId="497BA0C2"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7AEE619B" w14:textId="7DDDC40F" w:rsidR="000434CC" w:rsidRPr="00852BE3" w:rsidRDefault="000434CC" w:rsidP="002279B3">
            <w:pPr>
              <w:pStyle w:val="ListNumber"/>
              <w:ind w:left="137"/>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Do you think the same collateral requirements that currently apply to gas products should also apply to capacity products on the GSH? Or do you think a lower level of collateral is required in the forward period? If so, what level do you think this should be set at or do you think further quantitative work should be carried out to determine the level of collateral?</w:t>
            </w:r>
            <w:r w:rsidR="002279B3" w:rsidRPr="00852BE3">
              <w:rPr>
                <w:rFonts w:asciiTheme="majorHAnsi" w:eastAsiaTheme="majorEastAsia" w:hAnsiTheme="majorHAnsi" w:cstheme="majorHAnsi"/>
                <w:sz w:val="19"/>
                <w:szCs w:val="19"/>
              </w:rPr>
              <w:t xml:space="preserve"> </w:t>
            </w:r>
          </w:p>
        </w:tc>
        <w:tc>
          <w:tcPr>
            <w:tcW w:w="2470" w:type="pct"/>
            <w:tcBorders>
              <w:top w:val="single" w:sz="4" w:space="0" w:color="auto"/>
              <w:left w:val="single" w:sz="4" w:space="0" w:color="auto"/>
              <w:bottom w:val="single" w:sz="4" w:space="0" w:color="auto"/>
              <w:right w:val="single" w:sz="4" w:space="0" w:color="auto"/>
            </w:tcBorders>
          </w:tcPr>
          <w:p w14:paraId="262381B4"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281DB27E"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542CE748"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63CCE403" w14:textId="48DD01C7" w:rsidR="000434CC" w:rsidRPr="00852BE3" w:rsidRDefault="002279B3" w:rsidP="001A5C7F">
            <w:pPr>
              <w:pStyle w:val="ListNumber"/>
              <w:ind w:left="137"/>
              <w:rPr>
                <w:rFonts w:asciiTheme="majorHAnsi" w:eastAsiaTheme="majorEastAsia" w:hAnsiTheme="majorHAnsi" w:cstheme="majorHAnsi"/>
                <w:sz w:val="19"/>
                <w:szCs w:val="19"/>
              </w:rPr>
            </w:pPr>
            <w:r w:rsidRPr="002279B3">
              <w:rPr>
                <w:rFonts w:asciiTheme="majorHAnsi" w:eastAsiaTheme="majorEastAsia" w:hAnsiTheme="majorHAnsi" w:cstheme="majorHAnsi"/>
                <w:sz w:val="19"/>
                <w:szCs w:val="19"/>
              </w:rPr>
              <w:t>If the collateral requirement was to be reduced in the future period, would you be comfortable receiving a lower level of compensation if a default event occurs? Or alternatively, do you think the compensation level could be maintained at 25% but the collateral reduced?</w:t>
            </w:r>
          </w:p>
        </w:tc>
        <w:tc>
          <w:tcPr>
            <w:tcW w:w="2470" w:type="pct"/>
            <w:tcBorders>
              <w:top w:val="single" w:sz="4" w:space="0" w:color="auto"/>
              <w:left w:val="single" w:sz="4" w:space="0" w:color="auto"/>
              <w:bottom w:val="single" w:sz="4" w:space="0" w:color="auto"/>
              <w:right w:val="single" w:sz="4" w:space="0" w:color="auto"/>
            </w:tcBorders>
          </w:tcPr>
          <w:p w14:paraId="4654390E"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713AAD68"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0F6254CC" w14:textId="373F5424" w:rsidR="000434CC" w:rsidRPr="00852BE3" w:rsidRDefault="00E953A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10.1</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3005FFFF" w14:textId="5E1277EC" w:rsidR="000434CC" w:rsidRPr="00852BE3" w:rsidRDefault="00CA068D" w:rsidP="00CA068D">
            <w:pPr>
              <w:pStyle w:val="TableBullet1"/>
              <w:numPr>
                <w:ilvl w:val="0"/>
                <w:numId w:val="0"/>
              </w:numPr>
              <w:tabs>
                <w:tab w:val="left" w:pos="720"/>
              </w:tabs>
              <w:spacing w:before="20" w:after="20"/>
              <w:ind w:left="312" w:hanging="227"/>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D</w:t>
            </w:r>
            <w:r w:rsidR="000434CC" w:rsidRPr="00852BE3">
              <w:rPr>
                <w:rFonts w:asciiTheme="majorHAnsi" w:eastAsiaTheme="minorHAnsi" w:hAnsiTheme="majorHAnsi" w:cstheme="majorHAnsi"/>
                <w:b/>
                <w:sz w:val="19"/>
                <w:szCs w:val="19"/>
                <w:lang w:eastAsia="fr-CA"/>
              </w:rPr>
              <w:t>elivery default, pre-trade verification and short selling</w:t>
            </w:r>
          </w:p>
        </w:tc>
      </w:tr>
      <w:tr w:rsidR="000434CC" w:rsidRPr="00852BE3" w14:paraId="53C04C6A"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4139CFAB"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0712E18C" w14:textId="4A5BDCFE" w:rsidR="000434CC" w:rsidRPr="00852BE3" w:rsidRDefault="000434CC" w:rsidP="001A5C7F">
            <w:pPr>
              <w:pStyle w:val="ListNumber"/>
              <w:ind w:left="137"/>
              <w:rPr>
                <w:rFonts w:asciiTheme="majorHAnsi" w:hAnsiTheme="majorHAnsi" w:cstheme="majorHAnsi"/>
                <w:sz w:val="19"/>
                <w:szCs w:val="19"/>
              </w:rPr>
            </w:pPr>
            <w:r w:rsidRPr="00852BE3">
              <w:rPr>
                <w:rFonts w:asciiTheme="majorHAnsi" w:hAnsiTheme="majorHAnsi" w:cstheme="majorHAnsi"/>
                <w:sz w:val="19"/>
                <w:szCs w:val="19"/>
              </w:rPr>
              <w:t>Are there any other circumstances in which you think delivery default could occur?</w:t>
            </w:r>
          </w:p>
        </w:tc>
        <w:tc>
          <w:tcPr>
            <w:tcW w:w="2470" w:type="pct"/>
            <w:tcBorders>
              <w:top w:val="single" w:sz="4" w:space="0" w:color="auto"/>
              <w:left w:val="single" w:sz="4" w:space="0" w:color="auto"/>
              <w:bottom w:val="single" w:sz="4" w:space="0" w:color="auto"/>
              <w:right w:val="single" w:sz="4" w:space="0" w:color="auto"/>
            </w:tcBorders>
          </w:tcPr>
          <w:p w14:paraId="7A636FAD"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7A7726F5" w14:textId="77777777" w:rsidTr="00C51E11">
        <w:tc>
          <w:tcPr>
            <w:tcW w:w="264" w:type="pct"/>
            <w:tcBorders>
              <w:top w:val="single" w:sz="4" w:space="0" w:color="auto"/>
              <w:left w:val="single" w:sz="4" w:space="0" w:color="auto"/>
              <w:bottom w:val="single" w:sz="4" w:space="0" w:color="auto"/>
              <w:right w:val="single" w:sz="4" w:space="0" w:color="auto"/>
            </w:tcBorders>
          </w:tcPr>
          <w:p w14:paraId="044C800D"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2DF87403" w14:textId="24EF67C6" w:rsidR="000434CC" w:rsidRPr="00852BE3" w:rsidRDefault="000434CC" w:rsidP="00CF299B">
            <w:pPr>
              <w:pStyle w:val="ListNumber"/>
              <w:ind w:left="137"/>
              <w:rPr>
                <w:rFonts w:asciiTheme="majorHAnsi" w:eastAsiaTheme="majorEastAsia" w:hAnsiTheme="majorHAnsi" w:cstheme="majorHAnsi"/>
                <w:sz w:val="19"/>
                <w:szCs w:val="19"/>
              </w:rPr>
            </w:pPr>
            <w:r w:rsidRPr="00852BE3">
              <w:rPr>
                <w:rFonts w:asciiTheme="majorHAnsi" w:hAnsiTheme="majorHAnsi" w:cstheme="majorHAnsi"/>
                <w:sz w:val="19"/>
                <w:szCs w:val="19"/>
              </w:rPr>
              <w:t xml:space="preserve">Do you think there is value in developing a registry that could be used by AEMO to verify whether sellers have capacity to sell before they enter into </w:t>
            </w:r>
            <w:r w:rsidRPr="00852BE3">
              <w:rPr>
                <w:rFonts w:asciiTheme="majorHAnsi" w:hAnsiTheme="majorHAnsi" w:cstheme="majorHAnsi"/>
                <w:sz w:val="19"/>
                <w:szCs w:val="19"/>
              </w:rPr>
              <w:lastRenderedPageBreak/>
              <w:t xml:space="preserve">a trade, or do you think the costs of doing so are likely to outweigh the benefits? </w:t>
            </w:r>
          </w:p>
        </w:tc>
        <w:tc>
          <w:tcPr>
            <w:tcW w:w="2470" w:type="pct"/>
            <w:tcBorders>
              <w:top w:val="single" w:sz="4" w:space="0" w:color="auto"/>
              <w:left w:val="single" w:sz="4" w:space="0" w:color="auto"/>
              <w:bottom w:val="single" w:sz="4" w:space="0" w:color="auto"/>
              <w:right w:val="single" w:sz="4" w:space="0" w:color="auto"/>
            </w:tcBorders>
          </w:tcPr>
          <w:p w14:paraId="2F8773ED"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204413E5"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0888F3CC"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704E453B" w14:textId="4B7FFFE6" w:rsidR="000434CC" w:rsidRPr="00852BE3" w:rsidRDefault="000434CC" w:rsidP="001A5C7F">
            <w:pPr>
              <w:pStyle w:val="ListNumber"/>
              <w:ind w:left="137"/>
              <w:rPr>
                <w:rFonts w:asciiTheme="majorHAnsi" w:hAnsiTheme="majorHAnsi" w:cstheme="majorHAnsi"/>
                <w:sz w:val="19"/>
                <w:szCs w:val="19"/>
              </w:rPr>
            </w:pPr>
            <w:r w:rsidRPr="00852BE3">
              <w:rPr>
                <w:rFonts w:asciiTheme="majorHAnsi" w:hAnsiTheme="majorHAnsi" w:cstheme="majorHAnsi"/>
                <w:sz w:val="19"/>
                <w:szCs w:val="19"/>
              </w:rPr>
              <w:t>Do you think the market conduct rules will deter Trading Participants from engaging in short-selling?</w:t>
            </w:r>
          </w:p>
        </w:tc>
        <w:tc>
          <w:tcPr>
            <w:tcW w:w="2470" w:type="pct"/>
            <w:tcBorders>
              <w:top w:val="single" w:sz="4" w:space="0" w:color="auto"/>
              <w:left w:val="single" w:sz="4" w:space="0" w:color="auto"/>
              <w:bottom w:val="single" w:sz="4" w:space="0" w:color="auto"/>
              <w:right w:val="single" w:sz="4" w:space="0" w:color="auto"/>
            </w:tcBorders>
          </w:tcPr>
          <w:p w14:paraId="05C2E126" w14:textId="77777777" w:rsidR="00CE60EE" w:rsidRPr="00852BE3" w:rsidRDefault="00CE60EE"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7C9D80D0"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3491BD34" w14:textId="2BE7DF64" w:rsidR="000434CC" w:rsidRPr="00852BE3" w:rsidRDefault="00E953A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10.2</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731B6278" w14:textId="4EC6639A" w:rsidR="000434CC" w:rsidRPr="00852BE3" w:rsidRDefault="00E953A1" w:rsidP="00E953A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D</w:t>
            </w:r>
            <w:r w:rsidR="000434CC" w:rsidRPr="00852BE3">
              <w:rPr>
                <w:rFonts w:asciiTheme="majorHAnsi" w:eastAsiaTheme="minorHAnsi" w:hAnsiTheme="majorHAnsi" w:cstheme="majorHAnsi"/>
                <w:b/>
                <w:sz w:val="19"/>
                <w:szCs w:val="19"/>
                <w:lang w:eastAsia="fr-CA"/>
              </w:rPr>
              <w:t>efault under primary GTA</w:t>
            </w:r>
          </w:p>
        </w:tc>
      </w:tr>
      <w:tr w:rsidR="000434CC" w:rsidRPr="00852BE3" w14:paraId="33801AB2"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6397F4DF"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41175E35" w14:textId="77777777" w:rsidR="00CE60EE" w:rsidRPr="00CE60EE" w:rsidRDefault="00CE60EE" w:rsidP="00CE60EE">
            <w:pPr>
              <w:pStyle w:val="ListNumber"/>
              <w:ind w:left="137"/>
              <w:rPr>
                <w:rFonts w:asciiTheme="majorHAnsi" w:hAnsiTheme="majorHAnsi" w:cstheme="majorHAnsi"/>
                <w:sz w:val="19"/>
                <w:szCs w:val="19"/>
              </w:rPr>
            </w:pPr>
            <w:r w:rsidRPr="00CE60EE">
              <w:rPr>
                <w:rFonts w:asciiTheme="majorHAnsi" w:hAnsiTheme="majorHAnsi" w:cstheme="majorHAnsi"/>
                <w:sz w:val="19"/>
                <w:szCs w:val="19"/>
              </w:rPr>
              <w:t>Do you think arrangements should be put in place (other than cancellation) to mitigate the risk of termination of the primary GTA, such as options 2 and 3? If you think other options should be used:</w:t>
            </w:r>
          </w:p>
          <w:p w14:paraId="3885DE83" w14:textId="77777777" w:rsidR="00CE60EE" w:rsidRPr="00CE60EE" w:rsidRDefault="00CE60EE" w:rsidP="00CE60EE">
            <w:pPr>
              <w:pStyle w:val="ListParagraph"/>
              <w:numPr>
                <w:ilvl w:val="0"/>
                <w:numId w:val="17"/>
              </w:numPr>
              <w:spacing w:before="120" w:after="120"/>
              <w:ind w:left="562"/>
              <w:rPr>
                <w:rFonts w:asciiTheme="majorHAnsi" w:eastAsiaTheme="majorEastAsia" w:hAnsiTheme="majorHAnsi" w:cstheme="majorHAnsi"/>
                <w:sz w:val="19"/>
                <w:szCs w:val="19"/>
              </w:rPr>
            </w:pPr>
            <w:r w:rsidRPr="00CE60EE">
              <w:rPr>
                <w:rFonts w:asciiTheme="majorHAnsi" w:eastAsiaTheme="majorEastAsia" w:hAnsiTheme="majorHAnsi" w:cstheme="majorHAnsi"/>
                <w:sz w:val="19"/>
                <w:szCs w:val="19"/>
              </w:rPr>
              <w:t>Why do you think capacity should be treated differently to gas products?</w:t>
            </w:r>
          </w:p>
          <w:p w14:paraId="02B61778" w14:textId="77777777" w:rsidR="00CE60EE" w:rsidRPr="00CE60EE" w:rsidRDefault="00CE60EE" w:rsidP="00CE60EE">
            <w:pPr>
              <w:pStyle w:val="ListParagraph"/>
              <w:numPr>
                <w:ilvl w:val="0"/>
                <w:numId w:val="17"/>
              </w:numPr>
              <w:spacing w:before="120" w:after="120"/>
              <w:ind w:left="562"/>
              <w:rPr>
                <w:rFonts w:asciiTheme="majorHAnsi" w:eastAsiaTheme="majorEastAsia" w:hAnsiTheme="majorHAnsi" w:cstheme="majorHAnsi"/>
                <w:sz w:val="19"/>
                <w:szCs w:val="19"/>
              </w:rPr>
            </w:pPr>
            <w:r w:rsidRPr="00CE60EE">
              <w:rPr>
                <w:rFonts w:asciiTheme="majorHAnsi" w:eastAsiaTheme="majorEastAsia" w:hAnsiTheme="majorHAnsi" w:cstheme="majorHAnsi"/>
                <w:sz w:val="19"/>
                <w:szCs w:val="19"/>
              </w:rPr>
              <w:t>Why do you think it is appropriate for service providers to be subject to the obligations that would come with these options?</w:t>
            </w:r>
          </w:p>
          <w:p w14:paraId="2B359884" w14:textId="006CC752" w:rsidR="000434CC" w:rsidRPr="00CE60EE" w:rsidRDefault="00CE60EE" w:rsidP="00CE60EE">
            <w:pPr>
              <w:pStyle w:val="ListParagraph"/>
              <w:numPr>
                <w:ilvl w:val="0"/>
                <w:numId w:val="17"/>
              </w:numPr>
              <w:spacing w:before="120" w:after="120"/>
              <w:ind w:left="562"/>
              <w:rPr>
                <w:rFonts w:asciiTheme="majorHAnsi" w:eastAsiaTheme="majorEastAsia" w:hAnsiTheme="majorHAnsi" w:cstheme="majorHAnsi"/>
                <w:sz w:val="19"/>
                <w:szCs w:val="19"/>
              </w:rPr>
            </w:pPr>
            <w:r w:rsidRPr="00CE60EE">
              <w:rPr>
                <w:rFonts w:asciiTheme="majorHAnsi" w:eastAsiaTheme="majorEastAsia" w:hAnsiTheme="majorHAnsi" w:cstheme="majorHAnsi"/>
                <w:sz w:val="19"/>
                <w:szCs w:val="19"/>
              </w:rPr>
              <w:t>Do you support options 2 and/or 3(a) or (b)?  What other options are available?</w:t>
            </w:r>
          </w:p>
        </w:tc>
        <w:tc>
          <w:tcPr>
            <w:tcW w:w="2470" w:type="pct"/>
            <w:tcBorders>
              <w:top w:val="single" w:sz="4" w:space="0" w:color="auto"/>
              <w:left w:val="single" w:sz="4" w:space="0" w:color="auto"/>
              <w:bottom w:val="single" w:sz="4" w:space="0" w:color="auto"/>
              <w:right w:val="single" w:sz="4" w:space="0" w:color="auto"/>
            </w:tcBorders>
          </w:tcPr>
          <w:p w14:paraId="4228D4FF" w14:textId="77777777" w:rsidR="000434CC" w:rsidRPr="00852BE3" w:rsidRDefault="000434CC" w:rsidP="00CE60EE">
            <w:pPr>
              <w:spacing w:before="120" w:after="120"/>
              <w:ind w:left="0"/>
              <w:rPr>
                <w:rFonts w:asciiTheme="majorHAnsi" w:eastAsiaTheme="majorEastAsia" w:hAnsiTheme="majorHAnsi" w:cstheme="majorHAnsi"/>
                <w:sz w:val="19"/>
                <w:szCs w:val="19"/>
              </w:rPr>
            </w:pPr>
          </w:p>
        </w:tc>
      </w:tr>
      <w:tr w:rsidR="000434CC" w:rsidRPr="00852BE3" w14:paraId="1D312B53" w14:textId="77777777" w:rsidTr="00C51E11">
        <w:tc>
          <w:tcPr>
            <w:tcW w:w="264" w:type="pct"/>
            <w:tcBorders>
              <w:top w:val="single" w:sz="4" w:space="0" w:color="auto"/>
              <w:left w:val="single" w:sz="4" w:space="0" w:color="auto"/>
              <w:bottom w:val="single" w:sz="4" w:space="0" w:color="auto"/>
              <w:right w:val="single" w:sz="4" w:space="0" w:color="auto"/>
            </w:tcBorders>
          </w:tcPr>
          <w:p w14:paraId="49978190"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237986A6" w14:textId="2868022D" w:rsidR="000434CC" w:rsidRPr="002279B3" w:rsidRDefault="002279B3" w:rsidP="002279B3">
            <w:pPr>
              <w:pStyle w:val="ListNumber"/>
              <w:ind w:left="137"/>
              <w:rPr>
                <w:rFonts w:asciiTheme="majorHAnsi" w:hAnsiTheme="majorHAnsi" w:cstheme="majorHAnsi"/>
                <w:sz w:val="19"/>
                <w:szCs w:val="19"/>
              </w:rPr>
            </w:pPr>
            <w:r w:rsidRPr="002279B3">
              <w:rPr>
                <w:rFonts w:asciiTheme="majorHAnsi" w:hAnsiTheme="majorHAnsi" w:cstheme="majorHAnsi"/>
                <w:sz w:val="19"/>
                <w:szCs w:val="19"/>
              </w:rPr>
              <w:t>If you think option 2 should be used, how long do you think service providers should be required to honour the trade (e.g. 1-2 days, one month, or for the duration of the trade)?</w:t>
            </w:r>
          </w:p>
        </w:tc>
        <w:tc>
          <w:tcPr>
            <w:tcW w:w="2470" w:type="pct"/>
            <w:tcBorders>
              <w:top w:val="single" w:sz="4" w:space="0" w:color="auto"/>
              <w:left w:val="single" w:sz="4" w:space="0" w:color="auto"/>
              <w:bottom w:val="single" w:sz="4" w:space="0" w:color="auto"/>
              <w:right w:val="single" w:sz="4" w:space="0" w:color="auto"/>
            </w:tcBorders>
          </w:tcPr>
          <w:p w14:paraId="082F648D" w14:textId="77777777" w:rsidR="00CE60EE" w:rsidRPr="00852BE3" w:rsidRDefault="00CE60EE"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11CE634C"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72289F36"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1B35ABBE" w14:textId="77777777" w:rsidR="00CE60EE" w:rsidRPr="00CE60EE" w:rsidRDefault="00CE60EE" w:rsidP="00CE60EE">
            <w:pPr>
              <w:spacing w:before="120" w:after="120"/>
              <w:rPr>
                <w:rFonts w:asciiTheme="majorHAnsi" w:hAnsiTheme="majorHAnsi" w:cstheme="majorHAnsi"/>
                <w:sz w:val="19"/>
                <w:szCs w:val="19"/>
              </w:rPr>
            </w:pPr>
            <w:r w:rsidRPr="00CE60EE">
              <w:rPr>
                <w:rFonts w:asciiTheme="majorHAnsi" w:hAnsiTheme="majorHAnsi" w:cstheme="majorHAnsi"/>
                <w:sz w:val="19"/>
                <w:szCs w:val="19"/>
              </w:rPr>
              <w:t xml:space="preserve">If you think buyers should have an option to acquire the capacity from the service provider, do you think: </w:t>
            </w:r>
          </w:p>
          <w:p w14:paraId="750A6B91" w14:textId="77777777" w:rsidR="00CE60EE" w:rsidRPr="00CE60EE" w:rsidRDefault="00CE60EE" w:rsidP="00CE60EE">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CE60EE">
              <w:rPr>
                <w:rFonts w:asciiTheme="majorHAnsi" w:eastAsiaTheme="majorEastAsia" w:hAnsiTheme="majorHAnsi" w:cstheme="majorHAnsi"/>
                <w:sz w:val="19"/>
                <w:szCs w:val="19"/>
              </w:rPr>
              <w:t>the</w:t>
            </w:r>
            <w:proofErr w:type="gramEnd"/>
            <w:r w:rsidRPr="00CE60EE">
              <w:rPr>
                <w:rFonts w:asciiTheme="majorHAnsi" w:eastAsiaTheme="majorEastAsia" w:hAnsiTheme="majorHAnsi" w:cstheme="majorHAnsi"/>
                <w:sz w:val="19"/>
                <w:szCs w:val="19"/>
              </w:rPr>
              <w:t xml:space="preserve"> buyer should have a first right of refusal, an enforceable option or a general right to initiate good faith negotiations?</w:t>
            </w:r>
          </w:p>
          <w:p w14:paraId="26D7145B" w14:textId="0517E6DA" w:rsidR="000434CC" w:rsidRPr="00CE60EE" w:rsidRDefault="00CE60EE" w:rsidP="00CE60EE">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CE60EE">
              <w:rPr>
                <w:rFonts w:asciiTheme="majorHAnsi" w:eastAsiaTheme="majorEastAsia" w:hAnsiTheme="majorHAnsi" w:cstheme="majorHAnsi"/>
                <w:sz w:val="19"/>
                <w:szCs w:val="19"/>
              </w:rPr>
              <w:t>the</w:t>
            </w:r>
            <w:proofErr w:type="gramEnd"/>
            <w:r w:rsidRPr="00CE60EE">
              <w:rPr>
                <w:rFonts w:asciiTheme="majorHAnsi" w:eastAsiaTheme="majorEastAsia" w:hAnsiTheme="majorHAnsi" w:cstheme="majorHAnsi"/>
                <w:sz w:val="19"/>
                <w:szCs w:val="19"/>
              </w:rPr>
              <w:t xml:space="preserve"> price at which the secondary shipper can access the capacity should be specified in the operational GTA or be regulated in some way? </w:t>
            </w:r>
          </w:p>
        </w:tc>
        <w:tc>
          <w:tcPr>
            <w:tcW w:w="2470" w:type="pct"/>
            <w:tcBorders>
              <w:top w:val="single" w:sz="4" w:space="0" w:color="auto"/>
              <w:left w:val="single" w:sz="4" w:space="0" w:color="auto"/>
              <w:bottom w:val="single" w:sz="4" w:space="0" w:color="auto"/>
              <w:right w:val="single" w:sz="4" w:space="0" w:color="auto"/>
            </w:tcBorders>
          </w:tcPr>
          <w:p w14:paraId="24349F42" w14:textId="77777777" w:rsidR="00CE60EE" w:rsidRPr="00852BE3" w:rsidRDefault="00CE60EE"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196BFBE1" w14:textId="77777777" w:rsidTr="00F660F7">
        <w:trPr>
          <w:trHeight w:val="1080"/>
        </w:trPr>
        <w:tc>
          <w:tcPr>
            <w:tcW w:w="264" w:type="pct"/>
            <w:tcBorders>
              <w:top w:val="single" w:sz="4" w:space="0" w:color="auto"/>
              <w:left w:val="single" w:sz="4" w:space="0" w:color="auto"/>
              <w:bottom w:val="single" w:sz="4" w:space="0" w:color="auto"/>
              <w:right w:val="single" w:sz="4" w:space="0" w:color="auto"/>
            </w:tcBorders>
          </w:tcPr>
          <w:p w14:paraId="5111F848"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0D90B4B2" w14:textId="17F423EF" w:rsidR="000434CC" w:rsidRPr="00852BE3" w:rsidRDefault="002279B3" w:rsidP="001A5C7F">
            <w:pPr>
              <w:pStyle w:val="ListNumber"/>
              <w:keepNext/>
              <w:ind w:left="137"/>
              <w:rPr>
                <w:rFonts w:asciiTheme="majorHAnsi" w:hAnsiTheme="majorHAnsi" w:cstheme="majorHAnsi"/>
                <w:sz w:val="19"/>
                <w:szCs w:val="19"/>
                <w:lang w:eastAsia="fr-CA"/>
              </w:rPr>
            </w:pPr>
            <w:r w:rsidRPr="002279B3">
              <w:rPr>
                <w:rFonts w:asciiTheme="majorHAnsi" w:hAnsiTheme="majorHAnsi" w:cstheme="majorHAnsi"/>
                <w:sz w:val="19"/>
                <w:szCs w:val="19"/>
              </w:rPr>
              <w:t>Do you agree that if the trade has to be cancelled, then the effect of the cancellation should be borne by all secondary shippers on a pro-rata basis?</w:t>
            </w:r>
          </w:p>
        </w:tc>
        <w:tc>
          <w:tcPr>
            <w:tcW w:w="2470" w:type="pct"/>
            <w:tcBorders>
              <w:top w:val="single" w:sz="4" w:space="0" w:color="auto"/>
              <w:left w:val="single" w:sz="4" w:space="0" w:color="auto"/>
              <w:bottom w:val="single" w:sz="4" w:space="0" w:color="auto"/>
              <w:right w:val="single" w:sz="4" w:space="0" w:color="auto"/>
            </w:tcBorders>
          </w:tcPr>
          <w:p w14:paraId="59D1F1A6" w14:textId="77777777" w:rsidR="000434CC"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p w14:paraId="01E676B6" w14:textId="77777777" w:rsidR="00CE60EE" w:rsidRDefault="00CE60EE"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p w14:paraId="0370CCC3" w14:textId="77777777" w:rsidR="00CE60EE" w:rsidRPr="00852BE3" w:rsidRDefault="00CE60EE"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2759D49C" w14:textId="77777777" w:rsidTr="00D12406">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6B22F54B" w14:textId="5A7B62BB" w:rsidR="000434CC" w:rsidRPr="00852BE3" w:rsidRDefault="00E953A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lastRenderedPageBreak/>
              <w:t>10.2</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4163A911" w14:textId="330B7B06" w:rsidR="000434CC" w:rsidRPr="00852BE3" w:rsidRDefault="00E953A1" w:rsidP="00E953A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D</w:t>
            </w:r>
            <w:r w:rsidR="000434CC" w:rsidRPr="00852BE3">
              <w:rPr>
                <w:rFonts w:asciiTheme="majorHAnsi" w:eastAsiaTheme="minorHAnsi" w:hAnsiTheme="majorHAnsi" w:cstheme="majorHAnsi"/>
                <w:b/>
                <w:sz w:val="19"/>
                <w:szCs w:val="19"/>
                <w:lang w:eastAsia="fr-CA"/>
              </w:rPr>
              <w:t>efault under operational GTA</w:t>
            </w:r>
          </w:p>
        </w:tc>
      </w:tr>
      <w:tr w:rsidR="000434CC" w:rsidRPr="00852BE3" w14:paraId="5E561A22" w14:textId="77777777" w:rsidTr="00C51E11">
        <w:tc>
          <w:tcPr>
            <w:tcW w:w="264" w:type="pct"/>
            <w:tcBorders>
              <w:top w:val="single" w:sz="4" w:space="0" w:color="auto"/>
              <w:left w:val="single" w:sz="4" w:space="0" w:color="auto"/>
              <w:bottom w:val="single" w:sz="4" w:space="0" w:color="auto"/>
              <w:right w:val="single" w:sz="4" w:space="0" w:color="auto"/>
            </w:tcBorders>
          </w:tcPr>
          <w:p w14:paraId="42C984E9"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5822FBEF" w14:textId="37293455" w:rsidR="000434CC" w:rsidRPr="00852BE3" w:rsidRDefault="000434CC" w:rsidP="001A5C7F">
            <w:pPr>
              <w:pStyle w:val="ListNumber"/>
              <w:ind w:left="137"/>
              <w:rPr>
                <w:rFonts w:asciiTheme="majorHAnsi" w:hAnsiTheme="majorHAnsi" w:cstheme="majorHAnsi"/>
                <w:sz w:val="19"/>
                <w:szCs w:val="19"/>
              </w:rPr>
            </w:pPr>
            <w:r w:rsidRPr="00852BE3">
              <w:rPr>
                <w:rFonts w:asciiTheme="majorHAnsi" w:hAnsiTheme="majorHAnsi" w:cstheme="majorHAnsi"/>
                <w:sz w:val="19"/>
                <w:szCs w:val="19"/>
              </w:rPr>
              <w:t xml:space="preserve">Do you agree that if default under the operational GTA occurs: </w:t>
            </w:r>
          </w:p>
          <w:p w14:paraId="5127F097"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proofErr w:type="gramStart"/>
            <w:r w:rsidRPr="00852BE3">
              <w:rPr>
                <w:rFonts w:asciiTheme="majorHAnsi" w:eastAsiaTheme="majorEastAsia" w:hAnsiTheme="majorHAnsi" w:cstheme="majorHAnsi"/>
                <w:sz w:val="19"/>
                <w:szCs w:val="19"/>
              </w:rPr>
              <w:t>after</w:t>
            </w:r>
            <w:proofErr w:type="gramEnd"/>
            <w:r w:rsidRPr="00852BE3">
              <w:rPr>
                <w:rFonts w:asciiTheme="majorHAnsi" w:eastAsiaTheme="majorEastAsia" w:hAnsiTheme="majorHAnsi" w:cstheme="majorHAnsi"/>
                <w:sz w:val="19"/>
                <w:szCs w:val="19"/>
              </w:rPr>
              <w:t xml:space="preserve"> the trade is effected, the trade should be allowed to proceed?</w:t>
            </w:r>
          </w:p>
          <w:p w14:paraId="67D19574" w14:textId="0445B8DC" w:rsidR="000434CC" w:rsidRPr="00852BE3" w:rsidRDefault="000434CC" w:rsidP="00CF5A9C">
            <w:pPr>
              <w:pStyle w:val="ListParagraph"/>
              <w:numPr>
                <w:ilvl w:val="0"/>
                <w:numId w:val="17"/>
              </w:numPr>
              <w:spacing w:before="120" w:after="120"/>
              <w:ind w:left="562"/>
              <w:rPr>
                <w:rFonts w:asciiTheme="majorHAnsi" w:hAnsiTheme="majorHAnsi" w:cstheme="majorHAnsi"/>
                <w:sz w:val="19"/>
                <w:szCs w:val="19"/>
                <w:lang w:eastAsia="fr-CA"/>
              </w:rPr>
            </w:pPr>
            <w:proofErr w:type="gramStart"/>
            <w:r w:rsidRPr="00852BE3">
              <w:rPr>
                <w:rFonts w:asciiTheme="majorHAnsi" w:eastAsiaTheme="majorEastAsia" w:hAnsiTheme="majorHAnsi" w:cstheme="majorHAnsi"/>
                <w:sz w:val="19"/>
                <w:szCs w:val="19"/>
              </w:rPr>
              <w:t>before</w:t>
            </w:r>
            <w:proofErr w:type="gramEnd"/>
            <w:r w:rsidRPr="00852BE3">
              <w:rPr>
                <w:rFonts w:asciiTheme="majorHAnsi" w:eastAsiaTheme="majorEastAsia" w:hAnsiTheme="majorHAnsi" w:cstheme="majorHAnsi"/>
                <w:sz w:val="19"/>
                <w:szCs w:val="19"/>
              </w:rPr>
              <w:t xml:space="preserve"> the trade is effected, the trade should be cancelled?</w:t>
            </w:r>
          </w:p>
        </w:tc>
        <w:tc>
          <w:tcPr>
            <w:tcW w:w="2470" w:type="pct"/>
            <w:tcBorders>
              <w:top w:val="single" w:sz="4" w:space="0" w:color="auto"/>
              <w:left w:val="single" w:sz="4" w:space="0" w:color="auto"/>
              <w:bottom w:val="single" w:sz="4" w:space="0" w:color="auto"/>
              <w:right w:val="single" w:sz="4" w:space="0" w:color="auto"/>
            </w:tcBorders>
          </w:tcPr>
          <w:p w14:paraId="6E5F6FEF"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3567D905" w14:textId="77777777" w:rsidTr="00D12406">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29D39939" w14:textId="1C62D668" w:rsidR="000434CC" w:rsidRPr="00852BE3" w:rsidRDefault="00E953A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10.2.2</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3C3E1992" w14:textId="200C8BFB" w:rsidR="000434CC" w:rsidRPr="00852BE3" w:rsidRDefault="00E953A1" w:rsidP="00E953A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D</w:t>
            </w:r>
            <w:r w:rsidR="000434CC" w:rsidRPr="00852BE3">
              <w:rPr>
                <w:rFonts w:asciiTheme="majorHAnsi" w:eastAsiaTheme="minorHAnsi" w:hAnsiTheme="majorHAnsi" w:cstheme="majorHAnsi"/>
                <w:b/>
                <w:sz w:val="19"/>
                <w:szCs w:val="19"/>
                <w:lang w:eastAsia="fr-CA"/>
              </w:rPr>
              <w:t xml:space="preserve">efault on GSH financial obligations </w:t>
            </w:r>
          </w:p>
        </w:tc>
      </w:tr>
      <w:tr w:rsidR="000434CC" w:rsidRPr="00852BE3" w14:paraId="3930F65D" w14:textId="77777777" w:rsidTr="00C51E11">
        <w:tc>
          <w:tcPr>
            <w:tcW w:w="264" w:type="pct"/>
            <w:tcBorders>
              <w:top w:val="single" w:sz="4" w:space="0" w:color="auto"/>
              <w:left w:val="single" w:sz="4" w:space="0" w:color="auto"/>
              <w:bottom w:val="single" w:sz="4" w:space="0" w:color="auto"/>
              <w:right w:val="single" w:sz="4" w:space="0" w:color="auto"/>
            </w:tcBorders>
          </w:tcPr>
          <w:p w14:paraId="519E46A6"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232CE070" w14:textId="35A9E40B" w:rsidR="000434CC" w:rsidRPr="00852BE3" w:rsidRDefault="000434CC" w:rsidP="001A5C7F">
            <w:pPr>
              <w:pStyle w:val="ListNumber"/>
              <w:ind w:left="137"/>
              <w:rPr>
                <w:rFonts w:asciiTheme="majorHAnsi" w:hAnsiTheme="majorHAnsi" w:cstheme="majorHAnsi"/>
                <w:sz w:val="19"/>
                <w:szCs w:val="19"/>
                <w:lang w:eastAsia="fr-CA"/>
              </w:rPr>
            </w:pPr>
            <w:r w:rsidRPr="00852BE3">
              <w:rPr>
                <w:rFonts w:asciiTheme="majorHAnsi" w:hAnsiTheme="majorHAnsi" w:cstheme="majorHAnsi"/>
                <w:sz w:val="19"/>
                <w:szCs w:val="19"/>
              </w:rPr>
              <w:t>Do you think the arrangements that currently apply to seller defaults under the GSH should be applied to capacity products, or do you think that any transfers of capacity that have already occurred at the time of default should be excluded from the close out and offset calculation?</w:t>
            </w:r>
          </w:p>
        </w:tc>
        <w:tc>
          <w:tcPr>
            <w:tcW w:w="2470" w:type="pct"/>
            <w:tcBorders>
              <w:top w:val="single" w:sz="4" w:space="0" w:color="auto"/>
              <w:left w:val="single" w:sz="4" w:space="0" w:color="auto"/>
              <w:bottom w:val="single" w:sz="4" w:space="0" w:color="auto"/>
              <w:right w:val="single" w:sz="4" w:space="0" w:color="auto"/>
            </w:tcBorders>
          </w:tcPr>
          <w:p w14:paraId="0BAAF977"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743D5831" w14:textId="77777777" w:rsidTr="00D12406">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394A9124" w14:textId="6FE10B6F" w:rsidR="000434CC" w:rsidRPr="00852BE3" w:rsidRDefault="001974BD"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10.2.3</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6BFD6CA1" w14:textId="53768426" w:rsidR="000434CC" w:rsidRPr="00852BE3" w:rsidRDefault="00E953A1" w:rsidP="00E953A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S</w:t>
            </w:r>
            <w:r w:rsidR="000434CC" w:rsidRPr="00852BE3">
              <w:rPr>
                <w:rFonts w:asciiTheme="majorHAnsi" w:eastAsiaTheme="minorHAnsi" w:hAnsiTheme="majorHAnsi" w:cstheme="majorHAnsi"/>
                <w:b/>
                <w:sz w:val="19"/>
                <w:szCs w:val="19"/>
                <w:lang w:eastAsia="fr-CA"/>
              </w:rPr>
              <w:t>hort selling</w:t>
            </w:r>
          </w:p>
        </w:tc>
      </w:tr>
      <w:tr w:rsidR="000434CC" w:rsidRPr="00852BE3" w14:paraId="5DA15918" w14:textId="77777777" w:rsidTr="00C51E11">
        <w:tc>
          <w:tcPr>
            <w:tcW w:w="264" w:type="pct"/>
            <w:tcBorders>
              <w:top w:val="single" w:sz="4" w:space="0" w:color="auto"/>
              <w:left w:val="single" w:sz="4" w:space="0" w:color="auto"/>
              <w:bottom w:val="single" w:sz="4" w:space="0" w:color="auto"/>
              <w:right w:val="single" w:sz="4" w:space="0" w:color="auto"/>
            </w:tcBorders>
          </w:tcPr>
          <w:p w14:paraId="5D7DC977"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683F6DB3" w14:textId="7CAEEB17" w:rsidR="000434CC" w:rsidRPr="00852BE3" w:rsidRDefault="000434CC" w:rsidP="001A5C7F">
            <w:pPr>
              <w:pStyle w:val="ListNumber"/>
              <w:ind w:left="137"/>
              <w:rPr>
                <w:rFonts w:asciiTheme="majorHAnsi" w:hAnsiTheme="majorHAnsi" w:cstheme="majorHAnsi"/>
                <w:sz w:val="19"/>
                <w:szCs w:val="19"/>
              </w:rPr>
            </w:pPr>
            <w:r w:rsidRPr="00852BE3">
              <w:rPr>
                <w:rFonts w:asciiTheme="majorHAnsi" w:hAnsiTheme="majorHAnsi" w:cstheme="majorHAnsi"/>
                <w:sz w:val="19"/>
                <w:szCs w:val="19"/>
              </w:rPr>
              <w:t>If a short sale occurs, do you think the trade should automatically be cancelled, or do you think the seller should have a period of time to rectify the short sale before it is cancelled?</w:t>
            </w:r>
          </w:p>
        </w:tc>
        <w:tc>
          <w:tcPr>
            <w:tcW w:w="2470" w:type="pct"/>
            <w:tcBorders>
              <w:top w:val="single" w:sz="4" w:space="0" w:color="auto"/>
              <w:left w:val="single" w:sz="4" w:space="0" w:color="auto"/>
              <w:bottom w:val="single" w:sz="4" w:space="0" w:color="auto"/>
              <w:right w:val="single" w:sz="4" w:space="0" w:color="auto"/>
            </w:tcBorders>
          </w:tcPr>
          <w:p w14:paraId="64604E1B"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3C4926CE"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4053DCD5"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5AAF47AA" w14:textId="320D8308" w:rsidR="000434CC" w:rsidRPr="00852BE3" w:rsidRDefault="000434CC" w:rsidP="002279B3">
            <w:pPr>
              <w:pStyle w:val="ListNumber"/>
              <w:ind w:left="137"/>
              <w:rPr>
                <w:rFonts w:asciiTheme="majorHAnsi" w:hAnsiTheme="majorHAnsi" w:cstheme="majorHAnsi"/>
                <w:sz w:val="19"/>
                <w:szCs w:val="19"/>
              </w:rPr>
            </w:pPr>
            <w:r w:rsidRPr="00852BE3">
              <w:rPr>
                <w:rFonts w:asciiTheme="majorHAnsi" w:hAnsiTheme="majorHAnsi" w:cstheme="majorHAnsi"/>
                <w:sz w:val="19"/>
                <w:szCs w:val="19"/>
              </w:rPr>
              <w:t xml:space="preserve">If seller is unable to rectify the short-sale (e.g. because there is no spare capacity on the pipeline), </w:t>
            </w:r>
            <w:r w:rsidR="002279B3">
              <w:rPr>
                <w:rFonts w:asciiTheme="majorHAnsi" w:hAnsiTheme="majorHAnsi" w:cstheme="majorHAnsi"/>
                <w:sz w:val="19"/>
                <w:szCs w:val="19"/>
              </w:rPr>
              <w:t xml:space="preserve">should </w:t>
            </w:r>
            <w:r w:rsidRPr="00852BE3">
              <w:rPr>
                <w:rFonts w:asciiTheme="majorHAnsi" w:hAnsiTheme="majorHAnsi" w:cstheme="majorHAnsi"/>
                <w:sz w:val="19"/>
                <w:szCs w:val="19"/>
              </w:rPr>
              <w:t xml:space="preserve">the capacity of all </w:t>
            </w:r>
            <w:r w:rsidR="002279B3">
              <w:rPr>
                <w:rFonts w:asciiTheme="majorHAnsi" w:hAnsiTheme="majorHAnsi" w:cstheme="majorHAnsi"/>
                <w:sz w:val="19"/>
                <w:szCs w:val="19"/>
              </w:rPr>
              <w:t xml:space="preserve">affected </w:t>
            </w:r>
            <w:r w:rsidRPr="00852BE3">
              <w:rPr>
                <w:rFonts w:asciiTheme="majorHAnsi" w:hAnsiTheme="majorHAnsi" w:cstheme="majorHAnsi"/>
                <w:sz w:val="19"/>
                <w:szCs w:val="19"/>
              </w:rPr>
              <w:t>secondary shippers be curtailed on a pro-rata basis?</w:t>
            </w:r>
          </w:p>
        </w:tc>
        <w:tc>
          <w:tcPr>
            <w:tcW w:w="2470" w:type="pct"/>
            <w:tcBorders>
              <w:top w:val="single" w:sz="4" w:space="0" w:color="auto"/>
              <w:left w:val="single" w:sz="4" w:space="0" w:color="auto"/>
              <w:bottom w:val="single" w:sz="4" w:space="0" w:color="auto"/>
              <w:right w:val="single" w:sz="4" w:space="0" w:color="auto"/>
            </w:tcBorders>
          </w:tcPr>
          <w:p w14:paraId="115D1DB3"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5503B396"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2C2E61CC" w14:textId="60CFBF83" w:rsidR="000434CC" w:rsidRPr="00852BE3" w:rsidRDefault="00E953A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11</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6967FA8C" w14:textId="75232858" w:rsidR="000434CC" w:rsidRPr="00852BE3" w:rsidRDefault="00E953A1" w:rsidP="00E953A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B</w:t>
            </w:r>
            <w:r w:rsidR="000434CC" w:rsidRPr="00852BE3">
              <w:rPr>
                <w:rFonts w:asciiTheme="majorHAnsi" w:eastAsiaTheme="minorHAnsi" w:hAnsiTheme="majorHAnsi" w:cstheme="majorHAnsi"/>
                <w:b/>
                <w:sz w:val="19"/>
                <w:szCs w:val="19"/>
                <w:lang w:eastAsia="fr-CA"/>
              </w:rPr>
              <w:t>ilateral trading obligations</w:t>
            </w:r>
          </w:p>
        </w:tc>
      </w:tr>
      <w:tr w:rsidR="000434CC" w:rsidRPr="00852BE3" w14:paraId="6DFC9387"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3650E170"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66BC059A" w14:textId="0A6A97DE" w:rsidR="000434CC" w:rsidRPr="00852BE3" w:rsidRDefault="000434CC" w:rsidP="001A5C7F">
            <w:pPr>
              <w:pStyle w:val="ListNumber"/>
              <w:ind w:left="137"/>
              <w:rPr>
                <w:rFonts w:asciiTheme="majorHAnsi" w:hAnsiTheme="majorHAnsi" w:cstheme="majorHAnsi"/>
                <w:sz w:val="19"/>
                <w:szCs w:val="19"/>
              </w:rPr>
            </w:pPr>
            <w:r w:rsidRPr="00852BE3">
              <w:rPr>
                <w:rFonts w:asciiTheme="majorHAnsi" w:hAnsiTheme="majorHAnsi" w:cstheme="majorHAnsi"/>
                <w:sz w:val="19"/>
                <w:szCs w:val="19"/>
              </w:rPr>
              <w:t>Do you think that shippers offering to sell capacity on a bilateral basis should be required to offer a prospective buyer the option of using an operational transfer to give effect to the trade?</w:t>
            </w:r>
          </w:p>
          <w:p w14:paraId="562FDC01"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t>If not, please explain why.</w:t>
            </w:r>
          </w:p>
          <w:p w14:paraId="1A82371C" w14:textId="171C4AE8" w:rsidR="000434CC" w:rsidRPr="00852BE3" w:rsidRDefault="000434CC" w:rsidP="00CF5A9C">
            <w:pPr>
              <w:pStyle w:val="ListParagraph"/>
              <w:numPr>
                <w:ilvl w:val="0"/>
                <w:numId w:val="17"/>
              </w:numPr>
              <w:spacing w:before="120" w:after="120"/>
              <w:ind w:left="562"/>
              <w:rPr>
                <w:rFonts w:asciiTheme="majorHAnsi" w:hAnsiTheme="majorHAnsi" w:cstheme="majorHAnsi"/>
                <w:sz w:val="19"/>
                <w:szCs w:val="19"/>
              </w:rPr>
            </w:pPr>
            <w:r w:rsidRPr="00852BE3">
              <w:rPr>
                <w:rFonts w:asciiTheme="majorHAnsi" w:eastAsiaTheme="majorEastAsia" w:hAnsiTheme="majorHAnsi" w:cstheme="majorHAnsi"/>
                <w:sz w:val="19"/>
                <w:szCs w:val="19"/>
              </w:rPr>
              <w:t>If so, do you think the proposal to include a provision in the NGR to require shippers to offer this option will work effectively?</w:t>
            </w:r>
          </w:p>
        </w:tc>
        <w:tc>
          <w:tcPr>
            <w:tcW w:w="2470" w:type="pct"/>
            <w:tcBorders>
              <w:top w:val="single" w:sz="4" w:space="0" w:color="auto"/>
              <w:left w:val="single" w:sz="4" w:space="0" w:color="auto"/>
              <w:bottom w:val="single" w:sz="4" w:space="0" w:color="auto"/>
              <w:right w:val="single" w:sz="4" w:space="0" w:color="auto"/>
            </w:tcBorders>
          </w:tcPr>
          <w:p w14:paraId="1088DFC0"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5D6202D6" w14:textId="77777777" w:rsidTr="00C51E11">
        <w:tc>
          <w:tcPr>
            <w:tcW w:w="264" w:type="pct"/>
            <w:tcBorders>
              <w:top w:val="single" w:sz="4" w:space="0" w:color="auto"/>
              <w:left w:val="single" w:sz="4" w:space="0" w:color="auto"/>
              <w:bottom w:val="single" w:sz="4" w:space="0" w:color="auto"/>
              <w:right w:val="single" w:sz="4" w:space="0" w:color="auto"/>
            </w:tcBorders>
          </w:tcPr>
          <w:p w14:paraId="1291F21E"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3AEB2323" w14:textId="57E54B98" w:rsidR="000434CC" w:rsidRPr="00852BE3" w:rsidRDefault="000434CC" w:rsidP="001A5C7F">
            <w:pPr>
              <w:pStyle w:val="ListNumber"/>
              <w:ind w:left="137"/>
              <w:rPr>
                <w:rFonts w:asciiTheme="majorHAnsi" w:hAnsiTheme="majorHAnsi" w:cstheme="majorHAnsi"/>
                <w:sz w:val="19"/>
                <w:szCs w:val="19"/>
              </w:rPr>
            </w:pPr>
            <w:r w:rsidRPr="00852BE3">
              <w:rPr>
                <w:rFonts w:asciiTheme="majorHAnsi" w:hAnsiTheme="majorHAnsi" w:cstheme="majorHAnsi"/>
                <w:sz w:val="19"/>
                <w:szCs w:val="19"/>
              </w:rPr>
              <w:t xml:space="preserve">Do you think it should be mandatory for shippers to advertise any secondary capacity trades conducted outside the exchange ahead of time on the listing service? </w:t>
            </w:r>
          </w:p>
          <w:p w14:paraId="69AFC9B5" w14:textId="77777777" w:rsidR="000434CC" w:rsidRPr="00852BE3" w:rsidRDefault="000434CC" w:rsidP="00CF5A9C">
            <w:pPr>
              <w:pStyle w:val="ListParagraph"/>
              <w:numPr>
                <w:ilvl w:val="0"/>
                <w:numId w:val="17"/>
              </w:numPr>
              <w:spacing w:before="120" w:after="120"/>
              <w:ind w:left="562"/>
              <w:rPr>
                <w:rFonts w:asciiTheme="majorHAnsi" w:eastAsiaTheme="majorEastAsia" w:hAnsiTheme="majorHAnsi" w:cstheme="majorHAnsi"/>
                <w:sz w:val="19"/>
                <w:szCs w:val="19"/>
              </w:rPr>
            </w:pPr>
            <w:r w:rsidRPr="00852BE3">
              <w:rPr>
                <w:rFonts w:asciiTheme="majorHAnsi" w:eastAsiaTheme="majorEastAsia" w:hAnsiTheme="majorHAnsi" w:cstheme="majorHAnsi"/>
                <w:sz w:val="19"/>
                <w:szCs w:val="19"/>
              </w:rPr>
              <w:lastRenderedPageBreak/>
              <w:t>If not, please explain why and also outline whether you think the AEMC’s concerns about discriminatory access could be dealt with in another way.</w:t>
            </w:r>
          </w:p>
          <w:p w14:paraId="1BDCE763" w14:textId="31E16D3A" w:rsidR="000434CC" w:rsidRPr="00852BE3" w:rsidRDefault="000434CC" w:rsidP="00CF5A9C">
            <w:pPr>
              <w:pStyle w:val="ListParagraph"/>
              <w:numPr>
                <w:ilvl w:val="0"/>
                <w:numId w:val="17"/>
              </w:numPr>
              <w:spacing w:before="120" w:after="120"/>
              <w:ind w:left="562"/>
              <w:rPr>
                <w:rFonts w:asciiTheme="majorHAnsi" w:hAnsiTheme="majorHAnsi" w:cstheme="majorHAnsi"/>
                <w:sz w:val="19"/>
                <w:szCs w:val="19"/>
              </w:rPr>
            </w:pPr>
            <w:r w:rsidRPr="00852BE3">
              <w:rPr>
                <w:rFonts w:asciiTheme="majorHAnsi" w:eastAsiaTheme="majorEastAsia" w:hAnsiTheme="majorHAnsi" w:cstheme="majorHAnsi"/>
                <w:sz w:val="19"/>
                <w:szCs w:val="19"/>
              </w:rPr>
              <w:t>If so, how do you think the practical issues raised by the</w:t>
            </w:r>
            <w:r w:rsidR="00852BE3">
              <w:rPr>
                <w:rFonts w:asciiTheme="majorHAnsi" w:eastAsiaTheme="majorEastAsia" w:hAnsiTheme="majorHAnsi" w:cstheme="majorHAnsi"/>
                <w:sz w:val="19"/>
                <w:szCs w:val="19"/>
              </w:rPr>
              <w:t xml:space="preserve"> project team could be overcome?</w:t>
            </w:r>
          </w:p>
        </w:tc>
        <w:tc>
          <w:tcPr>
            <w:tcW w:w="2470" w:type="pct"/>
            <w:tcBorders>
              <w:top w:val="single" w:sz="4" w:space="0" w:color="auto"/>
              <w:left w:val="single" w:sz="4" w:space="0" w:color="auto"/>
              <w:bottom w:val="single" w:sz="4" w:space="0" w:color="auto"/>
              <w:right w:val="single" w:sz="4" w:space="0" w:color="auto"/>
            </w:tcBorders>
          </w:tcPr>
          <w:p w14:paraId="04A58813"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36743AFD" w14:textId="77777777" w:rsidTr="00D12406">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63433B4D" w14:textId="3DE4CFA2" w:rsidR="000434CC" w:rsidRPr="00852BE3" w:rsidRDefault="00E953A1"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12</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1C34F3A8" w14:textId="0AF39697" w:rsidR="000434CC" w:rsidRPr="00852BE3" w:rsidRDefault="00E953A1" w:rsidP="00E953A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852BE3">
              <w:rPr>
                <w:rFonts w:asciiTheme="majorHAnsi" w:eastAsiaTheme="minorHAnsi" w:hAnsiTheme="majorHAnsi" w:cstheme="majorHAnsi"/>
                <w:b/>
                <w:sz w:val="19"/>
                <w:szCs w:val="19"/>
                <w:lang w:eastAsia="fr-CA"/>
              </w:rPr>
              <w:t>G</w:t>
            </w:r>
            <w:r w:rsidR="000434CC" w:rsidRPr="00852BE3">
              <w:rPr>
                <w:rFonts w:asciiTheme="majorHAnsi" w:eastAsiaTheme="minorHAnsi" w:hAnsiTheme="majorHAnsi" w:cstheme="majorHAnsi"/>
                <w:b/>
                <w:sz w:val="19"/>
                <w:szCs w:val="19"/>
                <w:lang w:eastAsia="fr-CA"/>
              </w:rPr>
              <w:t>overnance and transitional arrangements</w:t>
            </w:r>
          </w:p>
        </w:tc>
      </w:tr>
      <w:tr w:rsidR="000434CC" w:rsidRPr="00852BE3" w14:paraId="2C4889A2" w14:textId="77777777" w:rsidTr="00C51E11">
        <w:tc>
          <w:tcPr>
            <w:tcW w:w="264" w:type="pct"/>
            <w:tcBorders>
              <w:top w:val="single" w:sz="4" w:space="0" w:color="auto"/>
              <w:left w:val="single" w:sz="4" w:space="0" w:color="auto"/>
              <w:bottom w:val="single" w:sz="4" w:space="0" w:color="auto"/>
              <w:right w:val="single" w:sz="4" w:space="0" w:color="auto"/>
            </w:tcBorders>
          </w:tcPr>
          <w:p w14:paraId="295D03E0"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7D5EC835" w14:textId="2546D4C3" w:rsidR="000434CC" w:rsidRPr="00852BE3" w:rsidRDefault="000434CC" w:rsidP="001A5C7F">
            <w:pPr>
              <w:pStyle w:val="ListNumber"/>
              <w:ind w:left="137"/>
              <w:rPr>
                <w:rFonts w:asciiTheme="majorHAnsi" w:hAnsiTheme="majorHAnsi" w:cstheme="majorHAnsi"/>
                <w:sz w:val="19"/>
                <w:szCs w:val="19"/>
              </w:rPr>
            </w:pPr>
            <w:r w:rsidRPr="00852BE3">
              <w:rPr>
                <w:rFonts w:asciiTheme="majorHAnsi" w:hAnsiTheme="majorHAnsi" w:cstheme="majorHAnsi"/>
                <w:sz w:val="19"/>
                <w:szCs w:val="19"/>
              </w:rPr>
              <w:t>Are there any other changes that you think will be required to the governance arrangements that have not been identified in Table 12.1?</w:t>
            </w:r>
          </w:p>
        </w:tc>
        <w:tc>
          <w:tcPr>
            <w:tcW w:w="2470" w:type="pct"/>
            <w:tcBorders>
              <w:top w:val="single" w:sz="4" w:space="0" w:color="auto"/>
              <w:left w:val="single" w:sz="4" w:space="0" w:color="auto"/>
              <w:bottom w:val="single" w:sz="4" w:space="0" w:color="auto"/>
              <w:right w:val="single" w:sz="4" w:space="0" w:color="auto"/>
            </w:tcBorders>
          </w:tcPr>
          <w:p w14:paraId="38338A2C"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35E67F03"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3C71FEEF"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57506E69" w14:textId="706A6357" w:rsidR="000434CC" w:rsidRPr="00852BE3" w:rsidRDefault="000434CC" w:rsidP="001A5C7F">
            <w:pPr>
              <w:pStyle w:val="ListNumber"/>
              <w:ind w:left="137"/>
              <w:rPr>
                <w:rFonts w:asciiTheme="majorHAnsi" w:hAnsiTheme="majorHAnsi" w:cstheme="majorHAnsi"/>
                <w:sz w:val="19"/>
                <w:szCs w:val="19"/>
              </w:rPr>
            </w:pPr>
            <w:r w:rsidRPr="00852BE3">
              <w:rPr>
                <w:rFonts w:asciiTheme="majorHAnsi" w:hAnsiTheme="majorHAnsi" w:cstheme="majorHAnsi"/>
                <w:sz w:val="19"/>
                <w:szCs w:val="19"/>
              </w:rPr>
              <w:t>How long do service providers think it will take to set up any systems that may be required and to test these systems with AEMO?</w:t>
            </w:r>
          </w:p>
        </w:tc>
        <w:tc>
          <w:tcPr>
            <w:tcW w:w="2470" w:type="pct"/>
            <w:tcBorders>
              <w:top w:val="single" w:sz="4" w:space="0" w:color="auto"/>
              <w:left w:val="single" w:sz="4" w:space="0" w:color="auto"/>
              <w:bottom w:val="single" w:sz="4" w:space="0" w:color="auto"/>
              <w:right w:val="single" w:sz="4" w:space="0" w:color="auto"/>
            </w:tcBorders>
          </w:tcPr>
          <w:p w14:paraId="43A89846"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C13C9E" w:rsidRPr="00852BE3" w14:paraId="19A06274" w14:textId="77777777" w:rsidTr="00610E03">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6B45B67B" w14:textId="50E60794" w:rsidR="00C13C9E" w:rsidRPr="00852BE3" w:rsidRDefault="00C13C9E" w:rsidP="00610E03">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6C768384" w14:textId="2807DE40" w:rsidR="00C13C9E" w:rsidRPr="00852BE3" w:rsidRDefault="00C13C9E" w:rsidP="00610E03">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Other</w:t>
            </w:r>
          </w:p>
        </w:tc>
      </w:tr>
      <w:tr w:rsidR="00C13C9E" w:rsidRPr="00852BE3" w14:paraId="3577C06D"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36A50700" w14:textId="77777777" w:rsidR="00C13C9E" w:rsidRPr="00F660F7" w:rsidRDefault="00C13C9E" w:rsidP="00F660F7">
            <w:pPr>
              <w:spacing w:before="120" w:after="120"/>
              <w:ind w:left="0"/>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740A5B78" w14:textId="3265F280" w:rsidR="00C13C9E" w:rsidRPr="00852BE3" w:rsidRDefault="00C13C9E" w:rsidP="001A5C7F">
            <w:pPr>
              <w:pStyle w:val="ListNumber"/>
              <w:ind w:left="137"/>
              <w:rPr>
                <w:rFonts w:asciiTheme="majorHAnsi" w:hAnsiTheme="majorHAnsi" w:cstheme="majorHAnsi"/>
                <w:sz w:val="19"/>
                <w:szCs w:val="19"/>
              </w:rPr>
            </w:pPr>
            <w:r>
              <w:rPr>
                <w:rFonts w:asciiTheme="majorHAnsi" w:hAnsiTheme="majorHAnsi" w:cstheme="majorHAnsi"/>
                <w:sz w:val="19"/>
                <w:szCs w:val="19"/>
              </w:rPr>
              <w:t>Do you have any other feedback?</w:t>
            </w:r>
          </w:p>
        </w:tc>
        <w:tc>
          <w:tcPr>
            <w:tcW w:w="2470" w:type="pct"/>
            <w:tcBorders>
              <w:top w:val="single" w:sz="4" w:space="0" w:color="auto"/>
              <w:left w:val="single" w:sz="4" w:space="0" w:color="auto"/>
              <w:bottom w:val="single" w:sz="4" w:space="0" w:color="auto"/>
              <w:right w:val="single" w:sz="4" w:space="0" w:color="auto"/>
            </w:tcBorders>
          </w:tcPr>
          <w:p w14:paraId="4C640DF1" w14:textId="77777777" w:rsidR="00C13C9E" w:rsidRPr="00852BE3" w:rsidRDefault="00C13C9E"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bl>
    <w:p w14:paraId="04934446" w14:textId="77777777" w:rsidR="00EC525F" w:rsidRPr="00EC525F" w:rsidRDefault="00EC525F" w:rsidP="00EC525F">
      <w:pPr>
        <w:pStyle w:val="BodyText"/>
        <w:tabs>
          <w:tab w:val="clear" w:pos="2268"/>
          <w:tab w:val="clear" w:pos="4536"/>
          <w:tab w:val="clear" w:pos="6804"/>
          <w:tab w:val="clear" w:pos="9638"/>
          <w:tab w:val="left" w:pos="1395"/>
        </w:tabs>
      </w:pPr>
    </w:p>
    <w:sectPr w:rsidR="00EC525F" w:rsidRPr="00EC525F" w:rsidSect="00291A62">
      <w:headerReference w:type="even" r:id="rId7"/>
      <w:headerReference w:type="default" r:id="rId8"/>
      <w:headerReference w:type="first" r:id="rId9"/>
      <w:pgSz w:w="16840" w:h="11907" w:orient="landscape" w:code="9"/>
      <w:pgMar w:top="1701" w:right="851" w:bottom="1276" w:left="1701" w:header="425"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126D2" w14:textId="77777777" w:rsidR="00610E03" w:rsidRDefault="00610E03" w:rsidP="00256624">
      <w:r>
        <w:separator/>
      </w:r>
    </w:p>
    <w:p w14:paraId="2B1B326A" w14:textId="77777777" w:rsidR="00610E03" w:rsidRDefault="00610E03"/>
  </w:endnote>
  <w:endnote w:type="continuationSeparator" w:id="0">
    <w:p w14:paraId="6D97F0F9" w14:textId="77777777" w:rsidR="00610E03" w:rsidRDefault="00610E03" w:rsidP="00256624">
      <w:r>
        <w:continuationSeparator/>
      </w:r>
    </w:p>
    <w:p w14:paraId="79047F9B" w14:textId="77777777" w:rsidR="00610E03" w:rsidRDefault="00610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otham Light">
    <w:altName w:val="Calibri"/>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Myriad Pro">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Demi Cond">
    <w:panose1 w:val="020B07060304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7241E" w14:textId="77777777" w:rsidR="00610E03" w:rsidRPr="0022372B" w:rsidRDefault="00610E03" w:rsidP="0022372B">
      <w:pPr>
        <w:pStyle w:val="Footer"/>
        <w:spacing w:after="80" w:line="240" w:lineRule="auto"/>
        <w:jc w:val="left"/>
        <w:rPr>
          <w:color w:val="A9A8A9" w:themeColor="accent4"/>
          <w:sz w:val="16"/>
          <w:szCs w:val="16"/>
        </w:rPr>
      </w:pPr>
      <w:bookmarkStart w:id="0" w:name="_Hlk483247236"/>
      <w:bookmarkEnd w:id="0"/>
      <w:r w:rsidRPr="0022372B">
        <w:rPr>
          <w:color w:val="A9A8A9" w:themeColor="accent4"/>
          <w:sz w:val="16"/>
          <w:szCs w:val="16"/>
        </w:rPr>
        <w:t>_________________________________</w:t>
      </w:r>
    </w:p>
  </w:footnote>
  <w:footnote w:type="continuationSeparator" w:id="0">
    <w:p w14:paraId="3A29E700" w14:textId="77777777" w:rsidR="00610E03" w:rsidRPr="0022372B" w:rsidRDefault="00610E03"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Notice" w:id="1">
    <w:p w14:paraId="4B1D56AA" w14:textId="77777777" w:rsidR="00610E03" w:rsidRPr="00A176B6" w:rsidRDefault="00610E03" w:rsidP="00A176B6">
      <w:pPr>
        <w:spacing w:line="160" w:lineRule="exact"/>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CC7EC" w14:textId="77777777" w:rsidR="00610E03" w:rsidRDefault="00610E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8F945" w14:textId="77777777" w:rsidR="00610E03" w:rsidRDefault="00610E03" w:rsidP="005C6231">
    <w:pPr>
      <w:pStyle w:val="Header"/>
      <w:tabs>
        <w:tab w:val="clear" w:pos="7796"/>
        <w:tab w:val="left" w:pos="4621"/>
      </w:tabs>
      <w:ind w:left="-992" w:firstLine="568"/>
      <w:rPr>
        <w:b/>
        <w:noProof/>
        <w:sz w:val="24"/>
        <w:szCs w:val="24"/>
        <w:lang w:eastAsia="en-AU"/>
      </w:rPr>
    </w:pPr>
    <w:r>
      <w:rPr>
        <w:b/>
        <w:noProof/>
        <w:sz w:val="24"/>
        <w:szCs w:val="24"/>
        <w:lang w:eastAsia="en-AU"/>
      </w:rPr>
      <w:drawing>
        <wp:inline distT="0" distB="0" distL="0" distR="0" wp14:anchorId="584D89B2" wp14:editId="36EC6A85">
          <wp:extent cx="514350" cy="857250"/>
          <wp:effectExtent l="0" t="0" r="0" b="0"/>
          <wp:docPr id="200" name="Picture 200" descr="Gas Market Reform Group logo" title="GMR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857250"/>
                  </a:xfrm>
                  <a:prstGeom prst="rect">
                    <a:avLst/>
                  </a:prstGeom>
                  <a:noFill/>
                  <a:ln>
                    <a:noFill/>
                  </a:ln>
                </pic:spPr>
              </pic:pic>
            </a:graphicData>
          </a:graphic>
        </wp:inline>
      </w:drawing>
    </w:r>
  </w:p>
  <w:p w14:paraId="16F0A8D4" w14:textId="77777777" w:rsidR="00610E03" w:rsidRPr="004E0E8A" w:rsidRDefault="00610E03" w:rsidP="005C6231">
    <w:pPr>
      <w:pStyle w:val="Header"/>
      <w:tabs>
        <w:tab w:val="clear" w:pos="7796"/>
        <w:tab w:val="left" w:pos="4621"/>
      </w:tabs>
      <w:ind w:left="-992" w:firstLine="568"/>
      <w:rPr>
        <w:b/>
        <w:noProof/>
        <w:sz w:val="4"/>
        <w:szCs w:val="4"/>
        <w:lang w:eastAsia="en-A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E1BA7" w14:textId="77777777" w:rsidR="00610E03" w:rsidRDefault="00610E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2DB9"/>
    <w:multiLevelType w:val="multilevel"/>
    <w:tmpl w:val="E5E89F92"/>
    <w:styleLink w:val="BulletList"/>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lvl>
    <w:lvl w:ilvl="2">
      <w:start w:val="1"/>
      <w:numFmt w:val="none"/>
      <w:lvlText w:val=":"/>
      <w:lvlJc w:val="left"/>
      <w:pPr>
        <w:ind w:left="1106" w:hanging="369"/>
      </w:pPr>
    </w:lvl>
    <w:lvl w:ilvl="3">
      <w:start w:val="1"/>
      <w:numFmt w:val="none"/>
      <w:lvlText w:val=""/>
      <w:lvlJc w:val="left"/>
      <w:pPr>
        <w:ind w:left="1474" w:hanging="368"/>
      </w:pPr>
      <w:rPr>
        <w:color w:val="auto"/>
      </w:rPr>
    </w:lvl>
    <w:lvl w:ilvl="4">
      <w:start w:val="1"/>
      <w:numFmt w:val="none"/>
      <w:lvlText w:val=""/>
      <w:lvlJc w:val="left"/>
      <w:pPr>
        <w:ind w:left="1800" w:hanging="360"/>
      </w:pPr>
      <w:rPr>
        <w:color w:val="auto"/>
      </w:rPr>
    </w:lvl>
    <w:lvl w:ilvl="5">
      <w:start w:val="1"/>
      <w:numFmt w:val="none"/>
      <w:lvlText w:val=""/>
      <w:lvlJc w:val="left"/>
      <w:pPr>
        <w:ind w:left="2160" w:hanging="360"/>
      </w:pPr>
      <w:rPr>
        <w:color w:val="auto"/>
      </w:rPr>
    </w:lvl>
    <w:lvl w:ilvl="6">
      <w:start w:val="1"/>
      <w:numFmt w:val="none"/>
      <w:lvlText w:val=""/>
      <w:lvlJc w:val="left"/>
      <w:pPr>
        <w:ind w:left="2520" w:hanging="360"/>
      </w:pPr>
      <w:rPr>
        <w:color w:val="auto"/>
      </w:rPr>
    </w:lvl>
    <w:lvl w:ilvl="7">
      <w:start w:val="1"/>
      <w:numFmt w:val="none"/>
      <w:lvlText w:val=""/>
      <w:lvlJc w:val="left"/>
      <w:pPr>
        <w:ind w:left="2880" w:hanging="360"/>
      </w:pPr>
      <w:rPr>
        <w:color w:val="auto"/>
      </w:rPr>
    </w:lvl>
    <w:lvl w:ilvl="8">
      <w:start w:val="1"/>
      <w:numFmt w:val="none"/>
      <w:lvlText w:val=""/>
      <w:lvlJc w:val="left"/>
      <w:pPr>
        <w:ind w:left="3240" w:hanging="360"/>
      </w:pPr>
      <w:rPr>
        <w:color w:val="auto"/>
      </w:rPr>
    </w:lvl>
  </w:abstractNum>
  <w:abstractNum w:abstractNumId="1" w15:restartNumberingAfterBreak="0">
    <w:nsid w:val="00F7340A"/>
    <w:multiLevelType w:val="multilevel"/>
    <w:tmpl w:val="1BC81502"/>
    <w:lvl w:ilvl="0">
      <w:start w:val="1"/>
      <w:numFmt w:val="decimal"/>
      <w:pStyle w:val="TableListNumber"/>
      <w:lvlText w:val="%1."/>
      <w:lvlJc w:val="left"/>
      <w:pPr>
        <w:tabs>
          <w:tab w:val="num" w:pos="-31680"/>
        </w:tabs>
        <w:ind w:left="369" w:hanging="284"/>
      </w:pPr>
      <w:rPr>
        <w:rFonts w:hint="default"/>
      </w:rPr>
    </w:lvl>
    <w:lvl w:ilvl="1">
      <w:start w:val="1"/>
      <w:numFmt w:val="lowerLetter"/>
      <w:pStyle w:val="TableListNumber2"/>
      <w:lvlText w:val="%2."/>
      <w:lvlJc w:val="left"/>
      <w:pPr>
        <w:ind w:left="652" w:hanging="283"/>
      </w:pPr>
      <w:rPr>
        <w:rFonts w:hint="default"/>
      </w:rPr>
    </w:lvl>
    <w:lvl w:ilvl="2">
      <w:start w:val="1"/>
      <w:numFmt w:val="lowerRoman"/>
      <w:pStyle w:val="TableListNumber3"/>
      <w:lvlText w:val="%3."/>
      <w:lvlJc w:val="left"/>
      <w:pPr>
        <w:ind w:left="936"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6F68CE"/>
    <w:multiLevelType w:val="multilevel"/>
    <w:tmpl w:val="9F2A8B76"/>
    <w:styleLink w:val="MyListNumbering"/>
    <w:lvl w:ilvl="0">
      <w:start w:val="1"/>
      <w:numFmt w:val="lowerLetter"/>
      <w:lvlText w:val="(%1)"/>
      <w:lvlJc w:val="left"/>
      <w:pPr>
        <w:tabs>
          <w:tab w:val="num" w:pos="567"/>
        </w:tabs>
        <w:ind w:left="36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B57116"/>
    <w:multiLevelType w:val="multilevel"/>
    <w:tmpl w:val="D8C832B8"/>
    <w:name w:val="TableNumbering2"/>
    <w:lvl w:ilvl="0">
      <w:start w:val="1"/>
      <w:numFmt w:val="none"/>
      <w:suff w:val="nothing"/>
      <w:lvlText w:val=""/>
      <w:lvlJc w:val="left"/>
      <w:pPr>
        <w:ind w:left="113" w:firstLine="0"/>
      </w:pPr>
      <w:rPr>
        <w:rFonts w:hint="default"/>
      </w:rPr>
    </w:lvl>
    <w:lvl w:ilvl="1">
      <w:start w:val="1"/>
      <w:numFmt w:val="decimal"/>
      <w:lvlText w:val="(%2)"/>
      <w:lvlJc w:val="left"/>
      <w:pPr>
        <w:tabs>
          <w:tab w:val="num" w:pos="425"/>
        </w:tabs>
        <w:ind w:left="425" w:hanging="425"/>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4" w15:restartNumberingAfterBreak="0">
    <w:nsid w:val="0DA94F8D"/>
    <w:multiLevelType w:val="hybridMultilevel"/>
    <w:tmpl w:val="533A39D6"/>
    <w:lvl w:ilvl="0" w:tplc="933CFC40">
      <w:start w:val="1"/>
      <w:numFmt w:val="bullet"/>
      <w:lvlText w:val=""/>
      <w:lvlJc w:val="left"/>
      <w:pPr>
        <w:ind w:left="857" w:hanging="360"/>
      </w:pPr>
      <w:rPr>
        <w:rFonts w:ascii="Symbol" w:hAnsi="Symbol" w:hint="default"/>
      </w:rPr>
    </w:lvl>
    <w:lvl w:ilvl="1" w:tplc="0C090003">
      <w:start w:val="1"/>
      <w:numFmt w:val="bullet"/>
      <w:lvlText w:val="o"/>
      <w:lvlJc w:val="left"/>
      <w:pPr>
        <w:ind w:left="1577" w:hanging="360"/>
      </w:pPr>
      <w:rPr>
        <w:rFonts w:ascii="Courier New" w:hAnsi="Courier New" w:cs="Courier New" w:hint="default"/>
      </w:rPr>
    </w:lvl>
    <w:lvl w:ilvl="2" w:tplc="0C090005" w:tentative="1">
      <w:start w:val="1"/>
      <w:numFmt w:val="bullet"/>
      <w:lvlText w:val=""/>
      <w:lvlJc w:val="left"/>
      <w:pPr>
        <w:ind w:left="2297" w:hanging="360"/>
      </w:pPr>
      <w:rPr>
        <w:rFonts w:ascii="Wingdings" w:hAnsi="Wingdings" w:hint="default"/>
      </w:rPr>
    </w:lvl>
    <w:lvl w:ilvl="3" w:tplc="0C090001" w:tentative="1">
      <w:start w:val="1"/>
      <w:numFmt w:val="bullet"/>
      <w:lvlText w:val=""/>
      <w:lvlJc w:val="left"/>
      <w:pPr>
        <w:ind w:left="3017" w:hanging="360"/>
      </w:pPr>
      <w:rPr>
        <w:rFonts w:ascii="Symbol" w:hAnsi="Symbol" w:hint="default"/>
      </w:rPr>
    </w:lvl>
    <w:lvl w:ilvl="4" w:tplc="0C090003" w:tentative="1">
      <w:start w:val="1"/>
      <w:numFmt w:val="bullet"/>
      <w:lvlText w:val="o"/>
      <w:lvlJc w:val="left"/>
      <w:pPr>
        <w:ind w:left="3737" w:hanging="360"/>
      </w:pPr>
      <w:rPr>
        <w:rFonts w:ascii="Courier New" w:hAnsi="Courier New" w:cs="Courier New" w:hint="default"/>
      </w:rPr>
    </w:lvl>
    <w:lvl w:ilvl="5" w:tplc="0C090005" w:tentative="1">
      <w:start w:val="1"/>
      <w:numFmt w:val="bullet"/>
      <w:lvlText w:val=""/>
      <w:lvlJc w:val="left"/>
      <w:pPr>
        <w:ind w:left="4457" w:hanging="360"/>
      </w:pPr>
      <w:rPr>
        <w:rFonts w:ascii="Wingdings" w:hAnsi="Wingdings" w:hint="default"/>
      </w:rPr>
    </w:lvl>
    <w:lvl w:ilvl="6" w:tplc="0C090001" w:tentative="1">
      <w:start w:val="1"/>
      <w:numFmt w:val="bullet"/>
      <w:lvlText w:val=""/>
      <w:lvlJc w:val="left"/>
      <w:pPr>
        <w:ind w:left="5177" w:hanging="360"/>
      </w:pPr>
      <w:rPr>
        <w:rFonts w:ascii="Symbol" w:hAnsi="Symbol" w:hint="default"/>
      </w:rPr>
    </w:lvl>
    <w:lvl w:ilvl="7" w:tplc="0C090003" w:tentative="1">
      <w:start w:val="1"/>
      <w:numFmt w:val="bullet"/>
      <w:lvlText w:val="o"/>
      <w:lvlJc w:val="left"/>
      <w:pPr>
        <w:ind w:left="5897" w:hanging="360"/>
      </w:pPr>
      <w:rPr>
        <w:rFonts w:ascii="Courier New" w:hAnsi="Courier New" w:cs="Courier New" w:hint="default"/>
      </w:rPr>
    </w:lvl>
    <w:lvl w:ilvl="8" w:tplc="0C090005" w:tentative="1">
      <w:start w:val="1"/>
      <w:numFmt w:val="bullet"/>
      <w:lvlText w:val=""/>
      <w:lvlJc w:val="left"/>
      <w:pPr>
        <w:ind w:left="6617" w:hanging="360"/>
      </w:pPr>
      <w:rPr>
        <w:rFonts w:ascii="Wingdings" w:hAnsi="Wingdings" w:hint="default"/>
      </w:rPr>
    </w:lvl>
  </w:abstractNum>
  <w:abstractNum w:abstractNumId="5" w15:restartNumberingAfterBreak="0">
    <w:nsid w:val="0FB2573F"/>
    <w:multiLevelType w:val="multilevel"/>
    <w:tmpl w:val="DE1A4C60"/>
    <w:name w:val="TableFootnotes"/>
    <w:lvl w:ilvl="0">
      <w:start w:val="1"/>
      <w:numFmt w:val="none"/>
      <w:suff w:val="nothing"/>
      <w:lvlText w:val=""/>
      <w:lvlJc w:val="left"/>
      <w:pPr>
        <w:ind w:left="113" w:firstLine="0"/>
      </w:pPr>
      <w:rPr>
        <w:rFonts w:hint="default"/>
        <w:spacing w:val="-10"/>
      </w:rPr>
    </w:lvl>
    <w:lvl w:ilvl="1">
      <w:start w:val="1"/>
      <w:numFmt w:val="decimal"/>
      <w:lvlText w:val="(%2)"/>
      <w:lvlJc w:val="left"/>
      <w:pPr>
        <w:tabs>
          <w:tab w:val="num" w:pos="425"/>
        </w:tabs>
        <w:ind w:left="425" w:hanging="425"/>
      </w:pPr>
      <w:rPr>
        <w:rFonts w:hint="default"/>
        <w:spacing w:val="0"/>
        <w:w w:val="100"/>
        <w:kern w:val="0"/>
        <w:position w:val="0"/>
      </w:rPr>
    </w:lvl>
    <w:lvl w:ilvl="2">
      <w:start w:val="1"/>
      <w:numFmt w:val="none"/>
      <w:lvlRestart w:val="1"/>
      <w:lvlText w:val=""/>
      <w:lvlJc w:val="left"/>
      <w:pPr>
        <w:tabs>
          <w:tab w:val="num" w:pos="284"/>
        </w:tabs>
        <w:ind w:left="284" w:hanging="284"/>
      </w:pPr>
      <w:rPr>
        <w:rFonts w:hint="default"/>
        <w:color w:val="auto"/>
        <w:spacing w:val="-4"/>
      </w:rPr>
    </w:lvl>
    <w:lvl w:ilvl="3">
      <w:start w:val="1"/>
      <w:numFmt w:val="none"/>
      <w:lvlText w:val=""/>
      <w:lvlJc w:val="left"/>
      <w:pPr>
        <w:tabs>
          <w:tab w:val="num" w:pos="0"/>
        </w:tabs>
        <w:ind w:left="-709" w:firstLine="0"/>
      </w:pPr>
      <w:rPr>
        <w:rFonts w:hint="default"/>
        <w:spacing w:val="-10"/>
        <w:w w:val="10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2160"/>
        </w:tabs>
        <w:ind w:left="2016" w:hanging="936"/>
      </w:pPr>
      <w:rPr>
        <w:rFonts w:hint="default"/>
      </w:rPr>
    </w:lvl>
    <w:lvl w:ilvl="6">
      <w:start w:val="1"/>
      <w:numFmt w:val="lowerRoman"/>
      <w:lvlRestart w:val="1"/>
      <w:lvlText w:val="%7"/>
      <w:lvlJc w:val="left"/>
      <w:pPr>
        <w:tabs>
          <w:tab w:val="num" w:pos="369"/>
        </w:tabs>
        <w:ind w:left="369" w:hanging="369"/>
      </w:pPr>
      <w:rPr>
        <w:rFonts w:hint="default"/>
      </w:rPr>
    </w:lvl>
    <w:lvl w:ilvl="7">
      <w:start w:val="1"/>
      <w:numFmt w:val="lowerLetter"/>
      <w:lvlText w:val="%8."/>
      <w:lvlJc w:val="left"/>
      <w:pPr>
        <w:tabs>
          <w:tab w:val="num" w:pos="737"/>
        </w:tabs>
        <w:ind w:left="737" w:hanging="368"/>
      </w:pPr>
      <w:rPr>
        <w:rFonts w:hint="default"/>
        <w:position w:val="0"/>
      </w:rPr>
    </w:lvl>
    <w:lvl w:ilvl="8">
      <w:start w:val="1"/>
      <w:numFmt w:val="bullet"/>
      <w:lvlText w:val=""/>
      <w:lvlJc w:val="left"/>
      <w:pPr>
        <w:tabs>
          <w:tab w:val="num" w:pos="1106"/>
        </w:tabs>
        <w:ind w:left="1106" w:hanging="369"/>
      </w:pPr>
      <w:rPr>
        <w:rFonts w:ascii="Symbol" w:hAnsi="Symbol" w:hint="default"/>
        <w:position w:val="2"/>
        <w:sz w:val="20"/>
        <w:szCs w:val="20"/>
      </w:rPr>
    </w:lvl>
  </w:abstractNum>
  <w:abstractNum w:abstractNumId="6" w15:restartNumberingAfterBreak="0">
    <w:nsid w:val="14890D1D"/>
    <w:multiLevelType w:val="multilevel"/>
    <w:tmpl w:val="583A35FA"/>
    <w:name w:val="MyBullets"/>
    <w:lvl w:ilvl="0">
      <w:start w:val="7"/>
      <w:numFmt w:val="bullet"/>
      <w:lvlText w:val=""/>
      <w:lvlJc w:val="left"/>
      <w:pPr>
        <w:tabs>
          <w:tab w:val="num" w:pos="357"/>
        </w:tabs>
        <w:ind w:left="357" w:hanging="357"/>
      </w:pPr>
      <w:rPr>
        <w:rFonts w:ascii="Wingdings" w:hAnsi="Wingdings" w:hint="default"/>
        <w:color w:val="auto"/>
        <w:position w:val="1"/>
        <w:sz w:val="20"/>
      </w:rPr>
    </w:lvl>
    <w:lvl w:ilvl="1">
      <w:start w:val="5"/>
      <w:numFmt w:val="bullet"/>
      <w:lvlText w:val="—"/>
      <w:lvlJc w:val="left"/>
      <w:pPr>
        <w:tabs>
          <w:tab w:val="num" w:pos="3760"/>
        </w:tabs>
        <w:ind w:left="3760" w:hanging="357"/>
      </w:pPr>
      <w:rPr>
        <w:rFonts w:ascii="Book Antiqua" w:hAnsi="Book Antiqua" w:hint="default"/>
        <w:b w:val="0"/>
        <w:i w:val="0"/>
        <w:color w:val="auto"/>
        <w:position w:val="0"/>
        <w:sz w:val="20"/>
      </w:rPr>
    </w:lvl>
    <w:lvl w:ilvl="2">
      <w:start w:val="1"/>
      <w:numFmt w:val="bullet"/>
      <w:lvlText w:val=""/>
      <w:lvlJc w:val="left"/>
      <w:pPr>
        <w:tabs>
          <w:tab w:val="num" w:pos="1072"/>
        </w:tabs>
        <w:ind w:left="1071" w:hanging="357"/>
      </w:pPr>
      <w:rPr>
        <w:rFonts w:ascii="Wingdings" w:hAnsi="Wingdings" w:hint="default"/>
        <w:b w:val="0"/>
        <w:i w:val="0"/>
        <w:color w:val="auto"/>
        <w:position w:val="0"/>
        <w:sz w:val="22"/>
      </w:rPr>
    </w:lvl>
    <w:lvl w:ilvl="3">
      <w:start w:val="1"/>
      <w:numFmt w:val="bullet"/>
      <w:lvlText w:val="-"/>
      <w:lvlJc w:val="left"/>
      <w:pPr>
        <w:tabs>
          <w:tab w:val="num" w:pos="1638"/>
        </w:tabs>
        <w:ind w:left="1428" w:hanging="357"/>
      </w:pPr>
      <w:rPr>
        <w:rFonts w:ascii="Arial Rounded MT Bold" w:hAnsi="Arial Rounded MT Bold" w:hint="default"/>
        <w:color w:val="auto"/>
      </w:rPr>
    </w:lvl>
    <w:lvl w:ilvl="4">
      <w:start w:val="1"/>
      <w:numFmt w:val="bullet"/>
      <w:lvlText w:val="o"/>
      <w:lvlJc w:val="left"/>
      <w:pPr>
        <w:tabs>
          <w:tab w:val="num" w:pos="1995"/>
        </w:tabs>
        <w:ind w:left="1785" w:hanging="357"/>
      </w:pPr>
      <w:rPr>
        <w:rFonts w:ascii="Courier New" w:hAnsi="Courier New" w:hint="default"/>
        <w:color w:val="auto"/>
        <w:sz w:val="16"/>
      </w:rPr>
    </w:lvl>
    <w:lvl w:ilvl="5">
      <w:start w:val="1"/>
      <w:numFmt w:val="none"/>
      <w:lvlText w:val=""/>
      <w:lvlJc w:val="left"/>
      <w:pPr>
        <w:tabs>
          <w:tab w:val="num" w:pos="2352"/>
        </w:tabs>
        <w:ind w:left="2142" w:hanging="357"/>
      </w:pPr>
      <w:rPr>
        <w:rFonts w:hint="default"/>
      </w:rPr>
    </w:lvl>
    <w:lvl w:ilvl="6">
      <w:start w:val="1"/>
      <w:numFmt w:val="none"/>
      <w:lvlText w:val=""/>
      <w:lvlJc w:val="left"/>
      <w:pPr>
        <w:tabs>
          <w:tab w:val="num" w:pos="2709"/>
        </w:tabs>
        <w:ind w:left="2499" w:hanging="357"/>
      </w:pPr>
      <w:rPr>
        <w:rFonts w:hint="default"/>
      </w:rPr>
    </w:lvl>
    <w:lvl w:ilvl="7">
      <w:start w:val="1"/>
      <w:numFmt w:val="none"/>
      <w:lvlText w:val=""/>
      <w:lvlJc w:val="left"/>
      <w:pPr>
        <w:tabs>
          <w:tab w:val="num" w:pos="3066"/>
        </w:tabs>
        <w:ind w:left="2856" w:hanging="357"/>
      </w:pPr>
      <w:rPr>
        <w:rFonts w:hint="default"/>
      </w:rPr>
    </w:lvl>
    <w:lvl w:ilvl="8">
      <w:start w:val="1"/>
      <w:numFmt w:val="none"/>
      <w:lvlText w:val=""/>
      <w:lvlJc w:val="left"/>
      <w:pPr>
        <w:tabs>
          <w:tab w:val="num" w:pos="3423"/>
        </w:tabs>
        <w:ind w:left="3213" w:hanging="357"/>
      </w:pPr>
      <w:rPr>
        <w:rFonts w:hint="default"/>
      </w:rPr>
    </w:lvl>
  </w:abstractNum>
  <w:abstractNum w:abstractNumId="7" w15:restartNumberingAfterBreak="0">
    <w:nsid w:val="1BB820A4"/>
    <w:multiLevelType w:val="hybridMultilevel"/>
    <w:tmpl w:val="76D675BE"/>
    <w:lvl w:ilvl="0" w:tplc="0C090005">
      <w:start w:val="1"/>
      <w:numFmt w:val="bullet"/>
      <w:pStyle w:val="Bullet2b"/>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E752802"/>
    <w:multiLevelType w:val="hybridMultilevel"/>
    <w:tmpl w:val="57084850"/>
    <w:name w:val="MyNumbering33"/>
    <w:lvl w:ilvl="0" w:tplc="62EEBF52">
      <w:start w:val="1"/>
      <w:numFmt w:val="lowerLetter"/>
      <w:lvlText w:val="(%1)"/>
      <w:lvlJc w:val="left"/>
      <w:pPr>
        <w:ind w:left="720" w:hanging="360"/>
      </w:pPr>
      <w:rPr>
        <w:rFonts w:ascii="Arial" w:hAnsi="Arial" w:hint="default"/>
        <w:b w:val="0"/>
        <w:i w:val="0"/>
        <w:color w:val="231F20"/>
        <w:w w:val="100"/>
        <w:sz w:val="22"/>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FF6579C"/>
    <w:multiLevelType w:val="multilevel"/>
    <w:tmpl w:val="E0E2EF94"/>
    <w:name w:val="MyNumbering"/>
    <w:lvl w:ilvl="0">
      <w:start w:val="1"/>
      <w:numFmt w:val="decimal"/>
      <w:lvlText w:val="%1."/>
      <w:lvlJc w:val="left"/>
      <w:pPr>
        <w:ind w:left="360" w:hanging="360"/>
      </w:pPr>
      <w:rPr>
        <w:rFonts w:ascii="Arial" w:hAnsi="Arial" w:hint="default"/>
        <w:b w:val="0"/>
        <w:i w:val="0"/>
        <w:color w:val="auto"/>
        <w:sz w:val="22"/>
        <w:szCs w:val="18"/>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ind w:left="1071" w:hanging="357"/>
      </w:pPr>
      <w:rPr>
        <w:rFonts w:hint="default"/>
      </w:rPr>
    </w:lvl>
    <w:lvl w:ilvl="3">
      <w:start w:val="1"/>
      <w:numFmt w:val="upperLetter"/>
      <w:pStyle w:val="ListNumber4"/>
      <w:lvlText w:val="%4."/>
      <w:lvlJc w:val="left"/>
      <w:pPr>
        <w:ind w:left="1428" w:hanging="357"/>
      </w:pPr>
      <w:rPr>
        <w:rFonts w:hint="default"/>
      </w:rPr>
    </w:lvl>
    <w:lvl w:ilvl="4">
      <w:start w:val="1"/>
      <w:numFmt w:val="upperRoman"/>
      <w:pStyle w:val="ListNumber5"/>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10" w15:restartNumberingAfterBreak="0">
    <w:nsid w:val="226A6EE6"/>
    <w:multiLevelType w:val="multilevel"/>
    <w:tmpl w:val="E4FE780E"/>
    <w:lvl w:ilvl="0">
      <w:start w:val="1"/>
      <w:numFmt w:val="bullet"/>
      <w:pStyle w:val="TableBullet1"/>
      <w:lvlText w:val=""/>
      <w:lvlJc w:val="left"/>
      <w:pPr>
        <w:tabs>
          <w:tab w:val="num" w:pos="312"/>
        </w:tabs>
        <w:ind w:left="312" w:hanging="227"/>
      </w:pPr>
      <w:rPr>
        <w:rFonts w:ascii="Wingdings" w:hAnsi="Wingdings" w:hint="default"/>
        <w:color w:val="auto"/>
        <w:position w:val="0"/>
        <w:sz w:val="18"/>
      </w:rPr>
    </w:lvl>
    <w:lvl w:ilvl="1">
      <w:start w:val="1"/>
      <w:numFmt w:val="bullet"/>
      <w:pStyle w:val="TableBullet2"/>
      <w:lvlText w:val="–"/>
      <w:lvlJc w:val="left"/>
      <w:pPr>
        <w:tabs>
          <w:tab w:val="num" w:pos="539"/>
        </w:tabs>
        <w:ind w:left="539" w:hanging="227"/>
      </w:pPr>
      <w:rPr>
        <w:rFonts w:ascii="Arial" w:hAnsi="Arial" w:hint="default"/>
        <w:color w:val="auto"/>
        <w:position w:val="0"/>
        <w:sz w:val="18"/>
      </w:rPr>
    </w:lvl>
    <w:lvl w:ilvl="2">
      <w:start w:val="1"/>
      <w:numFmt w:val="bullet"/>
      <w:pStyle w:val="TableBullet3"/>
      <w:lvlText w:val="•"/>
      <w:lvlJc w:val="left"/>
      <w:pPr>
        <w:tabs>
          <w:tab w:val="num" w:pos="765"/>
        </w:tabs>
        <w:ind w:left="765" w:hanging="226"/>
      </w:pPr>
      <w:rPr>
        <w:rFonts w:ascii="Book Antiqua" w:hAnsi="Book Antiqua" w:hint="default"/>
        <w:color w:val="auto"/>
        <w:position w:val="0"/>
        <w:sz w:val="18"/>
      </w:rPr>
    </w:lvl>
    <w:lvl w:ilvl="3">
      <w:start w:val="1"/>
      <w:numFmt w:val="none"/>
      <w:lvlText w:val=""/>
      <w:lvlJc w:val="left"/>
      <w:pPr>
        <w:tabs>
          <w:tab w:val="num" w:pos="1021"/>
        </w:tabs>
        <w:ind w:left="908" w:hanging="227"/>
      </w:pPr>
      <w:rPr>
        <w:rFonts w:hint="default"/>
        <w:color w:val="214C90" w:themeColor="text2"/>
        <w:sz w:val="16"/>
      </w:rPr>
    </w:lvl>
    <w:lvl w:ilvl="4">
      <w:start w:val="1"/>
      <w:numFmt w:val="none"/>
      <w:lvlText w:val=""/>
      <w:lvlJc w:val="left"/>
      <w:pPr>
        <w:tabs>
          <w:tab w:val="num" w:pos="1248"/>
        </w:tabs>
        <w:ind w:left="1135" w:hanging="227"/>
      </w:pPr>
      <w:rPr>
        <w:rFonts w:hint="default"/>
        <w:color w:val="214C90" w:themeColor="text2"/>
      </w:rPr>
    </w:lvl>
    <w:lvl w:ilvl="5">
      <w:start w:val="1"/>
      <w:numFmt w:val="none"/>
      <w:lvlText w:val=""/>
      <w:lvlJc w:val="left"/>
      <w:pPr>
        <w:tabs>
          <w:tab w:val="num" w:pos="1475"/>
        </w:tabs>
        <w:ind w:left="1362" w:hanging="227"/>
      </w:pPr>
      <w:rPr>
        <w:rFonts w:hint="default"/>
      </w:rPr>
    </w:lvl>
    <w:lvl w:ilvl="6">
      <w:start w:val="1"/>
      <w:numFmt w:val="none"/>
      <w:lvlText w:val=""/>
      <w:lvlJc w:val="left"/>
      <w:pPr>
        <w:tabs>
          <w:tab w:val="num" w:pos="1702"/>
        </w:tabs>
        <w:ind w:left="1589" w:hanging="227"/>
      </w:pPr>
      <w:rPr>
        <w:rFonts w:hint="default"/>
      </w:rPr>
    </w:lvl>
    <w:lvl w:ilvl="7">
      <w:start w:val="1"/>
      <w:numFmt w:val="none"/>
      <w:lvlText w:val=""/>
      <w:lvlJc w:val="left"/>
      <w:pPr>
        <w:tabs>
          <w:tab w:val="num" w:pos="1929"/>
        </w:tabs>
        <w:ind w:left="1816" w:hanging="227"/>
      </w:pPr>
      <w:rPr>
        <w:rFonts w:hint="default"/>
      </w:rPr>
    </w:lvl>
    <w:lvl w:ilvl="8">
      <w:start w:val="1"/>
      <w:numFmt w:val="none"/>
      <w:lvlText w:val=""/>
      <w:lvlJc w:val="left"/>
      <w:pPr>
        <w:tabs>
          <w:tab w:val="num" w:pos="2156"/>
        </w:tabs>
        <w:ind w:left="2043" w:hanging="227"/>
      </w:pPr>
      <w:rPr>
        <w:rFonts w:hint="default"/>
      </w:rPr>
    </w:lvl>
  </w:abstractNum>
  <w:abstractNum w:abstractNumId="11" w15:restartNumberingAfterBreak="0">
    <w:nsid w:val="254A468D"/>
    <w:multiLevelType w:val="hybridMultilevel"/>
    <w:tmpl w:val="A3568734"/>
    <w:name w:val="MyNumbering32"/>
    <w:lvl w:ilvl="0" w:tplc="A432922E">
      <w:start w:val="1"/>
      <w:numFmt w:val="decimal"/>
      <w:lvlText w:val="(%1)"/>
      <w:lvlJc w:val="left"/>
      <w:pPr>
        <w:ind w:left="720" w:hanging="360"/>
      </w:pPr>
      <w:rPr>
        <w:rFonts w:ascii="Arial" w:hAnsi="Arial" w:hint="default"/>
        <w:b w:val="0"/>
        <w:i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54B6A47"/>
    <w:multiLevelType w:val="multilevel"/>
    <w:tmpl w:val="305A6728"/>
    <w:name w:val="AlphaList"/>
    <w:lvl w:ilvl="0">
      <w:start w:val="1"/>
      <w:numFmt w:val="lowerLetter"/>
      <w:lvlText w:val="(%1)"/>
      <w:lvlJc w:val="left"/>
      <w:pPr>
        <w:tabs>
          <w:tab w:val="num" w:pos="397"/>
        </w:tabs>
        <w:ind w:left="397" w:hanging="397"/>
      </w:pPr>
      <w:rPr>
        <w:rFonts w:hint="default"/>
      </w:rPr>
    </w:lvl>
    <w:lvl w:ilvl="1">
      <w:start w:val="1"/>
      <w:numFmt w:val="lowerRoman"/>
      <w:lvlText w:val="(%2)"/>
      <w:lvlJc w:val="left"/>
      <w:pPr>
        <w:tabs>
          <w:tab w:val="num" w:pos="794"/>
        </w:tabs>
        <w:ind w:left="794" w:hanging="397"/>
      </w:pPr>
      <w:rPr>
        <w:rFonts w:hint="default"/>
      </w:rPr>
    </w:lvl>
    <w:lvl w:ilvl="2">
      <w:start w:val="1"/>
      <w:numFmt w:val="upperLetter"/>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none"/>
      <w:lvlText w:val=""/>
      <w:lvlJc w:val="left"/>
      <w:pPr>
        <w:tabs>
          <w:tab w:val="num" w:pos="2013"/>
        </w:tabs>
        <w:ind w:left="1985" w:hanging="397"/>
      </w:pPr>
      <w:rPr>
        <w:rFonts w:hint="default"/>
      </w:rPr>
    </w:lvl>
    <w:lvl w:ilvl="5">
      <w:start w:val="1"/>
      <w:numFmt w:val="none"/>
      <w:lvlText w:val=""/>
      <w:lvlJc w:val="left"/>
      <w:pPr>
        <w:tabs>
          <w:tab w:val="num" w:pos="2410"/>
        </w:tabs>
        <w:ind w:left="2382" w:hanging="397"/>
      </w:pPr>
      <w:rPr>
        <w:rFonts w:hint="default"/>
      </w:rPr>
    </w:lvl>
    <w:lvl w:ilvl="6">
      <w:start w:val="1"/>
      <w:numFmt w:val="none"/>
      <w:lvlText w:val=""/>
      <w:lvlJc w:val="left"/>
      <w:pPr>
        <w:tabs>
          <w:tab w:val="num" w:pos="2807"/>
        </w:tabs>
        <w:ind w:left="2779" w:hanging="397"/>
      </w:pPr>
      <w:rPr>
        <w:rFonts w:hint="default"/>
      </w:rPr>
    </w:lvl>
    <w:lvl w:ilvl="7">
      <w:start w:val="1"/>
      <w:numFmt w:val="none"/>
      <w:lvlText w:val=""/>
      <w:lvlJc w:val="left"/>
      <w:pPr>
        <w:tabs>
          <w:tab w:val="num" w:pos="3204"/>
        </w:tabs>
        <w:ind w:left="3176" w:hanging="397"/>
      </w:pPr>
      <w:rPr>
        <w:rFonts w:hint="default"/>
      </w:rPr>
    </w:lvl>
    <w:lvl w:ilvl="8">
      <w:start w:val="1"/>
      <w:numFmt w:val="none"/>
      <w:lvlText w:val=""/>
      <w:lvlJc w:val="left"/>
      <w:pPr>
        <w:tabs>
          <w:tab w:val="num" w:pos="3601"/>
        </w:tabs>
        <w:ind w:left="3573" w:hanging="397"/>
      </w:pPr>
      <w:rPr>
        <w:rFonts w:hint="default"/>
      </w:rPr>
    </w:lvl>
  </w:abstractNum>
  <w:abstractNum w:abstractNumId="13" w15:restartNumberingAfterBreak="0">
    <w:nsid w:val="26292C5D"/>
    <w:multiLevelType w:val="hybridMultilevel"/>
    <w:tmpl w:val="51848B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15" w15:restartNumberingAfterBreak="0">
    <w:nsid w:val="2911260D"/>
    <w:multiLevelType w:val="multilevel"/>
    <w:tmpl w:val="BB8EE6B2"/>
    <w:lvl w:ilvl="0">
      <w:start w:val="1"/>
      <w:numFmt w:val="decimal"/>
      <w:pStyle w:val="NotesNumbered"/>
      <w:lvlText w:val="%1."/>
      <w:lvlJc w:val="left"/>
      <w:pPr>
        <w:tabs>
          <w:tab w:val="num" w:pos="284"/>
        </w:tabs>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9E20C04"/>
    <w:multiLevelType w:val="multilevel"/>
    <w:tmpl w:val="775ED5F2"/>
    <w:lvl w:ilvl="0">
      <w:start w:val="1"/>
      <w:numFmt w:val="upperLetter"/>
      <w:pStyle w:val="AppendixLevel1"/>
      <w:lvlText w:val="%1."/>
      <w:lvlJc w:val="left"/>
      <w:pPr>
        <w:ind w:left="1134" w:hanging="1134"/>
      </w:pPr>
    </w:lvl>
    <w:lvl w:ilvl="1">
      <w:start w:val="1"/>
      <w:numFmt w:val="decimal"/>
      <w:pStyle w:val="AppendixLevel2"/>
      <w:lvlText w:val="%1.%2"/>
      <w:lvlJc w:val="left"/>
      <w:pPr>
        <w:ind w:left="1134" w:hanging="1134"/>
      </w:pPr>
    </w:lvl>
    <w:lvl w:ilvl="2">
      <w:start w:val="1"/>
      <w:numFmt w:val="decimal"/>
      <w:pStyle w:val="AppendixLevel3"/>
      <w:lvlText w:val="%1.%2.%3"/>
      <w:lvlJc w:val="left"/>
      <w:pPr>
        <w:ind w:left="1134" w:hanging="1134"/>
      </w:pPr>
    </w:lvl>
    <w:lvl w:ilvl="3">
      <w:start w:val="1"/>
      <w:numFmt w:val="none"/>
      <w:lvlText w:val="(%4)"/>
      <w:lvlJc w:val="left"/>
      <w:pPr>
        <w:ind w:left="1808" w:hanging="737"/>
      </w:pPr>
    </w:lvl>
    <w:lvl w:ilvl="4">
      <w:start w:val="1"/>
      <w:numFmt w:val="lowerLetter"/>
      <w:lvlText w:val="(%5)"/>
      <w:lvlJc w:val="left"/>
      <w:pPr>
        <w:ind w:left="2165" w:hanging="737"/>
      </w:pPr>
    </w:lvl>
    <w:lvl w:ilvl="5">
      <w:start w:val="1"/>
      <w:numFmt w:val="lowerRoman"/>
      <w:lvlText w:val="(%6)"/>
      <w:lvlJc w:val="left"/>
      <w:pPr>
        <w:ind w:left="2522" w:hanging="737"/>
      </w:pPr>
    </w:lvl>
    <w:lvl w:ilvl="6">
      <w:start w:val="1"/>
      <w:numFmt w:val="decimal"/>
      <w:lvlText w:val="%7."/>
      <w:lvlJc w:val="left"/>
      <w:pPr>
        <w:ind w:left="2879" w:hanging="737"/>
      </w:pPr>
    </w:lvl>
    <w:lvl w:ilvl="7">
      <w:start w:val="1"/>
      <w:numFmt w:val="lowerLetter"/>
      <w:lvlText w:val="%8."/>
      <w:lvlJc w:val="left"/>
      <w:pPr>
        <w:ind w:left="3236" w:hanging="737"/>
      </w:pPr>
    </w:lvl>
    <w:lvl w:ilvl="8">
      <w:start w:val="1"/>
      <w:numFmt w:val="lowerRoman"/>
      <w:lvlText w:val="%9."/>
      <w:lvlJc w:val="left"/>
      <w:pPr>
        <w:ind w:left="3593" w:hanging="737"/>
      </w:pPr>
    </w:lvl>
  </w:abstractNum>
  <w:abstractNum w:abstractNumId="17" w15:restartNumberingAfterBreak="0">
    <w:nsid w:val="2C976934"/>
    <w:multiLevelType w:val="multilevel"/>
    <w:tmpl w:val="C9881CB4"/>
    <w:name w:val="TableBullets"/>
    <w:styleLink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8" w15:restartNumberingAfterBreak="0">
    <w:nsid w:val="315672CA"/>
    <w:multiLevelType w:val="multilevel"/>
    <w:tmpl w:val="938274C0"/>
    <w:name w:val="Table Numbering"/>
    <w:lvl w:ilvl="0">
      <w:start w:val="1"/>
      <w:numFmt w:val="decimal"/>
      <w:lvlText w:val="%1."/>
      <w:lvlJc w:val="left"/>
      <w:pPr>
        <w:tabs>
          <w:tab w:val="num" w:pos="425"/>
        </w:tabs>
        <w:ind w:left="425" w:hanging="425"/>
      </w:pPr>
      <w:rPr>
        <w:rFonts w:hint="default"/>
        <w:b/>
        <w:i w:val="0"/>
        <w:color w:val="auto"/>
      </w:rPr>
    </w:lvl>
    <w:lvl w:ilvl="1">
      <w:start w:val="1"/>
      <w:numFmt w:val="lowerLetter"/>
      <w:lvlText w:val="%2)"/>
      <w:lvlJc w:val="left"/>
      <w:pPr>
        <w:tabs>
          <w:tab w:val="num" w:pos="851"/>
        </w:tabs>
        <w:ind w:left="850" w:hanging="425"/>
      </w:pPr>
      <w:rPr>
        <w:rFonts w:hint="default"/>
        <w:b/>
        <w:i w:val="0"/>
        <w:color w:val="auto"/>
      </w:rPr>
    </w:lvl>
    <w:lvl w:ilvl="2">
      <w:start w:val="1"/>
      <w:numFmt w:val="lowerRoman"/>
      <w:lvlText w:val="%3)"/>
      <w:lvlJc w:val="left"/>
      <w:pPr>
        <w:tabs>
          <w:tab w:val="num" w:pos="1276"/>
        </w:tabs>
        <w:ind w:left="1275" w:hanging="425"/>
      </w:pPr>
      <w:rPr>
        <w:rFonts w:hint="default"/>
        <w:b/>
        <w:i w:val="0"/>
        <w:color w:val="auto"/>
        <w:sz w:val="18"/>
      </w:rPr>
    </w:lvl>
    <w:lvl w:ilvl="3">
      <w:start w:val="1"/>
      <w:numFmt w:val="none"/>
      <w:lvlText w:val="%4"/>
      <w:lvlJc w:val="left"/>
      <w:pPr>
        <w:tabs>
          <w:tab w:val="num" w:pos="1701"/>
        </w:tabs>
        <w:ind w:left="1700" w:hanging="425"/>
      </w:pPr>
      <w:rPr>
        <w:rFonts w:hint="default"/>
        <w:b/>
        <w:i w:val="0"/>
        <w:color w:val="000000" w:themeColor="text1"/>
      </w:rPr>
    </w:lvl>
    <w:lvl w:ilvl="4">
      <w:start w:val="1"/>
      <w:numFmt w:val="none"/>
      <w:lvlText w:val="%5"/>
      <w:lvlJc w:val="left"/>
      <w:pPr>
        <w:tabs>
          <w:tab w:val="num" w:pos="2126"/>
        </w:tabs>
        <w:ind w:left="2125" w:hanging="425"/>
      </w:pPr>
      <w:rPr>
        <w:rFonts w:hint="default"/>
        <w:b/>
        <w:i w:val="0"/>
        <w:color w:val="000000" w:themeColor="text1"/>
      </w:rPr>
    </w:lvl>
    <w:lvl w:ilvl="5">
      <w:start w:val="1"/>
      <w:numFmt w:val="none"/>
      <w:lvlText w:val=""/>
      <w:lvlJc w:val="left"/>
      <w:pPr>
        <w:tabs>
          <w:tab w:val="num" w:pos="2522"/>
        </w:tabs>
        <w:ind w:left="2550" w:hanging="425"/>
      </w:pPr>
      <w:rPr>
        <w:rFonts w:hint="default"/>
      </w:rPr>
    </w:lvl>
    <w:lvl w:ilvl="6">
      <w:start w:val="1"/>
      <w:numFmt w:val="none"/>
      <w:lvlText w:val=""/>
      <w:lvlJc w:val="left"/>
      <w:pPr>
        <w:tabs>
          <w:tab w:val="num" w:pos="2947"/>
        </w:tabs>
        <w:ind w:left="2975" w:hanging="425"/>
      </w:pPr>
      <w:rPr>
        <w:rFonts w:hint="default"/>
      </w:rPr>
    </w:lvl>
    <w:lvl w:ilvl="7">
      <w:start w:val="1"/>
      <w:numFmt w:val="none"/>
      <w:lvlText w:val=""/>
      <w:lvlJc w:val="left"/>
      <w:pPr>
        <w:tabs>
          <w:tab w:val="num" w:pos="3372"/>
        </w:tabs>
        <w:ind w:left="3400" w:hanging="425"/>
      </w:pPr>
      <w:rPr>
        <w:rFonts w:hint="default"/>
      </w:rPr>
    </w:lvl>
    <w:lvl w:ilvl="8">
      <w:start w:val="1"/>
      <w:numFmt w:val="none"/>
      <w:lvlText w:val=""/>
      <w:lvlJc w:val="left"/>
      <w:pPr>
        <w:tabs>
          <w:tab w:val="num" w:pos="3797"/>
        </w:tabs>
        <w:ind w:left="3825" w:hanging="425"/>
      </w:pPr>
      <w:rPr>
        <w:rFonts w:hint="default"/>
      </w:rPr>
    </w:lvl>
  </w:abstractNum>
  <w:abstractNum w:abstractNumId="19" w15:restartNumberingAfterBreak="0">
    <w:nsid w:val="3AC734CF"/>
    <w:multiLevelType w:val="hybridMultilevel"/>
    <w:tmpl w:val="6E9E426C"/>
    <w:name w:val="MyNumbering5"/>
    <w:lvl w:ilvl="0" w:tplc="A432922E">
      <w:start w:val="1"/>
      <w:numFmt w:val="decimal"/>
      <w:lvlText w:val="(%1)"/>
      <w:lvlJc w:val="left"/>
      <w:pPr>
        <w:ind w:left="720" w:hanging="360"/>
      </w:pPr>
      <w:rPr>
        <w:rFonts w:ascii="Arial" w:hAnsi="Arial" w:hint="default"/>
        <w:b w:val="0"/>
        <w:i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EDB238B"/>
    <w:multiLevelType w:val="multilevel"/>
    <w:tmpl w:val="761CA308"/>
    <w:lvl w:ilvl="0">
      <w:start w:val="1"/>
      <w:numFmt w:val="decimal"/>
      <w:pStyle w:val="Heading1"/>
      <w:lvlText w:val="%1."/>
      <w:lvlJc w:val="left"/>
      <w:pPr>
        <w:ind w:left="624" w:hanging="624"/>
      </w:pPr>
      <w:rPr>
        <w:rFonts w:hint="default"/>
      </w:rPr>
    </w:lvl>
    <w:lvl w:ilvl="1">
      <w:start w:val="1"/>
      <w:numFmt w:val="decimal"/>
      <w:pStyle w:val="Heading2"/>
      <w:lvlText w:val="%1.%2"/>
      <w:lvlJc w:val="left"/>
      <w:pPr>
        <w:ind w:left="3460" w:hanging="624"/>
      </w:pPr>
      <w:rPr>
        <w:rFonts w:hint="default"/>
      </w:rPr>
    </w:lvl>
    <w:lvl w:ilvl="2">
      <w:start w:val="1"/>
      <w:numFmt w:val="decimal"/>
      <w:pStyle w:val="Heading3"/>
      <w:lvlText w:val="%1.%2.%3"/>
      <w:lvlJc w:val="left"/>
      <w:pPr>
        <w:ind w:left="1192" w:hanging="624"/>
      </w:pPr>
      <w:rPr>
        <w:rFonts w:hint="default"/>
        <w:b/>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1" w15:restartNumberingAfterBreak="0">
    <w:nsid w:val="3F240BDB"/>
    <w:multiLevelType w:val="hybridMultilevel"/>
    <w:tmpl w:val="EDE639C2"/>
    <w:name w:val="MyNumbering4"/>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BFF2C71"/>
    <w:multiLevelType w:val="hybridMultilevel"/>
    <w:tmpl w:val="7160E82E"/>
    <w:name w:val="MyNumbering3"/>
    <w:lvl w:ilvl="0" w:tplc="9036DE78">
      <w:start w:val="1"/>
      <w:numFmt w:val="decimal"/>
      <w:lvlText w:val="(%1)"/>
      <w:lvlJc w:val="left"/>
      <w:pPr>
        <w:ind w:left="644" w:hanging="360"/>
      </w:pPr>
      <w:rPr>
        <w:rFonts w:ascii="Arial" w:hAnsi="Arial" w:hint="default"/>
        <w:b w:val="0"/>
        <w:i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EF67232"/>
    <w:multiLevelType w:val="multilevel"/>
    <w:tmpl w:val="100AAA4C"/>
    <w:name w:val="Axiom Appendices"/>
    <w:lvl w:ilvl="0">
      <w:start w:val="1"/>
      <w:numFmt w:val="upperLetter"/>
      <w:lvlRestart w:val="0"/>
      <w:pStyle w:val="Heading9"/>
      <w:lvlText w:val="Appendix %1"/>
      <w:lvlJc w:val="left"/>
      <w:pPr>
        <w:ind w:left="2268" w:hanging="2268"/>
      </w:pPr>
      <w:rPr>
        <w:rFonts w:hint="default"/>
      </w:rPr>
    </w:lvl>
    <w:lvl w:ilvl="1">
      <w:start w:val="1"/>
      <w:numFmt w:val="decimal"/>
      <w:pStyle w:val="AppendixHeading2"/>
      <w:lvlText w:val="%1.%2"/>
      <w:lvlJc w:val="left"/>
      <w:pPr>
        <w:ind w:left="851" w:hanging="851"/>
      </w:pPr>
      <w:rPr>
        <w:rFonts w:hint="default"/>
      </w:rPr>
    </w:lvl>
    <w:lvl w:ilvl="2">
      <w:start w:val="1"/>
      <w:numFmt w:val="decimal"/>
      <w:pStyle w:val="AppendixHeading3"/>
      <w:lvlText w:val="%1.%2.%3"/>
      <w:lvlJc w:val="left"/>
      <w:pPr>
        <w:ind w:left="851" w:hanging="851"/>
      </w:pPr>
      <w:rPr>
        <w:rFonts w:hint="default"/>
      </w:rPr>
    </w:lvl>
    <w:lvl w:ilvl="3">
      <w:start w:val="1"/>
      <w:numFmt w:val="decimal"/>
      <w:pStyle w:val="AppendixHeading4"/>
      <w:lvlText w:val="%1.%2.%3.%4"/>
      <w:lvlJc w:val="left"/>
      <w:pPr>
        <w:ind w:left="851" w:hanging="851"/>
      </w:pPr>
      <w:rPr>
        <w:rFonts w:hint="default"/>
        <w:b/>
        <w:i w:val="0"/>
      </w:rPr>
    </w:lvl>
    <w:lvl w:ilvl="4">
      <w:start w:val="1"/>
      <w:numFmt w:val="none"/>
      <w:suff w:val="spac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4" w15:restartNumberingAfterBreak="0">
    <w:nsid w:val="52456C28"/>
    <w:multiLevelType w:val="multilevel"/>
    <w:tmpl w:val="472A8ED0"/>
    <w:name w:val="U1_Legal Numbering"/>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tabs>
          <w:tab w:val="num" w:pos="1134"/>
        </w:tabs>
        <w:ind w:left="1814" w:hanging="680"/>
      </w:pPr>
      <w:rPr>
        <w:rFonts w:hint="default"/>
      </w:rPr>
    </w:lvl>
    <w:lvl w:ilvl="3">
      <w:start w:val="1"/>
      <w:numFmt w:val="decimal"/>
      <w:suff w:val="space"/>
      <w:lvlText w:val="%1.%2.%3.%4  "/>
      <w:lvlJc w:val="left"/>
      <w:pPr>
        <w:ind w:left="2268" w:hanging="454"/>
      </w:pPr>
      <w:rPr>
        <w:rFonts w:hint="default"/>
      </w:rPr>
    </w:lvl>
    <w:lvl w:ilvl="4">
      <w:start w:val="1"/>
      <w:numFmt w:val="none"/>
      <w:suff w:val="space"/>
      <w:lvlText w:val=""/>
      <w:lvlJc w:val="left"/>
      <w:pPr>
        <w:ind w:left="2835" w:hanging="567"/>
      </w:pPr>
      <w:rPr>
        <w:rFonts w:hint="default"/>
      </w:rPr>
    </w:lvl>
    <w:lvl w:ilvl="5">
      <w:start w:val="1"/>
      <w:numFmt w:val="none"/>
      <w:suff w:val="space"/>
      <w:lvlText w:val=""/>
      <w:lvlJc w:val="left"/>
      <w:pPr>
        <w:ind w:left="3402" w:hanging="567"/>
      </w:pPr>
      <w:rPr>
        <w:rFonts w:hint="default"/>
      </w:rPr>
    </w:lvl>
    <w:lvl w:ilvl="6">
      <w:start w:val="1"/>
      <w:numFmt w:val="none"/>
      <w:suff w:val="space"/>
      <w:lvlText w:val=""/>
      <w:lvlJc w:val="left"/>
      <w:pPr>
        <w:ind w:left="3969" w:hanging="567"/>
      </w:pPr>
      <w:rPr>
        <w:rFonts w:hint="default"/>
      </w:rPr>
    </w:lvl>
    <w:lvl w:ilvl="7">
      <w:start w:val="1"/>
      <w:numFmt w:val="none"/>
      <w:suff w:val="space"/>
      <w:lvlText w:val=""/>
      <w:lvlJc w:val="left"/>
      <w:pPr>
        <w:ind w:left="4536" w:hanging="567"/>
      </w:pPr>
      <w:rPr>
        <w:rFonts w:hint="default"/>
      </w:rPr>
    </w:lvl>
    <w:lvl w:ilvl="8">
      <w:start w:val="1"/>
      <w:numFmt w:val="none"/>
      <w:suff w:val="space"/>
      <w:lvlText w:val=""/>
      <w:lvlJc w:val="left"/>
      <w:pPr>
        <w:ind w:left="5103" w:hanging="567"/>
      </w:pPr>
      <w:rPr>
        <w:rFonts w:hint="default"/>
      </w:rPr>
    </w:lvl>
  </w:abstractNum>
  <w:abstractNum w:abstractNumId="25" w15:restartNumberingAfterBreak="0">
    <w:nsid w:val="52890B29"/>
    <w:multiLevelType w:val="hybridMultilevel"/>
    <w:tmpl w:val="067CFC18"/>
    <w:name w:val="MyHeadings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8741D25"/>
    <w:multiLevelType w:val="multilevel"/>
    <w:tmpl w:val="10107B4A"/>
    <w:name w:val="TableNumbering"/>
    <w:styleLink w:val="TableFootnotes"/>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27" w15:restartNumberingAfterBreak="0">
    <w:nsid w:val="5AE6625A"/>
    <w:multiLevelType w:val="multilevel"/>
    <w:tmpl w:val="FF203CF0"/>
    <w:name w:val="MyHeadings"/>
    <w:lvl w:ilvl="0">
      <w:start w:val="1"/>
      <w:numFmt w:val="decimal"/>
      <w:suff w:val="space"/>
      <w:lvlText w:val="%1."/>
      <w:lvlJc w:val="left"/>
      <w:pPr>
        <w:ind w:left="0" w:firstLine="0"/>
      </w:pPr>
      <w:rPr>
        <w:rFonts w:asciiTheme="majorHAnsi" w:hAnsiTheme="majorHAnsi" w:hint="default"/>
        <w:b/>
        <w:i w:val="0"/>
        <w:color w:val="E1E2E7" w:themeColor="background2"/>
        <w:sz w:val="40"/>
      </w:rPr>
    </w:lvl>
    <w:lvl w:ilvl="1">
      <w:start w:val="1"/>
      <w:numFmt w:val="decimal"/>
      <w:suff w:val="space"/>
      <w:lvlText w:val="%1.%2"/>
      <w:lvlJc w:val="left"/>
      <w:pPr>
        <w:ind w:left="0" w:firstLine="0"/>
      </w:pPr>
      <w:rPr>
        <w:rFonts w:asciiTheme="majorHAnsi" w:hAnsiTheme="majorHAnsi" w:hint="default"/>
        <w:b/>
        <w:i w:val="0"/>
        <w:color w:val="214C90" w:themeColor="text2"/>
        <w:spacing w:val="-6"/>
        <w:sz w:val="32"/>
      </w:rPr>
    </w:lvl>
    <w:lvl w:ilvl="2">
      <w:start w:val="1"/>
      <w:numFmt w:val="decimal"/>
      <w:suff w:val="space"/>
      <w:lvlText w:val="%1.%2.%3"/>
      <w:lvlJc w:val="left"/>
      <w:pPr>
        <w:ind w:left="0" w:firstLine="0"/>
      </w:pPr>
      <w:rPr>
        <w:rFonts w:asciiTheme="majorHAnsi" w:hAnsiTheme="majorHAnsi" w:hint="default"/>
        <w:b/>
        <w:i w:val="0"/>
        <w:color w:val="46A6A9" w:themeColor="accent2"/>
        <w:spacing w:val="-4"/>
        <w:sz w:val="24"/>
      </w:rPr>
    </w:lvl>
    <w:lvl w:ilvl="3">
      <w:start w:val="1"/>
      <w:numFmt w:val="decimal"/>
      <w:suff w:val="space"/>
      <w:lvlText w:val="%1.%2.%3.%4"/>
      <w:lvlJc w:val="left"/>
      <w:pPr>
        <w:ind w:left="0" w:firstLine="0"/>
      </w:pPr>
      <w:rPr>
        <w:rFonts w:asciiTheme="majorHAnsi" w:hAnsiTheme="majorHAnsi" w:hint="default"/>
        <w:b/>
        <w:i w:val="0"/>
        <w:color w:val="auto"/>
        <w:sz w:val="20"/>
      </w:rPr>
    </w:lvl>
    <w:lvl w:ilvl="4">
      <w:start w:val="1"/>
      <w:numFmt w:val="none"/>
      <w:suff w:val="space"/>
      <w:lvlText w:val=""/>
      <w:lvlJc w:val="left"/>
      <w:pPr>
        <w:ind w:left="0" w:firstLine="0"/>
      </w:pPr>
      <w:rPr>
        <w:rFonts w:hint="default"/>
      </w:rPr>
    </w:lvl>
    <w:lvl w:ilvl="5">
      <w:start w:val="1"/>
      <w:numFmt w:val="none"/>
      <w:lvlText w:val=""/>
      <w:lvlJc w:val="left"/>
      <w:pPr>
        <w:tabs>
          <w:tab w:val="num" w:pos="-31680"/>
        </w:tabs>
        <w:ind w:left="0" w:firstLine="0"/>
      </w:pPr>
      <w:rPr>
        <w:rFonts w:hint="default"/>
      </w:rPr>
    </w:lvl>
    <w:lvl w:ilvl="6">
      <w:start w:val="1"/>
      <w:numFmt w:val="none"/>
      <w:lvlText w:val=""/>
      <w:lvlJc w:val="left"/>
      <w:pPr>
        <w:tabs>
          <w:tab w:val="num" w:pos="-31680"/>
        </w:tabs>
        <w:ind w:left="0" w:firstLine="0"/>
      </w:pPr>
      <w:rPr>
        <w:rFonts w:hint="default"/>
      </w:rPr>
    </w:lvl>
    <w:lvl w:ilvl="7">
      <w:start w:val="1"/>
      <w:numFmt w:val="none"/>
      <w:lvlText w:val=""/>
      <w:lvlJc w:val="left"/>
      <w:pPr>
        <w:tabs>
          <w:tab w:val="num" w:pos="-3168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28" w15:restartNumberingAfterBreak="0">
    <w:nsid w:val="5B3A7D91"/>
    <w:multiLevelType w:val="hybridMultilevel"/>
    <w:tmpl w:val="0C56B464"/>
    <w:name w:val="MyNumbering2"/>
    <w:lvl w:ilvl="0" w:tplc="0214F168">
      <w:start w:val="1"/>
      <w:numFmt w:val="bullet"/>
      <w:lvlText w:val="o"/>
      <w:lvlJc w:val="left"/>
      <w:pPr>
        <w:ind w:left="6" w:hanging="360"/>
      </w:pPr>
      <w:rPr>
        <w:rFonts w:ascii="Courier New" w:hAnsi="Courier New" w:cs="Courier New" w:hint="default"/>
      </w:rPr>
    </w:lvl>
    <w:lvl w:ilvl="1" w:tplc="0C090003">
      <w:start w:val="1"/>
      <w:numFmt w:val="bullet"/>
      <w:lvlText w:val="o"/>
      <w:lvlJc w:val="left"/>
      <w:pPr>
        <w:ind w:left="726" w:hanging="360"/>
      </w:pPr>
      <w:rPr>
        <w:rFonts w:ascii="Courier New" w:hAnsi="Courier New" w:cs="Courier New" w:hint="default"/>
      </w:rPr>
    </w:lvl>
    <w:lvl w:ilvl="2" w:tplc="0C090005" w:tentative="1">
      <w:start w:val="1"/>
      <w:numFmt w:val="bullet"/>
      <w:lvlText w:val=""/>
      <w:lvlJc w:val="left"/>
      <w:pPr>
        <w:ind w:left="1446" w:hanging="360"/>
      </w:pPr>
      <w:rPr>
        <w:rFonts w:ascii="Wingdings" w:hAnsi="Wingdings" w:hint="default"/>
      </w:rPr>
    </w:lvl>
    <w:lvl w:ilvl="3" w:tplc="0C090001" w:tentative="1">
      <w:start w:val="1"/>
      <w:numFmt w:val="bullet"/>
      <w:lvlText w:val=""/>
      <w:lvlJc w:val="left"/>
      <w:pPr>
        <w:ind w:left="2166" w:hanging="360"/>
      </w:pPr>
      <w:rPr>
        <w:rFonts w:ascii="Symbol" w:hAnsi="Symbol" w:hint="default"/>
      </w:rPr>
    </w:lvl>
    <w:lvl w:ilvl="4" w:tplc="0C090003" w:tentative="1">
      <w:start w:val="1"/>
      <w:numFmt w:val="bullet"/>
      <w:lvlText w:val="o"/>
      <w:lvlJc w:val="left"/>
      <w:pPr>
        <w:ind w:left="2886" w:hanging="360"/>
      </w:pPr>
      <w:rPr>
        <w:rFonts w:ascii="Courier New" w:hAnsi="Courier New" w:cs="Courier New" w:hint="default"/>
      </w:rPr>
    </w:lvl>
    <w:lvl w:ilvl="5" w:tplc="0C090005" w:tentative="1">
      <w:start w:val="1"/>
      <w:numFmt w:val="bullet"/>
      <w:lvlText w:val=""/>
      <w:lvlJc w:val="left"/>
      <w:pPr>
        <w:ind w:left="3606" w:hanging="360"/>
      </w:pPr>
      <w:rPr>
        <w:rFonts w:ascii="Wingdings" w:hAnsi="Wingdings" w:hint="default"/>
      </w:rPr>
    </w:lvl>
    <w:lvl w:ilvl="6" w:tplc="0C090001" w:tentative="1">
      <w:start w:val="1"/>
      <w:numFmt w:val="bullet"/>
      <w:lvlText w:val=""/>
      <w:lvlJc w:val="left"/>
      <w:pPr>
        <w:ind w:left="4326" w:hanging="360"/>
      </w:pPr>
      <w:rPr>
        <w:rFonts w:ascii="Symbol" w:hAnsi="Symbol" w:hint="default"/>
      </w:rPr>
    </w:lvl>
    <w:lvl w:ilvl="7" w:tplc="0C090003" w:tentative="1">
      <w:start w:val="1"/>
      <w:numFmt w:val="bullet"/>
      <w:lvlText w:val="o"/>
      <w:lvlJc w:val="left"/>
      <w:pPr>
        <w:ind w:left="5046" w:hanging="360"/>
      </w:pPr>
      <w:rPr>
        <w:rFonts w:ascii="Courier New" w:hAnsi="Courier New" w:cs="Courier New" w:hint="default"/>
      </w:rPr>
    </w:lvl>
    <w:lvl w:ilvl="8" w:tplc="0C090005" w:tentative="1">
      <w:start w:val="1"/>
      <w:numFmt w:val="bullet"/>
      <w:lvlText w:val=""/>
      <w:lvlJc w:val="left"/>
      <w:pPr>
        <w:ind w:left="5766" w:hanging="360"/>
      </w:pPr>
      <w:rPr>
        <w:rFonts w:ascii="Wingdings" w:hAnsi="Wingdings" w:hint="default"/>
      </w:rPr>
    </w:lvl>
  </w:abstractNum>
  <w:abstractNum w:abstractNumId="29" w15:restartNumberingAfterBreak="0">
    <w:nsid w:val="5D0540A9"/>
    <w:multiLevelType w:val="multilevel"/>
    <w:tmpl w:val="DBC00818"/>
    <w:name w:val="MyAppendicesNumbering"/>
    <w:lvl w:ilvl="0">
      <w:start w:val="1"/>
      <w:numFmt w:val="upperLetter"/>
      <w:suff w:val="space"/>
      <w:lvlText w:val="Appendix %1."/>
      <w:lvlJc w:val="left"/>
      <w:pPr>
        <w:ind w:left="0" w:firstLine="0"/>
      </w:pPr>
      <w:rPr>
        <w:rFonts w:asciiTheme="majorHAnsi" w:hAnsiTheme="majorHAnsi" w:hint="default"/>
        <w:b/>
        <w:i w:val="0"/>
        <w:sz w:val="40"/>
      </w:rPr>
    </w:lvl>
    <w:lvl w:ilvl="1">
      <w:start w:val="1"/>
      <w:numFmt w:val="decimal"/>
      <w:suff w:val="space"/>
      <w:lvlText w:val="%1.%2"/>
      <w:lvlJc w:val="left"/>
      <w:pPr>
        <w:ind w:left="0" w:firstLine="0"/>
      </w:pPr>
      <w:rPr>
        <w:rFonts w:hint="default"/>
        <w:sz w:val="32"/>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right"/>
      <w:pPr>
        <w:tabs>
          <w:tab w:val="num" w:pos="2268"/>
        </w:tabs>
        <w:ind w:left="0" w:firstLine="0"/>
      </w:pPr>
      <w:rPr>
        <w:rFonts w:hint="default"/>
      </w:rPr>
    </w:lvl>
    <w:lvl w:ilvl="6">
      <w:start w:val="1"/>
      <w:numFmt w:val="none"/>
      <w:lvlText w:val=""/>
      <w:lvlJc w:val="left"/>
      <w:pPr>
        <w:tabs>
          <w:tab w:val="num" w:pos="2268"/>
        </w:tabs>
        <w:ind w:left="0" w:firstLine="0"/>
      </w:pPr>
      <w:rPr>
        <w:rFonts w:hint="default"/>
      </w:rPr>
    </w:lvl>
    <w:lvl w:ilvl="7">
      <w:start w:val="1"/>
      <w:numFmt w:val="none"/>
      <w:lvlText w:val=""/>
      <w:lvlJc w:val="left"/>
      <w:pPr>
        <w:tabs>
          <w:tab w:val="num" w:pos="2268"/>
        </w:tabs>
        <w:ind w:left="0" w:firstLine="0"/>
      </w:pPr>
      <w:rPr>
        <w:rFonts w:hint="default"/>
      </w:rPr>
    </w:lvl>
    <w:lvl w:ilvl="8">
      <w:start w:val="1"/>
      <w:numFmt w:val="none"/>
      <w:lvlText w:val=""/>
      <w:lvlJc w:val="right"/>
      <w:pPr>
        <w:tabs>
          <w:tab w:val="num" w:pos="2268"/>
        </w:tabs>
        <w:ind w:left="0" w:firstLine="0"/>
      </w:pPr>
      <w:rPr>
        <w:rFonts w:hint="default"/>
      </w:rPr>
    </w:lvl>
  </w:abstractNum>
  <w:abstractNum w:abstractNumId="30" w15:restartNumberingAfterBreak="0">
    <w:nsid w:val="62D54977"/>
    <w:multiLevelType w:val="multilevel"/>
    <w:tmpl w:val="4F909688"/>
    <w:lvl w:ilvl="0">
      <w:start w:val="1"/>
      <w:numFmt w:val="decimal"/>
      <w:lvlText w:val="%1."/>
      <w:lvlJc w:val="left"/>
      <w:pPr>
        <w:ind w:left="360" w:hanging="360"/>
      </w:pPr>
      <w:rPr>
        <w:rFonts w:hint="default"/>
        <w:b w:val="0"/>
        <w:i w:val="0"/>
        <w:color w:val="auto"/>
        <w:sz w:val="21"/>
        <w:szCs w:val="21"/>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upperLetter"/>
      <w:lvlText w:val="%4."/>
      <w:lvlJc w:val="left"/>
      <w:pPr>
        <w:ind w:left="1428" w:hanging="357"/>
      </w:pPr>
      <w:rPr>
        <w:rFonts w:hint="default"/>
      </w:rPr>
    </w:lvl>
    <w:lvl w:ilvl="4">
      <w:start w:val="1"/>
      <w:numFmt w:val="upperRoman"/>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31" w15:restartNumberingAfterBreak="0">
    <w:nsid w:val="6B364270"/>
    <w:multiLevelType w:val="hybridMultilevel"/>
    <w:tmpl w:val="2F0EA38E"/>
    <w:lvl w:ilvl="0" w:tplc="E6BAED44">
      <w:start w:val="1"/>
      <w:numFmt w:val="bullet"/>
      <w:pStyle w:val="ListBullet"/>
      <w:lvlText w:val=""/>
      <w:lvlJc w:val="left"/>
      <w:pPr>
        <w:ind w:left="502" w:hanging="360"/>
      </w:pPr>
      <w:rPr>
        <w:rFonts w:ascii="Wingdings" w:hAnsi="Wingdings" w:hint="default"/>
        <w:color w:val="000000" w:themeColor="text1"/>
        <w:sz w:val="22"/>
        <w:szCs w:val="26"/>
      </w:rPr>
    </w:lvl>
    <w:lvl w:ilvl="1" w:tplc="0C090003">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32" w15:restartNumberingAfterBreak="0">
    <w:nsid w:val="72224F0A"/>
    <w:multiLevelType w:val="multilevel"/>
    <w:tmpl w:val="4F5E492C"/>
    <w:name w:val="Bullets"/>
    <w:lvl w:ilvl="0">
      <w:start w:val="1"/>
      <w:numFmt w:val="bullet"/>
      <w:lvlText w:val=""/>
      <w:lvlJc w:val="left"/>
      <w:pPr>
        <w:tabs>
          <w:tab w:val="num" w:pos="425"/>
        </w:tabs>
        <w:ind w:left="425" w:hanging="425"/>
      </w:pPr>
      <w:rPr>
        <w:rFonts w:ascii="Wingdings" w:hAnsi="Wingdings" w:hint="default"/>
        <w:color w:val="214C90" w:themeColor="text2"/>
        <w:position w:val="0"/>
        <w:sz w:val="20"/>
      </w:rPr>
    </w:lvl>
    <w:lvl w:ilvl="1">
      <w:start w:val="1"/>
      <w:numFmt w:val="bullet"/>
      <w:lvlText w:val=""/>
      <w:lvlJc w:val="left"/>
      <w:pPr>
        <w:tabs>
          <w:tab w:val="num" w:pos="851"/>
        </w:tabs>
        <w:ind w:left="850" w:hanging="425"/>
      </w:pPr>
      <w:rPr>
        <w:rFonts w:ascii="Wingdings" w:hAnsi="Wingdings" w:hint="default"/>
        <w:color w:val="214C90" w:themeColor="text2"/>
      </w:rPr>
    </w:lvl>
    <w:lvl w:ilvl="2">
      <w:start w:val="1"/>
      <w:numFmt w:val="bullet"/>
      <w:lvlText w:val=""/>
      <w:lvlJc w:val="left"/>
      <w:pPr>
        <w:tabs>
          <w:tab w:val="num" w:pos="1276"/>
        </w:tabs>
        <w:ind w:left="1275" w:hanging="425"/>
      </w:pPr>
      <w:rPr>
        <w:rFonts w:ascii="Symbol" w:hAnsi="Symbol" w:hint="default"/>
        <w:color w:val="214C90" w:themeColor="text2"/>
      </w:rPr>
    </w:lvl>
    <w:lvl w:ilvl="3">
      <w:start w:val="1"/>
      <w:numFmt w:val="bullet"/>
      <w:lvlText w:val=""/>
      <w:lvlJc w:val="left"/>
      <w:pPr>
        <w:tabs>
          <w:tab w:val="num" w:pos="1701"/>
        </w:tabs>
        <w:ind w:left="1700" w:hanging="425"/>
      </w:pPr>
      <w:rPr>
        <w:rFonts w:ascii="Symbol" w:hAnsi="Symbol" w:hint="default"/>
        <w:color w:val="214C90" w:themeColor="text2"/>
        <w:sz w:val="20"/>
      </w:rPr>
    </w:lvl>
    <w:lvl w:ilvl="4">
      <w:start w:val="1"/>
      <w:numFmt w:val="bullet"/>
      <w:lvlText w:val=""/>
      <w:lvlJc w:val="left"/>
      <w:pPr>
        <w:tabs>
          <w:tab w:val="num" w:pos="2126"/>
        </w:tabs>
        <w:ind w:left="2125" w:hanging="425"/>
      </w:pPr>
      <w:rPr>
        <w:rFonts w:ascii="Wingdings" w:hAnsi="Wingdings" w:hint="default"/>
        <w:color w:val="214C90" w:themeColor="text2"/>
      </w:rPr>
    </w:lvl>
    <w:lvl w:ilvl="5">
      <w:start w:val="1"/>
      <w:numFmt w:val="lowerRoman"/>
      <w:lvlText w:val="(%6)"/>
      <w:lvlJc w:val="left"/>
      <w:pPr>
        <w:tabs>
          <w:tab w:val="num" w:pos="3630"/>
        </w:tabs>
        <w:ind w:left="2550" w:hanging="425"/>
      </w:pPr>
      <w:rPr>
        <w:rFonts w:hint="default"/>
      </w:rPr>
    </w:lvl>
    <w:lvl w:ilvl="6">
      <w:start w:val="1"/>
      <w:numFmt w:val="decimal"/>
      <w:lvlText w:val="%7."/>
      <w:lvlJc w:val="left"/>
      <w:pPr>
        <w:tabs>
          <w:tab w:val="num" w:pos="4055"/>
        </w:tabs>
        <w:ind w:left="2975" w:hanging="425"/>
      </w:pPr>
      <w:rPr>
        <w:rFonts w:hint="default"/>
      </w:rPr>
    </w:lvl>
    <w:lvl w:ilvl="7">
      <w:start w:val="1"/>
      <w:numFmt w:val="lowerLetter"/>
      <w:lvlText w:val="%8."/>
      <w:lvlJc w:val="left"/>
      <w:pPr>
        <w:tabs>
          <w:tab w:val="num" w:pos="4480"/>
        </w:tabs>
        <w:ind w:left="3400" w:hanging="425"/>
      </w:pPr>
      <w:rPr>
        <w:rFonts w:hint="default"/>
      </w:rPr>
    </w:lvl>
    <w:lvl w:ilvl="8">
      <w:start w:val="1"/>
      <w:numFmt w:val="lowerRoman"/>
      <w:lvlText w:val="%9."/>
      <w:lvlJc w:val="left"/>
      <w:pPr>
        <w:tabs>
          <w:tab w:val="num" w:pos="4905"/>
        </w:tabs>
        <w:ind w:left="3825" w:hanging="425"/>
      </w:pPr>
      <w:rPr>
        <w:rFonts w:hint="default"/>
      </w:rPr>
    </w:lvl>
  </w:abstractNum>
  <w:abstractNum w:abstractNumId="33"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34" w15:restartNumberingAfterBreak="0">
    <w:nsid w:val="79C13DF2"/>
    <w:multiLevelType w:val="hybridMultilevel"/>
    <w:tmpl w:val="615A1190"/>
    <w:lvl w:ilvl="0" w:tplc="0C090003">
      <w:start w:val="1"/>
      <w:numFmt w:val="bullet"/>
      <w:lvlText w:val="o"/>
      <w:lvlJc w:val="left"/>
      <w:pPr>
        <w:ind w:left="857" w:hanging="360"/>
      </w:pPr>
      <w:rPr>
        <w:rFonts w:ascii="Courier New" w:hAnsi="Courier New" w:cs="Courier New" w:hint="default"/>
      </w:rPr>
    </w:lvl>
    <w:lvl w:ilvl="1" w:tplc="0C090003">
      <w:start w:val="1"/>
      <w:numFmt w:val="bullet"/>
      <w:lvlText w:val="o"/>
      <w:lvlJc w:val="left"/>
      <w:pPr>
        <w:ind w:left="1577" w:hanging="360"/>
      </w:pPr>
      <w:rPr>
        <w:rFonts w:ascii="Courier New" w:hAnsi="Courier New" w:cs="Courier New" w:hint="default"/>
      </w:rPr>
    </w:lvl>
    <w:lvl w:ilvl="2" w:tplc="0C090005" w:tentative="1">
      <w:start w:val="1"/>
      <w:numFmt w:val="bullet"/>
      <w:lvlText w:val=""/>
      <w:lvlJc w:val="left"/>
      <w:pPr>
        <w:ind w:left="2297" w:hanging="360"/>
      </w:pPr>
      <w:rPr>
        <w:rFonts w:ascii="Wingdings" w:hAnsi="Wingdings" w:hint="default"/>
      </w:rPr>
    </w:lvl>
    <w:lvl w:ilvl="3" w:tplc="0C090001" w:tentative="1">
      <w:start w:val="1"/>
      <w:numFmt w:val="bullet"/>
      <w:lvlText w:val=""/>
      <w:lvlJc w:val="left"/>
      <w:pPr>
        <w:ind w:left="3017" w:hanging="360"/>
      </w:pPr>
      <w:rPr>
        <w:rFonts w:ascii="Symbol" w:hAnsi="Symbol" w:hint="default"/>
      </w:rPr>
    </w:lvl>
    <w:lvl w:ilvl="4" w:tplc="0C090003" w:tentative="1">
      <w:start w:val="1"/>
      <w:numFmt w:val="bullet"/>
      <w:lvlText w:val="o"/>
      <w:lvlJc w:val="left"/>
      <w:pPr>
        <w:ind w:left="3737" w:hanging="360"/>
      </w:pPr>
      <w:rPr>
        <w:rFonts w:ascii="Courier New" w:hAnsi="Courier New" w:cs="Courier New" w:hint="default"/>
      </w:rPr>
    </w:lvl>
    <w:lvl w:ilvl="5" w:tplc="0C090005" w:tentative="1">
      <w:start w:val="1"/>
      <w:numFmt w:val="bullet"/>
      <w:lvlText w:val=""/>
      <w:lvlJc w:val="left"/>
      <w:pPr>
        <w:ind w:left="4457" w:hanging="360"/>
      </w:pPr>
      <w:rPr>
        <w:rFonts w:ascii="Wingdings" w:hAnsi="Wingdings" w:hint="default"/>
      </w:rPr>
    </w:lvl>
    <w:lvl w:ilvl="6" w:tplc="0C090001" w:tentative="1">
      <w:start w:val="1"/>
      <w:numFmt w:val="bullet"/>
      <w:lvlText w:val=""/>
      <w:lvlJc w:val="left"/>
      <w:pPr>
        <w:ind w:left="5177" w:hanging="360"/>
      </w:pPr>
      <w:rPr>
        <w:rFonts w:ascii="Symbol" w:hAnsi="Symbol" w:hint="default"/>
      </w:rPr>
    </w:lvl>
    <w:lvl w:ilvl="7" w:tplc="0C090003" w:tentative="1">
      <w:start w:val="1"/>
      <w:numFmt w:val="bullet"/>
      <w:lvlText w:val="o"/>
      <w:lvlJc w:val="left"/>
      <w:pPr>
        <w:ind w:left="5897" w:hanging="360"/>
      </w:pPr>
      <w:rPr>
        <w:rFonts w:ascii="Courier New" w:hAnsi="Courier New" w:cs="Courier New" w:hint="default"/>
      </w:rPr>
    </w:lvl>
    <w:lvl w:ilvl="8" w:tplc="0C090005" w:tentative="1">
      <w:start w:val="1"/>
      <w:numFmt w:val="bullet"/>
      <w:lvlText w:val=""/>
      <w:lvlJc w:val="left"/>
      <w:pPr>
        <w:ind w:left="6617" w:hanging="360"/>
      </w:pPr>
      <w:rPr>
        <w:rFonts w:ascii="Wingdings" w:hAnsi="Wingdings" w:hint="default"/>
      </w:rPr>
    </w:lvl>
  </w:abstractNum>
  <w:abstractNum w:abstractNumId="35" w15:restartNumberingAfterBreak="0">
    <w:nsid w:val="7E030DAE"/>
    <w:multiLevelType w:val="multilevel"/>
    <w:tmpl w:val="0C09001D"/>
    <w:name w:val="MyNumbering"/>
    <w:lvl w:ilvl="0">
      <w:start w:val="1"/>
      <w:numFmt w:val="decimal"/>
      <w:lvlText w:val="%1)"/>
      <w:lvlJc w:val="left"/>
      <w:pPr>
        <w:ind w:left="1779" w:hanging="360"/>
      </w:pPr>
      <w:rPr>
        <w:rFonts w:hint="default"/>
        <w:b w:val="0"/>
        <w:i w:val="0"/>
        <w:color w:val="auto"/>
        <w:sz w:val="22"/>
      </w:rPr>
    </w:lvl>
    <w:lvl w:ilvl="1">
      <w:start w:val="1"/>
      <w:numFmt w:val="lowerLetter"/>
      <w:lvlText w:val="%2)"/>
      <w:lvlJc w:val="left"/>
      <w:pPr>
        <w:ind w:left="2139" w:hanging="360"/>
      </w:pPr>
      <w:rPr>
        <w:rFonts w:hint="default"/>
        <w:b w:val="0"/>
        <w:i w:val="0"/>
        <w:color w:val="auto"/>
        <w:sz w:val="22"/>
      </w:rPr>
    </w:lvl>
    <w:lvl w:ilvl="2">
      <w:start w:val="1"/>
      <w:numFmt w:val="lowerRoman"/>
      <w:lvlText w:val="%3)"/>
      <w:lvlJc w:val="left"/>
      <w:pPr>
        <w:ind w:left="2499"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59" w:hanging="360"/>
      </w:pPr>
      <w:rPr>
        <w:rFonts w:hint="default"/>
        <w:b w:val="0"/>
        <w:i w:val="0"/>
        <w:color w:val="auto"/>
      </w:rPr>
    </w:lvl>
    <w:lvl w:ilvl="4">
      <w:start w:val="1"/>
      <w:numFmt w:val="lowerLetter"/>
      <w:lvlText w:val="(%5)"/>
      <w:lvlJc w:val="left"/>
      <w:pPr>
        <w:ind w:left="3219" w:hanging="360"/>
      </w:pPr>
      <w:rPr>
        <w:rFonts w:hint="default"/>
        <w:b w:val="0"/>
        <w:i w:val="0"/>
        <w:color w:val="auto"/>
      </w:rPr>
    </w:lvl>
    <w:lvl w:ilvl="5">
      <w:start w:val="1"/>
      <w:numFmt w:val="lowerRoman"/>
      <w:lvlText w:val="(%6)"/>
      <w:lvlJc w:val="left"/>
      <w:pPr>
        <w:ind w:left="3579" w:hanging="360"/>
      </w:pPr>
      <w:rPr>
        <w:rFonts w:hint="default"/>
      </w:rPr>
    </w:lvl>
    <w:lvl w:ilvl="6">
      <w:start w:val="1"/>
      <w:numFmt w:val="decimal"/>
      <w:lvlText w:val="%7."/>
      <w:lvlJc w:val="left"/>
      <w:pPr>
        <w:ind w:left="3939" w:hanging="360"/>
      </w:pPr>
      <w:rPr>
        <w:rFonts w:hint="default"/>
      </w:rPr>
    </w:lvl>
    <w:lvl w:ilvl="7">
      <w:start w:val="1"/>
      <w:numFmt w:val="lowerLetter"/>
      <w:lvlText w:val="%8."/>
      <w:lvlJc w:val="left"/>
      <w:pPr>
        <w:ind w:left="4299" w:hanging="360"/>
      </w:pPr>
      <w:rPr>
        <w:rFonts w:hint="default"/>
      </w:rPr>
    </w:lvl>
    <w:lvl w:ilvl="8">
      <w:start w:val="1"/>
      <w:numFmt w:val="lowerRoman"/>
      <w:lvlText w:val="%9."/>
      <w:lvlJc w:val="left"/>
      <w:pPr>
        <w:ind w:left="4659" w:hanging="360"/>
      </w:pPr>
      <w:rPr>
        <w:rFonts w:hint="default"/>
      </w:rPr>
    </w:lvl>
  </w:abstractNum>
  <w:num w:numId="1">
    <w:abstractNumId w:val="14"/>
  </w:num>
  <w:num w:numId="2">
    <w:abstractNumId w:val="2"/>
  </w:num>
  <w:num w:numId="3">
    <w:abstractNumId w:val="17"/>
  </w:num>
  <w:num w:numId="4">
    <w:abstractNumId w:val="26"/>
  </w:num>
  <w:num w:numId="5">
    <w:abstractNumId w:val="23"/>
  </w:num>
  <w:num w:numId="6">
    <w:abstractNumId w:val="15"/>
  </w:num>
  <w:num w:numId="7">
    <w:abstractNumId w:val="9"/>
  </w:num>
  <w:num w:numId="8">
    <w:abstractNumId w:val="10"/>
  </w:num>
  <w:num w:numId="9">
    <w:abstractNumId w:val="1"/>
  </w:num>
  <w:num w:numId="10">
    <w:abstractNumId w:val="20"/>
  </w:num>
  <w:num w:numId="11">
    <w:abstractNumId w:val="0"/>
  </w:num>
  <w:num w:numId="12">
    <w:abstractNumId w:val="33"/>
  </w:num>
  <w:num w:numId="13">
    <w:abstractNumId w:val="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3"/>
  </w:num>
  <w:num w:numId="17">
    <w:abstractNumId w:val="34"/>
  </w:num>
  <w:num w:numId="18">
    <w:abstractNumId w:val="4"/>
  </w:num>
  <w:num w:numId="19">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drawingGridHorizontalSpacing w:val="110"/>
  <w:displayHorizontalDrawingGridEvery w:val="2"/>
  <w:characterSpacingControl w:val="doNotCompress"/>
  <w:hdrShapeDefaults>
    <o:shapedefaults v:ext="edit" spidmax="1843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9F6"/>
    <w:rsid w:val="00000093"/>
    <w:rsid w:val="00000194"/>
    <w:rsid w:val="0000032A"/>
    <w:rsid w:val="00000333"/>
    <w:rsid w:val="000009F2"/>
    <w:rsid w:val="00000E4C"/>
    <w:rsid w:val="00000F32"/>
    <w:rsid w:val="00001299"/>
    <w:rsid w:val="00001322"/>
    <w:rsid w:val="00001DFB"/>
    <w:rsid w:val="000025DD"/>
    <w:rsid w:val="0000290E"/>
    <w:rsid w:val="00002B57"/>
    <w:rsid w:val="00002B88"/>
    <w:rsid w:val="000035F6"/>
    <w:rsid w:val="000037E4"/>
    <w:rsid w:val="0000382F"/>
    <w:rsid w:val="000038C7"/>
    <w:rsid w:val="00004219"/>
    <w:rsid w:val="00004810"/>
    <w:rsid w:val="00004A68"/>
    <w:rsid w:val="000057E4"/>
    <w:rsid w:val="0000598E"/>
    <w:rsid w:val="00005A5C"/>
    <w:rsid w:val="00006028"/>
    <w:rsid w:val="000063C4"/>
    <w:rsid w:val="000064DC"/>
    <w:rsid w:val="0000650B"/>
    <w:rsid w:val="000068B5"/>
    <w:rsid w:val="00006DD3"/>
    <w:rsid w:val="00006F35"/>
    <w:rsid w:val="00007007"/>
    <w:rsid w:val="0000712D"/>
    <w:rsid w:val="0001007D"/>
    <w:rsid w:val="000105A9"/>
    <w:rsid w:val="00010618"/>
    <w:rsid w:val="00010AE5"/>
    <w:rsid w:val="00011772"/>
    <w:rsid w:val="00011D8F"/>
    <w:rsid w:val="00011DC3"/>
    <w:rsid w:val="00011DFA"/>
    <w:rsid w:val="00011F39"/>
    <w:rsid w:val="0001201E"/>
    <w:rsid w:val="00012054"/>
    <w:rsid w:val="00012371"/>
    <w:rsid w:val="000125A5"/>
    <w:rsid w:val="000126A8"/>
    <w:rsid w:val="00012A82"/>
    <w:rsid w:val="00012E22"/>
    <w:rsid w:val="00012FB5"/>
    <w:rsid w:val="00013465"/>
    <w:rsid w:val="00013490"/>
    <w:rsid w:val="00013597"/>
    <w:rsid w:val="000136C0"/>
    <w:rsid w:val="00013700"/>
    <w:rsid w:val="00013D78"/>
    <w:rsid w:val="00013FB3"/>
    <w:rsid w:val="00014071"/>
    <w:rsid w:val="000140CE"/>
    <w:rsid w:val="00014383"/>
    <w:rsid w:val="00014393"/>
    <w:rsid w:val="000144D3"/>
    <w:rsid w:val="00014E45"/>
    <w:rsid w:val="00015643"/>
    <w:rsid w:val="00015650"/>
    <w:rsid w:val="00015CD4"/>
    <w:rsid w:val="00015F5F"/>
    <w:rsid w:val="0001614C"/>
    <w:rsid w:val="0001645A"/>
    <w:rsid w:val="00016CA2"/>
    <w:rsid w:val="0001718D"/>
    <w:rsid w:val="000171D8"/>
    <w:rsid w:val="000173A1"/>
    <w:rsid w:val="00017BB7"/>
    <w:rsid w:val="00017E18"/>
    <w:rsid w:val="00020425"/>
    <w:rsid w:val="00020547"/>
    <w:rsid w:val="000205FF"/>
    <w:rsid w:val="00020A68"/>
    <w:rsid w:val="00020F11"/>
    <w:rsid w:val="00021F13"/>
    <w:rsid w:val="000221B9"/>
    <w:rsid w:val="00022949"/>
    <w:rsid w:val="00022B6D"/>
    <w:rsid w:val="00022C5C"/>
    <w:rsid w:val="0002318A"/>
    <w:rsid w:val="00023518"/>
    <w:rsid w:val="00023619"/>
    <w:rsid w:val="0002371F"/>
    <w:rsid w:val="000237DE"/>
    <w:rsid w:val="00023F61"/>
    <w:rsid w:val="00024007"/>
    <w:rsid w:val="0002441E"/>
    <w:rsid w:val="00024931"/>
    <w:rsid w:val="00024E5F"/>
    <w:rsid w:val="00024FBE"/>
    <w:rsid w:val="00025161"/>
    <w:rsid w:val="000252F6"/>
    <w:rsid w:val="0002642C"/>
    <w:rsid w:val="0002668E"/>
    <w:rsid w:val="00026A77"/>
    <w:rsid w:val="00026A90"/>
    <w:rsid w:val="00026ED5"/>
    <w:rsid w:val="00027203"/>
    <w:rsid w:val="00027800"/>
    <w:rsid w:val="00027ADC"/>
    <w:rsid w:val="00027BC7"/>
    <w:rsid w:val="00027C6C"/>
    <w:rsid w:val="000301B7"/>
    <w:rsid w:val="00030349"/>
    <w:rsid w:val="00030444"/>
    <w:rsid w:val="0003062F"/>
    <w:rsid w:val="0003079E"/>
    <w:rsid w:val="00030986"/>
    <w:rsid w:val="00030EA5"/>
    <w:rsid w:val="000313B0"/>
    <w:rsid w:val="00031503"/>
    <w:rsid w:val="00031832"/>
    <w:rsid w:val="000318C7"/>
    <w:rsid w:val="00032A32"/>
    <w:rsid w:val="00032E8F"/>
    <w:rsid w:val="00033625"/>
    <w:rsid w:val="00033746"/>
    <w:rsid w:val="00033C30"/>
    <w:rsid w:val="000343D3"/>
    <w:rsid w:val="0003487B"/>
    <w:rsid w:val="0003511B"/>
    <w:rsid w:val="0003553E"/>
    <w:rsid w:val="00035A63"/>
    <w:rsid w:val="00035A66"/>
    <w:rsid w:val="00035AD2"/>
    <w:rsid w:val="000362CA"/>
    <w:rsid w:val="00036BCF"/>
    <w:rsid w:val="00036D45"/>
    <w:rsid w:val="00036F9E"/>
    <w:rsid w:val="00037286"/>
    <w:rsid w:val="000374E9"/>
    <w:rsid w:val="00040011"/>
    <w:rsid w:val="0004046E"/>
    <w:rsid w:val="0004048B"/>
    <w:rsid w:val="00040D3F"/>
    <w:rsid w:val="00040FD1"/>
    <w:rsid w:val="00041189"/>
    <w:rsid w:val="00041613"/>
    <w:rsid w:val="00041B06"/>
    <w:rsid w:val="00041CE0"/>
    <w:rsid w:val="00041D53"/>
    <w:rsid w:val="00042C9F"/>
    <w:rsid w:val="00042CAF"/>
    <w:rsid w:val="0004310E"/>
    <w:rsid w:val="000431D6"/>
    <w:rsid w:val="000434CC"/>
    <w:rsid w:val="00043B16"/>
    <w:rsid w:val="00043B69"/>
    <w:rsid w:val="00043CF2"/>
    <w:rsid w:val="0004454F"/>
    <w:rsid w:val="00044F8F"/>
    <w:rsid w:val="00044FDB"/>
    <w:rsid w:val="00045471"/>
    <w:rsid w:val="00045A2E"/>
    <w:rsid w:val="00045D96"/>
    <w:rsid w:val="00045F34"/>
    <w:rsid w:val="0004747E"/>
    <w:rsid w:val="00047A4F"/>
    <w:rsid w:val="00047C91"/>
    <w:rsid w:val="00050713"/>
    <w:rsid w:val="0005109B"/>
    <w:rsid w:val="000510BB"/>
    <w:rsid w:val="00051B20"/>
    <w:rsid w:val="00051CAD"/>
    <w:rsid w:val="00051D5C"/>
    <w:rsid w:val="00051F2B"/>
    <w:rsid w:val="00052454"/>
    <w:rsid w:val="0005252A"/>
    <w:rsid w:val="00052756"/>
    <w:rsid w:val="0005283A"/>
    <w:rsid w:val="00052A4B"/>
    <w:rsid w:val="00052C84"/>
    <w:rsid w:val="0005387E"/>
    <w:rsid w:val="000539FE"/>
    <w:rsid w:val="00053A10"/>
    <w:rsid w:val="000540B4"/>
    <w:rsid w:val="00054315"/>
    <w:rsid w:val="000548CD"/>
    <w:rsid w:val="000555F9"/>
    <w:rsid w:val="00055A15"/>
    <w:rsid w:val="00055FA7"/>
    <w:rsid w:val="00056069"/>
    <w:rsid w:val="00056406"/>
    <w:rsid w:val="00056D42"/>
    <w:rsid w:val="0005705F"/>
    <w:rsid w:val="00057226"/>
    <w:rsid w:val="00057416"/>
    <w:rsid w:val="000574CC"/>
    <w:rsid w:val="00057661"/>
    <w:rsid w:val="00057ACD"/>
    <w:rsid w:val="000603F0"/>
    <w:rsid w:val="0006053E"/>
    <w:rsid w:val="000605C8"/>
    <w:rsid w:val="000608FB"/>
    <w:rsid w:val="00060B55"/>
    <w:rsid w:val="00060B9F"/>
    <w:rsid w:val="00061733"/>
    <w:rsid w:val="000618EC"/>
    <w:rsid w:val="00061E0A"/>
    <w:rsid w:val="00061FE1"/>
    <w:rsid w:val="0006283C"/>
    <w:rsid w:val="00062F76"/>
    <w:rsid w:val="0006321C"/>
    <w:rsid w:val="000634B5"/>
    <w:rsid w:val="000635DA"/>
    <w:rsid w:val="0006386D"/>
    <w:rsid w:val="00063CB1"/>
    <w:rsid w:val="000642D2"/>
    <w:rsid w:val="000650A0"/>
    <w:rsid w:val="0006590D"/>
    <w:rsid w:val="00065B1F"/>
    <w:rsid w:val="00065CDA"/>
    <w:rsid w:val="00065CFC"/>
    <w:rsid w:val="00065D1B"/>
    <w:rsid w:val="00065E93"/>
    <w:rsid w:val="00066037"/>
    <w:rsid w:val="00066597"/>
    <w:rsid w:val="000665B5"/>
    <w:rsid w:val="00066710"/>
    <w:rsid w:val="00066A4B"/>
    <w:rsid w:val="00066CEB"/>
    <w:rsid w:val="000679A1"/>
    <w:rsid w:val="00067A55"/>
    <w:rsid w:val="00067F43"/>
    <w:rsid w:val="00070500"/>
    <w:rsid w:val="00070897"/>
    <w:rsid w:val="000709D4"/>
    <w:rsid w:val="00070F1F"/>
    <w:rsid w:val="00070F27"/>
    <w:rsid w:val="00071915"/>
    <w:rsid w:val="00071A2F"/>
    <w:rsid w:val="00071F31"/>
    <w:rsid w:val="0007368F"/>
    <w:rsid w:val="000738AF"/>
    <w:rsid w:val="00073C88"/>
    <w:rsid w:val="00073DDA"/>
    <w:rsid w:val="000747C4"/>
    <w:rsid w:val="00074C02"/>
    <w:rsid w:val="00074E5F"/>
    <w:rsid w:val="00074EF6"/>
    <w:rsid w:val="0007575C"/>
    <w:rsid w:val="00075AB0"/>
    <w:rsid w:val="00075D68"/>
    <w:rsid w:val="000764DD"/>
    <w:rsid w:val="00076A72"/>
    <w:rsid w:val="00076A7D"/>
    <w:rsid w:val="00076CEC"/>
    <w:rsid w:val="000774B5"/>
    <w:rsid w:val="0007757A"/>
    <w:rsid w:val="00077CD3"/>
    <w:rsid w:val="00077EB2"/>
    <w:rsid w:val="00080079"/>
    <w:rsid w:val="00080E11"/>
    <w:rsid w:val="00081E4E"/>
    <w:rsid w:val="00082139"/>
    <w:rsid w:val="00082339"/>
    <w:rsid w:val="00082CAC"/>
    <w:rsid w:val="00082CF7"/>
    <w:rsid w:val="000831F0"/>
    <w:rsid w:val="00084311"/>
    <w:rsid w:val="00084562"/>
    <w:rsid w:val="00084B10"/>
    <w:rsid w:val="00084BE8"/>
    <w:rsid w:val="00084DB5"/>
    <w:rsid w:val="00085311"/>
    <w:rsid w:val="00085314"/>
    <w:rsid w:val="00085393"/>
    <w:rsid w:val="000856C4"/>
    <w:rsid w:val="00085844"/>
    <w:rsid w:val="00085D93"/>
    <w:rsid w:val="00086400"/>
    <w:rsid w:val="000867AE"/>
    <w:rsid w:val="00086C5B"/>
    <w:rsid w:val="000874AC"/>
    <w:rsid w:val="00087A2D"/>
    <w:rsid w:val="00087F95"/>
    <w:rsid w:val="000900C6"/>
    <w:rsid w:val="000905D6"/>
    <w:rsid w:val="0009093C"/>
    <w:rsid w:val="0009097B"/>
    <w:rsid w:val="00090D68"/>
    <w:rsid w:val="00090D84"/>
    <w:rsid w:val="00090E6C"/>
    <w:rsid w:val="00090FD3"/>
    <w:rsid w:val="0009129D"/>
    <w:rsid w:val="00091348"/>
    <w:rsid w:val="00091740"/>
    <w:rsid w:val="00091A31"/>
    <w:rsid w:val="00091B4A"/>
    <w:rsid w:val="00091D20"/>
    <w:rsid w:val="00091E67"/>
    <w:rsid w:val="00091FE2"/>
    <w:rsid w:val="00092080"/>
    <w:rsid w:val="00092C7D"/>
    <w:rsid w:val="00092EBC"/>
    <w:rsid w:val="0009364B"/>
    <w:rsid w:val="00093982"/>
    <w:rsid w:val="00093F0B"/>
    <w:rsid w:val="00094550"/>
    <w:rsid w:val="00094658"/>
    <w:rsid w:val="000948CB"/>
    <w:rsid w:val="000949A1"/>
    <w:rsid w:val="00094AE6"/>
    <w:rsid w:val="00095314"/>
    <w:rsid w:val="00095ED5"/>
    <w:rsid w:val="000964AD"/>
    <w:rsid w:val="000964E7"/>
    <w:rsid w:val="00096627"/>
    <w:rsid w:val="000968BE"/>
    <w:rsid w:val="000969DE"/>
    <w:rsid w:val="00096B63"/>
    <w:rsid w:val="00096E00"/>
    <w:rsid w:val="000977C2"/>
    <w:rsid w:val="00097DD0"/>
    <w:rsid w:val="00097EFC"/>
    <w:rsid w:val="00097FC2"/>
    <w:rsid w:val="000A0062"/>
    <w:rsid w:val="000A02ED"/>
    <w:rsid w:val="000A043A"/>
    <w:rsid w:val="000A04DF"/>
    <w:rsid w:val="000A0BDA"/>
    <w:rsid w:val="000A0D39"/>
    <w:rsid w:val="000A115A"/>
    <w:rsid w:val="000A1328"/>
    <w:rsid w:val="000A16D5"/>
    <w:rsid w:val="000A1998"/>
    <w:rsid w:val="000A1A10"/>
    <w:rsid w:val="000A1A4F"/>
    <w:rsid w:val="000A1AFE"/>
    <w:rsid w:val="000A1B3B"/>
    <w:rsid w:val="000A1B54"/>
    <w:rsid w:val="000A1D36"/>
    <w:rsid w:val="000A1DFA"/>
    <w:rsid w:val="000A24D0"/>
    <w:rsid w:val="000A2A5F"/>
    <w:rsid w:val="000A2DB5"/>
    <w:rsid w:val="000A3069"/>
    <w:rsid w:val="000A3AF8"/>
    <w:rsid w:val="000A3B34"/>
    <w:rsid w:val="000A4208"/>
    <w:rsid w:val="000A43D8"/>
    <w:rsid w:val="000A4C4A"/>
    <w:rsid w:val="000A4DDA"/>
    <w:rsid w:val="000A4EB8"/>
    <w:rsid w:val="000A4FD2"/>
    <w:rsid w:val="000A50F3"/>
    <w:rsid w:val="000A5350"/>
    <w:rsid w:val="000A561E"/>
    <w:rsid w:val="000A64D2"/>
    <w:rsid w:val="000A712A"/>
    <w:rsid w:val="000A7592"/>
    <w:rsid w:val="000A7E9C"/>
    <w:rsid w:val="000B0A64"/>
    <w:rsid w:val="000B17A6"/>
    <w:rsid w:val="000B183F"/>
    <w:rsid w:val="000B19B2"/>
    <w:rsid w:val="000B2413"/>
    <w:rsid w:val="000B26A4"/>
    <w:rsid w:val="000B30E5"/>
    <w:rsid w:val="000B3476"/>
    <w:rsid w:val="000B35F1"/>
    <w:rsid w:val="000B36A7"/>
    <w:rsid w:val="000B39C8"/>
    <w:rsid w:val="000B3B9C"/>
    <w:rsid w:val="000B4921"/>
    <w:rsid w:val="000B492A"/>
    <w:rsid w:val="000B49AE"/>
    <w:rsid w:val="000B4AC7"/>
    <w:rsid w:val="000B5313"/>
    <w:rsid w:val="000B5663"/>
    <w:rsid w:val="000B59CB"/>
    <w:rsid w:val="000B6475"/>
    <w:rsid w:val="000B65EE"/>
    <w:rsid w:val="000B6907"/>
    <w:rsid w:val="000B6C03"/>
    <w:rsid w:val="000B7039"/>
    <w:rsid w:val="000B7316"/>
    <w:rsid w:val="000B7633"/>
    <w:rsid w:val="000B76ED"/>
    <w:rsid w:val="000B7A66"/>
    <w:rsid w:val="000C036C"/>
    <w:rsid w:val="000C043D"/>
    <w:rsid w:val="000C051D"/>
    <w:rsid w:val="000C059C"/>
    <w:rsid w:val="000C095D"/>
    <w:rsid w:val="000C2451"/>
    <w:rsid w:val="000C269E"/>
    <w:rsid w:val="000C28DF"/>
    <w:rsid w:val="000C2BCB"/>
    <w:rsid w:val="000C318B"/>
    <w:rsid w:val="000C321B"/>
    <w:rsid w:val="000C3390"/>
    <w:rsid w:val="000C3AA0"/>
    <w:rsid w:val="000C3B23"/>
    <w:rsid w:val="000C3DB5"/>
    <w:rsid w:val="000C4716"/>
    <w:rsid w:val="000C47FF"/>
    <w:rsid w:val="000C48E8"/>
    <w:rsid w:val="000C4CDF"/>
    <w:rsid w:val="000C4ED6"/>
    <w:rsid w:val="000C5015"/>
    <w:rsid w:val="000C53E2"/>
    <w:rsid w:val="000C5778"/>
    <w:rsid w:val="000C5BA9"/>
    <w:rsid w:val="000C5D50"/>
    <w:rsid w:val="000C68E3"/>
    <w:rsid w:val="000C6D90"/>
    <w:rsid w:val="000C70ED"/>
    <w:rsid w:val="000C715C"/>
    <w:rsid w:val="000C76B8"/>
    <w:rsid w:val="000C7BB4"/>
    <w:rsid w:val="000C7DD3"/>
    <w:rsid w:val="000D01DB"/>
    <w:rsid w:val="000D024E"/>
    <w:rsid w:val="000D0EDE"/>
    <w:rsid w:val="000D1689"/>
    <w:rsid w:val="000D16E1"/>
    <w:rsid w:val="000D16F1"/>
    <w:rsid w:val="000D1904"/>
    <w:rsid w:val="000D198B"/>
    <w:rsid w:val="000D1DA0"/>
    <w:rsid w:val="000D2354"/>
    <w:rsid w:val="000D3325"/>
    <w:rsid w:val="000D36FC"/>
    <w:rsid w:val="000D3758"/>
    <w:rsid w:val="000D3881"/>
    <w:rsid w:val="000D38C3"/>
    <w:rsid w:val="000D3AAE"/>
    <w:rsid w:val="000D3E4A"/>
    <w:rsid w:val="000D3E7D"/>
    <w:rsid w:val="000D4049"/>
    <w:rsid w:val="000D41AE"/>
    <w:rsid w:val="000D420A"/>
    <w:rsid w:val="000D43CC"/>
    <w:rsid w:val="000D4681"/>
    <w:rsid w:val="000D46FA"/>
    <w:rsid w:val="000D488B"/>
    <w:rsid w:val="000D587A"/>
    <w:rsid w:val="000D5967"/>
    <w:rsid w:val="000D5A13"/>
    <w:rsid w:val="000D5E74"/>
    <w:rsid w:val="000D60E9"/>
    <w:rsid w:val="000D66AF"/>
    <w:rsid w:val="000D6A61"/>
    <w:rsid w:val="000D6A82"/>
    <w:rsid w:val="000D6AF6"/>
    <w:rsid w:val="000D6BAD"/>
    <w:rsid w:val="000D6BFE"/>
    <w:rsid w:val="000D6E50"/>
    <w:rsid w:val="000D73BF"/>
    <w:rsid w:val="000D73CA"/>
    <w:rsid w:val="000D77A2"/>
    <w:rsid w:val="000D77B1"/>
    <w:rsid w:val="000D797F"/>
    <w:rsid w:val="000D7DC1"/>
    <w:rsid w:val="000D7E34"/>
    <w:rsid w:val="000E0068"/>
    <w:rsid w:val="000E0775"/>
    <w:rsid w:val="000E0F37"/>
    <w:rsid w:val="000E1102"/>
    <w:rsid w:val="000E1187"/>
    <w:rsid w:val="000E133B"/>
    <w:rsid w:val="000E1490"/>
    <w:rsid w:val="000E1770"/>
    <w:rsid w:val="000E1A47"/>
    <w:rsid w:val="000E21F5"/>
    <w:rsid w:val="000E2819"/>
    <w:rsid w:val="000E2E35"/>
    <w:rsid w:val="000E2F22"/>
    <w:rsid w:val="000E326D"/>
    <w:rsid w:val="000E32D8"/>
    <w:rsid w:val="000E3A3C"/>
    <w:rsid w:val="000E3B79"/>
    <w:rsid w:val="000E3C49"/>
    <w:rsid w:val="000E4043"/>
    <w:rsid w:val="000E43D2"/>
    <w:rsid w:val="000E4843"/>
    <w:rsid w:val="000E4B5B"/>
    <w:rsid w:val="000E4C86"/>
    <w:rsid w:val="000E4FBD"/>
    <w:rsid w:val="000E5431"/>
    <w:rsid w:val="000E5885"/>
    <w:rsid w:val="000E5A00"/>
    <w:rsid w:val="000E5A52"/>
    <w:rsid w:val="000E5B26"/>
    <w:rsid w:val="000E5F5E"/>
    <w:rsid w:val="000E60DA"/>
    <w:rsid w:val="000E64A9"/>
    <w:rsid w:val="000E6504"/>
    <w:rsid w:val="000E660B"/>
    <w:rsid w:val="000E6B5A"/>
    <w:rsid w:val="000E6DF0"/>
    <w:rsid w:val="000E72D4"/>
    <w:rsid w:val="000E76D9"/>
    <w:rsid w:val="000E7BC0"/>
    <w:rsid w:val="000F0070"/>
    <w:rsid w:val="000F0B18"/>
    <w:rsid w:val="000F0DAC"/>
    <w:rsid w:val="000F0FCE"/>
    <w:rsid w:val="000F1017"/>
    <w:rsid w:val="000F136C"/>
    <w:rsid w:val="000F1378"/>
    <w:rsid w:val="000F13E5"/>
    <w:rsid w:val="000F15C6"/>
    <w:rsid w:val="000F17A2"/>
    <w:rsid w:val="000F17C0"/>
    <w:rsid w:val="000F1B74"/>
    <w:rsid w:val="000F2FB7"/>
    <w:rsid w:val="000F3362"/>
    <w:rsid w:val="000F47F5"/>
    <w:rsid w:val="000F4910"/>
    <w:rsid w:val="000F4BCB"/>
    <w:rsid w:val="000F4CD8"/>
    <w:rsid w:val="000F4D26"/>
    <w:rsid w:val="000F500A"/>
    <w:rsid w:val="000F5351"/>
    <w:rsid w:val="000F54E3"/>
    <w:rsid w:val="000F59FB"/>
    <w:rsid w:val="000F5E55"/>
    <w:rsid w:val="000F5EA7"/>
    <w:rsid w:val="000F62C7"/>
    <w:rsid w:val="000F631C"/>
    <w:rsid w:val="000F6433"/>
    <w:rsid w:val="000F656F"/>
    <w:rsid w:val="000F68BD"/>
    <w:rsid w:val="000F6995"/>
    <w:rsid w:val="000F6B0F"/>
    <w:rsid w:val="000F6CDF"/>
    <w:rsid w:val="000F6F60"/>
    <w:rsid w:val="000F6F9C"/>
    <w:rsid w:val="000F7132"/>
    <w:rsid w:val="000F7430"/>
    <w:rsid w:val="000F7466"/>
    <w:rsid w:val="000F7619"/>
    <w:rsid w:val="000F795B"/>
    <w:rsid w:val="000F7B02"/>
    <w:rsid w:val="00101883"/>
    <w:rsid w:val="00101999"/>
    <w:rsid w:val="00101EBF"/>
    <w:rsid w:val="001022DC"/>
    <w:rsid w:val="0010299D"/>
    <w:rsid w:val="00103077"/>
    <w:rsid w:val="00103449"/>
    <w:rsid w:val="0010353F"/>
    <w:rsid w:val="00103624"/>
    <w:rsid w:val="00103964"/>
    <w:rsid w:val="00103B3A"/>
    <w:rsid w:val="00104207"/>
    <w:rsid w:val="001042E1"/>
    <w:rsid w:val="001044FD"/>
    <w:rsid w:val="001046AD"/>
    <w:rsid w:val="00104E03"/>
    <w:rsid w:val="00105AB9"/>
    <w:rsid w:val="00105C04"/>
    <w:rsid w:val="001065C1"/>
    <w:rsid w:val="001067B2"/>
    <w:rsid w:val="001075A2"/>
    <w:rsid w:val="0010766D"/>
    <w:rsid w:val="001078D4"/>
    <w:rsid w:val="00107E15"/>
    <w:rsid w:val="00107EE2"/>
    <w:rsid w:val="0011000B"/>
    <w:rsid w:val="0011001D"/>
    <w:rsid w:val="00110556"/>
    <w:rsid w:val="00110760"/>
    <w:rsid w:val="0011087C"/>
    <w:rsid w:val="001109A0"/>
    <w:rsid w:val="00110A83"/>
    <w:rsid w:val="00110C68"/>
    <w:rsid w:val="0011134C"/>
    <w:rsid w:val="001119FB"/>
    <w:rsid w:val="00111BE5"/>
    <w:rsid w:val="00111F39"/>
    <w:rsid w:val="001122BF"/>
    <w:rsid w:val="00112A71"/>
    <w:rsid w:val="00112B57"/>
    <w:rsid w:val="00112E1B"/>
    <w:rsid w:val="001136AD"/>
    <w:rsid w:val="0011371C"/>
    <w:rsid w:val="0011378C"/>
    <w:rsid w:val="00113DAC"/>
    <w:rsid w:val="00113E78"/>
    <w:rsid w:val="00114377"/>
    <w:rsid w:val="001143E2"/>
    <w:rsid w:val="001144A5"/>
    <w:rsid w:val="00115181"/>
    <w:rsid w:val="00115C53"/>
    <w:rsid w:val="00115DA7"/>
    <w:rsid w:val="00115DD5"/>
    <w:rsid w:val="00116264"/>
    <w:rsid w:val="001162AF"/>
    <w:rsid w:val="00116683"/>
    <w:rsid w:val="00116735"/>
    <w:rsid w:val="00116B5E"/>
    <w:rsid w:val="00116D89"/>
    <w:rsid w:val="00117629"/>
    <w:rsid w:val="001176AC"/>
    <w:rsid w:val="0011772E"/>
    <w:rsid w:val="00117C80"/>
    <w:rsid w:val="00117E0D"/>
    <w:rsid w:val="00117F39"/>
    <w:rsid w:val="0012003C"/>
    <w:rsid w:val="001202E2"/>
    <w:rsid w:val="001206DB"/>
    <w:rsid w:val="00120706"/>
    <w:rsid w:val="001211ED"/>
    <w:rsid w:val="00121691"/>
    <w:rsid w:val="001225B3"/>
    <w:rsid w:val="001227AB"/>
    <w:rsid w:val="00122EA0"/>
    <w:rsid w:val="001230A0"/>
    <w:rsid w:val="00123448"/>
    <w:rsid w:val="0012364F"/>
    <w:rsid w:val="0012390B"/>
    <w:rsid w:val="001239B9"/>
    <w:rsid w:val="001239D1"/>
    <w:rsid w:val="00123B35"/>
    <w:rsid w:val="00123D46"/>
    <w:rsid w:val="00124012"/>
    <w:rsid w:val="00124191"/>
    <w:rsid w:val="001244B0"/>
    <w:rsid w:val="001248A6"/>
    <w:rsid w:val="00124CCE"/>
    <w:rsid w:val="00124D6D"/>
    <w:rsid w:val="00124EB5"/>
    <w:rsid w:val="0012540B"/>
    <w:rsid w:val="001255AA"/>
    <w:rsid w:val="001256E6"/>
    <w:rsid w:val="00125D09"/>
    <w:rsid w:val="00125DB7"/>
    <w:rsid w:val="00126E13"/>
    <w:rsid w:val="0013024E"/>
    <w:rsid w:val="00130333"/>
    <w:rsid w:val="0013044E"/>
    <w:rsid w:val="00130493"/>
    <w:rsid w:val="00130909"/>
    <w:rsid w:val="00130BED"/>
    <w:rsid w:val="00130F9C"/>
    <w:rsid w:val="00131307"/>
    <w:rsid w:val="0013164E"/>
    <w:rsid w:val="00131967"/>
    <w:rsid w:val="00131C2E"/>
    <w:rsid w:val="001320DB"/>
    <w:rsid w:val="00132242"/>
    <w:rsid w:val="00132471"/>
    <w:rsid w:val="0013250D"/>
    <w:rsid w:val="0013272F"/>
    <w:rsid w:val="00133305"/>
    <w:rsid w:val="001333E8"/>
    <w:rsid w:val="00133412"/>
    <w:rsid w:val="00133CEB"/>
    <w:rsid w:val="00133DCB"/>
    <w:rsid w:val="0013436A"/>
    <w:rsid w:val="00134552"/>
    <w:rsid w:val="001353B0"/>
    <w:rsid w:val="00135442"/>
    <w:rsid w:val="001356BB"/>
    <w:rsid w:val="00135948"/>
    <w:rsid w:val="00135974"/>
    <w:rsid w:val="001361E0"/>
    <w:rsid w:val="00136465"/>
    <w:rsid w:val="00136750"/>
    <w:rsid w:val="0013752B"/>
    <w:rsid w:val="00137655"/>
    <w:rsid w:val="00137A08"/>
    <w:rsid w:val="00137A24"/>
    <w:rsid w:val="00137ACF"/>
    <w:rsid w:val="00137B45"/>
    <w:rsid w:val="00137DF0"/>
    <w:rsid w:val="00137EBF"/>
    <w:rsid w:val="00137FAA"/>
    <w:rsid w:val="0014097B"/>
    <w:rsid w:val="001411AF"/>
    <w:rsid w:val="001415F2"/>
    <w:rsid w:val="00141D23"/>
    <w:rsid w:val="00141D2C"/>
    <w:rsid w:val="00141F83"/>
    <w:rsid w:val="00142221"/>
    <w:rsid w:val="00142351"/>
    <w:rsid w:val="00142B03"/>
    <w:rsid w:val="00143DE4"/>
    <w:rsid w:val="0014403A"/>
    <w:rsid w:val="00144A90"/>
    <w:rsid w:val="00144DC8"/>
    <w:rsid w:val="00144F78"/>
    <w:rsid w:val="001451D5"/>
    <w:rsid w:val="00145982"/>
    <w:rsid w:val="00145D7D"/>
    <w:rsid w:val="00146277"/>
    <w:rsid w:val="00146337"/>
    <w:rsid w:val="0014650E"/>
    <w:rsid w:val="0014667D"/>
    <w:rsid w:val="001466B3"/>
    <w:rsid w:val="0014693E"/>
    <w:rsid w:val="00146947"/>
    <w:rsid w:val="00146A3F"/>
    <w:rsid w:val="00146C74"/>
    <w:rsid w:val="00146E56"/>
    <w:rsid w:val="0014710F"/>
    <w:rsid w:val="0014722D"/>
    <w:rsid w:val="00147BB6"/>
    <w:rsid w:val="00150164"/>
    <w:rsid w:val="00150368"/>
    <w:rsid w:val="0015048E"/>
    <w:rsid w:val="00150656"/>
    <w:rsid w:val="00150D9F"/>
    <w:rsid w:val="00151633"/>
    <w:rsid w:val="001516A1"/>
    <w:rsid w:val="001516EC"/>
    <w:rsid w:val="00151925"/>
    <w:rsid w:val="00151DA3"/>
    <w:rsid w:val="00152164"/>
    <w:rsid w:val="0015260C"/>
    <w:rsid w:val="00153551"/>
    <w:rsid w:val="001536B2"/>
    <w:rsid w:val="00153B23"/>
    <w:rsid w:val="00153E2E"/>
    <w:rsid w:val="00154325"/>
    <w:rsid w:val="001558DC"/>
    <w:rsid w:val="00155B41"/>
    <w:rsid w:val="00155D28"/>
    <w:rsid w:val="00156764"/>
    <w:rsid w:val="00156B5B"/>
    <w:rsid w:val="001571C1"/>
    <w:rsid w:val="001574A5"/>
    <w:rsid w:val="00157CBE"/>
    <w:rsid w:val="00157D57"/>
    <w:rsid w:val="00157F04"/>
    <w:rsid w:val="00160DE7"/>
    <w:rsid w:val="00161011"/>
    <w:rsid w:val="00161419"/>
    <w:rsid w:val="00161666"/>
    <w:rsid w:val="00162508"/>
    <w:rsid w:val="00162678"/>
    <w:rsid w:val="0016271B"/>
    <w:rsid w:val="00162997"/>
    <w:rsid w:val="00162A49"/>
    <w:rsid w:val="00163259"/>
    <w:rsid w:val="001633DF"/>
    <w:rsid w:val="0016341A"/>
    <w:rsid w:val="0016371D"/>
    <w:rsid w:val="00163A19"/>
    <w:rsid w:val="00163A67"/>
    <w:rsid w:val="00163C89"/>
    <w:rsid w:val="001640C8"/>
    <w:rsid w:val="00164716"/>
    <w:rsid w:val="00164D13"/>
    <w:rsid w:val="00164E25"/>
    <w:rsid w:val="00165349"/>
    <w:rsid w:val="0016580D"/>
    <w:rsid w:val="00165A12"/>
    <w:rsid w:val="00165E30"/>
    <w:rsid w:val="00165F99"/>
    <w:rsid w:val="00166097"/>
    <w:rsid w:val="0016616C"/>
    <w:rsid w:val="00166229"/>
    <w:rsid w:val="00166491"/>
    <w:rsid w:val="001664D3"/>
    <w:rsid w:val="00166CD1"/>
    <w:rsid w:val="00166DDF"/>
    <w:rsid w:val="00166E6D"/>
    <w:rsid w:val="00167820"/>
    <w:rsid w:val="00167A64"/>
    <w:rsid w:val="00167EC7"/>
    <w:rsid w:val="00170058"/>
    <w:rsid w:val="00170080"/>
    <w:rsid w:val="001708D3"/>
    <w:rsid w:val="0017131A"/>
    <w:rsid w:val="00171873"/>
    <w:rsid w:val="00171916"/>
    <w:rsid w:val="00171B06"/>
    <w:rsid w:val="00171D16"/>
    <w:rsid w:val="00171F34"/>
    <w:rsid w:val="0017219E"/>
    <w:rsid w:val="0017251D"/>
    <w:rsid w:val="001726D4"/>
    <w:rsid w:val="001727A4"/>
    <w:rsid w:val="00172B6D"/>
    <w:rsid w:val="00172F7F"/>
    <w:rsid w:val="001732ED"/>
    <w:rsid w:val="00173326"/>
    <w:rsid w:val="0017370E"/>
    <w:rsid w:val="0017378D"/>
    <w:rsid w:val="00173F1F"/>
    <w:rsid w:val="0017406F"/>
    <w:rsid w:val="00174203"/>
    <w:rsid w:val="0017433F"/>
    <w:rsid w:val="00174487"/>
    <w:rsid w:val="001750A0"/>
    <w:rsid w:val="001753A2"/>
    <w:rsid w:val="00175850"/>
    <w:rsid w:val="00175FA7"/>
    <w:rsid w:val="001764BF"/>
    <w:rsid w:val="001769C9"/>
    <w:rsid w:val="00176E07"/>
    <w:rsid w:val="00176FE4"/>
    <w:rsid w:val="0017756B"/>
    <w:rsid w:val="00177BF0"/>
    <w:rsid w:val="00177C61"/>
    <w:rsid w:val="00180478"/>
    <w:rsid w:val="001805F3"/>
    <w:rsid w:val="001817AB"/>
    <w:rsid w:val="00182310"/>
    <w:rsid w:val="001823C9"/>
    <w:rsid w:val="001825EE"/>
    <w:rsid w:val="001827CC"/>
    <w:rsid w:val="00182B6C"/>
    <w:rsid w:val="00182C1A"/>
    <w:rsid w:val="00182E10"/>
    <w:rsid w:val="001830D3"/>
    <w:rsid w:val="0018347E"/>
    <w:rsid w:val="0018366A"/>
    <w:rsid w:val="0018426D"/>
    <w:rsid w:val="0018427A"/>
    <w:rsid w:val="001843B1"/>
    <w:rsid w:val="00184490"/>
    <w:rsid w:val="001844C6"/>
    <w:rsid w:val="001845EF"/>
    <w:rsid w:val="001847A9"/>
    <w:rsid w:val="00184AA3"/>
    <w:rsid w:val="00184B22"/>
    <w:rsid w:val="00184D96"/>
    <w:rsid w:val="00185868"/>
    <w:rsid w:val="00185F1D"/>
    <w:rsid w:val="00186850"/>
    <w:rsid w:val="001868C6"/>
    <w:rsid w:val="00186A36"/>
    <w:rsid w:val="001874D7"/>
    <w:rsid w:val="001874EB"/>
    <w:rsid w:val="00187548"/>
    <w:rsid w:val="00187658"/>
    <w:rsid w:val="00187681"/>
    <w:rsid w:val="0018787D"/>
    <w:rsid w:val="00187905"/>
    <w:rsid w:val="00187E2C"/>
    <w:rsid w:val="00187EBF"/>
    <w:rsid w:val="0019042B"/>
    <w:rsid w:val="0019074B"/>
    <w:rsid w:val="001908A8"/>
    <w:rsid w:val="00190B97"/>
    <w:rsid w:val="00190BD9"/>
    <w:rsid w:val="00190C4D"/>
    <w:rsid w:val="00190E12"/>
    <w:rsid w:val="0019136A"/>
    <w:rsid w:val="00192407"/>
    <w:rsid w:val="0019286D"/>
    <w:rsid w:val="00192DAA"/>
    <w:rsid w:val="00193328"/>
    <w:rsid w:val="00193379"/>
    <w:rsid w:val="001933E1"/>
    <w:rsid w:val="00193AD2"/>
    <w:rsid w:val="00193F98"/>
    <w:rsid w:val="00194670"/>
    <w:rsid w:val="00194B60"/>
    <w:rsid w:val="00194D51"/>
    <w:rsid w:val="00194E7F"/>
    <w:rsid w:val="0019530F"/>
    <w:rsid w:val="001955D4"/>
    <w:rsid w:val="00195D19"/>
    <w:rsid w:val="00196122"/>
    <w:rsid w:val="001965E6"/>
    <w:rsid w:val="00196958"/>
    <w:rsid w:val="0019714F"/>
    <w:rsid w:val="001974BD"/>
    <w:rsid w:val="001979A7"/>
    <w:rsid w:val="00197B79"/>
    <w:rsid w:val="00197FC5"/>
    <w:rsid w:val="001A01A2"/>
    <w:rsid w:val="001A0286"/>
    <w:rsid w:val="001A0A05"/>
    <w:rsid w:val="001A1C5E"/>
    <w:rsid w:val="001A1DEE"/>
    <w:rsid w:val="001A201E"/>
    <w:rsid w:val="001A2DE8"/>
    <w:rsid w:val="001A2ED5"/>
    <w:rsid w:val="001A319E"/>
    <w:rsid w:val="001A3352"/>
    <w:rsid w:val="001A3420"/>
    <w:rsid w:val="001A353D"/>
    <w:rsid w:val="001A35A4"/>
    <w:rsid w:val="001A3695"/>
    <w:rsid w:val="001A3B54"/>
    <w:rsid w:val="001A4DF2"/>
    <w:rsid w:val="001A4EBF"/>
    <w:rsid w:val="001A5205"/>
    <w:rsid w:val="001A551E"/>
    <w:rsid w:val="001A55D5"/>
    <w:rsid w:val="001A5AD3"/>
    <w:rsid w:val="001A5C7F"/>
    <w:rsid w:val="001A60EA"/>
    <w:rsid w:val="001A6397"/>
    <w:rsid w:val="001A6640"/>
    <w:rsid w:val="001A6E48"/>
    <w:rsid w:val="001A7150"/>
    <w:rsid w:val="001A729B"/>
    <w:rsid w:val="001A773C"/>
    <w:rsid w:val="001A7C6E"/>
    <w:rsid w:val="001A7CC5"/>
    <w:rsid w:val="001B00AD"/>
    <w:rsid w:val="001B0447"/>
    <w:rsid w:val="001B058B"/>
    <w:rsid w:val="001B071A"/>
    <w:rsid w:val="001B07A7"/>
    <w:rsid w:val="001B07E8"/>
    <w:rsid w:val="001B0AD8"/>
    <w:rsid w:val="001B0E44"/>
    <w:rsid w:val="001B13A0"/>
    <w:rsid w:val="001B13C6"/>
    <w:rsid w:val="001B1519"/>
    <w:rsid w:val="001B17B0"/>
    <w:rsid w:val="001B1992"/>
    <w:rsid w:val="001B19FD"/>
    <w:rsid w:val="001B1A92"/>
    <w:rsid w:val="001B1B2B"/>
    <w:rsid w:val="001B22F9"/>
    <w:rsid w:val="001B2323"/>
    <w:rsid w:val="001B2481"/>
    <w:rsid w:val="001B261A"/>
    <w:rsid w:val="001B2E54"/>
    <w:rsid w:val="001B31DC"/>
    <w:rsid w:val="001B3256"/>
    <w:rsid w:val="001B32B4"/>
    <w:rsid w:val="001B3B88"/>
    <w:rsid w:val="001B3FE6"/>
    <w:rsid w:val="001B40A3"/>
    <w:rsid w:val="001B429E"/>
    <w:rsid w:val="001B453A"/>
    <w:rsid w:val="001B49B6"/>
    <w:rsid w:val="001B4BA8"/>
    <w:rsid w:val="001B4CCD"/>
    <w:rsid w:val="001B5085"/>
    <w:rsid w:val="001B50D9"/>
    <w:rsid w:val="001B520A"/>
    <w:rsid w:val="001B53D2"/>
    <w:rsid w:val="001B56DF"/>
    <w:rsid w:val="001B5836"/>
    <w:rsid w:val="001B5D15"/>
    <w:rsid w:val="001B6199"/>
    <w:rsid w:val="001B6919"/>
    <w:rsid w:val="001B6CAD"/>
    <w:rsid w:val="001B6D41"/>
    <w:rsid w:val="001B6E81"/>
    <w:rsid w:val="001B702E"/>
    <w:rsid w:val="001B760A"/>
    <w:rsid w:val="001B7AC8"/>
    <w:rsid w:val="001C0017"/>
    <w:rsid w:val="001C145F"/>
    <w:rsid w:val="001C1CFF"/>
    <w:rsid w:val="001C201E"/>
    <w:rsid w:val="001C20BD"/>
    <w:rsid w:val="001C20D9"/>
    <w:rsid w:val="001C2527"/>
    <w:rsid w:val="001C2D48"/>
    <w:rsid w:val="001C33AC"/>
    <w:rsid w:val="001C38C8"/>
    <w:rsid w:val="001C3916"/>
    <w:rsid w:val="001C3968"/>
    <w:rsid w:val="001C3B0B"/>
    <w:rsid w:val="001C3C13"/>
    <w:rsid w:val="001C3F15"/>
    <w:rsid w:val="001C4378"/>
    <w:rsid w:val="001C4691"/>
    <w:rsid w:val="001C48E5"/>
    <w:rsid w:val="001C4FF7"/>
    <w:rsid w:val="001C5179"/>
    <w:rsid w:val="001C52BC"/>
    <w:rsid w:val="001C6166"/>
    <w:rsid w:val="001C6A08"/>
    <w:rsid w:val="001C6C42"/>
    <w:rsid w:val="001C6CEE"/>
    <w:rsid w:val="001C6E63"/>
    <w:rsid w:val="001C71FE"/>
    <w:rsid w:val="001D01A9"/>
    <w:rsid w:val="001D0A72"/>
    <w:rsid w:val="001D0BF8"/>
    <w:rsid w:val="001D0C43"/>
    <w:rsid w:val="001D0ED6"/>
    <w:rsid w:val="001D1134"/>
    <w:rsid w:val="001D1223"/>
    <w:rsid w:val="001D21FF"/>
    <w:rsid w:val="001D299E"/>
    <w:rsid w:val="001D2B3A"/>
    <w:rsid w:val="001D30DA"/>
    <w:rsid w:val="001D3169"/>
    <w:rsid w:val="001D36C8"/>
    <w:rsid w:val="001D39F8"/>
    <w:rsid w:val="001D3A68"/>
    <w:rsid w:val="001D3B02"/>
    <w:rsid w:val="001D3CCF"/>
    <w:rsid w:val="001D4151"/>
    <w:rsid w:val="001D4545"/>
    <w:rsid w:val="001D46CE"/>
    <w:rsid w:val="001D4CAC"/>
    <w:rsid w:val="001D4D13"/>
    <w:rsid w:val="001D4F12"/>
    <w:rsid w:val="001D5B01"/>
    <w:rsid w:val="001D6229"/>
    <w:rsid w:val="001D6234"/>
    <w:rsid w:val="001D63D0"/>
    <w:rsid w:val="001D69E8"/>
    <w:rsid w:val="001D71A2"/>
    <w:rsid w:val="001D7362"/>
    <w:rsid w:val="001D73C3"/>
    <w:rsid w:val="001D770E"/>
    <w:rsid w:val="001D7831"/>
    <w:rsid w:val="001D7B5F"/>
    <w:rsid w:val="001D7B78"/>
    <w:rsid w:val="001D7C3A"/>
    <w:rsid w:val="001D7D07"/>
    <w:rsid w:val="001E049B"/>
    <w:rsid w:val="001E04BC"/>
    <w:rsid w:val="001E0720"/>
    <w:rsid w:val="001E0AA7"/>
    <w:rsid w:val="001E11DD"/>
    <w:rsid w:val="001E11E2"/>
    <w:rsid w:val="001E159D"/>
    <w:rsid w:val="001E1D0D"/>
    <w:rsid w:val="001E1DDC"/>
    <w:rsid w:val="001E2129"/>
    <w:rsid w:val="001E21F5"/>
    <w:rsid w:val="001E2259"/>
    <w:rsid w:val="001E2412"/>
    <w:rsid w:val="001E274A"/>
    <w:rsid w:val="001E27A9"/>
    <w:rsid w:val="001E2951"/>
    <w:rsid w:val="001E2AB6"/>
    <w:rsid w:val="001E2CC1"/>
    <w:rsid w:val="001E2DD7"/>
    <w:rsid w:val="001E2E95"/>
    <w:rsid w:val="001E3159"/>
    <w:rsid w:val="001E3189"/>
    <w:rsid w:val="001E3467"/>
    <w:rsid w:val="001E3710"/>
    <w:rsid w:val="001E39DD"/>
    <w:rsid w:val="001E3E6C"/>
    <w:rsid w:val="001E426B"/>
    <w:rsid w:val="001E477D"/>
    <w:rsid w:val="001E4C31"/>
    <w:rsid w:val="001E4D11"/>
    <w:rsid w:val="001E5039"/>
    <w:rsid w:val="001E524C"/>
    <w:rsid w:val="001E5ACD"/>
    <w:rsid w:val="001E5BD6"/>
    <w:rsid w:val="001E6421"/>
    <w:rsid w:val="001E6595"/>
    <w:rsid w:val="001E6674"/>
    <w:rsid w:val="001E692E"/>
    <w:rsid w:val="001E6C37"/>
    <w:rsid w:val="001E6E65"/>
    <w:rsid w:val="001E7206"/>
    <w:rsid w:val="001E7CB8"/>
    <w:rsid w:val="001E7D57"/>
    <w:rsid w:val="001E7E57"/>
    <w:rsid w:val="001E7F43"/>
    <w:rsid w:val="001F01D7"/>
    <w:rsid w:val="001F061F"/>
    <w:rsid w:val="001F0810"/>
    <w:rsid w:val="001F08FF"/>
    <w:rsid w:val="001F0E3C"/>
    <w:rsid w:val="001F137E"/>
    <w:rsid w:val="001F156E"/>
    <w:rsid w:val="001F1884"/>
    <w:rsid w:val="001F1C13"/>
    <w:rsid w:val="001F1FBE"/>
    <w:rsid w:val="001F204F"/>
    <w:rsid w:val="001F28F7"/>
    <w:rsid w:val="001F2B15"/>
    <w:rsid w:val="001F35C2"/>
    <w:rsid w:val="001F44D3"/>
    <w:rsid w:val="001F4755"/>
    <w:rsid w:val="001F47CC"/>
    <w:rsid w:val="001F4B9A"/>
    <w:rsid w:val="001F4D34"/>
    <w:rsid w:val="001F5040"/>
    <w:rsid w:val="001F586F"/>
    <w:rsid w:val="001F5D5E"/>
    <w:rsid w:val="001F6112"/>
    <w:rsid w:val="001F6336"/>
    <w:rsid w:val="001F6A93"/>
    <w:rsid w:val="001F6B94"/>
    <w:rsid w:val="001F718E"/>
    <w:rsid w:val="001F7290"/>
    <w:rsid w:val="001F797E"/>
    <w:rsid w:val="001F79F3"/>
    <w:rsid w:val="0020006C"/>
    <w:rsid w:val="002004FD"/>
    <w:rsid w:val="00200DCF"/>
    <w:rsid w:val="002012AB"/>
    <w:rsid w:val="002017C2"/>
    <w:rsid w:val="0020188A"/>
    <w:rsid w:val="00201DE9"/>
    <w:rsid w:val="00201EF9"/>
    <w:rsid w:val="002021BE"/>
    <w:rsid w:val="0020265C"/>
    <w:rsid w:val="00202A0D"/>
    <w:rsid w:val="00202C1A"/>
    <w:rsid w:val="00202D57"/>
    <w:rsid w:val="0020357B"/>
    <w:rsid w:val="0020374C"/>
    <w:rsid w:val="0020375A"/>
    <w:rsid w:val="002038F9"/>
    <w:rsid w:val="00204710"/>
    <w:rsid w:val="002048E2"/>
    <w:rsid w:val="00204992"/>
    <w:rsid w:val="00204C97"/>
    <w:rsid w:val="002052DA"/>
    <w:rsid w:val="00205D13"/>
    <w:rsid w:val="0020602F"/>
    <w:rsid w:val="002065B4"/>
    <w:rsid w:val="002070C8"/>
    <w:rsid w:val="002071C2"/>
    <w:rsid w:val="00207596"/>
    <w:rsid w:val="002077EF"/>
    <w:rsid w:val="00207FBC"/>
    <w:rsid w:val="00210064"/>
    <w:rsid w:val="002103EB"/>
    <w:rsid w:val="0021082F"/>
    <w:rsid w:val="00210E4E"/>
    <w:rsid w:val="002114B9"/>
    <w:rsid w:val="002117B2"/>
    <w:rsid w:val="00211B79"/>
    <w:rsid w:val="00212A14"/>
    <w:rsid w:val="0021323E"/>
    <w:rsid w:val="00213571"/>
    <w:rsid w:val="002137F9"/>
    <w:rsid w:val="00213936"/>
    <w:rsid w:val="00213B11"/>
    <w:rsid w:val="0021443A"/>
    <w:rsid w:val="0021462C"/>
    <w:rsid w:val="002146AD"/>
    <w:rsid w:val="00214B0D"/>
    <w:rsid w:val="00214F01"/>
    <w:rsid w:val="00214FE7"/>
    <w:rsid w:val="002156C6"/>
    <w:rsid w:val="00215895"/>
    <w:rsid w:val="00215C18"/>
    <w:rsid w:val="00216466"/>
    <w:rsid w:val="00216475"/>
    <w:rsid w:val="0021647C"/>
    <w:rsid w:val="002164FA"/>
    <w:rsid w:val="00216CEE"/>
    <w:rsid w:val="002171E0"/>
    <w:rsid w:val="002173F2"/>
    <w:rsid w:val="00217ACA"/>
    <w:rsid w:val="00217C89"/>
    <w:rsid w:val="00217E26"/>
    <w:rsid w:val="00217ED1"/>
    <w:rsid w:val="002205A4"/>
    <w:rsid w:val="00220698"/>
    <w:rsid w:val="0022097F"/>
    <w:rsid w:val="00220A07"/>
    <w:rsid w:val="00221952"/>
    <w:rsid w:val="0022290D"/>
    <w:rsid w:val="0022296B"/>
    <w:rsid w:val="00222C12"/>
    <w:rsid w:val="00222E2C"/>
    <w:rsid w:val="00222F3A"/>
    <w:rsid w:val="00223252"/>
    <w:rsid w:val="0022372B"/>
    <w:rsid w:val="002239CD"/>
    <w:rsid w:val="00223C49"/>
    <w:rsid w:val="00223C7A"/>
    <w:rsid w:val="00223DE2"/>
    <w:rsid w:val="00224671"/>
    <w:rsid w:val="00224A4D"/>
    <w:rsid w:val="00225087"/>
    <w:rsid w:val="00225089"/>
    <w:rsid w:val="002251B8"/>
    <w:rsid w:val="00226225"/>
    <w:rsid w:val="0022637A"/>
    <w:rsid w:val="002263E0"/>
    <w:rsid w:val="00226459"/>
    <w:rsid w:val="002272DE"/>
    <w:rsid w:val="002274C1"/>
    <w:rsid w:val="002279B3"/>
    <w:rsid w:val="00230227"/>
    <w:rsid w:val="002303F9"/>
    <w:rsid w:val="00230925"/>
    <w:rsid w:val="00230CB8"/>
    <w:rsid w:val="00230E9E"/>
    <w:rsid w:val="0023109D"/>
    <w:rsid w:val="002319D3"/>
    <w:rsid w:val="00231D84"/>
    <w:rsid w:val="00231DAF"/>
    <w:rsid w:val="002323F4"/>
    <w:rsid w:val="002327F0"/>
    <w:rsid w:val="00232D3E"/>
    <w:rsid w:val="00232FA5"/>
    <w:rsid w:val="002331AE"/>
    <w:rsid w:val="00233571"/>
    <w:rsid w:val="002343EF"/>
    <w:rsid w:val="002347A0"/>
    <w:rsid w:val="002347C4"/>
    <w:rsid w:val="0023503C"/>
    <w:rsid w:val="002350C9"/>
    <w:rsid w:val="002355C6"/>
    <w:rsid w:val="0023587F"/>
    <w:rsid w:val="002358C9"/>
    <w:rsid w:val="00235BC7"/>
    <w:rsid w:val="0023601B"/>
    <w:rsid w:val="002360FC"/>
    <w:rsid w:val="0023615F"/>
    <w:rsid w:val="0023624D"/>
    <w:rsid w:val="00236DA1"/>
    <w:rsid w:val="002370BC"/>
    <w:rsid w:val="002375CF"/>
    <w:rsid w:val="00237911"/>
    <w:rsid w:val="00237FC9"/>
    <w:rsid w:val="00240AF3"/>
    <w:rsid w:val="00240D37"/>
    <w:rsid w:val="00241011"/>
    <w:rsid w:val="00241092"/>
    <w:rsid w:val="002411BC"/>
    <w:rsid w:val="002414F5"/>
    <w:rsid w:val="002415BC"/>
    <w:rsid w:val="00241D64"/>
    <w:rsid w:val="00241D6D"/>
    <w:rsid w:val="00242040"/>
    <w:rsid w:val="00242254"/>
    <w:rsid w:val="0024230C"/>
    <w:rsid w:val="0024238C"/>
    <w:rsid w:val="00243399"/>
    <w:rsid w:val="00243713"/>
    <w:rsid w:val="00243BBD"/>
    <w:rsid w:val="00243C88"/>
    <w:rsid w:val="00243D35"/>
    <w:rsid w:val="00243EE2"/>
    <w:rsid w:val="0024464C"/>
    <w:rsid w:val="0024465D"/>
    <w:rsid w:val="002448CB"/>
    <w:rsid w:val="00244AE8"/>
    <w:rsid w:val="00244EF4"/>
    <w:rsid w:val="00244F4A"/>
    <w:rsid w:val="00244F6B"/>
    <w:rsid w:val="0024643C"/>
    <w:rsid w:val="002464C4"/>
    <w:rsid w:val="002468BD"/>
    <w:rsid w:val="00246A9B"/>
    <w:rsid w:val="00246AA6"/>
    <w:rsid w:val="002470FD"/>
    <w:rsid w:val="002471B4"/>
    <w:rsid w:val="002474D0"/>
    <w:rsid w:val="0024797D"/>
    <w:rsid w:val="00247C5B"/>
    <w:rsid w:val="00247DAF"/>
    <w:rsid w:val="00247DBA"/>
    <w:rsid w:val="00247F99"/>
    <w:rsid w:val="002507E2"/>
    <w:rsid w:val="002508E6"/>
    <w:rsid w:val="002509AF"/>
    <w:rsid w:val="00250CEC"/>
    <w:rsid w:val="0025113E"/>
    <w:rsid w:val="00251830"/>
    <w:rsid w:val="00251AE0"/>
    <w:rsid w:val="00251BAB"/>
    <w:rsid w:val="002526A2"/>
    <w:rsid w:val="002528E2"/>
    <w:rsid w:val="0025316E"/>
    <w:rsid w:val="00253406"/>
    <w:rsid w:val="0025340F"/>
    <w:rsid w:val="0025378E"/>
    <w:rsid w:val="00253A22"/>
    <w:rsid w:val="00253A96"/>
    <w:rsid w:val="002541C8"/>
    <w:rsid w:val="00254418"/>
    <w:rsid w:val="002548F2"/>
    <w:rsid w:val="00254F2B"/>
    <w:rsid w:val="00255643"/>
    <w:rsid w:val="0025595D"/>
    <w:rsid w:val="00255A7C"/>
    <w:rsid w:val="0025613C"/>
    <w:rsid w:val="0025626D"/>
    <w:rsid w:val="00256560"/>
    <w:rsid w:val="00256624"/>
    <w:rsid w:val="00256D40"/>
    <w:rsid w:val="00256DDA"/>
    <w:rsid w:val="00257738"/>
    <w:rsid w:val="002579D2"/>
    <w:rsid w:val="00257F30"/>
    <w:rsid w:val="00257F46"/>
    <w:rsid w:val="002600AD"/>
    <w:rsid w:val="00260278"/>
    <w:rsid w:val="002604DE"/>
    <w:rsid w:val="00260CB3"/>
    <w:rsid w:val="00260FF7"/>
    <w:rsid w:val="00261317"/>
    <w:rsid w:val="002619E4"/>
    <w:rsid w:val="002620C0"/>
    <w:rsid w:val="002620C4"/>
    <w:rsid w:val="002622B1"/>
    <w:rsid w:val="00262ACE"/>
    <w:rsid w:val="002634B1"/>
    <w:rsid w:val="00263646"/>
    <w:rsid w:val="002639D5"/>
    <w:rsid w:val="002644FD"/>
    <w:rsid w:val="002647C1"/>
    <w:rsid w:val="00264B05"/>
    <w:rsid w:val="00264E21"/>
    <w:rsid w:val="00265270"/>
    <w:rsid w:val="002657DD"/>
    <w:rsid w:val="00265A98"/>
    <w:rsid w:val="00265B4D"/>
    <w:rsid w:val="00265BC4"/>
    <w:rsid w:val="00265C0D"/>
    <w:rsid w:val="002662CD"/>
    <w:rsid w:val="002663F1"/>
    <w:rsid w:val="0026655E"/>
    <w:rsid w:val="00266ACC"/>
    <w:rsid w:val="00266CF2"/>
    <w:rsid w:val="00266E6A"/>
    <w:rsid w:val="002673DA"/>
    <w:rsid w:val="0026779F"/>
    <w:rsid w:val="00267981"/>
    <w:rsid w:val="00267F2B"/>
    <w:rsid w:val="00270096"/>
    <w:rsid w:val="0027009D"/>
    <w:rsid w:val="002707A0"/>
    <w:rsid w:val="00270F05"/>
    <w:rsid w:val="0027144D"/>
    <w:rsid w:val="002714C2"/>
    <w:rsid w:val="00271DE1"/>
    <w:rsid w:val="00272037"/>
    <w:rsid w:val="00272332"/>
    <w:rsid w:val="0027240B"/>
    <w:rsid w:val="00272507"/>
    <w:rsid w:val="002726B6"/>
    <w:rsid w:val="00272F24"/>
    <w:rsid w:val="0027324A"/>
    <w:rsid w:val="002732BE"/>
    <w:rsid w:val="00273322"/>
    <w:rsid w:val="002738B5"/>
    <w:rsid w:val="00273900"/>
    <w:rsid w:val="002747A2"/>
    <w:rsid w:val="002748A7"/>
    <w:rsid w:val="0027494F"/>
    <w:rsid w:val="00274DED"/>
    <w:rsid w:val="0027536C"/>
    <w:rsid w:val="002758B4"/>
    <w:rsid w:val="0027593C"/>
    <w:rsid w:val="002759BF"/>
    <w:rsid w:val="00276040"/>
    <w:rsid w:val="002760E9"/>
    <w:rsid w:val="002760EF"/>
    <w:rsid w:val="002761C5"/>
    <w:rsid w:val="002765C2"/>
    <w:rsid w:val="002769DC"/>
    <w:rsid w:val="00276A82"/>
    <w:rsid w:val="00276C54"/>
    <w:rsid w:val="00276FC9"/>
    <w:rsid w:val="00276FF5"/>
    <w:rsid w:val="00277289"/>
    <w:rsid w:val="002773F6"/>
    <w:rsid w:val="002774C3"/>
    <w:rsid w:val="0027759D"/>
    <w:rsid w:val="00277618"/>
    <w:rsid w:val="002778AD"/>
    <w:rsid w:val="0028034F"/>
    <w:rsid w:val="00280745"/>
    <w:rsid w:val="0028076D"/>
    <w:rsid w:val="00280D0F"/>
    <w:rsid w:val="0028139F"/>
    <w:rsid w:val="002814A9"/>
    <w:rsid w:val="00281549"/>
    <w:rsid w:val="00282660"/>
    <w:rsid w:val="00283444"/>
    <w:rsid w:val="0028351B"/>
    <w:rsid w:val="0028351E"/>
    <w:rsid w:val="002839D3"/>
    <w:rsid w:val="00283A30"/>
    <w:rsid w:val="00283A59"/>
    <w:rsid w:val="00283CB4"/>
    <w:rsid w:val="00283EA9"/>
    <w:rsid w:val="00284A0E"/>
    <w:rsid w:val="00284BDB"/>
    <w:rsid w:val="00285107"/>
    <w:rsid w:val="00285129"/>
    <w:rsid w:val="00285493"/>
    <w:rsid w:val="002857D1"/>
    <w:rsid w:val="00285A96"/>
    <w:rsid w:val="00285CF6"/>
    <w:rsid w:val="002860F2"/>
    <w:rsid w:val="002861F3"/>
    <w:rsid w:val="00286415"/>
    <w:rsid w:val="00287018"/>
    <w:rsid w:val="002871FA"/>
    <w:rsid w:val="00287851"/>
    <w:rsid w:val="00290957"/>
    <w:rsid w:val="00290A20"/>
    <w:rsid w:val="00290C34"/>
    <w:rsid w:val="0029115F"/>
    <w:rsid w:val="002913E4"/>
    <w:rsid w:val="00291A62"/>
    <w:rsid w:val="00291CE4"/>
    <w:rsid w:val="00291D62"/>
    <w:rsid w:val="00292477"/>
    <w:rsid w:val="00292BF8"/>
    <w:rsid w:val="00292E8C"/>
    <w:rsid w:val="002936E4"/>
    <w:rsid w:val="0029372A"/>
    <w:rsid w:val="00293CCF"/>
    <w:rsid w:val="00293D5E"/>
    <w:rsid w:val="0029403A"/>
    <w:rsid w:val="00294589"/>
    <w:rsid w:val="00294804"/>
    <w:rsid w:val="00294B37"/>
    <w:rsid w:val="00294DCA"/>
    <w:rsid w:val="00295115"/>
    <w:rsid w:val="00295246"/>
    <w:rsid w:val="0029533B"/>
    <w:rsid w:val="002953E2"/>
    <w:rsid w:val="00295C21"/>
    <w:rsid w:val="00295E80"/>
    <w:rsid w:val="00295F6E"/>
    <w:rsid w:val="00296065"/>
    <w:rsid w:val="0029619B"/>
    <w:rsid w:val="00296A7A"/>
    <w:rsid w:val="00296E3A"/>
    <w:rsid w:val="00296FB0"/>
    <w:rsid w:val="0029700A"/>
    <w:rsid w:val="002979CC"/>
    <w:rsid w:val="00297C2D"/>
    <w:rsid w:val="002A0A44"/>
    <w:rsid w:val="002A0C1C"/>
    <w:rsid w:val="002A11B8"/>
    <w:rsid w:val="002A120F"/>
    <w:rsid w:val="002A1613"/>
    <w:rsid w:val="002A175E"/>
    <w:rsid w:val="002A19B8"/>
    <w:rsid w:val="002A19FA"/>
    <w:rsid w:val="002A231A"/>
    <w:rsid w:val="002A28DF"/>
    <w:rsid w:val="002A2BE2"/>
    <w:rsid w:val="002A2E62"/>
    <w:rsid w:val="002A301D"/>
    <w:rsid w:val="002A34B7"/>
    <w:rsid w:val="002A395B"/>
    <w:rsid w:val="002A3B81"/>
    <w:rsid w:val="002A440A"/>
    <w:rsid w:val="002A457D"/>
    <w:rsid w:val="002A466D"/>
    <w:rsid w:val="002A4AEB"/>
    <w:rsid w:val="002A5404"/>
    <w:rsid w:val="002A57C6"/>
    <w:rsid w:val="002A5DB0"/>
    <w:rsid w:val="002A633A"/>
    <w:rsid w:val="002A64C3"/>
    <w:rsid w:val="002A662F"/>
    <w:rsid w:val="002A6BF2"/>
    <w:rsid w:val="002A6C39"/>
    <w:rsid w:val="002A70F0"/>
    <w:rsid w:val="002A7116"/>
    <w:rsid w:val="002A732E"/>
    <w:rsid w:val="002A73A4"/>
    <w:rsid w:val="002A7504"/>
    <w:rsid w:val="002A7606"/>
    <w:rsid w:val="002A7D81"/>
    <w:rsid w:val="002B04E3"/>
    <w:rsid w:val="002B10A5"/>
    <w:rsid w:val="002B118F"/>
    <w:rsid w:val="002B1583"/>
    <w:rsid w:val="002B1DBC"/>
    <w:rsid w:val="002B2105"/>
    <w:rsid w:val="002B21D4"/>
    <w:rsid w:val="002B23F8"/>
    <w:rsid w:val="002B276B"/>
    <w:rsid w:val="002B298E"/>
    <w:rsid w:val="002B2D5E"/>
    <w:rsid w:val="002B2EB4"/>
    <w:rsid w:val="002B33F2"/>
    <w:rsid w:val="002B373F"/>
    <w:rsid w:val="002B3E41"/>
    <w:rsid w:val="002B42E1"/>
    <w:rsid w:val="002B44A4"/>
    <w:rsid w:val="002B4A7C"/>
    <w:rsid w:val="002B4D58"/>
    <w:rsid w:val="002B4F61"/>
    <w:rsid w:val="002B4F86"/>
    <w:rsid w:val="002B4F97"/>
    <w:rsid w:val="002B5140"/>
    <w:rsid w:val="002B6404"/>
    <w:rsid w:val="002B6B22"/>
    <w:rsid w:val="002B6D00"/>
    <w:rsid w:val="002B71E0"/>
    <w:rsid w:val="002B739A"/>
    <w:rsid w:val="002B742D"/>
    <w:rsid w:val="002B750E"/>
    <w:rsid w:val="002B7B5A"/>
    <w:rsid w:val="002B7D2E"/>
    <w:rsid w:val="002C02B3"/>
    <w:rsid w:val="002C09EB"/>
    <w:rsid w:val="002C0D03"/>
    <w:rsid w:val="002C14E0"/>
    <w:rsid w:val="002C1FAB"/>
    <w:rsid w:val="002C313C"/>
    <w:rsid w:val="002C35D2"/>
    <w:rsid w:val="002C37A5"/>
    <w:rsid w:val="002C3AB1"/>
    <w:rsid w:val="002C3B36"/>
    <w:rsid w:val="002C4185"/>
    <w:rsid w:val="002C43DB"/>
    <w:rsid w:val="002C4B01"/>
    <w:rsid w:val="002C4F15"/>
    <w:rsid w:val="002C6963"/>
    <w:rsid w:val="002C74BD"/>
    <w:rsid w:val="002C7694"/>
    <w:rsid w:val="002D01C6"/>
    <w:rsid w:val="002D040A"/>
    <w:rsid w:val="002D06B4"/>
    <w:rsid w:val="002D079E"/>
    <w:rsid w:val="002D12E0"/>
    <w:rsid w:val="002D1A45"/>
    <w:rsid w:val="002D1BFE"/>
    <w:rsid w:val="002D21C9"/>
    <w:rsid w:val="002D2577"/>
    <w:rsid w:val="002D2A80"/>
    <w:rsid w:val="002D2CBE"/>
    <w:rsid w:val="002D2D1D"/>
    <w:rsid w:val="002D2D90"/>
    <w:rsid w:val="002D2F00"/>
    <w:rsid w:val="002D3107"/>
    <w:rsid w:val="002D3177"/>
    <w:rsid w:val="002D3709"/>
    <w:rsid w:val="002D38A2"/>
    <w:rsid w:val="002D38F3"/>
    <w:rsid w:val="002D4010"/>
    <w:rsid w:val="002D40C2"/>
    <w:rsid w:val="002D4174"/>
    <w:rsid w:val="002D4A99"/>
    <w:rsid w:val="002D52F3"/>
    <w:rsid w:val="002D5401"/>
    <w:rsid w:val="002D5511"/>
    <w:rsid w:val="002D55FC"/>
    <w:rsid w:val="002D62F5"/>
    <w:rsid w:val="002D6AAE"/>
    <w:rsid w:val="002D6B21"/>
    <w:rsid w:val="002D6E54"/>
    <w:rsid w:val="002D757C"/>
    <w:rsid w:val="002D7654"/>
    <w:rsid w:val="002D76E7"/>
    <w:rsid w:val="002D7760"/>
    <w:rsid w:val="002D7AA5"/>
    <w:rsid w:val="002D7E94"/>
    <w:rsid w:val="002E00DA"/>
    <w:rsid w:val="002E0889"/>
    <w:rsid w:val="002E0BA3"/>
    <w:rsid w:val="002E0D48"/>
    <w:rsid w:val="002E0ED2"/>
    <w:rsid w:val="002E1949"/>
    <w:rsid w:val="002E1C79"/>
    <w:rsid w:val="002E22C2"/>
    <w:rsid w:val="002E23BF"/>
    <w:rsid w:val="002E2C77"/>
    <w:rsid w:val="002E2EA6"/>
    <w:rsid w:val="002E3000"/>
    <w:rsid w:val="002E3165"/>
    <w:rsid w:val="002E32D3"/>
    <w:rsid w:val="002E338E"/>
    <w:rsid w:val="002E34C5"/>
    <w:rsid w:val="002E3621"/>
    <w:rsid w:val="002E368F"/>
    <w:rsid w:val="002E3829"/>
    <w:rsid w:val="002E383A"/>
    <w:rsid w:val="002E3BB2"/>
    <w:rsid w:val="002E3DA4"/>
    <w:rsid w:val="002E3F4B"/>
    <w:rsid w:val="002E3F60"/>
    <w:rsid w:val="002E4491"/>
    <w:rsid w:val="002E44C4"/>
    <w:rsid w:val="002E4641"/>
    <w:rsid w:val="002E4B07"/>
    <w:rsid w:val="002E4E4D"/>
    <w:rsid w:val="002E4FFF"/>
    <w:rsid w:val="002E5052"/>
    <w:rsid w:val="002E5064"/>
    <w:rsid w:val="002E50D3"/>
    <w:rsid w:val="002E52EA"/>
    <w:rsid w:val="002E5D95"/>
    <w:rsid w:val="002E5E0C"/>
    <w:rsid w:val="002E60A8"/>
    <w:rsid w:val="002E623B"/>
    <w:rsid w:val="002E6506"/>
    <w:rsid w:val="002E6528"/>
    <w:rsid w:val="002E6550"/>
    <w:rsid w:val="002E6651"/>
    <w:rsid w:val="002E6955"/>
    <w:rsid w:val="002E6C97"/>
    <w:rsid w:val="002E6F77"/>
    <w:rsid w:val="002E707C"/>
    <w:rsid w:val="002E70BF"/>
    <w:rsid w:val="002E723F"/>
    <w:rsid w:val="002E72DB"/>
    <w:rsid w:val="002E739D"/>
    <w:rsid w:val="002E75A8"/>
    <w:rsid w:val="002E78EB"/>
    <w:rsid w:val="002E7AA3"/>
    <w:rsid w:val="002E7B77"/>
    <w:rsid w:val="002E7F0D"/>
    <w:rsid w:val="002E7FE4"/>
    <w:rsid w:val="002F01D2"/>
    <w:rsid w:val="002F01F1"/>
    <w:rsid w:val="002F0297"/>
    <w:rsid w:val="002F045C"/>
    <w:rsid w:val="002F0F9F"/>
    <w:rsid w:val="002F1406"/>
    <w:rsid w:val="002F14FA"/>
    <w:rsid w:val="002F150C"/>
    <w:rsid w:val="002F2634"/>
    <w:rsid w:val="002F2E67"/>
    <w:rsid w:val="002F2ECF"/>
    <w:rsid w:val="002F2F0A"/>
    <w:rsid w:val="002F3298"/>
    <w:rsid w:val="002F35A4"/>
    <w:rsid w:val="002F3625"/>
    <w:rsid w:val="002F3731"/>
    <w:rsid w:val="002F379A"/>
    <w:rsid w:val="002F3A8C"/>
    <w:rsid w:val="002F3F6F"/>
    <w:rsid w:val="002F47C6"/>
    <w:rsid w:val="002F495B"/>
    <w:rsid w:val="002F4F65"/>
    <w:rsid w:val="002F5771"/>
    <w:rsid w:val="002F5BC8"/>
    <w:rsid w:val="002F6303"/>
    <w:rsid w:val="002F64CD"/>
    <w:rsid w:val="002F6AA7"/>
    <w:rsid w:val="002F6EE0"/>
    <w:rsid w:val="002F7009"/>
    <w:rsid w:val="002F705B"/>
    <w:rsid w:val="002F74EF"/>
    <w:rsid w:val="002F7B3B"/>
    <w:rsid w:val="002F7C11"/>
    <w:rsid w:val="002F7DBC"/>
    <w:rsid w:val="002F7FE7"/>
    <w:rsid w:val="00300022"/>
    <w:rsid w:val="00300843"/>
    <w:rsid w:val="00300C1A"/>
    <w:rsid w:val="00301647"/>
    <w:rsid w:val="003019FB"/>
    <w:rsid w:val="00301C00"/>
    <w:rsid w:val="00301E77"/>
    <w:rsid w:val="0030259D"/>
    <w:rsid w:val="00302943"/>
    <w:rsid w:val="00302CCD"/>
    <w:rsid w:val="00302EF2"/>
    <w:rsid w:val="0030345F"/>
    <w:rsid w:val="00303E60"/>
    <w:rsid w:val="00303E9C"/>
    <w:rsid w:val="00303F8E"/>
    <w:rsid w:val="0030427C"/>
    <w:rsid w:val="003042FF"/>
    <w:rsid w:val="003045FC"/>
    <w:rsid w:val="0030521E"/>
    <w:rsid w:val="00305ADF"/>
    <w:rsid w:val="00305BB8"/>
    <w:rsid w:val="00305D1A"/>
    <w:rsid w:val="0030613F"/>
    <w:rsid w:val="00306444"/>
    <w:rsid w:val="00306892"/>
    <w:rsid w:val="00306BBB"/>
    <w:rsid w:val="00307082"/>
    <w:rsid w:val="0030754A"/>
    <w:rsid w:val="003076F2"/>
    <w:rsid w:val="00307881"/>
    <w:rsid w:val="00307EA4"/>
    <w:rsid w:val="00310025"/>
    <w:rsid w:val="003101A2"/>
    <w:rsid w:val="00310885"/>
    <w:rsid w:val="00310968"/>
    <w:rsid w:val="00310B88"/>
    <w:rsid w:val="00310B91"/>
    <w:rsid w:val="0031211F"/>
    <w:rsid w:val="003121F0"/>
    <w:rsid w:val="0031318B"/>
    <w:rsid w:val="00313CA4"/>
    <w:rsid w:val="0031429A"/>
    <w:rsid w:val="0031470D"/>
    <w:rsid w:val="00315186"/>
    <w:rsid w:val="00315198"/>
    <w:rsid w:val="0031522A"/>
    <w:rsid w:val="003157EA"/>
    <w:rsid w:val="00315B52"/>
    <w:rsid w:val="00315C4B"/>
    <w:rsid w:val="00315F99"/>
    <w:rsid w:val="003165F4"/>
    <w:rsid w:val="00316B25"/>
    <w:rsid w:val="00317218"/>
    <w:rsid w:val="003172A7"/>
    <w:rsid w:val="00317665"/>
    <w:rsid w:val="00317857"/>
    <w:rsid w:val="00317B7C"/>
    <w:rsid w:val="00317D2D"/>
    <w:rsid w:val="003201BC"/>
    <w:rsid w:val="00320EC0"/>
    <w:rsid w:val="003212C2"/>
    <w:rsid w:val="00321590"/>
    <w:rsid w:val="0032167E"/>
    <w:rsid w:val="00321765"/>
    <w:rsid w:val="00321B2F"/>
    <w:rsid w:val="0032239E"/>
    <w:rsid w:val="003225A7"/>
    <w:rsid w:val="00322F81"/>
    <w:rsid w:val="00323279"/>
    <w:rsid w:val="0032337F"/>
    <w:rsid w:val="003237B6"/>
    <w:rsid w:val="00323DC1"/>
    <w:rsid w:val="00324135"/>
    <w:rsid w:val="0032452D"/>
    <w:rsid w:val="00324699"/>
    <w:rsid w:val="003246F2"/>
    <w:rsid w:val="00325018"/>
    <w:rsid w:val="00325069"/>
    <w:rsid w:val="00325136"/>
    <w:rsid w:val="00325256"/>
    <w:rsid w:val="00325572"/>
    <w:rsid w:val="003255DA"/>
    <w:rsid w:val="00325884"/>
    <w:rsid w:val="003258F0"/>
    <w:rsid w:val="00325E0A"/>
    <w:rsid w:val="00326319"/>
    <w:rsid w:val="0032641A"/>
    <w:rsid w:val="00326432"/>
    <w:rsid w:val="003268E7"/>
    <w:rsid w:val="00326B30"/>
    <w:rsid w:val="00326E64"/>
    <w:rsid w:val="003273C1"/>
    <w:rsid w:val="003277C5"/>
    <w:rsid w:val="00327C8E"/>
    <w:rsid w:val="00327D0E"/>
    <w:rsid w:val="003303D0"/>
    <w:rsid w:val="00330A7A"/>
    <w:rsid w:val="003312AE"/>
    <w:rsid w:val="00331625"/>
    <w:rsid w:val="00331931"/>
    <w:rsid w:val="00331E8A"/>
    <w:rsid w:val="00332060"/>
    <w:rsid w:val="00332132"/>
    <w:rsid w:val="003326CB"/>
    <w:rsid w:val="00332ADB"/>
    <w:rsid w:val="00332B57"/>
    <w:rsid w:val="00332B93"/>
    <w:rsid w:val="00333171"/>
    <w:rsid w:val="003332DD"/>
    <w:rsid w:val="003335B4"/>
    <w:rsid w:val="003337C6"/>
    <w:rsid w:val="00333A7B"/>
    <w:rsid w:val="00333DA0"/>
    <w:rsid w:val="003343CC"/>
    <w:rsid w:val="003347F7"/>
    <w:rsid w:val="00335453"/>
    <w:rsid w:val="0033561D"/>
    <w:rsid w:val="00335645"/>
    <w:rsid w:val="00335F1C"/>
    <w:rsid w:val="00335F33"/>
    <w:rsid w:val="00336245"/>
    <w:rsid w:val="003362C6"/>
    <w:rsid w:val="003368AB"/>
    <w:rsid w:val="003369E1"/>
    <w:rsid w:val="00337017"/>
    <w:rsid w:val="00337BE5"/>
    <w:rsid w:val="00337DDB"/>
    <w:rsid w:val="0034015A"/>
    <w:rsid w:val="0034071E"/>
    <w:rsid w:val="003409C0"/>
    <w:rsid w:val="00340F88"/>
    <w:rsid w:val="003410BF"/>
    <w:rsid w:val="00341AAE"/>
    <w:rsid w:val="00341C22"/>
    <w:rsid w:val="00341D4C"/>
    <w:rsid w:val="003425C3"/>
    <w:rsid w:val="00342A07"/>
    <w:rsid w:val="00343100"/>
    <w:rsid w:val="00343C1A"/>
    <w:rsid w:val="00343DBB"/>
    <w:rsid w:val="00343F71"/>
    <w:rsid w:val="00343F93"/>
    <w:rsid w:val="00344822"/>
    <w:rsid w:val="00344DAB"/>
    <w:rsid w:val="00345012"/>
    <w:rsid w:val="003450A5"/>
    <w:rsid w:val="003457C5"/>
    <w:rsid w:val="00345BF1"/>
    <w:rsid w:val="003463AE"/>
    <w:rsid w:val="003465E9"/>
    <w:rsid w:val="00346ADF"/>
    <w:rsid w:val="0034718F"/>
    <w:rsid w:val="003474C4"/>
    <w:rsid w:val="00347812"/>
    <w:rsid w:val="00347E5F"/>
    <w:rsid w:val="0035021B"/>
    <w:rsid w:val="00350D89"/>
    <w:rsid w:val="00350E40"/>
    <w:rsid w:val="003511E3"/>
    <w:rsid w:val="00351341"/>
    <w:rsid w:val="003513C2"/>
    <w:rsid w:val="00351421"/>
    <w:rsid w:val="00351989"/>
    <w:rsid w:val="0035206E"/>
    <w:rsid w:val="00353711"/>
    <w:rsid w:val="00353BAE"/>
    <w:rsid w:val="00353FA1"/>
    <w:rsid w:val="003544A7"/>
    <w:rsid w:val="00354603"/>
    <w:rsid w:val="003547A1"/>
    <w:rsid w:val="003548AF"/>
    <w:rsid w:val="003549D7"/>
    <w:rsid w:val="00354A5A"/>
    <w:rsid w:val="003553BA"/>
    <w:rsid w:val="0035543F"/>
    <w:rsid w:val="00355599"/>
    <w:rsid w:val="0035563B"/>
    <w:rsid w:val="0035572D"/>
    <w:rsid w:val="003558DA"/>
    <w:rsid w:val="00355F5A"/>
    <w:rsid w:val="003560DF"/>
    <w:rsid w:val="00356162"/>
    <w:rsid w:val="00356A63"/>
    <w:rsid w:val="00356B22"/>
    <w:rsid w:val="00356CB4"/>
    <w:rsid w:val="00356D89"/>
    <w:rsid w:val="0035727D"/>
    <w:rsid w:val="003574FA"/>
    <w:rsid w:val="003577A1"/>
    <w:rsid w:val="003601E1"/>
    <w:rsid w:val="003603C1"/>
    <w:rsid w:val="00360840"/>
    <w:rsid w:val="00360E62"/>
    <w:rsid w:val="003613E3"/>
    <w:rsid w:val="00361ECA"/>
    <w:rsid w:val="00362070"/>
    <w:rsid w:val="003621A6"/>
    <w:rsid w:val="0036222C"/>
    <w:rsid w:val="00362583"/>
    <w:rsid w:val="0036258B"/>
    <w:rsid w:val="00362B0F"/>
    <w:rsid w:val="00362D0A"/>
    <w:rsid w:val="00362E49"/>
    <w:rsid w:val="00362FDF"/>
    <w:rsid w:val="003630A2"/>
    <w:rsid w:val="00363254"/>
    <w:rsid w:val="0036395F"/>
    <w:rsid w:val="003639C3"/>
    <w:rsid w:val="00363B33"/>
    <w:rsid w:val="00365367"/>
    <w:rsid w:val="003654F4"/>
    <w:rsid w:val="003657BB"/>
    <w:rsid w:val="00365804"/>
    <w:rsid w:val="003664C4"/>
    <w:rsid w:val="00366521"/>
    <w:rsid w:val="00366676"/>
    <w:rsid w:val="00366821"/>
    <w:rsid w:val="00366E1B"/>
    <w:rsid w:val="0036774F"/>
    <w:rsid w:val="00370000"/>
    <w:rsid w:val="00370341"/>
    <w:rsid w:val="00370471"/>
    <w:rsid w:val="00370B24"/>
    <w:rsid w:val="00371E13"/>
    <w:rsid w:val="003720AD"/>
    <w:rsid w:val="003721CD"/>
    <w:rsid w:val="0037233C"/>
    <w:rsid w:val="003727EE"/>
    <w:rsid w:val="0037296E"/>
    <w:rsid w:val="00372CAF"/>
    <w:rsid w:val="00373181"/>
    <w:rsid w:val="00373AA3"/>
    <w:rsid w:val="00373C41"/>
    <w:rsid w:val="00374482"/>
    <w:rsid w:val="00374529"/>
    <w:rsid w:val="003749F4"/>
    <w:rsid w:val="00374BD6"/>
    <w:rsid w:val="00374D48"/>
    <w:rsid w:val="00374E30"/>
    <w:rsid w:val="003752EB"/>
    <w:rsid w:val="003756A1"/>
    <w:rsid w:val="003756C4"/>
    <w:rsid w:val="00375A2D"/>
    <w:rsid w:val="00375B45"/>
    <w:rsid w:val="0037614D"/>
    <w:rsid w:val="003763C4"/>
    <w:rsid w:val="00376458"/>
    <w:rsid w:val="00376D4E"/>
    <w:rsid w:val="00376F6B"/>
    <w:rsid w:val="00376F78"/>
    <w:rsid w:val="003770D3"/>
    <w:rsid w:val="0037738A"/>
    <w:rsid w:val="003773FB"/>
    <w:rsid w:val="00377532"/>
    <w:rsid w:val="00377BCF"/>
    <w:rsid w:val="00377C21"/>
    <w:rsid w:val="00380138"/>
    <w:rsid w:val="0038019F"/>
    <w:rsid w:val="003803CA"/>
    <w:rsid w:val="0038095A"/>
    <w:rsid w:val="003809E8"/>
    <w:rsid w:val="00380B3B"/>
    <w:rsid w:val="00380C9C"/>
    <w:rsid w:val="00380DFB"/>
    <w:rsid w:val="0038110F"/>
    <w:rsid w:val="0038160D"/>
    <w:rsid w:val="00381F41"/>
    <w:rsid w:val="003824AA"/>
    <w:rsid w:val="00382589"/>
    <w:rsid w:val="003827E9"/>
    <w:rsid w:val="00382A8B"/>
    <w:rsid w:val="00383AB0"/>
    <w:rsid w:val="00383E80"/>
    <w:rsid w:val="00384E72"/>
    <w:rsid w:val="00384E82"/>
    <w:rsid w:val="003853A3"/>
    <w:rsid w:val="00385418"/>
    <w:rsid w:val="003859E3"/>
    <w:rsid w:val="00385D41"/>
    <w:rsid w:val="00385E2D"/>
    <w:rsid w:val="00385E5D"/>
    <w:rsid w:val="00386110"/>
    <w:rsid w:val="003863CD"/>
    <w:rsid w:val="00386782"/>
    <w:rsid w:val="00386AAD"/>
    <w:rsid w:val="00386C9A"/>
    <w:rsid w:val="00386E14"/>
    <w:rsid w:val="00387340"/>
    <w:rsid w:val="00387811"/>
    <w:rsid w:val="00390392"/>
    <w:rsid w:val="003905E1"/>
    <w:rsid w:val="00390BC9"/>
    <w:rsid w:val="00390EE1"/>
    <w:rsid w:val="00390FE6"/>
    <w:rsid w:val="0039123F"/>
    <w:rsid w:val="003913A4"/>
    <w:rsid w:val="003915F6"/>
    <w:rsid w:val="003917A7"/>
    <w:rsid w:val="00391BDC"/>
    <w:rsid w:val="00392142"/>
    <w:rsid w:val="00392218"/>
    <w:rsid w:val="00392534"/>
    <w:rsid w:val="00392C30"/>
    <w:rsid w:val="00393AC3"/>
    <w:rsid w:val="00393FB6"/>
    <w:rsid w:val="0039425E"/>
    <w:rsid w:val="00394350"/>
    <w:rsid w:val="0039477E"/>
    <w:rsid w:val="0039484E"/>
    <w:rsid w:val="0039489A"/>
    <w:rsid w:val="00394B7E"/>
    <w:rsid w:val="00394E2D"/>
    <w:rsid w:val="00395A4B"/>
    <w:rsid w:val="003960ED"/>
    <w:rsid w:val="00396877"/>
    <w:rsid w:val="00396913"/>
    <w:rsid w:val="00396EC5"/>
    <w:rsid w:val="0039726C"/>
    <w:rsid w:val="003972DF"/>
    <w:rsid w:val="003976B4"/>
    <w:rsid w:val="0039772E"/>
    <w:rsid w:val="00397B07"/>
    <w:rsid w:val="00397B30"/>
    <w:rsid w:val="00397DB2"/>
    <w:rsid w:val="00397E74"/>
    <w:rsid w:val="00397FA2"/>
    <w:rsid w:val="003A0279"/>
    <w:rsid w:val="003A05D3"/>
    <w:rsid w:val="003A062D"/>
    <w:rsid w:val="003A076D"/>
    <w:rsid w:val="003A0C77"/>
    <w:rsid w:val="003A15BA"/>
    <w:rsid w:val="003A1806"/>
    <w:rsid w:val="003A185A"/>
    <w:rsid w:val="003A1E2B"/>
    <w:rsid w:val="003A2CCF"/>
    <w:rsid w:val="003A338A"/>
    <w:rsid w:val="003A3444"/>
    <w:rsid w:val="003A373E"/>
    <w:rsid w:val="003A3A56"/>
    <w:rsid w:val="003A3EDD"/>
    <w:rsid w:val="003A4633"/>
    <w:rsid w:val="003A4666"/>
    <w:rsid w:val="003A4AD1"/>
    <w:rsid w:val="003A541A"/>
    <w:rsid w:val="003A5506"/>
    <w:rsid w:val="003A59AD"/>
    <w:rsid w:val="003A5D86"/>
    <w:rsid w:val="003A60CD"/>
    <w:rsid w:val="003A62CF"/>
    <w:rsid w:val="003A66F9"/>
    <w:rsid w:val="003A686F"/>
    <w:rsid w:val="003A690E"/>
    <w:rsid w:val="003A6993"/>
    <w:rsid w:val="003A6C49"/>
    <w:rsid w:val="003A72F2"/>
    <w:rsid w:val="003A730A"/>
    <w:rsid w:val="003A7785"/>
    <w:rsid w:val="003A7E6D"/>
    <w:rsid w:val="003B0121"/>
    <w:rsid w:val="003B0217"/>
    <w:rsid w:val="003B06D8"/>
    <w:rsid w:val="003B0740"/>
    <w:rsid w:val="003B0C17"/>
    <w:rsid w:val="003B0CDC"/>
    <w:rsid w:val="003B10F6"/>
    <w:rsid w:val="003B18A0"/>
    <w:rsid w:val="003B1932"/>
    <w:rsid w:val="003B1D62"/>
    <w:rsid w:val="003B1D6A"/>
    <w:rsid w:val="003B2007"/>
    <w:rsid w:val="003B2E0D"/>
    <w:rsid w:val="003B32D3"/>
    <w:rsid w:val="003B3BAA"/>
    <w:rsid w:val="003B3C29"/>
    <w:rsid w:val="003B3CAC"/>
    <w:rsid w:val="003B3DAA"/>
    <w:rsid w:val="003B401F"/>
    <w:rsid w:val="003B41DA"/>
    <w:rsid w:val="003B42D7"/>
    <w:rsid w:val="003B442D"/>
    <w:rsid w:val="003B4604"/>
    <w:rsid w:val="003B4729"/>
    <w:rsid w:val="003B5342"/>
    <w:rsid w:val="003B5385"/>
    <w:rsid w:val="003B53BD"/>
    <w:rsid w:val="003B54B2"/>
    <w:rsid w:val="003B55A9"/>
    <w:rsid w:val="003B56DB"/>
    <w:rsid w:val="003B5892"/>
    <w:rsid w:val="003B5EEF"/>
    <w:rsid w:val="003B6692"/>
    <w:rsid w:val="003B6B57"/>
    <w:rsid w:val="003B6CE2"/>
    <w:rsid w:val="003B6ECC"/>
    <w:rsid w:val="003B74BE"/>
    <w:rsid w:val="003B7A23"/>
    <w:rsid w:val="003C00D0"/>
    <w:rsid w:val="003C0BC8"/>
    <w:rsid w:val="003C14B5"/>
    <w:rsid w:val="003C19C4"/>
    <w:rsid w:val="003C1BD3"/>
    <w:rsid w:val="003C25F9"/>
    <w:rsid w:val="003C266E"/>
    <w:rsid w:val="003C2790"/>
    <w:rsid w:val="003C27A5"/>
    <w:rsid w:val="003C2968"/>
    <w:rsid w:val="003C2B4A"/>
    <w:rsid w:val="003C2C0D"/>
    <w:rsid w:val="003C2C66"/>
    <w:rsid w:val="003C2DC3"/>
    <w:rsid w:val="003C300B"/>
    <w:rsid w:val="003C3102"/>
    <w:rsid w:val="003C37DD"/>
    <w:rsid w:val="003C3A8F"/>
    <w:rsid w:val="003C3B57"/>
    <w:rsid w:val="003C3C7D"/>
    <w:rsid w:val="003C567D"/>
    <w:rsid w:val="003C67A8"/>
    <w:rsid w:val="003C6A21"/>
    <w:rsid w:val="003C6C8E"/>
    <w:rsid w:val="003C6F5A"/>
    <w:rsid w:val="003C71C0"/>
    <w:rsid w:val="003C7497"/>
    <w:rsid w:val="003C757A"/>
    <w:rsid w:val="003C7AF9"/>
    <w:rsid w:val="003C7C94"/>
    <w:rsid w:val="003C7DAD"/>
    <w:rsid w:val="003D0291"/>
    <w:rsid w:val="003D03E3"/>
    <w:rsid w:val="003D0CB1"/>
    <w:rsid w:val="003D0F60"/>
    <w:rsid w:val="003D133D"/>
    <w:rsid w:val="003D13D0"/>
    <w:rsid w:val="003D1B6E"/>
    <w:rsid w:val="003D1B95"/>
    <w:rsid w:val="003D2092"/>
    <w:rsid w:val="003D22F2"/>
    <w:rsid w:val="003D2562"/>
    <w:rsid w:val="003D2757"/>
    <w:rsid w:val="003D2777"/>
    <w:rsid w:val="003D2DEC"/>
    <w:rsid w:val="003D306C"/>
    <w:rsid w:val="003D35C1"/>
    <w:rsid w:val="003D3845"/>
    <w:rsid w:val="003D3CF5"/>
    <w:rsid w:val="003D4018"/>
    <w:rsid w:val="003D412D"/>
    <w:rsid w:val="003D4747"/>
    <w:rsid w:val="003D48B7"/>
    <w:rsid w:val="003D4DAC"/>
    <w:rsid w:val="003D4E10"/>
    <w:rsid w:val="003D5F11"/>
    <w:rsid w:val="003D67E8"/>
    <w:rsid w:val="003D70B4"/>
    <w:rsid w:val="003D70C8"/>
    <w:rsid w:val="003D759B"/>
    <w:rsid w:val="003E05A8"/>
    <w:rsid w:val="003E110E"/>
    <w:rsid w:val="003E1BAD"/>
    <w:rsid w:val="003E1D34"/>
    <w:rsid w:val="003E1F44"/>
    <w:rsid w:val="003E27BA"/>
    <w:rsid w:val="003E297C"/>
    <w:rsid w:val="003E2FF6"/>
    <w:rsid w:val="003E3156"/>
    <w:rsid w:val="003E329A"/>
    <w:rsid w:val="003E329B"/>
    <w:rsid w:val="003E3638"/>
    <w:rsid w:val="003E36EC"/>
    <w:rsid w:val="003E376A"/>
    <w:rsid w:val="003E3C24"/>
    <w:rsid w:val="003E41DD"/>
    <w:rsid w:val="003E459C"/>
    <w:rsid w:val="003E4715"/>
    <w:rsid w:val="003E4809"/>
    <w:rsid w:val="003E5011"/>
    <w:rsid w:val="003E51CD"/>
    <w:rsid w:val="003E55A4"/>
    <w:rsid w:val="003E5896"/>
    <w:rsid w:val="003E5EBF"/>
    <w:rsid w:val="003E5F52"/>
    <w:rsid w:val="003E629A"/>
    <w:rsid w:val="003E6482"/>
    <w:rsid w:val="003E6DD0"/>
    <w:rsid w:val="003E7234"/>
    <w:rsid w:val="003E7F94"/>
    <w:rsid w:val="003F0473"/>
    <w:rsid w:val="003F09FF"/>
    <w:rsid w:val="003F0C6C"/>
    <w:rsid w:val="003F0C9C"/>
    <w:rsid w:val="003F176B"/>
    <w:rsid w:val="003F1930"/>
    <w:rsid w:val="003F1A32"/>
    <w:rsid w:val="003F1B96"/>
    <w:rsid w:val="003F1E38"/>
    <w:rsid w:val="003F1FE5"/>
    <w:rsid w:val="003F2850"/>
    <w:rsid w:val="003F2EA4"/>
    <w:rsid w:val="003F341B"/>
    <w:rsid w:val="003F38A2"/>
    <w:rsid w:val="003F41AE"/>
    <w:rsid w:val="003F49AD"/>
    <w:rsid w:val="003F4BB7"/>
    <w:rsid w:val="003F4E45"/>
    <w:rsid w:val="003F4E97"/>
    <w:rsid w:val="003F5238"/>
    <w:rsid w:val="003F5503"/>
    <w:rsid w:val="003F56D8"/>
    <w:rsid w:val="003F58FC"/>
    <w:rsid w:val="003F5F41"/>
    <w:rsid w:val="003F649D"/>
    <w:rsid w:val="003F6EBE"/>
    <w:rsid w:val="003F705B"/>
    <w:rsid w:val="003F73A2"/>
    <w:rsid w:val="003F782D"/>
    <w:rsid w:val="003F7DDE"/>
    <w:rsid w:val="003F7F9E"/>
    <w:rsid w:val="00400AC3"/>
    <w:rsid w:val="00400B30"/>
    <w:rsid w:val="00400BA1"/>
    <w:rsid w:val="00400EA2"/>
    <w:rsid w:val="00400ED3"/>
    <w:rsid w:val="0040200F"/>
    <w:rsid w:val="004020B1"/>
    <w:rsid w:val="00402105"/>
    <w:rsid w:val="0040292D"/>
    <w:rsid w:val="00402F08"/>
    <w:rsid w:val="00402F91"/>
    <w:rsid w:val="00402FAD"/>
    <w:rsid w:val="00403099"/>
    <w:rsid w:val="0040325C"/>
    <w:rsid w:val="00403274"/>
    <w:rsid w:val="00404230"/>
    <w:rsid w:val="00404762"/>
    <w:rsid w:val="00404DB2"/>
    <w:rsid w:val="00405202"/>
    <w:rsid w:val="004052AB"/>
    <w:rsid w:val="004055ED"/>
    <w:rsid w:val="00406AA0"/>
    <w:rsid w:val="00406B39"/>
    <w:rsid w:val="00406D64"/>
    <w:rsid w:val="0040743E"/>
    <w:rsid w:val="004076E7"/>
    <w:rsid w:val="00407885"/>
    <w:rsid w:val="0040795E"/>
    <w:rsid w:val="00407A85"/>
    <w:rsid w:val="00407AFB"/>
    <w:rsid w:val="00410077"/>
    <w:rsid w:val="004100F3"/>
    <w:rsid w:val="0041023F"/>
    <w:rsid w:val="00410766"/>
    <w:rsid w:val="0041080F"/>
    <w:rsid w:val="00411440"/>
    <w:rsid w:val="00412820"/>
    <w:rsid w:val="00412ABA"/>
    <w:rsid w:val="004134FB"/>
    <w:rsid w:val="0041356A"/>
    <w:rsid w:val="00413A28"/>
    <w:rsid w:val="00413CC5"/>
    <w:rsid w:val="00413CFC"/>
    <w:rsid w:val="00413E5C"/>
    <w:rsid w:val="004141F0"/>
    <w:rsid w:val="00414809"/>
    <w:rsid w:val="00414878"/>
    <w:rsid w:val="00414976"/>
    <w:rsid w:val="00414C7D"/>
    <w:rsid w:val="00414D9F"/>
    <w:rsid w:val="004153F7"/>
    <w:rsid w:val="00415648"/>
    <w:rsid w:val="00415846"/>
    <w:rsid w:val="004158D2"/>
    <w:rsid w:val="00415BD4"/>
    <w:rsid w:val="00415C53"/>
    <w:rsid w:val="00415D38"/>
    <w:rsid w:val="00415DDD"/>
    <w:rsid w:val="004164E9"/>
    <w:rsid w:val="00416939"/>
    <w:rsid w:val="00416B61"/>
    <w:rsid w:val="00416D9C"/>
    <w:rsid w:val="00417333"/>
    <w:rsid w:val="004176B5"/>
    <w:rsid w:val="004178B0"/>
    <w:rsid w:val="00417A53"/>
    <w:rsid w:val="00417AB1"/>
    <w:rsid w:val="00417AB7"/>
    <w:rsid w:val="00417EBE"/>
    <w:rsid w:val="00420270"/>
    <w:rsid w:val="004207D1"/>
    <w:rsid w:val="00421205"/>
    <w:rsid w:val="004212A3"/>
    <w:rsid w:val="00421B7A"/>
    <w:rsid w:val="00422E05"/>
    <w:rsid w:val="00423196"/>
    <w:rsid w:val="00423F02"/>
    <w:rsid w:val="0042461D"/>
    <w:rsid w:val="00424A4B"/>
    <w:rsid w:val="00424EB0"/>
    <w:rsid w:val="00425047"/>
    <w:rsid w:val="0042512D"/>
    <w:rsid w:val="0042566E"/>
    <w:rsid w:val="0042583F"/>
    <w:rsid w:val="004258EF"/>
    <w:rsid w:val="00425A7C"/>
    <w:rsid w:val="00426901"/>
    <w:rsid w:val="004270D3"/>
    <w:rsid w:val="0042716E"/>
    <w:rsid w:val="004273F5"/>
    <w:rsid w:val="004276AC"/>
    <w:rsid w:val="00427C71"/>
    <w:rsid w:val="004302DE"/>
    <w:rsid w:val="00430335"/>
    <w:rsid w:val="00430AF0"/>
    <w:rsid w:val="00430B05"/>
    <w:rsid w:val="0043127F"/>
    <w:rsid w:val="0043198C"/>
    <w:rsid w:val="004325C6"/>
    <w:rsid w:val="00432D12"/>
    <w:rsid w:val="00433266"/>
    <w:rsid w:val="004332D1"/>
    <w:rsid w:val="004334C0"/>
    <w:rsid w:val="004335DB"/>
    <w:rsid w:val="00433E06"/>
    <w:rsid w:val="00433F43"/>
    <w:rsid w:val="00434093"/>
    <w:rsid w:val="004340F6"/>
    <w:rsid w:val="00434606"/>
    <w:rsid w:val="004348BF"/>
    <w:rsid w:val="00435178"/>
    <w:rsid w:val="00435D79"/>
    <w:rsid w:val="00435F16"/>
    <w:rsid w:val="00436175"/>
    <w:rsid w:val="004370C3"/>
    <w:rsid w:val="004376C7"/>
    <w:rsid w:val="004376D3"/>
    <w:rsid w:val="00437842"/>
    <w:rsid w:val="00437FF3"/>
    <w:rsid w:val="00440C07"/>
    <w:rsid w:val="00440C0E"/>
    <w:rsid w:val="00440C22"/>
    <w:rsid w:val="00440F4B"/>
    <w:rsid w:val="004410F1"/>
    <w:rsid w:val="0044145F"/>
    <w:rsid w:val="00441F48"/>
    <w:rsid w:val="004421F1"/>
    <w:rsid w:val="004423A6"/>
    <w:rsid w:val="00442495"/>
    <w:rsid w:val="004425CD"/>
    <w:rsid w:val="00442660"/>
    <w:rsid w:val="004428C5"/>
    <w:rsid w:val="004429BF"/>
    <w:rsid w:val="00442B8C"/>
    <w:rsid w:val="00442D93"/>
    <w:rsid w:val="0044315F"/>
    <w:rsid w:val="00443305"/>
    <w:rsid w:val="004435BE"/>
    <w:rsid w:val="004438E2"/>
    <w:rsid w:val="00444185"/>
    <w:rsid w:val="0044492F"/>
    <w:rsid w:val="00444E5D"/>
    <w:rsid w:val="0044504D"/>
    <w:rsid w:val="00445089"/>
    <w:rsid w:val="0044582B"/>
    <w:rsid w:val="00445A6D"/>
    <w:rsid w:val="00445B59"/>
    <w:rsid w:val="00445D67"/>
    <w:rsid w:val="00445F4A"/>
    <w:rsid w:val="004464F3"/>
    <w:rsid w:val="00446745"/>
    <w:rsid w:val="004467E7"/>
    <w:rsid w:val="0044693C"/>
    <w:rsid w:val="00446E25"/>
    <w:rsid w:val="00446F34"/>
    <w:rsid w:val="00447256"/>
    <w:rsid w:val="004478E0"/>
    <w:rsid w:val="00447FE6"/>
    <w:rsid w:val="0045025E"/>
    <w:rsid w:val="00450486"/>
    <w:rsid w:val="00450DA0"/>
    <w:rsid w:val="00450DBA"/>
    <w:rsid w:val="00451299"/>
    <w:rsid w:val="00451956"/>
    <w:rsid w:val="00451A01"/>
    <w:rsid w:val="00451E05"/>
    <w:rsid w:val="00452294"/>
    <w:rsid w:val="00452437"/>
    <w:rsid w:val="00452568"/>
    <w:rsid w:val="0045293D"/>
    <w:rsid w:val="00452A1D"/>
    <w:rsid w:val="00452A54"/>
    <w:rsid w:val="00453903"/>
    <w:rsid w:val="00453E65"/>
    <w:rsid w:val="004540F0"/>
    <w:rsid w:val="004543BE"/>
    <w:rsid w:val="004546BE"/>
    <w:rsid w:val="004547DD"/>
    <w:rsid w:val="004548A6"/>
    <w:rsid w:val="00454A8F"/>
    <w:rsid w:val="00454CA3"/>
    <w:rsid w:val="004553C6"/>
    <w:rsid w:val="004556FE"/>
    <w:rsid w:val="004558E4"/>
    <w:rsid w:val="00455994"/>
    <w:rsid w:val="00455C55"/>
    <w:rsid w:val="00456210"/>
    <w:rsid w:val="00456780"/>
    <w:rsid w:val="0045736D"/>
    <w:rsid w:val="0045794A"/>
    <w:rsid w:val="0045796F"/>
    <w:rsid w:val="00457E48"/>
    <w:rsid w:val="00457F08"/>
    <w:rsid w:val="00457F6F"/>
    <w:rsid w:val="004602AA"/>
    <w:rsid w:val="00460B70"/>
    <w:rsid w:val="00460E09"/>
    <w:rsid w:val="004612C3"/>
    <w:rsid w:val="0046187D"/>
    <w:rsid w:val="00461991"/>
    <w:rsid w:val="004620C7"/>
    <w:rsid w:val="0046221A"/>
    <w:rsid w:val="00462464"/>
    <w:rsid w:val="00462A63"/>
    <w:rsid w:val="00462AF0"/>
    <w:rsid w:val="00463AF8"/>
    <w:rsid w:val="00463BBC"/>
    <w:rsid w:val="00463E1E"/>
    <w:rsid w:val="0046472C"/>
    <w:rsid w:val="004648A5"/>
    <w:rsid w:val="00464A85"/>
    <w:rsid w:val="00464FE0"/>
    <w:rsid w:val="00465134"/>
    <w:rsid w:val="0046529F"/>
    <w:rsid w:val="004652B7"/>
    <w:rsid w:val="00465A2D"/>
    <w:rsid w:val="00465CBD"/>
    <w:rsid w:val="00466199"/>
    <w:rsid w:val="0046621E"/>
    <w:rsid w:val="004664F8"/>
    <w:rsid w:val="00466504"/>
    <w:rsid w:val="004669A1"/>
    <w:rsid w:val="00466CDD"/>
    <w:rsid w:val="0046714A"/>
    <w:rsid w:val="004674AD"/>
    <w:rsid w:val="00467742"/>
    <w:rsid w:val="00467DB2"/>
    <w:rsid w:val="00467DF6"/>
    <w:rsid w:val="00470069"/>
    <w:rsid w:val="00470926"/>
    <w:rsid w:val="004709BA"/>
    <w:rsid w:val="004713BE"/>
    <w:rsid w:val="004726B7"/>
    <w:rsid w:val="004726CE"/>
    <w:rsid w:val="00472E7C"/>
    <w:rsid w:val="00472F38"/>
    <w:rsid w:val="00473460"/>
    <w:rsid w:val="004735EC"/>
    <w:rsid w:val="00473709"/>
    <w:rsid w:val="004738B1"/>
    <w:rsid w:val="00473982"/>
    <w:rsid w:val="00473ADA"/>
    <w:rsid w:val="0047410F"/>
    <w:rsid w:val="004744DC"/>
    <w:rsid w:val="004745F6"/>
    <w:rsid w:val="00474713"/>
    <w:rsid w:val="00474714"/>
    <w:rsid w:val="00474A0B"/>
    <w:rsid w:val="00474C5F"/>
    <w:rsid w:val="00474DDB"/>
    <w:rsid w:val="00474E91"/>
    <w:rsid w:val="00474F66"/>
    <w:rsid w:val="00475088"/>
    <w:rsid w:val="00475145"/>
    <w:rsid w:val="0047517F"/>
    <w:rsid w:val="00475624"/>
    <w:rsid w:val="00475670"/>
    <w:rsid w:val="00475687"/>
    <w:rsid w:val="00475A7E"/>
    <w:rsid w:val="0047603B"/>
    <w:rsid w:val="004769C3"/>
    <w:rsid w:val="00477263"/>
    <w:rsid w:val="0047727F"/>
    <w:rsid w:val="00477844"/>
    <w:rsid w:val="00477FE9"/>
    <w:rsid w:val="00480149"/>
    <w:rsid w:val="0048036E"/>
    <w:rsid w:val="00480AF1"/>
    <w:rsid w:val="00481819"/>
    <w:rsid w:val="00481855"/>
    <w:rsid w:val="004818F3"/>
    <w:rsid w:val="00481A08"/>
    <w:rsid w:val="0048263F"/>
    <w:rsid w:val="004826B5"/>
    <w:rsid w:val="00482C08"/>
    <w:rsid w:val="00482F3A"/>
    <w:rsid w:val="00482FD6"/>
    <w:rsid w:val="00483025"/>
    <w:rsid w:val="004830EC"/>
    <w:rsid w:val="004831B1"/>
    <w:rsid w:val="004831EF"/>
    <w:rsid w:val="004833F1"/>
    <w:rsid w:val="0048370C"/>
    <w:rsid w:val="00483CE2"/>
    <w:rsid w:val="00483D17"/>
    <w:rsid w:val="004841CC"/>
    <w:rsid w:val="004849D2"/>
    <w:rsid w:val="00484F7A"/>
    <w:rsid w:val="00485496"/>
    <w:rsid w:val="004854CC"/>
    <w:rsid w:val="00485775"/>
    <w:rsid w:val="00485C23"/>
    <w:rsid w:val="0048667B"/>
    <w:rsid w:val="00486789"/>
    <w:rsid w:val="00486F80"/>
    <w:rsid w:val="00486FE9"/>
    <w:rsid w:val="00487817"/>
    <w:rsid w:val="0048783D"/>
    <w:rsid w:val="004900DF"/>
    <w:rsid w:val="004902B5"/>
    <w:rsid w:val="004903C7"/>
    <w:rsid w:val="0049048D"/>
    <w:rsid w:val="00490510"/>
    <w:rsid w:val="004908FE"/>
    <w:rsid w:val="00490AEC"/>
    <w:rsid w:val="00490D09"/>
    <w:rsid w:val="00491BD0"/>
    <w:rsid w:val="00491CF6"/>
    <w:rsid w:val="00491D4E"/>
    <w:rsid w:val="00491F57"/>
    <w:rsid w:val="0049219A"/>
    <w:rsid w:val="004926ED"/>
    <w:rsid w:val="0049294B"/>
    <w:rsid w:val="00492F46"/>
    <w:rsid w:val="00493297"/>
    <w:rsid w:val="00493401"/>
    <w:rsid w:val="00493532"/>
    <w:rsid w:val="0049389F"/>
    <w:rsid w:val="00494329"/>
    <w:rsid w:val="00494330"/>
    <w:rsid w:val="00494580"/>
    <w:rsid w:val="00494766"/>
    <w:rsid w:val="0049484B"/>
    <w:rsid w:val="00494A64"/>
    <w:rsid w:val="00494B16"/>
    <w:rsid w:val="00494D37"/>
    <w:rsid w:val="004954FE"/>
    <w:rsid w:val="00495515"/>
    <w:rsid w:val="0049570C"/>
    <w:rsid w:val="00495D5E"/>
    <w:rsid w:val="00495E48"/>
    <w:rsid w:val="00495EE8"/>
    <w:rsid w:val="00496481"/>
    <w:rsid w:val="00497FAC"/>
    <w:rsid w:val="004A0789"/>
    <w:rsid w:val="004A0984"/>
    <w:rsid w:val="004A0BEE"/>
    <w:rsid w:val="004A0E3E"/>
    <w:rsid w:val="004A10F4"/>
    <w:rsid w:val="004A12A0"/>
    <w:rsid w:val="004A18C6"/>
    <w:rsid w:val="004A192C"/>
    <w:rsid w:val="004A19BF"/>
    <w:rsid w:val="004A1ECB"/>
    <w:rsid w:val="004A21E3"/>
    <w:rsid w:val="004A2220"/>
    <w:rsid w:val="004A25B5"/>
    <w:rsid w:val="004A3610"/>
    <w:rsid w:val="004A395E"/>
    <w:rsid w:val="004A3CBE"/>
    <w:rsid w:val="004A3CDF"/>
    <w:rsid w:val="004A3ECC"/>
    <w:rsid w:val="004A42A8"/>
    <w:rsid w:val="004A4666"/>
    <w:rsid w:val="004A497C"/>
    <w:rsid w:val="004A4B11"/>
    <w:rsid w:val="004A5727"/>
    <w:rsid w:val="004A5E24"/>
    <w:rsid w:val="004A6027"/>
    <w:rsid w:val="004A61D9"/>
    <w:rsid w:val="004A6593"/>
    <w:rsid w:val="004A6AB5"/>
    <w:rsid w:val="004A6F27"/>
    <w:rsid w:val="004A6F49"/>
    <w:rsid w:val="004A7033"/>
    <w:rsid w:val="004A7441"/>
    <w:rsid w:val="004A752F"/>
    <w:rsid w:val="004A7D4B"/>
    <w:rsid w:val="004A7DBF"/>
    <w:rsid w:val="004A7F36"/>
    <w:rsid w:val="004A7F3E"/>
    <w:rsid w:val="004B0132"/>
    <w:rsid w:val="004B045B"/>
    <w:rsid w:val="004B0722"/>
    <w:rsid w:val="004B0DDD"/>
    <w:rsid w:val="004B0E20"/>
    <w:rsid w:val="004B0FC5"/>
    <w:rsid w:val="004B11A5"/>
    <w:rsid w:val="004B141A"/>
    <w:rsid w:val="004B1519"/>
    <w:rsid w:val="004B1845"/>
    <w:rsid w:val="004B1F0E"/>
    <w:rsid w:val="004B229C"/>
    <w:rsid w:val="004B2366"/>
    <w:rsid w:val="004B26E7"/>
    <w:rsid w:val="004B2721"/>
    <w:rsid w:val="004B2D99"/>
    <w:rsid w:val="004B32E1"/>
    <w:rsid w:val="004B335F"/>
    <w:rsid w:val="004B352A"/>
    <w:rsid w:val="004B3A17"/>
    <w:rsid w:val="004B3D51"/>
    <w:rsid w:val="004B3D6E"/>
    <w:rsid w:val="004B3F0E"/>
    <w:rsid w:val="004B3FA8"/>
    <w:rsid w:val="004B40AB"/>
    <w:rsid w:val="004B417B"/>
    <w:rsid w:val="004B428A"/>
    <w:rsid w:val="004B43A4"/>
    <w:rsid w:val="004B4640"/>
    <w:rsid w:val="004B46F1"/>
    <w:rsid w:val="004B4765"/>
    <w:rsid w:val="004B4F74"/>
    <w:rsid w:val="004B5875"/>
    <w:rsid w:val="004B5C8D"/>
    <w:rsid w:val="004B60A3"/>
    <w:rsid w:val="004B6232"/>
    <w:rsid w:val="004B668D"/>
    <w:rsid w:val="004B6883"/>
    <w:rsid w:val="004B6E87"/>
    <w:rsid w:val="004B6F02"/>
    <w:rsid w:val="004B6F19"/>
    <w:rsid w:val="004B6F45"/>
    <w:rsid w:val="004B700C"/>
    <w:rsid w:val="004B733A"/>
    <w:rsid w:val="004B7485"/>
    <w:rsid w:val="004B76C2"/>
    <w:rsid w:val="004B772D"/>
    <w:rsid w:val="004B7C73"/>
    <w:rsid w:val="004B7F69"/>
    <w:rsid w:val="004C00BE"/>
    <w:rsid w:val="004C08A2"/>
    <w:rsid w:val="004C104C"/>
    <w:rsid w:val="004C14A6"/>
    <w:rsid w:val="004C15E9"/>
    <w:rsid w:val="004C1AB9"/>
    <w:rsid w:val="004C1C1A"/>
    <w:rsid w:val="004C206D"/>
    <w:rsid w:val="004C20EB"/>
    <w:rsid w:val="004C2263"/>
    <w:rsid w:val="004C23C4"/>
    <w:rsid w:val="004C2A2C"/>
    <w:rsid w:val="004C3117"/>
    <w:rsid w:val="004C313A"/>
    <w:rsid w:val="004C3A25"/>
    <w:rsid w:val="004C3BB4"/>
    <w:rsid w:val="004C4381"/>
    <w:rsid w:val="004C4A5D"/>
    <w:rsid w:val="004C5A70"/>
    <w:rsid w:val="004C5E2B"/>
    <w:rsid w:val="004C5F06"/>
    <w:rsid w:val="004C6049"/>
    <w:rsid w:val="004C6071"/>
    <w:rsid w:val="004C62AE"/>
    <w:rsid w:val="004C69F6"/>
    <w:rsid w:val="004C6B7E"/>
    <w:rsid w:val="004C6DD3"/>
    <w:rsid w:val="004C6E0D"/>
    <w:rsid w:val="004C7630"/>
    <w:rsid w:val="004C7837"/>
    <w:rsid w:val="004D02DE"/>
    <w:rsid w:val="004D085E"/>
    <w:rsid w:val="004D19B1"/>
    <w:rsid w:val="004D1A8C"/>
    <w:rsid w:val="004D1BD5"/>
    <w:rsid w:val="004D1BF1"/>
    <w:rsid w:val="004D1CDF"/>
    <w:rsid w:val="004D2328"/>
    <w:rsid w:val="004D24CD"/>
    <w:rsid w:val="004D287E"/>
    <w:rsid w:val="004D2B37"/>
    <w:rsid w:val="004D2DAF"/>
    <w:rsid w:val="004D2F50"/>
    <w:rsid w:val="004D2F97"/>
    <w:rsid w:val="004D346D"/>
    <w:rsid w:val="004D3484"/>
    <w:rsid w:val="004D3519"/>
    <w:rsid w:val="004D3CB4"/>
    <w:rsid w:val="004D4395"/>
    <w:rsid w:val="004D45CC"/>
    <w:rsid w:val="004D4FAB"/>
    <w:rsid w:val="004D52B4"/>
    <w:rsid w:val="004D52BF"/>
    <w:rsid w:val="004D555A"/>
    <w:rsid w:val="004D5708"/>
    <w:rsid w:val="004D5882"/>
    <w:rsid w:val="004D5A8C"/>
    <w:rsid w:val="004D5AA8"/>
    <w:rsid w:val="004D6029"/>
    <w:rsid w:val="004D6D3F"/>
    <w:rsid w:val="004D7494"/>
    <w:rsid w:val="004D7B5A"/>
    <w:rsid w:val="004E063D"/>
    <w:rsid w:val="004E0BB4"/>
    <w:rsid w:val="004E0BD3"/>
    <w:rsid w:val="004E0E8A"/>
    <w:rsid w:val="004E1432"/>
    <w:rsid w:val="004E1E68"/>
    <w:rsid w:val="004E1FBF"/>
    <w:rsid w:val="004E25AF"/>
    <w:rsid w:val="004E27FC"/>
    <w:rsid w:val="004E3628"/>
    <w:rsid w:val="004E36D4"/>
    <w:rsid w:val="004E4494"/>
    <w:rsid w:val="004E4A9A"/>
    <w:rsid w:val="004E522A"/>
    <w:rsid w:val="004E52BD"/>
    <w:rsid w:val="004E53F9"/>
    <w:rsid w:val="004E598D"/>
    <w:rsid w:val="004E5C06"/>
    <w:rsid w:val="004E5F4C"/>
    <w:rsid w:val="004E60D2"/>
    <w:rsid w:val="004E60F4"/>
    <w:rsid w:val="004E6179"/>
    <w:rsid w:val="004E61FB"/>
    <w:rsid w:val="004E663A"/>
    <w:rsid w:val="004E68E7"/>
    <w:rsid w:val="004E6C19"/>
    <w:rsid w:val="004E6DF8"/>
    <w:rsid w:val="004E7649"/>
    <w:rsid w:val="004E7714"/>
    <w:rsid w:val="004E7751"/>
    <w:rsid w:val="004E78B5"/>
    <w:rsid w:val="004E7B8F"/>
    <w:rsid w:val="004E7BC5"/>
    <w:rsid w:val="004F00AC"/>
    <w:rsid w:val="004F0137"/>
    <w:rsid w:val="004F03F3"/>
    <w:rsid w:val="004F0485"/>
    <w:rsid w:val="004F06F2"/>
    <w:rsid w:val="004F2078"/>
    <w:rsid w:val="004F22F2"/>
    <w:rsid w:val="004F2942"/>
    <w:rsid w:val="004F308F"/>
    <w:rsid w:val="004F310F"/>
    <w:rsid w:val="004F3282"/>
    <w:rsid w:val="004F3652"/>
    <w:rsid w:val="004F374B"/>
    <w:rsid w:val="004F37D8"/>
    <w:rsid w:val="004F3EAF"/>
    <w:rsid w:val="004F4636"/>
    <w:rsid w:val="004F4B7F"/>
    <w:rsid w:val="004F4DA4"/>
    <w:rsid w:val="004F4F67"/>
    <w:rsid w:val="004F4FFA"/>
    <w:rsid w:val="004F52B5"/>
    <w:rsid w:val="004F5412"/>
    <w:rsid w:val="004F575B"/>
    <w:rsid w:val="004F57E0"/>
    <w:rsid w:val="004F6C1C"/>
    <w:rsid w:val="004F6CD4"/>
    <w:rsid w:val="004F6CE6"/>
    <w:rsid w:val="004F6DC1"/>
    <w:rsid w:val="004F7A92"/>
    <w:rsid w:val="004F7F03"/>
    <w:rsid w:val="005000CA"/>
    <w:rsid w:val="00500192"/>
    <w:rsid w:val="00500318"/>
    <w:rsid w:val="00500458"/>
    <w:rsid w:val="00500589"/>
    <w:rsid w:val="005008CD"/>
    <w:rsid w:val="00500A43"/>
    <w:rsid w:val="00500C6B"/>
    <w:rsid w:val="005010BD"/>
    <w:rsid w:val="005019B4"/>
    <w:rsid w:val="005019DB"/>
    <w:rsid w:val="00501E14"/>
    <w:rsid w:val="005021BD"/>
    <w:rsid w:val="00502314"/>
    <w:rsid w:val="005026DD"/>
    <w:rsid w:val="0050313D"/>
    <w:rsid w:val="0050349D"/>
    <w:rsid w:val="00503592"/>
    <w:rsid w:val="00503A1B"/>
    <w:rsid w:val="00503AA3"/>
    <w:rsid w:val="00503F8E"/>
    <w:rsid w:val="00503FB6"/>
    <w:rsid w:val="00504037"/>
    <w:rsid w:val="005040D3"/>
    <w:rsid w:val="00504364"/>
    <w:rsid w:val="00504664"/>
    <w:rsid w:val="0050475F"/>
    <w:rsid w:val="005047D7"/>
    <w:rsid w:val="00504AF5"/>
    <w:rsid w:val="00504EEE"/>
    <w:rsid w:val="005051A4"/>
    <w:rsid w:val="005058B5"/>
    <w:rsid w:val="005059A7"/>
    <w:rsid w:val="00505A9A"/>
    <w:rsid w:val="00505B5C"/>
    <w:rsid w:val="00505CD9"/>
    <w:rsid w:val="005067E5"/>
    <w:rsid w:val="005069E5"/>
    <w:rsid w:val="00506D6E"/>
    <w:rsid w:val="0050711A"/>
    <w:rsid w:val="005074FD"/>
    <w:rsid w:val="00507966"/>
    <w:rsid w:val="00507A21"/>
    <w:rsid w:val="00507ECF"/>
    <w:rsid w:val="00510729"/>
    <w:rsid w:val="00511009"/>
    <w:rsid w:val="0051132A"/>
    <w:rsid w:val="00511349"/>
    <w:rsid w:val="00511859"/>
    <w:rsid w:val="0051273F"/>
    <w:rsid w:val="00512A5A"/>
    <w:rsid w:val="00512AAF"/>
    <w:rsid w:val="00512D92"/>
    <w:rsid w:val="00513013"/>
    <w:rsid w:val="0051306A"/>
    <w:rsid w:val="00513214"/>
    <w:rsid w:val="00513886"/>
    <w:rsid w:val="00513B6A"/>
    <w:rsid w:val="00513D22"/>
    <w:rsid w:val="00513D2A"/>
    <w:rsid w:val="00513F07"/>
    <w:rsid w:val="00513FCF"/>
    <w:rsid w:val="00514861"/>
    <w:rsid w:val="00514900"/>
    <w:rsid w:val="00514F0B"/>
    <w:rsid w:val="005153BB"/>
    <w:rsid w:val="005153C9"/>
    <w:rsid w:val="005155BF"/>
    <w:rsid w:val="0051584C"/>
    <w:rsid w:val="0051603C"/>
    <w:rsid w:val="0051651B"/>
    <w:rsid w:val="00516AC3"/>
    <w:rsid w:val="00516B48"/>
    <w:rsid w:val="00516B57"/>
    <w:rsid w:val="00516BAA"/>
    <w:rsid w:val="00516BE0"/>
    <w:rsid w:val="00516C09"/>
    <w:rsid w:val="00516E5B"/>
    <w:rsid w:val="00517431"/>
    <w:rsid w:val="005175A0"/>
    <w:rsid w:val="00517E50"/>
    <w:rsid w:val="0052020C"/>
    <w:rsid w:val="00520485"/>
    <w:rsid w:val="005204AC"/>
    <w:rsid w:val="00520511"/>
    <w:rsid w:val="0052087B"/>
    <w:rsid w:val="00520C20"/>
    <w:rsid w:val="005212A2"/>
    <w:rsid w:val="005215A0"/>
    <w:rsid w:val="005219CB"/>
    <w:rsid w:val="00521AEA"/>
    <w:rsid w:val="00521CAF"/>
    <w:rsid w:val="0052252B"/>
    <w:rsid w:val="0052256A"/>
    <w:rsid w:val="00522D92"/>
    <w:rsid w:val="005234B7"/>
    <w:rsid w:val="00524275"/>
    <w:rsid w:val="0052436B"/>
    <w:rsid w:val="005244FC"/>
    <w:rsid w:val="00524743"/>
    <w:rsid w:val="00524A49"/>
    <w:rsid w:val="00524AB7"/>
    <w:rsid w:val="0052522B"/>
    <w:rsid w:val="005253E2"/>
    <w:rsid w:val="005257FF"/>
    <w:rsid w:val="00526085"/>
    <w:rsid w:val="00526C32"/>
    <w:rsid w:val="00526CA4"/>
    <w:rsid w:val="00527417"/>
    <w:rsid w:val="00527875"/>
    <w:rsid w:val="00530153"/>
    <w:rsid w:val="005305D4"/>
    <w:rsid w:val="00531510"/>
    <w:rsid w:val="00531539"/>
    <w:rsid w:val="00531BE4"/>
    <w:rsid w:val="00532004"/>
    <w:rsid w:val="00532364"/>
    <w:rsid w:val="005327B9"/>
    <w:rsid w:val="00532D87"/>
    <w:rsid w:val="00533DA3"/>
    <w:rsid w:val="00533E61"/>
    <w:rsid w:val="0053440D"/>
    <w:rsid w:val="00534453"/>
    <w:rsid w:val="005353F0"/>
    <w:rsid w:val="00535A55"/>
    <w:rsid w:val="00535B40"/>
    <w:rsid w:val="0053671B"/>
    <w:rsid w:val="00536878"/>
    <w:rsid w:val="00536AD2"/>
    <w:rsid w:val="00536AF7"/>
    <w:rsid w:val="00536B92"/>
    <w:rsid w:val="0053703D"/>
    <w:rsid w:val="005371E5"/>
    <w:rsid w:val="00537232"/>
    <w:rsid w:val="00537712"/>
    <w:rsid w:val="0053773E"/>
    <w:rsid w:val="00537910"/>
    <w:rsid w:val="00540703"/>
    <w:rsid w:val="00540929"/>
    <w:rsid w:val="00540983"/>
    <w:rsid w:val="00540A8B"/>
    <w:rsid w:val="00540C99"/>
    <w:rsid w:val="00540F28"/>
    <w:rsid w:val="00541385"/>
    <w:rsid w:val="00541640"/>
    <w:rsid w:val="005416D0"/>
    <w:rsid w:val="00541973"/>
    <w:rsid w:val="00542301"/>
    <w:rsid w:val="005423F5"/>
    <w:rsid w:val="0054259E"/>
    <w:rsid w:val="00542A09"/>
    <w:rsid w:val="00543535"/>
    <w:rsid w:val="005439D6"/>
    <w:rsid w:val="00543D76"/>
    <w:rsid w:val="00544143"/>
    <w:rsid w:val="00544D97"/>
    <w:rsid w:val="00545012"/>
    <w:rsid w:val="005465C0"/>
    <w:rsid w:val="00546933"/>
    <w:rsid w:val="00546986"/>
    <w:rsid w:val="00547433"/>
    <w:rsid w:val="005476BD"/>
    <w:rsid w:val="005478DC"/>
    <w:rsid w:val="00547998"/>
    <w:rsid w:val="00547C61"/>
    <w:rsid w:val="00550005"/>
    <w:rsid w:val="0055012B"/>
    <w:rsid w:val="0055034B"/>
    <w:rsid w:val="00551203"/>
    <w:rsid w:val="0055144A"/>
    <w:rsid w:val="005515AC"/>
    <w:rsid w:val="005516A4"/>
    <w:rsid w:val="00551761"/>
    <w:rsid w:val="005527EA"/>
    <w:rsid w:val="0055295C"/>
    <w:rsid w:val="00552F3A"/>
    <w:rsid w:val="005535AA"/>
    <w:rsid w:val="005535CA"/>
    <w:rsid w:val="005542F9"/>
    <w:rsid w:val="00554A12"/>
    <w:rsid w:val="00554D69"/>
    <w:rsid w:val="00555699"/>
    <w:rsid w:val="00555E1C"/>
    <w:rsid w:val="00555E6A"/>
    <w:rsid w:val="00556468"/>
    <w:rsid w:val="005568FF"/>
    <w:rsid w:val="00556CDC"/>
    <w:rsid w:val="00556D96"/>
    <w:rsid w:val="0055769D"/>
    <w:rsid w:val="00560199"/>
    <w:rsid w:val="00560B95"/>
    <w:rsid w:val="00561337"/>
    <w:rsid w:val="005615E7"/>
    <w:rsid w:val="00561B2B"/>
    <w:rsid w:val="00561C3A"/>
    <w:rsid w:val="005627D8"/>
    <w:rsid w:val="00563040"/>
    <w:rsid w:val="0056310A"/>
    <w:rsid w:val="00563471"/>
    <w:rsid w:val="00563577"/>
    <w:rsid w:val="00563779"/>
    <w:rsid w:val="00563AA1"/>
    <w:rsid w:val="00563C7C"/>
    <w:rsid w:val="005640B7"/>
    <w:rsid w:val="005641FC"/>
    <w:rsid w:val="00564A3A"/>
    <w:rsid w:val="00564AA6"/>
    <w:rsid w:val="00565168"/>
    <w:rsid w:val="00565462"/>
    <w:rsid w:val="00565854"/>
    <w:rsid w:val="00565AF5"/>
    <w:rsid w:val="00565DD8"/>
    <w:rsid w:val="00566460"/>
    <w:rsid w:val="005664B7"/>
    <w:rsid w:val="0056671D"/>
    <w:rsid w:val="00566C6B"/>
    <w:rsid w:val="00566DB7"/>
    <w:rsid w:val="00566E04"/>
    <w:rsid w:val="00566E07"/>
    <w:rsid w:val="00566EED"/>
    <w:rsid w:val="00567529"/>
    <w:rsid w:val="00567D7E"/>
    <w:rsid w:val="005702C7"/>
    <w:rsid w:val="00570893"/>
    <w:rsid w:val="00570A9D"/>
    <w:rsid w:val="00570C9A"/>
    <w:rsid w:val="0057113C"/>
    <w:rsid w:val="0057191E"/>
    <w:rsid w:val="0057197F"/>
    <w:rsid w:val="005719BC"/>
    <w:rsid w:val="00571EA5"/>
    <w:rsid w:val="00572133"/>
    <w:rsid w:val="005724BE"/>
    <w:rsid w:val="00572F4C"/>
    <w:rsid w:val="005734B2"/>
    <w:rsid w:val="00573AA7"/>
    <w:rsid w:val="00573BD1"/>
    <w:rsid w:val="00573E71"/>
    <w:rsid w:val="0057458D"/>
    <w:rsid w:val="0057474C"/>
    <w:rsid w:val="0057498E"/>
    <w:rsid w:val="00574F1B"/>
    <w:rsid w:val="00575020"/>
    <w:rsid w:val="005752C5"/>
    <w:rsid w:val="00575350"/>
    <w:rsid w:val="0057543A"/>
    <w:rsid w:val="00575663"/>
    <w:rsid w:val="00575C54"/>
    <w:rsid w:val="00575EEC"/>
    <w:rsid w:val="0057640D"/>
    <w:rsid w:val="00576A43"/>
    <w:rsid w:val="00576E3F"/>
    <w:rsid w:val="00577A6A"/>
    <w:rsid w:val="00580388"/>
    <w:rsid w:val="005806D3"/>
    <w:rsid w:val="005808C1"/>
    <w:rsid w:val="00580A62"/>
    <w:rsid w:val="00580F4E"/>
    <w:rsid w:val="00581033"/>
    <w:rsid w:val="00581037"/>
    <w:rsid w:val="00581043"/>
    <w:rsid w:val="00581807"/>
    <w:rsid w:val="00581901"/>
    <w:rsid w:val="00581BB7"/>
    <w:rsid w:val="00582406"/>
    <w:rsid w:val="005828C5"/>
    <w:rsid w:val="005828CA"/>
    <w:rsid w:val="00582B69"/>
    <w:rsid w:val="00582EAD"/>
    <w:rsid w:val="00583034"/>
    <w:rsid w:val="0058379D"/>
    <w:rsid w:val="005838AD"/>
    <w:rsid w:val="00583B4D"/>
    <w:rsid w:val="00583D9B"/>
    <w:rsid w:val="00584219"/>
    <w:rsid w:val="005845AF"/>
    <w:rsid w:val="005845E6"/>
    <w:rsid w:val="0058460E"/>
    <w:rsid w:val="00584ED3"/>
    <w:rsid w:val="005854E5"/>
    <w:rsid w:val="00585734"/>
    <w:rsid w:val="0058591C"/>
    <w:rsid w:val="00585CFB"/>
    <w:rsid w:val="00585D6E"/>
    <w:rsid w:val="00585DC6"/>
    <w:rsid w:val="00585ED8"/>
    <w:rsid w:val="00585FE4"/>
    <w:rsid w:val="00586183"/>
    <w:rsid w:val="0058654B"/>
    <w:rsid w:val="00586C1C"/>
    <w:rsid w:val="00586EC0"/>
    <w:rsid w:val="0058705F"/>
    <w:rsid w:val="00587167"/>
    <w:rsid w:val="005875A3"/>
    <w:rsid w:val="0058773C"/>
    <w:rsid w:val="0058786F"/>
    <w:rsid w:val="00590A64"/>
    <w:rsid w:val="00590CE5"/>
    <w:rsid w:val="0059143C"/>
    <w:rsid w:val="005918EC"/>
    <w:rsid w:val="00591DF7"/>
    <w:rsid w:val="0059205E"/>
    <w:rsid w:val="005929B3"/>
    <w:rsid w:val="00592B1B"/>
    <w:rsid w:val="00592BDA"/>
    <w:rsid w:val="00592C9B"/>
    <w:rsid w:val="00592CD2"/>
    <w:rsid w:val="00592D23"/>
    <w:rsid w:val="005931D2"/>
    <w:rsid w:val="00593334"/>
    <w:rsid w:val="0059378B"/>
    <w:rsid w:val="00593814"/>
    <w:rsid w:val="00593952"/>
    <w:rsid w:val="00593DC6"/>
    <w:rsid w:val="00593EF8"/>
    <w:rsid w:val="005952D3"/>
    <w:rsid w:val="005952DF"/>
    <w:rsid w:val="00595375"/>
    <w:rsid w:val="00595514"/>
    <w:rsid w:val="0059559A"/>
    <w:rsid w:val="00595DB4"/>
    <w:rsid w:val="005962CA"/>
    <w:rsid w:val="0059663C"/>
    <w:rsid w:val="00596FEE"/>
    <w:rsid w:val="00596FF9"/>
    <w:rsid w:val="005978C0"/>
    <w:rsid w:val="00597BD7"/>
    <w:rsid w:val="005A0196"/>
    <w:rsid w:val="005A02B7"/>
    <w:rsid w:val="005A047A"/>
    <w:rsid w:val="005A0713"/>
    <w:rsid w:val="005A09FD"/>
    <w:rsid w:val="005A0A0D"/>
    <w:rsid w:val="005A1021"/>
    <w:rsid w:val="005A1A5A"/>
    <w:rsid w:val="005A1C45"/>
    <w:rsid w:val="005A1F19"/>
    <w:rsid w:val="005A2289"/>
    <w:rsid w:val="005A2716"/>
    <w:rsid w:val="005A277E"/>
    <w:rsid w:val="005A291B"/>
    <w:rsid w:val="005A2A7A"/>
    <w:rsid w:val="005A2B15"/>
    <w:rsid w:val="005A2CFF"/>
    <w:rsid w:val="005A3218"/>
    <w:rsid w:val="005A3A4E"/>
    <w:rsid w:val="005A3B3E"/>
    <w:rsid w:val="005A3DBD"/>
    <w:rsid w:val="005A3EAB"/>
    <w:rsid w:val="005A43C4"/>
    <w:rsid w:val="005A46E2"/>
    <w:rsid w:val="005A4966"/>
    <w:rsid w:val="005A4FB8"/>
    <w:rsid w:val="005A580B"/>
    <w:rsid w:val="005A5EAE"/>
    <w:rsid w:val="005A6074"/>
    <w:rsid w:val="005A62F9"/>
    <w:rsid w:val="005A63A8"/>
    <w:rsid w:val="005A6AB7"/>
    <w:rsid w:val="005A74AC"/>
    <w:rsid w:val="005A799E"/>
    <w:rsid w:val="005A7BE7"/>
    <w:rsid w:val="005B040B"/>
    <w:rsid w:val="005B07F8"/>
    <w:rsid w:val="005B159F"/>
    <w:rsid w:val="005B1749"/>
    <w:rsid w:val="005B1992"/>
    <w:rsid w:val="005B19AB"/>
    <w:rsid w:val="005B1ABC"/>
    <w:rsid w:val="005B1D5F"/>
    <w:rsid w:val="005B1E85"/>
    <w:rsid w:val="005B1F37"/>
    <w:rsid w:val="005B1FB7"/>
    <w:rsid w:val="005B212A"/>
    <w:rsid w:val="005B21C3"/>
    <w:rsid w:val="005B240C"/>
    <w:rsid w:val="005B2C29"/>
    <w:rsid w:val="005B2ECD"/>
    <w:rsid w:val="005B3819"/>
    <w:rsid w:val="005B42E3"/>
    <w:rsid w:val="005B47B1"/>
    <w:rsid w:val="005B538F"/>
    <w:rsid w:val="005B542A"/>
    <w:rsid w:val="005B56A8"/>
    <w:rsid w:val="005B56E9"/>
    <w:rsid w:val="005B5B33"/>
    <w:rsid w:val="005B5EA5"/>
    <w:rsid w:val="005B658E"/>
    <w:rsid w:val="005B66E7"/>
    <w:rsid w:val="005B6854"/>
    <w:rsid w:val="005B68B7"/>
    <w:rsid w:val="005B6B04"/>
    <w:rsid w:val="005B6B22"/>
    <w:rsid w:val="005B6E4E"/>
    <w:rsid w:val="005B71E3"/>
    <w:rsid w:val="005B7287"/>
    <w:rsid w:val="005B7667"/>
    <w:rsid w:val="005B7B1A"/>
    <w:rsid w:val="005B7B64"/>
    <w:rsid w:val="005C084D"/>
    <w:rsid w:val="005C0DAF"/>
    <w:rsid w:val="005C0FF7"/>
    <w:rsid w:val="005C13F0"/>
    <w:rsid w:val="005C1E38"/>
    <w:rsid w:val="005C1E85"/>
    <w:rsid w:val="005C26E2"/>
    <w:rsid w:val="005C2CD3"/>
    <w:rsid w:val="005C2E04"/>
    <w:rsid w:val="005C3084"/>
    <w:rsid w:val="005C3386"/>
    <w:rsid w:val="005C370E"/>
    <w:rsid w:val="005C3A16"/>
    <w:rsid w:val="005C3EEB"/>
    <w:rsid w:val="005C3EF5"/>
    <w:rsid w:val="005C3F9D"/>
    <w:rsid w:val="005C424B"/>
    <w:rsid w:val="005C437A"/>
    <w:rsid w:val="005C43D5"/>
    <w:rsid w:val="005C4686"/>
    <w:rsid w:val="005C46A4"/>
    <w:rsid w:val="005C4988"/>
    <w:rsid w:val="005C542F"/>
    <w:rsid w:val="005C56EB"/>
    <w:rsid w:val="005C596F"/>
    <w:rsid w:val="005C6231"/>
    <w:rsid w:val="005C62BC"/>
    <w:rsid w:val="005C639B"/>
    <w:rsid w:val="005C63EA"/>
    <w:rsid w:val="005C660B"/>
    <w:rsid w:val="005C6670"/>
    <w:rsid w:val="005C66D0"/>
    <w:rsid w:val="005C6CB1"/>
    <w:rsid w:val="005C6F05"/>
    <w:rsid w:val="005C7334"/>
    <w:rsid w:val="005D0D40"/>
    <w:rsid w:val="005D1297"/>
    <w:rsid w:val="005D12CC"/>
    <w:rsid w:val="005D1C18"/>
    <w:rsid w:val="005D21B8"/>
    <w:rsid w:val="005D2700"/>
    <w:rsid w:val="005D2E74"/>
    <w:rsid w:val="005D3322"/>
    <w:rsid w:val="005D35DA"/>
    <w:rsid w:val="005D36C1"/>
    <w:rsid w:val="005D3BC1"/>
    <w:rsid w:val="005D3BC3"/>
    <w:rsid w:val="005D3C93"/>
    <w:rsid w:val="005D3D8C"/>
    <w:rsid w:val="005D3E04"/>
    <w:rsid w:val="005D44D5"/>
    <w:rsid w:val="005D4B96"/>
    <w:rsid w:val="005D4BF4"/>
    <w:rsid w:val="005D4C02"/>
    <w:rsid w:val="005D5115"/>
    <w:rsid w:val="005D5588"/>
    <w:rsid w:val="005D5B9B"/>
    <w:rsid w:val="005D6218"/>
    <w:rsid w:val="005D71D0"/>
    <w:rsid w:val="005D7C2C"/>
    <w:rsid w:val="005E0C86"/>
    <w:rsid w:val="005E0F0B"/>
    <w:rsid w:val="005E0FF0"/>
    <w:rsid w:val="005E10C4"/>
    <w:rsid w:val="005E16CF"/>
    <w:rsid w:val="005E188C"/>
    <w:rsid w:val="005E1903"/>
    <w:rsid w:val="005E1A2A"/>
    <w:rsid w:val="005E1DA2"/>
    <w:rsid w:val="005E20B5"/>
    <w:rsid w:val="005E2173"/>
    <w:rsid w:val="005E2460"/>
    <w:rsid w:val="005E24E5"/>
    <w:rsid w:val="005E285C"/>
    <w:rsid w:val="005E2A6E"/>
    <w:rsid w:val="005E2AA8"/>
    <w:rsid w:val="005E304F"/>
    <w:rsid w:val="005E3188"/>
    <w:rsid w:val="005E3D4E"/>
    <w:rsid w:val="005E412A"/>
    <w:rsid w:val="005E43CB"/>
    <w:rsid w:val="005E46F8"/>
    <w:rsid w:val="005E61F5"/>
    <w:rsid w:val="005E625E"/>
    <w:rsid w:val="005E6534"/>
    <w:rsid w:val="005E69D4"/>
    <w:rsid w:val="005E72F4"/>
    <w:rsid w:val="005E77ED"/>
    <w:rsid w:val="005E78A3"/>
    <w:rsid w:val="005E7A25"/>
    <w:rsid w:val="005F0030"/>
    <w:rsid w:val="005F04BD"/>
    <w:rsid w:val="005F04E4"/>
    <w:rsid w:val="005F0649"/>
    <w:rsid w:val="005F0991"/>
    <w:rsid w:val="005F0A3F"/>
    <w:rsid w:val="005F0B60"/>
    <w:rsid w:val="005F1263"/>
    <w:rsid w:val="005F1675"/>
    <w:rsid w:val="005F1815"/>
    <w:rsid w:val="005F1BEA"/>
    <w:rsid w:val="005F1C89"/>
    <w:rsid w:val="005F228F"/>
    <w:rsid w:val="005F242A"/>
    <w:rsid w:val="005F24D3"/>
    <w:rsid w:val="005F28F9"/>
    <w:rsid w:val="005F2CDD"/>
    <w:rsid w:val="005F2FD2"/>
    <w:rsid w:val="005F30C1"/>
    <w:rsid w:val="005F37EF"/>
    <w:rsid w:val="005F38C8"/>
    <w:rsid w:val="005F3BFD"/>
    <w:rsid w:val="005F4284"/>
    <w:rsid w:val="005F437E"/>
    <w:rsid w:val="005F455E"/>
    <w:rsid w:val="005F4A5C"/>
    <w:rsid w:val="005F4F76"/>
    <w:rsid w:val="005F4FE9"/>
    <w:rsid w:val="005F545F"/>
    <w:rsid w:val="005F5D78"/>
    <w:rsid w:val="005F61C7"/>
    <w:rsid w:val="005F62F2"/>
    <w:rsid w:val="005F66DC"/>
    <w:rsid w:val="005F672A"/>
    <w:rsid w:val="005F6924"/>
    <w:rsid w:val="005F6BA2"/>
    <w:rsid w:val="005F73A3"/>
    <w:rsid w:val="005F73D5"/>
    <w:rsid w:val="005F7634"/>
    <w:rsid w:val="005F7760"/>
    <w:rsid w:val="005F7FBB"/>
    <w:rsid w:val="0060001D"/>
    <w:rsid w:val="0060004E"/>
    <w:rsid w:val="006007EC"/>
    <w:rsid w:val="0060081E"/>
    <w:rsid w:val="006008BD"/>
    <w:rsid w:val="00600A13"/>
    <w:rsid w:val="00600A36"/>
    <w:rsid w:val="00600E41"/>
    <w:rsid w:val="00600F0D"/>
    <w:rsid w:val="00601890"/>
    <w:rsid w:val="00601A3F"/>
    <w:rsid w:val="00601B04"/>
    <w:rsid w:val="0060242E"/>
    <w:rsid w:val="006026E0"/>
    <w:rsid w:val="006039AA"/>
    <w:rsid w:val="006039BA"/>
    <w:rsid w:val="006039DD"/>
    <w:rsid w:val="00603CE8"/>
    <w:rsid w:val="00603F52"/>
    <w:rsid w:val="0060450C"/>
    <w:rsid w:val="00604B4C"/>
    <w:rsid w:val="00604D12"/>
    <w:rsid w:val="00604F22"/>
    <w:rsid w:val="006055FF"/>
    <w:rsid w:val="006059DA"/>
    <w:rsid w:val="00605ECF"/>
    <w:rsid w:val="00606067"/>
    <w:rsid w:val="0060670F"/>
    <w:rsid w:val="00606864"/>
    <w:rsid w:val="00606E7D"/>
    <w:rsid w:val="00606F9A"/>
    <w:rsid w:val="00607178"/>
    <w:rsid w:val="00607B66"/>
    <w:rsid w:val="00607CFE"/>
    <w:rsid w:val="00607DAC"/>
    <w:rsid w:val="00610636"/>
    <w:rsid w:val="00610646"/>
    <w:rsid w:val="00610E03"/>
    <w:rsid w:val="00610EC7"/>
    <w:rsid w:val="00611193"/>
    <w:rsid w:val="006114F7"/>
    <w:rsid w:val="0061169F"/>
    <w:rsid w:val="006119CA"/>
    <w:rsid w:val="00611CD7"/>
    <w:rsid w:val="00611D35"/>
    <w:rsid w:val="00611FB4"/>
    <w:rsid w:val="00612011"/>
    <w:rsid w:val="00612169"/>
    <w:rsid w:val="00612791"/>
    <w:rsid w:val="0061347C"/>
    <w:rsid w:val="006135E3"/>
    <w:rsid w:val="0061394B"/>
    <w:rsid w:val="00613F4D"/>
    <w:rsid w:val="00614188"/>
    <w:rsid w:val="006142DD"/>
    <w:rsid w:val="0061431D"/>
    <w:rsid w:val="006155C3"/>
    <w:rsid w:val="006159AB"/>
    <w:rsid w:val="00615D11"/>
    <w:rsid w:val="006163BB"/>
    <w:rsid w:val="00616561"/>
    <w:rsid w:val="00616D97"/>
    <w:rsid w:val="006177D0"/>
    <w:rsid w:val="00617A35"/>
    <w:rsid w:val="00617AEF"/>
    <w:rsid w:val="00617CFB"/>
    <w:rsid w:val="006203F0"/>
    <w:rsid w:val="00620B5C"/>
    <w:rsid w:val="00620E1B"/>
    <w:rsid w:val="00620F20"/>
    <w:rsid w:val="006217C4"/>
    <w:rsid w:val="00621E6D"/>
    <w:rsid w:val="00622263"/>
    <w:rsid w:val="006222E3"/>
    <w:rsid w:val="00622747"/>
    <w:rsid w:val="0062295E"/>
    <w:rsid w:val="00622A6A"/>
    <w:rsid w:val="00622C6D"/>
    <w:rsid w:val="00622CE8"/>
    <w:rsid w:val="00622F21"/>
    <w:rsid w:val="00622F6F"/>
    <w:rsid w:val="00623492"/>
    <w:rsid w:val="00623851"/>
    <w:rsid w:val="00623A50"/>
    <w:rsid w:val="00623BA8"/>
    <w:rsid w:val="006240B6"/>
    <w:rsid w:val="0062418E"/>
    <w:rsid w:val="00624217"/>
    <w:rsid w:val="00624567"/>
    <w:rsid w:val="00624657"/>
    <w:rsid w:val="00625F5E"/>
    <w:rsid w:val="00625FA9"/>
    <w:rsid w:val="00626681"/>
    <w:rsid w:val="0062674A"/>
    <w:rsid w:val="00626A54"/>
    <w:rsid w:val="00626FFB"/>
    <w:rsid w:val="00627204"/>
    <w:rsid w:val="00627220"/>
    <w:rsid w:val="00627312"/>
    <w:rsid w:val="00627729"/>
    <w:rsid w:val="0062774D"/>
    <w:rsid w:val="00630726"/>
    <w:rsid w:val="00630A96"/>
    <w:rsid w:val="006318FD"/>
    <w:rsid w:val="00631CE7"/>
    <w:rsid w:val="00632211"/>
    <w:rsid w:val="00632925"/>
    <w:rsid w:val="00632B4D"/>
    <w:rsid w:val="00632E87"/>
    <w:rsid w:val="00632F20"/>
    <w:rsid w:val="00632F36"/>
    <w:rsid w:val="006332F7"/>
    <w:rsid w:val="006334D3"/>
    <w:rsid w:val="00633828"/>
    <w:rsid w:val="0063441A"/>
    <w:rsid w:val="006344FA"/>
    <w:rsid w:val="00635742"/>
    <w:rsid w:val="00635A49"/>
    <w:rsid w:val="00635CBB"/>
    <w:rsid w:val="00635FB5"/>
    <w:rsid w:val="00636043"/>
    <w:rsid w:val="006364F7"/>
    <w:rsid w:val="006369E9"/>
    <w:rsid w:val="00636BED"/>
    <w:rsid w:val="00636F11"/>
    <w:rsid w:val="00637609"/>
    <w:rsid w:val="00637BBF"/>
    <w:rsid w:val="00637E93"/>
    <w:rsid w:val="006400CF"/>
    <w:rsid w:val="00640B59"/>
    <w:rsid w:val="0064109B"/>
    <w:rsid w:val="00641511"/>
    <w:rsid w:val="0064191E"/>
    <w:rsid w:val="006419C0"/>
    <w:rsid w:val="00641C00"/>
    <w:rsid w:val="00641C88"/>
    <w:rsid w:val="00641D52"/>
    <w:rsid w:val="00641ED0"/>
    <w:rsid w:val="00642076"/>
    <w:rsid w:val="00642811"/>
    <w:rsid w:val="00642E8E"/>
    <w:rsid w:val="006442B7"/>
    <w:rsid w:val="006443E1"/>
    <w:rsid w:val="006445AD"/>
    <w:rsid w:val="006448F4"/>
    <w:rsid w:val="006451D0"/>
    <w:rsid w:val="006452F5"/>
    <w:rsid w:val="00645D8C"/>
    <w:rsid w:val="00646061"/>
    <w:rsid w:val="006463C3"/>
    <w:rsid w:val="006468E1"/>
    <w:rsid w:val="00646DF7"/>
    <w:rsid w:val="00647241"/>
    <w:rsid w:val="00647410"/>
    <w:rsid w:val="0064766D"/>
    <w:rsid w:val="00647958"/>
    <w:rsid w:val="00650308"/>
    <w:rsid w:val="006505A6"/>
    <w:rsid w:val="006506B9"/>
    <w:rsid w:val="00650C5A"/>
    <w:rsid w:val="00650CDB"/>
    <w:rsid w:val="00650DAA"/>
    <w:rsid w:val="00650F8A"/>
    <w:rsid w:val="0065151A"/>
    <w:rsid w:val="00651C7F"/>
    <w:rsid w:val="00651D5F"/>
    <w:rsid w:val="00651FE4"/>
    <w:rsid w:val="0065281D"/>
    <w:rsid w:val="00652A81"/>
    <w:rsid w:val="006531AA"/>
    <w:rsid w:val="00653763"/>
    <w:rsid w:val="006538E7"/>
    <w:rsid w:val="00653B1B"/>
    <w:rsid w:val="00653B99"/>
    <w:rsid w:val="0065408C"/>
    <w:rsid w:val="006542F6"/>
    <w:rsid w:val="00654620"/>
    <w:rsid w:val="006549C0"/>
    <w:rsid w:val="0065574D"/>
    <w:rsid w:val="00655E96"/>
    <w:rsid w:val="006568DC"/>
    <w:rsid w:val="006575A7"/>
    <w:rsid w:val="00657E03"/>
    <w:rsid w:val="00657E9B"/>
    <w:rsid w:val="00657F69"/>
    <w:rsid w:val="0066034F"/>
    <w:rsid w:val="0066072A"/>
    <w:rsid w:val="006608BC"/>
    <w:rsid w:val="00660A56"/>
    <w:rsid w:val="00660C2D"/>
    <w:rsid w:val="006610EF"/>
    <w:rsid w:val="0066174B"/>
    <w:rsid w:val="006620F9"/>
    <w:rsid w:val="006622BB"/>
    <w:rsid w:val="0066236C"/>
    <w:rsid w:val="00662B04"/>
    <w:rsid w:val="00662B32"/>
    <w:rsid w:val="00662CF9"/>
    <w:rsid w:val="0066320B"/>
    <w:rsid w:val="00663226"/>
    <w:rsid w:val="006634B8"/>
    <w:rsid w:val="00663D4E"/>
    <w:rsid w:val="00663E2C"/>
    <w:rsid w:val="00663FD4"/>
    <w:rsid w:val="00664075"/>
    <w:rsid w:val="006650A7"/>
    <w:rsid w:val="0066570D"/>
    <w:rsid w:val="006657CA"/>
    <w:rsid w:val="006658F8"/>
    <w:rsid w:val="00665B44"/>
    <w:rsid w:val="00665C8E"/>
    <w:rsid w:val="00665EFC"/>
    <w:rsid w:val="00666162"/>
    <w:rsid w:val="006662CC"/>
    <w:rsid w:val="00666B52"/>
    <w:rsid w:val="00667016"/>
    <w:rsid w:val="00667458"/>
    <w:rsid w:val="00667B1D"/>
    <w:rsid w:val="00667E68"/>
    <w:rsid w:val="00670115"/>
    <w:rsid w:val="00670D17"/>
    <w:rsid w:val="00670EBB"/>
    <w:rsid w:val="0067129B"/>
    <w:rsid w:val="00671B40"/>
    <w:rsid w:val="00671B65"/>
    <w:rsid w:val="00671E01"/>
    <w:rsid w:val="00671EA4"/>
    <w:rsid w:val="00671F25"/>
    <w:rsid w:val="00672A2C"/>
    <w:rsid w:val="00672F1B"/>
    <w:rsid w:val="006730D3"/>
    <w:rsid w:val="00673285"/>
    <w:rsid w:val="006736FE"/>
    <w:rsid w:val="006738E0"/>
    <w:rsid w:val="00673BE9"/>
    <w:rsid w:val="00673C98"/>
    <w:rsid w:val="00673F58"/>
    <w:rsid w:val="006740CC"/>
    <w:rsid w:val="00674584"/>
    <w:rsid w:val="006745DA"/>
    <w:rsid w:val="0067478C"/>
    <w:rsid w:val="006749B7"/>
    <w:rsid w:val="00674E07"/>
    <w:rsid w:val="006751E1"/>
    <w:rsid w:val="00675489"/>
    <w:rsid w:val="006757AD"/>
    <w:rsid w:val="00675EC2"/>
    <w:rsid w:val="006763CF"/>
    <w:rsid w:val="006765FA"/>
    <w:rsid w:val="006768B6"/>
    <w:rsid w:val="00677476"/>
    <w:rsid w:val="0067799F"/>
    <w:rsid w:val="00677AAE"/>
    <w:rsid w:val="00677C47"/>
    <w:rsid w:val="00677CF9"/>
    <w:rsid w:val="00680DF3"/>
    <w:rsid w:val="00680E60"/>
    <w:rsid w:val="00680F4D"/>
    <w:rsid w:val="006813DB"/>
    <w:rsid w:val="00681EC1"/>
    <w:rsid w:val="00681F25"/>
    <w:rsid w:val="00681F8F"/>
    <w:rsid w:val="0068257E"/>
    <w:rsid w:val="00682AF3"/>
    <w:rsid w:val="00682CDC"/>
    <w:rsid w:val="00682DED"/>
    <w:rsid w:val="006838F2"/>
    <w:rsid w:val="00683AC2"/>
    <w:rsid w:val="00684344"/>
    <w:rsid w:val="00684568"/>
    <w:rsid w:val="00684928"/>
    <w:rsid w:val="00684AB8"/>
    <w:rsid w:val="00684B88"/>
    <w:rsid w:val="00685376"/>
    <w:rsid w:val="006854A5"/>
    <w:rsid w:val="006859A9"/>
    <w:rsid w:val="00685CEE"/>
    <w:rsid w:val="0068612D"/>
    <w:rsid w:val="00686170"/>
    <w:rsid w:val="006861CF"/>
    <w:rsid w:val="00686324"/>
    <w:rsid w:val="00686362"/>
    <w:rsid w:val="00686476"/>
    <w:rsid w:val="0068686B"/>
    <w:rsid w:val="00686A0D"/>
    <w:rsid w:val="00686BD6"/>
    <w:rsid w:val="00686CD1"/>
    <w:rsid w:val="0068770A"/>
    <w:rsid w:val="00687B5E"/>
    <w:rsid w:val="0069039B"/>
    <w:rsid w:val="00690990"/>
    <w:rsid w:val="00690A58"/>
    <w:rsid w:val="00690A83"/>
    <w:rsid w:val="00690F74"/>
    <w:rsid w:val="0069115D"/>
    <w:rsid w:val="00691348"/>
    <w:rsid w:val="0069167F"/>
    <w:rsid w:val="00691F19"/>
    <w:rsid w:val="00691FAF"/>
    <w:rsid w:val="00692141"/>
    <w:rsid w:val="00692292"/>
    <w:rsid w:val="00692A2E"/>
    <w:rsid w:val="00692F18"/>
    <w:rsid w:val="00693859"/>
    <w:rsid w:val="00693CB3"/>
    <w:rsid w:val="00693D35"/>
    <w:rsid w:val="00693F5A"/>
    <w:rsid w:val="00694426"/>
    <w:rsid w:val="006944CE"/>
    <w:rsid w:val="006947E6"/>
    <w:rsid w:val="006948F7"/>
    <w:rsid w:val="00694B6F"/>
    <w:rsid w:val="00694BB5"/>
    <w:rsid w:val="00695629"/>
    <w:rsid w:val="0069567B"/>
    <w:rsid w:val="006956E5"/>
    <w:rsid w:val="00695B88"/>
    <w:rsid w:val="00695E47"/>
    <w:rsid w:val="006962C8"/>
    <w:rsid w:val="00696DE6"/>
    <w:rsid w:val="0069703A"/>
    <w:rsid w:val="00697042"/>
    <w:rsid w:val="006973ED"/>
    <w:rsid w:val="0069763A"/>
    <w:rsid w:val="00697923"/>
    <w:rsid w:val="006979CC"/>
    <w:rsid w:val="00697ADE"/>
    <w:rsid w:val="00697FDD"/>
    <w:rsid w:val="006A034C"/>
    <w:rsid w:val="006A0A53"/>
    <w:rsid w:val="006A0A8A"/>
    <w:rsid w:val="006A0EE1"/>
    <w:rsid w:val="006A14B0"/>
    <w:rsid w:val="006A1504"/>
    <w:rsid w:val="006A1A37"/>
    <w:rsid w:val="006A1BCD"/>
    <w:rsid w:val="006A1F2D"/>
    <w:rsid w:val="006A20A7"/>
    <w:rsid w:val="006A2592"/>
    <w:rsid w:val="006A274B"/>
    <w:rsid w:val="006A2907"/>
    <w:rsid w:val="006A2E88"/>
    <w:rsid w:val="006A384C"/>
    <w:rsid w:val="006A3CD2"/>
    <w:rsid w:val="006A4526"/>
    <w:rsid w:val="006A457C"/>
    <w:rsid w:val="006A45B5"/>
    <w:rsid w:val="006A48D7"/>
    <w:rsid w:val="006A5094"/>
    <w:rsid w:val="006A5095"/>
    <w:rsid w:val="006A516A"/>
    <w:rsid w:val="006A5769"/>
    <w:rsid w:val="006A5CCD"/>
    <w:rsid w:val="006A5FBF"/>
    <w:rsid w:val="006A6060"/>
    <w:rsid w:val="006A651F"/>
    <w:rsid w:val="006A68F8"/>
    <w:rsid w:val="006A6B2B"/>
    <w:rsid w:val="006A6D18"/>
    <w:rsid w:val="006A70C2"/>
    <w:rsid w:val="006A7C2D"/>
    <w:rsid w:val="006A7CAE"/>
    <w:rsid w:val="006B037A"/>
    <w:rsid w:val="006B0408"/>
    <w:rsid w:val="006B080D"/>
    <w:rsid w:val="006B0AFA"/>
    <w:rsid w:val="006B0CFE"/>
    <w:rsid w:val="006B0E86"/>
    <w:rsid w:val="006B14DF"/>
    <w:rsid w:val="006B1537"/>
    <w:rsid w:val="006B1A89"/>
    <w:rsid w:val="006B1D5E"/>
    <w:rsid w:val="006B286A"/>
    <w:rsid w:val="006B2B0F"/>
    <w:rsid w:val="006B32D1"/>
    <w:rsid w:val="006B3437"/>
    <w:rsid w:val="006B3513"/>
    <w:rsid w:val="006B3656"/>
    <w:rsid w:val="006B36B1"/>
    <w:rsid w:val="006B36BE"/>
    <w:rsid w:val="006B37D9"/>
    <w:rsid w:val="006B38E0"/>
    <w:rsid w:val="006B3A87"/>
    <w:rsid w:val="006B4337"/>
    <w:rsid w:val="006B45FE"/>
    <w:rsid w:val="006B46E3"/>
    <w:rsid w:val="006B487B"/>
    <w:rsid w:val="006B488E"/>
    <w:rsid w:val="006B4CED"/>
    <w:rsid w:val="006B5022"/>
    <w:rsid w:val="006B511E"/>
    <w:rsid w:val="006B56FF"/>
    <w:rsid w:val="006B57A7"/>
    <w:rsid w:val="006B5F5F"/>
    <w:rsid w:val="006B60A3"/>
    <w:rsid w:val="006B691F"/>
    <w:rsid w:val="006B6A6F"/>
    <w:rsid w:val="006B6FBA"/>
    <w:rsid w:val="006B70E7"/>
    <w:rsid w:val="006B7315"/>
    <w:rsid w:val="006B7380"/>
    <w:rsid w:val="006B75DC"/>
    <w:rsid w:val="006B772C"/>
    <w:rsid w:val="006B7FB7"/>
    <w:rsid w:val="006B7FE3"/>
    <w:rsid w:val="006C054C"/>
    <w:rsid w:val="006C0716"/>
    <w:rsid w:val="006C0989"/>
    <w:rsid w:val="006C09AD"/>
    <w:rsid w:val="006C0B33"/>
    <w:rsid w:val="006C0BD0"/>
    <w:rsid w:val="006C0DCB"/>
    <w:rsid w:val="006C0FCE"/>
    <w:rsid w:val="006C12E7"/>
    <w:rsid w:val="006C155B"/>
    <w:rsid w:val="006C172F"/>
    <w:rsid w:val="006C18BF"/>
    <w:rsid w:val="006C197E"/>
    <w:rsid w:val="006C20B6"/>
    <w:rsid w:val="006C240A"/>
    <w:rsid w:val="006C245E"/>
    <w:rsid w:val="006C287F"/>
    <w:rsid w:val="006C2976"/>
    <w:rsid w:val="006C3638"/>
    <w:rsid w:val="006C38A8"/>
    <w:rsid w:val="006C3F38"/>
    <w:rsid w:val="006C3F39"/>
    <w:rsid w:val="006C415F"/>
    <w:rsid w:val="006C4547"/>
    <w:rsid w:val="006C47AB"/>
    <w:rsid w:val="006C49A4"/>
    <w:rsid w:val="006C49D7"/>
    <w:rsid w:val="006C5030"/>
    <w:rsid w:val="006C56E6"/>
    <w:rsid w:val="006C5874"/>
    <w:rsid w:val="006C5FC0"/>
    <w:rsid w:val="006C6243"/>
    <w:rsid w:val="006C6250"/>
    <w:rsid w:val="006C6715"/>
    <w:rsid w:val="006C6F24"/>
    <w:rsid w:val="006D0174"/>
    <w:rsid w:val="006D0193"/>
    <w:rsid w:val="006D01F5"/>
    <w:rsid w:val="006D03E1"/>
    <w:rsid w:val="006D0973"/>
    <w:rsid w:val="006D0F04"/>
    <w:rsid w:val="006D1319"/>
    <w:rsid w:val="006D147C"/>
    <w:rsid w:val="006D170D"/>
    <w:rsid w:val="006D1AE2"/>
    <w:rsid w:val="006D1E34"/>
    <w:rsid w:val="006D2896"/>
    <w:rsid w:val="006D28B1"/>
    <w:rsid w:val="006D2B50"/>
    <w:rsid w:val="006D2C65"/>
    <w:rsid w:val="006D2FCD"/>
    <w:rsid w:val="006D2FEB"/>
    <w:rsid w:val="006D35DB"/>
    <w:rsid w:val="006D372D"/>
    <w:rsid w:val="006D37D2"/>
    <w:rsid w:val="006D3E91"/>
    <w:rsid w:val="006D3FAB"/>
    <w:rsid w:val="006D41D6"/>
    <w:rsid w:val="006D44AB"/>
    <w:rsid w:val="006D48B9"/>
    <w:rsid w:val="006D4CFD"/>
    <w:rsid w:val="006D4DA0"/>
    <w:rsid w:val="006D4E59"/>
    <w:rsid w:val="006D4ED8"/>
    <w:rsid w:val="006D4F8F"/>
    <w:rsid w:val="006D51BE"/>
    <w:rsid w:val="006D52EA"/>
    <w:rsid w:val="006D575F"/>
    <w:rsid w:val="006D5F07"/>
    <w:rsid w:val="006D7A9C"/>
    <w:rsid w:val="006E02E3"/>
    <w:rsid w:val="006E03E8"/>
    <w:rsid w:val="006E0CF3"/>
    <w:rsid w:val="006E0FAB"/>
    <w:rsid w:val="006E0FC9"/>
    <w:rsid w:val="006E11DF"/>
    <w:rsid w:val="006E1708"/>
    <w:rsid w:val="006E1972"/>
    <w:rsid w:val="006E1983"/>
    <w:rsid w:val="006E1B78"/>
    <w:rsid w:val="006E1CCE"/>
    <w:rsid w:val="006E1EA3"/>
    <w:rsid w:val="006E2604"/>
    <w:rsid w:val="006E2988"/>
    <w:rsid w:val="006E2B0D"/>
    <w:rsid w:val="006E2F4F"/>
    <w:rsid w:val="006E2FCB"/>
    <w:rsid w:val="006E37AA"/>
    <w:rsid w:val="006E3BB1"/>
    <w:rsid w:val="006E3D1C"/>
    <w:rsid w:val="006E40D2"/>
    <w:rsid w:val="006E4115"/>
    <w:rsid w:val="006E43BB"/>
    <w:rsid w:val="006E4640"/>
    <w:rsid w:val="006E47B1"/>
    <w:rsid w:val="006E4A3E"/>
    <w:rsid w:val="006E4A72"/>
    <w:rsid w:val="006E4D04"/>
    <w:rsid w:val="006E5608"/>
    <w:rsid w:val="006E584A"/>
    <w:rsid w:val="006E58D7"/>
    <w:rsid w:val="006E5BD3"/>
    <w:rsid w:val="006E6002"/>
    <w:rsid w:val="006E619F"/>
    <w:rsid w:val="006E624D"/>
    <w:rsid w:val="006E6765"/>
    <w:rsid w:val="006E691A"/>
    <w:rsid w:val="006E6A0C"/>
    <w:rsid w:val="006E6A33"/>
    <w:rsid w:val="006E6B48"/>
    <w:rsid w:val="006E6C03"/>
    <w:rsid w:val="006E6D63"/>
    <w:rsid w:val="006E6FF1"/>
    <w:rsid w:val="006E721F"/>
    <w:rsid w:val="006E72AB"/>
    <w:rsid w:val="006E774A"/>
    <w:rsid w:val="006E7B58"/>
    <w:rsid w:val="006E7C93"/>
    <w:rsid w:val="006E7C95"/>
    <w:rsid w:val="006F039F"/>
    <w:rsid w:val="006F04BD"/>
    <w:rsid w:val="006F0DE2"/>
    <w:rsid w:val="006F1059"/>
    <w:rsid w:val="006F1656"/>
    <w:rsid w:val="006F18B4"/>
    <w:rsid w:val="006F1DED"/>
    <w:rsid w:val="006F250E"/>
    <w:rsid w:val="006F27DA"/>
    <w:rsid w:val="006F2887"/>
    <w:rsid w:val="006F2A01"/>
    <w:rsid w:val="006F2B3C"/>
    <w:rsid w:val="006F2B50"/>
    <w:rsid w:val="006F351E"/>
    <w:rsid w:val="006F354E"/>
    <w:rsid w:val="006F4220"/>
    <w:rsid w:val="006F46E0"/>
    <w:rsid w:val="006F4D86"/>
    <w:rsid w:val="006F5054"/>
    <w:rsid w:val="006F5194"/>
    <w:rsid w:val="006F5319"/>
    <w:rsid w:val="006F556F"/>
    <w:rsid w:val="006F5B1E"/>
    <w:rsid w:val="006F5B92"/>
    <w:rsid w:val="006F60F5"/>
    <w:rsid w:val="006F612E"/>
    <w:rsid w:val="006F65AD"/>
    <w:rsid w:val="006F66D8"/>
    <w:rsid w:val="006F6BD5"/>
    <w:rsid w:val="006F6DF6"/>
    <w:rsid w:val="006F7104"/>
    <w:rsid w:val="006F7A5B"/>
    <w:rsid w:val="006F7B71"/>
    <w:rsid w:val="00700020"/>
    <w:rsid w:val="00700040"/>
    <w:rsid w:val="00700F09"/>
    <w:rsid w:val="00701020"/>
    <w:rsid w:val="007011CA"/>
    <w:rsid w:val="00701467"/>
    <w:rsid w:val="007019EA"/>
    <w:rsid w:val="00701C12"/>
    <w:rsid w:val="00701F3E"/>
    <w:rsid w:val="00702F99"/>
    <w:rsid w:val="00702FDF"/>
    <w:rsid w:val="00703322"/>
    <w:rsid w:val="00703455"/>
    <w:rsid w:val="00703CB5"/>
    <w:rsid w:val="00704849"/>
    <w:rsid w:val="00704A04"/>
    <w:rsid w:val="00704BD1"/>
    <w:rsid w:val="00704C1B"/>
    <w:rsid w:val="00704F7F"/>
    <w:rsid w:val="00704F98"/>
    <w:rsid w:val="007052FB"/>
    <w:rsid w:val="0070585C"/>
    <w:rsid w:val="007058A5"/>
    <w:rsid w:val="00705B0A"/>
    <w:rsid w:val="00706286"/>
    <w:rsid w:val="00706656"/>
    <w:rsid w:val="00706760"/>
    <w:rsid w:val="00706D14"/>
    <w:rsid w:val="00706D16"/>
    <w:rsid w:val="00706DFF"/>
    <w:rsid w:val="00707868"/>
    <w:rsid w:val="00707AAB"/>
    <w:rsid w:val="00707C63"/>
    <w:rsid w:val="00710719"/>
    <w:rsid w:val="00710A0D"/>
    <w:rsid w:val="00710CCA"/>
    <w:rsid w:val="00710EB0"/>
    <w:rsid w:val="0071114F"/>
    <w:rsid w:val="007113ED"/>
    <w:rsid w:val="00711904"/>
    <w:rsid w:val="00711DA3"/>
    <w:rsid w:val="00712277"/>
    <w:rsid w:val="0071228A"/>
    <w:rsid w:val="00712433"/>
    <w:rsid w:val="00712852"/>
    <w:rsid w:val="007128BF"/>
    <w:rsid w:val="00712FEC"/>
    <w:rsid w:val="00713210"/>
    <w:rsid w:val="007133FD"/>
    <w:rsid w:val="00714635"/>
    <w:rsid w:val="00714715"/>
    <w:rsid w:val="00714ECE"/>
    <w:rsid w:val="007153E3"/>
    <w:rsid w:val="007155D2"/>
    <w:rsid w:val="00715639"/>
    <w:rsid w:val="00715904"/>
    <w:rsid w:val="00715D21"/>
    <w:rsid w:val="00715DF2"/>
    <w:rsid w:val="00715F46"/>
    <w:rsid w:val="00716B9E"/>
    <w:rsid w:val="007173B3"/>
    <w:rsid w:val="00717478"/>
    <w:rsid w:val="0071751B"/>
    <w:rsid w:val="007177BF"/>
    <w:rsid w:val="00717BC3"/>
    <w:rsid w:val="00720962"/>
    <w:rsid w:val="007213D0"/>
    <w:rsid w:val="00721813"/>
    <w:rsid w:val="00721BF0"/>
    <w:rsid w:val="00721CA1"/>
    <w:rsid w:val="0072228E"/>
    <w:rsid w:val="00722328"/>
    <w:rsid w:val="007226E6"/>
    <w:rsid w:val="00722DAE"/>
    <w:rsid w:val="00722FDF"/>
    <w:rsid w:val="007234AB"/>
    <w:rsid w:val="00723551"/>
    <w:rsid w:val="00724163"/>
    <w:rsid w:val="00724339"/>
    <w:rsid w:val="00724623"/>
    <w:rsid w:val="0072483E"/>
    <w:rsid w:val="00724D9D"/>
    <w:rsid w:val="00724E16"/>
    <w:rsid w:val="007253CF"/>
    <w:rsid w:val="007256E5"/>
    <w:rsid w:val="007257E3"/>
    <w:rsid w:val="00725A9A"/>
    <w:rsid w:val="00725BBE"/>
    <w:rsid w:val="00726319"/>
    <w:rsid w:val="00726520"/>
    <w:rsid w:val="00727446"/>
    <w:rsid w:val="00727522"/>
    <w:rsid w:val="00727F09"/>
    <w:rsid w:val="00730805"/>
    <w:rsid w:val="007308CC"/>
    <w:rsid w:val="00730F87"/>
    <w:rsid w:val="0073138D"/>
    <w:rsid w:val="0073144F"/>
    <w:rsid w:val="00731776"/>
    <w:rsid w:val="00731DEC"/>
    <w:rsid w:val="00731DF4"/>
    <w:rsid w:val="00731F7D"/>
    <w:rsid w:val="00732032"/>
    <w:rsid w:val="00732389"/>
    <w:rsid w:val="00732488"/>
    <w:rsid w:val="00732912"/>
    <w:rsid w:val="00732D9E"/>
    <w:rsid w:val="00732DBC"/>
    <w:rsid w:val="00732F43"/>
    <w:rsid w:val="00733331"/>
    <w:rsid w:val="007336AA"/>
    <w:rsid w:val="007336F8"/>
    <w:rsid w:val="00734391"/>
    <w:rsid w:val="00734ADA"/>
    <w:rsid w:val="00735607"/>
    <w:rsid w:val="007358B2"/>
    <w:rsid w:val="00735D19"/>
    <w:rsid w:val="0073629D"/>
    <w:rsid w:val="0073663C"/>
    <w:rsid w:val="00736CB6"/>
    <w:rsid w:val="00737BC7"/>
    <w:rsid w:val="00737F14"/>
    <w:rsid w:val="0074001F"/>
    <w:rsid w:val="00740AE3"/>
    <w:rsid w:val="00740F8A"/>
    <w:rsid w:val="0074142B"/>
    <w:rsid w:val="00741E10"/>
    <w:rsid w:val="007421C1"/>
    <w:rsid w:val="0074243B"/>
    <w:rsid w:val="00742469"/>
    <w:rsid w:val="0074268D"/>
    <w:rsid w:val="007426C2"/>
    <w:rsid w:val="00742868"/>
    <w:rsid w:val="00742B5C"/>
    <w:rsid w:val="00743042"/>
    <w:rsid w:val="00743E8C"/>
    <w:rsid w:val="00744138"/>
    <w:rsid w:val="00744C72"/>
    <w:rsid w:val="00744C85"/>
    <w:rsid w:val="00744CAB"/>
    <w:rsid w:val="007453B2"/>
    <w:rsid w:val="0074563F"/>
    <w:rsid w:val="00745781"/>
    <w:rsid w:val="00745894"/>
    <w:rsid w:val="007458A1"/>
    <w:rsid w:val="007465CD"/>
    <w:rsid w:val="00746A02"/>
    <w:rsid w:val="00747095"/>
    <w:rsid w:val="00747120"/>
    <w:rsid w:val="00747173"/>
    <w:rsid w:val="007474FC"/>
    <w:rsid w:val="007475B7"/>
    <w:rsid w:val="00747643"/>
    <w:rsid w:val="007476A5"/>
    <w:rsid w:val="00747CB9"/>
    <w:rsid w:val="00747D8C"/>
    <w:rsid w:val="00747DD9"/>
    <w:rsid w:val="00747E21"/>
    <w:rsid w:val="00747E43"/>
    <w:rsid w:val="00750067"/>
    <w:rsid w:val="00750192"/>
    <w:rsid w:val="00750254"/>
    <w:rsid w:val="007508B8"/>
    <w:rsid w:val="00751619"/>
    <w:rsid w:val="00751660"/>
    <w:rsid w:val="00751956"/>
    <w:rsid w:val="00751975"/>
    <w:rsid w:val="00751F02"/>
    <w:rsid w:val="00752700"/>
    <w:rsid w:val="00752799"/>
    <w:rsid w:val="00752804"/>
    <w:rsid w:val="00752B70"/>
    <w:rsid w:val="00753108"/>
    <w:rsid w:val="00753CBF"/>
    <w:rsid w:val="007543DC"/>
    <w:rsid w:val="007545E0"/>
    <w:rsid w:val="007549F0"/>
    <w:rsid w:val="00754C11"/>
    <w:rsid w:val="00754D80"/>
    <w:rsid w:val="00755053"/>
    <w:rsid w:val="00755994"/>
    <w:rsid w:val="007561FA"/>
    <w:rsid w:val="0075649A"/>
    <w:rsid w:val="00756558"/>
    <w:rsid w:val="00756864"/>
    <w:rsid w:val="00756E05"/>
    <w:rsid w:val="00757204"/>
    <w:rsid w:val="007573D4"/>
    <w:rsid w:val="00757BDE"/>
    <w:rsid w:val="00757F99"/>
    <w:rsid w:val="007601A9"/>
    <w:rsid w:val="00760D0A"/>
    <w:rsid w:val="00760F2B"/>
    <w:rsid w:val="00761438"/>
    <w:rsid w:val="00761767"/>
    <w:rsid w:val="007617DF"/>
    <w:rsid w:val="0076188C"/>
    <w:rsid w:val="00761BD3"/>
    <w:rsid w:val="00761C1E"/>
    <w:rsid w:val="00762020"/>
    <w:rsid w:val="00762184"/>
    <w:rsid w:val="007624C2"/>
    <w:rsid w:val="00762550"/>
    <w:rsid w:val="00762CFC"/>
    <w:rsid w:val="00763229"/>
    <w:rsid w:val="0076327E"/>
    <w:rsid w:val="0076330B"/>
    <w:rsid w:val="00763314"/>
    <w:rsid w:val="00763563"/>
    <w:rsid w:val="00763900"/>
    <w:rsid w:val="00763BBB"/>
    <w:rsid w:val="0076405D"/>
    <w:rsid w:val="007646E9"/>
    <w:rsid w:val="00764A34"/>
    <w:rsid w:val="00764D97"/>
    <w:rsid w:val="0076524D"/>
    <w:rsid w:val="00765283"/>
    <w:rsid w:val="007652D6"/>
    <w:rsid w:val="007659E3"/>
    <w:rsid w:val="00765B04"/>
    <w:rsid w:val="00765BCA"/>
    <w:rsid w:val="007661B9"/>
    <w:rsid w:val="007663EC"/>
    <w:rsid w:val="00766446"/>
    <w:rsid w:val="00766790"/>
    <w:rsid w:val="00766D49"/>
    <w:rsid w:val="00766D74"/>
    <w:rsid w:val="00766E5F"/>
    <w:rsid w:val="0076754F"/>
    <w:rsid w:val="00767949"/>
    <w:rsid w:val="00767D10"/>
    <w:rsid w:val="00767E9E"/>
    <w:rsid w:val="007702B4"/>
    <w:rsid w:val="007706BC"/>
    <w:rsid w:val="00770716"/>
    <w:rsid w:val="0077077A"/>
    <w:rsid w:val="007709A3"/>
    <w:rsid w:val="007709F0"/>
    <w:rsid w:val="00770A3B"/>
    <w:rsid w:val="00770AC6"/>
    <w:rsid w:val="00770CE0"/>
    <w:rsid w:val="00770F17"/>
    <w:rsid w:val="00771584"/>
    <w:rsid w:val="00771B76"/>
    <w:rsid w:val="00772E3D"/>
    <w:rsid w:val="007735F1"/>
    <w:rsid w:val="0077366A"/>
    <w:rsid w:val="00773CD6"/>
    <w:rsid w:val="00773F09"/>
    <w:rsid w:val="00773F0A"/>
    <w:rsid w:val="00774483"/>
    <w:rsid w:val="00774723"/>
    <w:rsid w:val="007752EE"/>
    <w:rsid w:val="007754A1"/>
    <w:rsid w:val="00775688"/>
    <w:rsid w:val="00775B3A"/>
    <w:rsid w:val="007763CB"/>
    <w:rsid w:val="007767AC"/>
    <w:rsid w:val="007773A7"/>
    <w:rsid w:val="0077799F"/>
    <w:rsid w:val="00777AF9"/>
    <w:rsid w:val="00777F92"/>
    <w:rsid w:val="0078053C"/>
    <w:rsid w:val="007805F8"/>
    <w:rsid w:val="0078088D"/>
    <w:rsid w:val="00780C31"/>
    <w:rsid w:val="00781783"/>
    <w:rsid w:val="00781974"/>
    <w:rsid w:val="00781B08"/>
    <w:rsid w:val="00781C55"/>
    <w:rsid w:val="00782365"/>
    <w:rsid w:val="007829E2"/>
    <w:rsid w:val="00782A2E"/>
    <w:rsid w:val="00782C42"/>
    <w:rsid w:val="007834DB"/>
    <w:rsid w:val="007837DE"/>
    <w:rsid w:val="00783A4B"/>
    <w:rsid w:val="00783A6A"/>
    <w:rsid w:val="00783B89"/>
    <w:rsid w:val="00783CA7"/>
    <w:rsid w:val="0078478A"/>
    <w:rsid w:val="00784A0F"/>
    <w:rsid w:val="00784A4E"/>
    <w:rsid w:val="00784B6A"/>
    <w:rsid w:val="00784D19"/>
    <w:rsid w:val="0078506A"/>
    <w:rsid w:val="0078567C"/>
    <w:rsid w:val="007858A1"/>
    <w:rsid w:val="0078590E"/>
    <w:rsid w:val="00785AAE"/>
    <w:rsid w:val="00785F2D"/>
    <w:rsid w:val="00785F63"/>
    <w:rsid w:val="0078657C"/>
    <w:rsid w:val="0078659A"/>
    <w:rsid w:val="00786810"/>
    <w:rsid w:val="00786959"/>
    <w:rsid w:val="00786B38"/>
    <w:rsid w:val="00786BAB"/>
    <w:rsid w:val="00787561"/>
    <w:rsid w:val="00787BEB"/>
    <w:rsid w:val="00787E09"/>
    <w:rsid w:val="00790491"/>
    <w:rsid w:val="00790518"/>
    <w:rsid w:val="007907CC"/>
    <w:rsid w:val="007908AC"/>
    <w:rsid w:val="007909A5"/>
    <w:rsid w:val="00791AA5"/>
    <w:rsid w:val="007921AF"/>
    <w:rsid w:val="007921BA"/>
    <w:rsid w:val="00792358"/>
    <w:rsid w:val="007925C8"/>
    <w:rsid w:val="00792D28"/>
    <w:rsid w:val="00793657"/>
    <w:rsid w:val="00793A36"/>
    <w:rsid w:val="00793DAC"/>
    <w:rsid w:val="007945B4"/>
    <w:rsid w:val="0079481F"/>
    <w:rsid w:val="007948EE"/>
    <w:rsid w:val="00794B0B"/>
    <w:rsid w:val="00794ECD"/>
    <w:rsid w:val="007950E2"/>
    <w:rsid w:val="007960BA"/>
    <w:rsid w:val="0079630D"/>
    <w:rsid w:val="00796390"/>
    <w:rsid w:val="00796FB4"/>
    <w:rsid w:val="007971AF"/>
    <w:rsid w:val="007972BD"/>
    <w:rsid w:val="00797CE1"/>
    <w:rsid w:val="00797DBF"/>
    <w:rsid w:val="00797E66"/>
    <w:rsid w:val="007A017F"/>
    <w:rsid w:val="007A018D"/>
    <w:rsid w:val="007A030E"/>
    <w:rsid w:val="007A0391"/>
    <w:rsid w:val="007A0464"/>
    <w:rsid w:val="007A0767"/>
    <w:rsid w:val="007A0E07"/>
    <w:rsid w:val="007A1420"/>
    <w:rsid w:val="007A17DE"/>
    <w:rsid w:val="007A1BAA"/>
    <w:rsid w:val="007A1C19"/>
    <w:rsid w:val="007A2527"/>
    <w:rsid w:val="007A254E"/>
    <w:rsid w:val="007A2D8F"/>
    <w:rsid w:val="007A30F6"/>
    <w:rsid w:val="007A3740"/>
    <w:rsid w:val="007A3BA7"/>
    <w:rsid w:val="007A49E9"/>
    <w:rsid w:val="007A5009"/>
    <w:rsid w:val="007A5D90"/>
    <w:rsid w:val="007A5E90"/>
    <w:rsid w:val="007A5EB0"/>
    <w:rsid w:val="007A6D64"/>
    <w:rsid w:val="007A6E62"/>
    <w:rsid w:val="007A76EF"/>
    <w:rsid w:val="007A78DE"/>
    <w:rsid w:val="007A7944"/>
    <w:rsid w:val="007A7AE8"/>
    <w:rsid w:val="007A7E72"/>
    <w:rsid w:val="007B026E"/>
    <w:rsid w:val="007B0451"/>
    <w:rsid w:val="007B0A4E"/>
    <w:rsid w:val="007B0DE6"/>
    <w:rsid w:val="007B1032"/>
    <w:rsid w:val="007B19CD"/>
    <w:rsid w:val="007B224E"/>
    <w:rsid w:val="007B2482"/>
    <w:rsid w:val="007B3766"/>
    <w:rsid w:val="007B41A9"/>
    <w:rsid w:val="007B424D"/>
    <w:rsid w:val="007B465F"/>
    <w:rsid w:val="007B4E32"/>
    <w:rsid w:val="007B5104"/>
    <w:rsid w:val="007B51D7"/>
    <w:rsid w:val="007B5DA9"/>
    <w:rsid w:val="007B6011"/>
    <w:rsid w:val="007B62EF"/>
    <w:rsid w:val="007B6391"/>
    <w:rsid w:val="007B63AA"/>
    <w:rsid w:val="007B63DB"/>
    <w:rsid w:val="007B6906"/>
    <w:rsid w:val="007B6990"/>
    <w:rsid w:val="007B6CCE"/>
    <w:rsid w:val="007B6F0F"/>
    <w:rsid w:val="007B7071"/>
    <w:rsid w:val="007B708B"/>
    <w:rsid w:val="007B71B3"/>
    <w:rsid w:val="007B720C"/>
    <w:rsid w:val="007B724E"/>
    <w:rsid w:val="007B7933"/>
    <w:rsid w:val="007B7F4B"/>
    <w:rsid w:val="007C05A7"/>
    <w:rsid w:val="007C05E1"/>
    <w:rsid w:val="007C06C8"/>
    <w:rsid w:val="007C136F"/>
    <w:rsid w:val="007C13ED"/>
    <w:rsid w:val="007C164B"/>
    <w:rsid w:val="007C1951"/>
    <w:rsid w:val="007C1A89"/>
    <w:rsid w:val="007C1C66"/>
    <w:rsid w:val="007C22E7"/>
    <w:rsid w:val="007C276D"/>
    <w:rsid w:val="007C27E1"/>
    <w:rsid w:val="007C2B48"/>
    <w:rsid w:val="007C2F9D"/>
    <w:rsid w:val="007C36D3"/>
    <w:rsid w:val="007C36EB"/>
    <w:rsid w:val="007C42C1"/>
    <w:rsid w:val="007C431A"/>
    <w:rsid w:val="007C4334"/>
    <w:rsid w:val="007C552E"/>
    <w:rsid w:val="007C5646"/>
    <w:rsid w:val="007C5D20"/>
    <w:rsid w:val="007C5D50"/>
    <w:rsid w:val="007C618B"/>
    <w:rsid w:val="007C6AB9"/>
    <w:rsid w:val="007C6BBA"/>
    <w:rsid w:val="007C6D10"/>
    <w:rsid w:val="007C6E0F"/>
    <w:rsid w:val="007C7079"/>
    <w:rsid w:val="007C751C"/>
    <w:rsid w:val="007C79C9"/>
    <w:rsid w:val="007C7F12"/>
    <w:rsid w:val="007D03EF"/>
    <w:rsid w:val="007D056F"/>
    <w:rsid w:val="007D06E3"/>
    <w:rsid w:val="007D0738"/>
    <w:rsid w:val="007D0924"/>
    <w:rsid w:val="007D11C2"/>
    <w:rsid w:val="007D12BE"/>
    <w:rsid w:val="007D1F17"/>
    <w:rsid w:val="007D24B4"/>
    <w:rsid w:val="007D251E"/>
    <w:rsid w:val="007D270F"/>
    <w:rsid w:val="007D296C"/>
    <w:rsid w:val="007D2C69"/>
    <w:rsid w:val="007D2DC0"/>
    <w:rsid w:val="007D30E1"/>
    <w:rsid w:val="007D3123"/>
    <w:rsid w:val="007D3215"/>
    <w:rsid w:val="007D3270"/>
    <w:rsid w:val="007D34B4"/>
    <w:rsid w:val="007D3BD0"/>
    <w:rsid w:val="007D4504"/>
    <w:rsid w:val="007D497F"/>
    <w:rsid w:val="007D4C49"/>
    <w:rsid w:val="007D51EF"/>
    <w:rsid w:val="007D5653"/>
    <w:rsid w:val="007D571B"/>
    <w:rsid w:val="007D59C9"/>
    <w:rsid w:val="007D59F2"/>
    <w:rsid w:val="007D5AB3"/>
    <w:rsid w:val="007D5FA6"/>
    <w:rsid w:val="007D601F"/>
    <w:rsid w:val="007D60A0"/>
    <w:rsid w:val="007D673C"/>
    <w:rsid w:val="007D6B92"/>
    <w:rsid w:val="007D70EA"/>
    <w:rsid w:val="007D75AE"/>
    <w:rsid w:val="007D75B0"/>
    <w:rsid w:val="007D767E"/>
    <w:rsid w:val="007D76DB"/>
    <w:rsid w:val="007D7FFC"/>
    <w:rsid w:val="007E030D"/>
    <w:rsid w:val="007E16E5"/>
    <w:rsid w:val="007E1D14"/>
    <w:rsid w:val="007E24ED"/>
    <w:rsid w:val="007E33A0"/>
    <w:rsid w:val="007E347B"/>
    <w:rsid w:val="007E399B"/>
    <w:rsid w:val="007E3EB7"/>
    <w:rsid w:val="007E47A8"/>
    <w:rsid w:val="007E47BE"/>
    <w:rsid w:val="007E4AAD"/>
    <w:rsid w:val="007E4B1B"/>
    <w:rsid w:val="007E4B8C"/>
    <w:rsid w:val="007E4BE8"/>
    <w:rsid w:val="007E5062"/>
    <w:rsid w:val="007E5C38"/>
    <w:rsid w:val="007E5C89"/>
    <w:rsid w:val="007E5DD3"/>
    <w:rsid w:val="007E7673"/>
    <w:rsid w:val="007E7C3C"/>
    <w:rsid w:val="007E7D58"/>
    <w:rsid w:val="007E7E9E"/>
    <w:rsid w:val="007F0809"/>
    <w:rsid w:val="007F09CD"/>
    <w:rsid w:val="007F0B9E"/>
    <w:rsid w:val="007F0F54"/>
    <w:rsid w:val="007F1526"/>
    <w:rsid w:val="007F17D1"/>
    <w:rsid w:val="007F18BC"/>
    <w:rsid w:val="007F1A74"/>
    <w:rsid w:val="007F1A81"/>
    <w:rsid w:val="007F1C50"/>
    <w:rsid w:val="007F1CC4"/>
    <w:rsid w:val="007F2042"/>
    <w:rsid w:val="007F20DB"/>
    <w:rsid w:val="007F2736"/>
    <w:rsid w:val="007F2AD9"/>
    <w:rsid w:val="007F2BAE"/>
    <w:rsid w:val="007F333B"/>
    <w:rsid w:val="007F344B"/>
    <w:rsid w:val="007F360E"/>
    <w:rsid w:val="007F373E"/>
    <w:rsid w:val="007F3AB7"/>
    <w:rsid w:val="007F3DA0"/>
    <w:rsid w:val="007F4B53"/>
    <w:rsid w:val="007F4BB3"/>
    <w:rsid w:val="007F5886"/>
    <w:rsid w:val="007F5A22"/>
    <w:rsid w:val="007F5C0F"/>
    <w:rsid w:val="007F5CC0"/>
    <w:rsid w:val="007F6221"/>
    <w:rsid w:val="007F62CF"/>
    <w:rsid w:val="007F6354"/>
    <w:rsid w:val="007F63B9"/>
    <w:rsid w:val="007F657B"/>
    <w:rsid w:val="007F65C0"/>
    <w:rsid w:val="007F663B"/>
    <w:rsid w:val="007F66E0"/>
    <w:rsid w:val="007F6B14"/>
    <w:rsid w:val="007F6E9A"/>
    <w:rsid w:val="007F72B5"/>
    <w:rsid w:val="007F7709"/>
    <w:rsid w:val="00800ECF"/>
    <w:rsid w:val="00801064"/>
    <w:rsid w:val="0080185D"/>
    <w:rsid w:val="008018D5"/>
    <w:rsid w:val="00801C81"/>
    <w:rsid w:val="00801D6C"/>
    <w:rsid w:val="00801D97"/>
    <w:rsid w:val="00801DBE"/>
    <w:rsid w:val="00803444"/>
    <w:rsid w:val="00803466"/>
    <w:rsid w:val="00803702"/>
    <w:rsid w:val="00803778"/>
    <w:rsid w:val="00803C87"/>
    <w:rsid w:val="00803CD8"/>
    <w:rsid w:val="00804209"/>
    <w:rsid w:val="00804525"/>
    <w:rsid w:val="00804767"/>
    <w:rsid w:val="00804B41"/>
    <w:rsid w:val="008053D2"/>
    <w:rsid w:val="008059E0"/>
    <w:rsid w:val="008059E2"/>
    <w:rsid w:val="00805BCE"/>
    <w:rsid w:val="0080614E"/>
    <w:rsid w:val="008066E9"/>
    <w:rsid w:val="00806892"/>
    <w:rsid w:val="00806A1C"/>
    <w:rsid w:val="00806E6E"/>
    <w:rsid w:val="0080702E"/>
    <w:rsid w:val="008071D4"/>
    <w:rsid w:val="00807445"/>
    <w:rsid w:val="008075DA"/>
    <w:rsid w:val="008078A9"/>
    <w:rsid w:val="008078AE"/>
    <w:rsid w:val="0081044C"/>
    <w:rsid w:val="0081066B"/>
    <w:rsid w:val="00810F7F"/>
    <w:rsid w:val="0081113C"/>
    <w:rsid w:val="00811834"/>
    <w:rsid w:val="008118BE"/>
    <w:rsid w:val="00811DF0"/>
    <w:rsid w:val="00811EF1"/>
    <w:rsid w:val="00812818"/>
    <w:rsid w:val="00812883"/>
    <w:rsid w:val="00812935"/>
    <w:rsid w:val="00812FA6"/>
    <w:rsid w:val="0081324A"/>
    <w:rsid w:val="00813989"/>
    <w:rsid w:val="00813FB2"/>
    <w:rsid w:val="008141E6"/>
    <w:rsid w:val="008145A3"/>
    <w:rsid w:val="008145DD"/>
    <w:rsid w:val="008147A4"/>
    <w:rsid w:val="00814978"/>
    <w:rsid w:val="00814DCD"/>
    <w:rsid w:val="00814DED"/>
    <w:rsid w:val="00814FA2"/>
    <w:rsid w:val="008157CE"/>
    <w:rsid w:val="00816A14"/>
    <w:rsid w:val="0081723A"/>
    <w:rsid w:val="00817641"/>
    <w:rsid w:val="008177C6"/>
    <w:rsid w:val="008178C7"/>
    <w:rsid w:val="00817B01"/>
    <w:rsid w:val="0082007F"/>
    <w:rsid w:val="008203BA"/>
    <w:rsid w:val="008205DF"/>
    <w:rsid w:val="00820B05"/>
    <w:rsid w:val="00820C6A"/>
    <w:rsid w:val="00820FE7"/>
    <w:rsid w:val="00821223"/>
    <w:rsid w:val="00821612"/>
    <w:rsid w:val="008218FB"/>
    <w:rsid w:val="00821A39"/>
    <w:rsid w:val="00822764"/>
    <w:rsid w:val="00822A20"/>
    <w:rsid w:val="00822EDF"/>
    <w:rsid w:val="00822F55"/>
    <w:rsid w:val="00823223"/>
    <w:rsid w:val="00823D50"/>
    <w:rsid w:val="00823FB3"/>
    <w:rsid w:val="0082409C"/>
    <w:rsid w:val="00824915"/>
    <w:rsid w:val="008249E8"/>
    <w:rsid w:val="00824A9D"/>
    <w:rsid w:val="00824C66"/>
    <w:rsid w:val="00824E8E"/>
    <w:rsid w:val="008250A6"/>
    <w:rsid w:val="00825266"/>
    <w:rsid w:val="00825501"/>
    <w:rsid w:val="008258B5"/>
    <w:rsid w:val="00825B34"/>
    <w:rsid w:val="008261C9"/>
    <w:rsid w:val="00826798"/>
    <w:rsid w:val="008269E6"/>
    <w:rsid w:val="00826F76"/>
    <w:rsid w:val="008273BC"/>
    <w:rsid w:val="00827E49"/>
    <w:rsid w:val="00830333"/>
    <w:rsid w:val="008307FE"/>
    <w:rsid w:val="00830808"/>
    <w:rsid w:val="00830F0B"/>
    <w:rsid w:val="00831220"/>
    <w:rsid w:val="0083163B"/>
    <w:rsid w:val="0083197C"/>
    <w:rsid w:val="00831C65"/>
    <w:rsid w:val="008335BF"/>
    <w:rsid w:val="008337F7"/>
    <w:rsid w:val="00833A7B"/>
    <w:rsid w:val="00834060"/>
    <w:rsid w:val="00834167"/>
    <w:rsid w:val="008343EB"/>
    <w:rsid w:val="008346EA"/>
    <w:rsid w:val="008352A6"/>
    <w:rsid w:val="008353F8"/>
    <w:rsid w:val="00835A1B"/>
    <w:rsid w:val="00835B79"/>
    <w:rsid w:val="00835C6A"/>
    <w:rsid w:val="00836716"/>
    <w:rsid w:val="00836BF0"/>
    <w:rsid w:val="0083723C"/>
    <w:rsid w:val="00837490"/>
    <w:rsid w:val="008374E1"/>
    <w:rsid w:val="00837B23"/>
    <w:rsid w:val="00837B88"/>
    <w:rsid w:val="00837F6A"/>
    <w:rsid w:val="00840180"/>
    <w:rsid w:val="00840261"/>
    <w:rsid w:val="0084068D"/>
    <w:rsid w:val="008408FB"/>
    <w:rsid w:val="00840BAF"/>
    <w:rsid w:val="00840D63"/>
    <w:rsid w:val="00840ED1"/>
    <w:rsid w:val="00840F2D"/>
    <w:rsid w:val="00840F7F"/>
    <w:rsid w:val="008416FB"/>
    <w:rsid w:val="008419D0"/>
    <w:rsid w:val="008420CB"/>
    <w:rsid w:val="00842C0A"/>
    <w:rsid w:val="00843B2D"/>
    <w:rsid w:val="00843DAC"/>
    <w:rsid w:val="0084413A"/>
    <w:rsid w:val="008442C3"/>
    <w:rsid w:val="008444F8"/>
    <w:rsid w:val="00844AB7"/>
    <w:rsid w:val="00844BB9"/>
    <w:rsid w:val="0084528C"/>
    <w:rsid w:val="008457A7"/>
    <w:rsid w:val="00845E41"/>
    <w:rsid w:val="00846BA2"/>
    <w:rsid w:val="008473E4"/>
    <w:rsid w:val="008475F3"/>
    <w:rsid w:val="008477DD"/>
    <w:rsid w:val="00847BED"/>
    <w:rsid w:val="008504D7"/>
    <w:rsid w:val="008505D7"/>
    <w:rsid w:val="00850CA8"/>
    <w:rsid w:val="00850DC1"/>
    <w:rsid w:val="00851292"/>
    <w:rsid w:val="00851301"/>
    <w:rsid w:val="0085145C"/>
    <w:rsid w:val="00851A46"/>
    <w:rsid w:val="00851BAF"/>
    <w:rsid w:val="00851E5D"/>
    <w:rsid w:val="0085280F"/>
    <w:rsid w:val="00852B29"/>
    <w:rsid w:val="00852BE3"/>
    <w:rsid w:val="00852D2C"/>
    <w:rsid w:val="00852F2D"/>
    <w:rsid w:val="00853422"/>
    <w:rsid w:val="00853875"/>
    <w:rsid w:val="008539CA"/>
    <w:rsid w:val="00853AD6"/>
    <w:rsid w:val="00853CD6"/>
    <w:rsid w:val="0085416D"/>
    <w:rsid w:val="008544AC"/>
    <w:rsid w:val="008544B8"/>
    <w:rsid w:val="00854AA9"/>
    <w:rsid w:val="00855196"/>
    <w:rsid w:val="00855230"/>
    <w:rsid w:val="008554DA"/>
    <w:rsid w:val="0085572D"/>
    <w:rsid w:val="00855A38"/>
    <w:rsid w:val="00855D22"/>
    <w:rsid w:val="00855F77"/>
    <w:rsid w:val="00855FFC"/>
    <w:rsid w:val="00856647"/>
    <w:rsid w:val="0085671A"/>
    <w:rsid w:val="008567B2"/>
    <w:rsid w:val="00856ADC"/>
    <w:rsid w:val="00856C4E"/>
    <w:rsid w:val="00856F2D"/>
    <w:rsid w:val="008573E8"/>
    <w:rsid w:val="0086013B"/>
    <w:rsid w:val="008601EE"/>
    <w:rsid w:val="008605A4"/>
    <w:rsid w:val="0086086E"/>
    <w:rsid w:val="00860B45"/>
    <w:rsid w:val="00860FAE"/>
    <w:rsid w:val="00861650"/>
    <w:rsid w:val="0086179F"/>
    <w:rsid w:val="00861ABD"/>
    <w:rsid w:val="00861D43"/>
    <w:rsid w:val="00861FF4"/>
    <w:rsid w:val="008621AD"/>
    <w:rsid w:val="00862443"/>
    <w:rsid w:val="008625C9"/>
    <w:rsid w:val="00862D31"/>
    <w:rsid w:val="00862EEB"/>
    <w:rsid w:val="00862F8A"/>
    <w:rsid w:val="00863A3A"/>
    <w:rsid w:val="0086454C"/>
    <w:rsid w:val="008645AC"/>
    <w:rsid w:val="00864874"/>
    <w:rsid w:val="00864900"/>
    <w:rsid w:val="0086499C"/>
    <w:rsid w:val="00864D16"/>
    <w:rsid w:val="00864FBB"/>
    <w:rsid w:val="00865653"/>
    <w:rsid w:val="0086568E"/>
    <w:rsid w:val="00865A39"/>
    <w:rsid w:val="00865BF6"/>
    <w:rsid w:val="00865C94"/>
    <w:rsid w:val="00865E5C"/>
    <w:rsid w:val="00865F43"/>
    <w:rsid w:val="008660DA"/>
    <w:rsid w:val="0086623A"/>
    <w:rsid w:val="008666F9"/>
    <w:rsid w:val="00866785"/>
    <w:rsid w:val="0086689C"/>
    <w:rsid w:val="00866B66"/>
    <w:rsid w:val="008676EE"/>
    <w:rsid w:val="008679A5"/>
    <w:rsid w:val="00867C88"/>
    <w:rsid w:val="00867D73"/>
    <w:rsid w:val="008709AD"/>
    <w:rsid w:val="00870A00"/>
    <w:rsid w:val="00870E47"/>
    <w:rsid w:val="00870EEA"/>
    <w:rsid w:val="00871059"/>
    <w:rsid w:val="0087106A"/>
    <w:rsid w:val="0087114B"/>
    <w:rsid w:val="008712DB"/>
    <w:rsid w:val="0087158D"/>
    <w:rsid w:val="008717E0"/>
    <w:rsid w:val="008719A5"/>
    <w:rsid w:val="00872555"/>
    <w:rsid w:val="00872AF6"/>
    <w:rsid w:val="00872C37"/>
    <w:rsid w:val="00872E98"/>
    <w:rsid w:val="00872EBF"/>
    <w:rsid w:val="00873796"/>
    <w:rsid w:val="00873815"/>
    <w:rsid w:val="0087382A"/>
    <w:rsid w:val="0087411A"/>
    <w:rsid w:val="00874AA3"/>
    <w:rsid w:val="00874ACC"/>
    <w:rsid w:val="008751C6"/>
    <w:rsid w:val="008754F3"/>
    <w:rsid w:val="008758C9"/>
    <w:rsid w:val="00875986"/>
    <w:rsid w:val="00875E56"/>
    <w:rsid w:val="00875FDF"/>
    <w:rsid w:val="0087616C"/>
    <w:rsid w:val="00876EEB"/>
    <w:rsid w:val="0087751E"/>
    <w:rsid w:val="008802BE"/>
    <w:rsid w:val="0088036D"/>
    <w:rsid w:val="00880549"/>
    <w:rsid w:val="0088098A"/>
    <w:rsid w:val="00880E76"/>
    <w:rsid w:val="00881687"/>
    <w:rsid w:val="008816C9"/>
    <w:rsid w:val="0088170E"/>
    <w:rsid w:val="00881922"/>
    <w:rsid w:val="00881C95"/>
    <w:rsid w:val="008820EE"/>
    <w:rsid w:val="008829B3"/>
    <w:rsid w:val="008829B6"/>
    <w:rsid w:val="00883217"/>
    <w:rsid w:val="008839DA"/>
    <w:rsid w:val="00884131"/>
    <w:rsid w:val="0088440E"/>
    <w:rsid w:val="00884599"/>
    <w:rsid w:val="00884B8F"/>
    <w:rsid w:val="00884C78"/>
    <w:rsid w:val="00885038"/>
    <w:rsid w:val="0088510C"/>
    <w:rsid w:val="00885586"/>
    <w:rsid w:val="008857B7"/>
    <w:rsid w:val="00885B3E"/>
    <w:rsid w:val="00885E50"/>
    <w:rsid w:val="0088626B"/>
    <w:rsid w:val="00886434"/>
    <w:rsid w:val="008867F4"/>
    <w:rsid w:val="00886E48"/>
    <w:rsid w:val="00887329"/>
    <w:rsid w:val="00887CBF"/>
    <w:rsid w:val="008901A6"/>
    <w:rsid w:val="00890263"/>
    <w:rsid w:val="00890439"/>
    <w:rsid w:val="00890612"/>
    <w:rsid w:val="00890DC4"/>
    <w:rsid w:val="00890FA3"/>
    <w:rsid w:val="00890FD5"/>
    <w:rsid w:val="008910D9"/>
    <w:rsid w:val="00891758"/>
    <w:rsid w:val="008918BF"/>
    <w:rsid w:val="008920B4"/>
    <w:rsid w:val="00892128"/>
    <w:rsid w:val="008921E0"/>
    <w:rsid w:val="00892812"/>
    <w:rsid w:val="00892A91"/>
    <w:rsid w:val="00893470"/>
    <w:rsid w:val="00893B97"/>
    <w:rsid w:val="00893C93"/>
    <w:rsid w:val="00893D30"/>
    <w:rsid w:val="00893EC2"/>
    <w:rsid w:val="00894B58"/>
    <w:rsid w:val="00894DB9"/>
    <w:rsid w:val="00894E61"/>
    <w:rsid w:val="0089550B"/>
    <w:rsid w:val="0089568B"/>
    <w:rsid w:val="008956E9"/>
    <w:rsid w:val="00895A72"/>
    <w:rsid w:val="00895D15"/>
    <w:rsid w:val="0089608D"/>
    <w:rsid w:val="008960D1"/>
    <w:rsid w:val="0089691D"/>
    <w:rsid w:val="00896B0E"/>
    <w:rsid w:val="0089703D"/>
    <w:rsid w:val="00897519"/>
    <w:rsid w:val="0089760C"/>
    <w:rsid w:val="00897621"/>
    <w:rsid w:val="008976E1"/>
    <w:rsid w:val="00897AA4"/>
    <w:rsid w:val="00897F34"/>
    <w:rsid w:val="008A0166"/>
    <w:rsid w:val="008A0187"/>
    <w:rsid w:val="008A03D7"/>
    <w:rsid w:val="008A04EC"/>
    <w:rsid w:val="008A0940"/>
    <w:rsid w:val="008A0B8A"/>
    <w:rsid w:val="008A0F6E"/>
    <w:rsid w:val="008A0F7C"/>
    <w:rsid w:val="008A25BD"/>
    <w:rsid w:val="008A25C0"/>
    <w:rsid w:val="008A2D24"/>
    <w:rsid w:val="008A360F"/>
    <w:rsid w:val="008A36C9"/>
    <w:rsid w:val="008A3752"/>
    <w:rsid w:val="008A3C08"/>
    <w:rsid w:val="008A4AC1"/>
    <w:rsid w:val="008A4B37"/>
    <w:rsid w:val="008A4B49"/>
    <w:rsid w:val="008A5124"/>
    <w:rsid w:val="008A619F"/>
    <w:rsid w:val="008A67A7"/>
    <w:rsid w:val="008A68AA"/>
    <w:rsid w:val="008A6DD8"/>
    <w:rsid w:val="008A6F2D"/>
    <w:rsid w:val="008A7210"/>
    <w:rsid w:val="008A7EC1"/>
    <w:rsid w:val="008B0080"/>
    <w:rsid w:val="008B04CC"/>
    <w:rsid w:val="008B0627"/>
    <w:rsid w:val="008B06F6"/>
    <w:rsid w:val="008B0CF1"/>
    <w:rsid w:val="008B0ECD"/>
    <w:rsid w:val="008B10A3"/>
    <w:rsid w:val="008B1215"/>
    <w:rsid w:val="008B1247"/>
    <w:rsid w:val="008B14D1"/>
    <w:rsid w:val="008B19FC"/>
    <w:rsid w:val="008B1A36"/>
    <w:rsid w:val="008B1F1B"/>
    <w:rsid w:val="008B2145"/>
    <w:rsid w:val="008B236F"/>
    <w:rsid w:val="008B237F"/>
    <w:rsid w:val="008B2939"/>
    <w:rsid w:val="008B2ADB"/>
    <w:rsid w:val="008B2D57"/>
    <w:rsid w:val="008B3180"/>
    <w:rsid w:val="008B34BA"/>
    <w:rsid w:val="008B34DD"/>
    <w:rsid w:val="008B3661"/>
    <w:rsid w:val="008B36FD"/>
    <w:rsid w:val="008B3A09"/>
    <w:rsid w:val="008B4508"/>
    <w:rsid w:val="008B5897"/>
    <w:rsid w:val="008B5A88"/>
    <w:rsid w:val="008B5F9D"/>
    <w:rsid w:val="008B6155"/>
    <w:rsid w:val="008B6374"/>
    <w:rsid w:val="008B691C"/>
    <w:rsid w:val="008B6D4F"/>
    <w:rsid w:val="008B7580"/>
    <w:rsid w:val="008C015F"/>
    <w:rsid w:val="008C04BE"/>
    <w:rsid w:val="008C0606"/>
    <w:rsid w:val="008C06E3"/>
    <w:rsid w:val="008C073E"/>
    <w:rsid w:val="008C0BA5"/>
    <w:rsid w:val="008C0CCB"/>
    <w:rsid w:val="008C0DE3"/>
    <w:rsid w:val="008C0ED3"/>
    <w:rsid w:val="008C1007"/>
    <w:rsid w:val="008C11EB"/>
    <w:rsid w:val="008C152B"/>
    <w:rsid w:val="008C1952"/>
    <w:rsid w:val="008C1AAA"/>
    <w:rsid w:val="008C1DA0"/>
    <w:rsid w:val="008C25E7"/>
    <w:rsid w:val="008C2659"/>
    <w:rsid w:val="008C291C"/>
    <w:rsid w:val="008C2A3B"/>
    <w:rsid w:val="008C3891"/>
    <w:rsid w:val="008C38AD"/>
    <w:rsid w:val="008C3BF7"/>
    <w:rsid w:val="008C3DE5"/>
    <w:rsid w:val="008C46EF"/>
    <w:rsid w:val="008C47AC"/>
    <w:rsid w:val="008C4AEE"/>
    <w:rsid w:val="008C4CEC"/>
    <w:rsid w:val="008C4D94"/>
    <w:rsid w:val="008C4EDA"/>
    <w:rsid w:val="008C60C1"/>
    <w:rsid w:val="008C64DC"/>
    <w:rsid w:val="008C6677"/>
    <w:rsid w:val="008C68FF"/>
    <w:rsid w:val="008C696C"/>
    <w:rsid w:val="008C6A5C"/>
    <w:rsid w:val="008C6C61"/>
    <w:rsid w:val="008C7627"/>
    <w:rsid w:val="008C771B"/>
    <w:rsid w:val="008C7B18"/>
    <w:rsid w:val="008C7D8D"/>
    <w:rsid w:val="008D0650"/>
    <w:rsid w:val="008D0AA9"/>
    <w:rsid w:val="008D110D"/>
    <w:rsid w:val="008D1136"/>
    <w:rsid w:val="008D118E"/>
    <w:rsid w:val="008D16A4"/>
    <w:rsid w:val="008D21FB"/>
    <w:rsid w:val="008D2838"/>
    <w:rsid w:val="008D2A7D"/>
    <w:rsid w:val="008D2B75"/>
    <w:rsid w:val="008D2F2D"/>
    <w:rsid w:val="008D31A7"/>
    <w:rsid w:val="008D3A09"/>
    <w:rsid w:val="008D3B66"/>
    <w:rsid w:val="008D3E80"/>
    <w:rsid w:val="008D53CB"/>
    <w:rsid w:val="008D5604"/>
    <w:rsid w:val="008D5739"/>
    <w:rsid w:val="008D5CEA"/>
    <w:rsid w:val="008D6228"/>
    <w:rsid w:val="008D6CEE"/>
    <w:rsid w:val="008D6E89"/>
    <w:rsid w:val="008D7108"/>
    <w:rsid w:val="008D7130"/>
    <w:rsid w:val="008D781C"/>
    <w:rsid w:val="008E0065"/>
    <w:rsid w:val="008E056E"/>
    <w:rsid w:val="008E05C4"/>
    <w:rsid w:val="008E06B6"/>
    <w:rsid w:val="008E0AAD"/>
    <w:rsid w:val="008E0BFB"/>
    <w:rsid w:val="008E0C94"/>
    <w:rsid w:val="008E0E58"/>
    <w:rsid w:val="008E141E"/>
    <w:rsid w:val="008E1714"/>
    <w:rsid w:val="008E1A05"/>
    <w:rsid w:val="008E1C21"/>
    <w:rsid w:val="008E1CD7"/>
    <w:rsid w:val="008E1D27"/>
    <w:rsid w:val="008E1DA3"/>
    <w:rsid w:val="008E1EB6"/>
    <w:rsid w:val="008E24A4"/>
    <w:rsid w:val="008E276A"/>
    <w:rsid w:val="008E27B4"/>
    <w:rsid w:val="008E2AE8"/>
    <w:rsid w:val="008E32B7"/>
    <w:rsid w:val="008E3342"/>
    <w:rsid w:val="008E3701"/>
    <w:rsid w:val="008E395A"/>
    <w:rsid w:val="008E3B34"/>
    <w:rsid w:val="008E3B77"/>
    <w:rsid w:val="008E3D3F"/>
    <w:rsid w:val="008E3F88"/>
    <w:rsid w:val="008E3FDF"/>
    <w:rsid w:val="008E43C6"/>
    <w:rsid w:val="008E47CE"/>
    <w:rsid w:val="008E4978"/>
    <w:rsid w:val="008E4B5F"/>
    <w:rsid w:val="008E4C45"/>
    <w:rsid w:val="008E4F0D"/>
    <w:rsid w:val="008E4F32"/>
    <w:rsid w:val="008E4F7C"/>
    <w:rsid w:val="008E53A6"/>
    <w:rsid w:val="008E5662"/>
    <w:rsid w:val="008E5B72"/>
    <w:rsid w:val="008E5D49"/>
    <w:rsid w:val="008E624D"/>
    <w:rsid w:val="008E6505"/>
    <w:rsid w:val="008E6956"/>
    <w:rsid w:val="008E6B3D"/>
    <w:rsid w:val="008E6DB5"/>
    <w:rsid w:val="008E6ED5"/>
    <w:rsid w:val="008E726C"/>
    <w:rsid w:val="008E75A8"/>
    <w:rsid w:val="008E7B51"/>
    <w:rsid w:val="008E7E66"/>
    <w:rsid w:val="008F0250"/>
    <w:rsid w:val="008F02F2"/>
    <w:rsid w:val="008F0A4A"/>
    <w:rsid w:val="008F1009"/>
    <w:rsid w:val="008F1B21"/>
    <w:rsid w:val="008F1BD6"/>
    <w:rsid w:val="008F1C76"/>
    <w:rsid w:val="008F2377"/>
    <w:rsid w:val="008F26AE"/>
    <w:rsid w:val="008F2B26"/>
    <w:rsid w:val="008F2FB5"/>
    <w:rsid w:val="008F2FF0"/>
    <w:rsid w:val="008F3B0E"/>
    <w:rsid w:val="008F3D86"/>
    <w:rsid w:val="008F421D"/>
    <w:rsid w:val="008F43C7"/>
    <w:rsid w:val="008F5724"/>
    <w:rsid w:val="008F5D39"/>
    <w:rsid w:val="008F5DA0"/>
    <w:rsid w:val="008F5E63"/>
    <w:rsid w:val="008F5E68"/>
    <w:rsid w:val="008F64B0"/>
    <w:rsid w:val="008F6A78"/>
    <w:rsid w:val="008F72B2"/>
    <w:rsid w:val="008F7380"/>
    <w:rsid w:val="008F7BF2"/>
    <w:rsid w:val="008F7F68"/>
    <w:rsid w:val="009000EF"/>
    <w:rsid w:val="00900233"/>
    <w:rsid w:val="009004C0"/>
    <w:rsid w:val="00900755"/>
    <w:rsid w:val="00900B52"/>
    <w:rsid w:val="00900C0C"/>
    <w:rsid w:val="00900E4F"/>
    <w:rsid w:val="00900EF2"/>
    <w:rsid w:val="00901489"/>
    <w:rsid w:val="009024F2"/>
    <w:rsid w:val="00902C41"/>
    <w:rsid w:val="00902D2A"/>
    <w:rsid w:val="009030F7"/>
    <w:rsid w:val="0090315A"/>
    <w:rsid w:val="009034E1"/>
    <w:rsid w:val="0090364D"/>
    <w:rsid w:val="0090464D"/>
    <w:rsid w:val="00904669"/>
    <w:rsid w:val="00904AF0"/>
    <w:rsid w:val="00904FBE"/>
    <w:rsid w:val="00905EC4"/>
    <w:rsid w:val="009065F8"/>
    <w:rsid w:val="00906B24"/>
    <w:rsid w:val="00906B58"/>
    <w:rsid w:val="00906BDF"/>
    <w:rsid w:val="009077BA"/>
    <w:rsid w:val="009078EE"/>
    <w:rsid w:val="00907F21"/>
    <w:rsid w:val="009105BF"/>
    <w:rsid w:val="0091073A"/>
    <w:rsid w:val="00910879"/>
    <w:rsid w:val="00910B1C"/>
    <w:rsid w:val="0091155B"/>
    <w:rsid w:val="00911562"/>
    <w:rsid w:val="0091167E"/>
    <w:rsid w:val="0091181D"/>
    <w:rsid w:val="00911E3E"/>
    <w:rsid w:val="009121E6"/>
    <w:rsid w:val="00912521"/>
    <w:rsid w:val="00912579"/>
    <w:rsid w:val="00913560"/>
    <w:rsid w:val="0091370D"/>
    <w:rsid w:val="00913BBB"/>
    <w:rsid w:val="00913FD3"/>
    <w:rsid w:val="009140AB"/>
    <w:rsid w:val="0091421E"/>
    <w:rsid w:val="009145C1"/>
    <w:rsid w:val="0091473D"/>
    <w:rsid w:val="00914A8F"/>
    <w:rsid w:val="00914C1F"/>
    <w:rsid w:val="00914F1D"/>
    <w:rsid w:val="009166C2"/>
    <w:rsid w:val="00916864"/>
    <w:rsid w:val="009172E0"/>
    <w:rsid w:val="00917FC4"/>
    <w:rsid w:val="00920029"/>
    <w:rsid w:val="00920056"/>
    <w:rsid w:val="0092092F"/>
    <w:rsid w:val="00921708"/>
    <w:rsid w:val="00921846"/>
    <w:rsid w:val="00921AF8"/>
    <w:rsid w:val="00922A0F"/>
    <w:rsid w:val="00922BC8"/>
    <w:rsid w:val="009232A6"/>
    <w:rsid w:val="00923608"/>
    <w:rsid w:val="0092410A"/>
    <w:rsid w:val="00924FE3"/>
    <w:rsid w:val="0092562A"/>
    <w:rsid w:val="009259A6"/>
    <w:rsid w:val="00925C53"/>
    <w:rsid w:val="00925F68"/>
    <w:rsid w:val="0092610B"/>
    <w:rsid w:val="009264C9"/>
    <w:rsid w:val="009268FC"/>
    <w:rsid w:val="0092696A"/>
    <w:rsid w:val="00927397"/>
    <w:rsid w:val="00927ACA"/>
    <w:rsid w:val="009300C5"/>
    <w:rsid w:val="00930910"/>
    <w:rsid w:val="00930971"/>
    <w:rsid w:val="00930C62"/>
    <w:rsid w:val="00930D23"/>
    <w:rsid w:val="009310BE"/>
    <w:rsid w:val="00931227"/>
    <w:rsid w:val="00931474"/>
    <w:rsid w:val="009314CD"/>
    <w:rsid w:val="009318E0"/>
    <w:rsid w:val="00931DEF"/>
    <w:rsid w:val="00932645"/>
    <w:rsid w:val="009326E7"/>
    <w:rsid w:val="0093292E"/>
    <w:rsid w:val="00932CC7"/>
    <w:rsid w:val="00932CD7"/>
    <w:rsid w:val="00933099"/>
    <w:rsid w:val="0093313E"/>
    <w:rsid w:val="0093315B"/>
    <w:rsid w:val="0093317D"/>
    <w:rsid w:val="00933745"/>
    <w:rsid w:val="009337AC"/>
    <w:rsid w:val="00933967"/>
    <w:rsid w:val="00933B9E"/>
    <w:rsid w:val="009341F4"/>
    <w:rsid w:val="0093448A"/>
    <w:rsid w:val="0093458B"/>
    <w:rsid w:val="00934855"/>
    <w:rsid w:val="00934885"/>
    <w:rsid w:val="00934A63"/>
    <w:rsid w:val="00934DAA"/>
    <w:rsid w:val="00934F50"/>
    <w:rsid w:val="0093576A"/>
    <w:rsid w:val="00935B50"/>
    <w:rsid w:val="009365D4"/>
    <w:rsid w:val="00936C9E"/>
    <w:rsid w:val="0093701F"/>
    <w:rsid w:val="009377A2"/>
    <w:rsid w:val="009379C2"/>
    <w:rsid w:val="00937CFC"/>
    <w:rsid w:val="00937DD6"/>
    <w:rsid w:val="00937F03"/>
    <w:rsid w:val="009400CE"/>
    <w:rsid w:val="00940261"/>
    <w:rsid w:val="009402A1"/>
    <w:rsid w:val="00940379"/>
    <w:rsid w:val="00940449"/>
    <w:rsid w:val="00940A90"/>
    <w:rsid w:val="00940B1D"/>
    <w:rsid w:val="00940DA2"/>
    <w:rsid w:val="00941413"/>
    <w:rsid w:val="009417A7"/>
    <w:rsid w:val="00941F1A"/>
    <w:rsid w:val="00941F26"/>
    <w:rsid w:val="009427F0"/>
    <w:rsid w:val="009434BB"/>
    <w:rsid w:val="009435EC"/>
    <w:rsid w:val="00943C35"/>
    <w:rsid w:val="00943D1A"/>
    <w:rsid w:val="009440B4"/>
    <w:rsid w:val="0094415B"/>
    <w:rsid w:val="00944746"/>
    <w:rsid w:val="009447F0"/>
    <w:rsid w:val="00944C45"/>
    <w:rsid w:val="00944DEA"/>
    <w:rsid w:val="009452D3"/>
    <w:rsid w:val="0094550E"/>
    <w:rsid w:val="00945BCC"/>
    <w:rsid w:val="00945F61"/>
    <w:rsid w:val="00946277"/>
    <w:rsid w:val="0094658C"/>
    <w:rsid w:val="00946694"/>
    <w:rsid w:val="00946EC6"/>
    <w:rsid w:val="00947154"/>
    <w:rsid w:val="009474C9"/>
    <w:rsid w:val="009474D1"/>
    <w:rsid w:val="009475B2"/>
    <w:rsid w:val="00947707"/>
    <w:rsid w:val="00947D37"/>
    <w:rsid w:val="00947DC2"/>
    <w:rsid w:val="00950034"/>
    <w:rsid w:val="009504EA"/>
    <w:rsid w:val="00950729"/>
    <w:rsid w:val="00950FF7"/>
    <w:rsid w:val="00951124"/>
    <w:rsid w:val="009516CE"/>
    <w:rsid w:val="009517D7"/>
    <w:rsid w:val="00951B22"/>
    <w:rsid w:val="00951C04"/>
    <w:rsid w:val="00951C06"/>
    <w:rsid w:val="00952061"/>
    <w:rsid w:val="0095222E"/>
    <w:rsid w:val="00952273"/>
    <w:rsid w:val="009522A9"/>
    <w:rsid w:val="009523A5"/>
    <w:rsid w:val="009528AC"/>
    <w:rsid w:val="00952E11"/>
    <w:rsid w:val="00952E24"/>
    <w:rsid w:val="00952E8D"/>
    <w:rsid w:val="00952EF3"/>
    <w:rsid w:val="00952F3F"/>
    <w:rsid w:val="00952FC1"/>
    <w:rsid w:val="00952FF2"/>
    <w:rsid w:val="009531BE"/>
    <w:rsid w:val="00953333"/>
    <w:rsid w:val="009538D2"/>
    <w:rsid w:val="00954163"/>
    <w:rsid w:val="00954994"/>
    <w:rsid w:val="0095565F"/>
    <w:rsid w:val="00955676"/>
    <w:rsid w:val="0095591B"/>
    <w:rsid w:val="00955A0D"/>
    <w:rsid w:val="00955E68"/>
    <w:rsid w:val="00956430"/>
    <w:rsid w:val="00956D18"/>
    <w:rsid w:val="00956FF7"/>
    <w:rsid w:val="0095719D"/>
    <w:rsid w:val="00957679"/>
    <w:rsid w:val="0095777D"/>
    <w:rsid w:val="009578AF"/>
    <w:rsid w:val="00957D95"/>
    <w:rsid w:val="00960021"/>
    <w:rsid w:val="00960266"/>
    <w:rsid w:val="00960473"/>
    <w:rsid w:val="00960486"/>
    <w:rsid w:val="00960600"/>
    <w:rsid w:val="00960687"/>
    <w:rsid w:val="00960773"/>
    <w:rsid w:val="009608C5"/>
    <w:rsid w:val="00960A54"/>
    <w:rsid w:val="00960FF3"/>
    <w:rsid w:val="009612B6"/>
    <w:rsid w:val="00961775"/>
    <w:rsid w:val="009617FB"/>
    <w:rsid w:val="00961A70"/>
    <w:rsid w:val="009621E6"/>
    <w:rsid w:val="00962439"/>
    <w:rsid w:val="00962505"/>
    <w:rsid w:val="00962E85"/>
    <w:rsid w:val="00963201"/>
    <w:rsid w:val="009634F0"/>
    <w:rsid w:val="00963A83"/>
    <w:rsid w:val="009643D3"/>
    <w:rsid w:val="009647AF"/>
    <w:rsid w:val="00964840"/>
    <w:rsid w:val="009649A5"/>
    <w:rsid w:val="00964BBF"/>
    <w:rsid w:val="00964E76"/>
    <w:rsid w:val="00964F57"/>
    <w:rsid w:val="00965A70"/>
    <w:rsid w:val="00966008"/>
    <w:rsid w:val="009665F7"/>
    <w:rsid w:val="009667D3"/>
    <w:rsid w:val="00966DE4"/>
    <w:rsid w:val="00967069"/>
    <w:rsid w:val="00967655"/>
    <w:rsid w:val="00970331"/>
    <w:rsid w:val="00970390"/>
    <w:rsid w:val="009703DD"/>
    <w:rsid w:val="00970F41"/>
    <w:rsid w:val="00971624"/>
    <w:rsid w:val="00971888"/>
    <w:rsid w:val="00971C79"/>
    <w:rsid w:val="0097213C"/>
    <w:rsid w:val="0097248E"/>
    <w:rsid w:val="009734B7"/>
    <w:rsid w:val="00973659"/>
    <w:rsid w:val="0097369A"/>
    <w:rsid w:val="00973701"/>
    <w:rsid w:val="00973EB7"/>
    <w:rsid w:val="009749F0"/>
    <w:rsid w:val="00974B09"/>
    <w:rsid w:val="009763EE"/>
    <w:rsid w:val="0097651A"/>
    <w:rsid w:val="00976EBE"/>
    <w:rsid w:val="00977293"/>
    <w:rsid w:val="009773C9"/>
    <w:rsid w:val="009774F5"/>
    <w:rsid w:val="00977591"/>
    <w:rsid w:val="00977AB7"/>
    <w:rsid w:val="00977B76"/>
    <w:rsid w:val="00977D3C"/>
    <w:rsid w:val="00977DE0"/>
    <w:rsid w:val="0098022E"/>
    <w:rsid w:val="00980284"/>
    <w:rsid w:val="00980559"/>
    <w:rsid w:val="00980CEB"/>
    <w:rsid w:val="009812F2"/>
    <w:rsid w:val="00981C0F"/>
    <w:rsid w:val="00981EAC"/>
    <w:rsid w:val="009826B1"/>
    <w:rsid w:val="00982785"/>
    <w:rsid w:val="00982ADD"/>
    <w:rsid w:val="00982F4F"/>
    <w:rsid w:val="009832DC"/>
    <w:rsid w:val="009838A7"/>
    <w:rsid w:val="009840C0"/>
    <w:rsid w:val="00984118"/>
    <w:rsid w:val="00984322"/>
    <w:rsid w:val="009848DE"/>
    <w:rsid w:val="00984AC9"/>
    <w:rsid w:val="00984B1B"/>
    <w:rsid w:val="00984CF1"/>
    <w:rsid w:val="00984F99"/>
    <w:rsid w:val="0098518F"/>
    <w:rsid w:val="009851B1"/>
    <w:rsid w:val="0098537C"/>
    <w:rsid w:val="00985889"/>
    <w:rsid w:val="00985A75"/>
    <w:rsid w:val="00985B69"/>
    <w:rsid w:val="00985D85"/>
    <w:rsid w:val="00986207"/>
    <w:rsid w:val="00986688"/>
    <w:rsid w:val="00986BD9"/>
    <w:rsid w:val="00987412"/>
    <w:rsid w:val="00987583"/>
    <w:rsid w:val="00990105"/>
    <w:rsid w:val="0099056D"/>
    <w:rsid w:val="00990AAF"/>
    <w:rsid w:val="00990B4D"/>
    <w:rsid w:val="00990C3D"/>
    <w:rsid w:val="00990EE2"/>
    <w:rsid w:val="00990F13"/>
    <w:rsid w:val="0099137A"/>
    <w:rsid w:val="0099137C"/>
    <w:rsid w:val="009919C9"/>
    <w:rsid w:val="00991C36"/>
    <w:rsid w:val="00991D70"/>
    <w:rsid w:val="00992E8C"/>
    <w:rsid w:val="00992F1F"/>
    <w:rsid w:val="009930EF"/>
    <w:rsid w:val="009932F0"/>
    <w:rsid w:val="009934A4"/>
    <w:rsid w:val="0099390B"/>
    <w:rsid w:val="00993BCF"/>
    <w:rsid w:val="00993EF6"/>
    <w:rsid w:val="0099409A"/>
    <w:rsid w:val="00994201"/>
    <w:rsid w:val="009942E8"/>
    <w:rsid w:val="0099437F"/>
    <w:rsid w:val="00994806"/>
    <w:rsid w:val="00994BE2"/>
    <w:rsid w:val="00994D76"/>
    <w:rsid w:val="00994F0E"/>
    <w:rsid w:val="00995274"/>
    <w:rsid w:val="00995E64"/>
    <w:rsid w:val="00995F5B"/>
    <w:rsid w:val="00995F5D"/>
    <w:rsid w:val="009966C3"/>
    <w:rsid w:val="00997270"/>
    <w:rsid w:val="00997315"/>
    <w:rsid w:val="0099747D"/>
    <w:rsid w:val="009975A1"/>
    <w:rsid w:val="009975BE"/>
    <w:rsid w:val="009A00F2"/>
    <w:rsid w:val="009A02E8"/>
    <w:rsid w:val="009A0469"/>
    <w:rsid w:val="009A047A"/>
    <w:rsid w:val="009A065A"/>
    <w:rsid w:val="009A0B5F"/>
    <w:rsid w:val="009A0E59"/>
    <w:rsid w:val="009A10A5"/>
    <w:rsid w:val="009A1553"/>
    <w:rsid w:val="009A1B69"/>
    <w:rsid w:val="009A1D3E"/>
    <w:rsid w:val="009A1D57"/>
    <w:rsid w:val="009A1D91"/>
    <w:rsid w:val="009A23C6"/>
    <w:rsid w:val="009A247B"/>
    <w:rsid w:val="009A271D"/>
    <w:rsid w:val="009A2C7E"/>
    <w:rsid w:val="009A32C0"/>
    <w:rsid w:val="009A3534"/>
    <w:rsid w:val="009A3A77"/>
    <w:rsid w:val="009A4141"/>
    <w:rsid w:val="009A4175"/>
    <w:rsid w:val="009A44E9"/>
    <w:rsid w:val="009A492F"/>
    <w:rsid w:val="009A4954"/>
    <w:rsid w:val="009A4964"/>
    <w:rsid w:val="009A4BC8"/>
    <w:rsid w:val="009A4F3E"/>
    <w:rsid w:val="009A5630"/>
    <w:rsid w:val="009A5A0E"/>
    <w:rsid w:val="009A5B73"/>
    <w:rsid w:val="009A5E18"/>
    <w:rsid w:val="009A5EA1"/>
    <w:rsid w:val="009A62B8"/>
    <w:rsid w:val="009A63AC"/>
    <w:rsid w:val="009A6502"/>
    <w:rsid w:val="009A661A"/>
    <w:rsid w:val="009A7007"/>
    <w:rsid w:val="009A718E"/>
    <w:rsid w:val="009A7701"/>
    <w:rsid w:val="009A78D4"/>
    <w:rsid w:val="009A795F"/>
    <w:rsid w:val="009A7B26"/>
    <w:rsid w:val="009A7C1B"/>
    <w:rsid w:val="009A7CCB"/>
    <w:rsid w:val="009A7F18"/>
    <w:rsid w:val="009B0D31"/>
    <w:rsid w:val="009B0FBD"/>
    <w:rsid w:val="009B18E7"/>
    <w:rsid w:val="009B19BE"/>
    <w:rsid w:val="009B1AEC"/>
    <w:rsid w:val="009B1BA7"/>
    <w:rsid w:val="009B20F4"/>
    <w:rsid w:val="009B21EB"/>
    <w:rsid w:val="009B22C9"/>
    <w:rsid w:val="009B244F"/>
    <w:rsid w:val="009B2A04"/>
    <w:rsid w:val="009B39F9"/>
    <w:rsid w:val="009B3A3A"/>
    <w:rsid w:val="009B3A56"/>
    <w:rsid w:val="009B3B6E"/>
    <w:rsid w:val="009B3D56"/>
    <w:rsid w:val="009B3DD2"/>
    <w:rsid w:val="009B44EF"/>
    <w:rsid w:val="009B48AA"/>
    <w:rsid w:val="009B51C4"/>
    <w:rsid w:val="009B5226"/>
    <w:rsid w:val="009B577D"/>
    <w:rsid w:val="009B6085"/>
    <w:rsid w:val="009B62F0"/>
    <w:rsid w:val="009B6358"/>
    <w:rsid w:val="009B6723"/>
    <w:rsid w:val="009B681E"/>
    <w:rsid w:val="009B684C"/>
    <w:rsid w:val="009B6B53"/>
    <w:rsid w:val="009B6E3D"/>
    <w:rsid w:val="009B7069"/>
    <w:rsid w:val="009C00EF"/>
    <w:rsid w:val="009C058E"/>
    <w:rsid w:val="009C08C6"/>
    <w:rsid w:val="009C0D74"/>
    <w:rsid w:val="009C1305"/>
    <w:rsid w:val="009C207D"/>
    <w:rsid w:val="009C22F8"/>
    <w:rsid w:val="009C2352"/>
    <w:rsid w:val="009C27D3"/>
    <w:rsid w:val="009C32AE"/>
    <w:rsid w:val="009C362D"/>
    <w:rsid w:val="009C3A08"/>
    <w:rsid w:val="009C4292"/>
    <w:rsid w:val="009C45E4"/>
    <w:rsid w:val="009C4681"/>
    <w:rsid w:val="009C4CC0"/>
    <w:rsid w:val="009C4DB7"/>
    <w:rsid w:val="009C58D1"/>
    <w:rsid w:val="009C5E4D"/>
    <w:rsid w:val="009C6635"/>
    <w:rsid w:val="009C76BC"/>
    <w:rsid w:val="009D01DD"/>
    <w:rsid w:val="009D02E6"/>
    <w:rsid w:val="009D04B4"/>
    <w:rsid w:val="009D0929"/>
    <w:rsid w:val="009D0FDC"/>
    <w:rsid w:val="009D17D4"/>
    <w:rsid w:val="009D17E3"/>
    <w:rsid w:val="009D2175"/>
    <w:rsid w:val="009D246B"/>
    <w:rsid w:val="009D260B"/>
    <w:rsid w:val="009D2761"/>
    <w:rsid w:val="009D27EE"/>
    <w:rsid w:val="009D316D"/>
    <w:rsid w:val="009D3349"/>
    <w:rsid w:val="009D355F"/>
    <w:rsid w:val="009D4052"/>
    <w:rsid w:val="009D43D9"/>
    <w:rsid w:val="009D467D"/>
    <w:rsid w:val="009D46A6"/>
    <w:rsid w:val="009D4706"/>
    <w:rsid w:val="009D4C05"/>
    <w:rsid w:val="009D4F77"/>
    <w:rsid w:val="009D5094"/>
    <w:rsid w:val="009D51D5"/>
    <w:rsid w:val="009D5366"/>
    <w:rsid w:val="009D5429"/>
    <w:rsid w:val="009D56E8"/>
    <w:rsid w:val="009D5D2A"/>
    <w:rsid w:val="009D68DF"/>
    <w:rsid w:val="009D6931"/>
    <w:rsid w:val="009D69D0"/>
    <w:rsid w:val="009D6E46"/>
    <w:rsid w:val="009D71B0"/>
    <w:rsid w:val="009D7324"/>
    <w:rsid w:val="009D75DC"/>
    <w:rsid w:val="009D7972"/>
    <w:rsid w:val="009D7F85"/>
    <w:rsid w:val="009E033E"/>
    <w:rsid w:val="009E0460"/>
    <w:rsid w:val="009E0531"/>
    <w:rsid w:val="009E0ABE"/>
    <w:rsid w:val="009E0CA4"/>
    <w:rsid w:val="009E1865"/>
    <w:rsid w:val="009E1AD0"/>
    <w:rsid w:val="009E1EF0"/>
    <w:rsid w:val="009E1F5A"/>
    <w:rsid w:val="009E1F75"/>
    <w:rsid w:val="009E2010"/>
    <w:rsid w:val="009E2491"/>
    <w:rsid w:val="009E25D8"/>
    <w:rsid w:val="009E2EA2"/>
    <w:rsid w:val="009E2F92"/>
    <w:rsid w:val="009E3249"/>
    <w:rsid w:val="009E340D"/>
    <w:rsid w:val="009E3650"/>
    <w:rsid w:val="009E3675"/>
    <w:rsid w:val="009E373B"/>
    <w:rsid w:val="009E379C"/>
    <w:rsid w:val="009E3CEF"/>
    <w:rsid w:val="009E4017"/>
    <w:rsid w:val="009E401F"/>
    <w:rsid w:val="009E42E6"/>
    <w:rsid w:val="009E4838"/>
    <w:rsid w:val="009E4B47"/>
    <w:rsid w:val="009E51E9"/>
    <w:rsid w:val="009E53D2"/>
    <w:rsid w:val="009E555B"/>
    <w:rsid w:val="009E6310"/>
    <w:rsid w:val="009E6936"/>
    <w:rsid w:val="009E6B22"/>
    <w:rsid w:val="009E6DB2"/>
    <w:rsid w:val="009E6E7B"/>
    <w:rsid w:val="009E6F06"/>
    <w:rsid w:val="009E7348"/>
    <w:rsid w:val="009E7480"/>
    <w:rsid w:val="009E7AE3"/>
    <w:rsid w:val="009E7BFB"/>
    <w:rsid w:val="009F0025"/>
    <w:rsid w:val="009F00A0"/>
    <w:rsid w:val="009F0985"/>
    <w:rsid w:val="009F0C86"/>
    <w:rsid w:val="009F1145"/>
    <w:rsid w:val="009F1641"/>
    <w:rsid w:val="009F1D8A"/>
    <w:rsid w:val="009F1EBB"/>
    <w:rsid w:val="009F24E4"/>
    <w:rsid w:val="009F28C7"/>
    <w:rsid w:val="009F2909"/>
    <w:rsid w:val="009F2C5C"/>
    <w:rsid w:val="009F2EFC"/>
    <w:rsid w:val="009F3366"/>
    <w:rsid w:val="009F339A"/>
    <w:rsid w:val="009F373D"/>
    <w:rsid w:val="009F3899"/>
    <w:rsid w:val="009F5138"/>
    <w:rsid w:val="009F56B2"/>
    <w:rsid w:val="009F57E0"/>
    <w:rsid w:val="009F5893"/>
    <w:rsid w:val="009F5C79"/>
    <w:rsid w:val="009F624B"/>
    <w:rsid w:val="009F671A"/>
    <w:rsid w:val="009F6AD5"/>
    <w:rsid w:val="009F6B0E"/>
    <w:rsid w:val="009F705E"/>
    <w:rsid w:val="009F77E6"/>
    <w:rsid w:val="009F7843"/>
    <w:rsid w:val="009F7C14"/>
    <w:rsid w:val="009F7F58"/>
    <w:rsid w:val="00A000D6"/>
    <w:rsid w:val="00A004B6"/>
    <w:rsid w:val="00A00AA6"/>
    <w:rsid w:val="00A00F74"/>
    <w:rsid w:val="00A01009"/>
    <w:rsid w:val="00A014E2"/>
    <w:rsid w:val="00A015FE"/>
    <w:rsid w:val="00A01E1B"/>
    <w:rsid w:val="00A02180"/>
    <w:rsid w:val="00A0262C"/>
    <w:rsid w:val="00A027E3"/>
    <w:rsid w:val="00A029B1"/>
    <w:rsid w:val="00A033B8"/>
    <w:rsid w:val="00A033DB"/>
    <w:rsid w:val="00A037E2"/>
    <w:rsid w:val="00A03851"/>
    <w:rsid w:val="00A040D9"/>
    <w:rsid w:val="00A042B0"/>
    <w:rsid w:val="00A049A7"/>
    <w:rsid w:val="00A04AF2"/>
    <w:rsid w:val="00A04B35"/>
    <w:rsid w:val="00A04CEF"/>
    <w:rsid w:val="00A04D32"/>
    <w:rsid w:val="00A04E2B"/>
    <w:rsid w:val="00A04F7B"/>
    <w:rsid w:val="00A05270"/>
    <w:rsid w:val="00A053C9"/>
    <w:rsid w:val="00A05B0B"/>
    <w:rsid w:val="00A05DA9"/>
    <w:rsid w:val="00A05DD5"/>
    <w:rsid w:val="00A05FDC"/>
    <w:rsid w:val="00A0600D"/>
    <w:rsid w:val="00A06DBE"/>
    <w:rsid w:val="00A07067"/>
    <w:rsid w:val="00A0751D"/>
    <w:rsid w:val="00A076ED"/>
    <w:rsid w:val="00A07720"/>
    <w:rsid w:val="00A07734"/>
    <w:rsid w:val="00A079FD"/>
    <w:rsid w:val="00A07F00"/>
    <w:rsid w:val="00A10072"/>
    <w:rsid w:val="00A1062F"/>
    <w:rsid w:val="00A10E1A"/>
    <w:rsid w:val="00A110ED"/>
    <w:rsid w:val="00A1138E"/>
    <w:rsid w:val="00A11B64"/>
    <w:rsid w:val="00A11FEB"/>
    <w:rsid w:val="00A12B6E"/>
    <w:rsid w:val="00A12C7B"/>
    <w:rsid w:val="00A12D66"/>
    <w:rsid w:val="00A12FB8"/>
    <w:rsid w:val="00A1391C"/>
    <w:rsid w:val="00A1398C"/>
    <w:rsid w:val="00A13A74"/>
    <w:rsid w:val="00A13BA1"/>
    <w:rsid w:val="00A146C2"/>
    <w:rsid w:val="00A14733"/>
    <w:rsid w:val="00A147CA"/>
    <w:rsid w:val="00A147FE"/>
    <w:rsid w:val="00A148F9"/>
    <w:rsid w:val="00A14BEB"/>
    <w:rsid w:val="00A14C0D"/>
    <w:rsid w:val="00A15130"/>
    <w:rsid w:val="00A158EC"/>
    <w:rsid w:val="00A15976"/>
    <w:rsid w:val="00A15B9F"/>
    <w:rsid w:val="00A16054"/>
    <w:rsid w:val="00A16361"/>
    <w:rsid w:val="00A164B3"/>
    <w:rsid w:val="00A16A11"/>
    <w:rsid w:val="00A16C77"/>
    <w:rsid w:val="00A16F51"/>
    <w:rsid w:val="00A1720F"/>
    <w:rsid w:val="00A176B6"/>
    <w:rsid w:val="00A20266"/>
    <w:rsid w:val="00A202CA"/>
    <w:rsid w:val="00A20879"/>
    <w:rsid w:val="00A20AFD"/>
    <w:rsid w:val="00A20C41"/>
    <w:rsid w:val="00A20D7A"/>
    <w:rsid w:val="00A2129C"/>
    <w:rsid w:val="00A21700"/>
    <w:rsid w:val="00A21C3C"/>
    <w:rsid w:val="00A21C4E"/>
    <w:rsid w:val="00A21E58"/>
    <w:rsid w:val="00A223A9"/>
    <w:rsid w:val="00A224B6"/>
    <w:rsid w:val="00A22AE2"/>
    <w:rsid w:val="00A22B67"/>
    <w:rsid w:val="00A22C2E"/>
    <w:rsid w:val="00A22D3C"/>
    <w:rsid w:val="00A2358B"/>
    <w:rsid w:val="00A23806"/>
    <w:rsid w:val="00A23A5B"/>
    <w:rsid w:val="00A2489A"/>
    <w:rsid w:val="00A24BC1"/>
    <w:rsid w:val="00A24C5F"/>
    <w:rsid w:val="00A2568B"/>
    <w:rsid w:val="00A257F9"/>
    <w:rsid w:val="00A2587F"/>
    <w:rsid w:val="00A25E4B"/>
    <w:rsid w:val="00A263C6"/>
    <w:rsid w:val="00A272A7"/>
    <w:rsid w:val="00A273E8"/>
    <w:rsid w:val="00A274E7"/>
    <w:rsid w:val="00A303B9"/>
    <w:rsid w:val="00A30804"/>
    <w:rsid w:val="00A30C5B"/>
    <w:rsid w:val="00A31807"/>
    <w:rsid w:val="00A31879"/>
    <w:rsid w:val="00A31EF0"/>
    <w:rsid w:val="00A32235"/>
    <w:rsid w:val="00A323DF"/>
    <w:rsid w:val="00A32C09"/>
    <w:rsid w:val="00A3350E"/>
    <w:rsid w:val="00A33520"/>
    <w:rsid w:val="00A338AD"/>
    <w:rsid w:val="00A33B79"/>
    <w:rsid w:val="00A33C5B"/>
    <w:rsid w:val="00A33CE1"/>
    <w:rsid w:val="00A33D3E"/>
    <w:rsid w:val="00A33E59"/>
    <w:rsid w:val="00A33ECF"/>
    <w:rsid w:val="00A34081"/>
    <w:rsid w:val="00A34A87"/>
    <w:rsid w:val="00A35392"/>
    <w:rsid w:val="00A35817"/>
    <w:rsid w:val="00A35D0A"/>
    <w:rsid w:val="00A3606E"/>
    <w:rsid w:val="00A36506"/>
    <w:rsid w:val="00A36FE9"/>
    <w:rsid w:val="00A375AF"/>
    <w:rsid w:val="00A375FB"/>
    <w:rsid w:val="00A37925"/>
    <w:rsid w:val="00A37B98"/>
    <w:rsid w:val="00A37E39"/>
    <w:rsid w:val="00A37F22"/>
    <w:rsid w:val="00A40BC4"/>
    <w:rsid w:val="00A417BB"/>
    <w:rsid w:val="00A42131"/>
    <w:rsid w:val="00A422BD"/>
    <w:rsid w:val="00A423DA"/>
    <w:rsid w:val="00A42481"/>
    <w:rsid w:val="00A42504"/>
    <w:rsid w:val="00A42651"/>
    <w:rsid w:val="00A429E7"/>
    <w:rsid w:val="00A42AAF"/>
    <w:rsid w:val="00A42B29"/>
    <w:rsid w:val="00A43259"/>
    <w:rsid w:val="00A43A4F"/>
    <w:rsid w:val="00A44132"/>
    <w:rsid w:val="00A450E9"/>
    <w:rsid w:val="00A451A2"/>
    <w:rsid w:val="00A4540B"/>
    <w:rsid w:val="00A4545F"/>
    <w:rsid w:val="00A45571"/>
    <w:rsid w:val="00A45803"/>
    <w:rsid w:val="00A46307"/>
    <w:rsid w:val="00A46717"/>
    <w:rsid w:val="00A46ADD"/>
    <w:rsid w:val="00A46CED"/>
    <w:rsid w:val="00A46DA7"/>
    <w:rsid w:val="00A46F6D"/>
    <w:rsid w:val="00A46F81"/>
    <w:rsid w:val="00A479BC"/>
    <w:rsid w:val="00A47CED"/>
    <w:rsid w:val="00A508FE"/>
    <w:rsid w:val="00A50B8E"/>
    <w:rsid w:val="00A50E40"/>
    <w:rsid w:val="00A50EFF"/>
    <w:rsid w:val="00A510F0"/>
    <w:rsid w:val="00A51A13"/>
    <w:rsid w:val="00A51E0F"/>
    <w:rsid w:val="00A51E51"/>
    <w:rsid w:val="00A51F19"/>
    <w:rsid w:val="00A521F1"/>
    <w:rsid w:val="00A52DBD"/>
    <w:rsid w:val="00A52F93"/>
    <w:rsid w:val="00A5376B"/>
    <w:rsid w:val="00A5378B"/>
    <w:rsid w:val="00A53818"/>
    <w:rsid w:val="00A541B5"/>
    <w:rsid w:val="00A54350"/>
    <w:rsid w:val="00A547B3"/>
    <w:rsid w:val="00A54D64"/>
    <w:rsid w:val="00A55543"/>
    <w:rsid w:val="00A556F7"/>
    <w:rsid w:val="00A5575A"/>
    <w:rsid w:val="00A55765"/>
    <w:rsid w:val="00A56174"/>
    <w:rsid w:val="00A566D4"/>
    <w:rsid w:val="00A56E7B"/>
    <w:rsid w:val="00A56F90"/>
    <w:rsid w:val="00A57955"/>
    <w:rsid w:val="00A579CA"/>
    <w:rsid w:val="00A57CF2"/>
    <w:rsid w:val="00A60BE2"/>
    <w:rsid w:val="00A60C08"/>
    <w:rsid w:val="00A614B0"/>
    <w:rsid w:val="00A61A2B"/>
    <w:rsid w:val="00A6200F"/>
    <w:rsid w:val="00A627BE"/>
    <w:rsid w:val="00A62983"/>
    <w:rsid w:val="00A62989"/>
    <w:rsid w:val="00A62B9A"/>
    <w:rsid w:val="00A62D71"/>
    <w:rsid w:val="00A63094"/>
    <w:rsid w:val="00A6324E"/>
    <w:rsid w:val="00A6371A"/>
    <w:rsid w:val="00A63D6D"/>
    <w:rsid w:val="00A64556"/>
    <w:rsid w:val="00A645E8"/>
    <w:rsid w:val="00A647A0"/>
    <w:rsid w:val="00A648A0"/>
    <w:rsid w:val="00A648C7"/>
    <w:rsid w:val="00A64A28"/>
    <w:rsid w:val="00A64B64"/>
    <w:rsid w:val="00A6517D"/>
    <w:rsid w:val="00A65B8F"/>
    <w:rsid w:val="00A65EF9"/>
    <w:rsid w:val="00A65F18"/>
    <w:rsid w:val="00A66075"/>
    <w:rsid w:val="00A66279"/>
    <w:rsid w:val="00A663F1"/>
    <w:rsid w:val="00A66404"/>
    <w:rsid w:val="00A6646E"/>
    <w:rsid w:val="00A6695F"/>
    <w:rsid w:val="00A66DEF"/>
    <w:rsid w:val="00A66E10"/>
    <w:rsid w:val="00A66F4D"/>
    <w:rsid w:val="00A67724"/>
    <w:rsid w:val="00A677D1"/>
    <w:rsid w:val="00A67A2C"/>
    <w:rsid w:val="00A70076"/>
    <w:rsid w:val="00A71249"/>
    <w:rsid w:val="00A71D1D"/>
    <w:rsid w:val="00A723AA"/>
    <w:rsid w:val="00A72808"/>
    <w:rsid w:val="00A72C9B"/>
    <w:rsid w:val="00A72CF2"/>
    <w:rsid w:val="00A72D4C"/>
    <w:rsid w:val="00A72E8E"/>
    <w:rsid w:val="00A72F04"/>
    <w:rsid w:val="00A73418"/>
    <w:rsid w:val="00A73435"/>
    <w:rsid w:val="00A735E6"/>
    <w:rsid w:val="00A73715"/>
    <w:rsid w:val="00A73A30"/>
    <w:rsid w:val="00A73AA4"/>
    <w:rsid w:val="00A73B37"/>
    <w:rsid w:val="00A73CD8"/>
    <w:rsid w:val="00A73DB5"/>
    <w:rsid w:val="00A73F7C"/>
    <w:rsid w:val="00A741EC"/>
    <w:rsid w:val="00A74ACD"/>
    <w:rsid w:val="00A74BFD"/>
    <w:rsid w:val="00A74F97"/>
    <w:rsid w:val="00A756AA"/>
    <w:rsid w:val="00A75AF6"/>
    <w:rsid w:val="00A76776"/>
    <w:rsid w:val="00A769E9"/>
    <w:rsid w:val="00A76AB5"/>
    <w:rsid w:val="00A76CEC"/>
    <w:rsid w:val="00A76F5F"/>
    <w:rsid w:val="00A7701B"/>
    <w:rsid w:val="00A77788"/>
    <w:rsid w:val="00A809F7"/>
    <w:rsid w:val="00A80A49"/>
    <w:rsid w:val="00A80DDF"/>
    <w:rsid w:val="00A813D0"/>
    <w:rsid w:val="00A814E9"/>
    <w:rsid w:val="00A817E4"/>
    <w:rsid w:val="00A81A99"/>
    <w:rsid w:val="00A81BB7"/>
    <w:rsid w:val="00A81EC5"/>
    <w:rsid w:val="00A81F09"/>
    <w:rsid w:val="00A82DC0"/>
    <w:rsid w:val="00A83148"/>
    <w:rsid w:val="00A8318E"/>
    <w:rsid w:val="00A838C3"/>
    <w:rsid w:val="00A83BF8"/>
    <w:rsid w:val="00A83DDB"/>
    <w:rsid w:val="00A83DF9"/>
    <w:rsid w:val="00A841D6"/>
    <w:rsid w:val="00A845A2"/>
    <w:rsid w:val="00A84859"/>
    <w:rsid w:val="00A849AE"/>
    <w:rsid w:val="00A84B1B"/>
    <w:rsid w:val="00A84B22"/>
    <w:rsid w:val="00A85619"/>
    <w:rsid w:val="00A85F7C"/>
    <w:rsid w:val="00A8615F"/>
    <w:rsid w:val="00A861EE"/>
    <w:rsid w:val="00A86211"/>
    <w:rsid w:val="00A8626F"/>
    <w:rsid w:val="00A8699D"/>
    <w:rsid w:val="00A869A6"/>
    <w:rsid w:val="00A86D5D"/>
    <w:rsid w:val="00A8719E"/>
    <w:rsid w:val="00A87C9D"/>
    <w:rsid w:val="00A9031D"/>
    <w:rsid w:val="00A906FE"/>
    <w:rsid w:val="00A90982"/>
    <w:rsid w:val="00A909BA"/>
    <w:rsid w:val="00A910F1"/>
    <w:rsid w:val="00A91763"/>
    <w:rsid w:val="00A91C5D"/>
    <w:rsid w:val="00A91CEB"/>
    <w:rsid w:val="00A92074"/>
    <w:rsid w:val="00A92586"/>
    <w:rsid w:val="00A9376C"/>
    <w:rsid w:val="00A94631"/>
    <w:rsid w:val="00A94A6D"/>
    <w:rsid w:val="00A951DF"/>
    <w:rsid w:val="00A95398"/>
    <w:rsid w:val="00A95600"/>
    <w:rsid w:val="00A958A0"/>
    <w:rsid w:val="00A95E39"/>
    <w:rsid w:val="00A95E58"/>
    <w:rsid w:val="00A95F15"/>
    <w:rsid w:val="00A967D4"/>
    <w:rsid w:val="00A97491"/>
    <w:rsid w:val="00AA02F9"/>
    <w:rsid w:val="00AA05C7"/>
    <w:rsid w:val="00AA0D87"/>
    <w:rsid w:val="00AA0E63"/>
    <w:rsid w:val="00AA1795"/>
    <w:rsid w:val="00AA182E"/>
    <w:rsid w:val="00AA18D4"/>
    <w:rsid w:val="00AA2000"/>
    <w:rsid w:val="00AA2AAB"/>
    <w:rsid w:val="00AA3026"/>
    <w:rsid w:val="00AA318A"/>
    <w:rsid w:val="00AA3554"/>
    <w:rsid w:val="00AA3F07"/>
    <w:rsid w:val="00AA4014"/>
    <w:rsid w:val="00AA411B"/>
    <w:rsid w:val="00AA4210"/>
    <w:rsid w:val="00AA44E6"/>
    <w:rsid w:val="00AA48D4"/>
    <w:rsid w:val="00AA4D61"/>
    <w:rsid w:val="00AA54E2"/>
    <w:rsid w:val="00AA559A"/>
    <w:rsid w:val="00AA582B"/>
    <w:rsid w:val="00AA5BA7"/>
    <w:rsid w:val="00AA7054"/>
    <w:rsid w:val="00AA7315"/>
    <w:rsid w:val="00AA7976"/>
    <w:rsid w:val="00AA7998"/>
    <w:rsid w:val="00AA7A69"/>
    <w:rsid w:val="00AA7BA2"/>
    <w:rsid w:val="00AA7CDC"/>
    <w:rsid w:val="00AA7F28"/>
    <w:rsid w:val="00AB01E0"/>
    <w:rsid w:val="00AB0254"/>
    <w:rsid w:val="00AB0B88"/>
    <w:rsid w:val="00AB0E3C"/>
    <w:rsid w:val="00AB0F99"/>
    <w:rsid w:val="00AB0FEF"/>
    <w:rsid w:val="00AB1302"/>
    <w:rsid w:val="00AB2197"/>
    <w:rsid w:val="00AB239C"/>
    <w:rsid w:val="00AB32B0"/>
    <w:rsid w:val="00AB36A1"/>
    <w:rsid w:val="00AB386B"/>
    <w:rsid w:val="00AB3D21"/>
    <w:rsid w:val="00AB3D46"/>
    <w:rsid w:val="00AB41AB"/>
    <w:rsid w:val="00AB4830"/>
    <w:rsid w:val="00AB496F"/>
    <w:rsid w:val="00AB4E2A"/>
    <w:rsid w:val="00AB4E30"/>
    <w:rsid w:val="00AB4EC0"/>
    <w:rsid w:val="00AB5BCE"/>
    <w:rsid w:val="00AB635B"/>
    <w:rsid w:val="00AB6CFA"/>
    <w:rsid w:val="00AB6E1E"/>
    <w:rsid w:val="00AB6FF9"/>
    <w:rsid w:val="00AB716D"/>
    <w:rsid w:val="00AB764D"/>
    <w:rsid w:val="00AB7C11"/>
    <w:rsid w:val="00AB7FD1"/>
    <w:rsid w:val="00AC001C"/>
    <w:rsid w:val="00AC0B44"/>
    <w:rsid w:val="00AC11EA"/>
    <w:rsid w:val="00AC139D"/>
    <w:rsid w:val="00AC16B0"/>
    <w:rsid w:val="00AC16F4"/>
    <w:rsid w:val="00AC17DC"/>
    <w:rsid w:val="00AC1FFC"/>
    <w:rsid w:val="00AC2633"/>
    <w:rsid w:val="00AC277F"/>
    <w:rsid w:val="00AC2917"/>
    <w:rsid w:val="00AC2C62"/>
    <w:rsid w:val="00AC3350"/>
    <w:rsid w:val="00AC394F"/>
    <w:rsid w:val="00AC3B9D"/>
    <w:rsid w:val="00AC3DC9"/>
    <w:rsid w:val="00AC40A1"/>
    <w:rsid w:val="00AC4245"/>
    <w:rsid w:val="00AC4427"/>
    <w:rsid w:val="00AC449E"/>
    <w:rsid w:val="00AC4511"/>
    <w:rsid w:val="00AC459D"/>
    <w:rsid w:val="00AC5BAD"/>
    <w:rsid w:val="00AC5F3F"/>
    <w:rsid w:val="00AC5F92"/>
    <w:rsid w:val="00AC6489"/>
    <w:rsid w:val="00AC6A9B"/>
    <w:rsid w:val="00AC6C4F"/>
    <w:rsid w:val="00AC6CB0"/>
    <w:rsid w:val="00AC70E2"/>
    <w:rsid w:val="00AC71CA"/>
    <w:rsid w:val="00AC7467"/>
    <w:rsid w:val="00AD099A"/>
    <w:rsid w:val="00AD09AB"/>
    <w:rsid w:val="00AD0BF2"/>
    <w:rsid w:val="00AD0D11"/>
    <w:rsid w:val="00AD113B"/>
    <w:rsid w:val="00AD1A27"/>
    <w:rsid w:val="00AD1B5F"/>
    <w:rsid w:val="00AD1CA9"/>
    <w:rsid w:val="00AD1CF5"/>
    <w:rsid w:val="00AD1E7E"/>
    <w:rsid w:val="00AD2483"/>
    <w:rsid w:val="00AD28F7"/>
    <w:rsid w:val="00AD2E53"/>
    <w:rsid w:val="00AD3168"/>
    <w:rsid w:val="00AD3E50"/>
    <w:rsid w:val="00AD4021"/>
    <w:rsid w:val="00AD4843"/>
    <w:rsid w:val="00AD520B"/>
    <w:rsid w:val="00AD5316"/>
    <w:rsid w:val="00AD57A8"/>
    <w:rsid w:val="00AD59D1"/>
    <w:rsid w:val="00AD5DA4"/>
    <w:rsid w:val="00AD617B"/>
    <w:rsid w:val="00AD65CB"/>
    <w:rsid w:val="00AD6695"/>
    <w:rsid w:val="00AD672E"/>
    <w:rsid w:val="00AD68F9"/>
    <w:rsid w:val="00AD69E1"/>
    <w:rsid w:val="00AD7BFF"/>
    <w:rsid w:val="00AE0052"/>
    <w:rsid w:val="00AE0147"/>
    <w:rsid w:val="00AE08AB"/>
    <w:rsid w:val="00AE09BF"/>
    <w:rsid w:val="00AE0AF5"/>
    <w:rsid w:val="00AE0C61"/>
    <w:rsid w:val="00AE0EA3"/>
    <w:rsid w:val="00AE1158"/>
    <w:rsid w:val="00AE11FA"/>
    <w:rsid w:val="00AE152E"/>
    <w:rsid w:val="00AE1642"/>
    <w:rsid w:val="00AE1838"/>
    <w:rsid w:val="00AE22C7"/>
    <w:rsid w:val="00AE2857"/>
    <w:rsid w:val="00AE4638"/>
    <w:rsid w:val="00AE46D2"/>
    <w:rsid w:val="00AE4A68"/>
    <w:rsid w:val="00AE4ABE"/>
    <w:rsid w:val="00AE4D23"/>
    <w:rsid w:val="00AE4E1D"/>
    <w:rsid w:val="00AE5749"/>
    <w:rsid w:val="00AE58A2"/>
    <w:rsid w:val="00AE5B8B"/>
    <w:rsid w:val="00AE5D71"/>
    <w:rsid w:val="00AE5F8F"/>
    <w:rsid w:val="00AE60A1"/>
    <w:rsid w:val="00AE63BE"/>
    <w:rsid w:val="00AE6682"/>
    <w:rsid w:val="00AE6834"/>
    <w:rsid w:val="00AE6A22"/>
    <w:rsid w:val="00AE6A5B"/>
    <w:rsid w:val="00AE6AA3"/>
    <w:rsid w:val="00AE6CFD"/>
    <w:rsid w:val="00AE6FD4"/>
    <w:rsid w:val="00AE708C"/>
    <w:rsid w:val="00AE752E"/>
    <w:rsid w:val="00AE76FD"/>
    <w:rsid w:val="00AE7AC6"/>
    <w:rsid w:val="00AE7FCE"/>
    <w:rsid w:val="00AF01FE"/>
    <w:rsid w:val="00AF0226"/>
    <w:rsid w:val="00AF0236"/>
    <w:rsid w:val="00AF0888"/>
    <w:rsid w:val="00AF0F45"/>
    <w:rsid w:val="00AF1064"/>
    <w:rsid w:val="00AF1084"/>
    <w:rsid w:val="00AF154C"/>
    <w:rsid w:val="00AF1AD1"/>
    <w:rsid w:val="00AF1D70"/>
    <w:rsid w:val="00AF1E3A"/>
    <w:rsid w:val="00AF1F43"/>
    <w:rsid w:val="00AF20B0"/>
    <w:rsid w:val="00AF28CA"/>
    <w:rsid w:val="00AF2BDD"/>
    <w:rsid w:val="00AF2D47"/>
    <w:rsid w:val="00AF35E2"/>
    <w:rsid w:val="00AF3A52"/>
    <w:rsid w:val="00AF3ED6"/>
    <w:rsid w:val="00AF4C61"/>
    <w:rsid w:val="00AF5110"/>
    <w:rsid w:val="00AF5442"/>
    <w:rsid w:val="00AF57B8"/>
    <w:rsid w:val="00AF5F5E"/>
    <w:rsid w:val="00AF63E2"/>
    <w:rsid w:val="00AF69A7"/>
    <w:rsid w:val="00AF7687"/>
    <w:rsid w:val="00AF7778"/>
    <w:rsid w:val="00AF7D27"/>
    <w:rsid w:val="00B00330"/>
    <w:rsid w:val="00B00884"/>
    <w:rsid w:val="00B00AFE"/>
    <w:rsid w:val="00B00BAC"/>
    <w:rsid w:val="00B01060"/>
    <w:rsid w:val="00B010AB"/>
    <w:rsid w:val="00B0138D"/>
    <w:rsid w:val="00B01604"/>
    <w:rsid w:val="00B01BA9"/>
    <w:rsid w:val="00B01C00"/>
    <w:rsid w:val="00B01D36"/>
    <w:rsid w:val="00B01D66"/>
    <w:rsid w:val="00B0201E"/>
    <w:rsid w:val="00B027CE"/>
    <w:rsid w:val="00B02EA9"/>
    <w:rsid w:val="00B0317A"/>
    <w:rsid w:val="00B0321E"/>
    <w:rsid w:val="00B0366B"/>
    <w:rsid w:val="00B03AF7"/>
    <w:rsid w:val="00B03B46"/>
    <w:rsid w:val="00B03E7C"/>
    <w:rsid w:val="00B043A6"/>
    <w:rsid w:val="00B04828"/>
    <w:rsid w:val="00B049AF"/>
    <w:rsid w:val="00B04F0B"/>
    <w:rsid w:val="00B05699"/>
    <w:rsid w:val="00B056CF"/>
    <w:rsid w:val="00B0576F"/>
    <w:rsid w:val="00B057C9"/>
    <w:rsid w:val="00B05879"/>
    <w:rsid w:val="00B068E0"/>
    <w:rsid w:val="00B06B2C"/>
    <w:rsid w:val="00B06D52"/>
    <w:rsid w:val="00B06D99"/>
    <w:rsid w:val="00B07034"/>
    <w:rsid w:val="00B07149"/>
    <w:rsid w:val="00B07309"/>
    <w:rsid w:val="00B07460"/>
    <w:rsid w:val="00B07EC8"/>
    <w:rsid w:val="00B101F7"/>
    <w:rsid w:val="00B1022A"/>
    <w:rsid w:val="00B10E04"/>
    <w:rsid w:val="00B1130B"/>
    <w:rsid w:val="00B11874"/>
    <w:rsid w:val="00B119D0"/>
    <w:rsid w:val="00B119D7"/>
    <w:rsid w:val="00B11FDD"/>
    <w:rsid w:val="00B12B89"/>
    <w:rsid w:val="00B12E56"/>
    <w:rsid w:val="00B132DC"/>
    <w:rsid w:val="00B13C64"/>
    <w:rsid w:val="00B13DF1"/>
    <w:rsid w:val="00B145C7"/>
    <w:rsid w:val="00B147FD"/>
    <w:rsid w:val="00B149D2"/>
    <w:rsid w:val="00B14D52"/>
    <w:rsid w:val="00B14EBC"/>
    <w:rsid w:val="00B15630"/>
    <w:rsid w:val="00B15919"/>
    <w:rsid w:val="00B15980"/>
    <w:rsid w:val="00B15C15"/>
    <w:rsid w:val="00B1691C"/>
    <w:rsid w:val="00B1699F"/>
    <w:rsid w:val="00B16AEE"/>
    <w:rsid w:val="00B16D88"/>
    <w:rsid w:val="00B16E6E"/>
    <w:rsid w:val="00B1712D"/>
    <w:rsid w:val="00B1736D"/>
    <w:rsid w:val="00B173F3"/>
    <w:rsid w:val="00B1744A"/>
    <w:rsid w:val="00B17977"/>
    <w:rsid w:val="00B17A6E"/>
    <w:rsid w:val="00B17B30"/>
    <w:rsid w:val="00B17B88"/>
    <w:rsid w:val="00B17E68"/>
    <w:rsid w:val="00B17ED4"/>
    <w:rsid w:val="00B17F88"/>
    <w:rsid w:val="00B202A1"/>
    <w:rsid w:val="00B202C6"/>
    <w:rsid w:val="00B205A8"/>
    <w:rsid w:val="00B20730"/>
    <w:rsid w:val="00B21255"/>
    <w:rsid w:val="00B213F2"/>
    <w:rsid w:val="00B2153F"/>
    <w:rsid w:val="00B21576"/>
    <w:rsid w:val="00B219B9"/>
    <w:rsid w:val="00B21E66"/>
    <w:rsid w:val="00B22C56"/>
    <w:rsid w:val="00B22CF5"/>
    <w:rsid w:val="00B2307F"/>
    <w:rsid w:val="00B23122"/>
    <w:rsid w:val="00B23A67"/>
    <w:rsid w:val="00B23E93"/>
    <w:rsid w:val="00B2428F"/>
    <w:rsid w:val="00B246A8"/>
    <w:rsid w:val="00B24AD0"/>
    <w:rsid w:val="00B24EEF"/>
    <w:rsid w:val="00B24F08"/>
    <w:rsid w:val="00B25684"/>
    <w:rsid w:val="00B2583C"/>
    <w:rsid w:val="00B25883"/>
    <w:rsid w:val="00B25A6A"/>
    <w:rsid w:val="00B25E56"/>
    <w:rsid w:val="00B26540"/>
    <w:rsid w:val="00B2660E"/>
    <w:rsid w:val="00B26973"/>
    <w:rsid w:val="00B26AFE"/>
    <w:rsid w:val="00B26D3A"/>
    <w:rsid w:val="00B2704D"/>
    <w:rsid w:val="00B2732B"/>
    <w:rsid w:val="00B273A2"/>
    <w:rsid w:val="00B27546"/>
    <w:rsid w:val="00B27B16"/>
    <w:rsid w:val="00B27BE2"/>
    <w:rsid w:val="00B27E9D"/>
    <w:rsid w:val="00B30014"/>
    <w:rsid w:val="00B303CD"/>
    <w:rsid w:val="00B30B56"/>
    <w:rsid w:val="00B3169C"/>
    <w:rsid w:val="00B316A1"/>
    <w:rsid w:val="00B31F6D"/>
    <w:rsid w:val="00B32458"/>
    <w:rsid w:val="00B32886"/>
    <w:rsid w:val="00B33233"/>
    <w:rsid w:val="00B337D3"/>
    <w:rsid w:val="00B33A86"/>
    <w:rsid w:val="00B33B65"/>
    <w:rsid w:val="00B33D21"/>
    <w:rsid w:val="00B34327"/>
    <w:rsid w:val="00B34BBF"/>
    <w:rsid w:val="00B34F72"/>
    <w:rsid w:val="00B34FE0"/>
    <w:rsid w:val="00B35B06"/>
    <w:rsid w:val="00B36220"/>
    <w:rsid w:val="00B36586"/>
    <w:rsid w:val="00B365E9"/>
    <w:rsid w:val="00B36772"/>
    <w:rsid w:val="00B36966"/>
    <w:rsid w:val="00B37056"/>
    <w:rsid w:val="00B372E3"/>
    <w:rsid w:val="00B3764C"/>
    <w:rsid w:val="00B3781F"/>
    <w:rsid w:val="00B37969"/>
    <w:rsid w:val="00B3796A"/>
    <w:rsid w:val="00B40111"/>
    <w:rsid w:val="00B40860"/>
    <w:rsid w:val="00B40AFE"/>
    <w:rsid w:val="00B40E28"/>
    <w:rsid w:val="00B4106B"/>
    <w:rsid w:val="00B41323"/>
    <w:rsid w:val="00B4140E"/>
    <w:rsid w:val="00B417B9"/>
    <w:rsid w:val="00B424A8"/>
    <w:rsid w:val="00B4269D"/>
    <w:rsid w:val="00B4280D"/>
    <w:rsid w:val="00B429E6"/>
    <w:rsid w:val="00B4301F"/>
    <w:rsid w:val="00B432E1"/>
    <w:rsid w:val="00B43659"/>
    <w:rsid w:val="00B43D3F"/>
    <w:rsid w:val="00B440A5"/>
    <w:rsid w:val="00B44AF1"/>
    <w:rsid w:val="00B44DF0"/>
    <w:rsid w:val="00B45A1C"/>
    <w:rsid w:val="00B46020"/>
    <w:rsid w:val="00B46483"/>
    <w:rsid w:val="00B4714D"/>
    <w:rsid w:val="00B4745A"/>
    <w:rsid w:val="00B47508"/>
    <w:rsid w:val="00B47A83"/>
    <w:rsid w:val="00B47BA2"/>
    <w:rsid w:val="00B47D6F"/>
    <w:rsid w:val="00B500F6"/>
    <w:rsid w:val="00B502C3"/>
    <w:rsid w:val="00B5040D"/>
    <w:rsid w:val="00B50654"/>
    <w:rsid w:val="00B508CD"/>
    <w:rsid w:val="00B50A8F"/>
    <w:rsid w:val="00B50B42"/>
    <w:rsid w:val="00B50BCD"/>
    <w:rsid w:val="00B50D43"/>
    <w:rsid w:val="00B51236"/>
    <w:rsid w:val="00B5169B"/>
    <w:rsid w:val="00B51789"/>
    <w:rsid w:val="00B518D4"/>
    <w:rsid w:val="00B51DB1"/>
    <w:rsid w:val="00B51E7B"/>
    <w:rsid w:val="00B52A44"/>
    <w:rsid w:val="00B531EB"/>
    <w:rsid w:val="00B5335F"/>
    <w:rsid w:val="00B53A55"/>
    <w:rsid w:val="00B53C8E"/>
    <w:rsid w:val="00B53D29"/>
    <w:rsid w:val="00B53F71"/>
    <w:rsid w:val="00B54320"/>
    <w:rsid w:val="00B543E4"/>
    <w:rsid w:val="00B546F5"/>
    <w:rsid w:val="00B54BA4"/>
    <w:rsid w:val="00B54DEE"/>
    <w:rsid w:val="00B5578E"/>
    <w:rsid w:val="00B5597E"/>
    <w:rsid w:val="00B55F79"/>
    <w:rsid w:val="00B56037"/>
    <w:rsid w:val="00B56A58"/>
    <w:rsid w:val="00B56CA6"/>
    <w:rsid w:val="00B56D89"/>
    <w:rsid w:val="00B57104"/>
    <w:rsid w:val="00B5725D"/>
    <w:rsid w:val="00B57763"/>
    <w:rsid w:val="00B57880"/>
    <w:rsid w:val="00B57985"/>
    <w:rsid w:val="00B57ACE"/>
    <w:rsid w:val="00B57B6E"/>
    <w:rsid w:val="00B57B7F"/>
    <w:rsid w:val="00B60235"/>
    <w:rsid w:val="00B6037A"/>
    <w:rsid w:val="00B606A0"/>
    <w:rsid w:val="00B60C9E"/>
    <w:rsid w:val="00B60D6C"/>
    <w:rsid w:val="00B612D2"/>
    <w:rsid w:val="00B6147C"/>
    <w:rsid w:val="00B616CD"/>
    <w:rsid w:val="00B617FF"/>
    <w:rsid w:val="00B61AB5"/>
    <w:rsid w:val="00B61AD8"/>
    <w:rsid w:val="00B61DD5"/>
    <w:rsid w:val="00B620F0"/>
    <w:rsid w:val="00B623A8"/>
    <w:rsid w:val="00B628AA"/>
    <w:rsid w:val="00B629DC"/>
    <w:rsid w:val="00B62B01"/>
    <w:rsid w:val="00B630C0"/>
    <w:rsid w:val="00B63533"/>
    <w:rsid w:val="00B636AE"/>
    <w:rsid w:val="00B638E5"/>
    <w:rsid w:val="00B63C05"/>
    <w:rsid w:val="00B63EF2"/>
    <w:rsid w:val="00B63F5E"/>
    <w:rsid w:val="00B6409F"/>
    <w:rsid w:val="00B64477"/>
    <w:rsid w:val="00B6466E"/>
    <w:rsid w:val="00B647AF"/>
    <w:rsid w:val="00B64F42"/>
    <w:rsid w:val="00B65026"/>
    <w:rsid w:val="00B651D5"/>
    <w:rsid w:val="00B654E7"/>
    <w:rsid w:val="00B655D6"/>
    <w:rsid w:val="00B6575D"/>
    <w:rsid w:val="00B65B86"/>
    <w:rsid w:val="00B65B8A"/>
    <w:rsid w:val="00B65F2D"/>
    <w:rsid w:val="00B6607D"/>
    <w:rsid w:val="00B66144"/>
    <w:rsid w:val="00B664A7"/>
    <w:rsid w:val="00B66B79"/>
    <w:rsid w:val="00B66B9E"/>
    <w:rsid w:val="00B66FF4"/>
    <w:rsid w:val="00B67193"/>
    <w:rsid w:val="00B672DD"/>
    <w:rsid w:val="00B673C8"/>
    <w:rsid w:val="00B67686"/>
    <w:rsid w:val="00B6768B"/>
    <w:rsid w:val="00B6778A"/>
    <w:rsid w:val="00B678A7"/>
    <w:rsid w:val="00B679A2"/>
    <w:rsid w:val="00B7034D"/>
    <w:rsid w:val="00B70B77"/>
    <w:rsid w:val="00B70CBF"/>
    <w:rsid w:val="00B70F81"/>
    <w:rsid w:val="00B713CB"/>
    <w:rsid w:val="00B713ED"/>
    <w:rsid w:val="00B71461"/>
    <w:rsid w:val="00B7179C"/>
    <w:rsid w:val="00B71861"/>
    <w:rsid w:val="00B71976"/>
    <w:rsid w:val="00B7215D"/>
    <w:rsid w:val="00B72882"/>
    <w:rsid w:val="00B729B0"/>
    <w:rsid w:val="00B72A6B"/>
    <w:rsid w:val="00B7347A"/>
    <w:rsid w:val="00B747CF"/>
    <w:rsid w:val="00B74959"/>
    <w:rsid w:val="00B74FAE"/>
    <w:rsid w:val="00B74FD9"/>
    <w:rsid w:val="00B75152"/>
    <w:rsid w:val="00B7527A"/>
    <w:rsid w:val="00B7543E"/>
    <w:rsid w:val="00B75890"/>
    <w:rsid w:val="00B75E00"/>
    <w:rsid w:val="00B75E3B"/>
    <w:rsid w:val="00B76813"/>
    <w:rsid w:val="00B769D8"/>
    <w:rsid w:val="00B76BE2"/>
    <w:rsid w:val="00B76C84"/>
    <w:rsid w:val="00B7721F"/>
    <w:rsid w:val="00B80065"/>
    <w:rsid w:val="00B80272"/>
    <w:rsid w:val="00B803CA"/>
    <w:rsid w:val="00B80DEC"/>
    <w:rsid w:val="00B80E84"/>
    <w:rsid w:val="00B8152B"/>
    <w:rsid w:val="00B819DB"/>
    <w:rsid w:val="00B81BF2"/>
    <w:rsid w:val="00B81F26"/>
    <w:rsid w:val="00B82629"/>
    <w:rsid w:val="00B82767"/>
    <w:rsid w:val="00B82A97"/>
    <w:rsid w:val="00B82DC2"/>
    <w:rsid w:val="00B83744"/>
    <w:rsid w:val="00B8374E"/>
    <w:rsid w:val="00B83F00"/>
    <w:rsid w:val="00B840F6"/>
    <w:rsid w:val="00B842BF"/>
    <w:rsid w:val="00B84D29"/>
    <w:rsid w:val="00B84FDB"/>
    <w:rsid w:val="00B8512B"/>
    <w:rsid w:val="00B8519C"/>
    <w:rsid w:val="00B85707"/>
    <w:rsid w:val="00B85A44"/>
    <w:rsid w:val="00B85B75"/>
    <w:rsid w:val="00B85F57"/>
    <w:rsid w:val="00B860C8"/>
    <w:rsid w:val="00B86389"/>
    <w:rsid w:val="00B866F4"/>
    <w:rsid w:val="00B86CF7"/>
    <w:rsid w:val="00B87EB5"/>
    <w:rsid w:val="00B906D3"/>
    <w:rsid w:val="00B90800"/>
    <w:rsid w:val="00B90C7D"/>
    <w:rsid w:val="00B90E71"/>
    <w:rsid w:val="00B9103E"/>
    <w:rsid w:val="00B9173B"/>
    <w:rsid w:val="00B923C2"/>
    <w:rsid w:val="00B924A1"/>
    <w:rsid w:val="00B925A4"/>
    <w:rsid w:val="00B92E5F"/>
    <w:rsid w:val="00B93130"/>
    <w:rsid w:val="00B93653"/>
    <w:rsid w:val="00B936B4"/>
    <w:rsid w:val="00B938F8"/>
    <w:rsid w:val="00B93ADF"/>
    <w:rsid w:val="00B93DAB"/>
    <w:rsid w:val="00B93DE3"/>
    <w:rsid w:val="00B94298"/>
    <w:rsid w:val="00B94940"/>
    <w:rsid w:val="00B949E8"/>
    <w:rsid w:val="00B94C9D"/>
    <w:rsid w:val="00B95349"/>
    <w:rsid w:val="00B9554B"/>
    <w:rsid w:val="00B9613F"/>
    <w:rsid w:val="00B967F5"/>
    <w:rsid w:val="00B96851"/>
    <w:rsid w:val="00B96973"/>
    <w:rsid w:val="00B969CD"/>
    <w:rsid w:val="00B96A61"/>
    <w:rsid w:val="00B96B11"/>
    <w:rsid w:val="00B9727A"/>
    <w:rsid w:val="00B9740E"/>
    <w:rsid w:val="00B97E57"/>
    <w:rsid w:val="00BA0652"/>
    <w:rsid w:val="00BA070E"/>
    <w:rsid w:val="00BA10EC"/>
    <w:rsid w:val="00BA1296"/>
    <w:rsid w:val="00BA1312"/>
    <w:rsid w:val="00BA1355"/>
    <w:rsid w:val="00BA14CB"/>
    <w:rsid w:val="00BA175E"/>
    <w:rsid w:val="00BA1A93"/>
    <w:rsid w:val="00BA2073"/>
    <w:rsid w:val="00BA2314"/>
    <w:rsid w:val="00BA23F8"/>
    <w:rsid w:val="00BA2FFA"/>
    <w:rsid w:val="00BA327E"/>
    <w:rsid w:val="00BA332E"/>
    <w:rsid w:val="00BA3613"/>
    <w:rsid w:val="00BA3629"/>
    <w:rsid w:val="00BA396F"/>
    <w:rsid w:val="00BA40D4"/>
    <w:rsid w:val="00BA412C"/>
    <w:rsid w:val="00BA46C9"/>
    <w:rsid w:val="00BA4E57"/>
    <w:rsid w:val="00BA4ED5"/>
    <w:rsid w:val="00BA5833"/>
    <w:rsid w:val="00BA6525"/>
    <w:rsid w:val="00BA66EA"/>
    <w:rsid w:val="00BA6864"/>
    <w:rsid w:val="00BA6CF1"/>
    <w:rsid w:val="00BA70B3"/>
    <w:rsid w:val="00BB01EB"/>
    <w:rsid w:val="00BB1099"/>
    <w:rsid w:val="00BB1294"/>
    <w:rsid w:val="00BB1A20"/>
    <w:rsid w:val="00BB1B3A"/>
    <w:rsid w:val="00BB241E"/>
    <w:rsid w:val="00BB2658"/>
    <w:rsid w:val="00BB291D"/>
    <w:rsid w:val="00BB2B03"/>
    <w:rsid w:val="00BB38CA"/>
    <w:rsid w:val="00BB3AF7"/>
    <w:rsid w:val="00BB3C9C"/>
    <w:rsid w:val="00BB3ECB"/>
    <w:rsid w:val="00BB474C"/>
    <w:rsid w:val="00BB47AD"/>
    <w:rsid w:val="00BB4EC9"/>
    <w:rsid w:val="00BB5129"/>
    <w:rsid w:val="00BB5182"/>
    <w:rsid w:val="00BB51B9"/>
    <w:rsid w:val="00BB54CD"/>
    <w:rsid w:val="00BB556C"/>
    <w:rsid w:val="00BB5A0B"/>
    <w:rsid w:val="00BB5C82"/>
    <w:rsid w:val="00BB5D49"/>
    <w:rsid w:val="00BB6E56"/>
    <w:rsid w:val="00BB720B"/>
    <w:rsid w:val="00BB7282"/>
    <w:rsid w:val="00BB7306"/>
    <w:rsid w:val="00BB7491"/>
    <w:rsid w:val="00BB75D1"/>
    <w:rsid w:val="00BB78B1"/>
    <w:rsid w:val="00BB7BFF"/>
    <w:rsid w:val="00BC04CE"/>
    <w:rsid w:val="00BC078F"/>
    <w:rsid w:val="00BC08F4"/>
    <w:rsid w:val="00BC0B78"/>
    <w:rsid w:val="00BC10DC"/>
    <w:rsid w:val="00BC148D"/>
    <w:rsid w:val="00BC1595"/>
    <w:rsid w:val="00BC1B43"/>
    <w:rsid w:val="00BC1F16"/>
    <w:rsid w:val="00BC2442"/>
    <w:rsid w:val="00BC2751"/>
    <w:rsid w:val="00BC276F"/>
    <w:rsid w:val="00BC2829"/>
    <w:rsid w:val="00BC3459"/>
    <w:rsid w:val="00BC3466"/>
    <w:rsid w:val="00BC3A68"/>
    <w:rsid w:val="00BC3D81"/>
    <w:rsid w:val="00BC3D85"/>
    <w:rsid w:val="00BC3E5C"/>
    <w:rsid w:val="00BC4409"/>
    <w:rsid w:val="00BC4470"/>
    <w:rsid w:val="00BC488F"/>
    <w:rsid w:val="00BC4B04"/>
    <w:rsid w:val="00BC5275"/>
    <w:rsid w:val="00BC5397"/>
    <w:rsid w:val="00BC542F"/>
    <w:rsid w:val="00BC5CA6"/>
    <w:rsid w:val="00BC63BF"/>
    <w:rsid w:val="00BC674F"/>
    <w:rsid w:val="00BC69FC"/>
    <w:rsid w:val="00BC6BB6"/>
    <w:rsid w:val="00BC6D91"/>
    <w:rsid w:val="00BC7188"/>
    <w:rsid w:val="00BC7286"/>
    <w:rsid w:val="00BC7417"/>
    <w:rsid w:val="00BC744A"/>
    <w:rsid w:val="00BC765A"/>
    <w:rsid w:val="00BC7A22"/>
    <w:rsid w:val="00BC7EB1"/>
    <w:rsid w:val="00BD0B7C"/>
    <w:rsid w:val="00BD17E8"/>
    <w:rsid w:val="00BD18E4"/>
    <w:rsid w:val="00BD1AE2"/>
    <w:rsid w:val="00BD1CDF"/>
    <w:rsid w:val="00BD3225"/>
    <w:rsid w:val="00BD4303"/>
    <w:rsid w:val="00BD4379"/>
    <w:rsid w:val="00BD4B25"/>
    <w:rsid w:val="00BD51B5"/>
    <w:rsid w:val="00BD529C"/>
    <w:rsid w:val="00BD5467"/>
    <w:rsid w:val="00BD56E4"/>
    <w:rsid w:val="00BD582B"/>
    <w:rsid w:val="00BD5AE9"/>
    <w:rsid w:val="00BD5BE3"/>
    <w:rsid w:val="00BD5D50"/>
    <w:rsid w:val="00BD5E85"/>
    <w:rsid w:val="00BD609B"/>
    <w:rsid w:val="00BD62BB"/>
    <w:rsid w:val="00BD6394"/>
    <w:rsid w:val="00BD64BE"/>
    <w:rsid w:val="00BD64C0"/>
    <w:rsid w:val="00BD6DBB"/>
    <w:rsid w:val="00BD6E47"/>
    <w:rsid w:val="00BD7311"/>
    <w:rsid w:val="00BD749B"/>
    <w:rsid w:val="00BD74FE"/>
    <w:rsid w:val="00BD76DA"/>
    <w:rsid w:val="00BD7C19"/>
    <w:rsid w:val="00BD7D39"/>
    <w:rsid w:val="00BD7DBD"/>
    <w:rsid w:val="00BD7FC2"/>
    <w:rsid w:val="00BE0875"/>
    <w:rsid w:val="00BE0AB0"/>
    <w:rsid w:val="00BE0C05"/>
    <w:rsid w:val="00BE0E04"/>
    <w:rsid w:val="00BE1088"/>
    <w:rsid w:val="00BE1198"/>
    <w:rsid w:val="00BE11FA"/>
    <w:rsid w:val="00BE170B"/>
    <w:rsid w:val="00BE174A"/>
    <w:rsid w:val="00BE1BCD"/>
    <w:rsid w:val="00BE1CBF"/>
    <w:rsid w:val="00BE2300"/>
    <w:rsid w:val="00BE2334"/>
    <w:rsid w:val="00BE265A"/>
    <w:rsid w:val="00BE2BB9"/>
    <w:rsid w:val="00BE2EB7"/>
    <w:rsid w:val="00BE301F"/>
    <w:rsid w:val="00BE3247"/>
    <w:rsid w:val="00BE38A3"/>
    <w:rsid w:val="00BE3C7E"/>
    <w:rsid w:val="00BE40FD"/>
    <w:rsid w:val="00BE461A"/>
    <w:rsid w:val="00BE489A"/>
    <w:rsid w:val="00BE56E2"/>
    <w:rsid w:val="00BE58EE"/>
    <w:rsid w:val="00BE5933"/>
    <w:rsid w:val="00BE5951"/>
    <w:rsid w:val="00BE5A63"/>
    <w:rsid w:val="00BE5B65"/>
    <w:rsid w:val="00BE61DF"/>
    <w:rsid w:val="00BE6680"/>
    <w:rsid w:val="00BE6942"/>
    <w:rsid w:val="00BE69FC"/>
    <w:rsid w:val="00BE6EFF"/>
    <w:rsid w:val="00BE73FF"/>
    <w:rsid w:val="00BE754B"/>
    <w:rsid w:val="00BE7753"/>
    <w:rsid w:val="00BE7822"/>
    <w:rsid w:val="00BE7907"/>
    <w:rsid w:val="00BE7AAC"/>
    <w:rsid w:val="00BE7AE0"/>
    <w:rsid w:val="00BE7EC9"/>
    <w:rsid w:val="00BE7EFC"/>
    <w:rsid w:val="00BE7F1E"/>
    <w:rsid w:val="00BF0301"/>
    <w:rsid w:val="00BF069E"/>
    <w:rsid w:val="00BF0BFA"/>
    <w:rsid w:val="00BF0C84"/>
    <w:rsid w:val="00BF0D06"/>
    <w:rsid w:val="00BF1065"/>
    <w:rsid w:val="00BF1DF3"/>
    <w:rsid w:val="00BF1F6B"/>
    <w:rsid w:val="00BF2243"/>
    <w:rsid w:val="00BF2533"/>
    <w:rsid w:val="00BF288E"/>
    <w:rsid w:val="00BF2A30"/>
    <w:rsid w:val="00BF315D"/>
    <w:rsid w:val="00BF3908"/>
    <w:rsid w:val="00BF3984"/>
    <w:rsid w:val="00BF4427"/>
    <w:rsid w:val="00BF4431"/>
    <w:rsid w:val="00BF478A"/>
    <w:rsid w:val="00BF4EC1"/>
    <w:rsid w:val="00BF5299"/>
    <w:rsid w:val="00BF52F2"/>
    <w:rsid w:val="00BF56F0"/>
    <w:rsid w:val="00BF5E5D"/>
    <w:rsid w:val="00BF65B6"/>
    <w:rsid w:val="00BF687B"/>
    <w:rsid w:val="00BF6B7F"/>
    <w:rsid w:val="00BF6D19"/>
    <w:rsid w:val="00BF6F84"/>
    <w:rsid w:val="00BF706A"/>
    <w:rsid w:val="00BF7673"/>
    <w:rsid w:val="00BF76B2"/>
    <w:rsid w:val="00BF7A91"/>
    <w:rsid w:val="00BF7E14"/>
    <w:rsid w:val="00C00D62"/>
    <w:rsid w:val="00C017CC"/>
    <w:rsid w:val="00C0182F"/>
    <w:rsid w:val="00C01939"/>
    <w:rsid w:val="00C01FDD"/>
    <w:rsid w:val="00C027E8"/>
    <w:rsid w:val="00C02F0D"/>
    <w:rsid w:val="00C02F28"/>
    <w:rsid w:val="00C03116"/>
    <w:rsid w:val="00C03B0B"/>
    <w:rsid w:val="00C03F3D"/>
    <w:rsid w:val="00C04536"/>
    <w:rsid w:val="00C04BBA"/>
    <w:rsid w:val="00C0512F"/>
    <w:rsid w:val="00C05478"/>
    <w:rsid w:val="00C055B5"/>
    <w:rsid w:val="00C05811"/>
    <w:rsid w:val="00C058EB"/>
    <w:rsid w:val="00C05A61"/>
    <w:rsid w:val="00C063E1"/>
    <w:rsid w:val="00C06464"/>
    <w:rsid w:val="00C06791"/>
    <w:rsid w:val="00C06AAF"/>
    <w:rsid w:val="00C06C28"/>
    <w:rsid w:val="00C07040"/>
    <w:rsid w:val="00C07805"/>
    <w:rsid w:val="00C07E5A"/>
    <w:rsid w:val="00C10009"/>
    <w:rsid w:val="00C10192"/>
    <w:rsid w:val="00C102EA"/>
    <w:rsid w:val="00C103BC"/>
    <w:rsid w:val="00C110EE"/>
    <w:rsid w:val="00C11318"/>
    <w:rsid w:val="00C116EB"/>
    <w:rsid w:val="00C119D3"/>
    <w:rsid w:val="00C11F23"/>
    <w:rsid w:val="00C12613"/>
    <w:rsid w:val="00C1262C"/>
    <w:rsid w:val="00C12DAF"/>
    <w:rsid w:val="00C12DDA"/>
    <w:rsid w:val="00C12E7E"/>
    <w:rsid w:val="00C13514"/>
    <w:rsid w:val="00C1382C"/>
    <w:rsid w:val="00C13AC7"/>
    <w:rsid w:val="00C13C9E"/>
    <w:rsid w:val="00C15147"/>
    <w:rsid w:val="00C1534C"/>
    <w:rsid w:val="00C15549"/>
    <w:rsid w:val="00C1575C"/>
    <w:rsid w:val="00C15C6A"/>
    <w:rsid w:val="00C162DB"/>
    <w:rsid w:val="00C1654B"/>
    <w:rsid w:val="00C166D5"/>
    <w:rsid w:val="00C16896"/>
    <w:rsid w:val="00C16E25"/>
    <w:rsid w:val="00C1706C"/>
    <w:rsid w:val="00C17419"/>
    <w:rsid w:val="00C1762F"/>
    <w:rsid w:val="00C179BA"/>
    <w:rsid w:val="00C2028A"/>
    <w:rsid w:val="00C20335"/>
    <w:rsid w:val="00C20341"/>
    <w:rsid w:val="00C2098C"/>
    <w:rsid w:val="00C20DFF"/>
    <w:rsid w:val="00C20EA2"/>
    <w:rsid w:val="00C20EC3"/>
    <w:rsid w:val="00C2106A"/>
    <w:rsid w:val="00C2117B"/>
    <w:rsid w:val="00C219D7"/>
    <w:rsid w:val="00C223CB"/>
    <w:rsid w:val="00C22642"/>
    <w:rsid w:val="00C22AD1"/>
    <w:rsid w:val="00C22B0C"/>
    <w:rsid w:val="00C22B98"/>
    <w:rsid w:val="00C23299"/>
    <w:rsid w:val="00C23881"/>
    <w:rsid w:val="00C23AD0"/>
    <w:rsid w:val="00C23E50"/>
    <w:rsid w:val="00C2400A"/>
    <w:rsid w:val="00C24550"/>
    <w:rsid w:val="00C24BE8"/>
    <w:rsid w:val="00C24EC4"/>
    <w:rsid w:val="00C254A2"/>
    <w:rsid w:val="00C256E6"/>
    <w:rsid w:val="00C256F2"/>
    <w:rsid w:val="00C2594F"/>
    <w:rsid w:val="00C25AA7"/>
    <w:rsid w:val="00C25B9A"/>
    <w:rsid w:val="00C25E9D"/>
    <w:rsid w:val="00C25EC4"/>
    <w:rsid w:val="00C26412"/>
    <w:rsid w:val="00C265D7"/>
    <w:rsid w:val="00C26619"/>
    <w:rsid w:val="00C267C1"/>
    <w:rsid w:val="00C26A04"/>
    <w:rsid w:val="00C26BA5"/>
    <w:rsid w:val="00C26D60"/>
    <w:rsid w:val="00C26E25"/>
    <w:rsid w:val="00C26EE5"/>
    <w:rsid w:val="00C26F20"/>
    <w:rsid w:val="00C27679"/>
    <w:rsid w:val="00C27825"/>
    <w:rsid w:val="00C27926"/>
    <w:rsid w:val="00C27E35"/>
    <w:rsid w:val="00C27E3C"/>
    <w:rsid w:val="00C27EBD"/>
    <w:rsid w:val="00C30827"/>
    <w:rsid w:val="00C30B6D"/>
    <w:rsid w:val="00C317C6"/>
    <w:rsid w:val="00C31D1B"/>
    <w:rsid w:val="00C31E38"/>
    <w:rsid w:val="00C32CE2"/>
    <w:rsid w:val="00C32F65"/>
    <w:rsid w:val="00C32FA7"/>
    <w:rsid w:val="00C33139"/>
    <w:rsid w:val="00C33620"/>
    <w:rsid w:val="00C339C7"/>
    <w:rsid w:val="00C33BBB"/>
    <w:rsid w:val="00C35029"/>
    <w:rsid w:val="00C3516C"/>
    <w:rsid w:val="00C353D0"/>
    <w:rsid w:val="00C354B1"/>
    <w:rsid w:val="00C3570B"/>
    <w:rsid w:val="00C367D9"/>
    <w:rsid w:val="00C36D65"/>
    <w:rsid w:val="00C36E6E"/>
    <w:rsid w:val="00C36EEF"/>
    <w:rsid w:val="00C36FE9"/>
    <w:rsid w:val="00C377FE"/>
    <w:rsid w:val="00C37866"/>
    <w:rsid w:val="00C3794A"/>
    <w:rsid w:val="00C37A09"/>
    <w:rsid w:val="00C37A69"/>
    <w:rsid w:val="00C37DCF"/>
    <w:rsid w:val="00C4077E"/>
    <w:rsid w:val="00C413CE"/>
    <w:rsid w:val="00C41666"/>
    <w:rsid w:val="00C4177A"/>
    <w:rsid w:val="00C42019"/>
    <w:rsid w:val="00C42021"/>
    <w:rsid w:val="00C426AF"/>
    <w:rsid w:val="00C42965"/>
    <w:rsid w:val="00C429F4"/>
    <w:rsid w:val="00C434A8"/>
    <w:rsid w:val="00C435D8"/>
    <w:rsid w:val="00C43706"/>
    <w:rsid w:val="00C438FE"/>
    <w:rsid w:val="00C43B1B"/>
    <w:rsid w:val="00C446FD"/>
    <w:rsid w:val="00C44908"/>
    <w:rsid w:val="00C44CE2"/>
    <w:rsid w:val="00C44E77"/>
    <w:rsid w:val="00C44F84"/>
    <w:rsid w:val="00C45BA3"/>
    <w:rsid w:val="00C45EA9"/>
    <w:rsid w:val="00C46426"/>
    <w:rsid w:val="00C464A3"/>
    <w:rsid w:val="00C464F4"/>
    <w:rsid w:val="00C470B0"/>
    <w:rsid w:val="00C47974"/>
    <w:rsid w:val="00C47AF2"/>
    <w:rsid w:val="00C50066"/>
    <w:rsid w:val="00C50229"/>
    <w:rsid w:val="00C502D2"/>
    <w:rsid w:val="00C50355"/>
    <w:rsid w:val="00C50697"/>
    <w:rsid w:val="00C50F2F"/>
    <w:rsid w:val="00C51111"/>
    <w:rsid w:val="00C5138C"/>
    <w:rsid w:val="00C51A23"/>
    <w:rsid w:val="00C51E11"/>
    <w:rsid w:val="00C52135"/>
    <w:rsid w:val="00C5262E"/>
    <w:rsid w:val="00C526C5"/>
    <w:rsid w:val="00C52B4F"/>
    <w:rsid w:val="00C52D1C"/>
    <w:rsid w:val="00C52E77"/>
    <w:rsid w:val="00C53766"/>
    <w:rsid w:val="00C540A1"/>
    <w:rsid w:val="00C54E66"/>
    <w:rsid w:val="00C5505C"/>
    <w:rsid w:val="00C551BF"/>
    <w:rsid w:val="00C55251"/>
    <w:rsid w:val="00C5533E"/>
    <w:rsid w:val="00C55340"/>
    <w:rsid w:val="00C553D6"/>
    <w:rsid w:val="00C5547B"/>
    <w:rsid w:val="00C554B5"/>
    <w:rsid w:val="00C55614"/>
    <w:rsid w:val="00C55946"/>
    <w:rsid w:val="00C563E6"/>
    <w:rsid w:val="00C56432"/>
    <w:rsid w:val="00C56C3C"/>
    <w:rsid w:val="00C56E61"/>
    <w:rsid w:val="00C5715F"/>
    <w:rsid w:val="00C5718F"/>
    <w:rsid w:val="00C574B7"/>
    <w:rsid w:val="00C5777B"/>
    <w:rsid w:val="00C57952"/>
    <w:rsid w:val="00C57964"/>
    <w:rsid w:val="00C57A6E"/>
    <w:rsid w:val="00C57A78"/>
    <w:rsid w:val="00C57ED0"/>
    <w:rsid w:val="00C600C7"/>
    <w:rsid w:val="00C602AA"/>
    <w:rsid w:val="00C604ED"/>
    <w:rsid w:val="00C60783"/>
    <w:rsid w:val="00C6084A"/>
    <w:rsid w:val="00C60CE3"/>
    <w:rsid w:val="00C6118F"/>
    <w:rsid w:val="00C611D4"/>
    <w:rsid w:val="00C612C0"/>
    <w:rsid w:val="00C61A13"/>
    <w:rsid w:val="00C62227"/>
    <w:rsid w:val="00C62E5A"/>
    <w:rsid w:val="00C62EE7"/>
    <w:rsid w:val="00C63E7A"/>
    <w:rsid w:val="00C646D3"/>
    <w:rsid w:val="00C646F0"/>
    <w:rsid w:val="00C64890"/>
    <w:rsid w:val="00C64BD0"/>
    <w:rsid w:val="00C6535E"/>
    <w:rsid w:val="00C6552F"/>
    <w:rsid w:val="00C655F5"/>
    <w:rsid w:val="00C65654"/>
    <w:rsid w:val="00C656CE"/>
    <w:rsid w:val="00C6582C"/>
    <w:rsid w:val="00C659ED"/>
    <w:rsid w:val="00C65A09"/>
    <w:rsid w:val="00C665B4"/>
    <w:rsid w:val="00C6744F"/>
    <w:rsid w:val="00C67463"/>
    <w:rsid w:val="00C70886"/>
    <w:rsid w:val="00C70F76"/>
    <w:rsid w:val="00C719F1"/>
    <w:rsid w:val="00C71C9E"/>
    <w:rsid w:val="00C725CF"/>
    <w:rsid w:val="00C72881"/>
    <w:rsid w:val="00C73155"/>
    <w:rsid w:val="00C7357E"/>
    <w:rsid w:val="00C73BE6"/>
    <w:rsid w:val="00C74214"/>
    <w:rsid w:val="00C74225"/>
    <w:rsid w:val="00C743EE"/>
    <w:rsid w:val="00C74888"/>
    <w:rsid w:val="00C74954"/>
    <w:rsid w:val="00C74CD5"/>
    <w:rsid w:val="00C751A7"/>
    <w:rsid w:val="00C75317"/>
    <w:rsid w:val="00C75A98"/>
    <w:rsid w:val="00C76364"/>
    <w:rsid w:val="00C764BE"/>
    <w:rsid w:val="00C766E5"/>
    <w:rsid w:val="00C76D90"/>
    <w:rsid w:val="00C77BC8"/>
    <w:rsid w:val="00C77DC7"/>
    <w:rsid w:val="00C77E45"/>
    <w:rsid w:val="00C8043D"/>
    <w:rsid w:val="00C80953"/>
    <w:rsid w:val="00C81BD4"/>
    <w:rsid w:val="00C82376"/>
    <w:rsid w:val="00C82B99"/>
    <w:rsid w:val="00C82D8F"/>
    <w:rsid w:val="00C82E7F"/>
    <w:rsid w:val="00C835D3"/>
    <w:rsid w:val="00C8384F"/>
    <w:rsid w:val="00C83DE1"/>
    <w:rsid w:val="00C83DF9"/>
    <w:rsid w:val="00C83E09"/>
    <w:rsid w:val="00C83EBB"/>
    <w:rsid w:val="00C83F91"/>
    <w:rsid w:val="00C84479"/>
    <w:rsid w:val="00C84519"/>
    <w:rsid w:val="00C847FA"/>
    <w:rsid w:val="00C85847"/>
    <w:rsid w:val="00C8646F"/>
    <w:rsid w:val="00C8647A"/>
    <w:rsid w:val="00C864B3"/>
    <w:rsid w:val="00C86516"/>
    <w:rsid w:val="00C86C62"/>
    <w:rsid w:val="00C87820"/>
    <w:rsid w:val="00C87855"/>
    <w:rsid w:val="00C87913"/>
    <w:rsid w:val="00C90341"/>
    <w:rsid w:val="00C905F7"/>
    <w:rsid w:val="00C90768"/>
    <w:rsid w:val="00C9198F"/>
    <w:rsid w:val="00C91C26"/>
    <w:rsid w:val="00C9210B"/>
    <w:rsid w:val="00C92683"/>
    <w:rsid w:val="00C9314E"/>
    <w:rsid w:val="00C93708"/>
    <w:rsid w:val="00C93AF4"/>
    <w:rsid w:val="00C93D30"/>
    <w:rsid w:val="00C9401B"/>
    <w:rsid w:val="00C94139"/>
    <w:rsid w:val="00C9423E"/>
    <w:rsid w:val="00C94492"/>
    <w:rsid w:val="00C946E4"/>
    <w:rsid w:val="00C94844"/>
    <w:rsid w:val="00C94E15"/>
    <w:rsid w:val="00C95035"/>
    <w:rsid w:val="00C95503"/>
    <w:rsid w:val="00C9551E"/>
    <w:rsid w:val="00C956DA"/>
    <w:rsid w:val="00C95B18"/>
    <w:rsid w:val="00C95D31"/>
    <w:rsid w:val="00C95E8D"/>
    <w:rsid w:val="00C95F8B"/>
    <w:rsid w:val="00C960F0"/>
    <w:rsid w:val="00C96443"/>
    <w:rsid w:val="00C96809"/>
    <w:rsid w:val="00C96B45"/>
    <w:rsid w:val="00C96FF1"/>
    <w:rsid w:val="00C97076"/>
    <w:rsid w:val="00C973BE"/>
    <w:rsid w:val="00C978DE"/>
    <w:rsid w:val="00CA068D"/>
    <w:rsid w:val="00CA07B3"/>
    <w:rsid w:val="00CA0885"/>
    <w:rsid w:val="00CA0C0E"/>
    <w:rsid w:val="00CA121D"/>
    <w:rsid w:val="00CA1244"/>
    <w:rsid w:val="00CA128A"/>
    <w:rsid w:val="00CA17A2"/>
    <w:rsid w:val="00CA1B8E"/>
    <w:rsid w:val="00CA1EBA"/>
    <w:rsid w:val="00CA2379"/>
    <w:rsid w:val="00CA2515"/>
    <w:rsid w:val="00CA2545"/>
    <w:rsid w:val="00CA2FB1"/>
    <w:rsid w:val="00CA2FD4"/>
    <w:rsid w:val="00CA359A"/>
    <w:rsid w:val="00CA38C6"/>
    <w:rsid w:val="00CA39F2"/>
    <w:rsid w:val="00CA3AD9"/>
    <w:rsid w:val="00CA3EEE"/>
    <w:rsid w:val="00CA44E4"/>
    <w:rsid w:val="00CA453C"/>
    <w:rsid w:val="00CA45E0"/>
    <w:rsid w:val="00CA470F"/>
    <w:rsid w:val="00CA4994"/>
    <w:rsid w:val="00CA4B34"/>
    <w:rsid w:val="00CA4F7C"/>
    <w:rsid w:val="00CA5709"/>
    <w:rsid w:val="00CA5CA3"/>
    <w:rsid w:val="00CA6044"/>
    <w:rsid w:val="00CA621C"/>
    <w:rsid w:val="00CA6446"/>
    <w:rsid w:val="00CA6828"/>
    <w:rsid w:val="00CA6A72"/>
    <w:rsid w:val="00CA6E32"/>
    <w:rsid w:val="00CA72D0"/>
    <w:rsid w:val="00CA740F"/>
    <w:rsid w:val="00CA74E0"/>
    <w:rsid w:val="00CA7B39"/>
    <w:rsid w:val="00CB0CA5"/>
    <w:rsid w:val="00CB0DE0"/>
    <w:rsid w:val="00CB10E1"/>
    <w:rsid w:val="00CB16DA"/>
    <w:rsid w:val="00CB17DB"/>
    <w:rsid w:val="00CB1F28"/>
    <w:rsid w:val="00CB26F3"/>
    <w:rsid w:val="00CB28CA"/>
    <w:rsid w:val="00CB2937"/>
    <w:rsid w:val="00CB2F0A"/>
    <w:rsid w:val="00CB334E"/>
    <w:rsid w:val="00CB3B8F"/>
    <w:rsid w:val="00CB3C75"/>
    <w:rsid w:val="00CB3F43"/>
    <w:rsid w:val="00CB4A9D"/>
    <w:rsid w:val="00CB4D41"/>
    <w:rsid w:val="00CB60A2"/>
    <w:rsid w:val="00CB6143"/>
    <w:rsid w:val="00CB63E8"/>
    <w:rsid w:val="00CB66BD"/>
    <w:rsid w:val="00CB67A4"/>
    <w:rsid w:val="00CB6B37"/>
    <w:rsid w:val="00CB7E26"/>
    <w:rsid w:val="00CB7E96"/>
    <w:rsid w:val="00CC0013"/>
    <w:rsid w:val="00CC0050"/>
    <w:rsid w:val="00CC0235"/>
    <w:rsid w:val="00CC045A"/>
    <w:rsid w:val="00CC0B68"/>
    <w:rsid w:val="00CC16A4"/>
    <w:rsid w:val="00CC1D8B"/>
    <w:rsid w:val="00CC2438"/>
    <w:rsid w:val="00CC2DC1"/>
    <w:rsid w:val="00CC3550"/>
    <w:rsid w:val="00CC4626"/>
    <w:rsid w:val="00CC47F7"/>
    <w:rsid w:val="00CC4DA9"/>
    <w:rsid w:val="00CC5546"/>
    <w:rsid w:val="00CC5633"/>
    <w:rsid w:val="00CC5C5E"/>
    <w:rsid w:val="00CC5EDC"/>
    <w:rsid w:val="00CC6662"/>
    <w:rsid w:val="00CC6734"/>
    <w:rsid w:val="00CC75CD"/>
    <w:rsid w:val="00CD097E"/>
    <w:rsid w:val="00CD12C0"/>
    <w:rsid w:val="00CD2285"/>
    <w:rsid w:val="00CD2944"/>
    <w:rsid w:val="00CD29F4"/>
    <w:rsid w:val="00CD2BF8"/>
    <w:rsid w:val="00CD2E5A"/>
    <w:rsid w:val="00CD2EBC"/>
    <w:rsid w:val="00CD32B4"/>
    <w:rsid w:val="00CD33C1"/>
    <w:rsid w:val="00CD3547"/>
    <w:rsid w:val="00CD37BB"/>
    <w:rsid w:val="00CD3F5C"/>
    <w:rsid w:val="00CD3F9A"/>
    <w:rsid w:val="00CD4039"/>
    <w:rsid w:val="00CD409E"/>
    <w:rsid w:val="00CD43ED"/>
    <w:rsid w:val="00CD4402"/>
    <w:rsid w:val="00CD4807"/>
    <w:rsid w:val="00CD4B81"/>
    <w:rsid w:val="00CD5182"/>
    <w:rsid w:val="00CD5B2D"/>
    <w:rsid w:val="00CD61EC"/>
    <w:rsid w:val="00CD6538"/>
    <w:rsid w:val="00CD658B"/>
    <w:rsid w:val="00CD65B4"/>
    <w:rsid w:val="00CD6988"/>
    <w:rsid w:val="00CD699A"/>
    <w:rsid w:val="00CD72D9"/>
    <w:rsid w:val="00CD733D"/>
    <w:rsid w:val="00CD742C"/>
    <w:rsid w:val="00CD75B0"/>
    <w:rsid w:val="00CD7897"/>
    <w:rsid w:val="00CD7D61"/>
    <w:rsid w:val="00CD7E51"/>
    <w:rsid w:val="00CE0268"/>
    <w:rsid w:val="00CE0671"/>
    <w:rsid w:val="00CE06DF"/>
    <w:rsid w:val="00CE0723"/>
    <w:rsid w:val="00CE07DB"/>
    <w:rsid w:val="00CE0C16"/>
    <w:rsid w:val="00CE12AA"/>
    <w:rsid w:val="00CE156E"/>
    <w:rsid w:val="00CE1647"/>
    <w:rsid w:val="00CE1750"/>
    <w:rsid w:val="00CE17F8"/>
    <w:rsid w:val="00CE18CC"/>
    <w:rsid w:val="00CE1993"/>
    <w:rsid w:val="00CE1D37"/>
    <w:rsid w:val="00CE1ECC"/>
    <w:rsid w:val="00CE1EFA"/>
    <w:rsid w:val="00CE1F2A"/>
    <w:rsid w:val="00CE2375"/>
    <w:rsid w:val="00CE2908"/>
    <w:rsid w:val="00CE2B8F"/>
    <w:rsid w:val="00CE2BB8"/>
    <w:rsid w:val="00CE3810"/>
    <w:rsid w:val="00CE389A"/>
    <w:rsid w:val="00CE3A70"/>
    <w:rsid w:val="00CE3C65"/>
    <w:rsid w:val="00CE3CEB"/>
    <w:rsid w:val="00CE44D9"/>
    <w:rsid w:val="00CE4A61"/>
    <w:rsid w:val="00CE4C6C"/>
    <w:rsid w:val="00CE4C7F"/>
    <w:rsid w:val="00CE4DD7"/>
    <w:rsid w:val="00CE5C84"/>
    <w:rsid w:val="00CE5EC7"/>
    <w:rsid w:val="00CE5FEF"/>
    <w:rsid w:val="00CE60EE"/>
    <w:rsid w:val="00CE64AC"/>
    <w:rsid w:val="00CE69EC"/>
    <w:rsid w:val="00CE6D81"/>
    <w:rsid w:val="00CE75A4"/>
    <w:rsid w:val="00CE7C6B"/>
    <w:rsid w:val="00CE7EA8"/>
    <w:rsid w:val="00CE7EF7"/>
    <w:rsid w:val="00CF00EB"/>
    <w:rsid w:val="00CF0B0C"/>
    <w:rsid w:val="00CF0BF9"/>
    <w:rsid w:val="00CF14A9"/>
    <w:rsid w:val="00CF2131"/>
    <w:rsid w:val="00CF2202"/>
    <w:rsid w:val="00CF252E"/>
    <w:rsid w:val="00CF28EE"/>
    <w:rsid w:val="00CF299B"/>
    <w:rsid w:val="00CF2EDC"/>
    <w:rsid w:val="00CF32E7"/>
    <w:rsid w:val="00CF3580"/>
    <w:rsid w:val="00CF367F"/>
    <w:rsid w:val="00CF37D2"/>
    <w:rsid w:val="00CF3948"/>
    <w:rsid w:val="00CF466F"/>
    <w:rsid w:val="00CF46AF"/>
    <w:rsid w:val="00CF53D4"/>
    <w:rsid w:val="00CF5495"/>
    <w:rsid w:val="00CF56FA"/>
    <w:rsid w:val="00CF58FE"/>
    <w:rsid w:val="00CF5A9C"/>
    <w:rsid w:val="00CF5AE0"/>
    <w:rsid w:val="00CF5E17"/>
    <w:rsid w:val="00CF6281"/>
    <w:rsid w:val="00CF6373"/>
    <w:rsid w:val="00CF67C6"/>
    <w:rsid w:val="00CF684A"/>
    <w:rsid w:val="00CF6A86"/>
    <w:rsid w:val="00CF6C98"/>
    <w:rsid w:val="00CF6CC7"/>
    <w:rsid w:val="00CF6D69"/>
    <w:rsid w:val="00CF776C"/>
    <w:rsid w:val="00CF785C"/>
    <w:rsid w:val="00CF7B78"/>
    <w:rsid w:val="00D0038F"/>
    <w:rsid w:val="00D004C1"/>
    <w:rsid w:val="00D00560"/>
    <w:rsid w:val="00D00DED"/>
    <w:rsid w:val="00D00E4C"/>
    <w:rsid w:val="00D00F6F"/>
    <w:rsid w:val="00D010E7"/>
    <w:rsid w:val="00D010F5"/>
    <w:rsid w:val="00D01350"/>
    <w:rsid w:val="00D01646"/>
    <w:rsid w:val="00D01BE0"/>
    <w:rsid w:val="00D01C38"/>
    <w:rsid w:val="00D0206E"/>
    <w:rsid w:val="00D02203"/>
    <w:rsid w:val="00D03926"/>
    <w:rsid w:val="00D03C81"/>
    <w:rsid w:val="00D04112"/>
    <w:rsid w:val="00D04556"/>
    <w:rsid w:val="00D046CC"/>
    <w:rsid w:val="00D04AA7"/>
    <w:rsid w:val="00D04B7D"/>
    <w:rsid w:val="00D04BA7"/>
    <w:rsid w:val="00D04DB7"/>
    <w:rsid w:val="00D05169"/>
    <w:rsid w:val="00D0524D"/>
    <w:rsid w:val="00D05A31"/>
    <w:rsid w:val="00D05BBE"/>
    <w:rsid w:val="00D062F7"/>
    <w:rsid w:val="00D06366"/>
    <w:rsid w:val="00D0642D"/>
    <w:rsid w:val="00D06726"/>
    <w:rsid w:val="00D06BA9"/>
    <w:rsid w:val="00D06D1A"/>
    <w:rsid w:val="00D06EA8"/>
    <w:rsid w:val="00D06F6C"/>
    <w:rsid w:val="00D06F91"/>
    <w:rsid w:val="00D07010"/>
    <w:rsid w:val="00D07398"/>
    <w:rsid w:val="00D0772C"/>
    <w:rsid w:val="00D07B31"/>
    <w:rsid w:val="00D07B90"/>
    <w:rsid w:val="00D10631"/>
    <w:rsid w:val="00D10BF3"/>
    <w:rsid w:val="00D10CCF"/>
    <w:rsid w:val="00D10EF8"/>
    <w:rsid w:val="00D11297"/>
    <w:rsid w:val="00D1145F"/>
    <w:rsid w:val="00D1156D"/>
    <w:rsid w:val="00D11B7A"/>
    <w:rsid w:val="00D1204C"/>
    <w:rsid w:val="00D12406"/>
    <w:rsid w:val="00D12EAF"/>
    <w:rsid w:val="00D1301A"/>
    <w:rsid w:val="00D13148"/>
    <w:rsid w:val="00D132AC"/>
    <w:rsid w:val="00D13573"/>
    <w:rsid w:val="00D13948"/>
    <w:rsid w:val="00D139F5"/>
    <w:rsid w:val="00D13B54"/>
    <w:rsid w:val="00D14568"/>
    <w:rsid w:val="00D14ADE"/>
    <w:rsid w:val="00D14DFC"/>
    <w:rsid w:val="00D156E1"/>
    <w:rsid w:val="00D15798"/>
    <w:rsid w:val="00D15927"/>
    <w:rsid w:val="00D15E8D"/>
    <w:rsid w:val="00D15FE3"/>
    <w:rsid w:val="00D16526"/>
    <w:rsid w:val="00D16994"/>
    <w:rsid w:val="00D16F53"/>
    <w:rsid w:val="00D17349"/>
    <w:rsid w:val="00D173D5"/>
    <w:rsid w:val="00D1782E"/>
    <w:rsid w:val="00D17F2A"/>
    <w:rsid w:val="00D17F59"/>
    <w:rsid w:val="00D201D8"/>
    <w:rsid w:val="00D205BD"/>
    <w:rsid w:val="00D20F1B"/>
    <w:rsid w:val="00D213A5"/>
    <w:rsid w:val="00D21666"/>
    <w:rsid w:val="00D2185F"/>
    <w:rsid w:val="00D21C48"/>
    <w:rsid w:val="00D21E99"/>
    <w:rsid w:val="00D21F35"/>
    <w:rsid w:val="00D22028"/>
    <w:rsid w:val="00D22581"/>
    <w:rsid w:val="00D225B6"/>
    <w:rsid w:val="00D22BDD"/>
    <w:rsid w:val="00D22BFB"/>
    <w:rsid w:val="00D22D37"/>
    <w:rsid w:val="00D22E4F"/>
    <w:rsid w:val="00D2321D"/>
    <w:rsid w:val="00D232E5"/>
    <w:rsid w:val="00D234F8"/>
    <w:rsid w:val="00D2356B"/>
    <w:rsid w:val="00D235BD"/>
    <w:rsid w:val="00D237F0"/>
    <w:rsid w:val="00D2427A"/>
    <w:rsid w:val="00D2461A"/>
    <w:rsid w:val="00D247EA"/>
    <w:rsid w:val="00D25448"/>
    <w:rsid w:val="00D2585B"/>
    <w:rsid w:val="00D25FFE"/>
    <w:rsid w:val="00D2685B"/>
    <w:rsid w:val="00D2687A"/>
    <w:rsid w:val="00D26D32"/>
    <w:rsid w:val="00D26E1F"/>
    <w:rsid w:val="00D27650"/>
    <w:rsid w:val="00D27718"/>
    <w:rsid w:val="00D278D8"/>
    <w:rsid w:val="00D27B35"/>
    <w:rsid w:val="00D30A8A"/>
    <w:rsid w:val="00D30E18"/>
    <w:rsid w:val="00D310D4"/>
    <w:rsid w:val="00D31696"/>
    <w:rsid w:val="00D31742"/>
    <w:rsid w:val="00D3234D"/>
    <w:rsid w:val="00D327FA"/>
    <w:rsid w:val="00D32833"/>
    <w:rsid w:val="00D328CB"/>
    <w:rsid w:val="00D328FC"/>
    <w:rsid w:val="00D3295B"/>
    <w:rsid w:val="00D329B4"/>
    <w:rsid w:val="00D32E7F"/>
    <w:rsid w:val="00D32EA5"/>
    <w:rsid w:val="00D32F5C"/>
    <w:rsid w:val="00D33185"/>
    <w:rsid w:val="00D333B0"/>
    <w:rsid w:val="00D33449"/>
    <w:rsid w:val="00D33937"/>
    <w:rsid w:val="00D33D2C"/>
    <w:rsid w:val="00D345BA"/>
    <w:rsid w:val="00D34BD6"/>
    <w:rsid w:val="00D34FEF"/>
    <w:rsid w:val="00D35D33"/>
    <w:rsid w:val="00D361DB"/>
    <w:rsid w:val="00D36644"/>
    <w:rsid w:val="00D3669C"/>
    <w:rsid w:val="00D37A36"/>
    <w:rsid w:val="00D37B48"/>
    <w:rsid w:val="00D37DD6"/>
    <w:rsid w:val="00D400AD"/>
    <w:rsid w:val="00D40102"/>
    <w:rsid w:val="00D405EC"/>
    <w:rsid w:val="00D40EE7"/>
    <w:rsid w:val="00D4108E"/>
    <w:rsid w:val="00D4112C"/>
    <w:rsid w:val="00D4161C"/>
    <w:rsid w:val="00D43508"/>
    <w:rsid w:val="00D4356F"/>
    <w:rsid w:val="00D43639"/>
    <w:rsid w:val="00D437EF"/>
    <w:rsid w:val="00D43AEC"/>
    <w:rsid w:val="00D43D10"/>
    <w:rsid w:val="00D43E3B"/>
    <w:rsid w:val="00D43F58"/>
    <w:rsid w:val="00D43F6F"/>
    <w:rsid w:val="00D44164"/>
    <w:rsid w:val="00D44622"/>
    <w:rsid w:val="00D4505C"/>
    <w:rsid w:val="00D452CE"/>
    <w:rsid w:val="00D454BF"/>
    <w:rsid w:val="00D458F5"/>
    <w:rsid w:val="00D46AAA"/>
    <w:rsid w:val="00D47025"/>
    <w:rsid w:val="00D4707E"/>
    <w:rsid w:val="00D4710B"/>
    <w:rsid w:val="00D47228"/>
    <w:rsid w:val="00D47388"/>
    <w:rsid w:val="00D4750C"/>
    <w:rsid w:val="00D500B8"/>
    <w:rsid w:val="00D50145"/>
    <w:rsid w:val="00D50B9D"/>
    <w:rsid w:val="00D50DBB"/>
    <w:rsid w:val="00D511E3"/>
    <w:rsid w:val="00D5151F"/>
    <w:rsid w:val="00D5184A"/>
    <w:rsid w:val="00D5189A"/>
    <w:rsid w:val="00D5189E"/>
    <w:rsid w:val="00D51C1E"/>
    <w:rsid w:val="00D51E2C"/>
    <w:rsid w:val="00D51E5B"/>
    <w:rsid w:val="00D523D6"/>
    <w:rsid w:val="00D52494"/>
    <w:rsid w:val="00D5273F"/>
    <w:rsid w:val="00D52BA5"/>
    <w:rsid w:val="00D5351E"/>
    <w:rsid w:val="00D5384A"/>
    <w:rsid w:val="00D53854"/>
    <w:rsid w:val="00D53A61"/>
    <w:rsid w:val="00D53D82"/>
    <w:rsid w:val="00D5425B"/>
    <w:rsid w:val="00D54A9E"/>
    <w:rsid w:val="00D55055"/>
    <w:rsid w:val="00D5538E"/>
    <w:rsid w:val="00D5552D"/>
    <w:rsid w:val="00D55721"/>
    <w:rsid w:val="00D5594E"/>
    <w:rsid w:val="00D55B95"/>
    <w:rsid w:val="00D56491"/>
    <w:rsid w:val="00D564FD"/>
    <w:rsid w:val="00D56562"/>
    <w:rsid w:val="00D56621"/>
    <w:rsid w:val="00D5680A"/>
    <w:rsid w:val="00D56BA0"/>
    <w:rsid w:val="00D56EBA"/>
    <w:rsid w:val="00D570AD"/>
    <w:rsid w:val="00D572CC"/>
    <w:rsid w:val="00D5772F"/>
    <w:rsid w:val="00D577AB"/>
    <w:rsid w:val="00D579D2"/>
    <w:rsid w:val="00D57C84"/>
    <w:rsid w:val="00D57DDF"/>
    <w:rsid w:val="00D603A3"/>
    <w:rsid w:val="00D6042D"/>
    <w:rsid w:val="00D60ABD"/>
    <w:rsid w:val="00D60C4E"/>
    <w:rsid w:val="00D60DDC"/>
    <w:rsid w:val="00D60FA6"/>
    <w:rsid w:val="00D60FE3"/>
    <w:rsid w:val="00D6197D"/>
    <w:rsid w:val="00D61B03"/>
    <w:rsid w:val="00D61B0F"/>
    <w:rsid w:val="00D61B45"/>
    <w:rsid w:val="00D62144"/>
    <w:rsid w:val="00D6248A"/>
    <w:rsid w:val="00D626CC"/>
    <w:rsid w:val="00D62EC2"/>
    <w:rsid w:val="00D62F7A"/>
    <w:rsid w:val="00D63313"/>
    <w:rsid w:val="00D633FA"/>
    <w:rsid w:val="00D63B4E"/>
    <w:rsid w:val="00D63CC3"/>
    <w:rsid w:val="00D63DB2"/>
    <w:rsid w:val="00D6459E"/>
    <w:rsid w:val="00D64959"/>
    <w:rsid w:val="00D64B6E"/>
    <w:rsid w:val="00D64FD6"/>
    <w:rsid w:val="00D65487"/>
    <w:rsid w:val="00D656BC"/>
    <w:rsid w:val="00D65BA7"/>
    <w:rsid w:val="00D65BBF"/>
    <w:rsid w:val="00D65BD7"/>
    <w:rsid w:val="00D66028"/>
    <w:rsid w:val="00D66475"/>
    <w:rsid w:val="00D666B2"/>
    <w:rsid w:val="00D66850"/>
    <w:rsid w:val="00D672F5"/>
    <w:rsid w:val="00D6757B"/>
    <w:rsid w:val="00D6794C"/>
    <w:rsid w:val="00D70167"/>
    <w:rsid w:val="00D701C3"/>
    <w:rsid w:val="00D70503"/>
    <w:rsid w:val="00D70EDD"/>
    <w:rsid w:val="00D712CE"/>
    <w:rsid w:val="00D7212C"/>
    <w:rsid w:val="00D72591"/>
    <w:rsid w:val="00D7298C"/>
    <w:rsid w:val="00D72DAB"/>
    <w:rsid w:val="00D72E01"/>
    <w:rsid w:val="00D72EE4"/>
    <w:rsid w:val="00D72F4B"/>
    <w:rsid w:val="00D733DE"/>
    <w:rsid w:val="00D734B8"/>
    <w:rsid w:val="00D73503"/>
    <w:rsid w:val="00D73505"/>
    <w:rsid w:val="00D739DC"/>
    <w:rsid w:val="00D73A9D"/>
    <w:rsid w:val="00D73BBB"/>
    <w:rsid w:val="00D741AC"/>
    <w:rsid w:val="00D741BC"/>
    <w:rsid w:val="00D748A8"/>
    <w:rsid w:val="00D74B60"/>
    <w:rsid w:val="00D74FC3"/>
    <w:rsid w:val="00D7527F"/>
    <w:rsid w:val="00D75388"/>
    <w:rsid w:val="00D75615"/>
    <w:rsid w:val="00D7565F"/>
    <w:rsid w:val="00D758B1"/>
    <w:rsid w:val="00D7607A"/>
    <w:rsid w:val="00D7637F"/>
    <w:rsid w:val="00D76D62"/>
    <w:rsid w:val="00D8005D"/>
    <w:rsid w:val="00D800D3"/>
    <w:rsid w:val="00D8081F"/>
    <w:rsid w:val="00D809F8"/>
    <w:rsid w:val="00D80CB1"/>
    <w:rsid w:val="00D81274"/>
    <w:rsid w:val="00D81529"/>
    <w:rsid w:val="00D8195F"/>
    <w:rsid w:val="00D81A3B"/>
    <w:rsid w:val="00D81A7A"/>
    <w:rsid w:val="00D81BFB"/>
    <w:rsid w:val="00D81DEC"/>
    <w:rsid w:val="00D81F7D"/>
    <w:rsid w:val="00D81F8D"/>
    <w:rsid w:val="00D82006"/>
    <w:rsid w:val="00D82299"/>
    <w:rsid w:val="00D82472"/>
    <w:rsid w:val="00D8256C"/>
    <w:rsid w:val="00D827A1"/>
    <w:rsid w:val="00D82B5A"/>
    <w:rsid w:val="00D832E7"/>
    <w:rsid w:val="00D83538"/>
    <w:rsid w:val="00D8387E"/>
    <w:rsid w:val="00D83FA3"/>
    <w:rsid w:val="00D84290"/>
    <w:rsid w:val="00D8433F"/>
    <w:rsid w:val="00D8474F"/>
    <w:rsid w:val="00D8498A"/>
    <w:rsid w:val="00D84CCB"/>
    <w:rsid w:val="00D851D9"/>
    <w:rsid w:val="00D85409"/>
    <w:rsid w:val="00D85895"/>
    <w:rsid w:val="00D8598F"/>
    <w:rsid w:val="00D85B09"/>
    <w:rsid w:val="00D866FA"/>
    <w:rsid w:val="00D86C42"/>
    <w:rsid w:val="00D86D27"/>
    <w:rsid w:val="00D870B7"/>
    <w:rsid w:val="00D870E4"/>
    <w:rsid w:val="00D877A6"/>
    <w:rsid w:val="00D87B41"/>
    <w:rsid w:val="00D87BAE"/>
    <w:rsid w:val="00D87E2A"/>
    <w:rsid w:val="00D90988"/>
    <w:rsid w:val="00D9145B"/>
    <w:rsid w:val="00D9169D"/>
    <w:rsid w:val="00D9170C"/>
    <w:rsid w:val="00D917B5"/>
    <w:rsid w:val="00D91A9D"/>
    <w:rsid w:val="00D91B74"/>
    <w:rsid w:val="00D92454"/>
    <w:rsid w:val="00D924E4"/>
    <w:rsid w:val="00D926D0"/>
    <w:rsid w:val="00D92783"/>
    <w:rsid w:val="00D92963"/>
    <w:rsid w:val="00D938E7"/>
    <w:rsid w:val="00D93977"/>
    <w:rsid w:val="00D93B53"/>
    <w:rsid w:val="00D93F54"/>
    <w:rsid w:val="00D93F8E"/>
    <w:rsid w:val="00D94560"/>
    <w:rsid w:val="00D94698"/>
    <w:rsid w:val="00D9484E"/>
    <w:rsid w:val="00D94B0D"/>
    <w:rsid w:val="00D94CF4"/>
    <w:rsid w:val="00D950A3"/>
    <w:rsid w:val="00D95585"/>
    <w:rsid w:val="00D9594C"/>
    <w:rsid w:val="00D95BB9"/>
    <w:rsid w:val="00D95BF2"/>
    <w:rsid w:val="00D95D01"/>
    <w:rsid w:val="00D95EA5"/>
    <w:rsid w:val="00D95F5B"/>
    <w:rsid w:val="00D966A8"/>
    <w:rsid w:val="00D96A13"/>
    <w:rsid w:val="00D96B71"/>
    <w:rsid w:val="00D96CA1"/>
    <w:rsid w:val="00D96D40"/>
    <w:rsid w:val="00D96EE2"/>
    <w:rsid w:val="00D970F2"/>
    <w:rsid w:val="00D97BBC"/>
    <w:rsid w:val="00D97F67"/>
    <w:rsid w:val="00DA02D5"/>
    <w:rsid w:val="00DA034F"/>
    <w:rsid w:val="00DA0443"/>
    <w:rsid w:val="00DA0B8F"/>
    <w:rsid w:val="00DA0C39"/>
    <w:rsid w:val="00DA1042"/>
    <w:rsid w:val="00DA121C"/>
    <w:rsid w:val="00DA2379"/>
    <w:rsid w:val="00DA25AE"/>
    <w:rsid w:val="00DA2736"/>
    <w:rsid w:val="00DA3422"/>
    <w:rsid w:val="00DA36FB"/>
    <w:rsid w:val="00DA37E0"/>
    <w:rsid w:val="00DA3F35"/>
    <w:rsid w:val="00DA4061"/>
    <w:rsid w:val="00DA498A"/>
    <w:rsid w:val="00DA4F1D"/>
    <w:rsid w:val="00DA50A3"/>
    <w:rsid w:val="00DA51B8"/>
    <w:rsid w:val="00DA5223"/>
    <w:rsid w:val="00DA527A"/>
    <w:rsid w:val="00DA57FF"/>
    <w:rsid w:val="00DA5918"/>
    <w:rsid w:val="00DA5957"/>
    <w:rsid w:val="00DA5A7F"/>
    <w:rsid w:val="00DA69BA"/>
    <w:rsid w:val="00DA737F"/>
    <w:rsid w:val="00DA779A"/>
    <w:rsid w:val="00DA77FB"/>
    <w:rsid w:val="00DA7A8C"/>
    <w:rsid w:val="00DA7C31"/>
    <w:rsid w:val="00DA7C43"/>
    <w:rsid w:val="00DA7EED"/>
    <w:rsid w:val="00DA7FB6"/>
    <w:rsid w:val="00DB01CA"/>
    <w:rsid w:val="00DB02F7"/>
    <w:rsid w:val="00DB098D"/>
    <w:rsid w:val="00DB0EEF"/>
    <w:rsid w:val="00DB1377"/>
    <w:rsid w:val="00DB1B79"/>
    <w:rsid w:val="00DB1FD1"/>
    <w:rsid w:val="00DB2048"/>
    <w:rsid w:val="00DB2065"/>
    <w:rsid w:val="00DB2490"/>
    <w:rsid w:val="00DB2519"/>
    <w:rsid w:val="00DB2754"/>
    <w:rsid w:val="00DB2E3E"/>
    <w:rsid w:val="00DB355C"/>
    <w:rsid w:val="00DB3D12"/>
    <w:rsid w:val="00DB3D1A"/>
    <w:rsid w:val="00DB3FDD"/>
    <w:rsid w:val="00DB4376"/>
    <w:rsid w:val="00DB4490"/>
    <w:rsid w:val="00DB4B70"/>
    <w:rsid w:val="00DB506A"/>
    <w:rsid w:val="00DB5388"/>
    <w:rsid w:val="00DB591B"/>
    <w:rsid w:val="00DB5B66"/>
    <w:rsid w:val="00DB5E38"/>
    <w:rsid w:val="00DB65BF"/>
    <w:rsid w:val="00DB6C19"/>
    <w:rsid w:val="00DB7106"/>
    <w:rsid w:val="00DB7637"/>
    <w:rsid w:val="00DB7655"/>
    <w:rsid w:val="00DB779F"/>
    <w:rsid w:val="00DB7894"/>
    <w:rsid w:val="00DB7954"/>
    <w:rsid w:val="00DC006B"/>
    <w:rsid w:val="00DC0299"/>
    <w:rsid w:val="00DC078A"/>
    <w:rsid w:val="00DC0AB7"/>
    <w:rsid w:val="00DC0F43"/>
    <w:rsid w:val="00DC11B2"/>
    <w:rsid w:val="00DC1223"/>
    <w:rsid w:val="00DC1C86"/>
    <w:rsid w:val="00DC1E5D"/>
    <w:rsid w:val="00DC1E5F"/>
    <w:rsid w:val="00DC2217"/>
    <w:rsid w:val="00DC22CB"/>
    <w:rsid w:val="00DC2DAE"/>
    <w:rsid w:val="00DC2DFB"/>
    <w:rsid w:val="00DC33C6"/>
    <w:rsid w:val="00DC391C"/>
    <w:rsid w:val="00DC44BF"/>
    <w:rsid w:val="00DC44FB"/>
    <w:rsid w:val="00DC4592"/>
    <w:rsid w:val="00DC4793"/>
    <w:rsid w:val="00DC48D1"/>
    <w:rsid w:val="00DC4AD0"/>
    <w:rsid w:val="00DC4DCB"/>
    <w:rsid w:val="00DC4FAC"/>
    <w:rsid w:val="00DC540E"/>
    <w:rsid w:val="00DC55ED"/>
    <w:rsid w:val="00DC56EB"/>
    <w:rsid w:val="00DC62E4"/>
    <w:rsid w:val="00DC67E8"/>
    <w:rsid w:val="00DC6DA2"/>
    <w:rsid w:val="00DC72AE"/>
    <w:rsid w:val="00DC78DC"/>
    <w:rsid w:val="00DC7A72"/>
    <w:rsid w:val="00DC7B26"/>
    <w:rsid w:val="00DD04EA"/>
    <w:rsid w:val="00DD0E10"/>
    <w:rsid w:val="00DD1159"/>
    <w:rsid w:val="00DD1354"/>
    <w:rsid w:val="00DD152C"/>
    <w:rsid w:val="00DD187E"/>
    <w:rsid w:val="00DD19F5"/>
    <w:rsid w:val="00DD2171"/>
    <w:rsid w:val="00DD22F7"/>
    <w:rsid w:val="00DD24C5"/>
    <w:rsid w:val="00DD26C2"/>
    <w:rsid w:val="00DD2C05"/>
    <w:rsid w:val="00DD2C71"/>
    <w:rsid w:val="00DD30AC"/>
    <w:rsid w:val="00DD3340"/>
    <w:rsid w:val="00DD3534"/>
    <w:rsid w:val="00DD3B7C"/>
    <w:rsid w:val="00DD444B"/>
    <w:rsid w:val="00DD493E"/>
    <w:rsid w:val="00DD4D00"/>
    <w:rsid w:val="00DD4D1F"/>
    <w:rsid w:val="00DD55F4"/>
    <w:rsid w:val="00DD5779"/>
    <w:rsid w:val="00DD593D"/>
    <w:rsid w:val="00DD68B6"/>
    <w:rsid w:val="00DD69DA"/>
    <w:rsid w:val="00DD6C13"/>
    <w:rsid w:val="00DD7045"/>
    <w:rsid w:val="00DD720E"/>
    <w:rsid w:val="00DD7311"/>
    <w:rsid w:val="00DD74BB"/>
    <w:rsid w:val="00DD791E"/>
    <w:rsid w:val="00DE015B"/>
    <w:rsid w:val="00DE0A87"/>
    <w:rsid w:val="00DE0C92"/>
    <w:rsid w:val="00DE1431"/>
    <w:rsid w:val="00DE1622"/>
    <w:rsid w:val="00DE170D"/>
    <w:rsid w:val="00DE186F"/>
    <w:rsid w:val="00DE1B9B"/>
    <w:rsid w:val="00DE2084"/>
    <w:rsid w:val="00DE20E8"/>
    <w:rsid w:val="00DE23D8"/>
    <w:rsid w:val="00DE2503"/>
    <w:rsid w:val="00DE29F9"/>
    <w:rsid w:val="00DE2E5A"/>
    <w:rsid w:val="00DE300C"/>
    <w:rsid w:val="00DE3091"/>
    <w:rsid w:val="00DE3403"/>
    <w:rsid w:val="00DE3845"/>
    <w:rsid w:val="00DE39B5"/>
    <w:rsid w:val="00DE3C95"/>
    <w:rsid w:val="00DE3CA7"/>
    <w:rsid w:val="00DE3E27"/>
    <w:rsid w:val="00DE4070"/>
    <w:rsid w:val="00DE4285"/>
    <w:rsid w:val="00DE46E5"/>
    <w:rsid w:val="00DE4AAB"/>
    <w:rsid w:val="00DE51B8"/>
    <w:rsid w:val="00DE52D2"/>
    <w:rsid w:val="00DE571C"/>
    <w:rsid w:val="00DE5C87"/>
    <w:rsid w:val="00DE68E4"/>
    <w:rsid w:val="00DE6948"/>
    <w:rsid w:val="00DE76CB"/>
    <w:rsid w:val="00DE7B20"/>
    <w:rsid w:val="00DF0770"/>
    <w:rsid w:val="00DF091A"/>
    <w:rsid w:val="00DF1080"/>
    <w:rsid w:val="00DF1424"/>
    <w:rsid w:val="00DF18C9"/>
    <w:rsid w:val="00DF197D"/>
    <w:rsid w:val="00DF1AF1"/>
    <w:rsid w:val="00DF1B61"/>
    <w:rsid w:val="00DF2654"/>
    <w:rsid w:val="00DF279E"/>
    <w:rsid w:val="00DF2A19"/>
    <w:rsid w:val="00DF313A"/>
    <w:rsid w:val="00DF39C3"/>
    <w:rsid w:val="00DF3A00"/>
    <w:rsid w:val="00DF3A4A"/>
    <w:rsid w:val="00DF4491"/>
    <w:rsid w:val="00DF4F52"/>
    <w:rsid w:val="00DF52E3"/>
    <w:rsid w:val="00DF5314"/>
    <w:rsid w:val="00DF5422"/>
    <w:rsid w:val="00DF56D0"/>
    <w:rsid w:val="00DF57E8"/>
    <w:rsid w:val="00DF5876"/>
    <w:rsid w:val="00DF5913"/>
    <w:rsid w:val="00DF5D61"/>
    <w:rsid w:val="00DF5EAA"/>
    <w:rsid w:val="00DF633C"/>
    <w:rsid w:val="00DF6A62"/>
    <w:rsid w:val="00DF7620"/>
    <w:rsid w:val="00DF7888"/>
    <w:rsid w:val="00DF7DCE"/>
    <w:rsid w:val="00DF7DF7"/>
    <w:rsid w:val="00E00170"/>
    <w:rsid w:val="00E00248"/>
    <w:rsid w:val="00E009CB"/>
    <w:rsid w:val="00E00A78"/>
    <w:rsid w:val="00E00B7D"/>
    <w:rsid w:val="00E00D3E"/>
    <w:rsid w:val="00E011C5"/>
    <w:rsid w:val="00E01506"/>
    <w:rsid w:val="00E01564"/>
    <w:rsid w:val="00E015AC"/>
    <w:rsid w:val="00E0189F"/>
    <w:rsid w:val="00E018C5"/>
    <w:rsid w:val="00E0193F"/>
    <w:rsid w:val="00E01B8C"/>
    <w:rsid w:val="00E021B8"/>
    <w:rsid w:val="00E02326"/>
    <w:rsid w:val="00E02553"/>
    <w:rsid w:val="00E029DB"/>
    <w:rsid w:val="00E02DCA"/>
    <w:rsid w:val="00E03180"/>
    <w:rsid w:val="00E0334E"/>
    <w:rsid w:val="00E036D7"/>
    <w:rsid w:val="00E0434F"/>
    <w:rsid w:val="00E05331"/>
    <w:rsid w:val="00E05B8B"/>
    <w:rsid w:val="00E05BB6"/>
    <w:rsid w:val="00E05CB2"/>
    <w:rsid w:val="00E06507"/>
    <w:rsid w:val="00E06A34"/>
    <w:rsid w:val="00E06BFB"/>
    <w:rsid w:val="00E06C8B"/>
    <w:rsid w:val="00E06D6F"/>
    <w:rsid w:val="00E06E78"/>
    <w:rsid w:val="00E06F56"/>
    <w:rsid w:val="00E0749A"/>
    <w:rsid w:val="00E076B2"/>
    <w:rsid w:val="00E07FB6"/>
    <w:rsid w:val="00E109E7"/>
    <w:rsid w:val="00E10DDE"/>
    <w:rsid w:val="00E10E51"/>
    <w:rsid w:val="00E1124E"/>
    <w:rsid w:val="00E113D5"/>
    <w:rsid w:val="00E120F7"/>
    <w:rsid w:val="00E1268A"/>
    <w:rsid w:val="00E126F7"/>
    <w:rsid w:val="00E1278E"/>
    <w:rsid w:val="00E12F2F"/>
    <w:rsid w:val="00E130BB"/>
    <w:rsid w:val="00E1326C"/>
    <w:rsid w:val="00E13664"/>
    <w:rsid w:val="00E13A68"/>
    <w:rsid w:val="00E13E0A"/>
    <w:rsid w:val="00E13E43"/>
    <w:rsid w:val="00E13EF0"/>
    <w:rsid w:val="00E140EA"/>
    <w:rsid w:val="00E14297"/>
    <w:rsid w:val="00E142C9"/>
    <w:rsid w:val="00E1463B"/>
    <w:rsid w:val="00E14F2A"/>
    <w:rsid w:val="00E1545B"/>
    <w:rsid w:val="00E1549D"/>
    <w:rsid w:val="00E154D1"/>
    <w:rsid w:val="00E15611"/>
    <w:rsid w:val="00E15AA3"/>
    <w:rsid w:val="00E15BC7"/>
    <w:rsid w:val="00E15BED"/>
    <w:rsid w:val="00E15F2E"/>
    <w:rsid w:val="00E164A7"/>
    <w:rsid w:val="00E165CF"/>
    <w:rsid w:val="00E17467"/>
    <w:rsid w:val="00E17BA5"/>
    <w:rsid w:val="00E17C11"/>
    <w:rsid w:val="00E20745"/>
    <w:rsid w:val="00E20F4D"/>
    <w:rsid w:val="00E211DD"/>
    <w:rsid w:val="00E21428"/>
    <w:rsid w:val="00E2148A"/>
    <w:rsid w:val="00E21889"/>
    <w:rsid w:val="00E21C3D"/>
    <w:rsid w:val="00E21EA5"/>
    <w:rsid w:val="00E21FE6"/>
    <w:rsid w:val="00E22696"/>
    <w:rsid w:val="00E22A31"/>
    <w:rsid w:val="00E22A80"/>
    <w:rsid w:val="00E22E0C"/>
    <w:rsid w:val="00E23261"/>
    <w:rsid w:val="00E235F5"/>
    <w:rsid w:val="00E237D1"/>
    <w:rsid w:val="00E237DC"/>
    <w:rsid w:val="00E244C3"/>
    <w:rsid w:val="00E247E1"/>
    <w:rsid w:val="00E24953"/>
    <w:rsid w:val="00E25692"/>
    <w:rsid w:val="00E25828"/>
    <w:rsid w:val="00E25C62"/>
    <w:rsid w:val="00E25D6E"/>
    <w:rsid w:val="00E26215"/>
    <w:rsid w:val="00E2663A"/>
    <w:rsid w:val="00E26C20"/>
    <w:rsid w:val="00E26D52"/>
    <w:rsid w:val="00E26DDF"/>
    <w:rsid w:val="00E26EFC"/>
    <w:rsid w:val="00E27672"/>
    <w:rsid w:val="00E276D2"/>
    <w:rsid w:val="00E27A2A"/>
    <w:rsid w:val="00E27C53"/>
    <w:rsid w:val="00E301A1"/>
    <w:rsid w:val="00E30CEB"/>
    <w:rsid w:val="00E30F93"/>
    <w:rsid w:val="00E3101D"/>
    <w:rsid w:val="00E31051"/>
    <w:rsid w:val="00E316D8"/>
    <w:rsid w:val="00E3198A"/>
    <w:rsid w:val="00E32190"/>
    <w:rsid w:val="00E32366"/>
    <w:rsid w:val="00E32424"/>
    <w:rsid w:val="00E32738"/>
    <w:rsid w:val="00E32E84"/>
    <w:rsid w:val="00E337D3"/>
    <w:rsid w:val="00E33ACA"/>
    <w:rsid w:val="00E33E6A"/>
    <w:rsid w:val="00E3461E"/>
    <w:rsid w:val="00E34D78"/>
    <w:rsid w:val="00E34E62"/>
    <w:rsid w:val="00E35099"/>
    <w:rsid w:val="00E358CF"/>
    <w:rsid w:val="00E35A55"/>
    <w:rsid w:val="00E35BAD"/>
    <w:rsid w:val="00E35BC5"/>
    <w:rsid w:val="00E366D0"/>
    <w:rsid w:val="00E3672D"/>
    <w:rsid w:val="00E36C27"/>
    <w:rsid w:val="00E37044"/>
    <w:rsid w:val="00E37172"/>
    <w:rsid w:val="00E37F87"/>
    <w:rsid w:val="00E40341"/>
    <w:rsid w:val="00E41A89"/>
    <w:rsid w:val="00E41B98"/>
    <w:rsid w:val="00E4218C"/>
    <w:rsid w:val="00E422DC"/>
    <w:rsid w:val="00E425BB"/>
    <w:rsid w:val="00E43406"/>
    <w:rsid w:val="00E434B2"/>
    <w:rsid w:val="00E439A9"/>
    <w:rsid w:val="00E43E0A"/>
    <w:rsid w:val="00E43ED8"/>
    <w:rsid w:val="00E44064"/>
    <w:rsid w:val="00E444BB"/>
    <w:rsid w:val="00E444FB"/>
    <w:rsid w:val="00E449A9"/>
    <w:rsid w:val="00E44B53"/>
    <w:rsid w:val="00E44D27"/>
    <w:rsid w:val="00E44D87"/>
    <w:rsid w:val="00E4509C"/>
    <w:rsid w:val="00E45172"/>
    <w:rsid w:val="00E4543C"/>
    <w:rsid w:val="00E45488"/>
    <w:rsid w:val="00E45866"/>
    <w:rsid w:val="00E45CC6"/>
    <w:rsid w:val="00E45DDA"/>
    <w:rsid w:val="00E45DDD"/>
    <w:rsid w:val="00E45F41"/>
    <w:rsid w:val="00E461F6"/>
    <w:rsid w:val="00E4675C"/>
    <w:rsid w:val="00E46898"/>
    <w:rsid w:val="00E47683"/>
    <w:rsid w:val="00E476D7"/>
    <w:rsid w:val="00E47714"/>
    <w:rsid w:val="00E47D2A"/>
    <w:rsid w:val="00E47E7E"/>
    <w:rsid w:val="00E50195"/>
    <w:rsid w:val="00E50643"/>
    <w:rsid w:val="00E50E25"/>
    <w:rsid w:val="00E50F51"/>
    <w:rsid w:val="00E512FB"/>
    <w:rsid w:val="00E51CC6"/>
    <w:rsid w:val="00E522F4"/>
    <w:rsid w:val="00E5268E"/>
    <w:rsid w:val="00E52A6C"/>
    <w:rsid w:val="00E52EDC"/>
    <w:rsid w:val="00E52FCA"/>
    <w:rsid w:val="00E5311C"/>
    <w:rsid w:val="00E5389F"/>
    <w:rsid w:val="00E54038"/>
    <w:rsid w:val="00E5409A"/>
    <w:rsid w:val="00E544AF"/>
    <w:rsid w:val="00E54665"/>
    <w:rsid w:val="00E547A4"/>
    <w:rsid w:val="00E54A16"/>
    <w:rsid w:val="00E55060"/>
    <w:rsid w:val="00E552DB"/>
    <w:rsid w:val="00E55E8A"/>
    <w:rsid w:val="00E56455"/>
    <w:rsid w:val="00E564B4"/>
    <w:rsid w:val="00E56647"/>
    <w:rsid w:val="00E5691D"/>
    <w:rsid w:val="00E56BAC"/>
    <w:rsid w:val="00E56D1B"/>
    <w:rsid w:val="00E56EC3"/>
    <w:rsid w:val="00E57B40"/>
    <w:rsid w:val="00E57E1B"/>
    <w:rsid w:val="00E60017"/>
    <w:rsid w:val="00E600BB"/>
    <w:rsid w:val="00E60126"/>
    <w:rsid w:val="00E60332"/>
    <w:rsid w:val="00E609F8"/>
    <w:rsid w:val="00E61173"/>
    <w:rsid w:val="00E61A45"/>
    <w:rsid w:val="00E61AEC"/>
    <w:rsid w:val="00E61B57"/>
    <w:rsid w:val="00E62174"/>
    <w:rsid w:val="00E62358"/>
    <w:rsid w:val="00E63D14"/>
    <w:rsid w:val="00E64839"/>
    <w:rsid w:val="00E64A11"/>
    <w:rsid w:val="00E651AB"/>
    <w:rsid w:val="00E65291"/>
    <w:rsid w:val="00E6565C"/>
    <w:rsid w:val="00E656CC"/>
    <w:rsid w:val="00E65977"/>
    <w:rsid w:val="00E65D1E"/>
    <w:rsid w:val="00E65F18"/>
    <w:rsid w:val="00E65F71"/>
    <w:rsid w:val="00E660DB"/>
    <w:rsid w:val="00E6619D"/>
    <w:rsid w:val="00E66A4B"/>
    <w:rsid w:val="00E66C34"/>
    <w:rsid w:val="00E66DDE"/>
    <w:rsid w:val="00E6700D"/>
    <w:rsid w:val="00E67390"/>
    <w:rsid w:val="00E673F7"/>
    <w:rsid w:val="00E678ED"/>
    <w:rsid w:val="00E679B9"/>
    <w:rsid w:val="00E67BF3"/>
    <w:rsid w:val="00E7013C"/>
    <w:rsid w:val="00E705CC"/>
    <w:rsid w:val="00E705D4"/>
    <w:rsid w:val="00E7088F"/>
    <w:rsid w:val="00E70A51"/>
    <w:rsid w:val="00E70B58"/>
    <w:rsid w:val="00E70C08"/>
    <w:rsid w:val="00E70C37"/>
    <w:rsid w:val="00E70F4F"/>
    <w:rsid w:val="00E710BE"/>
    <w:rsid w:val="00E711C6"/>
    <w:rsid w:val="00E7152B"/>
    <w:rsid w:val="00E717C4"/>
    <w:rsid w:val="00E71A4A"/>
    <w:rsid w:val="00E71D26"/>
    <w:rsid w:val="00E71F57"/>
    <w:rsid w:val="00E71FC9"/>
    <w:rsid w:val="00E72516"/>
    <w:rsid w:val="00E727F1"/>
    <w:rsid w:val="00E72B92"/>
    <w:rsid w:val="00E72F24"/>
    <w:rsid w:val="00E732BA"/>
    <w:rsid w:val="00E73E19"/>
    <w:rsid w:val="00E73F96"/>
    <w:rsid w:val="00E7405A"/>
    <w:rsid w:val="00E745DE"/>
    <w:rsid w:val="00E74A99"/>
    <w:rsid w:val="00E74FB7"/>
    <w:rsid w:val="00E7523F"/>
    <w:rsid w:val="00E752EF"/>
    <w:rsid w:val="00E75319"/>
    <w:rsid w:val="00E75724"/>
    <w:rsid w:val="00E758CC"/>
    <w:rsid w:val="00E759CA"/>
    <w:rsid w:val="00E75E52"/>
    <w:rsid w:val="00E75FE6"/>
    <w:rsid w:val="00E76492"/>
    <w:rsid w:val="00E76E63"/>
    <w:rsid w:val="00E76EC6"/>
    <w:rsid w:val="00E77678"/>
    <w:rsid w:val="00E77C2E"/>
    <w:rsid w:val="00E800AA"/>
    <w:rsid w:val="00E802D6"/>
    <w:rsid w:val="00E80982"/>
    <w:rsid w:val="00E80AB0"/>
    <w:rsid w:val="00E80AB3"/>
    <w:rsid w:val="00E80D04"/>
    <w:rsid w:val="00E81455"/>
    <w:rsid w:val="00E8158B"/>
    <w:rsid w:val="00E8183F"/>
    <w:rsid w:val="00E81E5F"/>
    <w:rsid w:val="00E82662"/>
    <w:rsid w:val="00E8280F"/>
    <w:rsid w:val="00E82F1C"/>
    <w:rsid w:val="00E83221"/>
    <w:rsid w:val="00E833A2"/>
    <w:rsid w:val="00E837A1"/>
    <w:rsid w:val="00E83DD1"/>
    <w:rsid w:val="00E84157"/>
    <w:rsid w:val="00E841AD"/>
    <w:rsid w:val="00E84267"/>
    <w:rsid w:val="00E843E2"/>
    <w:rsid w:val="00E84988"/>
    <w:rsid w:val="00E84AAD"/>
    <w:rsid w:val="00E84C11"/>
    <w:rsid w:val="00E84EC7"/>
    <w:rsid w:val="00E851CD"/>
    <w:rsid w:val="00E85292"/>
    <w:rsid w:val="00E85590"/>
    <w:rsid w:val="00E85D8A"/>
    <w:rsid w:val="00E86A01"/>
    <w:rsid w:val="00E86FF5"/>
    <w:rsid w:val="00E871B2"/>
    <w:rsid w:val="00E90437"/>
    <w:rsid w:val="00E915BB"/>
    <w:rsid w:val="00E91867"/>
    <w:rsid w:val="00E91974"/>
    <w:rsid w:val="00E91CE7"/>
    <w:rsid w:val="00E91E01"/>
    <w:rsid w:val="00E92118"/>
    <w:rsid w:val="00E92587"/>
    <w:rsid w:val="00E926FF"/>
    <w:rsid w:val="00E92B79"/>
    <w:rsid w:val="00E92F0D"/>
    <w:rsid w:val="00E9311B"/>
    <w:rsid w:val="00E93125"/>
    <w:rsid w:val="00E93A25"/>
    <w:rsid w:val="00E93BCF"/>
    <w:rsid w:val="00E93BE1"/>
    <w:rsid w:val="00E9421A"/>
    <w:rsid w:val="00E948B9"/>
    <w:rsid w:val="00E949A5"/>
    <w:rsid w:val="00E94E48"/>
    <w:rsid w:val="00E9501E"/>
    <w:rsid w:val="00E9509C"/>
    <w:rsid w:val="00E951BF"/>
    <w:rsid w:val="00E953A1"/>
    <w:rsid w:val="00E9584D"/>
    <w:rsid w:val="00E95A7E"/>
    <w:rsid w:val="00E95F44"/>
    <w:rsid w:val="00E96066"/>
    <w:rsid w:val="00E9629F"/>
    <w:rsid w:val="00E9640B"/>
    <w:rsid w:val="00E96AF8"/>
    <w:rsid w:val="00E974B6"/>
    <w:rsid w:val="00E978C7"/>
    <w:rsid w:val="00E97CC1"/>
    <w:rsid w:val="00E97D93"/>
    <w:rsid w:val="00E97E57"/>
    <w:rsid w:val="00E97F0B"/>
    <w:rsid w:val="00EA0725"/>
    <w:rsid w:val="00EA0737"/>
    <w:rsid w:val="00EA0812"/>
    <w:rsid w:val="00EA0D2C"/>
    <w:rsid w:val="00EA116F"/>
    <w:rsid w:val="00EA17CD"/>
    <w:rsid w:val="00EA1E83"/>
    <w:rsid w:val="00EA2529"/>
    <w:rsid w:val="00EA3281"/>
    <w:rsid w:val="00EA334F"/>
    <w:rsid w:val="00EA3508"/>
    <w:rsid w:val="00EA373C"/>
    <w:rsid w:val="00EA4340"/>
    <w:rsid w:val="00EA4549"/>
    <w:rsid w:val="00EA4E8F"/>
    <w:rsid w:val="00EA506F"/>
    <w:rsid w:val="00EA55CF"/>
    <w:rsid w:val="00EA5995"/>
    <w:rsid w:val="00EA607A"/>
    <w:rsid w:val="00EA7046"/>
    <w:rsid w:val="00EA7404"/>
    <w:rsid w:val="00EA7979"/>
    <w:rsid w:val="00EA7A05"/>
    <w:rsid w:val="00EA7B05"/>
    <w:rsid w:val="00EA7EC5"/>
    <w:rsid w:val="00EA7F16"/>
    <w:rsid w:val="00EB049D"/>
    <w:rsid w:val="00EB0AB9"/>
    <w:rsid w:val="00EB0B15"/>
    <w:rsid w:val="00EB104B"/>
    <w:rsid w:val="00EB11FE"/>
    <w:rsid w:val="00EB141A"/>
    <w:rsid w:val="00EB149F"/>
    <w:rsid w:val="00EB1BA2"/>
    <w:rsid w:val="00EB1DEF"/>
    <w:rsid w:val="00EB2037"/>
    <w:rsid w:val="00EB2716"/>
    <w:rsid w:val="00EB2A7F"/>
    <w:rsid w:val="00EB2D82"/>
    <w:rsid w:val="00EB3477"/>
    <w:rsid w:val="00EB35AE"/>
    <w:rsid w:val="00EB39FF"/>
    <w:rsid w:val="00EB3C11"/>
    <w:rsid w:val="00EB3CBD"/>
    <w:rsid w:val="00EB3F14"/>
    <w:rsid w:val="00EB421F"/>
    <w:rsid w:val="00EB431B"/>
    <w:rsid w:val="00EB4739"/>
    <w:rsid w:val="00EB4922"/>
    <w:rsid w:val="00EB4BCE"/>
    <w:rsid w:val="00EB4C00"/>
    <w:rsid w:val="00EB536D"/>
    <w:rsid w:val="00EB55A7"/>
    <w:rsid w:val="00EB5753"/>
    <w:rsid w:val="00EB5B23"/>
    <w:rsid w:val="00EB5C43"/>
    <w:rsid w:val="00EB5ECF"/>
    <w:rsid w:val="00EB5F79"/>
    <w:rsid w:val="00EB6079"/>
    <w:rsid w:val="00EB60D2"/>
    <w:rsid w:val="00EB6716"/>
    <w:rsid w:val="00EB6B9B"/>
    <w:rsid w:val="00EB7098"/>
    <w:rsid w:val="00EC00FB"/>
    <w:rsid w:val="00EC0A81"/>
    <w:rsid w:val="00EC0CA7"/>
    <w:rsid w:val="00EC1FA5"/>
    <w:rsid w:val="00EC288E"/>
    <w:rsid w:val="00EC2D58"/>
    <w:rsid w:val="00EC2E68"/>
    <w:rsid w:val="00EC2F5D"/>
    <w:rsid w:val="00EC3630"/>
    <w:rsid w:val="00EC3D45"/>
    <w:rsid w:val="00EC3D9D"/>
    <w:rsid w:val="00EC4212"/>
    <w:rsid w:val="00EC439D"/>
    <w:rsid w:val="00EC43FD"/>
    <w:rsid w:val="00EC4753"/>
    <w:rsid w:val="00EC49A0"/>
    <w:rsid w:val="00EC5072"/>
    <w:rsid w:val="00EC525F"/>
    <w:rsid w:val="00EC57F9"/>
    <w:rsid w:val="00EC591E"/>
    <w:rsid w:val="00EC5D80"/>
    <w:rsid w:val="00EC5E95"/>
    <w:rsid w:val="00EC669A"/>
    <w:rsid w:val="00EC69D4"/>
    <w:rsid w:val="00EC773B"/>
    <w:rsid w:val="00EC7DFE"/>
    <w:rsid w:val="00EC7E71"/>
    <w:rsid w:val="00ED071F"/>
    <w:rsid w:val="00ED077C"/>
    <w:rsid w:val="00ED0905"/>
    <w:rsid w:val="00ED0A84"/>
    <w:rsid w:val="00ED16F5"/>
    <w:rsid w:val="00ED1737"/>
    <w:rsid w:val="00ED1799"/>
    <w:rsid w:val="00ED186A"/>
    <w:rsid w:val="00ED1D17"/>
    <w:rsid w:val="00ED1F3D"/>
    <w:rsid w:val="00ED22B6"/>
    <w:rsid w:val="00ED28E6"/>
    <w:rsid w:val="00ED290C"/>
    <w:rsid w:val="00ED2DD4"/>
    <w:rsid w:val="00ED326C"/>
    <w:rsid w:val="00ED33C0"/>
    <w:rsid w:val="00ED399F"/>
    <w:rsid w:val="00ED3B93"/>
    <w:rsid w:val="00ED3D39"/>
    <w:rsid w:val="00ED3D71"/>
    <w:rsid w:val="00ED3F6C"/>
    <w:rsid w:val="00ED43D8"/>
    <w:rsid w:val="00ED480A"/>
    <w:rsid w:val="00ED55AD"/>
    <w:rsid w:val="00ED563E"/>
    <w:rsid w:val="00ED5F63"/>
    <w:rsid w:val="00ED6179"/>
    <w:rsid w:val="00ED64B6"/>
    <w:rsid w:val="00ED6610"/>
    <w:rsid w:val="00ED6A07"/>
    <w:rsid w:val="00ED6A9D"/>
    <w:rsid w:val="00ED6E2A"/>
    <w:rsid w:val="00ED713F"/>
    <w:rsid w:val="00ED72F0"/>
    <w:rsid w:val="00ED75B2"/>
    <w:rsid w:val="00ED7B8A"/>
    <w:rsid w:val="00ED7BB2"/>
    <w:rsid w:val="00ED7D5F"/>
    <w:rsid w:val="00EE0F35"/>
    <w:rsid w:val="00EE1142"/>
    <w:rsid w:val="00EE1594"/>
    <w:rsid w:val="00EE1F81"/>
    <w:rsid w:val="00EE1FAA"/>
    <w:rsid w:val="00EE21A2"/>
    <w:rsid w:val="00EE21E8"/>
    <w:rsid w:val="00EE24D3"/>
    <w:rsid w:val="00EE2EE4"/>
    <w:rsid w:val="00EE3327"/>
    <w:rsid w:val="00EE348F"/>
    <w:rsid w:val="00EE36AF"/>
    <w:rsid w:val="00EE36C6"/>
    <w:rsid w:val="00EE3925"/>
    <w:rsid w:val="00EE3A00"/>
    <w:rsid w:val="00EE402B"/>
    <w:rsid w:val="00EE406D"/>
    <w:rsid w:val="00EE46F4"/>
    <w:rsid w:val="00EE47B3"/>
    <w:rsid w:val="00EE4B85"/>
    <w:rsid w:val="00EE4CF0"/>
    <w:rsid w:val="00EE50A4"/>
    <w:rsid w:val="00EE521D"/>
    <w:rsid w:val="00EE61CA"/>
    <w:rsid w:val="00EE6276"/>
    <w:rsid w:val="00EE6632"/>
    <w:rsid w:val="00EE6AA1"/>
    <w:rsid w:val="00EE772A"/>
    <w:rsid w:val="00EE7836"/>
    <w:rsid w:val="00EE7F2E"/>
    <w:rsid w:val="00EF01CE"/>
    <w:rsid w:val="00EF028F"/>
    <w:rsid w:val="00EF04C4"/>
    <w:rsid w:val="00EF061D"/>
    <w:rsid w:val="00EF081E"/>
    <w:rsid w:val="00EF146E"/>
    <w:rsid w:val="00EF15D9"/>
    <w:rsid w:val="00EF1621"/>
    <w:rsid w:val="00EF16BE"/>
    <w:rsid w:val="00EF199D"/>
    <w:rsid w:val="00EF1B03"/>
    <w:rsid w:val="00EF1E22"/>
    <w:rsid w:val="00EF203E"/>
    <w:rsid w:val="00EF2125"/>
    <w:rsid w:val="00EF2DB4"/>
    <w:rsid w:val="00EF2E4C"/>
    <w:rsid w:val="00EF32DC"/>
    <w:rsid w:val="00EF36DA"/>
    <w:rsid w:val="00EF3AA0"/>
    <w:rsid w:val="00EF3F0B"/>
    <w:rsid w:val="00EF46D8"/>
    <w:rsid w:val="00EF4E6A"/>
    <w:rsid w:val="00EF4F33"/>
    <w:rsid w:val="00EF5142"/>
    <w:rsid w:val="00EF51E7"/>
    <w:rsid w:val="00EF5221"/>
    <w:rsid w:val="00EF57D3"/>
    <w:rsid w:val="00EF603D"/>
    <w:rsid w:val="00EF6221"/>
    <w:rsid w:val="00EF62F7"/>
    <w:rsid w:val="00EF635B"/>
    <w:rsid w:val="00EF6437"/>
    <w:rsid w:val="00EF66D7"/>
    <w:rsid w:val="00EF6CEE"/>
    <w:rsid w:val="00EF6FCB"/>
    <w:rsid w:val="00EF7932"/>
    <w:rsid w:val="00EF7B63"/>
    <w:rsid w:val="00EF7C1C"/>
    <w:rsid w:val="00F003B1"/>
    <w:rsid w:val="00F00C2C"/>
    <w:rsid w:val="00F00C97"/>
    <w:rsid w:val="00F01375"/>
    <w:rsid w:val="00F0142A"/>
    <w:rsid w:val="00F01E48"/>
    <w:rsid w:val="00F01E5B"/>
    <w:rsid w:val="00F0216B"/>
    <w:rsid w:val="00F022D8"/>
    <w:rsid w:val="00F02322"/>
    <w:rsid w:val="00F028AB"/>
    <w:rsid w:val="00F02CD0"/>
    <w:rsid w:val="00F02E1F"/>
    <w:rsid w:val="00F03016"/>
    <w:rsid w:val="00F032CE"/>
    <w:rsid w:val="00F0351E"/>
    <w:rsid w:val="00F03B81"/>
    <w:rsid w:val="00F03BEE"/>
    <w:rsid w:val="00F03C8C"/>
    <w:rsid w:val="00F03E13"/>
    <w:rsid w:val="00F03F17"/>
    <w:rsid w:val="00F04312"/>
    <w:rsid w:val="00F0450A"/>
    <w:rsid w:val="00F045A4"/>
    <w:rsid w:val="00F04734"/>
    <w:rsid w:val="00F04743"/>
    <w:rsid w:val="00F05068"/>
    <w:rsid w:val="00F053AC"/>
    <w:rsid w:val="00F05D0E"/>
    <w:rsid w:val="00F060F8"/>
    <w:rsid w:val="00F06659"/>
    <w:rsid w:val="00F0671C"/>
    <w:rsid w:val="00F0680F"/>
    <w:rsid w:val="00F06B41"/>
    <w:rsid w:val="00F06C8F"/>
    <w:rsid w:val="00F06E64"/>
    <w:rsid w:val="00F074C1"/>
    <w:rsid w:val="00F07991"/>
    <w:rsid w:val="00F10146"/>
    <w:rsid w:val="00F1037B"/>
    <w:rsid w:val="00F1044D"/>
    <w:rsid w:val="00F107E9"/>
    <w:rsid w:val="00F10AF6"/>
    <w:rsid w:val="00F10C1A"/>
    <w:rsid w:val="00F10D2E"/>
    <w:rsid w:val="00F10D6E"/>
    <w:rsid w:val="00F116E4"/>
    <w:rsid w:val="00F11881"/>
    <w:rsid w:val="00F119E8"/>
    <w:rsid w:val="00F1208E"/>
    <w:rsid w:val="00F12247"/>
    <w:rsid w:val="00F12536"/>
    <w:rsid w:val="00F12D1A"/>
    <w:rsid w:val="00F12FB4"/>
    <w:rsid w:val="00F13244"/>
    <w:rsid w:val="00F136E0"/>
    <w:rsid w:val="00F13B4A"/>
    <w:rsid w:val="00F14B21"/>
    <w:rsid w:val="00F14F09"/>
    <w:rsid w:val="00F150B3"/>
    <w:rsid w:val="00F15207"/>
    <w:rsid w:val="00F152A9"/>
    <w:rsid w:val="00F15648"/>
    <w:rsid w:val="00F15745"/>
    <w:rsid w:val="00F15751"/>
    <w:rsid w:val="00F15A3A"/>
    <w:rsid w:val="00F15D3F"/>
    <w:rsid w:val="00F16377"/>
    <w:rsid w:val="00F164B7"/>
    <w:rsid w:val="00F164C9"/>
    <w:rsid w:val="00F16871"/>
    <w:rsid w:val="00F16ECC"/>
    <w:rsid w:val="00F16F23"/>
    <w:rsid w:val="00F1705D"/>
    <w:rsid w:val="00F17252"/>
    <w:rsid w:val="00F172EB"/>
    <w:rsid w:val="00F17ABD"/>
    <w:rsid w:val="00F17B19"/>
    <w:rsid w:val="00F17F8E"/>
    <w:rsid w:val="00F20689"/>
    <w:rsid w:val="00F2077E"/>
    <w:rsid w:val="00F2091D"/>
    <w:rsid w:val="00F21272"/>
    <w:rsid w:val="00F22104"/>
    <w:rsid w:val="00F2223E"/>
    <w:rsid w:val="00F22909"/>
    <w:rsid w:val="00F229FC"/>
    <w:rsid w:val="00F22DFC"/>
    <w:rsid w:val="00F23690"/>
    <w:rsid w:val="00F2378E"/>
    <w:rsid w:val="00F243E5"/>
    <w:rsid w:val="00F244BA"/>
    <w:rsid w:val="00F24A44"/>
    <w:rsid w:val="00F2503E"/>
    <w:rsid w:val="00F25543"/>
    <w:rsid w:val="00F25623"/>
    <w:rsid w:val="00F25682"/>
    <w:rsid w:val="00F25A6F"/>
    <w:rsid w:val="00F25AD7"/>
    <w:rsid w:val="00F25EA4"/>
    <w:rsid w:val="00F263F0"/>
    <w:rsid w:val="00F26890"/>
    <w:rsid w:val="00F2783B"/>
    <w:rsid w:val="00F308A8"/>
    <w:rsid w:val="00F308D8"/>
    <w:rsid w:val="00F30C47"/>
    <w:rsid w:val="00F31664"/>
    <w:rsid w:val="00F3172E"/>
    <w:rsid w:val="00F31A87"/>
    <w:rsid w:val="00F3218B"/>
    <w:rsid w:val="00F322A2"/>
    <w:rsid w:val="00F32319"/>
    <w:rsid w:val="00F334B0"/>
    <w:rsid w:val="00F33891"/>
    <w:rsid w:val="00F33F12"/>
    <w:rsid w:val="00F34728"/>
    <w:rsid w:val="00F34B19"/>
    <w:rsid w:val="00F34EF8"/>
    <w:rsid w:val="00F350BE"/>
    <w:rsid w:val="00F3573D"/>
    <w:rsid w:val="00F35FC6"/>
    <w:rsid w:val="00F362BE"/>
    <w:rsid w:val="00F362C0"/>
    <w:rsid w:val="00F367C2"/>
    <w:rsid w:val="00F36881"/>
    <w:rsid w:val="00F3735A"/>
    <w:rsid w:val="00F37AD5"/>
    <w:rsid w:val="00F37E50"/>
    <w:rsid w:val="00F4057A"/>
    <w:rsid w:val="00F41130"/>
    <w:rsid w:val="00F417AC"/>
    <w:rsid w:val="00F418FF"/>
    <w:rsid w:val="00F41AE7"/>
    <w:rsid w:val="00F41C7E"/>
    <w:rsid w:val="00F41F2C"/>
    <w:rsid w:val="00F424A6"/>
    <w:rsid w:val="00F42509"/>
    <w:rsid w:val="00F425AB"/>
    <w:rsid w:val="00F4269D"/>
    <w:rsid w:val="00F4295B"/>
    <w:rsid w:val="00F42CE2"/>
    <w:rsid w:val="00F42F9A"/>
    <w:rsid w:val="00F4357C"/>
    <w:rsid w:val="00F43C36"/>
    <w:rsid w:val="00F43EC5"/>
    <w:rsid w:val="00F4477D"/>
    <w:rsid w:val="00F44965"/>
    <w:rsid w:val="00F45C2B"/>
    <w:rsid w:val="00F460C9"/>
    <w:rsid w:val="00F46181"/>
    <w:rsid w:val="00F46494"/>
    <w:rsid w:val="00F46779"/>
    <w:rsid w:val="00F46855"/>
    <w:rsid w:val="00F47116"/>
    <w:rsid w:val="00F472A5"/>
    <w:rsid w:val="00F47359"/>
    <w:rsid w:val="00F477F0"/>
    <w:rsid w:val="00F47870"/>
    <w:rsid w:val="00F47F85"/>
    <w:rsid w:val="00F50197"/>
    <w:rsid w:val="00F50720"/>
    <w:rsid w:val="00F507C8"/>
    <w:rsid w:val="00F507D8"/>
    <w:rsid w:val="00F50BD0"/>
    <w:rsid w:val="00F51562"/>
    <w:rsid w:val="00F5162A"/>
    <w:rsid w:val="00F517E1"/>
    <w:rsid w:val="00F51C1E"/>
    <w:rsid w:val="00F51C40"/>
    <w:rsid w:val="00F522DF"/>
    <w:rsid w:val="00F52A3F"/>
    <w:rsid w:val="00F52A93"/>
    <w:rsid w:val="00F52D7A"/>
    <w:rsid w:val="00F52E19"/>
    <w:rsid w:val="00F53081"/>
    <w:rsid w:val="00F5338D"/>
    <w:rsid w:val="00F533FF"/>
    <w:rsid w:val="00F538A3"/>
    <w:rsid w:val="00F53B86"/>
    <w:rsid w:val="00F53FF2"/>
    <w:rsid w:val="00F54178"/>
    <w:rsid w:val="00F54286"/>
    <w:rsid w:val="00F5466A"/>
    <w:rsid w:val="00F54830"/>
    <w:rsid w:val="00F549BC"/>
    <w:rsid w:val="00F54F39"/>
    <w:rsid w:val="00F5526A"/>
    <w:rsid w:val="00F5534B"/>
    <w:rsid w:val="00F55354"/>
    <w:rsid w:val="00F558EC"/>
    <w:rsid w:val="00F55BA1"/>
    <w:rsid w:val="00F55D76"/>
    <w:rsid w:val="00F56923"/>
    <w:rsid w:val="00F56AB2"/>
    <w:rsid w:val="00F5730C"/>
    <w:rsid w:val="00F6060C"/>
    <w:rsid w:val="00F6132C"/>
    <w:rsid w:val="00F613AF"/>
    <w:rsid w:val="00F614D5"/>
    <w:rsid w:val="00F618EF"/>
    <w:rsid w:val="00F619B1"/>
    <w:rsid w:val="00F61A6F"/>
    <w:rsid w:val="00F627F4"/>
    <w:rsid w:val="00F638F1"/>
    <w:rsid w:val="00F64279"/>
    <w:rsid w:val="00F64339"/>
    <w:rsid w:val="00F649C1"/>
    <w:rsid w:val="00F64EA4"/>
    <w:rsid w:val="00F650CB"/>
    <w:rsid w:val="00F650CF"/>
    <w:rsid w:val="00F65713"/>
    <w:rsid w:val="00F65823"/>
    <w:rsid w:val="00F65926"/>
    <w:rsid w:val="00F659E7"/>
    <w:rsid w:val="00F660F7"/>
    <w:rsid w:val="00F66402"/>
    <w:rsid w:val="00F671D6"/>
    <w:rsid w:val="00F673A3"/>
    <w:rsid w:val="00F673B1"/>
    <w:rsid w:val="00F67797"/>
    <w:rsid w:val="00F677FD"/>
    <w:rsid w:val="00F678B2"/>
    <w:rsid w:val="00F67B89"/>
    <w:rsid w:val="00F67FA3"/>
    <w:rsid w:val="00F7059A"/>
    <w:rsid w:val="00F7091D"/>
    <w:rsid w:val="00F70B9F"/>
    <w:rsid w:val="00F70CA9"/>
    <w:rsid w:val="00F70D55"/>
    <w:rsid w:val="00F7102D"/>
    <w:rsid w:val="00F7148A"/>
    <w:rsid w:val="00F716A3"/>
    <w:rsid w:val="00F718F3"/>
    <w:rsid w:val="00F71935"/>
    <w:rsid w:val="00F720DA"/>
    <w:rsid w:val="00F72412"/>
    <w:rsid w:val="00F7260F"/>
    <w:rsid w:val="00F72F17"/>
    <w:rsid w:val="00F73485"/>
    <w:rsid w:val="00F73768"/>
    <w:rsid w:val="00F738C9"/>
    <w:rsid w:val="00F73D57"/>
    <w:rsid w:val="00F74B10"/>
    <w:rsid w:val="00F74D89"/>
    <w:rsid w:val="00F74E25"/>
    <w:rsid w:val="00F7540F"/>
    <w:rsid w:val="00F7572C"/>
    <w:rsid w:val="00F75A64"/>
    <w:rsid w:val="00F75E99"/>
    <w:rsid w:val="00F75F29"/>
    <w:rsid w:val="00F76A30"/>
    <w:rsid w:val="00F7762B"/>
    <w:rsid w:val="00F77A77"/>
    <w:rsid w:val="00F77B27"/>
    <w:rsid w:val="00F77C75"/>
    <w:rsid w:val="00F8033A"/>
    <w:rsid w:val="00F8061F"/>
    <w:rsid w:val="00F80A43"/>
    <w:rsid w:val="00F80E39"/>
    <w:rsid w:val="00F81266"/>
    <w:rsid w:val="00F816A5"/>
    <w:rsid w:val="00F81759"/>
    <w:rsid w:val="00F81B4E"/>
    <w:rsid w:val="00F822C5"/>
    <w:rsid w:val="00F831E0"/>
    <w:rsid w:val="00F833A2"/>
    <w:rsid w:val="00F83458"/>
    <w:rsid w:val="00F8351D"/>
    <w:rsid w:val="00F83668"/>
    <w:rsid w:val="00F83A08"/>
    <w:rsid w:val="00F83CF7"/>
    <w:rsid w:val="00F84030"/>
    <w:rsid w:val="00F84039"/>
    <w:rsid w:val="00F84068"/>
    <w:rsid w:val="00F84722"/>
    <w:rsid w:val="00F85101"/>
    <w:rsid w:val="00F851EF"/>
    <w:rsid w:val="00F85E69"/>
    <w:rsid w:val="00F85FCE"/>
    <w:rsid w:val="00F86123"/>
    <w:rsid w:val="00F86587"/>
    <w:rsid w:val="00F8674E"/>
    <w:rsid w:val="00F86A88"/>
    <w:rsid w:val="00F87E6B"/>
    <w:rsid w:val="00F90378"/>
    <w:rsid w:val="00F90BAA"/>
    <w:rsid w:val="00F90FCB"/>
    <w:rsid w:val="00F910DD"/>
    <w:rsid w:val="00F914ED"/>
    <w:rsid w:val="00F915AE"/>
    <w:rsid w:val="00F91930"/>
    <w:rsid w:val="00F92490"/>
    <w:rsid w:val="00F927D4"/>
    <w:rsid w:val="00F92829"/>
    <w:rsid w:val="00F92BC1"/>
    <w:rsid w:val="00F92D52"/>
    <w:rsid w:val="00F92E4F"/>
    <w:rsid w:val="00F93289"/>
    <w:rsid w:val="00F939F8"/>
    <w:rsid w:val="00F93BDC"/>
    <w:rsid w:val="00F94447"/>
    <w:rsid w:val="00F94643"/>
    <w:rsid w:val="00F94786"/>
    <w:rsid w:val="00F949E0"/>
    <w:rsid w:val="00F94D63"/>
    <w:rsid w:val="00F95080"/>
    <w:rsid w:val="00F9532E"/>
    <w:rsid w:val="00F958F1"/>
    <w:rsid w:val="00F95CF8"/>
    <w:rsid w:val="00F9615E"/>
    <w:rsid w:val="00F96775"/>
    <w:rsid w:val="00F96917"/>
    <w:rsid w:val="00F96CCF"/>
    <w:rsid w:val="00F97FBB"/>
    <w:rsid w:val="00FA033C"/>
    <w:rsid w:val="00FA08D7"/>
    <w:rsid w:val="00FA0B4F"/>
    <w:rsid w:val="00FA0D59"/>
    <w:rsid w:val="00FA10C8"/>
    <w:rsid w:val="00FA1276"/>
    <w:rsid w:val="00FA1277"/>
    <w:rsid w:val="00FA197F"/>
    <w:rsid w:val="00FA1C78"/>
    <w:rsid w:val="00FA2159"/>
    <w:rsid w:val="00FA27A8"/>
    <w:rsid w:val="00FA32C0"/>
    <w:rsid w:val="00FA354A"/>
    <w:rsid w:val="00FA3667"/>
    <w:rsid w:val="00FA3F23"/>
    <w:rsid w:val="00FA3F60"/>
    <w:rsid w:val="00FA4029"/>
    <w:rsid w:val="00FA4C55"/>
    <w:rsid w:val="00FA4E7E"/>
    <w:rsid w:val="00FA54AB"/>
    <w:rsid w:val="00FA5965"/>
    <w:rsid w:val="00FA5ADB"/>
    <w:rsid w:val="00FA708B"/>
    <w:rsid w:val="00FA7801"/>
    <w:rsid w:val="00FA79E5"/>
    <w:rsid w:val="00FA7EAB"/>
    <w:rsid w:val="00FA7F0A"/>
    <w:rsid w:val="00FB0586"/>
    <w:rsid w:val="00FB0605"/>
    <w:rsid w:val="00FB0682"/>
    <w:rsid w:val="00FB08A2"/>
    <w:rsid w:val="00FB0D9F"/>
    <w:rsid w:val="00FB0E97"/>
    <w:rsid w:val="00FB10A0"/>
    <w:rsid w:val="00FB17D7"/>
    <w:rsid w:val="00FB1AE1"/>
    <w:rsid w:val="00FB1B64"/>
    <w:rsid w:val="00FB1E04"/>
    <w:rsid w:val="00FB2113"/>
    <w:rsid w:val="00FB2155"/>
    <w:rsid w:val="00FB2379"/>
    <w:rsid w:val="00FB30EC"/>
    <w:rsid w:val="00FB34B1"/>
    <w:rsid w:val="00FB3783"/>
    <w:rsid w:val="00FB41C7"/>
    <w:rsid w:val="00FB47E3"/>
    <w:rsid w:val="00FB48F7"/>
    <w:rsid w:val="00FB495D"/>
    <w:rsid w:val="00FB4A5A"/>
    <w:rsid w:val="00FB4ACC"/>
    <w:rsid w:val="00FB4B75"/>
    <w:rsid w:val="00FB4BA3"/>
    <w:rsid w:val="00FB4DC6"/>
    <w:rsid w:val="00FB5713"/>
    <w:rsid w:val="00FB5735"/>
    <w:rsid w:val="00FB5F56"/>
    <w:rsid w:val="00FB5FB6"/>
    <w:rsid w:val="00FB61E3"/>
    <w:rsid w:val="00FB62B9"/>
    <w:rsid w:val="00FB6321"/>
    <w:rsid w:val="00FB637A"/>
    <w:rsid w:val="00FB6C63"/>
    <w:rsid w:val="00FB6CC5"/>
    <w:rsid w:val="00FB6D0C"/>
    <w:rsid w:val="00FB7131"/>
    <w:rsid w:val="00FB7307"/>
    <w:rsid w:val="00FB7D08"/>
    <w:rsid w:val="00FB7ECE"/>
    <w:rsid w:val="00FC04C5"/>
    <w:rsid w:val="00FC0822"/>
    <w:rsid w:val="00FC1391"/>
    <w:rsid w:val="00FC1B03"/>
    <w:rsid w:val="00FC1C79"/>
    <w:rsid w:val="00FC1EC1"/>
    <w:rsid w:val="00FC2047"/>
    <w:rsid w:val="00FC2A3A"/>
    <w:rsid w:val="00FC3DFA"/>
    <w:rsid w:val="00FC44C0"/>
    <w:rsid w:val="00FC46A3"/>
    <w:rsid w:val="00FC46C3"/>
    <w:rsid w:val="00FC476E"/>
    <w:rsid w:val="00FC4A9D"/>
    <w:rsid w:val="00FC4AD4"/>
    <w:rsid w:val="00FC4E2E"/>
    <w:rsid w:val="00FC4FD9"/>
    <w:rsid w:val="00FC530B"/>
    <w:rsid w:val="00FC5D46"/>
    <w:rsid w:val="00FC5D96"/>
    <w:rsid w:val="00FC5EF4"/>
    <w:rsid w:val="00FC6028"/>
    <w:rsid w:val="00FC64F2"/>
    <w:rsid w:val="00FC65E9"/>
    <w:rsid w:val="00FC6A57"/>
    <w:rsid w:val="00FC7856"/>
    <w:rsid w:val="00FC7DC0"/>
    <w:rsid w:val="00FD01BE"/>
    <w:rsid w:val="00FD027C"/>
    <w:rsid w:val="00FD0C62"/>
    <w:rsid w:val="00FD0D97"/>
    <w:rsid w:val="00FD0FF7"/>
    <w:rsid w:val="00FD127D"/>
    <w:rsid w:val="00FD1394"/>
    <w:rsid w:val="00FD1757"/>
    <w:rsid w:val="00FD19BE"/>
    <w:rsid w:val="00FD1BD4"/>
    <w:rsid w:val="00FD2044"/>
    <w:rsid w:val="00FD2D66"/>
    <w:rsid w:val="00FD2D8D"/>
    <w:rsid w:val="00FD3081"/>
    <w:rsid w:val="00FD30A3"/>
    <w:rsid w:val="00FD32C6"/>
    <w:rsid w:val="00FD33FF"/>
    <w:rsid w:val="00FD352B"/>
    <w:rsid w:val="00FD362C"/>
    <w:rsid w:val="00FD3721"/>
    <w:rsid w:val="00FD3A31"/>
    <w:rsid w:val="00FD4425"/>
    <w:rsid w:val="00FD4802"/>
    <w:rsid w:val="00FD4869"/>
    <w:rsid w:val="00FD4CF8"/>
    <w:rsid w:val="00FD5146"/>
    <w:rsid w:val="00FD521B"/>
    <w:rsid w:val="00FD52A0"/>
    <w:rsid w:val="00FD583D"/>
    <w:rsid w:val="00FD5997"/>
    <w:rsid w:val="00FD63A0"/>
    <w:rsid w:val="00FD6AD9"/>
    <w:rsid w:val="00FD6F38"/>
    <w:rsid w:val="00FD78DB"/>
    <w:rsid w:val="00FD7A42"/>
    <w:rsid w:val="00FD7ECB"/>
    <w:rsid w:val="00FE00E0"/>
    <w:rsid w:val="00FE00E6"/>
    <w:rsid w:val="00FE07FC"/>
    <w:rsid w:val="00FE0C9C"/>
    <w:rsid w:val="00FE1500"/>
    <w:rsid w:val="00FE1590"/>
    <w:rsid w:val="00FE19EE"/>
    <w:rsid w:val="00FE1CEE"/>
    <w:rsid w:val="00FE202E"/>
    <w:rsid w:val="00FE21C1"/>
    <w:rsid w:val="00FE22B3"/>
    <w:rsid w:val="00FE257E"/>
    <w:rsid w:val="00FE2598"/>
    <w:rsid w:val="00FE2900"/>
    <w:rsid w:val="00FE2C08"/>
    <w:rsid w:val="00FE2F05"/>
    <w:rsid w:val="00FE31CB"/>
    <w:rsid w:val="00FE33D7"/>
    <w:rsid w:val="00FE37A9"/>
    <w:rsid w:val="00FE3886"/>
    <w:rsid w:val="00FE437C"/>
    <w:rsid w:val="00FE44B8"/>
    <w:rsid w:val="00FE47C2"/>
    <w:rsid w:val="00FE482B"/>
    <w:rsid w:val="00FE49EF"/>
    <w:rsid w:val="00FE4C9E"/>
    <w:rsid w:val="00FE5121"/>
    <w:rsid w:val="00FE52E8"/>
    <w:rsid w:val="00FE5BD1"/>
    <w:rsid w:val="00FE5C5B"/>
    <w:rsid w:val="00FE6127"/>
    <w:rsid w:val="00FE67B6"/>
    <w:rsid w:val="00FE67E3"/>
    <w:rsid w:val="00FE6A61"/>
    <w:rsid w:val="00FE6A94"/>
    <w:rsid w:val="00FE6D52"/>
    <w:rsid w:val="00FE7190"/>
    <w:rsid w:val="00FE7768"/>
    <w:rsid w:val="00FF02F0"/>
    <w:rsid w:val="00FF03D0"/>
    <w:rsid w:val="00FF0487"/>
    <w:rsid w:val="00FF07B0"/>
    <w:rsid w:val="00FF09C3"/>
    <w:rsid w:val="00FF1041"/>
    <w:rsid w:val="00FF1409"/>
    <w:rsid w:val="00FF1804"/>
    <w:rsid w:val="00FF1A2D"/>
    <w:rsid w:val="00FF1BD1"/>
    <w:rsid w:val="00FF24BF"/>
    <w:rsid w:val="00FF26F0"/>
    <w:rsid w:val="00FF275A"/>
    <w:rsid w:val="00FF2DF8"/>
    <w:rsid w:val="00FF31BC"/>
    <w:rsid w:val="00FF3693"/>
    <w:rsid w:val="00FF3814"/>
    <w:rsid w:val="00FF394B"/>
    <w:rsid w:val="00FF3963"/>
    <w:rsid w:val="00FF3A7D"/>
    <w:rsid w:val="00FF3AFF"/>
    <w:rsid w:val="00FF3BF1"/>
    <w:rsid w:val="00FF3C13"/>
    <w:rsid w:val="00FF3C32"/>
    <w:rsid w:val="00FF3F26"/>
    <w:rsid w:val="00FF43AD"/>
    <w:rsid w:val="00FF4667"/>
    <w:rsid w:val="00FF4AAB"/>
    <w:rsid w:val="00FF4AFD"/>
    <w:rsid w:val="00FF4D78"/>
    <w:rsid w:val="00FF4FC6"/>
    <w:rsid w:val="00FF5202"/>
    <w:rsid w:val="00FF5445"/>
    <w:rsid w:val="00FF55C1"/>
    <w:rsid w:val="00FF5C20"/>
    <w:rsid w:val="00FF607D"/>
    <w:rsid w:val="00FF6179"/>
    <w:rsid w:val="00FF623A"/>
    <w:rsid w:val="00FF663C"/>
    <w:rsid w:val="00FF7534"/>
    <w:rsid w:val="00FF7966"/>
    <w:rsid w:val="00FF7D16"/>
    <w:rsid w:val="00FF7D1F"/>
    <w:rsid w:val="00FF7D5A"/>
    <w:rsid w:val="00FF7D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07D1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sz w:val="22"/>
        <w:szCs w:val="22"/>
        <w:lang w:val="en-AU" w:eastAsia="en-AU" w:bidi="ar-SA"/>
      </w:rPr>
    </w:rPrDefault>
    <w:pPrDefault>
      <w:pPr>
        <w:spacing w:line="264"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lsdException w:name="heading 7" w:semiHidden="1" w:unhideWhenUsed="1"/>
    <w:lsdException w:name="heading 8" w:semiHidden="1" w:uiPriority="3" w:unhideWhenUsed="1" w:qFormat="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695"/>
    <w:rPr>
      <w:rFonts w:ascii="Arial" w:hAnsi="Arial"/>
    </w:rPr>
  </w:style>
  <w:style w:type="paragraph" w:styleId="Heading1">
    <w:name w:val="heading 1"/>
    <w:basedOn w:val="Normal"/>
    <w:next w:val="BodyText"/>
    <w:link w:val="Heading1Char"/>
    <w:qFormat/>
    <w:rsid w:val="00DE2084"/>
    <w:pPr>
      <w:keepNext/>
      <w:keepLines/>
      <w:numPr>
        <w:numId w:val="10"/>
      </w:numPr>
      <w:spacing w:before="480" w:after="240"/>
      <w:outlineLvl w:val="0"/>
    </w:pPr>
    <w:rPr>
      <w:rFonts w:asciiTheme="majorHAnsi" w:eastAsiaTheme="minorEastAsia" w:hAnsiTheme="majorHAnsi" w:cstheme="majorBidi"/>
      <w:b/>
      <w:bCs/>
      <w:color w:val="007BC1"/>
      <w:sz w:val="32"/>
      <w:szCs w:val="32"/>
    </w:rPr>
  </w:style>
  <w:style w:type="paragraph" w:styleId="Heading2">
    <w:name w:val="heading 2"/>
    <w:basedOn w:val="Normal"/>
    <w:next w:val="BodyText"/>
    <w:link w:val="Heading2Char"/>
    <w:qFormat/>
    <w:rsid w:val="00912579"/>
    <w:pPr>
      <w:keepNext/>
      <w:keepLines/>
      <w:numPr>
        <w:ilvl w:val="1"/>
        <w:numId w:val="10"/>
      </w:numPr>
      <w:spacing w:before="360" w:after="240"/>
      <w:outlineLvl w:val="1"/>
    </w:pPr>
    <w:rPr>
      <w:rFonts w:asciiTheme="majorHAnsi" w:eastAsiaTheme="majorEastAsia" w:hAnsiTheme="majorHAnsi" w:cstheme="majorBidi"/>
      <w:b/>
      <w:bCs/>
      <w:color w:val="007BC1"/>
      <w:sz w:val="28"/>
      <w:szCs w:val="26"/>
    </w:rPr>
  </w:style>
  <w:style w:type="paragraph" w:styleId="Heading3">
    <w:name w:val="heading 3"/>
    <w:basedOn w:val="Normal"/>
    <w:next w:val="BodyText"/>
    <w:link w:val="Heading3Char"/>
    <w:qFormat/>
    <w:rsid w:val="0076524D"/>
    <w:pPr>
      <w:keepNext/>
      <w:keepLines/>
      <w:numPr>
        <w:ilvl w:val="2"/>
        <w:numId w:val="10"/>
      </w:numPr>
      <w:spacing w:before="360" w:after="240"/>
      <w:contextualSpacing/>
      <w:outlineLvl w:val="2"/>
    </w:pPr>
    <w:rPr>
      <w:rFonts w:asciiTheme="majorHAnsi" w:eastAsiaTheme="majorEastAsia" w:hAnsiTheme="majorHAnsi" w:cstheme="majorBidi"/>
      <w:b/>
      <w:bCs/>
      <w:color w:val="007BC1"/>
      <w:sz w:val="24"/>
    </w:rPr>
  </w:style>
  <w:style w:type="paragraph" w:styleId="Heading4">
    <w:name w:val="heading 4"/>
    <w:basedOn w:val="Normal"/>
    <w:next w:val="BodyText"/>
    <w:link w:val="Heading4Char"/>
    <w:qFormat/>
    <w:rsid w:val="00DE2084"/>
    <w:pPr>
      <w:keepNext/>
      <w:keepLines/>
      <w:numPr>
        <w:ilvl w:val="3"/>
        <w:numId w:val="10"/>
      </w:numPr>
      <w:spacing w:before="360" w:after="240"/>
      <w:outlineLvl w:val="3"/>
    </w:pPr>
    <w:rPr>
      <w:rFonts w:asciiTheme="majorHAnsi" w:eastAsiaTheme="majorEastAsia" w:hAnsiTheme="majorHAnsi" w:cstheme="majorBidi"/>
      <w:b/>
      <w:bCs/>
      <w:i/>
      <w:iCs/>
      <w:color w:val="007BC1"/>
    </w:rPr>
  </w:style>
  <w:style w:type="paragraph" w:styleId="Heading5">
    <w:name w:val="heading 5"/>
    <w:basedOn w:val="Normal"/>
    <w:next w:val="Normal"/>
    <w:link w:val="Heading5Char"/>
    <w:semiHidden/>
    <w:qFormat/>
    <w:rsid w:val="00A014E2"/>
    <w:pPr>
      <w:keepNext/>
      <w:keepLines/>
      <w:numPr>
        <w:ilvl w:val="4"/>
        <w:numId w:val="10"/>
      </w:numPr>
      <w:spacing w:before="360" w:after="240"/>
      <w:outlineLvl w:val="4"/>
    </w:pPr>
    <w:rPr>
      <w:rFonts w:asciiTheme="majorHAnsi" w:eastAsiaTheme="majorEastAsia" w:hAnsiTheme="majorHAnsi" w:cstheme="majorBidi"/>
      <w:i/>
      <w:color w:val="214C90" w:themeColor="text2"/>
    </w:rPr>
  </w:style>
  <w:style w:type="paragraph" w:styleId="Heading6">
    <w:name w:val="heading 6"/>
    <w:basedOn w:val="Normal"/>
    <w:next w:val="BodyText"/>
    <w:link w:val="Heading6Char"/>
    <w:semiHidden/>
    <w:rsid w:val="00A014E2"/>
    <w:pPr>
      <w:keepNext/>
      <w:keepLines/>
      <w:spacing w:before="240" w:after="120"/>
      <w:outlineLvl w:val="5"/>
    </w:pPr>
    <w:rPr>
      <w:rFonts w:asciiTheme="majorHAnsi" w:eastAsiaTheme="majorEastAsia" w:hAnsiTheme="majorHAnsi" w:cstheme="majorBidi"/>
      <w:b/>
      <w:iCs/>
      <w:color w:val="214C90" w:themeColor="text2"/>
      <w:lang w:eastAsia="en-US"/>
    </w:rPr>
  </w:style>
  <w:style w:type="paragraph" w:styleId="Heading7">
    <w:name w:val="heading 7"/>
    <w:basedOn w:val="Normal"/>
    <w:next w:val="BodyText"/>
    <w:link w:val="Heading7Char"/>
    <w:semiHidden/>
    <w:rsid w:val="00D31696"/>
    <w:pPr>
      <w:keepNext/>
      <w:keepLines/>
      <w:pageBreakBefore/>
      <w:spacing w:before="120" w:after="120"/>
      <w:outlineLvl w:val="6"/>
    </w:pPr>
    <w:rPr>
      <w:rFonts w:asciiTheme="majorHAnsi" w:eastAsiaTheme="majorEastAsia" w:hAnsiTheme="majorHAnsi" w:cstheme="majorBidi"/>
      <w:b/>
      <w:iCs/>
      <w:color w:val="214C90" w:themeColor="text2"/>
    </w:rPr>
  </w:style>
  <w:style w:type="paragraph" w:styleId="Heading8">
    <w:name w:val="heading 8"/>
    <w:basedOn w:val="Normal"/>
    <w:next w:val="BodyText"/>
    <w:link w:val="Heading8Char"/>
    <w:uiPriority w:val="3"/>
    <w:semiHidden/>
    <w:qFormat/>
    <w:rsid w:val="00FB10A0"/>
    <w:pPr>
      <w:keepNext/>
      <w:keepLines/>
      <w:pageBreakBefore/>
      <w:tabs>
        <w:tab w:val="right" w:pos="9639"/>
      </w:tabs>
      <w:spacing w:after="120"/>
      <w:outlineLvl w:val="7"/>
    </w:pPr>
    <w:rPr>
      <w:rFonts w:asciiTheme="majorHAnsi" w:eastAsiaTheme="majorEastAsia" w:hAnsiTheme="majorHAnsi" w:cstheme="majorBidi"/>
      <w:caps/>
      <w:color w:val="214C90" w:themeColor="text2"/>
      <w:sz w:val="28"/>
      <w:lang w:eastAsia="en-US"/>
    </w:rPr>
  </w:style>
  <w:style w:type="paragraph" w:styleId="Heading9">
    <w:name w:val="heading 9"/>
    <w:aliases w:val="Appendix Heading 1"/>
    <w:basedOn w:val="Normal"/>
    <w:next w:val="BodyText"/>
    <w:link w:val="Heading9Char"/>
    <w:uiPriority w:val="4"/>
    <w:rsid w:val="007D7FFC"/>
    <w:pPr>
      <w:keepNext/>
      <w:keepLines/>
      <w:pageBreakBefore/>
      <w:numPr>
        <w:numId w:val="5"/>
      </w:numPr>
      <w:spacing w:before="240" w:after="240"/>
      <w:outlineLvl w:val="8"/>
    </w:pPr>
    <w:rPr>
      <w:rFonts w:asciiTheme="majorHAnsi" w:eastAsiaTheme="minorEastAsia" w:hAnsiTheme="majorHAnsi" w:cs="Arial"/>
      <w:b/>
      <w:color w:val="007BC1"/>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Heading">
    <w:name w:val="Bold Heading"/>
    <w:basedOn w:val="Normal"/>
    <w:rsid w:val="00782365"/>
    <w:pPr>
      <w:spacing w:before="240" w:after="120"/>
    </w:pPr>
    <w:rPr>
      <w:b/>
    </w:rPr>
  </w:style>
  <w:style w:type="paragraph" w:customStyle="1" w:styleId="Image">
    <w:name w:val="Image"/>
    <w:basedOn w:val="Normal"/>
    <w:next w:val="BodyText"/>
    <w:rsid w:val="00965A70"/>
    <w:pPr>
      <w:keepNext/>
    </w:pPr>
  </w:style>
  <w:style w:type="paragraph" w:styleId="BodyText">
    <w:name w:val="Body Text"/>
    <w:basedOn w:val="Normal"/>
    <w:link w:val="BodyTextChar"/>
    <w:qFormat/>
    <w:rsid w:val="00AD6695"/>
    <w:pPr>
      <w:tabs>
        <w:tab w:val="left" w:pos="2268"/>
        <w:tab w:val="left" w:pos="4536"/>
        <w:tab w:val="left" w:pos="6804"/>
        <w:tab w:val="right" w:pos="9638"/>
      </w:tabs>
      <w:spacing w:before="240" w:after="120"/>
    </w:pPr>
  </w:style>
  <w:style w:type="character" w:customStyle="1" w:styleId="BodyTextChar">
    <w:name w:val="Body Text Char"/>
    <w:basedOn w:val="DefaultParagraphFont"/>
    <w:link w:val="BodyText"/>
    <w:rsid w:val="00AD6695"/>
    <w:rPr>
      <w:rFonts w:ascii="Arial" w:hAnsi="Arial"/>
    </w:rPr>
  </w:style>
  <w:style w:type="paragraph" w:styleId="BlockText">
    <w:name w:val="Block Text"/>
    <w:basedOn w:val="BodyText"/>
    <w:semiHidden/>
    <w:unhideWhenUsed/>
    <w:rsid w:val="00EF3AA0"/>
    <w:rPr>
      <w:rFonts w:eastAsiaTheme="minorEastAsia" w:cstheme="minorBidi"/>
      <w:iCs/>
    </w:rPr>
  </w:style>
  <w:style w:type="paragraph" w:styleId="Caption">
    <w:name w:val="caption"/>
    <w:basedOn w:val="Normal"/>
    <w:next w:val="BodyText"/>
    <w:rsid w:val="0013752B"/>
    <w:pPr>
      <w:keepNext/>
      <w:keepLines/>
      <w:spacing w:before="240" w:after="120"/>
    </w:pPr>
    <w:rPr>
      <w:rFonts w:eastAsiaTheme="minorHAnsi" w:cstheme="minorBidi"/>
      <w:b/>
      <w:bCs/>
      <w:lang w:eastAsia="fr-CA"/>
    </w:rPr>
  </w:style>
  <w:style w:type="paragraph" w:styleId="BalloonText">
    <w:name w:val="Balloon Text"/>
    <w:basedOn w:val="Normal"/>
    <w:link w:val="BalloonTextChar"/>
    <w:uiPriority w:val="99"/>
    <w:semiHidden/>
    <w:unhideWhenUsed/>
    <w:rsid w:val="005542F9"/>
    <w:rPr>
      <w:rFonts w:ascii="Tahoma" w:hAnsi="Tahoma" w:cs="Tahoma"/>
      <w:sz w:val="16"/>
      <w:szCs w:val="16"/>
    </w:rPr>
  </w:style>
  <w:style w:type="paragraph" w:styleId="TOCHeading">
    <w:name w:val="TOC Heading"/>
    <w:next w:val="Normal"/>
    <w:uiPriority w:val="39"/>
    <w:unhideWhenUsed/>
    <w:qFormat/>
    <w:rsid w:val="00DE2084"/>
    <w:pPr>
      <w:pageBreakBefore/>
      <w:spacing w:after="600" w:line="240" w:lineRule="auto"/>
      <w:outlineLvl w:val="3"/>
    </w:pPr>
    <w:rPr>
      <w:rFonts w:asciiTheme="majorHAnsi" w:eastAsiaTheme="minorEastAsia" w:hAnsiTheme="majorHAnsi" w:cstheme="majorBidi"/>
      <w:b/>
      <w:bCs/>
      <w:color w:val="007BC1"/>
      <w:sz w:val="32"/>
      <w:szCs w:val="28"/>
    </w:rPr>
  </w:style>
  <w:style w:type="character" w:customStyle="1" w:styleId="BalloonTextChar">
    <w:name w:val="Balloon Text Char"/>
    <w:basedOn w:val="DefaultParagraphFont"/>
    <w:link w:val="BalloonText"/>
    <w:uiPriority w:val="99"/>
    <w:semiHidden/>
    <w:rsid w:val="00475145"/>
    <w:rPr>
      <w:rFonts w:ascii="Tahoma" w:hAnsi="Tahoma" w:cs="Tahoma"/>
      <w:color w:val="000000" w:themeColor="text1"/>
      <w:sz w:val="16"/>
      <w:szCs w:val="16"/>
    </w:rPr>
  </w:style>
  <w:style w:type="paragraph" w:styleId="Footer">
    <w:name w:val="footer"/>
    <w:basedOn w:val="Normal"/>
    <w:link w:val="FooterChar"/>
    <w:uiPriority w:val="99"/>
    <w:rsid w:val="003B6692"/>
    <w:pPr>
      <w:tabs>
        <w:tab w:val="left" w:pos="1077"/>
        <w:tab w:val="center" w:pos="4320"/>
        <w:tab w:val="right" w:pos="8640"/>
      </w:tabs>
      <w:jc w:val="center"/>
    </w:pPr>
    <w:rPr>
      <w:rFonts w:eastAsia="Cambria" w:cstheme="minorBidi"/>
      <w:sz w:val="18"/>
      <w:lang w:eastAsia="en-US"/>
    </w:rPr>
  </w:style>
  <w:style w:type="character" w:customStyle="1" w:styleId="FooterChar">
    <w:name w:val="Footer Char"/>
    <w:basedOn w:val="DefaultParagraphFont"/>
    <w:link w:val="Footer"/>
    <w:uiPriority w:val="99"/>
    <w:rsid w:val="003B6692"/>
    <w:rPr>
      <w:rFonts w:eastAsia="Cambria" w:cstheme="minorBidi"/>
      <w:sz w:val="18"/>
      <w:lang w:eastAsia="en-US"/>
    </w:rPr>
  </w:style>
  <w:style w:type="numbering" w:customStyle="1" w:styleId="HangingList">
    <w:name w:val="HangingList"/>
    <w:uiPriority w:val="99"/>
    <w:rsid w:val="00DD7311"/>
    <w:pPr>
      <w:numPr>
        <w:numId w:val="1"/>
      </w:numPr>
    </w:pPr>
  </w:style>
  <w:style w:type="paragraph" w:styleId="Header">
    <w:name w:val="header"/>
    <w:basedOn w:val="Normal"/>
    <w:link w:val="HeaderChar"/>
    <w:uiPriority w:val="99"/>
    <w:rsid w:val="00294804"/>
    <w:pPr>
      <w:tabs>
        <w:tab w:val="left" w:pos="7796"/>
      </w:tabs>
    </w:pPr>
    <w:rPr>
      <w:rFonts w:eastAsiaTheme="minorHAnsi" w:cstheme="minorBidi"/>
      <w:sz w:val="18"/>
      <w:lang w:eastAsia="fr-CA"/>
    </w:rPr>
  </w:style>
  <w:style w:type="character" w:customStyle="1" w:styleId="HeaderChar">
    <w:name w:val="Header Char"/>
    <w:basedOn w:val="DefaultParagraphFont"/>
    <w:link w:val="Header"/>
    <w:uiPriority w:val="99"/>
    <w:rsid w:val="00294804"/>
    <w:rPr>
      <w:rFonts w:eastAsiaTheme="minorHAnsi" w:cstheme="minorBidi"/>
      <w:sz w:val="18"/>
      <w:lang w:eastAsia="fr-CA"/>
    </w:rPr>
  </w:style>
  <w:style w:type="paragraph" w:customStyle="1" w:styleId="AppendixHeading2">
    <w:name w:val="Appendix Heading 2"/>
    <w:basedOn w:val="Normal"/>
    <w:next w:val="BodyText"/>
    <w:uiPriority w:val="4"/>
    <w:rsid w:val="007D7FFC"/>
    <w:pPr>
      <w:keepNext/>
      <w:numPr>
        <w:ilvl w:val="1"/>
        <w:numId w:val="5"/>
      </w:numPr>
      <w:spacing w:before="360" w:after="240"/>
    </w:pPr>
    <w:rPr>
      <w:rFonts w:asciiTheme="majorHAnsi" w:eastAsiaTheme="minorEastAsia" w:hAnsiTheme="majorHAnsi"/>
      <w:b/>
      <w:color w:val="007BC1"/>
      <w:sz w:val="28"/>
      <w:lang w:eastAsia="en-US"/>
    </w:rPr>
  </w:style>
  <w:style w:type="paragraph" w:customStyle="1" w:styleId="AppendixHeading3">
    <w:name w:val="Appendix Heading 3"/>
    <w:basedOn w:val="Normal"/>
    <w:next w:val="BodyText"/>
    <w:uiPriority w:val="4"/>
    <w:rsid w:val="007D7FFC"/>
    <w:pPr>
      <w:keepNext/>
      <w:numPr>
        <w:ilvl w:val="2"/>
        <w:numId w:val="5"/>
      </w:numPr>
      <w:tabs>
        <w:tab w:val="left" w:pos="1559"/>
        <w:tab w:val="left" w:pos="1843"/>
        <w:tab w:val="left" w:pos="2126"/>
        <w:tab w:val="left" w:pos="2410"/>
        <w:tab w:val="left" w:pos="6804"/>
        <w:tab w:val="right" w:pos="9639"/>
      </w:tabs>
      <w:spacing w:before="360" w:after="240"/>
    </w:pPr>
    <w:rPr>
      <w:rFonts w:asciiTheme="majorHAnsi" w:hAnsiTheme="majorHAnsi"/>
      <w:b/>
      <w:color w:val="007BC1"/>
      <w:lang w:eastAsia="en-US"/>
    </w:rPr>
  </w:style>
  <w:style w:type="character" w:customStyle="1" w:styleId="Italics">
    <w:name w:val="Italics"/>
    <w:uiPriority w:val="1"/>
    <w:rsid w:val="00566E04"/>
    <w:rPr>
      <w:i/>
      <w:lang w:eastAsia="en-US"/>
    </w:rPr>
  </w:style>
  <w:style w:type="character" w:customStyle="1" w:styleId="Heading1Char">
    <w:name w:val="Heading 1 Char"/>
    <w:basedOn w:val="DefaultParagraphFont"/>
    <w:link w:val="Heading1"/>
    <w:rsid w:val="00DE2084"/>
    <w:rPr>
      <w:rFonts w:asciiTheme="majorHAnsi" w:eastAsiaTheme="minorEastAsia" w:hAnsiTheme="majorHAnsi" w:cstheme="majorBidi"/>
      <w:b/>
      <w:bCs/>
      <w:color w:val="007BC1"/>
      <w:sz w:val="32"/>
      <w:szCs w:val="32"/>
    </w:rPr>
  </w:style>
  <w:style w:type="character" w:customStyle="1" w:styleId="Heading2Char">
    <w:name w:val="Heading 2 Char"/>
    <w:basedOn w:val="DefaultParagraphFont"/>
    <w:link w:val="Heading2"/>
    <w:rsid w:val="00912579"/>
    <w:rPr>
      <w:rFonts w:asciiTheme="majorHAnsi" w:eastAsiaTheme="majorEastAsia" w:hAnsiTheme="majorHAnsi" w:cstheme="majorBidi"/>
      <w:b/>
      <w:bCs/>
      <w:color w:val="007BC1"/>
      <w:sz w:val="28"/>
      <w:szCs w:val="26"/>
    </w:rPr>
  </w:style>
  <w:style w:type="character" w:customStyle="1" w:styleId="Heading3Char">
    <w:name w:val="Heading 3 Char"/>
    <w:basedOn w:val="DefaultParagraphFont"/>
    <w:link w:val="Heading3"/>
    <w:rsid w:val="0076524D"/>
    <w:rPr>
      <w:rFonts w:asciiTheme="majorHAnsi" w:eastAsiaTheme="majorEastAsia" w:hAnsiTheme="majorHAnsi" w:cstheme="majorBidi"/>
      <w:b/>
      <w:bCs/>
      <w:color w:val="007BC1"/>
      <w:sz w:val="24"/>
    </w:rPr>
  </w:style>
  <w:style w:type="character" w:customStyle="1" w:styleId="Heading4Char">
    <w:name w:val="Heading 4 Char"/>
    <w:basedOn w:val="DefaultParagraphFont"/>
    <w:link w:val="Heading4"/>
    <w:rsid w:val="00DE2084"/>
    <w:rPr>
      <w:rFonts w:asciiTheme="majorHAnsi" w:eastAsiaTheme="majorEastAsia" w:hAnsiTheme="majorHAnsi" w:cstheme="majorBidi"/>
      <w:b/>
      <w:bCs/>
      <w:i/>
      <w:iCs/>
      <w:color w:val="007BC1"/>
    </w:rPr>
  </w:style>
  <w:style w:type="character" w:customStyle="1" w:styleId="Heading7Char">
    <w:name w:val="Heading 7 Char"/>
    <w:basedOn w:val="DefaultParagraphFont"/>
    <w:link w:val="Heading7"/>
    <w:semiHidden/>
    <w:rsid w:val="000D5E74"/>
    <w:rPr>
      <w:rFonts w:asciiTheme="majorHAnsi" w:eastAsiaTheme="majorEastAsia" w:hAnsiTheme="majorHAnsi" w:cstheme="majorBidi"/>
      <w:b/>
      <w:iCs/>
      <w:color w:val="214C90" w:themeColor="text2"/>
    </w:rPr>
  </w:style>
  <w:style w:type="character" w:customStyle="1" w:styleId="Heading8Char">
    <w:name w:val="Heading 8 Char"/>
    <w:basedOn w:val="DefaultParagraphFont"/>
    <w:link w:val="Heading8"/>
    <w:uiPriority w:val="3"/>
    <w:semiHidden/>
    <w:rsid w:val="000D5E74"/>
    <w:rPr>
      <w:rFonts w:asciiTheme="majorHAnsi" w:eastAsiaTheme="majorEastAsia" w:hAnsiTheme="majorHAnsi" w:cstheme="majorBidi"/>
      <w:caps/>
      <w:color w:val="214C90" w:themeColor="text2"/>
      <w:sz w:val="28"/>
      <w:lang w:eastAsia="en-US"/>
    </w:rPr>
  </w:style>
  <w:style w:type="character" w:customStyle="1" w:styleId="Heading9Char">
    <w:name w:val="Heading 9 Char"/>
    <w:aliases w:val="Appendix Heading 1 Char"/>
    <w:basedOn w:val="DefaultParagraphFont"/>
    <w:link w:val="Heading9"/>
    <w:uiPriority w:val="4"/>
    <w:rsid w:val="007D7FFC"/>
    <w:rPr>
      <w:rFonts w:asciiTheme="majorHAnsi" w:eastAsiaTheme="minorEastAsia" w:hAnsiTheme="majorHAnsi" w:cs="Arial"/>
      <w:b/>
      <w:color w:val="007BC1"/>
      <w:sz w:val="32"/>
      <w:lang w:eastAsia="en-US"/>
    </w:rPr>
  </w:style>
  <w:style w:type="character" w:styleId="Hyperlink">
    <w:name w:val="Hyperlink"/>
    <w:basedOn w:val="DefaultParagraphFont"/>
    <w:uiPriority w:val="99"/>
    <w:unhideWhenUsed/>
    <w:rsid w:val="002778AD"/>
    <w:rPr>
      <w:color w:val="000000" w:themeColor="text1"/>
      <w:u w:val="single"/>
    </w:rPr>
  </w:style>
  <w:style w:type="character" w:styleId="FollowedHyperlink">
    <w:name w:val="FollowedHyperlink"/>
    <w:basedOn w:val="DefaultParagraphFont"/>
    <w:uiPriority w:val="99"/>
    <w:rsid w:val="002778AD"/>
    <w:rPr>
      <w:color w:val="000000" w:themeColor="text1"/>
      <w:u w:val="single"/>
    </w:rPr>
  </w:style>
  <w:style w:type="paragraph" w:styleId="ListBullet">
    <w:name w:val="List Bullet"/>
    <w:basedOn w:val="BodyText"/>
    <w:link w:val="ListBulletChar"/>
    <w:qFormat/>
    <w:rsid w:val="00467DF6"/>
    <w:pPr>
      <w:numPr>
        <w:numId w:val="15"/>
      </w:numPr>
      <w:tabs>
        <w:tab w:val="clear" w:pos="2268"/>
        <w:tab w:val="clear" w:pos="4536"/>
        <w:tab w:val="clear" w:pos="6804"/>
        <w:tab w:val="clear" w:pos="9638"/>
      </w:tabs>
      <w:spacing w:before="120"/>
    </w:pPr>
  </w:style>
  <w:style w:type="paragraph" w:styleId="ListBullet2">
    <w:name w:val="List Bullet 2"/>
    <w:basedOn w:val="ListBullet"/>
    <w:link w:val="ListBullet2Char"/>
    <w:rsid w:val="00761C1E"/>
  </w:style>
  <w:style w:type="paragraph" w:styleId="ListBullet3">
    <w:name w:val="List Bullet 3"/>
    <w:basedOn w:val="ListBullet2"/>
    <w:uiPriority w:val="99"/>
    <w:rsid w:val="000709D4"/>
  </w:style>
  <w:style w:type="paragraph" w:styleId="ListContinue">
    <w:name w:val="List Continue"/>
    <w:basedOn w:val="Normal"/>
    <w:rsid w:val="0013752B"/>
    <w:pPr>
      <w:spacing w:before="120" w:after="120"/>
      <w:ind w:left="357"/>
    </w:pPr>
    <w:rPr>
      <w:rFonts w:eastAsiaTheme="minorEastAsia"/>
    </w:rPr>
  </w:style>
  <w:style w:type="paragraph" w:styleId="ListNumber">
    <w:name w:val="List Number"/>
    <w:basedOn w:val="BodyText"/>
    <w:uiPriority w:val="99"/>
    <w:unhideWhenUsed/>
    <w:qFormat/>
    <w:rsid w:val="00E1278E"/>
    <w:pPr>
      <w:tabs>
        <w:tab w:val="clear" w:pos="2268"/>
        <w:tab w:val="clear" w:pos="4536"/>
        <w:tab w:val="clear" w:pos="6804"/>
        <w:tab w:val="clear" w:pos="9638"/>
      </w:tabs>
      <w:spacing w:before="120"/>
    </w:pPr>
  </w:style>
  <w:style w:type="paragraph" w:styleId="ListNumber2">
    <w:name w:val="List Number 2"/>
    <w:basedOn w:val="ListNumber"/>
    <w:uiPriority w:val="99"/>
    <w:unhideWhenUsed/>
    <w:rsid w:val="002E0889"/>
    <w:pPr>
      <w:numPr>
        <w:ilvl w:val="1"/>
        <w:numId w:val="7"/>
      </w:numPr>
    </w:pPr>
  </w:style>
  <w:style w:type="paragraph" w:styleId="ListNumber3">
    <w:name w:val="List Number 3"/>
    <w:basedOn w:val="ListNumber2"/>
    <w:uiPriority w:val="99"/>
    <w:unhideWhenUsed/>
    <w:rsid w:val="00D33D2C"/>
    <w:pPr>
      <w:numPr>
        <w:ilvl w:val="2"/>
      </w:numPr>
    </w:pPr>
  </w:style>
  <w:style w:type="numbering" w:customStyle="1" w:styleId="MyListNumbering">
    <w:name w:val="MyListNumbering"/>
    <w:uiPriority w:val="99"/>
    <w:rsid w:val="000C70ED"/>
    <w:pPr>
      <w:numPr>
        <w:numId w:val="2"/>
      </w:numPr>
    </w:pPr>
  </w:style>
  <w:style w:type="character" w:styleId="PlaceholderText">
    <w:name w:val="Placeholder Text"/>
    <w:basedOn w:val="DefaultParagraphFont"/>
    <w:uiPriority w:val="99"/>
    <w:semiHidden/>
    <w:rsid w:val="00DD7311"/>
    <w:rPr>
      <w:color w:val="808080"/>
    </w:rPr>
  </w:style>
  <w:style w:type="paragraph" w:customStyle="1" w:styleId="TableBodyText">
    <w:name w:val="Table Body Text"/>
    <w:basedOn w:val="Normal"/>
    <w:qFormat/>
    <w:rsid w:val="0013752B"/>
    <w:pPr>
      <w:spacing w:before="60" w:after="60"/>
      <w:ind w:left="85" w:right="85"/>
    </w:pPr>
    <w:rPr>
      <w:rFonts w:cs="Arial"/>
      <w:sz w:val="18"/>
    </w:rPr>
  </w:style>
  <w:style w:type="paragraph" w:customStyle="1" w:styleId="TableBodyTextBold">
    <w:name w:val="Table Body Text Bold"/>
    <w:basedOn w:val="TableBodyText"/>
    <w:rsid w:val="0013752B"/>
    <w:rPr>
      <w:b/>
    </w:rPr>
  </w:style>
  <w:style w:type="table" w:styleId="TableGrid">
    <w:name w:val="Table Grid"/>
    <w:basedOn w:val="TableNormal"/>
    <w:uiPriority w:val="59"/>
    <w:rsid w:val="00485775"/>
    <w:pPr>
      <w:spacing w:before="60" w:after="60"/>
      <w:ind w:left="85" w:right="85"/>
    </w:pPr>
    <w:rPr>
      <w:sz w:val="18"/>
    </w:rPr>
    <w:tblPr>
      <w:tblStyleRowBandSize w:val="1"/>
      <w:tblBorders>
        <w:top w:val="single" w:sz="4" w:space="0" w:color="auto"/>
        <w:bottom w:val="single" w:sz="4" w:space="0" w:color="auto"/>
        <w:insideH w:val="single" w:sz="4" w:space="0" w:color="auto"/>
        <w:insideV w:val="single" w:sz="4" w:space="0" w:color="auto"/>
      </w:tblBorders>
      <w:tblCellMar>
        <w:left w:w="0" w:type="dxa"/>
        <w:right w:w="0" w:type="dxa"/>
      </w:tblCellMar>
    </w:tblPr>
    <w:tblStylePr w:type="firstRow">
      <w:rPr>
        <w:b/>
        <w:color w:val="FFFFFF"/>
      </w:rPr>
      <w:tblPr/>
      <w:tcPr>
        <w:shd w:val="clear" w:color="auto" w:fill="214C90" w:themeFill="text2"/>
      </w:tcPr>
    </w:tblStylePr>
    <w:tblStylePr w:type="band2Horz">
      <w:tblPr/>
      <w:tcPr>
        <w:shd w:val="clear" w:color="auto" w:fill="E1E2E7" w:themeFill="background2"/>
      </w:tcPr>
    </w:tblStylePr>
  </w:style>
  <w:style w:type="paragraph" w:customStyle="1" w:styleId="TableHeading">
    <w:name w:val="Table Heading"/>
    <w:basedOn w:val="TableBodyText"/>
    <w:qFormat/>
    <w:rsid w:val="0013752B"/>
    <w:rPr>
      <w:color w:val="FFFFFF"/>
    </w:rPr>
  </w:style>
  <w:style w:type="paragraph" w:customStyle="1" w:styleId="TableBullet1">
    <w:name w:val="Table Bullet 1"/>
    <w:basedOn w:val="TableBodyText"/>
    <w:qFormat/>
    <w:rsid w:val="0013752B"/>
    <w:pPr>
      <w:numPr>
        <w:numId w:val="8"/>
      </w:numPr>
    </w:pPr>
  </w:style>
  <w:style w:type="paragraph" w:customStyle="1" w:styleId="TableBullet2">
    <w:name w:val="Table Bullet 2"/>
    <w:basedOn w:val="TableBullet1"/>
    <w:qFormat/>
    <w:rsid w:val="0013752B"/>
    <w:pPr>
      <w:numPr>
        <w:ilvl w:val="1"/>
      </w:numPr>
    </w:pPr>
  </w:style>
  <w:style w:type="paragraph" w:customStyle="1" w:styleId="TableBullet3">
    <w:name w:val="Table Bullet 3"/>
    <w:basedOn w:val="TableBullet2"/>
    <w:qFormat/>
    <w:rsid w:val="0013752B"/>
    <w:pPr>
      <w:numPr>
        <w:ilvl w:val="2"/>
      </w:numPr>
    </w:pPr>
  </w:style>
  <w:style w:type="paragraph" w:customStyle="1" w:styleId="TableListNumber">
    <w:name w:val="Table List Number"/>
    <w:basedOn w:val="TableBodyText"/>
    <w:qFormat/>
    <w:rsid w:val="0013752B"/>
    <w:pPr>
      <w:numPr>
        <w:numId w:val="9"/>
      </w:numPr>
    </w:pPr>
    <w:rPr>
      <w:rFonts w:eastAsiaTheme="minorEastAsia"/>
    </w:rPr>
  </w:style>
  <w:style w:type="paragraph" w:customStyle="1" w:styleId="TableListNumber2">
    <w:name w:val="Table List Number 2"/>
    <w:basedOn w:val="TableListNumber"/>
    <w:qFormat/>
    <w:rsid w:val="0013752B"/>
    <w:pPr>
      <w:numPr>
        <w:ilvl w:val="1"/>
      </w:numPr>
    </w:pPr>
  </w:style>
  <w:style w:type="paragraph" w:customStyle="1" w:styleId="TableListNumber3">
    <w:name w:val="Table List Number 3"/>
    <w:basedOn w:val="TableListNumber2"/>
    <w:qFormat/>
    <w:rsid w:val="0013752B"/>
    <w:pPr>
      <w:numPr>
        <w:ilvl w:val="2"/>
      </w:numPr>
    </w:pPr>
  </w:style>
  <w:style w:type="paragraph" w:styleId="TableofFigures">
    <w:name w:val="table of figures"/>
    <w:basedOn w:val="Normal"/>
    <w:next w:val="Normal"/>
    <w:uiPriority w:val="39"/>
    <w:rsid w:val="00844AB7"/>
    <w:pPr>
      <w:tabs>
        <w:tab w:val="right" w:leader="dot" w:pos="8165"/>
      </w:tabs>
      <w:spacing w:before="120" w:after="60"/>
      <w:ind w:left="1134" w:right="737" w:hanging="1134"/>
    </w:pPr>
    <w:rPr>
      <w:rFonts w:eastAsiaTheme="minorHAnsi" w:cstheme="minorBidi"/>
      <w:noProof/>
      <w:lang w:eastAsia="fr-CA"/>
    </w:rPr>
  </w:style>
  <w:style w:type="paragraph" w:customStyle="1" w:styleId="Source">
    <w:name w:val="Source"/>
    <w:basedOn w:val="Normal"/>
    <w:next w:val="BodyText"/>
    <w:rsid w:val="0013752B"/>
    <w:pPr>
      <w:spacing w:before="60" w:after="120" w:line="180" w:lineRule="atLeast"/>
    </w:pPr>
    <w:rPr>
      <w:rFonts w:cs="Arial"/>
      <w:sz w:val="18"/>
      <w:szCs w:val="18"/>
      <w:lang w:eastAsia="fr-CA"/>
    </w:rPr>
  </w:style>
  <w:style w:type="numbering" w:customStyle="1" w:styleId="TableBullets">
    <w:name w:val="TableBullets"/>
    <w:uiPriority w:val="99"/>
    <w:rsid w:val="00DD7311"/>
    <w:pPr>
      <w:numPr>
        <w:numId w:val="3"/>
      </w:numPr>
    </w:pPr>
  </w:style>
  <w:style w:type="numbering" w:customStyle="1" w:styleId="TableFootnotes">
    <w:name w:val="TableFootnotes"/>
    <w:uiPriority w:val="99"/>
    <w:rsid w:val="00DD7311"/>
    <w:pPr>
      <w:numPr>
        <w:numId w:val="4"/>
      </w:numPr>
    </w:pPr>
  </w:style>
  <w:style w:type="paragraph" w:styleId="Title">
    <w:name w:val="Title"/>
    <w:basedOn w:val="Normal"/>
    <w:link w:val="TitleChar"/>
    <w:uiPriority w:val="1"/>
    <w:rsid w:val="00D32EA5"/>
    <w:pPr>
      <w:spacing w:before="120" w:after="500" w:line="620" w:lineRule="exact"/>
      <w:ind w:left="227" w:right="1134"/>
    </w:pPr>
    <w:rPr>
      <w:rFonts w:asciiTheme="majorHAnsi" w:eastAsiaTheme="minorEastAsia" w:hAnsiTheme="majorHAnsi"/>
      <w:b/>
      <w:color w:val="214C90" w:themeColor="text2"/>
      <w:sz w:val="56"/>
      <w:szCs w:val="48"/>
    </w:rPr>
  </w:style>
  <w:style w:type="character" w:customStyle="1" w:styleId="TitleChar">
    <w:name w:val="Title Char"/>
    <w:basedOn w:val="DefaultParagraphFont"/>
    <w:link w:val="Title"/>
    <w:uiPriority w:val="1"/>
    <w:rsid w:val="00D32EA5"/>
    <w:rPr>
      <w:rFonts w:asciiTheme="majorHAnsi" w:eastAsiaTheme="minorEastAsia" w:hAnsiTheme="majorHAnsi"/>
      <w:b/>
      <w:color w:val="214C90" w:themeColor="text2"/>
      <w:sz w:val="56"/>
      <w:szCs w:val="48"/>
    </w:rPr>
  </w:style>
  <w:style w:type="paragraph" w:styleId="Subtitle">
    <w:name w:val="Subtitle"/>
    <w:basedOn w:val="Title"/>
    <w:next w:val="Normal"/>
    <w:link w:val="SubtitleChar"/>
    <w:uiPriority w:val="1"/>
    <w:rsid w:val="00D32EA5"/>
    <w:pPr>
      <w:spacing w:before="0" w:after="720" w:line="400" w:lineRule="exact"/>
      <w:contextualSpacing/>
    </w:pPr>
    <w:rPr>
      <w:rFonts w:asciiTheme="minorHAnsi" w:hAnsiTheme="minorHAnsi"/>
      <w:b w:val="0"/>
      <w:color w:val="5D89B4" w:themeColor="accent3"/>
      <w:spacing w:val="4"/>
      <w:sz w:val="40"/>
    </w:rPr>
  </w:style>
  <w:style w:type="paragraph" w:styleId="TOC1">
    <w:name w:val="toc 1"/>
    <w:basedOn w:val="Normal"/>
    <w:next w:val="Normal"/>
    <w:autoRedefine/>
    <w:uiPriority w:val="39"/>
    <w:rsid w:val="00FF2DF8"/>
    <w:pPr>
      <w:tabs>
        <w:tab w:val="left" w:pos="851"/>
        <w:tab w:val="right" w:leader="dot" w:pos="8165"/>
      </w:tabs>
      <w:spacing w:before="240" w:after="60"/>
      <w:ind w:left="851" w:right="737" w:hanging="851"/>
    </w:pPr>
    <w:rPr>
      <w:rFonts w:eastAsiaTheme="minorHAnsi" w:cstheme="minorBidi"/>
      <w:b/>
      <w:noProof/>
      <w:lang w:eastAsia="en-US"/>
    </w:rPr>
  </w:style>
  <w:style w:type="paragraph" w:styleId="TOC2">
    <w:name w:val="toc 2"/>
    <w:basedOn w:val="Normal"/>
    <w:next w:val="Normal"/>
    <w:autoRedefine/>
    <w:uiPriority w:val="39"/>
    <w:rsid w:val="006E2604"/>
    <w:pPr>
      <w:tabs>
        <w:tab w:val="right" w:leader="dot" w:pos="8165"/>
      </w:tabs>
      <w:spacing w:before="120" w:after="60"/>
      <w:ind w:right="737"/>
    </w:pPr>
    <w:rPr>
      <w:rFonts w:eastAsiaTheme="minorHAnsi" w:cstheme="minorBidi"/>
      <w:noProof/>
      <w:lang w:eastAsia="fr-CA"/>
    </w:rPr>
  </w:style>
  <w:style w:type="paragraph" w:styleId="TOC3">
    <w:name w:val="toc 3"/>
    <w:basedOn w:val="Normal"/>
    <w:next w:val="Normal"/>
    <w:autoRedefine/>
    <w:uiPriority w:val="39"/>
    <w:rsid w:val="00EB5ECF"/>
    <w:pPr>
      <w:tabs>
        <w:tab w:val="right" w:leader="dot" w:pos="8165"/>
      </w:tabs>
      <w:spacing w:before="120" w:after="60"/>
      <w:ind w:left="851" w:right="737" w:hanging="851"/>
    </w:pPr>
    <w:rPr>
      <w:rFonts w:eastAsiaTheme="minorHAnsi" w:cstheme="minorBidi"/>
      <w:noProof/>
      <w:szCs w:val="18"/>
      <w:lang w:eastAsia="fr-CA"/>
    </w:rPr>
  </w:style>
  <w:style w:type="character" w:customStyle="1" w:styleId="SubtitleChar">
    <w:name w:val="Subtitle Char"/>
    <w:basedOn w:val="DefaultParagraphFont"/>
    <w:link w:val="Subtitle"/>
    <w:uiPriority w:val="1"/>
    <w:rsid w:val="00D32EA5"/>
    <w:rPr>
      <w:rFonts w:eastAsiaTheme="minorEastAsia"/>
      <w:color w:val="5D89B4" w:themeColor="accent3"/>
      <w:spacing w:val="4"/>
      <w:sz w:val="40"/>
      <w:szCs w:val="48"/>
    </w:rPr>
  </w:style>
  <w:style w:type="paragraph" w:styleId="NormalWeb">
    <w:name w:val="Normal (Web)"/>
    <w:basedOn w:val="Normal"/>
    <w:uiPriority w:val="99"/>
    <w:rsid w:val="003255DA"/>
    <w:rPr>
      <w:szCs w:val="24"/>
    </w:rPr>
  </w:style>
  <w:style w:type="paragraph" w:styleId="ListContinue2">
    <w:name w:val="List Continue 2"/>
    <w:basedOn w:val="Normal"/>
    <w:rsid w:val="0013752B"/>
    <w:pPr>
      <w:spacing w:before="120" w:after="120"/>
      <w:ind w:left="714"/>
    </w:pPr>
    <w:rPr>
      <w:rFonts w:eastAsiaTheme="minorEastAsia"/>
    </w:rPr>
  </w:style>
  <w:style w:type="paragraph" w:styleId="ListContinue3">
    <w:name w:val="List Continue 3"/>
    <w:basedOn w:val="Normal"/>
    <w:rsid w:val="0013752B"/>
    <w:pPr>
      <w:spacing w:before="120" w:after="120"/>
      <w:ind w:left="1072"/>
    </w:pPr>
    <w:rPr>
      <w:rFonts w:eastAsiaTheme="minorEastAsia"/>
    </w:rPr>
  </w:style>
  <w:style w:type="paragraph" w:styleId="NoSpacing">
    <w:name w:val="No Spacing"/>
    <w:next w:val="BodyText"/>
    <w:rsid w:val="00B85B75"/>
    <w:pPr>
      <w:spacing w:line="240" w:lineRule="auto"/>
    </w:pPr>
  </w:style>
  <w:style w:type="paragraph" w:customStyle="1" w:styleId="TableofFiguresHeading">
    <w:name w:val="Table of Figures Heading"/>
    <w:basedOn w:val="Normal"/>
    <w:uiPriority w:val="39"/>
    <w:rsid w:val="006E2604"/>
    <w:pPr>
      <w:spacing w:before="120" w:after="120"/>
    </w:pPr>
    <w:rPr>
      <w:rFonts w:asciiTheme="majorHAnsi" w:eastAsiaTheme="minorEastAsia" w:hAnsiTheme="majorHAnsi"/>
      <w:b/>
      <w:bCs/>
      <w:color w:val="214C90" w:themeColor="text2"/>
    </w:rPr>
  </w:style>
  <w:style w:type="paragraph" w:customStyle="1" w:styleId="SideNote">
    <w:name w:val="Side Note"/>
    <w:basedOn w:val="BodyText"/>
    <w:qFormat/>
    <w:rsid w:val="00B651D5"/>
    <w:pPr>
      <w:framePr w:w="1418" w:h="397" w:wrap="around" w:vAnchor="text" w:hAnchor="page" w:x="568" w:y="143"/>
      <w:spacing w:before="0" w:line="247" w:lineRule="auto"/>
    </w:pPr>
    <w:rPr>
      <w:i/>
      <w:sz w:val="20"/>
    </w:rPr>
  </w:style>
  <w:style w:type="paragraph" w:customStyle="1" w:styleId="Address">
    <w:name w:val="Address"/>
    <w:basedOn w:val="Normal"/>
    <w:rsid w:val="00C6084A"/>
    <w:pPr>
      <w:framePr w:hSpace="181" w:wrap="around" w:vAnchor="page" w:hAnchor="page" w:xAlign="right" w:yAlign="bottom"/>
      <w:tabs>
        <w:tab w:val="left" w:pos="227"/>
      </w:tabs>
      <w:spacing w:line="220" w:lineRule="atLeast"/>
      <w:suppressOverlap/>
    </w:pPr>
    <w:rPr>
      <w:noProof/>
      <w:color w:val="FFFFFF"/>
    </w:rPr>
  </w:style>
  <w:style w:type="character" w:customStyle="1" w:styleId="Heading5Char">
    <w:name w:val="Heading 5 Char"/>
    <w:basedOn w:val="DefaultParagraphFont"/>
    <w:link w:val="Heading5"/>
    <w:semiHidden/>
    <w:rsid w:val="00A014E2"/>
    <w:rPr>
      <w:rFonts w:asciiTheme="majorHAnsi" w:eastAsiaTheme="majorEastAsia" w:hAnsiTheme="majorHAnsi" w:cstheme="majorBidi"/>
      <w:i/>
      <w:color w:val="214C90" w:themeColor="text2"/>
    </w:rPr>
  </w:style>
  <w:style w:type="character" w:customStyle="1" w:styleId="Heading6Char">
    <w:name w:val="Heading 6 Char"/>
    <w:basedOn w:val="DefaultParagraphFont"/>
    <w:link w:val="Heading6"/>
    <w:semiHidden/>
    <w:rsid w:val="00A014E2"/>
    <w:rPr>
      <w:rFonts w:asciiTheme="majorHAnsi" w:eastAsiaTheme="majorEastAsia" w:hAnsiTheme="majorHAnsi" w:cstheme="majorBidi"/>
      <w:b/>
      <w:iCs/>
      <w:color w:val="214C90" w:themeColor="text2"/>
      <w:lang w:eastAsia="en-US"/>
    </w:rPr>
  </w:style>
  <w:style w:type="paragraph" w:styleId="Revision">
    <w:name w:val="Revision"/>
    <w:hidden/>
    <w:uiPriority w:val="99"/>
    <w:semiHidden/>
    <w:rsid w:val="009E7348"/>
    <w:rPr>
      <w:rFonts w:ascii="Calibri" w:eastAsia="Calibri" w:hAnsi="Calibri"/>
      <w:lang w:eastAsia="en-US"/>
    </w:rPr>
  </w:style>
  <w:style w:type="table" w:customStyle="1" w:styleId="TablePlaceholder">
    <w:name w:val="Table Placeholder"/>
    <w:basedOn w:val="TableNormal"/>
    <w:uiPriority w:val="99"/>
    <w:rsid w:val="00480149"/>
    <w:pPr>
      <w:spacing w:line="240" w:lineRule="auto"/>
    </w:pPr>
    <w:tblPr>
      <w:tblCellMar>
        <w:left w:w="45" w:type="dxa"/>
        <w:right w:w="45" w:type="dxa"/>
      </w:tblCellMar>
    </w:tblPr>
  </w:style>
  <w:style w:type="paragraph" w:styleId="Quote">
    <w:name w:val="Quote"/>
    <w:basedOn w:val="Normal"/>
    <w:next w:val="Normal"/>
    <w:link w:val="QuoteChar"/>
    <w:uiPriority w:val="29"/>
    <w:qFormat/>
    <w:rsid w:val="002778AD"/>
    <w:pPr>
      <w:spacing w:before="200" w:after="160"/>
      <w:ind w:left="357" w:right="357"/>
    </w:pPr>
    <w:rPr>
      <w:i/>
      <w:iCs/>
      <w:sz w:val="20"/>
    </w:rPr>
  </w:style>
  <w:style w:type="character" w:customStyle="1" w:styleId="QuoteChar">
    <w:name w:val="Quote Char"/>
    <w:basedOn w:val="DefaultParagraphFont"/>
    <w:link w:val="Quote"/>
    <w:uiPriority w:val="29"/>
    <w:rsid w:val="002778AD"/>
    <w:rPr>
      <w:i/>
      <w:iCs/>
      <w:sz w:val="20"/>
    </w:rPr>
  </w:style>
  <w:style w:type="paragraph" w:customStyle="1" w:styleId="PullOutBoxBodyText">
    <w:name w:val="Pull Out Box Body Text"/>
    <w:basedOn w:val="Normal"/>
    <w:rsid w:val="00782365"/>
    <w:pPr>
      <w:spacing w:before="120"/>
    </w:pPr>
    <w:rPr>
      <w:rFonts w:eastAsiaTheme="minorEastAsia" w:cstheme="minorBidi"/>
      <w:lang w:eastAsia="fr-CA"/>
    </w:rPr>
  </w:style>
  <w:style w:type="paragraph" w:customStyle="1" w:styleId="PullOutBoxHeading">
    <w:name w:val="Pull Out Box Heading"/>
    <w:basedOn w:val="Normal"/>
    <w:next w:val="PullOutBoxBodyText"/>
    <w:rsid w:val="00782365"/>
    <w:pPr>
      <w:spacing w:before="120"/>
    </w:pPr>
    <w:rPr>
      <w:rFonts w:eastAsiaTheme="minorHAnsi" w:cstheme="minorBidi"/>
      <w:b/>
      <w:color w:val="214C90" w:themeColor="text2"/>
      <w:szCs w:val="24"/>
      <w:lang w:eastAsia="fr-CA"/>
    </w:rPr>
  </w:style>
  <w:style w:type="table" w:customStyle="1" w:styleId="PullOutBoxTable">
    <w:name w:val="Pull Out Box Table"/>
    <w:basedOn w:val="TableNormal"/>
    <w:uiPriority w:val="99"/>
    <w:rsid w:val="004B3F0E"/>
    <w:pPr>
      <w:spacing w:line="240" w:lineRule="auto"/>
    </w:pPr>
    <w:tblPr>
      <w:tblCellMar>
        <w:top w:w="142" w:type="dxa"/>
        <w:left w:w="170" w:type="dxa"/>
        <w:bottom w:w="142" w:type="dxa"/>
        <w:right w:w="170" w:type="dxa"/>
      </w:tblCellMar>
    </w:tblPr>
    <w:tcPr>
      <w:shd w:val="clear" w:color="auto" w:fill="E1E2E7" w:themeFill="background2"/>
    </w:tcPr>
  </w:style>
  <w:style w:type="character" w:customStyle="1" w:styleId="Bold">
    <w:name w:val="Bold"/>
    <w:uiPriority w:val="99"/>
    <w:semiHidden/>
    <w:rsid w:val="00446E25"/>
    <w:rPr>
      <w:rFonts w:eastAsiaTheme="minorEastAsia"/>
      <w:b/>
      <w:i w:val="0"/>
      <w:strike w:val="0"/>
      <w:vertAlign w:val="baseline"/>
    </w:rPr>
  </w:style>
  <w:style w:type="character" w:customStyle="1" w:styleId="BoldAndItalics">
    <w:name w:val="Bold And Italics"/>
    <w:uiPriority w:val="99"/>
    <w:semiHidden/>
    <w:rsid w:val="00446E25"/>
    <w:rPr>
      <w:rFonts w:eastAsiaTheme="minorEastAsia"/>
      <w:b/>
      <w:i/>
      <w:strike w:val="0"/>
      <w:vertAlign w:val="baseline"/>
    </w:rPr>
  </w:style>
  <w:style w:type="paragraph" w:customStyle="1" w:styleId="TableHeadingBold">
    <w:name w:val="Table Heading Bold"/>
    <w:basedOn w:val="TableHeading"/>
    <w:rsid w:val="0013752B"/>
    <w:rPr>
      <w:b/>
    </w:rPr>
  </w:style>
  <w:style w:type="paragraph" w:customStyle="1" w:styleId="AppendixHeading4">
    <w:name w:val="Appendix Heading 4"/>
    <w:basedOn w:val="Normal"/>
    <w:next w:val="BodyText"/>
    <w:uiPriority w:val="4"/>
    <w:rsid w:val="007D7FFC"/>
    <w:pPr>
      <w:keepNext/>
      <w:numPr>
        <w:ilvl w:val="3"/>
        <w:numId w:val="5"/>
      </w:numPr>
      <w:spacing w:before="360" w:after="240"/>
    </w:pPr>
    <w:rPr>
      <w:rFonts w:asciiTheme="majorHAnsi" w:eastAsiaTheme="minorEastAsia" w:hAnsiTheme="majorHAnsi"/>
      <w:b/>
      <w:i/>
      <w:color w:val="007BC1"/>
      <w:lang w:eastAsia="en-US"/>
    </w:rPr>
  </w:style>
  <w:style w:type="paragraph" w:customStyle="1" w:styleId="xPageNumberHeading">
    <w:name w:val="xPage Number Heading"/>
    <w:basedOn w:val="Normal"/>
    <w:next w:val="BodyText"/>
    <w:rsid w:val="002778AD"/>
    <w:pPr>
      <w:keepNext/>
      <w:keepLines/>
      <w:tabs>
        <w:tab w:val="right" w:pos="9639"/>
      </w:tabs>
      <w:spacing w:after="360"/>
      <w:jc w:val="right"/>
    </w:pPr>
    <w:rPr>
      <w:lang w:eastAsia="en-US"/>
    </w:rPr>
  </w:style>
  <w:style w:type="paragraph" w:customStyle="1" w:styleId="Notes">
    <w:name w:val="Notes"/>
    <w:basedOn w:val="Normal"/>
    <w:rsid w:val="00782365"/>
    <w:pPr>
      <w:spacing w:before="120" w:after="120"/>
    </w:pPr>
    <w:rPr>
      <w:rFonts w:cs="Arial"/>
      <w:sz w:val="18"/>
    </w:rPr>
  </w:style>
  <w:style w:type="paragraph" w:styleId="Date">
    <w:name w:val="Date"/>
    <w:basedOn w:val="Normal"/>
    <w:next w:val="Normal"/>
    <w:link w:val="DateChar"/>
    <w:rsid w:val="007F2042"/>
    <w:pPr>
      <w:ind w:left="227"/>
    </w:pPr>
    <w:rPr>
      <w:rFonts w:eastAsiaTheme="minorEastAsia"/>
      <w:sz w:val="32"/>
    </w:rPr>
  </w:style>
  <w:style w:type="character" w:customStyle="1" w:styleId="DateChar">
    <w:name w:val="Date Char"/>
    <w:basedOn w:val="DefaultParagraphFont"/>
    <w:link w:val="Date"/>
    <w:rsid w:val="007F2042"/>
    <w:rPr>
      <w:rFonts w:eastAsiaTheme="minorEastAsia"/>
      <w:sz w:val="32"/>
    </w:rPr>
  </w:style>
  <w:style w:type="paragraph" w:customStyle="1" w:styleId="NotesNumbered">
    <w:name w:val="Notes Numbered"/>
    <w:basedOn w:val="Normal"/>
    <w:qFormat/>
    <w:rsid w:val="00323279"/>
    <w:pPr>
      <w:numPr>
        <w:numId w:val="6"/>
      </w:numPr>
      <w:spacing w:before="120" w:after="240" w:line="240" w:lineRule="auto"/>
      <w:contextualSpacing/>
    </w:pPr>
    <w:rPr>
      <w:sz w:val="18"/>
      <w:szCs w:val="20"/>
      <w:lang w:eastAsia="fr-CA"/>
    </w:rPr>
  </w:style>
  <w:style w:type="paragraph" w:styleId="FootnoteText">
    <w:name w:val="footnote text"/>
    <w:aliases w:val="BG Footnote Text,TBG Style"/>
    <w:basedOn w:val="Normal"/>
    <w:link w:val="FootnoteTextChar"/>
    <w:rsid w:val="003042FF"/>
    <w:pPr>
      <w:tabs>
        <w:tab w:val="left" w:pos="340"/>
      </w:tabs>
      <w:spacing w:before="60" w:after="60" w:line="240" w:lineRule="auto"/>
      <w:ind w:left="340" w:hanging="340"/>
    </w:pPr>
    <w:rPr>
      <w:sz w:val="16"/>
      <w:szCs w:val="20"/>
    </w:rPr>
  </w:style>
  <w:style w:type="character" w:customStyle="1" w:styleId="FootnoteTextChar">
    <w:name w:val="Footnote Text Char"/>
    <w:aliases w:val="BG Footnote Text Char,TBG Style Char"/>
    <w:basedOn w:val="DefaultParagraphFont"/>
    <w:link w:val="FootnoteText"/>
    <w:rsid w:val="003042FF"/>
    <w:rPr>
      <w:rFonts w:ascii="Arial" w:hAnsi="Arial"/>
      <w:sz w:val="16"/>
      <w:szCs w:val="20"/>
    </w:rPr>
  </w:style>
  <w:style w:type="character" w:styleId="FootnoteReference">
    <w:name w:val="footnote reference"/>
    <w:basedOn w:val="DefaultParagraphFont"/>
    <w:unhideWhenUsed/>
    <w:rsid w:val="00A176B6"/>
    <w:rPr>
      <w:vertAlign w:val="superscript"/>
    </w:rPr>
  </w:style>
  <w:style w:type="paragraph" w:styleId="ListNumber4">
    <w:name w:val="List Number 4"/>
    <w:basedOn w:val="Normal"/>
    <w:uiPriority w:val="99"/>
    <w:unhideWhenUsed/>
    <w:rsid w:val="00D33D2C"/>
    <w:pPr>
      <w:numPr>
        <w:ilvl w:val="3"/>
        <w:numId w:val="7"/>
      </w:numPr>
      <w:spacing w:before="120" w:after="120"/>
    </w:pPr>
  </w:style>
  <w:style w:type="paragraph" w:styleId="ListNumber5">
    <w:name w:val="List Number 5"/>
    <w:basedOn w:val="Normal"/>
    <w:uiPriority w:val="99"/>
    <w:unhideWhenUsed/>
    <w:rsid w:val="00D33D2C"/>
    <w:pPr>
      <w:numPr>
        <w:ilvl w:val="4"/>
        <w:numId w:val="7"/>
      </w:numPr>
      <w:spacing w:before="120" w:after="120"/>
    </w:pPr>
  </w:style>
  <w:style w:type="paragraph" w:styleId="ListBullet4">
    <w:name w:val="List Bullet 4"/>
    <w:basedOn w:val="Normal"/>
    <w:uiPriority w:val="99"/>
    <w:unhideWhenUsed/>
    <w:rsid w:val="001122BF"/>
    <w:pPr>
      <w:spacing w:before="120" w:after="120"/>
    </w:pPr>
  </w:style>
  <w:style w:type="paragraph" w:styleId="ListBullet5">
    <w:name w:val="List Bullet 5"/>
    <w:basedOn w:val="Normal"/>
    <w:uiPriority w:val="99"/>
    <w:unhideWhenUsed/>
    <w:rsid w:val="001122BF"/>
    <w:pPr>
      <w:contextualSpacing/>
    </w:pPr>
  </w:style>
  <w:style w:type="paragraph" w:customStyle="1" w:styleId="PageNumberinFrame">
    <w:name w:val="Page Number in Frame"/>
    <w:basedOn w:val="Normal"/>
    <w:uiPriority w:val="99"/>
    <w:qFormat/>
    <w:rsid w:val="00A13A74"/>
    <w:pPr>
      <w:framePr w:w="1701" w:h="1701" w:hRule="exact" w:wrap="around" w:vAnchor="text" w:hAnchor="margin" w:xAlign="right" w:y="1"/>
      <w:jc w:val="center"/>
    </w:pPr>
    <w:rPr>
      <w:sz w:val="18"/>
    </w:rPr>
  </w:style>
  <w:style w:type="paragraph" w:customStyle="1" w:styleId="BodyTextSmall">
    <w:name w:val="Body Text Small"/>
    <w:basedOn w:val="Normal"/>
    <w:qFormat/>
    <w:rsid w:val="00AD6695"/>
    <w:pPr>
      <w:spacing w:before="240" w:after="120"/>
    </w:pPr>
    <w:rPr>
      <w:sz w:val="18"/>
    </w:rPr>
  </w:style>
  <w:style w:type="paragraph" w:styleId="ListContinue4">
    <w:name w:val="List Continue 4"/>
    <w:basedOn w:val="Normal"/>
    <w:semiHidden/>
    <w:unhideWhenUsed/>
    <w:rsid w:val="0013752B"/>
    <w:pPr>
      <w:spacing w:before="120" w:after="120"/>
      <w:ind w:left="1429"/>
    </w:pPr>
  </w:style>
  <w:style w:type="paragraph" w:styleId="ListContinue5">
    <w:name w:val="List Continue 5"/>
    <w:basedOn w:val="Normal"/>
    <w:semiHidden/>
    <w:unhideWhenUsed/>
    <w:rsid w:val="0013752B"/>
    <w:pPr>
      <w:spacing w:before="120" w:after="120"/>
      <w:ind w:left="1786"/>
    </w:pPr>
  </w:style>
  <w:style w:type="paragraph" w:customStyle="1" w:styleId="ExecSummHeading1">
    <w:name w:val="Exec Summ Heading 1"/>
    <w:basedOn w:val="Normal"/>
    <w:next w:val="BodyText"/>
    <w:qFormat/>
    <w:rsid w:val="00DE2084"/>
    <w:pPr>
      <w:pageBreakBefore/>
      <w:spacing w:after="240"/>
      <w:ind w:left="851" w:hanging="851"/>
      <w:outlineLvl w:val="0"/>
    </w:pPr>
    <w:rPr>
      <w:rFonts w:asciiTheme="majorHAnsi" w:hAnsiTheme="majorHAnsi"/>
      <w:b/>
      <w:color w:val="007BC1"/>
      <w:sz w:val="32"/>
    </w:rPr>
  </w:style>
  <w:style w:type="paragraph" w:customStyle="1" w:styleId="ExecSummHeading2">
    <w:name w:val="Exec Summ Heading 2"/>
    <w:basedOn w:val="ExecSummHeading1"/>
    <w:next w:val="BodyText"/>
    <w:qFormat/>
    <w:rsid w:val="00DE2084"/>
    <w:pPr>
      <w:pageBreakBefore w:val="0"/>
      <w:spacing w:before="360"/>
      <w:outlineLvl w:val="9"/>
    </w:pPr>
    <w:rPr>
      <w:sz w:val="28"/>
    </w:rPr>
  </w:style>
  <w:style w:type="paragraph" w:customStyle="1" w:styleId="ExecSummHeading3">
    <w:name w:val="Exec Summ Heading 3"/>
    <w:basedOn w:val="ExecSummHeading2"/>
    <w:next w:val="BodyText"/>
    <w:qFormat/>
    <w:rsid w:val="00FF2DF8"/>
    <w:rPr>
      <w:sz w:val="22"/>
    </w:rPr>
  </w:style>
  <w:style w:type="paragraph" w:customStyle="1" w:styleId="ExecSummBodyText">
    <w:name w:val="Exec Summ Body Text"/>
    <w:basedOn w:val="Normal"/>
    <w:qFormat/>
    <w:rsid w:val="004B4F74"/>
    <w:pPr>
      <w:spacing w:before="240" w:after="120"/>
    </w:pPr>
  </w:style>
  <w:style w:type="paragraph" w:styleId="TOC4">
    <w:name w:val="toc 4"/>
    <w:basedOn w:val="Normal"/>
    <w:next w:val="Normal"/>
    <w:autoRedefine/>
    <w:uiPriority w:val="39"/>
    <w:semiHidden/>
    <w:unhideWhenUsed/>
    <w:rsid w:val="00774723"/>
    <w:pPr>
      <w:tabs>
        <w:tab w:val="right" w:leader="dot" w:pos="8165"/>
      </w:tabs>
      <w:spacing w:before="120" w:after="60"/>
      <w:ind w:right="737"/>
    </w:pPr>
  </w:style>
  <w:style w:type="character" w:customStyle="1" w:styleId="MyBoldItalicsUnderline">
    <w:name w:val="MyBoldItalicsUnderline"/>
    <w:semiHidden/>
    <w:rsid w:val="000C70ED"/>
    <w:rPr>
      <w:b/>
      <w:i/>
      <w:strike w:val="0"/>
      <w:u w:val="single"/>
      <w:vertAlign w:val="baseline"/>
    </w:rPr>
  </w:style>
  <w:style w:type="character" w:customStyle="1" w:styleId="MyBoldUnderline">
    <w:name w:val="MyBoldUnderline"/>
    <w:semiHidden/>
    <w:rsid w:val="000C70ED"/>
    <w:rPr>
      <w:b/>
      <w:i/>
      <w:strike w:val="0"/>
      <w:u w:val="single"/>
      <w:vertAlign w:val="baseline"/>
    </w:rPr>
  </w:style>
  <w:style w:type="character" w:customStyle="1" w:styleId="MyItalicsUnderline">
    <w:name w:val="MyItalicsUnderline"/>
    <w:semiHidden/>
    <w:rsid w:val="000C70ED"/>
    <w:rPr>
      <w:b/>
      <w:i/>
      <w:strike w:val="0"/>
      <w:u w:val="single"/>
      <w:vertAlign w:val="baseline"/>
    </w:rPr>
  </w:style>
  <w:style w:type="character" w:customStyle="1" w:styleId="MyStrikethrough">
    <w:name w:val="MyStrikethrough"/>
    <w:semiHidden/>
    <w:rsid w:val="000C70ED"/>
    <w:rPr>
      <w:b w:val="0"/>
      <w:i w:val="0"/>
      <w:strike/>
      <w:dstrike w:val="0"/>
      <w:vertAlign w:val="baseline"/>
    </w:rPr>
  </w:style>
  <w:style w:type="character" w:customStyle="1" w:styleId="MySubscript">
    <w:name w:val="MySubscript"/>
    <w:semiHidden/>
    <w:rsid w:val="000C70ED"/>
    <w:rPr>
      <w:b w:val="0"/>
      <w:i w:val="0"/>
      <w:strike w:val="0"/>
      <w:vertAlign w:val="subscript"/>
    </w:rPr>
  </w:style>
  <w:style w:type="character" w:customStyle="1" w:styleId="MySubscriptItalics">
    <w:name w:val="MySubscript&amp;Italics"/>
    <w:semiHidden/>
    <w:rsid w:val="000C70ED"/>
    <w:rPr>
      <w:b w:val="0"/>
      <w:i/>
      <w:strike w:val="0"/>
      <w:vertAlign w:val="subscript"/>
    </w:rPr>
  </w:style>
  <w:style w:type="character" w:customStyle="1" w:styleId="MySuperscript">
    <w:name w:val="MySuperscript"/>
    <w:semiHidden/>
    <w:rsid w:val="000C70ED"/>
    <w:rPr>
      <w:b w:val="0"/>
      <w:i w:val="0"/>
      <w:strike w:val="0"/>
      <w:vertAlign w:val="superscript"/>
    </w:rPr>
  </w:style>
  <w:style w:type="character" w:customStyle="1" w:styleId="MySuperscriptItalics">
    <w:name w:val="MySuperscript&amp;Italics"/>
    <w:semiHidden/>
    <w:rsid w:val="000C70ED"/>
    <w:rPr>
      <w:b w:val="0"/>
      <w:i/>
      <w:strike w:val="0"/>
      <w:vertAlign w:val="superscript"/>
    </w:rPr>
  </w:style>
  <w:style w:type="character" w:customStyle="1" w:styleId="MyUnderline">
    <w:name w:val="MyUnderline"/>
    <w:semiHidden/>
    <w:rsid w:val="000C70ED"/>
    <w:rPr>
      <w:b w:val="0"/>
      <w:i w:val="0"/>
      <w:strike w:val="0"/>
      <w:u w:val="single"/>
      <w:vertAlign w:val="baseline"/>
    </w:rPr>
  </w:style>
  <w:style w:type="character" w:customStyle="1" w:styleId="MyUnderlineStrikethrough">
    <w:name w:val="MyUnderline&amp;Strikethrough"/>
    <w:semiHidden/>
    <w:rsid w:val="000C70ED"/>
    <w:rPr>
      <w:b w:val="0"/>
      <w:i w:val="0"/>
      <w:strike/>
      <w:dstrike w:val="0"/>
      <w:u w:val="single"/>
      <w:vertAlign w:val="baseline"/>
    </w:rPr>
  </w:style>
  <w:style w:type="paragraph" w:styleId="CommentText">
    <w:name w:val="annotation text"/>
    <w:basedOn w:val="Normal"/>
    <w:link w:val="CommentTextChar"/>
    <w:uiPriority w:val="99"/>
    <w:unhideWhenUsed/>
    <w:rsid w:val="00130333"/>
    <w:pPr>
      <w:spacing w:after="160" w:line="240" w:lineRule="auto"/>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130333"/>
    <w:rPr>
      <w:rFonts w:eastAsiaTheme="minorHAnsi" w:cstheme="minorBidi"/>
      <w:sz w:val="20"/>
      <w:szCs w:val="20"/>
      <w:lang w:eastAsia="en-US"/>
    </w:rPr>
  </w:style>
  <w:style w:type="character" w:customStyle="1" w:styleId="ListParagraphChar">
    <w:name w:val="List Paragraph Char"/>
    <w:aliases w:val="List Paragraph11 Char,Recommendation Char,List Paragraph1 Char,Bullet point Char,1 heading Char,Dot point 1.5 line spacing Char,L Char,List Paragraph - bullets Char,NFP GP Bulleted List Char,bullet point list Char,LP-DO NOT USE Char"/>
    <w:basedOn w:val="DefaultParagraphFont"/>
    <w:link w:val="ListParagraph"/>
    <w:uiPriority w:val="34"/>
    <w:locked/>
    <w:rsid w:val="00130333"/>
  </w:style>
  <w:style w:type="paragraph" w:styleId="ListParagraph">
    <w:name w:val="List Paragraph"/>
    <w:aliases w:val="List Paragraph11,Recommendation,List Paragraph1,Bullet point,1 heading,Dot point 1.5 line spacing,L,List Paragraph - bullets,NFP GP Bulleted List,bullet point list,LP-DO NOT USE,Bulleted Para,CV text,Dot pt,F5 List Paragraph,FooterText"/>
    <w:basedOn w:val="Normal"/>
    <w:link w:val="ListParagraphChar"/>
    <w:uiPriority w:val="34"/>
    <w:qFormat/>
    <w:rsid w:val="00130333"/>
    <w:pPr>
      <w:spacing w:after="160" w:line="256" w:lineRule="auto"/>
      <w:ind w:left="720"/>
      <w:contextualSpacing/>
    </w:pPr>
    <w:rPr>
      <w:rFonts w:asciiTheme="minorHAnsi" w:hAnsiTheme="minorHAnsi"/>
    </w:rPr>
  </w:style>
  <w:style w:type="paragraph" w:customStyle="1" w:styleId="Default">
    <w:name w:val="Default"/>
    <w:rsid w:val="00130333"/>
    <w:pPr>
      <w:autoSpaceDE w:val="0"/>
      <w:autoSpaceDN w:val="0"/>
      <w:adjustRightInd w:val="0"/>
      <w:spacing w:line="240" w:lineRule="auto"/>
    </w:pPr>
    <w:rPr>
      <w:rFonts w:ascii="Arial" w:eastAsia="Calibri" w:hAnsi="Arial" w:cs="Arial"/>
      <w:color w:val="000000"/>
      <w:sz w:val="24"/>
      <w:szCs w:val="24"/>
    </w:rPr>
  </w:style>
  <w:style w:type="character" w:styleId="CommentReference">
    <w:name w:val="annotation reference"/>
    <w:basedOn w:val="DefaultParagraphFont"/>
    <w:uiPriority w:val="99"/>
    <w:semiHidden/>
    <w:unhideWhenUsed/>
    <w:rsid w:val="00130333"/>
    <w:rPr>
      <w:sz w:val="16"/>
      <w:szCs w:val="16"/>
    </w:rPr>
  </w:style>
  <w:style w:type="numbering" w:customStyle="1" w:styleId="BulletList">
    <w:name w:val="Bullet List"/>
    <w:uiPriority w:val="99"/>
    <w:rsid w:val="00130333"/>
    <w:pPr>
      <w:numPr>
        <w:numId w:val="11"/>
      </w:numPr>
    </w:pPr>
  </w:style>
  <w:style w:type="paragraph" w:customStyle="1" w:styleId="Pa9">
    <w:name w:val="Pa9"/>
    <w:basedOn w:val="Default"/>
    <w:next w:val="Default"/>
    <w:uiPriority w:val="99"/>
    <w:rsid w:val="00CE1750"/>
    <w:pPr>
      <w:spacing w:line="201" w:lineRule="atLeast"/>
    </w:pPr>
    <w:rPr>
      <w:rFonts w:ascii="Gotham Light" w:eastAsia="Times New Roman" w:hAnsi="Gotham Light" w:cs="Times New Roman"/>
      <w:color w:val="auto"/>
    </w:rPr>
  </w:style>
  <w:style w:type="character" w:customStyle="1" w:styleId="A8">
    <w:name w:val="A8"/>
    <w:uiPriority w:val="99"/>
    <w:rsid w:val="00CE1750"/>
    <w:rPr>
      <w:rFonts w:cs="Gotham Light"/>
      <w:color w:val="000000"/>
      <w:sz w:val="11"/>
      <w:szCs w:val="11"/>
    </w:rPr>
  </w:style>
  <w:style w:type="character" w:customStyle="1" w:styleId="Mention1">
    <w:name w:val="Mention1"/>
    <w:basedOn w:val="DefaultParagraphFont"/>
    <w:uiPriority w:val="99"/>
    <w:semiHidden/>
    <w:unhideWhenUsed/>
    <w:rsid w:val="00823FB3"/>
    <w:rPr>
      <w:color w:val="2B579A"/>
      <w:shd w:val="clear" w:color="auto" w:fill="E6E6E6"/>
    </w:rPr>
  </w:style>
  <w:style w:type="paragraph" w:styleId="PlainText">
    <w:name w:val="Plain Text"/>
    <w:basedOn w:val="Normal"/>
    <w:link w:val="PlainTextChar"/>
    <w:uiPriority w:val="99"/>
    <w:semiHidden/>
    <w:unhideWhenUsed/>
    <w:rsid w:val="007617DF"/>
    <w:pPr>
      <w:spacing w:line="240" w:lineRule="auto"/>
    </w:pPr>
    <w:rPr>
      <w:rFonts w:ascii="Calibri" w:hAnsi="Calibri"/>
      <w:szCs w:val="21"/>
    </w:rPr>
  </w:style>
  <w:style w:type="character" w:customStyle="1" w:styleId="PlainTextChar">
    <w:name w:val="Plain Text Char"/>
    <w:basedOn w:val="DefaultParagraphFont"/>
    <w:link w:val="PlainText"/>
    <w:uiPriority w:val="99"/>
    <w:semiHidden/>
    <w:rsid w:val="007617DF"/>
    <w:rPr>
      <w:rFonts w:ascii="Calibri" w:hAnsi="Calibri"/>
      <w:szCs w:val="21"/>
    </w:rPr>
  </w:style>
  <w:style w:type="paragraph" w:styleId="CommentSubject">
    <w:name w:val="annotation subject"/>
    <w:basedOn w:val="CommentText"/>
    <w:next w:val="CommentText"/>
    <w:link w:val="CommentSubjectChar"/>
    <w:uiPriority w:val="99"/>
    <w:semiHidden/>
    <w:unhideWhenUsed/>
    <w:rsid w:val="0023587F"/>
    <w:pPr>
      <w:spacing w:after="0"/>
    </w:pPr>
    <w:rPr>
      <w:rFonts w:ascii="Arial" w:eastAsia="Times New Roman" w:hAnsi="Arial" w:cs="Times New Roman"/>
      <w:b/>
      <w:bCs/>
      <w:lang w:eastAsia="en-AU"/>
    </w:rPr>
  </w:style>
  <w:style w:type="character" w:customStyle="1" w:styleId="CommentSubjectChar">
    <w:name w:val="Comment Subject Char"/>
    <w:basedOn w:val="CommentTextChar"/>
    <w:link w:val="CommentSubject"/>
    <w:uiPriority w:val="99"/>
    <w:semiHidden/>
    <w:rsid w:val="0023587F"/>
    <w:rPr>
      <w:rFonts w:ascii="Arial" w:eastAsiaTheme="minorHAnsi" w:hAnsi="Arial" w:cstheme="minorBidi"/>
      <w:b/>
      <w:bCs/>
      <w:sz w:val="20"/>
      <w:szCs w:val="20"/>
      <w:lang w:eastAsia="en-US"/>
    </w:rPr>
  </w:style>
  <w:style w:type="paragraph" w:customStyle="1" w:styleId="Bullet2a">
    <w:name w:val="Bullet2a"/>
    <w:basedOn w:val="ListBullet2"/>
    <w:link w:val="Bullet2aChar"/>
    <w:rsid w:val="005B1992"/>
  </w:style>
  <w:style w:type="paragraph" w:customStyle="1" w:styleId="Bullet2b0">
    <w:name w:val="Bullet2b"/>
    <w:basedOn w:val="ListBullet2"/>
    <w:link w:val="Bullet2bChar"/>
    <w:rsid w:val="005B1992"/>
  </w:style>
  <w:style w:type="character" w:customStyle="1" w:styleId="ListBulletChar">
    <w:name w:val="List Bullet Char"/>
    <w:basedOn w:val="BodyTextChar"/>
    <w:link w:val="ListBullet"/>
    <w:rsid w:val="00F10AF6"/>
    <w:rPr>
      <w:rFonts w:ascii="Arial" w:hAnsi="Arial"/>
    </w:rPr>
  </w:style>
  <w:style w:type="character" w:customStyle="1" w:styleId="ListBullet2Char">
    <w:name w:val="List Bullet 2 Char"/>
    <w:basedOn w:val="ListBulletChar"/>
    <w:link w:val="ListBullet2"/>
    <w:rsid w:val="00761C1E"/>
    <w:rPr>
      <w:rFonts w:ascii="Arial" w:hAnsi="Arial"/>
    </w:rPr>
  </w:style>
  <w:style w:type="character" w:customStyle="1" w:styleId="Bullet2aChar">
    <w:name w:val="Bullet2a Char"/>
    <w:basedOn w:val="ListBullet2Char"/>
    <w:link w:val="Bullet2a"/>
    <w:rsid w:val="005B1992"/>
    <w:rPr>
      <w:rFonts w:ascii="Arial" w:hAnsi="Arial"/>
    </w:rPr>
  </w:style>
  <w:style w:type="character" w:customStyle="1" w:styleId="Bullet2bChar">
    <w:name w:val="Bullet2b Char"/>
    <w:basedOn w:val="ListBullet2Char"/>
    <w:link w:val="Bullet2b0"/>
    <w:rsid w:val="005B1992"/>
    <w:rPr>
      <w:rFonts w:ascii="Arial" w:hAnsi="Arial"/>
    </w:rPr>
  </w:style>
  <w:style w:type="paragraph" w:customStyle="1" w:styleId="text">
    <w:name w:val="text"/>
    <w:basedOn w:val="Normal"/>
    <w:uiPriority w:val="99"/>
    <w:rsid w:val="008E05C4"/>
    <w:pPr>
      <w:widowControl w:val="0"/>
      <w:suppressAutoHyphens/>
      <w:autoSpaceDE w:val="0"/>
      <w:autoSpaceDN w:val="0"/>
      <w:adjustRightInd w:val="0"/>
      <w:spacing w:after="170" w:line="210" w:lineRule="atLeast"/>
      <w:textAlignment w:val="center"/>
    </w:pPr>
    <w:rPr>
      <w:rFonts w:ascii="ArialMT" w:eastAsia="Cambria" w:hAnsi="ArialMT" w:cs="ArialMT"/>
      <w:color w:val="000000"/>
      <w:sz w:val="17"/>
      <w:szCs w:val="17"/>
      <w:lang w:val="en-GB" w:eastAsia="en-US"/>
    </w:rPr>
  </w:style>
  <w:style w:type="character" w:styleId="Emphasis">
    <w:name w:val="Emphasis"/>
    <w:uiPriority w:val="20"/>
    <w:qFormat/>
    <w:rsid w:val="00E164A7"/>
    <w:rPr>
      <w:i/>
    </w:rPr>
  </w:style>
  <w:style w:type="character" w:styleId="Strong">
    <w:name w:val="Strong"/>
    <w:basedOn w:val="DefaultParagraphFont"/>
    <w:uiPriority w:val="22"/>
    <w:qFormat/>
    <w:rsid w:val="00057416"/>
    <w:rPr>
      <w:b/>
      <w:bCs/>
    </w:rPr>
  </w:style>
  <w:style w:type="character" w:customStyle="1" w:styleId="caps1">
    <w:name w:val="caps1"/>
    <w:basedOn w:val="DefaultParagraphFont"/>
    <w:rsid w:val="00057416"/>
    <w:rPr>
      <w:sz w:val="22"/>
      <w:szCs w:val="22"/>
    </w:rPr>
  </w:style>
  <w:style w:type="character" w:customStyle="1" w:styleId="tgc">
    <w:name w:val="_tgc"/>
    <w:basedOn w:val="DefaultParagraphFont"/>
    <w:rsid w:val="00057416"/>
  </w:style>
  <w:style w:type="table" w:styleId="ListTable4-Accent1">
    <w:name w:val="List Table 4 Accent 1"/>
    <w:basedOn w:val="TableNormal"/>
    <w:uiPriority w:val="49"/>
    <w:rsid w:val="00742868"/>
    <w:pPr>
      <w:spacing w:line="240" w:lineRule="auto"/>
    </w:pPr>
    <w:rPr>
      <w:rFonts w:eastAsiaTheme="minorHAnsi" w:cstheme="minorBidi"/>
      <w:lang w:eastAsia="en-US"/>
    </w:rPr>
    <w:tblPr>
      <w:tblStyleRowBandSize w:val="1"/>
      <w:tblStyleColBandSize w:val="1"/>
      <w:tblInd w:w="0" w:type="nil"/>
      <w:tblBorders>
        <w:top w:val="single" w:sz="4" w:space="0" w:color="5C8CD9" w:themeColor="accent1" w:themeTint="99"/>
        <w:left w:val="single" w:sz="4" w:space="0" w:color="5C8CD9" w:themeColor="accent1" w:themeTint="99"/>
        <w:bottom w:val="single" w:sz="4" w:space="0" w:color="5C8CD9" w:themeColor="accent1" w:themeTint="99"/>
        <w:right w:val="single" w:sz="4" w:space="0" w:color="5C8CD9" w:themeColor="accent1" w:themeTint="99"/>
        <w:insideH w:val="single" w:sz="4" w:space="0" w:color="5C8CD9" w:themeColor="accent1" w:themeTint="99"/>
      </w:tblBorders>
    </w:tblPr>
    <w:tblStylePr w:type="firstRow">
      <w:rPr>
        <w:b/>
        <w:bCs/>
        <w:color w:val="FFFFFF" w:themeColor="background1"/>
      </w:rPr>
      <w:tblPr/>
      <w:tcPr>
        <w:tcBorders>
          <w:top w:val="single" w:sz="4" w:space="0" w:color="214C90" w:themeColor="accent1"/>
          <w:left w:val="single" w:sz="4" w:space="0" w:color="214C90" w:themeColor="accent1"/>
          <w:bottom w:val="single" w:sz="4" w:space="0" w:color="214C90" w:themeColor="accent1"/>
          <w:right w:val="single" w:sz="4" w:space="0" w:color="214C90" w:themeColor="accent1"/>
          <w:insideH w:val="nil"/>
        </w:tcBorders>
        <w:shd w:val="clear" w:color="auto" w:fill="214C90" w:themeFill="accent1"/>
      </w:tcPr>
    </w:tblStylePr>
    <w:tblStylePr w:type="lastRow">
      <w:rPr>
        <w:b/>
        <w:bCs/>
      </w:rPr>
      <w:tblPr/>
      <w:tcPr>
        <w:tcBorders>
          <w:top w:val="double" w:sz="4" w:space="0" w:color="5C8CD9" w:themeColor="accent1" w:themeTint="99"/>
        </w:tcBorders>
      </w:tcPr>
    </w:tblStylePr>
    <w:tblStylePr w:type="firstCol">
      <w:rPr>
        <w:b/>
        <w:bCs/>
      </w:rPr>
    </w:tblStylePr>
    <w:tblStylePr w:type="lastCol">
      <w:rPr>
        <w:b/>
        <w:bCs/>
      </w:rPr>
    </w:tblStylePr>
    <w:tblStylePr w:type="band1Vert">
      <w:tblPr/>
      <w:tcPr>
        <w:shd w:val="clear" w:color="auto" w:fill="C8D8F2" w:themeFill="accent1" w:themeFillTint="33"/>
      </w:tcPr>
    </w:tblStylePr>
    <w:tblStylePr w:type="band1Horz">
      <w:tblPr/>
      <w:tcPr>
        <w:shd w:val="clear" w:color="auto" w:fill="C8D8F2" w:themeFill="accent1" w:themeFillTint="33"/>
      </w:tcPr>
    </w:tblStylePr>
  </w:style>
  <w:style w:type="character" w:customStyle="1" w:styleId="med11">
    <w:name w:val="med11"/>
    <w:basedOn w:val="DefaultParagraphFont"/>
    <w:rsid w:val="00742868"/>
    <w:rPr>
      <w:sz w:val="18"/>
      <w:szCs w:val="18"/>
    </w:rPr>
  </w:style>
  <w:style w:type="paragraph" w:customStyle="1" w:styleId="paragraph">
    <w:name w:val="paragraph"/>
    <w:basedOn w:val="Normal"/>
    <w:rsid w:val="00797E66"/>
    <w:pPr>
      <w:spacing w:before="100" w:beforeAutospacing="1" w:after="100" w:afterAutospacing="1" w:line="240" w:lineRule="auto"/>
    </w:pPr>
    <w:rPr>
      <w:rFonts w:ascii="Times New Roman" w:hAnsi="Times New Roman"/>
      <w:sz w:val="24"/>
      <w:szCs w:val="24"/>
    </w:rPr>
  </w:style>
  <w:style w:type="paragraph" w:customStyle="1" w:styleId="paragraphsub">
    <w:name w:val="paragraphsub"/>
    <w:basedOn w:val="Normal"/>
    <w:rsid w:val="00797E66"/>
    <w:pPr>
      <w:spacing w:before="100" w:beforeAutospacing="1" w:after="100" w:afterAutospacing="1" w:line="240" w:lineRule="auto"/>
    </w:pPr>
    <w:rPr>
      <w:rFonts w:ascii="Times New Roman" w:hAnsi="Times New Roman"/>
      <w:sz w:val="24"/>
      <w:szCs w:val="24"/>
    </w:rPr>
  </w:style>
  <w:style w:type="paragraph" w:customStyle="1" w:styleId="subsection">
    <w:name w:val="subsection"/>
    <w:basedOn w:val="Normal"/>
    <w:rsid w:val="006F250E"/>
    <w:pPr>
      <w:spacing w:before="100" w:beforeAutospacing="1" w:after="100" w:afterAutospacing="1" w:line="240" w:lineRule="auto"/>
    </w:pPr>
    <w:rPr>
      <w:rFonts w:ascii="Times New Roman" w:hAnsi="Times New Roman"/>
      <w:sz w:val="24"/>
      <w:szCs w:val="24"/>
    </w:rPr>
  </w:style>
  <w:style w:type="numbering" w:customStyle="1" w:styleId="KeyPoints">
    <w:name w:val="Key Points"/>
    <w:basedOn w:val="NoList"/>
    <w:uiPriority w:val="99"/>
    <w:rsid w:val="006F250E"/>
    <w:pPr>
      <w:numPr>
        <w:numId w:val="12"/>
      </w:numPr>
    </w:pPr>
  </w:style>
  <w:style w:type="paragraph" w:customStyle="1" w:styleId="subsectionhead">
    <w:name w:val="subsectionhead"/>
    <w:basedOn w:val="Normal"/>
    <w:rsid w:val="00153551"/>
    <w:pPr>
      <w:spacing w:before="100" w:beforeAutospacing="1" w:after="100" w:afterAutospacing="1" w:line="240" w:lineRule="auto"/>
    </w:pPr>
    <w:rPr>
      <w:rFonts w:ascii="Times New Roman" w:hAnsi="Times New Roman"/>
      <w:sz w:val="24"/>
      <w:szCs w:val="24"/>
    </w:rPr>
  </w:style>
  <w:style w:type="paragraph" w:customStyle="1" w:styleId="indenta-p">
    <w:name w:val="indenta-p"/>
    <w:basedOn w:val="Normal"/>
    <w:rsid w:val="00153551"/>
    <w:pPr>
      <w:spacing w:before="100" w:beforeAutospacing="1" w:after="100" w:afterAutospacing="1" w:line="240" w:lineRule="auto"/>
    </w:pPr>
    <w:rPr>
      <w:rFonts w:ascii="Times New Roman" w:eastAsiaTheme="minorHAnsi" w:hAnsi="Times New Roman"/>
      <w:sz w:val="24"/>
      <w:szCs w:val="24"/>
    </w:rPr>
  </w:style>
  <w:style w:type="character" w:customStyle="1" w:styleId="indenta-h">
    <w:name w:val="indenta-h"/>
    <w:basedOn w:val="DefaultParagraphFont"/>
    <w:rsid w:val="00153551"/>
  </w:style>
  <w:style w:type="character" w:customStyle="1" w:styleId="charsectno">
    <w:name w:val="charsectno"/>
    <w:basedOn w:val="DefaultParagraphFont"/>
    <w:rsid w:val="00DC48D1"/>
  </w:style>
  <w:style w:type="paragraph" w:customStyle="1" w:styleId="acthead5">
    <w:name w:val="acthead5"/>
    <w:basedOn w:val="Normal"/>
    <w:rsid w:val="00DC48D1"/>
    <w:pPr>
      <w:spacing w:before="100" w:beforeAutospacing="1" w:after="100" w:afterAutospacing="1" w:line="240" w:lineRule="auto"/>
    </w:pPr>
    <w:rPr>
      <w:rFonts w:ascii="Times New Roman" w:hAnsi="Times New Roman"/>
      <w:sz w:val="24"/>
      <w:szCs w:val="24"/>
    </w:rPr>
  </w:style>
  <w:style w:type="character" w:customStyle="1" w:styleId="sectionlabel">
    <w:name w:val="sectionlabel"/>
    <w:basedOn w:val="DefaultParagraphFont"/>
    <w:rsid w:val="007E1D14"/>
    <w:rPr>
      <w:b/>
      <w:bCs/>
      <w:color w:val="000000"/>
    </w:rPr>
  </w:style>
  <w:style w:type="character" w:customStyle="1" w:styleId="lawlabel2">
    <w:name w:val="lawlabel2"/>
    <w:basedOn w:val="DefaultParagraphFont"/>
    <w:rsid w:val="007E1D14"/>
    <w:rPr>
      <w:b/>
      <w:bCs/>
      <w:color w:val="000000"/>
    </w:rPr>
  </w:style>
  <w:style w:type="paragraph" w:customStyle="1" w:styleId="CM3">
    <w:name w:val="CM3"/>
    <w:basedOn w:val="Default"/>
    <w:next w:val="Default"/>
    <w:uiPriority w:val="99"/>
    <w:rsid w:val="003258F0"/>
    <w:pPr>
      <w:spacing w:line="280" w:lineRule="atLeast"/>
    </w:pPr>
    <w:rPr>
      <w:rFonts w:ascii="Myriad Pro" w:eastAsia="Times New Roman" w:hAnsi="Myriad Pro" w:cs="Times New Roman"/>
      <w:color w:val="auto"/>
    </w:rPr>
  </w:style>
  <w:style w:type="paragraph" w:customStyle="1" w:styleId="Footerclassification">
    <w:name w:val="Footer classification"/>
    <w:basedOn w:val="Normal"/>
    <w:rsid w:val="00D5384A"/>
    <w:pPr>
      <w:tabs>
        <w:tab w:val="center" w:pos="4536"/>
        <w:tab w:val="center" w:pos="4819"/>
        <w:tab w:val="right" w:pos="9356"/>
      </w:tabs>
      <w:spacing w:before="240" w:line="276" w:lineRule="auto"/>
      <w:jc w:val="center"/>
    </w:pPr>
    <w:rPr>
      <w:rFonts w:cs="Arial"/>
      <w:color w:val="FF0000"/>
      <w:sz w:val="28"/>
      <w:szCs w:val="28"/>
    </w:rPr>
  </w:style>
  <w:style w:type="paragraph" w:customStyle="1" w:styleId="Tabletext">
    <w:name w:val="Table text"/>
    <w:basedOn w:val="Normal"/>
    <w:uiPriority w:val="9"/>
    <w:qFormat/>
    <w:rsid w:val="00D5384A"/>
    <w:pPr>
      <w:spacing w:line="276" w:lineRule="auto"/>
    </w:pPr>
    <w:rPr>
      <w:rFonts w:eastAsia="Calibri"/>
      <w:lang w:eastAsia="en-US"/>
    </w:rPr>
  </w:style>
  <w:style w:type="paragraph" w:customStyle="1" w:styleId="Classificationsensitivity">
    <w:name w:val="Classification sensitivity"/>
    <w:basedOn w:val="Normal"/>
    <w:rsid w:val="00D5384A"/>
    <w:pPr>
      <w:tabs>
        <w:tab w:val="center" w:pos="4536"/>
        <w:tab w:val="center" w:pos="4819"/>
        <w:tab w:val="right" w:pos="9356"/>
      </w:tabs>
      <w:spacing w:after="240" w:line="276" w:lineRule="auto"/>
      <w:jc w:val="center"/>
    </w:pPr>
    <w:rPr>
      <w:rFonts w:cs="Arial"/>
      <w:color w:val="FF0000"/>
      <w:szCs w:val="28"/>
    </w:rPr>
  </w:style>
  <w:style w:type="character" w:customStyle="1" w:styleId="Numbered1Char">
    <w:name w:val="Numbered 1 Char"/>
    <w:basedOn w:val="DefaultParagraphFont"/>
    <w:link w:val="Numbered1"/>
    <w:locked/>
    <w:rsid w:val="00BE301F"/>
    <w:rPr>
      <w:sz w:val="24"/>
      <w:szCs w:val="24"/>
    </w:rPr>
  </w:style>
  <w:style w:type="paragraph" w:customStyle="1" w:styleId="Numbered1">
    <w:name w:val="Numbered 1"/>
    <w:basedOn w:val="Normal"/>
    <w:link w:val="Numbered1Char"/>
    <w:qFormat/>
    <w:rsid w:val="00BE301F"/>
    <w:pPr>
      <w:spacing w:after="200" w:line="276" w:lineRule="auto"/>
    </w:pPr>
    <w:rPr>
      <w:rFonts w:asciiTheme="minorHAnsi" w:hAnsiTheme="minorHAnsi"/>
      <w:sz w:val="24"/>
      <w:szCs w:val="24"/>
    </w:rPr>
  </w:style>
  <w:style w:type="paragraph" w:customStyle="1" w:styleId="Footnote">
    <w:name w:val="Footnote"/>
    <w:basedOn w:val="FootnoteText"/>
    <w:link w:val="FootnoteChar"/>
    <w:qFormat/>
    <w:rsid w:val="002634B1"/>
    <w:pPr>
      <w:tabs>
        <w:tab w:val="left" w:pos="720"/>
        <w:tab w:val="left" w:pos="1077"/>
      </w:tabs>
      <w:spacing w:before="0" w:after="0"/>
      <w:ind w:left="720" w:hanging="720"/>
    </w:pPr>
    <w:rPr>
      <w:rFonts w:ascii="Times New Roman" w:eastAsia="MS Mincho" w:hAnsi="Times New Roman" w:cstheme="minorBidi"/>
      <w:sz w:val="20"/>
      <w:lang w:eastAsia="en-US"/>
    </w:rPr>
  </w:style>
  <w:style w:type="character" w:customStyle="1" w:styleId="FootnoteChar">
    <w:name w:val="Footnote Char"/>
    <w:basedOn w:val="FootnoteTextChar"/>
    <w:link w:val="Footnote"/>
    <w:rsid w:val="002634B1"/>
    <w:rPr>
      <w:rFonts w:ascii="Times New Roman" w:eastAsia="MS Mincho" w:hAnsi="Times New Roman" w:cstheme="minorBidi"/>
      <w:sz w:val="20"/>
      <w:szCs w:val="20"/>
      <w:lang w:eastAsia="en-US"/>
    </w:rPr>
  </w:style>
  <w:style w:type="paragraph" w:customStyle="1" w:styleId="AppendixLevel1">
    <w:name w:val="Appendix Level 1"/>
    <w:basedOn w:val="Heading1"/>
    <w:next w:val="Normal"/>
    <w:rsid w:val="007D7FFC"/>
    <w:pPr>
      <w:pageBreakBefore/>
      <w:numPr>
        <w:numId w:val="14"/>
      </w:numPr>
      <w:tabs>
        <w:tab w:val="num" w:pos="360"/>
      </w:tabs>
      <w:spacing w:before="240" w:line="256" w:lineRule="auto"/>
      <w:ind w:left="0" w:right="1134" w:firstLine="0"/>
    </w:pPr>
    <w:rPr>
      <w:rFonts w:ascii="Franklin Gothic Demi Cond" w:eastAsiaTheme="majorEastAsia" w:hAnsi="Franklin Gothic Demi Cond"/>
      <w:b w:val="0"/>
      <w:bCs w:val="0"/>
      <w:color w:val="1C376B"/>
      <w:lang w:eastAsia="en-US"/>
    </w:rPr>
  </w:style>
  <w:style w:type="paragraph" w:customStyle="1" w:styleId="AppendixLevel2">
    <w:name w:val="Appendix Level 2"/>
    <w:basedOn w:val="Heading1"/>
    <w:next w:val="Normal"/>
    <w:rsid w:val="007D7FFC"/>
    <w:pPr>
      <w:numPr>
        <w:ilvl w:val="1"/>
        <w:numId w:val="14"/>
      </w:numPr>
      <w:tabs>
        <w:tab w:val="num" w:pos="360"/>
      </w:tabs>
      <w:spacing w:before="240" w:line="256" w:lineRule="auto"/>
      <w:ind w:left="0" w:firstLine="0"/>
    </w:pPr>
    <w:rPr>
      <w:rFonts w:ascii="Franklin Gothic Demi Cond" w:eastAsiaTheme="majorEastAsia" w:hAnsi="Franklin Gothic Demi Cond"/>
      <w:b w:val="0"/>
      <w:bCs w:val="0"/>
      <w:color w:val="1C376B"/>
      <w:lang w:eastAsia="en-US"/>
    </w:rPr>
  </w:style>
  <w:style w:type="paragraph" w:customStyle="1" w:styleId="AppendixLevel3">
    <w:name w:val="Appendix Level 3"/>
    <w:basedOn w:val="AppendixLevel2"/>
    <w:next w:val="Normal"/>
    <w:qFormat/>
    <w:rsid w:val="007D7FFC"/>
    <w:pPr>
      <w:numPr>
        <w:ilvl w:val="2"/>
      </w:numPr>
      <w:tabs>
        <w:tab w:val="num" w:pos="360"/>
      </w:tabs>
    </w:pPr>
  </w:style>
  <w:style w:type="character" w:customStyle="1" w:styleId="Mention2">
    <w:name w:val="Mention2"/>
    <w:basedOn w:val="DefaultParagraphFont"/>
    <w:uiPriority w:val="99"/>
    <w:semiHidden/>
    <w:unhideWhenUsed/>
    <w:rsid w:val="00C76364"/>
    <w:rPr>
      <w:color w:val="2B579A"/>
      <w:shd w:val="clear" w:color="auto" w:fill="E6E6E6"/>
    </w:rPr>
  </w:style>
  <w:style w:type="paragraph" w:customStyle="1" w:styleId="Pa4">
    <w:name w:val="Pa4"/>
    <w:basedOn w:val="Default"/>
    <w:next w:val="Default"/>
    <w:uiPriority w:val="99"/>
    <w:rsid w:val="006B1D5E"/>
    <w:pPr>
      <w:spacing w:line="161" w:lineRule="atLeast"/>
    </w:pPr>
    <w:rPr>
      <w:rFonts w:ascii="Myriad Pro" w:eastAsia="Times New Roman" w:hAnsi="Myriad Pro" w:cs="Times New Roman"/>
      <w:color w:val="auto"/>
    </w:rPr>
  </w:style>
  <w:style w:type="paragraph" w:customStyle="1" w:styleId="EMR-Subrule">
    <w:name w:val="EMR-Subrule"/>
    <w:basedOn w:val="Normal"/>
    <w:uiPriority w:val="99"/>
    <w:rsid w:val="00BF76B2"/>
    <w:pPr>
      <w:tabs>
        <w:tab w:val="left" w:pos="1134"/>
      </w:tabs>
      <w:autoSpaceDE w:val="0"/>
      <w:autoSpaceDN w:val="0"/>
      <w:adjustRightInd w:val="0"/>
      <w:spacing w:before="240" w:after="60" w:line="240" w:lineRule="auto"/>
      <w:ind w:left="1134" w:hanging="567"/>
      <w:jc w:val="both"/>
    </w:pPr>
    <w:rPr>
      <w:rFonts w:ascii="Times New Roman" w:eastAsiaTheme="minorEastAsia" w:hAnsi="Times New Roman"/>
      <w:color w:val="000000"/>
      <w:sz w:val="24"/>
      <w:szCs w:val="24"/>
    </w:rPr>
  </w:style>
  <w:style w:type="paragraph" w:customStyle="1" w:styleId="EMR-RSR-List-1-MNum">
    <w:name w:val="EMR-RSR-List-1-MNum"/>
    <w:basedOn w:val="Normal"/>
    <w:uiPriority w:val="99"/>
    <w:rsid w:val="004D1BF1"/>
    <w:pPr>
      <w:tabs>
        <w:tab w:val="left" w:pos="1701"/>
      </w:tabs>
      <w:autoSpaceDE w:val="0"/>
      <w:autoSpaceDN w:val="0"/>
      <w:adjustRightInd w:val="0"/>
      <w:spacing w:before="120" w:after="120" w:line="240" w:lineRule="auto"/>
      <w:ind w:left="1701" w:hanging="567"/>
      <w:jc w:val="both"/>
    </w:pPr>
    <w:rPr>
      <w:rFonts w:ascii="Times New Roman" w:eastAsiaTheme="minorEastAsia" w:hAnsi="Times New Roman"/>
      <w:color w:val="000000"/>
      <w:sz w:val="24"/>
      <w:szCs w:val="24"/>
    </w:rPr>
  </w:style>
  <w:style w:type="paragraph" w:customStyle="1" w:styleId="EMR-RSR-List-1-UNum">
    <w:name w:val="EMR-RSR-List-1-UNum"/>
    <w:basedOn w:val="Normal"/>
    <w:uiPriority w:val="99"/>
    <w:rsid w:val="009A795F"/>
    <w:pPr>
      <w:autoSpaceDE w:val="0"/>
      <w:autoSpaceDN w:val="0"/>
      <w:adjustRightInd w:val="0"/>
      <w:spacing w:before="120" w:after="120" w:line="240" w:lineRule="auto"/>
      <w:ind w:left="1134"/>
      <w:jc w:val="both"/>
    </w:pPr>
    <w:rPr>
      <w:rFonts w:ascii="Times New Roman" w:eastAsiaTheme="minorEastAsia" w:hAnsi="Times New Roman"/>
      <w:color w:val="000000"/>
      <w:sz w:val="24"/>
      <w:szCs w:val="24"/>
    </w:rPr>
  </w:style>
  <w:style w:type="paragraph" w:customStyle="1" w:styleId="EMR-RSR-List-2-MNum">
    <w:name w:val="EMR-RSR-List-2-MNum"/>
    <w:basedOn w:val="Normal"/>
    <w:uiPriority w:val="99"/>
    <w:rsid w:val="003630A2"/>
    <w:pPr>
      <w:tabs>
        <w:tab w:val="left" w:pos="2268"/>
      </w:tabs>
      <w:autoSpaceDE w:val="0"/>
      <w:autoSpaceDN w:val="0"/>
      <w:adjustRightInd w:val="0"/>
      <w:spacing w:before="120" w:after="120" w:line="240" w:lineRule="auto"/>
      <w:ind w:left="2268" w:hanging="567"/>
      <w:jc w:val="both"/>
    </w:pPr>
    <w:rPr>
      <w:rFonts w:ascii="Times New Roman" w:eastAsiaTheme="minorEastAsia" w:hAnsi="Times New Roman"/>
      <w:color w:val="000000"/>
      <w:sz w:val="24"/>
      <w:szCs w:val="24"/>
    </w:rPr>
  </w:style>
  <w:style w:type="paragraph" w:customStyle="1" w:styleId="EMR-RSR-Para">
    <w:name w:val="EMR-RSR-Para"/>
    <w:basedOn w:val="Normal"/>
    <w:uiPriority w:val="99"/>
    <w:rsid w:val="001C71FE"/>
    <w:pPr>
      <w:autoSpaceDE w:val="0"/>
      <w:autoSpaceDN w:val="0"/>
      <w:adjustRightInd w:val="0"/>
      <w:spacing w:before="120" w:after="120" w:line="240" w:lineRule="auto"/>
      <w:ind w:left="1134"/>
      <w:jc w:val="both"/>
    </w:pPr>
    <w:rPr>
      <w:rFonts w:ascii="Times New Roman" w:eastAsiaTheme="minorEastAsia" w:hAnsi="Times New Roman"/>
      <w:color w:val="000000"/>
      <w:sz w:val="24"/>
      <w:szCs w:val="24"/>
    </w:rPr>
  </w:style>
  <w:style w:type="paragraph" w:customStyle="1" w:styleId="EMR-Rule-Title-Lvl-3">
    <w:name w:val="EMR-Rule-Title-Lvl-3"/>
    <w:basedOn w:val="Normal"/>
    <w:uiPriority w:val="99"/>
    <w:rsid w:val="001C71FE"/>
    <w:pPr>
      <w:keepNext/>
      <w:keepLines/>
      <w:tabs>
        <w:tab w:val="left" w:pos="1134"/>
      </w:tabs>
      <w:autoSpaceDE w:val="0"/>
      <w:autoSpaceDN w:val="0"/>
      <w:adjustRightInd w:val="0"/>
      <w:spacing w:before="240" w:after="60" w:line="240" w:lineRule="auto"/>
      <w:ind w:left="1134" w:hanging="1134"/>
      <w:outlineLvl w:val="2"/>
    </w:pPr>
    <w:rPr>
      <w:rFonts w:ascii="Arial Bold" w:eastAsiaTheme="minorEastAsia" w:hAnsi="Arial Bold" w:cs="Arial Bold"/>
      <w:b/>
      <w:bCs/>
      <w:color w:val="000000"/>
      <w:sz w:val="26"/>
      <w:szCs w:val="26"/>
    </w:rPr>
  </w:style>
  <w:style w:type="paragraph" w:customStyle="1" w:styleId="List-3-MNum">
    <w:name w:val="List-3-MNum"/>
    <w:basedOn w:val="Normal"/>
    <w:uiPriority w:val="99"/>
    <w:rsid w:val="00647241"/>
    <w:pPr>
      <w:tabs>
        <w:tab w:val="left" w:pos="1701"/>
      </w:tabs>
      <w:autoSpaceDE w:val="0"/>
      <w:autoSpaceDN w:val="0"/>
      <w:adjustRightInd w:val="0"/>
      <w:spacing w:before="120" w:after="120"/>
      <w:ind w:left="1701" w:hanging="567"/>
    </w:pPr>
    <w:rPr>
      <w:rFonts w:ascii="Book Antiqua" w:eastAsiaTheme="minorEastAsia" w:hAnsi="Book Antiqua" w:cs="Book Antiqua"/>
      <w:color w:val="000000"/>
    </w:rPr>
  </w:style>
  <w:style w:type="paragraph" w:customStyle="1" w:styleId="Bullet2b">
    <w:name w:val="Bullet 2b"/>
    <w:basedOn w:val="ListBullet2"/>
    <w:link w:val="Bullet2bChar0"/>
    <w:qFormat/>
    <w:rsid w:val="005A3DBD"/>
    <w:pPr>
      <w:numPr>
        <w:numId w:val="13"/>
      </w:numPr>
      <w:spacing w:line="240" w:lineRule="auto"/>
      <w:ind w:left="714" w:hanging="357"/>
    </w:pPr>
    <w:rPr>
      <w:rFonts w:eastAsiaTheme="majorEastAsia"/>
      <w:sz w:val="21"/>
      <w:szCs w:val="21"/>
    </w:rPr>
  </w:style>
  <w:style w:type="character" w:customStyle="1" w:styleId="Bullet2bChar0">
    <w:name w:val="Bullet 2b Char"/>
    <w:basedOn w:val="ListBullet2Char"/>
    <w:link w:val="Bullet2b"/>
    <w:rsid w:val="005A3DBD"/>
    <w:rPr>
      <w:rFonts w:ascii="Arial" w:eastAsiaTheme="majorEastAsia"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34">
      <w:bodyDiv w:val="1"/>
      <w:marLeft w:val="0"/>
      <w:marRight w:val="0"/>
      <w:marTop w:val="0"/>
      <w:marBottom w:val="0"/>
      <w:divBdr>
        <w:top w:val="none" w:sz="0" w:space="0" w:color="auto"/>
        <w:left w:val="none" w:sz="0" w:space="0" w:color="auto"/>
        <w:bottom w:val="none" w:sz="0" w:space="0" w:color="auto"/>
        <w:right w:val="none" w:sz="0" w:space="0" w:color="auto"/>
      </w:divBdr>
    </w:div>
    <w:div w:id="8603572">
      <w:bodyDiv w:val="1"/>
      <w:marLeft w:val="0"/>
      <w:marRight w:val="0"/>
      <w:marTop w:val="0"/>
      <w:marBottom w:val="0"/>
      <w:divBdr>
        <w:top w:val="none" w:sz="0" w:space="0" w:color="auto"/>
        <w:left w:val="none" w:sz="0" w:space="0" w:color="auto"/>
        <w:bottom w:val="none" w:sz="0" w:space="0" w:color="auto"/>
        <w:right w:val="none" w:sz="0" w:space="0" w:color="auto"/>
      </w:divBdr>
      <w:divsChild>
        <w:div w:id="1574465123">
          <w:marLeft w:val="0"/>
          <w:marRight w:val="0"/>
          <w:marTop w:val="0"/>
          <w:marBottom w:val="0"/>
          <w:divBdr>
            <w:top w:val="none" w:sz="0" w:space="0" w:color="auto"/>
            <w:left w:val="none" w:sz="0" w:space="0" w:color="auto"/>
            <w:bottom w:val="none" w:sz="0" w:space="0" w:color="auto"/>
            <w:right w:val="none" w:sz="0" w:space="0" w:color="auto"/>
          </w:divBdr>
          <w:divsChild>
            <w:div w:id="144627051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8915106">
      <w:bodyDiv w:val="1"/>
      <w:marLeft w:val="0"/>
      <w:marRight w:val="0"/>
      <w:marTop w:val="0"/>
      <w:marBottom w:val="0"/>
      <w:divBdr>
        <w:top w:val="none" w:sz="0" w:space="0" w:color="auto"/>
        <w:left w:val="none" w:sz="0" w:space="0" w:color="auto"/>
        <w:bottom w:val="none" w:sz="0" w:space="0" w:color="auto"/>
        <w:right w:val="none" w:sz="0" w:space="0" w:color="auto"/>
      </w:divBdr>
    </w:div>
    <w:div w:id="9837092">
      <w:bodyDiv w:val="1"/>
      <w:marLeft w:val="0"/>
      <w:marRight w:val="0"/>
      <w:marTop w:val="0"/>
      <w:marBottom w:val="0"/>
      <w:divBdr>
        <w:top w:val="none" w:sz="0" w:space="0" w:color="auto"/>
        <w:left w:val="none" w:sz="0" w:space="0" w:color="auto"/>
        <w:bottom w:val="none" w:sz="0" w:space="0" w:color="auto"/>
        <w:right w:val="none" w:sz="0" w:space="0" w:color="auto"/>
      </w:divBdr>
    </w:div>
    <w:div w:id="14891659">
      <w:bodyDiv w:val="1"/>
      <w:marLeft w:val="0"/>
      <w:marRight w:val="0"/>
      <w:marTop w:val="0"/>
      <w:marBottom w:val="0"/>
      <w:divBdr>
        <w:top w:val="none" w:sz="0" w:space="0" w:color="auto"/>
        <w:left w:val="none" w:sz="0" w:space="0" w:color="auto"/>
        <w:bottom w:val="none" w:sz="0" w:space="0" w:color="auto"/>
        <w:right w:val="none" w:sz="0" w:space="0" w:color="auto"/>
      </w:divBdr>
    </w:div>
    <w:div w:id="36588931">
      <w:bodyDiv w:val="1"/>
      <w:marLeft w:val="0"/>
      <w:marRight w:val="0"/>
      <w:marTop w:val="0"/>
      <w:marBottom w:val="0"/>
      <w:divBdr>
        <w:top w:val="none" w:sz="0" w:space="0" w:color="auto"/>
        <w:left w:val="none" w:sz="0" w:space="0" w:color="auto"/>
        <w:bottom w:val="none" w:sz="0" w:space="0" w:color="auto"/>
        <w:right w:val="none" w:sz="0" w:space="0" w:color="auto"/>
      </w:divBdr>
    </w:div>
    <w:div w:id="76170139">
      <w:bodyDiv w:val="1"/>
      <w:marLeft w:val="0"/>
      <w:marRight w:val="0"/>
      <w:marTop w:val="0"/>
      <w:marBottom w:val="0"/>
      <w:divBdr>
        <w:top w:val="none" w:sz="0" w:space="0" w:color="auto"/>
        <w:left w:val="none" w:sz="0" w:space="0" w:color="auto"/>
        <w:bottom w:val="none" w:sz="0" w:space="0" w:color="auto"/>
        <w:right w:val="none" w:sz="0" w:space="0" w:color="auto"/>
      </w:divBdr>
      <w:divsChild>
        <w:div w:id="285698839">
          <w:marLeft w:val="547"/>
          <w:marRight w:val="0"/>
          <w:marTop w:val="0"/>
          <w:marBottom w:val="0"/>
          <w:divBdr>
            <w:top w:val="none" w:sz="0" w:space="0" w:color="auto"/>
            <w:left w:val="none" w:sz="0" w:space="0" w:color="auto"/>
            <w:bottom w:val="none" w:sz="0" w:space="0" w:color="auto"/>
            <w:right w:val="none" w:sz="0" w:space="0" w:color="auto"/>
          </w:divBdr>
        </w:div>
        <w:div w:id="1459569555">
          <w:marLeft w:val="547"/>
          <w:marRight w:val="0"/>
          <w:marTop w:val="0"/>
          <w:marBottom w:val="0"/>
          <w:divBdr>
            <w:top w:val="none" w:sz="0" w:space="0" w:color="auto"/>
            <w:left w:val="none" w:sz="0" w:space="0" w:color="auto"/>
            <w:bottom w:val="none" w:sz="0" w:space="0" w:color="auto"/>
            <w:right w:val="none" w:sz="0" w:space="0" w:color="auto"/>
          </w:divBdr>
        </w:div>
        <w:div w:id="1461654856">
          <w:marLeft w:val="547"/>
          <w:marRight w:val="0"/>
          <w:marTop w:val="0"/>
          <w:marBottom w:val="0"/>
          <w:divBdr>
            <w:top w:val="none" w:sz="0" w:space="0" w:color="auto"/>
            <w:left w:val="none" w:sz="0" w:space="0" w:color="auto"/>
            <w:bottom w:val="none" w:sz="0" w:space="0" w:color="auto"/>
            <w:right w:val="none" w:sz="0" w:space="0" w:color="auto"/>
          </w:divBdr>
        </w:div>
        <w:div w:id="1906606036">
          <w:marLeft w:val="547"/>
          <w:marRight w:val="0"/>
          <w:marTop w:val="0"/>
          <w:marBottom w:val="0"/>
          <w:divBdr>
            <w:top w:val="none" w:sz="0" w:space="0" w:color="auto"/>
            <w:left w:val="none" w:sz="0" w:space="0" w:color="auto"/>
            <w:bottom w:val="none" w:sz="0" w:space="0" w:color="auto"/>
            <w:right w:val="none" w:sz="0" w:space="0" w:color="auto"/>
          </w:divBdr>
        </w:div>
      </w:divsChild>
    </w:div>
    <w:div w:id="98452845">
      <w:bodyDiv w:val="1"/>
      <w:marLeft w:val="0"/>
      <w:marRight w:val="0"/>
      <w:marTop w:val="0"/>
      <w:marBottom w:val="0"/>
      <w:divBdr>
        <w:top w:val="none" w:sz="0" w:space="0" w:color="auto"/>
        <w:left w:val="none" w:sz="0" w:space="0" w:color="auto"/>
        <w:bottom w:val="none" w:sz="0" w:space="0" w:color="auto"/>
        <w:right w:val="none" w:sz="0" w:space="0" w:color="auto"/>
      </w:divBdr>
      <w:divsChild>
        <w:div w:id="1499954655">
          <w:marLeft w:val="0"/>
          <w:marRight w:val="0"/>
          <w:marTop w:val="0"/>
          <w:marBottom w:val="0"/>
          <w:divBdr>
            <w:top w:val="none" w:sz="0" w:space="0" w:color="auto"/>
            <w:left w:val="none" w:sz="0" w:space="0" w:color="auto"/>
            <w:bottom w:val="none" w:sz="0" w:space="0" w:color="auto"/>
            <w:right w:val="none" w:sz="0" w:space="0" w:color="auto"/>
          </w:divBdr>
          <w:divsChild>
            <w:div w:id="327026357">
              <w:marLeft w:val="0"/>
              <w:marRight w:val="0"/>
              <w:marTop w:val="0"/>
              <w:marBottom w:val="0"/>
              <w:divBdr>
                <w:top w:val="none" w:sz="0" w:space="0" w:color="auto"/>
                <w:left w:val="none" w:sz="0" w:space="0" w:color="auto"/>
                <w:bottom w:val="none" w:sz="0" w:space="0" w:color="auto"/>
                <w:right w:val="none" w:sz="0" w:space="0" w:color="auto"/>
              </w:divBdr>
              <w:divsChild>
                <w:div w:id="1296369695">
                  <w:marLeft w:val="0"/>
                  <w:marRight w:val="0"/>
                  <w:marTop w:val="0"/>
                  <w:marBottom w:val="0"/>
                  <w:divBdr>
                    <w:top w:val="none" w:sz="0" w:space="0" w:color="auto"/>
                    <w:left w:val="none" w:sz="0" w:space="0" w:color="auto"/>
                    <w:bottom w:val="none" w:sz="0" w:space="0" w:color="auto"/>
                    <w:right w:val="none" w:sz="0" w:space="0" w:color="auto"/>
                  </w:divBdr>
                  <w:divsChild>
                    <w:div w:id="874123514">
                      <w:marLeft w:val="150"/>
                      <w:marRight w:val="150"/>
                      <w:marTop w:val="0"/>
                      <w:marBottom w:val="0"/>
                      <w:divBdr>
                        <w:top w:val="none" w:sz="0" w:space="0" w:color="auto"/>
                        <w:left w:val="none" w:sz="0" w:space="0" w:color="auto"/>
                        <w:bottom w:val="none" w:sz="0" w:space="0" w:color="auto"/>
                        <w:right w:val="none" w:sz="0" w:space="0" w:color="auto"/>
                      </w:divBdr>
                      <w:divsChild>
                        <w:div w:id="2094468251">
                          <w:marLeft w:val="0"/>
                          <w:marRight w:val="0"/>
                          <w:marTop w:val="0"/>
                          <w:marBottom w:val="0"/>
                          <w:divBdr>
                            <w:top w:val="none" w:sz="0" w:space="0" w:color="auto"/>
                            <w:left w:val="none" w:sz="0" w:space="0" w:color="auto"/>
                            <w:bottom w:val="none" w:sz="0" w:space="0" w:color="auto"/>
                            <w:right w:val="none" w:sz="0" w:space="0" w:color="auto"/>
                          </w:divBdr>
                          <w:divsChild>
                            <w:div w:id="122701118">
                              <w:marLeft w:val="0"/>
                              <w:marRight w:val="0"/>
                              <w:marTop w:val="0"/>
                              <w:marBottom w:val="0"/>
                              <w:divBdr>
                                <w:top w:val="none" w:sz="0" w:space="0" w:color="auto"/>
                                <w:left w:val="none" w:sz="0" w:space="0" w:color="auto"/>
                                <w:bottom w:val="none" w:sz="0" w:space="0" w:color="auto"/>
                                <w:right w:val="none" w:sz="0" w:space="0" w:color="auto"/>
                              </w:divBdr>
                              <w:divsChild>
                                <w:div w:id="919756907">
                                  <w:marLeft w:val="0"/>
                                  <w:marRight w:val="0"/>
                                  <w:marTop w:val="0"/>
                                  <w:marBottom w:val="0"/>
                                  <w:divBdr>
                                    <w:top w:val="none" w:sz="0" w:space="0" w:color="auto"/>
                                    <w:left w:val="none" w:sz="0" w:space="0" w:color="auto"/>
                                    <w:bottom w:val="none" w:sz="0" w:space="0" w:color="auto"/>
                                    <w:right w:val="none" w:sz="0" w:space="0" w:color="auto"/>
                                  </w:divBdr>
                                  <w:divsChild>
                                    <w:div w:id="2100520672">
                                      <w:marLeft w:val="0"/>
                                      <w:marRight w:val="0"/>
                                      <w:marTop w:val="0"/>
                                      <w:marBottom w:val="0"/>
                                      <w:divBdr>
                                        <w:top w:val="none" w:sz="0" w:space="0" w:color="auto"/>
                                        <w:left w:val="none" w:sz="0" w:space="0" w:color="auto"/>
                                        <w:bottom w:val="none" w:sz="0" w:space="0" w:color="auto"/>
                                        <w:right w:val="none" w:sz="0" w:space="0" w:color="auto"/>
                                      </w:divBdr>
                                      <w:divsChild>
                                        <w:div w:id="399911095">
                                          <w:marLeft w:val="0"/>
                                          <w:marRight w:val="0"/>
                                          <w:marTop w:val="0"/>
                                          <w:marBottom w:val="0"/>
                                          <w:divBdr>
                                            <w:top w:val="none" w:sz="0" w:space="0" w:color="auto"/>
                                            <w:left w:val="none" w:sz="0" w:space="0" w:color="auto"/>
                                            <w:bottom w:val="none" w:sz="0" w:space="0" w:color="auto"/>
                                            <w:right w:val="none" w:sz="0" w:space="0" w:color="auto"/>
                                          </w:divBdr>
                                          <w:divsChild>
                                            <w:div w:id="8561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700832">
      <w:bodyDiv w:val="1"/>
      <w:marLeft w:val="0"/>
      <w:marRight w:val="0"/>
      <w:marTop w:val="0"/>
      <w:marBottom w:val="0"/>
      <w:divBdr>
        <w:top w:val="none" w:sz="0" w:space="0" w:color="auto"/>
        <w:left w:val="none" w:sz="0" w:space="0" w:color="auto"/>
        <w:bottom w:val="none" w:sz="0" w:space="0" w:color="auto"/>
        <w:right w:val="none" w:sz="0" w:space="0" w:color="auto"/>
      </w:divBdr>
    </w:div>
    <w:div w:id="108671511">
      <w:bodyDiv w:val="1"/>
      <w:marLeft w:val="0"/>
      <w:marRight w:val="0"/>
      <w:marTop w:val="0"/>
      <w:marBottom w:val="0"/>
      <w:divBdr>
        <w:top w:val="none" w:sz="0" w:space="0" w:color="auto"/>
        <w:left w:val="none" w:sz="0" w:space="0" w:color="auto"/>
        <w:bottom w:val="none" w:sz="0" w:space="0" w:color="auto"/>
        <w:right w:val="none" w:sz="0" w:space="0" w:color="auto"/>
      </w:divBdr>
    </w:div>
    <w:div w:id="138544564">
      <w:bodyDiv w:val="1"/>
      <w:marLeft w:val="0"/>
      <w:marRight w:val="0"/>
      <w:marTop w:val="0"/>
      <w:marBottom w:val="0"/>
      <w:divBdr>
        <w:top w:val="none" w:sz="0" w:space="0" w:color="auto"/>
        <w:left w:val="none" w:sz="0" w:space="0" w:color="auto"/>
        <w:bottom w:val="none" w:sz="0" w:space="0" w:color="auto"/>
        <w:right w:val="none" w:sz="0" w:space="0" w:color="auto"/>
      </w:divBdr>
    </w:div>
    <w:div w:id="170874453">
      <w:bodyDiv w:val="1"/>
      <w:marLeft w:val="0"/>
      <w:marRight w:val="0"/>
      <w:marTop w:val="0"/>
      <w:marBottom w:val="0"/>
      <w:divBdr>
        <w:top w:val="none" w:sz="0" w:space="0" w:color="auto"/>
        <w:left w:val="none" w:sz="0" w:space="0" w:color="auto"/>
        <w:bottom w:val="none" w:sz="0" w:space="0" w:color="auto"/>
        <w:right w:val="none" w:sz="0" w:space="0" w:color="auto"/>
      </w:divBdr>
    </w:div>
    <w:div w:id="201942835">
      <w:bodyDiv w:val="1"/>
      <w:marLeft w:val="0"/>
      <w:marRight w:val="0"/>
      <w:marTop w:val="0"/>
      <w:marBottom w:val="0"/>
      <w:divBdr>
        <w:top w:val="none" w:sz="0" w:space="0" w:color="auto"/>
        <w:left w:val="none" w:sz="0" w:space="0" w:color="auto"/>
        <w:bottom w:val="none" w:sz="0" w:space="0" w:color="auto"/>
        <w:right w:val="none" w:sz="0" w:space="0" w:color="auto"/>
      </w:divBdr>
    </w:div>
    <w:div w:id="226191058">
      <w:bodyDiv w:val="1"/>
      <w:marLeft w:val="0"/>
      <w:marRight w:val="0"/>
      <w:marTop w:val="0"/>
      <w:marBottom w:val="0"/>
      <w:divBdr>
        <w:top w:val="none" w:sz="0" w:space="0" w:color="auto"/>
        <w:left w:val="none" w:sz="0" w:space="0" w:color="auto"/>
        <w:bottom w:val="none" w:sz="0" w:space="0" w:color="auto"/>
        <w:right w:val="none" w:sz="0" w:space="0" w:color="auto"/>
      </w:divBdr>
      <w:divsChild>
        <w:div w:id="758140500">
          <w:marLeft w:val="547"/>
          <w:marRight w:val="0"/>
          <w:marTop w:val="0"/>
          <w:marBottom w:val="0"/>
          <w:divBdr>
            <w:top w:val="none" w:sz="0" w:space="0" w:color="auto"/>
            <w:left w:val="none" w:sz="0" w:space="0" w:color="auto"/>
            <w:bottom w:val="none" w:sz="0" w:space="0" w:color="auto"/>
            <w:right w:val="none" w:sz="0" w:space="0" w:color="auto"/>
          </w:divBdr>
        </w:div>
      </w:divsChild>
    </w:div>
    <w:div w:id="245505233">
      <w:bodyDiv w:val="1"/>
      <w:marLeft w:val="0"/>
      <w:marRight w:val="0"/>
      <w:marTop w:val="0"/>
      <w:marBottom w:val="0"/>
      <w:divBdr>
        <w:top w:val="none" w:sz="0" w:space="0" w:color="auto"/>
        <w:left w:val="none" w:sz="0" w:space="0" w:color="auto"/>
        <w:bottom w:val="none" w:sz="0" w:space="0" w:color="auto"/>
        <w:right w:val="none" w:sz="0" w:space="0" w:color="auto"/>
      </w:divBdr>
    </w:div>
    <w:div w:id="245769054">
      <w:bodyDiv w:val="1"/>
      <w:marLeft w:val="0"/>
      <w:marRight w:val="0"/>
      <w:marTop w:val="0"/>
      <w:marBottom w:val="0"/>
      <w:divBdr>
        <w:top w:val="none" w:sz="0" w:space="0" w:color="auto"/>
        <w:left w:val="none" w:sz="0" w:space="0" w:color="auto"/>
        <w:bottom w:val="none" w:sz="0" w:space="0" w:color="auto"/>
        <w:right w:val="none" w:sz="0" w:space="0" w:color="auto"/>
      </w:divBdr>
    </w:div>
    <w:div w:id="254674782">
      <w:bodyDiv w:val="1"/>
      <w:marLeft w:val="0"/>
      <w:marRight w:val="0"/>
      <w:marTop w:val="0"/>
      <w:marBottom w:val="0"/>
      <w:divBdr>
        <w:top w:val="none" w:sz="0" w:space="0" w:color="auto"/>
        <w:left w:val="none" w:sz="0" w:space="0" w:color="auto"/>
        <w:bottom w:val="none" w:sz="0" w:space="0" w:color="auto"/>
        <w:right w:val="none" w:sz="0" w:space="0" w:color="auto"/>
      </w:divBdr>
    </w:div>
    <w:div w:id="263197748">
      <w:bodyDiv w:val="1"/>
      <w:marLeft w:val="0"/>
      <w:marRight w:val="0"/>
      <w:marTop w:val="0"/>
      <w:marBottom w:val="0"/>
      <w:divBdr>
        <w:top w:val="none" w:sz="0" w:space="0" w:color="auto"/>
        <w:left w:val="none" w:sz="0" w:space="0" w:color="auto"/>
        <w:bottom w:val="none" w:sz="0" w:space="0" w:color="auto"/>
        <w:right w:val="none" w:sz="0" w:space="0" w:color="auto"/>
      </w:divBdr>
    </w:div>
    <w:div w:id="267125752">
      <w:bodyDiv w:val="1"/>
      <w:marLeft w:val="0"/>
      <w:marRight w:val="0"/>
      <w:marTop w:val="0"/>
      <w:marBottom w:val="0"/>
      <w:divBdr>
        <w:top w:val="none" w:sz="0" w:space="0" w:color="auto"/>
        <w:left w:val="none" w:sz="0" w:space="0" w:color="auto"/>
        <w:bottom w:val="none" w:sz="0" w:space="0" w:color="auto"/>
        <w:right w:val="none" w:sz="0" w:space="0" w:color="auto"/>
      </w:divBdr>
    </w:div>
    <w:div w:id="270674200">
      <w:bodyDiv w:val="1"/>
      <w:marLeft w:val="0"/>
      <w:marRight w:val="0"/>
      <w:marTop w:val="0"/>
      <w:marBottom w:val="0"/>
      <w:divBdr>
        <w:top w:val="none" w:sz="0" w:space="0" w:color="auto"/>
        <w:left w:val="none" w:sz="0" w:space="0" w:color="auto"/>
        <w:bottom w:val="none" w:sz="0" w:space="0" w:color="auto"/>
        <w:right w:val="none" w:sz="0" w:space="0" w:color="auto"/>
      </w:divBdr>
    </w:div>
    <w:div w:id="294725872">
      <w:bodyDiv w:val="1"/>
      <w:marLeft w:val="0"/>
      <w:marRight w:val="0"/>
      <w:marTop w:val="0"/>
      <w:marBottom w:val="0"/>
      <w:divBdr>
        <w:top w:val="none" w:sz="0" w:space="0" w:color="auto"/>
        <w:left w:val="none" w:sz="0" w:space="0" w:color="auto"/>
        <w:bottom w:val="none" w:sz="0" w:space="0" w:color="auto"/>
        <w:right w:val="none" w:sz="0" w:space="0" w:color="auto"/>
      </w:divBdr>
    </w:div>
    <w:div w:id="301155485">
      <w:bodyDiv w:val="1"/>
      <w:marLeft w:val="0"/>
      <w:marRight w:val="0"/>
      <w:marTop w:val="0"/>
      <w:marBottom w:val="0"/>
      <w:divBdr>
        <w:top w:val="none" w:sz="0" w:space="0" w:color="auto"/>
        <w:left w:val="none" w:sz="0" w:space="0" w:color="auto"/>
        <w:bottom w:val="none" w:sz="0" w:space="0" w:color="auto"/>
        <w:right w:val="none" w:sz="0" w:space="0" w:color="auto"/>
      </w:divBdr>
    </w:div>
    <w:div w:id="313608152">
      <w:bodyDiv w:val="1"/>
      <w:marLeft w:val="0"/>
      <w:marRight w:val="0"/>
      <w:marTop w:val="0"/>
      <w:marBottom w:val="0"/>
      <w:divBdr>
        <w:top w:val="none" w:sz="0" w:space="0" w:color="auto"/>
        <w:left w:val="none" w:sz="0" w:space="0" w:color="auto"/>
        <w:bottom w:val="none" w:sz="0" w:space="0" w:color="auto"/>
        <w:right w:val="none" w:sz="0" w:space="0" w:color="auto"/>
      </w:divBdr>
    </w:div>
    <w:div w:id="322588373">
      <w:bodyDiv w:val="1"/>
      <w:marLeft w:val="0"/>
      <w:marRight w:val="0"/>
      <w:marTop w:val="0"/>
      <w:marBottom w:val="0"/>
      <w:divBdr>
        <w:top w:val="none" w:sz="0" w:space="0" w:color="auto"/>
        <w:left w:val="none" w:sz="0" w:space="0" w:color="auto"/>
        <w:bottom w:val="none" w:sz="0" w:space="0" w:color="auto"/>
        <w:right w:val="none" w:sz="0" w:space="0" w:color="auto"/>
      </w:divBdr>
    </w:div>
    <w:div w:id="325868693">
      <w:bodyDiv w:val="1"/>
      <w:marLeft w:val="0"/>
      <w:marRight w:val="0"/>
      <w:marTop w:val="0"/>
      <w:marBottom w:val="0"/>
      <w:divBdr>
        <w:top w:val="none" w:sz="0" w:space="0" w:color="auto"/>
        <w:left w:val="none" w:sz="0" w:space="0" w:color="auto"/>
        <w:bottom w:val="none" w:sz="0" w:space="0" w:color="auto"/>
        <w:right w:val="none" w:sz="0" w:space="0" w:color="auto"/>
      </w:divBdr>
      <w:divsChild>
        <w:div w:id="1057045809">
          <w:marLeft w:val="547"/>
          <w:marRight w:val="0"/>
          <w:marTop w:val="0"/>
          <w:marBottom w:val="0"/>
          <w:divBdr>
            <w:top w:val="none" w:sz="0" w:space="0" w:color="auto"/>
            <w:left w:val="none" w:sz="0" w:space="0" w:color="auto"/>
            <w:bottom w:val="none" w:sz="0" w:space="0" w:color="auto"/>
            <w:right w:val="none" w:sz="0" w:space="0" w:color="auto"/>
          </w:divBdr>
        </w:div>
        <w:div w:id="1140928051">
          <w:marLeft w:val="547"/>
          <w:marRight w:val="0"/>
          <w:marTop w:val="0"/>
          <w:marBottom w:val="0"/>
          <w:divBdr>
            <w:top w:val="none" w:sz="0" w:space="0" w:color="auto"/>
            <w:left w:val="none" w:sz="0" w:space="0" w:color="auto"/>
            <w:bottom w:val="none" w:sz="0" w:space="0" w:color="auto"/>
            <w:right w:val="none" w:sz="0" w:space="0" w:color="auto"/>
          </w:divBdr>
        </w:div>
        <w:div w:id="1410037435">
          <w:marLeft w:val="547"/>
          <w:marRight w:val="0"/>
          <w:marTop w:val="0"/>
          <w:marBottom w:val="0"/>
          <w:divBdr>
            <w:top w:val="none" w:sz="0" w:space="0" w:color="auto"/>
            <w:left w:val="none" w:sz="0" w:space="0" w:color="auto"/>
            <w:bottom w:val="none" w:sz="0" w:space="0" w:color="auto"/>
            <w:right w:val="none" w:sz="0" w:space="0" w:color="auto"/>
          </w:divBdr>
        </w:div>
        <w:div w:id="1741825932">
          <w:marLeft w:val="547"/>
          <w:marRight w:val="0"/>
          <w:marTop w:val="0"/>
          <w:marBottom w:val="0"/>
          <w:divBdr>
            <w:top w:val="none" w:sz="0" w:space="0" w:color="auto"/>
            <w:left w:val="none" w:sz="0" w:space="0" w:color="auto"/>
            <w:bottom w:val="none" w:sz="0" w:space="0" w:color="auto"/>
            <w:right w:val="none" w:sz="0" w:space="0" w:color="auto"/>
          </w:divBdr>
        </w:div>
      </w:divsChild>
    </w:div>
    <w:div w:id="340203287">
      <w:bodyDiv w:val="1"/>
      <w:marLeft w:val="0"/>
      <w:marRight w:val="0"/>
      <w:marTop w:val="0"/>
      <w:marBottom w:val="0"/>
      <w:divBdr>
        <w:top w:val="none" w:sz="0" w:space="0" w:color="auto"/>
        <w:left w:val="none" w:sz="0" w:space="0" w:color="auto"/>
        <w:bottom w:val="none" w:sz="0" w:space="0" w:color="auto"/>
        <w:right w:val="none" w:sz="0" w:space="0" w:color="auto"/>
      </w:divBdr>
    </w:div>
    <w:div w:id="354505784">
      <w:bodyDiv w:val="1"/>
      <w:marLeft w:val="0"/>
      <w:marRight w:val="0"/>
      <w:marTop w:val="0"/>
      <w:marBottom w:val="0"/>
      <w:divBdr>
        <w:top w:val="none" w:sz="0" w:space="0" w:color="auto"/>
        <w:left w:val="none" w:sz="0" w:space="0" w:color="auto"/>
        <w:bottom w:val="none" w:sz="0" w:space="0" w:color="auto"/>
        <w:right w:val="none" w:sz="0" w:space="0" w:color="auto"/>
      </w:divBdr>
    </w:div>
    <w:div w:id="362098528">
      <w:bodyDiv w:val="1"/>
      <w:marLeft w:val="0"/>
      <w:marRight w:val="0"/>
      <w:marTop w:val="0"/>
      <w:marBottom w:val="0"/>
      <w:divBdr>
        <w:top w:val="none" w:sz="0" w:space="0" w:color="auto"/>
        <w:left w:val="none" w:sz="0" w:space="0" w:color="auto"/>
        <w:bottom w:val="none" w:sz="0" w:space="0" w:color="auto"/>
        <w:right w:val="none" w:sz="0" w:space="0" w:color="auto"/>
      </w:divBdr>
    </w:div>
    <w:div w:id="407313344">
      <w:bodyDiv w:val="1"/>
      <w:marLeft w:val="0"/>
      <w:marRight w:val="0"/>
      <w:marTop w:val="0"/>
      <w:marBottom w:val="0"/>
      <w:divBdr>
        <w:top w:val="none" w:sz="0" w:space="0" w:color="auto"/>
        <w:left w:val="none" w:sz="0" w:space="0" w:color="auto"/>
        <w:bottom w:val="none" w:sz="0" w:space="0" w:color="auto"/>
        <w:right w:val="none" w:sz="0" w:space="0" w:color="auto"/>
      </w:divBdr>
    </w:div>
    <w:div w:id="421492480">
      <w:bodyDiv w:val="1"/>
      <w:marLeft w:val="0"/>
      <w:marRight w:val="0"/>
      <w:marTop w:val="0"/>
      <w:marBottom w:val="0"/>
      <w:divBdr>
        <w:top w:val="none" w:sz="0" w:space="0" w:color="auto"/>
        <w:left w:val="none" w:sz="0" w:space="0" w:color="auto"/>
        <w:bottom w:val="none" w:sz="0" w:space="0" w:color="auto"/>
        <w:right w:val="none" w:sz="0" w:space="0" w:color="auto"/>
      </w:divBdr>
    </w:div>
    <w:div w:id="424618658">
      <w:bodyDiv w:val="1"/>
      <w:marLeft w:val="0"/>
      <w:marRight w:val="0"/>
      <w:marTop w:val="0"/>
      <w:marBottom w:val="0"/>
      <w:divBdr>
        <w:top w:val="none" w:sz="0" w:space="0" w:color="auto"/>
        <w:left w:val="none" w:sz="0" w:space="0" w:color="auto"/>
        <w:bottom w:val="none" w:sz="0" w:space="0" w:color="auto"/>
        <w:right w:val="none" w:sz="0" w:space="0" w:color="auto"/>
      </w:divBdr>
    </w:div>
    <w:div w:id="424690779">
      <w:bodyDiv w:val="1"/>
      <w:marLeft w:val="0"/>
      <w:marRight w:val="0"/>
      <w:marTop w:val="0"/>
      <w:marBottom w:val="0"/>
      <w:divBdr>
        <w:top w:val="none" w:sz="0" w:space="0" w:color="auto"/>
        <w:left w:val="none" w:sz="0" w:space="0" w:color="auto"/>
        <w:bottom w:val="none" w:sz="0" w:space="0" w:color="auto"/>
        <w:right w:val="none" w:sz="0" w:space="0" w:color="auto"/>
      </w:divBdr>
    </w:div>
    <w:div w:id="431783763">
      <w:bodyDiv w:val="1"/>
      <w:marLeft w:val="0"/>
      <w:marRight w:val="0"/>
      <w:marTop w:val="0"/>
      <w:marBottom w:val="0"/>
      <w:divBdr>
        <w:top w:val="none" w:sz="0" w:space="0" w:color="auto"/>
        <w:left w:val="none" w:sz="0" w:space="0" w:color="auto"/>
        <w:bottom w:val="none" w:sz="0" w:space="0" w:color="auto"/>
        <w:right w:val="none" w:sz="0" w:space="0" w:color="auto"/>
      </w:divBdr>
    </w:div>
    <w:div w:id="432239340">
      <w:bodyDiv w:val="1"/>
      <w:marLeft w:val="0"/>
      <w:marRight w:val="0"/>
      <w:marTop w:val="0"/>
      <w:marBottom w:val="0"/>
      <w:divBdr>
        <w:top w:val="none" w:sz="0" w:space="0" w:color="auto"/>
        <w:left w:val="none" w:sz="0" w:space="0" w:color="auto"/>
        <w:bottom w:val="none" w:sz="0" w:space="0" w:color="auto"/>
        <w:right w:val="none" w:sz="0" w:space="0" w:color="auto"/>
      </w:divBdr>
      <w:divsChild>
        <w:div w:id="1491100996">
          <w:marLeft w:val="0"/>
          <w:marRight w:val="0"/>
          <w:marTop w:val="180"/>
          <w:marBottom w:val="180"/>
          <w:divBdr>
            <w:top w:val="none" w:sz="0" w:space="0" w:color="auto"/>
            <w:left w:val="none" w:sz="0" w:space="0" w:color="auto"/>
            <w:bottom w:val="none" w:sz="0" w:space="0" w:color="auto"/>
            <w:right w:val="none" w:sz="0" w:space="0" w:color="auto"/>
          </w:divBdr>
          <w:divsChild>
            <w:div w:id="696081580">
              <w:marLeft w:val="-225"/>
              <w:marRight w:val="-225"/>
              <w:marTop w:val="0"/>
              <w:marBottom w:val="0"/>
              <w:divBdr>
                <w:top w:val="none" w:sz="0" w:space="0" w:color="auto"/>
                <w:left w:val="none" w:sz="0" w:space="0" w:color="auto"/>
                <w:bottom w:val="none" w:sz="0" w:space="0" w:color="auto"/>
                <w:right w:val="none" w:sz="0" w:space="0" w:color="auto"/>
              </w:divBdr>
              <w:divsChild>
                <w:div w:id="1273434157">
                  <w:marLeft w:val="0"/>
                  <w:marRight w:val="0"/>
                  <w:marTop w:val="0"/>
                  <w:marBottom w:val="0"/>
                  <w:divBdr>
                    <w:top w:val="none" w:sz="0" w:space="0" w:color="auto"/>
                    <w:left w:val="none" w:sz="0" w:space="0" w:color="auto"/>
                    <w:bottom w:val="none" w:sz="0" w:space="0" w:color="auto"/>
                    <w:right w:val="none" w:sz="0" w:space="0" w:color="auto"/>
                  </w:divBdr>
                  <w:divsChild>
                    <w:div w:id="1661808245">
                      <w:marLeft w:val="-225"/>
                      <w:marRight w:val="-225"/>
                      <w:marTop w:val="0"/>
                      <w:marBottom w:val="0"/>
                      <w:divBdr>
                        <w:top w:val="none" w:sz="0" w:space="0" w:color="auto"/>
                        <w:left w:val="none" w:sz="0" w:space="0" w:color="auto"/>
                        <w:bottom w:val="none" w:sz="0" w:space="0" w:color="auto"/>
                        <w:right w:val="none" w:sz="0" w:space="0" w:color="auto"/>
                      </w:divBdr>
                      <w:divsChild>
                        <w:div w:id="2135518722">
                          <w:marLeft w:val="0"/>
                          <w:marRight w:val="0"/>
                          <w:marTop w:val="0"/>
                          <w:marBottom w:val="0"/>
                          <w:divBdr>
                            <w:top w:val="none" w:sz="0" w:space="0" w:color="auto"/>
                            <w:left w:val="none" w:sz="0" w:space="0" w:color="auto"/>
                            <w:bottom w:val="none" w:sz="0" w:space="0" w:color="auto"/>
                            <w:right w:val="none" w:sz="0" w:space="0" w:color="auto"/>
                          </w:divBdr>
                          <w:divsChild>
                            <w:div w:id="437801079">
                              <w:marLeft w:val="0"/>
                              <w:marRight w:val="0"/>
                              <w:marTop w:val="0"/>
                              <w:marBottom w:val="0"/>
                              <w:divBdr>
                                <w:top w:val="none" w:sz="0" w:space="0" w:color="auto"/>
                                <w:left w:val="none" w:sz="0" w:space="0" w:color="auto"/>
                                <w:bottom w:val="none" w:sz="0" w:space="0" w:color="auto"/>
                                <w:right w:val="none" w:sz="0" w:space="0" w:color="auto"/>
                              </w:divBdr>
                              <w:divsChild>
                                <w:div w:id="1834174159">
                                  <w:marLeft w:val="0"/>
                                  <w:marRight w:val="0"/>
                                  <w:marTop w:val="0"/>
                                  <w:marBottom w:val="0"/>
                                  <w:divBdr>
                                    <w:top w:val="none" w:sz="0" w:space="0" w:color="auto"/>
                                    <w:left w:val="none" w:sz="0" w:space="0" w:color="auto"/>
                                    <w:bottom w:val="none" w:sz="0" w:space="0" w:color="auto"/>
                                    <w:right w:val="none" w:sz="0" w:space="0" w:color="auto"/>
                                  </w:divBdr>
                                  <w:divsChild>
                                    <w:div w:id="1711106365">
                                      <w:marLeft w:val="0"/>
                                      <w:marRight w:val="0"/>
                                      <w:marTop w:val="0"/>
                                      <w:marBottom w:val="0"/>
                                      <w:divBdr>
                                        <w:top w:val="none" w:sz="0" w:space="0" w:color="auto"/>
                                        <w:left w:val="none" w:sz="0" w:space="0" w:color="auto"/>
                                        <w:bottom w:val="none" w:sz="0" w:space="0" w:color="auto"/>
                                        <w:right w:val="none" w:sz="0" w:space="0" w:color="auto"/>
                                      </w:divBdr>
                                      <w:divsChild>
                                        <w:div w:id="1059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3867280">
      <w:bodyDiv w:val="1"/>
      <w:marLeft w:val="0"/>
      <w:marRight w:val="0"/>
      <w:marTop w:val="0"/>
      <w:marBottom w:val="0"/>
      <w:divBdr>
        <w:top w:val="none" w:sz="0" w:space="0" w:color="auto"/>
        <w:left w:val="none" w:sz="0" w:space="0" w:color="auto"/>
        <w:bottom w:val="none" w:sz="0" w:space="0" w:color="auto"/>
        <w:right w:val="none" w:sz="0" w:space="0" w:color="auto"/>
      </w:divBdr>
    </w:div>
    <w:div w:id="457066849">
      <w:bodyDiv w:val="1"/>
      <w:marLeft w:val="0"/>
      <w:marRight w:val="0"/>
      <w:marTop w:val="0"/>
      <w:marBottom w:val="0"/>
      <w:divBdr>
        <w:top w:val="none" w:sz="0" w:space="0" w:color="auto"/>
        <w:left w:val="none" w:sz="0" w:space="0" w:color="auto"/>
        <w:bottom w:val="none" w:sz="0" w:space="0" w:color="auto"/>
        <w:right w:val="none" w:sz="0" w:space="0" w:color="auto"/>
      </w:divBdr>
    </w:div>
    <w:div w:id="458646387">
      <w:bodyDiv w:val="1"/>
      <w:marLeft w:val="0"/>
      <w:marRight w:val="0"/>
      <w:marTop w:val="0"/>
      <w:marBottom w:val="0"/>
      <w:divBdr>
        <w:top w:val="none" w:sz="0" w:space="0" w:color="auto"/>
        <w:left w:val="none" w:sz="0" w:space="0" w:color="auto"/>
        <w:bottom w:val="none" w:sz="0" w:space="0" w:color="auto"/>
        <w:right w:val="none" w:sz="0" w:space="0" w:color="auto"/>
      </w:divBdr>
    </w:div>
    <w:div w:id="479469160">
      <w:bodyDiv w:val="1"/>
      <w:marLeft w:val="0"/>
      <w:marRight w:val="0"/>
      <w:marTop w:val="0"/>
      <w:marBottom w:val="0"/>
      <w:divBdr>
        <w:top w:val="none" w:sz="0" w:space="0" w:color="auto"/>
        <w:left w:val="none" w:sz="0" w:space="0" w:color="auto"/>
        <w:bottom w:val="none" w:sz="0" w:space="0" w:color="auto"/>
        <w:right w:val="none" w:sz="0" w:space="0" w:color="auto"/>
      </w:divBdr>
    </w:div>
    <w:div w:id="504367595">
      <w:bodyDiv w:val="1"/>
      <w:marLeft w:val="0"/>
      <w:marRight w:val="0"/>
      <w:marTop w:val="0"/>
      <w:marBottom w:val="0"/>
      <w:divBdr>
        <w:top w:val="none" w:sz="0" w:space="0" w:color="auto"/>
        <w:left w:val="none" w:sz="0" w:space="0" w:color="auto"/>
        <w:bottom w:val="none" w:sz="0" w:space="0" w:color="auto"/>
        <w:right w:val="none" w:sz="0" w:space="0" w:color="auto"/>
      </w:divBdr>
    </w:div>
    <w:div w:id="512379929">
      <w:bodyDiv w:val="1"/>
      <w:marLeft w:val="0"/>
      <w:marRight w:val="0"/>
      <w:marTop w:val="0"/>
      <w:marBottom w:val="0"/>
      <w:divBdr>
        <w:top w:val="none" w:sz="0" w:space="0" w:color="auto"/>
        <w:left w:val="none" w:sz="0" w:space="0" w:color="auto"/>
        <w:bottom w:val="none" w:sz="0" w:space="0" w:color="auto"/>
        <w:right w:val="none" w:sz="0" w:space="0" w:color="auto"/>
      </w:divBdr>
    </w:div>
    <w:div w:id="543441354">
      <w:bodyDiv w:val="1"/>
      <w:marLeft w:val="0"/>
      <w:marRight w:val="0"/>
      <w:marTop w:val="0"/>
      <w:marBottom w:val="0"/>
      <w:divBdr>
        <w:top w:val="none" w:sz="0" w:space="0" w:color="auto"/>
        <w:left w:val="none" w:sz="0" w:space="0" w:color="auto"/>
        <w:bottom w:val="none" w:sz="0" w:space="0" w:color="auto"/>
        <w:right w:val="none" w:sz="0" w:space="0" w:color="auto"/>
      </w:divBdr>
    </w:div>
    <w:div w:id="554240686">
      <w:bodyDiv w:val="1"/>
      <w:marLeft w:val="0"/>
      <w:marRight w:val="0"/>
      <w:marTop w:val="0"/>
      <w:marBottom w:val="0"/>
      <w:divBdr>
        <w:top w:val="none" w:sz="0" w:space="0" w:color="auto"/>
        <w:left w:val="none" w:sz="0" w:space="0" w:color="auto"/>
        <w:bottom w:val="none" w:sz="0" w:space="0" w:color="auto"/>
        <w:right w:val="none" w:sz="0" w:space="0" w:color="auto"/>
      </w:divBdr>
    </w:div>
    <w:div w:id="568464036">
      <w:bodyDiv w:val="1"/>
      <w:marLeft w:val="0"/>
      <w:marRight w:val="0"/>
      <w:marTop w:val="0"/>
      <w:marBottom w:val="0"/>
      <w:divBdr>
        <w:top w:val="none" w:sz="0" w:space="0" w:color="auto"/>
        <w:left w:val="none" w:sz="0" w:space="0" w:color="auto"/>
        <w:bottom w:val="none" w:sz="0" w:space="0" w:color="auto"/>
        <w:right w:val="none" w:sz="0" w:space="0" w:color="auto"/>
      </w:divBdr>
      <w:divsChild>
        <w:div w:id="1235354515">
          <w:marLeft w:val="547"/>
          <w:marRight w:val="0"/>
          <w:marTop w:val="0"/>
          <w:marBottom w:val="0"/>
          <w:divBdr>
            <w:top w:val="none" w:sz="0" w:space="0" w:color="auto"/>
            <w:left w:val="none" w:sz="0" w:space="0" w:color="auto"/>
            <w:bottom w:val="none" w:sz="0" w:space="0" w:color="auto"/>
            <w:right w:val="none" w:sz="0" w:space="0" w:color="auto"/>
          </w:divBdr>
        </w:div>
        <w:div w:id="1452436420">
          <w:marLeft w:val="547"/>
          <w:marRight w:val="0"/>
          <w:marTop w:val="0"/>
          <w:marBottom w:val="0"/>
          <w:divBdr>
            <w:top w:val="none" w:sz="0" w:space="0" w:color="auto"/>
            <w:left w:val="none" w:sz="0" w:space="0" w:color="auto"/>
            <w:bottom w:val="none" w:sz="0" w:space="0" w:color="auto"/>
            <w:right w:val="none" w:sz="0" w:space="0" w:color="auto"/>
          </w:divBdr>
        </w:div>
      </w:divsChild>
    </w:div>
    <w:div w:id="568734595">
      <w:bodyDiv w:val="1"/>
      <w:marLeft w:val="0"/>
      <w:marRight w:val="0"/>
      <w:marTop w:val="0"/>
      <w:marBottom w:val="0"/>
      <w:divBdr>
        <w:top w:val="none" w:sz="0" w:space="0" w:color="auto"/>
        <w:left w:val="none" w:sz="0" w:space="0" w:color="auto"/>
        <w:bottom w:val="none" w:sz="0" w:space="0" w:color="auto"/>
        <w:right w:val="none" w:sz="0" w:space="0" w:color="auto"/>
      </w:divBdr>
    </w:div>
    <w:div w:id="571768777">
      <w:bodyDiv w:val="1"/>
      <w:marLeft w:val="0"/>
      <w:marRight w:val="0"/>
      <w:marTop w:val="0"/>
      <w:marBottom w:val="0"/>
      <w:divBdr>
        <w:top w:val="none" w:sz="0" w:space="0" w:color="auto"/>
        <w:left w:val="none" w:sz="0" w:space="0" w:color="auto"/>
        <w:bottom w:val="none" w:sz="0" w:space="0" w:color="auto"/>
        <w:right w:val="none" w:sz="0" w:space="0" w:color="auto"/>
      </w:divBdr>
    </w:div>
    <w:div w:id="582035191">
      <w:bodyDiv w:val="1"/>
      <w:marLeft w:val="0"/>
      <w:marRight w:val="0"/>
      <w:marTop w:val="0"/>
      <w:marBottom w:val="0"/>
      <w:divBdr>
        <w:top w:val="none" w:sz="0" w:space="0" w:color="auto"/>
        <w:left w:val="none" w:sz="0" w:space="0" w:color="auto"/>
        <w:bottom w:val="none" w:sz="0" w:space="0" w:color="auto"/>
        <w:right w:val="none" w:sz="0" w:space="0" w:color="auto"/>
      </w:divBdr>
    </w:div>
    <w:div w:id="590819915">
      <w:bodyDiv w:val="1"/>
      <w:marLeft w:val="0"/>
      <w:marRight w:val="0"/>
      <w:marTop w:val="0"/>
      <w:marBottom w:val="0"/>
      <w:divBdr>
        <w:top w:val="none" w:sz="0" w:space="0" w:color="auto"/>
        <w:left w:val="none" w:sz="0" w:space="0" w:color="auto"/>
        <w:bottom w:val="none" w:sz="0" w:space="0" w:color="auto"/>
        <w:right w:val="none" w:sz="0" w:space="0" w:color="auto"/>
      </w:divBdr>
    </w:div>
    <w:div w:id="592251050">
      <w:bodyDiv w:val="1"/>
      <w:marLeft w:val="0"/>
      <w:marRight w:val="0"/>
      <w:marTop w:val="0"/>
      <w:marBottom w:val="0"/>
      <w:divBdr>
        <w:top w:val="none" w:sz="0" w:space="0" w:color="auto"/>
        <w:left w:val="none" w:sz="0" w:space="0" w:color="auto"/>
        <w:bottom w:val="none" w:sz="0" w:space="0" w:color="auto"/>
        <w:right w:val="none" w:sz="0" w:space="0" w:color="auto"/>
      </w:divBdr>
    </w:div>
    <w:div w:id="631791861">
      <w:bodyDiv w:val="1"/>
      <w:marLeft w:val="0"/>
      <w:marRight w:val="0"/>
      <w:marTop w:val="0"/>
      <w:marBottom w:val="0"/>
      <w:divBdr>
        <w:top w:val="none" w:sz="0" w:space="0" w:color="auto"/>
        <w:left w:val="none" w:sz="0" w:space="0" w:color="auto"/>
        <w:bottom w:val="none" w:sz="0" w:space="0" w:color="auto"/>
        <w:right w:val="none" w:sz="0" w:space="0" w:color="auto"/>
      </w:divBdr>
      <w:divsChild>
        <w:div w:id="1577548256">
          <w:marLeft w:val="547"/>
          <w:marRight w:val="0"/>
          <w:marTop w:val="0"/>
          <w:marBottom w:val="0"/>
          <w:divBdr>
            <w:top w:val="none" w:sz="0" w:space="0" w:color="auto"/>
            <w:left w:val="none" w:sz="0" w:space="0" w:color="auto"/>
            <w:bottom w:val="none" w:sz="0" w:space="0" w:color="auto"/>
            <w:right w:val="none" w:sz="0" w:space="0" w:color="auto"/>
          </w:divBdr>
        </w:div>
        <w:div w:id="1828590509">
          <w:marLeft w:val="547"/>
          <w:marRight w:val="0"/>
          <w:marTop w:val="0"/>
          <w:marBottom w:val="0"/>
          <w:divBdr>
            <w:top w:val="none" w:sz="0" w:space="0" w:color="auto"/>
            <w:left w:val="none" w:sz="0" w:space="0" w:color="auto"/>
            <w:bottom w:val="none" w:sz="0" w:space="0" w:color="auto"/>
            <w:right w:val="none" w:sz="0" w:space="0" w:color="auto"/>
          </w:divBdr>
        </w:div>
      </w:divsChild>
    </w:div>
    <w:div w:id="650990434">
      <w:bodyDiv w:val="1"/>
      <w:marLeft w:val="0"/>
      <w:marRight w:val="0"/>
      <w:marTop w:val="0"/>
      <w:marBottom w:val="0"/>
      <w:divBdr>
        <w:top w:val="none" w:sz="0" w:space="0" w:color="auto"/>
        <w:left w:val="none" w:sz="0" w:space="0" w:color="auto"/>
        <w:bottom w:val="none" w:sz="0" w:space="0" w:color="auto"/>
        <w:right w:val="none" w:sz="0" w:space="0" w:color="auto"/>
      </w:divBdr>
    </w:div>
    <w:div w:id="690104644">
      <w:bodyDiv w:val="1"/>
      <w:marLeft w:val="0"/>
      <w:marRight w:val="0"/>
      <w:marTop w:val="0"/>
      <w:marBottom w:val="0"/>
      <w:divBdr>
        <w:top w:val="none" w:sz="0" w:space="0" w:color="auto"/>
        <w:left w:val="none" w:sz="0" w:space="0" w:color="auto"/>
        <w:bottom w:val="none" w:sz="0" w:space="0" w:color="auto"/>
        <w:right w:val="none" w:sz="0" w:space="0" w:color="auto"/>
      </w:divBdr>
      <w:divsChild>
        <w:div w:id="1305115457">
          <w:marLeft w:val="547"/>
          <w:marRight w:val="0"/>
          <w:marTop w:val="0"/>
          <w:marBottom w:val="0"/>
          <w:divBdr>
            <w:top w:val="none" w:sz="0" w:space="0" w:color="auto"/>
            <w:left w:val="none" w:sz="0" w:space="0" w:color="auto"/>
            <w:bottom w:val="none" w:sz="0" w:space="0" w:color="auto"/>
            <w:right w:val="none" w:sz="0" w:space="0" w:color="auto"/>
          </w:divBdr>
        </w:div>
      </w:divsChild>
    </w:div>
    <w:div w:id="700135624">
      <w:bodyDiv w:val="1"/>
      <w:marLeft w:val="0"/>
      <w:marRight w:val="0"/>
      <w:marTop w:val="0"/>
      <w:marBottom w:val="0"/>
      <w:divBdr>
        <w:top w:val="none" w:sz="0" w:space="0" w:color="auto"/>
        <w:left w:val="none" w:sz="0" w:space="0" w:color="auto"/>
        <w:bottom w:val="none" w:sz="0" w:space="0" w:color="auto"/>
        <w:right w:val="none" w:sz="0" w:space="0" w:color="auto"/>
      </w:divBdr>
    </w:div>
    <w:div w:id="704871404">
      <w:bodyDiv w:val="1"/>
      <w:marLeft w:val="0"/>
      <w:marRight w:val="0"/>
      <w:marTop w:val="0"/>
      <w:marBottom w:val="0"/>
      <w:divBdr>
        <w:top w:val="none" w:sz="0" w:space="0" w:color="auto"/>
        <w:left w:val="none" w:sz="0" w:space="0" w:color="auto"/>
        <w:bottom w:val="none" w:sz="0" w:space="0" w:color="auto"/>
        <w:right w:val="none" w:sz="0" w:space="0" w:color="auto"/>
      </w:divBdr>
    </w:div>
    <w:div w:id="720592219">
      <w:bodyDiv w:val="1"/>
      <w:marLeft w:val="0"/>
      <w:marRight w:val="0"/>
      <w:marTop w:val="0"/>
      <w:marBottom w:val="0"/>
      <w:divBdr>
        <w:top w:val="none" w:sz="0" w:space="0" w:color="auto"/>
        <w:left w:val="none" w:sz="0" w:space="0" w:color="auto"/>
        <w:bottom w:val="none" w:sz="0" w:space="0" w:color="auto"/>
        <w:right w:val="none" w:sz="0" w:space="0" w:color="auto"/>
      </w:divBdr>
    </w:div>
    <w:div w:id="724062736">
      <w:bodyDiv w:val="1"/>
      <w:marLeft w:val="0"/>
      <w:marRight w:val="0"/>
      <w:marTop w:val="0"/>
      <w:marBottom w:val="0"/>
      <w:divBdr>
        <w:top w:val="none" w:sz="0" w:space="0" w:color="auto"/>
        <w:left w:val="none" w:sz="0" w:space="0" w:color="auto"/>
        <w:bottom w:val="none" w:sz="0" w:space="0" w:color="auto"/>
        <w:right w:val="none" w:sz="0" w:space="0" w:color="auto"/>
      </w:divBdr>
    </w:div>
    <w:div w:id="759175909">
      <w:bodyDiv w:val="1"/>
      <w:marLeft w:val="0"/>
      <w:marRight w:val="0"/>
      <w:marTop w:val="0"/>
      <w:marBottom w:val="0"/>
      <w:divBdr>
        <w:top w:val="none" w:sz="0" w:space="0" w:color="auto"/>
        <w:left w:val="none" w:sz="0" w:space="0" w:color="auto"/>
        <w:bottom w:val="none" w:sz="0" w:space="0" w:color="auto"/>
        <w:right w:val="none" w:sz="0" w:space="0" w:color="auto"/>
      </w:divBdr>
    </w:div>
    <w:div w:id="791052177">
      <w:bodyDiv w:val="1"/>
      <w:marLeft w:val="0"/>
      <w:marRight w:val="0"/>
      <w:marTop w:val="0"/>
      <w:marBottom w:val="0"/>
      <w:divBdr>
        <w:top w:val="none" w:sz="0" w:space="0" w:color="auto"/>
        <w:left w:val="none" w:sz="0" w:space="0" w:color="auto"/>
        <w:bottom w:val="none" w:sz="0" w:space="0" w:color="auto"/>
        <w:right w:val="none" w:sz="0" w:space="0" w:color="auto"/>
      </w:divBdr>
      <w:divsChild>
        <w:div w:id="258102279">
          <w:marLeft w:val="547"/>
          <w:marRight w:val="0"/>
          <w:marTop w:val="0"/>
          <w:marBottom w:val="0"/>
          <w:divBdr>
            <w:top w:val="none" w:sz="0" w:space="0" w:color="auto"/>
            <w:left w:val="none" w:sz="0" w:space="0" w:color="auto"/>
            <w:bottom w:val="none" w:sz="0" w:space="0" w:color="auto"/>
            <w:right w:val="none" w:sz="0" w:space="0" w:color="auto"/>
          </w:divBdr>
        </w:div>
      </w:divsChild>
    </w:div>
    <w:div w:id="805121588">
      <w:bodyDiv w:val="1"/>
      <w:marLeft w:val="0"/>
      <w:marRight w:val="0"/>
      <w:marTop w:val="0"/>
      <w:marBottom w:val="0"/>
      <w:divBdr>
        <w:top w:val="none" w:sz="0" w:space="0" w:color="auto"/>
        <w:left w:val="none" w:sz="0" w:space="0" w:color="auto"/>
        <w:bottom w:val="none" w:sz="0" w:space="0" w:color="auto"/>
        <w:right w:val="none" w:sz="0" w:space="0" w:color="auto"/>
      </w:divBdr>
      <w:divsChild>
        <w:div w:id="384447042">
          <w:marLeft w:val="274"/>
          <w:marRight w:val="0"/>
          <w:marTop w:val="0"/>
          <w:marBottom w:val="0"/>
          <w:divBdr>
            <w:top w:val="none" w:sz="0" w:space="0" w:color="auto"/>
            <w:left w:val="none" w:sz="0" w:space="0" w:color="auto"/>
            <w:bottom w:val="none" w:sz="0" w:space="0" w:color="auto"/>
            <w:right w:val="none" w:sz="0" w:space="0" w:color="auto"/>
          </w:divBdr>
        </w:div>
        <w:div w:id="629941403">
          <w:marLeft w:val="274"/>
          <w:marRight w:val="0"/>
          <w:marTop w:val="0"/>
          <w:marBottom w:val="0"/>
          <w:divBdr>
            <w:top w:val="none" w:sz="0" w:space="0" w:color="auto"/>
            <w:left w:val="none" w:sz="0" w:space="0" w:color="auto"/>
            <w:bottom w:val="none" w:sz="0" w:space="0" w:color="auto"/>
            <w:right w:val="none" w:sz="0" w:space="0" w:color="auto"/>
          </w:divBdr>
        </w:div>
        <w:div w:id="1169754401">
          <w:marLeft w:val="274"/>
          <w:marRight w:val="0"/>
          <w:marTop w:val="0"/>
          <w:marBottom w:val="0"/>
          <w:divBdr>
            <w:top w:val="none" w:sz="0" w:space="0" w:color="auto"/>
            <w:left w:val="none" w:sz="0" w:space="0" w:color="auto"/>
            <w:bottom w:val="none" w:sz="0" w:space="0" w:color="auto"/>
            <w:right w:val="none" w:sz="0" w:space="0" w:color="auto"/>
          </w:divBdr>
        </w:div>
        <w:div w:id="1519200669">
          <w:marLeft w:val="274"/>
          <w:marRight w:val="0"/>
          <w:marTop w:val="0"/>
          <w:marBottom w:val="0"/>
          <w:divBdr>
            <w:top w:val="none" w:sz="0" w:space="0" w:color="auto"/>
            <w:left w:val="none" w:sz="0" w:space="0" w:color="auto"/>
            <w:bottom w:val="none" w:sz="0" w:space="0" w:color="auto"/>
            <w:right w:val="none" w:sz="0" w:space="0" w:color="auto"/>
          </w:divBdr>
        </w:div>
        <w:div w:id="1880823928">
          <w:marLeft w:val="274"/>
          <w:marRight w:val="0"/>
          <w:marTop w:val="0"/>
          <w:marBottom w:val="0"/>
          <w:divBdr>
            <w:top w:val="none" w:sz="0" w:space="0" w:color="auto"/>
            <w:left w:val="none" w:sz="0" w:space="0" w:color="auto"/>
            <w:bottom w:val="none" w:sz="0" w:space="0" w:color="auto"/>
            <w:right w:val="none" w:sz="0" w:space="0" w:color="auto"/>
          </w:divBdr>
        </w:div>
        <w:div w:id="1891769812">
          <w:marLeft w:val="274"/>
          <w:marRight w:val="0"/>
          <w:marTop w:val="0"/>
          <w:marBottom w:val="0"/>
          <w:divBdr>
            <w:top w:val="none" w:sz="0" w:space="0" w:color="auto"/>
            <w:left w:val="none" w:sz="0" w:space="0" w:color="auto"/>
            <w:bottom w:val="none" w:sz="0" w:space="0" w:color="auto"/>
            <w:right w:val="none" w:sz="0" w:space="0" w:color="auto"/>
          </w:divBdr>
        </w:div>
        <w:div w:id="2113352901">
          <w:marLeft w:val="274"/>
          <w:marRight w:val="0"/>
          <w:marTop w:val="0"/>
          <w:marBottom w:val="0"/>
          <w:divBdr>
            <w:top w:val="none" w:sz="0" w:space="0" w:color="auto"/>
            <w:left w:val="none" w:sz="0" w:space="0" w:color="auto"/>
            <w:bottom w:val="none" w:sz="0" w:space="0" w:color="auto"/>
            <w:right w:val="none" w:sz="0" w:space="0" w:color="auto"/>
          </w:divBdr>
        </w:div>
        <w:div w:id="2115512177">
          <w:marLeft w:val="274"/>
          <w:marRight w:val="0"/>
          <w:marTop w:val="0"/>
          <w:marBottom w:val="0"/>
          <w:divBdr>
            <w:top w:val="none" w:sz="0" w:space="0" w:color="auto"/>
            <w:left w:val="none" w:sz="0" w:space="0" w:color="auto"/>
            <w:bottom w:val="none" w:sz="0" w:space="0" w:color="auto"/>
            <w:right w:val="none" w:sz="0" w:space="0" w:color="auto"/>
          </w:divBdr>
        </w:div>
      </w:divsChild>
    </w:div>
    <w:div w:id="808978667">
      <w:bodyDiv w:val="1"/>
      <w:marLeft w:val="0"/>
      <w:marRight w:val="0"/>
      <w:marTop w:val="0"/>
      <w:marBottom w:val="0"/>
      <w:divBdr>
        <w:top w:val="none" w:sz="0" w:space="0" w:color="auto"/>
        <w:left w:val="none" w:sz="0" w:space="0" w:color="auto"/>
        <w:bottom w:val="none" w:sz="0" w:space="0" w:color="auto"/>
        <w:right w:val="none" w:sz="0" w:space="0" w:color="auto"/>
      </w:divBdr>
    </w:div>
    <w:div w:id="853688021">
      <w:bodyDiv w:val="1"/>
      <w:marLeft w:val="0"/>
      <w:marRight w:val="0"/>
      <w:marTop w:val="0"/>
      <w:marBottom w:val="0"/>
      <w:divBdr>
        <w:top w:val="none" w:sz="0" w:space="0" w:color="auto"/>
        <w:left w:val="none" w:sz="0" w:space="0" w:color="auto"/>
        <w:bottom w:val="none" w:sz="0" w:space="0" w:color="auto"/>
        <w:right w:val="none" w:sz="0" w:space="0" w:color="auto"/>
      </w:divBdr>
    </w:div>
    <w:div w:id="897013096">
      <w:bodyDiv w:val="1"/>
      <w:marLeft w:val="0"/>
      <w:marRight w:val="0"/>
      <w:marTop w:val="0"/>
      <w:marBottom w:val="0"/>
      <w:divBdr>
        <w:top w:val="none" w:sz="0" w:space="0" w:color="auto"/>
        <w:left w:val="none" w:sz="0" w:space="0" w:color="auto"/>
        <w:bottom w:val="none" w:sz="0" w:space="0" w:color="auto"/>
        <w:right w:val="none" w:sz="0" w:space="0" w:color="auto"/>
      </w:divBdr>
    </w:div>
    <w:div w:id="905605468">
      <w:bodyDiv w:val="1"/>
      <w:marLeft w:val="0"/>
      <w:marRight w:val="0"/>
      <w:marTop w:val="0"/>
      <w:marBottom w:val="0"/>
      <w:divBdr>
        <w:top w:val="none" w:sz="0" w:space="0" w:color="auto"/>
        <w:left w:val="none" w:sz="0" w:space="0" w:color="auto"/>
        <w:bottom w:val="none" w:sz="0" w:space="0" w:color="auto"/>
        <w:right w:val="none" w:sz="0" w:space="0" w:color="auto"/>
      </w:divBdr>
    </w:div>
    <w:div w:id="907032355">
      <w:bodyDiv w:val="1"/>
      <w:marLeft w:val="0"/>
      <w:marRight w:val="0"/>
      <w:marTop w:val="0"/>
      <w:marBottom w:val="0"/>
      <w:divBdr>
        <w:top w:val="none" w:sz="0" w:space="0" w:color="auto"/>
        <w:left w:val="none" w:sz="0" w:space="0" w:color="auto"/>
        <w:bottom w:val="none" w:sz="0" w:space="0" w:color="auto"/>
        <w:right w:val="none" w:sz="0" w:space="0" w:color="auto"/>
      </w:divBdr>
    </w:div>
    <w:div w:id="923076837">
      <w:bodyDiv w:val="1"/>
      <w:marLeft w:val="0"/>
      <w:marRight w:val="0"/>
      <w:marTop w:val="0"/>
      <w:marBottom w:val="0"/>
      <w:divBdr>
        <w:top w:val="none" w:sz="0" w:space="0" w:color="auto"/>
        <w:left w:val="none" w:sz="0" w:space="0" w:color="auto"/>
        <w:bottom w:val="none" w:sz="0" w:space="0" w:color="auto"/>
        <w:right w:val="none" w:sz="0" w:space="0" w:color="auto"/>
      </w:divBdr>
      <w:divsChild>
        <w:div w:id="940575236">
          <w:marLeft w:val="547"/>
          <w:marRight w:val="0"/>
          <w:marTop w:val="0"/>
          <w:marBottom w:val="0"/>
          <w:divBdr>
            <w:top w:val="none" w:sz="0" w:space="0" w:color="auto"/>
            <w:left w:val="none" w:sz="0" w:space="0" w:color="auto"/>
            <w:bottom w:val="none" w:sz="0" w:space="0" w:color="auto"/>
            <w:right w:val="none" w:sz="0" w:space="0" w:color="auto"/>
          </w:divBdr>
        </w:div>
      </w:divsChild>
    </w:div>
    <w:div w:id="940525491">
      <w:bodyDiv w:val="1"/>
      <w:marLeft w:val="0"/>
      <w:marRight w:val="0"/>
      <w:marTop w:val="0"/>
      <w:marBottom w:val="0"/>
      <w:divBdr>
        <w:top w:val="none" w:sz="0" w:space="0" w:color="auto"/>
        <w:left w:val="none" w:sz="0" w:space="0" w:color="auto"/>
        <w:bottom w:val="none" w:sz="0" w:space="0" w:color="auto"/>
        <w:right w:val="none" w:sz="0" w:space="0" w:color="auto"/>
      </w:divBdr>
    </w:div>
    <w:div w:id="942152885">
      <w:bodyDiv w:val="1"/>
      <w:marLeft w:val="0"/>
      <w:marRight w:val="0"/>
      <w:marTop w:val="0"/>
      <w:marBottom w:val="0"/>
      <w:divBdr>
        <w:top w:val="none" w:sz="0" w:space="0" w:color="auto"/>
        <w:left w:val="none" w:sz="0" w:space="0" w:color="auto"/>
        <w:bottom w:val="none" w:sz="0" w:space="0" w:color="auto"/>
        <w:right w:val="none" w:sz="0" w:space="0" w:color="auto"/>
      </w:divBdr>
      <w:divsChild>
        <w:div w:id="1389260959">
          <w:marLeft w:val="0"/>
          <w:marRight w:val="0"/>
          <w:marTop w:val="180"/>
          <w:marBottom w:val="180"/>
          <w:divBdr>
            <w:top w:val="none" w:sz="0" w:space="0" w:color="auto"/>
            <w:left w:val="none" w:sz="0" w:space="0" w:color="auto"/>
            <w:bottom w:val="none" w:sz="0" w:space="0" w:color="auto"/>
            <w:right w:val="none" w:sz="0" w:space="0" w:color="auto"/>
          </w:divBdr>
          <w:divsChild>
            <w:div w:id="1325621774">
              <w:marLeft w:val="-225"/>
              <w:marRight w:val="-225"/>
              <w:marTop w:val="0"/>
              <w:marBottom w:val="0"/>
              <w:divBdr>
                <w:top w:val="none" w:sz="0" w:space="0" w:color="auto"/>
                <w:left w:val="none" w:sz="0" w:space="0" w:color="auto"/>
                <w:bottom w:val="none" w:sz="0" w:space="0" w:color="auto"/>
                <w:right w:val="none" w:sz="0" w:space="0" w:color="auto"/>
              </w:divBdr>
              <w:divsChild>
                <w:div w:id="131101356">
                  <w:marLeft w:val="0"/>
                  <w:marRight w:val="0"/>
                  <w:marTop w:val="0"/>
                  <w:marBottom w:val="0"/>
                  <w:divBdr>
                    <w:top w:val="none" w:sz="0" w:space="0" w:color="auto"/>
                    <w:left w:val="none" w:sz="0" w:space="0" w:color="auto"/>
                    <w:bottom w:val="none" w:sz="0" w:space="0" w:color="auto"/>
                    <w:right w:val="none" w:sz="0" w:space="0" w:color="auto"/>
                  </w:divBdr>
                  <w:divsChild>
                    <w:div w:id="545263504">
                      <w:marLeft w:val="-225"/>
                      <w:marRight w:val="-225"/>
                      <w:marTop w:val="0"/>
                      <w:marBottom w:val="0"/>
                      <w:divBdr>
                        <w:top w:val="none" w:sz="0" w:space="0" w:color="auto"/>
                        <w:left w:val="none" w:sz="0" w:space="0" w:color="auto"/>
                        <w:bottom w:val="none" w:sz="0" w:space="0" w:color="auto"/>
                        <w:right w:val="none" w:sz="0" w:space="0" w:color="auto"/>
                      </w:divBdr>
                      <w:divsChild>
                        <w:div w:id="1913193099">
                          <w:marLeft w:val="0"/>
                          <w:marRight w:val="0"/>
                          <w:marTop w:val="0"/>
                          <w:marBottom w:val="0"/>
                          <w:divBdr>
                            <w:top w:val="none" w:sz="0" w:space="0" w:color="auto"/>
                            <w:left w:val="none" w:sz="0" w:space="0" w:color="auto"/>
                            <w:bottom w:val="none" w:sz="0" w:space="0" w:color="auto"/>
                            <w:right w:val="none" w:sz="0" w:space="0" w:color="auto"/>
                          </w:divBdr>
                          <w:divsChild>
                            <w:div w:id="1208491346">
                              <w:marLeft w:val="0"/>
                              <w:marRight w:val="0"/>
                              <w:marTop w:val="0"/>
                              <w:marBottom w:val="0"/>
                              <w:divBdr>
                                <w:top w:val="none" w:sz="0" w:space="0" w:color="auto"/>
                                <w:left w:val="none" w:sz="0" w:space="0" w:color="auto"/>
                                <w:bottom w:val="none" w:sz="0" w:space="0" w:color="auto"/>
                                <w:right w:val="none" w:sz="0" w:space="0" w:color="auto"/>
                              </w:divBdr>
                              <w:divsChild>
                                <w:div w:id="1497767937">
                                  <w:marLeft w:val="0"/>
                                  <w:marRight w:val="0"/>
                                  <w:marTop w:val="0"/>
                                  <w:marBottom w:val="0"/>
                                  <w:divBdr>
                                    <w:top w:val="none" w:sz="0" w:space="0" w:color="auto"/>
                                    <w:left w:val="none" w:sz="0" w:space="0" w:color="auto"/>
                                    <w:bottom w:val="none" w:sz="0" w:space="0" w:color="auto"/>
                                    <w:right w:val="none" w:sz="0" w:space="0" w:color="auto"/>
                                  </w:divBdr>
                                  <w:divsChild>
                                    <w:div w:id="315687178">
                                      <w:marLeft w:val="0"/>
                                      <w:marRight w:val="0"/>
                                      <w:marTop w:val="0"/>
                                      <w:marBottom w:val="0"/>
                                      <w:divBdr>
                                        <w:top w:val="none" w:sz="0" w:space="0" w:color="auto"/>
                                        <w:left w:val="none" w:sz="0" w:space="0" w:color="auto"/>
                                        <w:bottom w:val="none" w:sz="0" w:space="0" w:color="auto"/>
                                        <w:right w:val="none" w:sz="0" w:space="0" w:color="auto"/>
                                      </w:divBdr>
                                      <w:divsChild>
                                        <w:div w:id="661810281">
                                          <w:marLeft w:val="0"/>
                                          <w:marRight w:val="0"/>
                                          <w:marTop w:val="0"/>
                                          <w:marBottom w:val="0"/>
                                          <w:divBdr>
                                            <w:top w:val="none" w:sz="0" w:space="0" w:color="auto"/>
                                            <w:left w:val="none" w:sz="0" w:space="0" w:color="auto"/>
                                            <w:bottom w:val="none" w:sz="0" w:space="0" w:color="auto"/>
                                            <w:right w:val="none" w:sz="0" w:space="0" w:color="auto"/>
                                          </w:divBdr>
                                          <w:divsChild>
                                            <w:div w:id="2102752565">
                                              <w:marLeft w:val="0"/>
                                              <w:marRight w:val="0"/>
                                              <w:marTop w:val="0"/>
                                              <w:marBottom w:val="0"/>
                                              <w:divBdr>
                                                <w:top w:val="none" w:sz="0" w:space="0" w:color="auto"/>
                                                <w:left w:val="none" w:sz="0" w:space="0" w:color="auto"/>
                                                <w:bottom w:val="none" w:sz="0" w:space="0" w:color="auto"/>
                                                <w:right w:val="none" w:sz="0" w:space="0" w:color="auto"/>
                                              </w:divBdr>
                                              <w:divsChild>
                                                <w:div w:id="1758747678">
                                                  <w:marLeft w:val="0"/>
                                                  <w:marRight w:val="0"/>
                                                  <w:marTop w:val="0"/>
                                                  <w:marBottom w:val="0"/>
                                                  <w:divBdr>
                                                    <w:top w:val="none" w:sz="0" w:space="0" w:color="auto"/>
                                                    <w:left w:val="none" w:sz="0" w:space="0" w:color="auto"/>
                                                    <w:bottom w:val="none" w:sz="0" w:space="0" w:color="auto"/>
                                                    <w:right w:val="none" w:sz="0" w:space="0" w:color="auto"/>
                                                  </w:divBdr>
                                                  <w:divsChild>
                                                    <w:div w:id="1241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694869">
      <w:bodyDiv w:val="1"/>
      <w:marLeft w:val="0"/>
      <w:marRight w:val="0"/>
      <w:marTop w:val="0"/>
      <w:marBottom w:val="0"/>
      <w:divBdr>
        <w:top w:val="none" w:sz="0" w:space="0" w:color="auto"/>
        <w:left w:val="none" w:sz="0" w:space="0" w:color="auto"/>
        <w:bottom w:val="none" w:sz="0" w:space="0" w:color="auto"/>
        <w:right w:val="none" w:sz="0" w:space="0" w:color="auto"/>
      </w:divBdr>
    </w:div>
    <w:div w:id="959532131">
      <w:bodyDiv w:val="1"/>
      <w:marLeft w:val="0"/>
      <w:marRight w:val="0"/>
      <w:marTop w:val="0"/>
      <w:marBottom w:val="0"/>
      <w:divBdr>
        <w:top w:val="none" w:sz="0" w:space="0" w:color="auto"/>
        <w:left w:val="none" w:sz="0" w:space="0" w:color="auto"/>
        <w:bottom w:val="none" w:sz="0" w:space="0" w:color="auto"/>
        <w:right w:val="none" w:sz="0" w:space="0" w:color="auto"/>
      </w:divBdr>
    </w:div>
    <w:div w:id="964388131">
      <w:bodyDiv w:val="1"/>
      <w:marLeft w:val="0"/>
      <w:marRight w:val="0"/>
      <w:marTop w:val="0"/>
      <w:marBottom w:val="0"/>
      <w:divBdr>
        <w:top w:val="none" w:sz="0" w:space="0" w:color="auto"/>
        <w:left w:val="none" w:sz="0" w:space="0" w:color="auto"/>
        <w:bottom w:val="none" w:sz="0" w:space="0" w:color="auto"/>
        <w:right w:val="none" w:sz="0" w:space="0" w:color="auto"/>
      </w:divBdr>
    </w:div>
    <w:div w:id="973216617">
      <w:bodyDiv w:val="1"/>
      <w:marLeft w:val="0"/>
      <w:marRight w:val="0"/>
      <w:marTop w:val="0"/>
      <w:marBottom w:val="0"/>
      <w:divBdr>
        <w:top w:val="none" w:sz="0" w:space="0" w:color="auto"/>
        <w:left w:val="none" w:sz="0" w:space="0" w:color="auto"/>
        <w:bottom w:val="none" w:sz="0" w:space="0" w:color="auto"/>
        <w:right w:val="none" w:sz="0" w:space="0" w:color="auto"/>
      </w:divBdr>
    </w:div>
    <w:div w:id="1060595657">
      <w:bodyDiv w:val="1"/>
      <w:marLeft w:val="0"/>
      <w:marRight w:val="0"/>
      <w:marTop w:val="0"/>
      <w:marBottom w:val="0"/>
      <w:divBdr>
        <w:top w:val="none" w:sz="0" w:space="0" w:color="auto"/>
        <w:left w:val="none" w:sz="0" w:space="0" w:color="auto"/>
        <w:bottom w:val="none" w:sz="0" w:space="0" w:color="auto"/>
        <w:right w:val="none" w:sz="0" w:space="0" w:color="auto"/>
      </w:divBdr>
    </w:div>
    <w:div w:id="1063799950">
      <w:bodyDiv w:val="1"/>
      <w:marLeft w:val="0"/>
      <w:marRight w:val="0"/>
      <w:marTop w:val="0"/>
      <w:marBottom w:val="0"/>
      <w:divBdr>
        <w:top w:val="none" w:sz="0" w:space="0" w:color="auto"/>
        <w:left w:val="none" w:sz="0" w:space="0" w:color="auto"/>
        <w:bottom w:val="none" w:sz="0" w:space="0" w:color="auto"/>
        <w:right w:val="none" w:sz="0" w:space="0" w:color="auto"/>
      </w:divBdr>
    </w:div>
    <w:div w:id="1083140498">
      <w:bodyDiv w:val="1"/>
      <w:marLeft w:val="0"/>
      <w:marRight w:val="0"/>
      <w:marTop w:val="0"/>
      <w:marBottom w:val="0"/>
      <w:divBdr>
        <w:top w:val="none" w:sz="0" w:space="0" w:color="auto"/>
        <w:left w:val="none" w:sz="0" w:space="0" w:color="auto"/>
        <w:bottom w:val="none" w:sz="0" w:space="0" w:color="auto"/>
        <w:right w:val="none" w:sz="0" w:space="0" w:color="auto"/>
      </w:divBdr>
    </w:div>
    <w:div w:id="1085764006">
      <w:bodyDiv w:val="1"/>
      <w:marLeft w:val="0"/>
      <w:marRight w:val="0"/>
      <w:marTop w:val="0"/>
      <w:marBottom w:val="0"/>
      <w:divBdr>
        <w:top w:val="none" w:sz="0" w:space="0" w:color="auto"/>
        <w:left w:val="none" w:sz="0" w:space="0" w:color="auto"/>
        <w:bottom w:val="none" w:sz="0" w:space="0" w:color="auto"/>
        <w:right w:val="none" w:sz="0" w:space="0" w:color="auto"/>
      </w:divBdr>
    </w:div>
    <w:div w:id="1093628090">
      <w:bodyDiv w:val="1"/>
      <w:marLeft w:val="0"/>
      <w:marRight w:val="0"/>
      <w:marTop w:val="0"/>
      <w:marBottom w:val="0"/>
      <w:divBdr>
        <w:top w:val="none" w:sz="0" w:space="0" w:color="auto"/>
        <w:left w:val="none" w:sz="0" w:space="0" w:color="auto"/>
        <w:bottom w:val="none" w:sz="0" w:space="0" w:color="auto"/>
        <w:right w:val="none" w:sz="0" w:space="0" w:color="auto"/>
      </w:divBdr>
    </w:div>
    <w:div w:id="1098328406">
      <w:bodyDiv w:val="1"/>
      <w:marLeft w:val="0"/>
      <w:marRight w:val="0"/>
      <w:marTop w:val="0"/>
      <w:marBottom w:val="0"/>
      <w:divBdr>
        <w:top w:val="none" w:sz="0" w:space="0" w:color="auto"/>
        <w:left w:val="none" w:sz="0" w:space="0" w:color="auto"/>
        <w:bottom w:val="none" w:sz="0" w:space="0" w:color="auto"/>
        <w:right w:val="none" w:sz="0" w:space="0" w:color="auto"/>
      </w:divBdr>
    </w:div>
    <w:div w:id="1154637963">
      <w:bodyDiv w:val="1"/>
      <w:marLeft w:val="0"/>
      <w:marRight w:val="0"/>
      <w:marTop w:val="0"/>
      <w:marBottom w:val="0"/>
      <w:divBdr>
        <w:top w:val="none" w:sz="0" w:space="0" w:color="auto"/>
        <w:left w:val="none" w:sz="0" w:space="0" w:color="auto"/>
        <w:bottom w:val="none" w:sz="0" w:space="0" w:color="auto"/>
        <w:right w:val="none" w:sz="0" w:space="0" w:color="auto"/>
      </w:divBdr>
    </w:div>
    <w:div w:id="1173566076">
      <w:bodyDiv w:val="1"/>
      <w:marLeft w:val="0"/>
      <w:marRight w:val="0"/>
      <w:marTop w:val="0"/>
      <w:marBottom w:val="0"/>
      <w:divBdr>
        <w:top w:val="none" w:sz="0" w:space="0" w:color="auto"/>
        <w:left w:val="none" w:sz="0" w:space="0" w:color="auto"/>
        <w:bottom w:val="none" w:sz="0" w:space="0" w:color="auto"/>
        <w:right w:val="none" w:sz="0" w:space="0" w:color="auto"/>
      </w:divBdr>
    </w:div>
    <w:div w:id="1202672159">
      <w:bodyDiv w:val="1"/>
      <w:marLeft w:val="0"/>
      <w:marRight w:val="0"/>
      <w:marTop w:val="0"/>
      <w:marBottom w:val="0"/>
      <w:divBdr>
        <w:top w:val="none" w:sz="0" w:space="0" w:color="auto"/>
        <w:left w:val="none" w:sz="0" w:space="0" w:color="auto"/>
        <w:bottom w:val="none" w:sz="0" w:space="0" w:color="auto"/>
        <w:right w:val="none" w:sz="0" w:space="0" w:color="auto"/>
      </w:divBdr>
    </w:div>
    <w:div w:id="1206679515">
      <w:bodyDiv w:val="1"/>
      <w:marLeft w:val="0"/>
      <w:marRight w:val="0"/>
      <w:marTop w:val="0"/>
      <w:marBottom w:val="0"/>
      <w:divBdr>
        <w:top w:val="none" w:sz="0" w:space="0" w:color="auto"/>
        <w:left w:val="none" w:sz="0" w:space="0" w:color="auto"/>
        <w:bottom w:val="none" w:sz="0" w:space="0" w:color="auto"/>
        <w:right w:val="none" w:sz="0" w:space="0" w:color="auto"/>
      </w:divBdr>
      <w:divsChild>
        <w:div w:id="1394309988">
          <w:marLeft w:val="0"/>
          <w:marRight w:val="0"/>
          <w:marTop w:val="0"/>
          <w:marBottom w:val="0"/>
          <w:divBdr>
            <w:top w:val="none" w:sz="0" w:space="0" w:color="auto"/>
            <w:left w:val="none" w:sz="0" w:space="0" w:color="auto"/>
            <w:bottom w:val="none" w:sz="0" w:space="0" w:color="auto"/>
            <w:right w:val="none" w:sz="0" w:space="0" w:color="auto"/>
          </w:divBdr>
          <w:divsChild>
            <w:div w:id="33817682">
              <w:marLeft w:val="0"/>
              <w:marRight w:val="0"/>
              <w:marTop w:val="0"/>
              <w:marBottom w:val="0"/>
              <w:divBdr>
                <w:top w:val="none" w:sz="0" w:space="0" w:color="auto"/>
                <w:left w:val="none" w:sz="0" w:space="0" w:color="auto"/>
                <w:bottom w:val="none" w:sz="0" w:space="0" w:color="auto"/>
                <w:right w:val="none" w:sz="0" w:space="0" w:color="auto"/>
              </w:divBdr>
              <w:divsChild>
                <w:div w:id="1639021720">
                  <w:marLeft w:val="0"/>
                  <w:marRight w:val="0"/>
                  <w:marTop w:val="0"/>
                  <w:marBottom w:val="0"/>
                  <w:divBdr>
                    <w:top w:val="none" w:sz="0" w:space="0" w:color="auto"/>
                    <w:left w:val="none" w:sz="0" w:space="0" w:color="auto"/>
                    <w:bottom w:val="none" w:sz="0" w:space="0" w:color="auto"/>
                    <w:right w:val="none" w:sz="0" w:space="0" w:color="auto"/>
                  </w:divBdr>
                  <w:divsChild>
                    <w:div w:id="1375502070">
                      <w:marLeft w:val="150"/>
                      <w:marRight w:val="150"/>
                      <w:marTop w:val="0"/>
                      <w:marBottom w:val="0"/>
                      <w:divBdr>
                        <w:top w:val="none" w:sz="0" w:space="0" w:color="auto"/>
                        <w:left w:val="none" w:sz="0" w:space="0" w:color="auto"/>
                        <w:bottom w:val="none" w:sz="0" w:space="0" w:color="auto"/>
                        <w:right w:val="none" w:sz="0" w:space="0" w:color="auto"/>
                      </w:divBdr>
                      <w:divsChild>
                        <w:div w:id="1052777880">
                          <w:marLeft w:val="0"/>
                          <w:marRight w:val="0"/>
                          <w:marTop w:val="0"/>
                          <w:marBottom w:val="0"/>
                          <w:divBdr>
                            <w:top w:val="none" w:sz="0" w:space="0" w:color="auto"/>
                            <w:left w:val="none" w:sz="0" w:space="0" w:color="auto"/>
                            <w:bottom w:val="none" w:sz="0" w:space="0" w:color="auto"/>
                            <w:right w:val="none" w:sz="0" w:space="0" w:color="auto"/>
                          </w:divBdr>
                          <w:divsChild>
                            <w:div w:id="1183474833">
                              <w:marLeft w:val="0"/>
                              <w:marRight w:val="0"/>
                              <w:marTop w:val="0"/>
                              <w:marBottom w:val="0"/>
                              <w:divBdr>
                                <w:top w:val="none" w:sz="0" w:space="0" w:color="auto"/>
                                <w:left w:val="none" w:sz="0" w:space="0" w:color="auto"/>
                                <w:bottom w:val="none" w:sz="0" w:space="0" w:color="auto"/>
                                <w:right w:val="none" w:sz="0" w:space="0" w:color="auto"/>
                              </w:divBdr>
                              <w:divsChild>
                                <w:div w:id="255746443">
                                  <w:marLeft w:val="0"/>
                                  <w:marRight w:val="0"/>
                                  <w:marTop w:val="0"/>
                                  <w:marBottom w:val="0"/>
                                  <w:divBdr>
                                    <w:top w:val="none" w:sz="0" w:space="0" w:color="auto"/>
                                    <w:left w:val="none" w:sz="0" w:space="0" w:color="auto"/>
                                    <w:bottom w:val="none" w:sz="0" w:space="0" w:color="auto"/>
                                    <w:right w:val="none" w:sz="0" w:space="0" w:color="auto"/>
                                  </w:divBdr>
                                  <w:divsChild>
                                    <w:div w:id="979722714">
                                      <w:marLeft w:val="0"/>
                                      <w:marRight w:val="0"/>
                                      <w:marTop w:val="0"/>
                                      <w:marBottom w:val="0"/>
                                      <w:divBdr>
                                        <w:top w:val="none" w:sz="0" w:space="0" w:color="auto"/>
                                        <w:left w:val="none" w:sz="0" w:space="0" w:color="auto"/>
                                        <w:bottom w:val="none" w:sz="0" w:space="0" w:color="auto"/>
                                        <w:right w:val="none" w:sz="0" w:space="0" w:color="auto"/>
                                      </w:divBdr>
                                      <w:divsChild>
                                        <w:div w:id="1901936422">
                                          <w:marLeft w:val="0"/>
                                          <w:marRight w:val="0"/>
                                          <w:marTop w:val="0"/>
                                          <w:marBottom w:val="0"/>
                                          <w:divBdr>
                                            <w:top w:val="none" w:sz="0" w:space="0" w:color="auto"/>
                                            <w:left w:val="none" w:sz="0" w:space="0" w:color="auto"/>
                                            <w:bottom w:val="none" w:sz="0" w:space="0" w:color="auto"/>
                                            <w:right w:val="none" w:sz="0" w:space="0" w:color="auto"/>
                                          </w:divBdr>
                                          <w:divsChild>
                                            <w:div w:id="50097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9091485">
      <w:bodyDiv w:val="1"/>
      <w:marLeft w:val="0"/>
      <w:marRight w:val="0"/>
      <w:marTop w:val="0"/>
      <w:marBottom w:val="0"/>
      <w:divBdr>
        <w:top w:val="none" w:sz="0" w:space="0" w:color="auto"/>
        <w:left w:val="none" w:sz="0" w:space="0" w:color="auto"/>
        <w:bottom w:val="none" w:sz="0" w:space="0" w:color="auto"/>
        <w:right w:val="none" w:sz="0" w:space="0" w:color="auto"/>
      </w:divBdr>
    </w:div>
    <w:div w:id="1244795544">
      <w:bodyDiv w:val="1"/>
      <w:marLeft w:val="0"/>
      <w:marRight w:val="0"/>
      <w:marTop w:val="0"/>
      <w:marBottom w:val="0"/>
      <w:divBdr>
        <w:top w:val="none" w:sz="0" w:space="0" w:color="auto"/>
        <w:left w:val="none" w:sz="0" w:space="0" w:color="auto"/>
        <w:bottom w:val="none" w:sz="0" w:space="0" w:color="auto"/>
        <w:right w:val="none" w:sz="0" w:space="0" w:color="auto"/>
      </w:divBdr>
      <w:divsChild>
        <w:div w:id="700398221">
          <w:marLeft w:val="547"/>
          <w:marRight w:val="0"/>
          <w:marTop w:val="0"/>
          <w:marBottom w:val="0"/>
          <w:divBdr>
            <w:top w:val="none" w:sz="0" w:space="0" w:color="auto"/>
            <w:left w:val="none" w:sz="0" w:space="0" w:color="auto"/>
            <w:bottom w:val="none" w:sz="0" w:space="0" w:color="auto"/>
            <w:right w:val="none" w:sz="0" w:space="0" w:color="auto"/>
          </w:divBdr>
        </w:div>
        <w:div w:id="1011614091">
          <w:marLeft w:val="547"/>
          <w:marRight w:val="0"/>
          <w:marTop w:val="0"/>
          <w:marBottom w:val="0"/>
          <w:divBdr>
            <w:top w:val="none" w:sz="0" w:space="0" w:color="auto"/>
            <w:left w:val="none" w:sz="0" w:space="0" w:color="auto"/>
            <w:bottom w:val="none" w:sz="0" w:space="0" w:color="auto"/>
            <w:right w:val="none" w:sz="0" w:space="0" w:color="auto"/>
          </w:divBdr>
        </w:div>
      </w:divsChild>
    </w:div>
    <w:div w:id="1284729993">
      <w:bodyDiv w:val="1"/>
      <w:marLeft w:val="0"/>
      <w:marRight w:val="0"/>
      <w:marTop w:val="0"/>
      <w:marBottom w:val="0"/>
      <w:divBdr>
        <w:top w:val="none" w:sz="0" w:space="0" w:color="auto"/>
        <w:left w:val="none" w:sz="0" w:space="0" w:color="auto"/>
        <w:bottom w:val="none" w:sz="0" w:space="0" w:color="auto"/>
        <w:right w:val="none" w:sz="0" w:space="0" w:color="auto"/>
      </w:divBdr>
    </w:div>
    <w:div w:id="1289311475">
      <w:bodyDiv w:val="1"/>
      <w:marLeft w:val="0"/>
      <w:marRight w:val="0"/>
      <w:marTop w:val="0"/>
      <w:marBottom w:val="0"/>
      <w:divBdr>
        <w:top w:val="none" w:sz="0" w:space="0" w:color="auto"/>
        <w:left w:val="none" w:sz="0" w:space="0" w:color="auto"/>
        <w:bottom w:val="none" w:sz="0" w:space="0" w:color="auto"/>
        <w:right w:val="none" w:sz="0" w:space="0" w:color="auto"/>
      </w:divBdr>
      <w:divsChild>
        <w:div w:id="1202012507">
          <w:marLeft w:val="547"/>
          <w:marRight w:val="0"/>
          <w:marTop w:val="0"/>
          <w:marBottom w:val="0"/>
          <w:divBdr>
            <w:top w:val="none" w:sz="0" w:space="0" w:color="auto"/>
            <w:left w:val="none" w:sz="0" w:space="0" w:color="auto"/>
            <w:bottom w:val="none" w:sz="0" w:space="0" w:color="auto"/>
            <w:right w:val="none" w:sz="0" w:space="0" w:color="auto"/>
          </w:divBdr>
        </w:div>
      </w:divsChild>
    </w:div>
    <w:div w:id="1314721486">
      <w:bodyDiv w:val="1"/>
      <w:marLeft w:val="0"/>
      <w:marRight w:val="0"/>
      <w:marTop w:val="0"/>
      <w:marBottom w:val="0"/>
      <w:divBdr>
        <w:top w:val="none" w:sz="0" w:space="0" w:color="auto"/>
        <w:left w:val="none" w:sz="0" w:space="0" w:color="auto"/>
        <w:bottom w:val="none" w:sz="0" w:space="0" w:color="auto"/>
        <w:right w:val="none" w:sz="0" w:space="0" w:color="auto"/>
      </w:divBdr>
      <w:divsChild>
        <w:div w:id="130369470">
          <w:marLeft w:val="0"/>
          <w:marRight w:val="0"/>
          <w:marTop w:val="0"/>
          <w:marBottom w:val="0"/>
          <w:divBdr>
            <w:top w:val="none" w:sz="0" w:space="0" w:color="auto"/>
            <w:left w:val="none" w:sz="0" w:space="0" w:color="auto"/>
            <w:bottom w:val="none" w:sz="0" w:space="0" w:color="auto"/>
            <w:right w:val="none" w:sz="0" w:space="0" w:color="auto"/>
          </w:divBdr>
          <w:divsChild>
            <w:div w:id="291135124">
              <w:marLeft w:val="0"/>
              <w:marRight w:val="0"/>
              <w:marTop w:val="0"/>
              <w:marBottom w:val="0"/>
              <w:divBdr>
                <w:top w:val="none" w:sz="0" w:space="0" w:color="auto"/>
                <w:left w:val="none" w:sz="0" w:space="0" w:color="auto"/>
                <w:bottom w:val="none" w:sz="0" w:space="0" w:color="auto"/>
                <w:right w:val="none" w:sz="0" w:space="0" w:color="auto"/>
              </w:divBdr>
              <w:divsChild>
                <w:div w:id="553734016">
                  <w:marLeft w:val="0"/>
                  <w:marRight w:val="0"/>
                  <w:marTop w:val="0"/>
                  <w:marBottom w:val="0"/>
                  <w:divBdr>
                    <w:top w:val="none" w:sz="0" w:space="0" w:color="auto"/>
                    <w:left w:val="none" w:sz="0" w:space="0" w:color="auto"/>
                    <w:bottom w:val="none" w:sz="0" w:space="0" w:color="auto"/>
                    <w:right w:val="none" w:sz="0" w:space="0" w:color="auto"/>
                  </w:divBdr>
                  <w:divsChild>
                    <w:div w:id="369576269">
                      <w:marLeft w:val="150"/>
                      <w:marRight w:val="150"/>
                      <w:marTop w:val="0"/>
                      <w:marBottom w:val="0"/>
                      <w:divBdr>
                        <w:top w:val="none" w:sz="0" w:space="0" w:color="auto"/>
                        <w:left w:val="none" w:sz="0" w:space="0" w:color="auto"/>
                        <w:bottom w:val="none" w:sz="0" w:space="0" w:color="auto"/>
                        <w:right w:val="none" w:sz="0" w:space="0" w:color="auto"/>
                      </w:divBdr>
                      <w:divsChild>
                        <w:div w:id="1814523018">
                          <w:marLeft w:val="0"/>
                          <w:marRight w:val="0"/>
                          <w:marTop w:val="0"/>
                          <w:marBottom w:val="0"/>
                          <w:divBdr>
                            <w:top w:val="none" w:sz="0" w:space="0" w:color="auto"/>
                            <w:left w:val="none" w:sz="0" w:space="0" w:color="auto"/>
                            <w:bottom w:val="none" w:sz="0" w:space="0" w:color="auto"/>
                            <w:right w:val="none" w:sz="0" w:space="0" w:color="auto"/>
                          </w:divBdr>
                          <w:divsChild>
                            <w:div w:id="1707485683">
                              <w:marLeft w:val="0"/>
                              <w:marRight w:val="0"/>
                              <w:marTop w:val="0"/>
                              <w:marBottom w:val="0"/>
                              <w:divBdr>
                                <w:top w:val="none" w:sz="0" w:space="0" w:color="auto"/>
                                <w:left w:val="none" w:sz="0" w:space="0" w:color="auto"/>
                                <w:bottom w:val="none" w:sz="0" w:space="0" w:color="auto"/>
                                <w:right w:val="none" w:sz="0" w:space="0" w:color="auto"/>
                              </w:divBdr>
                              <w:divsChild>
                                <w:div w:id="775976867">
                                  <w:marLeft w:val="0"/>
                                  <w:marRight w:val="0"/>
                                  <w:marTop w:val="0"/>
                                  <w:marBottom w:val="0"/>
                                  <w:divBdr>
                                    <w:top w:val="none" w:sz="0" w:space="0" w:color="auto"/>
                                    <w:left w:val="none" w:sz="0" w:space="0" w:color="auto"/>
                                    <w:bottom w:val="none" w:sz="0" w:space="0" w:color="auto"/>
                                    <w:right w:val="none" w:sz="0" w:space="0" w:color="auto"/>
                                  </w:divBdr>
                                  <w:divsChild>
                                    <w:div w:id="1772697955">
                                      <w:marLeft w:val="0"/>
                                      <w:marRight w:val="0"/>
                                      <w:marTop w:val="0"/>
                                      <w:marBottom w:val="0"/>
                                      <w:divBdr>
                                        <w:top w:val="none" w:sz="0" w:space="0" w:color="auto"/>
                                        <w:left w:val="none" w:sz="0" w:space="0" w:color="auto"/>
                                        <w:bottom w:val="none" w:sz="0" w:space="0" w:color="auto"/>
                                        <w:right w:val="none" w:sz="0" w:space="0" w:color="auto"/>
                                      </w:divBdr>
                                      <w:divsChild>
                                        <w:div w:id="1240139979">
                                          <w:marLeft w:val="0"/>
                                          <w:marRight w:val="0"/>
                                          <w:marTop w:val="0"/>
                                          <w:marBottom w:val="0"/>
                                          <w:divBdr>
                                            <w:top w:val="none" w:sz="0" w:space="0" w:color="auto"/>
                                            <w:left w:val="none" w:sz="0" w:space="0" w:color="auto"/>
                                            <w:bottom w:val="none" w:sz="0" w:space="0" w:color="auto"/>
                                            <w:right w:val="none" w:sz="0" w:space="0" w:color="auto"/>
                                          </w:divBdr>
                                          <w:divsChild>
                                            <w:div w:id="130354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4381519">
      <w:bodyDiv w:val="1"/>
      <w:marLeft w:val="0"/>
      <w:marRight w:val="0"/>
      <w:marTop w:val="0"/>
      <w:marBottom w:val="0"/>
      <w:divBdr>
        <w:top w:val="none" w:sz="0" w:space="0" w:color="auto"/>
        <w:left w:val="none" w:sz="0" w:space="0" w:color="auto"/>
        <w:bottom w:val="none" w:sz="0" w:space="0" w:color="auto"/>
        <w:right w:val="none" w:sz="0" w:space="0" w:color="auto"/>
      </w:divBdr>
    </w:div>
    <w:div w:id="1348018136">
      <w:bodyDiv w:val="1"/>
      <w:marLeft w:val="0"/>
      <w:marRight w:val="0"/>
      <w:marTop w:val="0"/>
      <w:marBottom w:val="0"/>
      <w:divBdr>
        <w:top w:val="none" w:sz="0" w:space="0" w:color="auto"/>
        <w:left w:val="none" w:sz="0" w:space="0" w:color="auto"/>
        <w:bottom w:val="none" w:sz="0" w:space="0" w:color="auto"/>
        <w:right w:val="none" w:sz="0" w:space="0" w:color="auto"/>
      </w:divBdr>
      <w:divsChild>
        <w:div w:id="1902934740">
          <w:marLeft w:val="547"/>
          <w:marRight w:val="0"/>
          <w:marTop w:val="0"/>
          <w:marBottom w:val="0"/>
          <w:divBdr>
            <w:top w:val="none" w:sz="0" w:space="0" w:color="auto"/>
            <w:left w:val="none" w:sz="0" w:space="0" w:color="auto"/>
            <w:bottom w:val="none" w:sz="0" w:space="0" w:color="auto"/>
            <w:right w:val="none" w:sz="0" w:space="0" w:color="auto"/>
          </w:divBdr>
        </w:div>
      </w:divsChild>
    </w:div>
    <w:div w:id="1357266802">
      <w:bodyDiv w:val="1"/>
      <w:marLeft w:val="0"/>
      <w:marRight w:val="0"/>
      <w:marTop w:val="0"/>
      <w:marBottom w:val="0"/>
      <w:divBdr>
        <w:top w:val="none" w:sz="0" w:space="0" w:color="auto"/>
        <w:left w:val="none" w:sz="0" w:space="0" w:color="auto"/>
        <w:bottom w:val="none" w:sz="0" w:space="0" w:color="auto"/>
        <w:right w:val="none" w:sz="0" w:space="0" w:color="auto"/>
      </w:divBdr>
    </w:div>
    <w:div w:id="1408576459">
      <w:bodyDiv w:val="1"/>
      <w:marLeft w:val="0"/>
      <w:marRight w:val="0"/>
      <w:marTop w:val="0"/>
      <w:marBottom w:val="0"/>
      <w:divBdr>
        <w:top w:val="none" w:sz="0" w:space="0" w:color="auto"/>
        <w:left w:val="none" w:sz="0" w:space="0" w:color="auto"/>
        <w:bottom w:val="none" w:sz="0" w:space="0" w:color="auto"/>
        <w:right w:val="none" w:sz="0" w:space="0" w:color="auto"/>
      </w:divBdr>
    </w:div>
    <w:div w:id="1431583484">
      <w:bodyDiv w:val="1"/>
      <w:marLeft w:val="0"/>
      <w:marRight w:val="0"/>
      <w:marTop w:val="0"/>
      <w:marBottom w:val="0"/>
      <w:divBdr>
        <w:top w:val="none" w:sz="0" w:space="0" w:color="auto"/>
        <w:left w:val="none" w:sz="0" w:space="0" w:color="auto"/>
        <w:bottom w:val="none" w:sz="0" w:space="0" w:color="auto"/>
        <w:right w:val="none" w:sz="0" w:space="0" w:color="auto"/>
      </w:divBdr>
    </w:div>
    <w:div w:id="1432314147">
      <w:bodyDiv w:val="1"/>
      <w:marLeft w:val="0"/>
      <w:marRight w:val="0"/>
      <w:marTop w:val="0"/>
      <w:marBottom w:val="0"/>
      <w:divBdr>
        <w:top w:val="none" w:sz="0" w:space="0" w:color="auto"/>
        <w:left w:val="none" w:sz="0" w:space="0" w:color="auto"/>
        <w:bottom w:val="none" w:sz="0" w:space="0" w:color="auto"/>
        <w:right w:val="none" w:sz="0" w:space="0" w:color="auto"/>
      </w:divBdr>
    </w:div>
    <w:div w:id="1442534544">
      <w:bodyDiv w:val="1"/>
      <w:marLeft w:val="0"/>
      <w:marRight w:val="0"/>
      <w:marTop w:val="0"/>
      <w:marBottom w:val="0"/>
      <w:divBdr>
        <w:top w:val="none" w:sz="0" w:space="0" w:color="auto"/>
        <w:left w:val="none" w:sz="0" w:space="0" w:color="auto"/>
        <w:bottom w:val="none" w:sz="0" w:space="0" w:color="auto"/>
        <w:right w:val="none" w:sz="0" w:space="0" w:color="auto"/>
      </w:divBdr>
    </w:div>
    <w:div w:id="1450053376">
      <w:bodyDiv w:val="1"/>
      <w:marLeft w:val="0"/>
      <w:marRight w:val="0"/>
      <w:marTop w:val="0"/>
      <w:marBottom w:val="0"/>
      <w:divBdr>
        <w:top w:val="none" w:sz="0" w:space="0" w:color="auto"/>
        <w:left w:val="none" w:sz="0" w:space="0" w:color="auto"/>
        <w:bottom w:val="none" w:sz="0" w:space="0" w:color="auto"/>
        <w:right w:val="none" w:sz="0" w:space="0" w:color="auto"/>
      </w:divBdr>
      <w:divsChild>
        <w:div w:id="214582326">
          <w:marLeft w:val="0"/>
          <w:marRight w:val="0"/>
          <w:marTop w:val="300"/>
          <w:marBottom w:val="0"/>
          <w:divBdr>
            <w:top w:val="none" w:sz="0" w:space="0" w:color="auto"/>
            <w:left w:val="none" w:sz="0" w:space="0" w:color="auto"/>
            <w:bottom w:val="none" w:sz="0" w:space="0" w:color="auto"/>
            <w:right w:val="none" w:sz="0" w:space="0" w:color="auto"/>
          </w:divBdr>
          <w:divsChild>
            <w:div w:id="2019383492">
              <w:marLeft w:val="0"/>
              <w:marRight w:val="0"/>
              <w:marTop w:val="0"/>
              <w:marBottom w:val="0"/>
              <w:divBdr>
                <w:top w:val="none" w:sz="0" w:space="0" w:color="auto"/>
                <w:left w:val="none" w:sz="0" w:space="0" w:color="auto"/>
                <w:bottom w:val="none" w:sz="0" w:space="0" w:color="auto"/>
                <w:right w:val="none" w:sz="0" w:space="0" w:color="auto"/>
              </w:divBdr>
              <w:divsChild>
                <w:div w:id="859515390">
                  <w:marLeft w:val="0"/>
                  <w:marRight w:val="0"/>
                  <w:marTop w:val="0"/>
                  <w:marBottom w:val="0"/>
                  <w:divBdr>
                    <w:top w:val="none" w:sz="0" w:space="0" w:color="auto"/>
                    <w:left w:val="none" w:sz="0" w:space="0" w:color="auto"/>
                    <w:bottom w:val="none" w:sz="0" w:space="0" w:color="auto"/>
                    <w:right w:val="none" w:sz="0" w:space="0" w:color="auto"/>
                  </w:divBdr>
                  <w:divsChild>
                    <w:div w:id="1938901505">
                      <w:marLeft w:val="0"/>
                      <w:marRight w:val="0"/>
                      <w:marTop w:val="0"/>
                      <w:marBottom w:val="0"/>
                      <w:divBdr>
                        <w:top w:val="none" w:sz="0" w:space="0" w:color="auto"/>
                        <w:left w:val="none" w:sz="0" w:space="0" w:color="auto"/>
                        <w:bottom w:val="none" w:sz="0" w:space="0" w:color="auto"/>
                        <w:right w:val="none" w:sz="0" w:space="0" w:color="auto"/>
                      </w:divBdr>
                      <w:divsChild>
                        <w:div w:id="90526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903834">
      <w:bodyDiv w:val="1"/>
      <w:marLeft w:val="0"/>
      <w:marRight w:val="0"/>
      <w:marTop w:val="0"/>
      <w:marBottom w:val="0"/>
      <w:divBdr>
        <w:top w:val="none" w:sz="0" w:space="0" w:color="auto"/>
        <w:left w:val="none" w:sz="0" w:space="0" w:color="auto"/>
        <w:bottom w:val="none" w:sz="0" w:space="0" w:color="auto"/>
        <w:right w:val="none" w:sz="0" w:space="0" w:color="auto"/>
      </w:divBdr>
    </w:div>
    <w:div w:id="1464494186">
      <w:bodyDiv w:val="1"/>
      <w:marLeft w:val="0"/>
      <w:marRight w:val="0"/>
      <w:marTop w:val="0"/>
      <w:marBottom w:val="0"/>
      <w:divBdr>
        <w:top w:val="none" w:sz="0" w:space="0" w:color="auto"/>
        <w:left w:val="none" w:sz="0" w:space="0" w:color="auto"/>
        <w:bottom w:val="none" w:sz="0" w:space="0" w:color="auto"/>
        <w:right w:val="none" w:sz="0" w:space="0" w:color="auto"/>
      </w:divBdr>
    </w:div>
    <w:div w:id="1583416454">
      <w:bodyDiv w:val="1"/>
      <w:marLeft w:val="0"/>
      <w:marRight w:val="0"/>
      <w:marTop w:val="0"/>
      <w:marBottom w:val="0"/>
      <w:divBdr>
        <w:top w:val="none" w:sz="0" w:space="0" w:color="auto"/>
        <w:left w:val="none" w:sz="0" w:space="0" w:color="auto"/>
        <w:bottom w:val="none" w:sz="0" w:space="0" w:color="auto"/>
        <w:right w:val="none" w:sz="0" w:space="0" w:color="auto"/>
      </w:divBdr>
      <w:divsChild>
        <w:div w:id="2008633162">
          <w:marLeft w:val="0"/>
          <w:marRight w:val="0"/>
          <w:marTop w:val="180"/>
          <w:marBottom w:val="180"/>
          <w:divBdr>
            <w:top w:val="none" w:sz="0" w:space="0" w:color="auto"/>
            <w:left w:val="none" w:sz="0" w:space="0" w:color="auto"/>
            <w:bottom w:val="none" w:sz="0" w:space="0" w:color="auto"/>
            <w:right w:val="none" w:sz="0" w:space="0" w:color="auto"/>
          </w:divBdr>
          <w:divsChild>
            <w:div w:id="1584802605">
              <w:marLeft w:val="-225"/>
              <w:marRight w:val="-225"/>
              <w:marTop w:val="0"/>
              <w:marBottom w:val="0"/>
              <w:divBdr>
                <w:top w:val="none" w:sz="0" w:space="0" w:color="auto"/>
                <w:left w:val="none" w:sz="0" w:space="0" w:color="auto"/>
                <w:bottom w:val="none" w:sz="0" w:space="0" w:color="auto"/>
                <w:right w:val="none" w:sz="0" w:space="0" w:color="auto"/>
              </w:divBdr>
              <w:divsChild>
                <w:div w:id="1984505778">
                  <w:marLeft w:val="0"/>
                  <w:marRight w:val="0"/>
                  <w:marTop w:val="0"/>
                  <w:marBottom w:val="0"/>
                  <w:divBdr>
                    <w:top w:val="none" w:sz="0" w:space="0" w:color="auto"/>
                    <w:left w:val="none" w:sz="0" w:space="0" w:color="auto"/>
                    <w:bottom w:val="none" w:sz="0" w:space="0" w:color="auto"/>
                    <w:right w:val="none" w:sz="0" w:space="0" w:color="auto"/>
                  </w:divBdr>
                  <w:divsChild>
                    <w:div w:id="110899673">
                      <w:marLeft w:val="-225"/>
                      <w:marRight w:val="-225"/>
                      <w:marTop w:val="0"/>
                      <w:marBottom w:val="0"/>
                      <w:divBdr>
                        <w:top w:val="none" w:sz="0" w:space="0" w:color="auto"/>
                        <w:left w:val="none" w:sz="0" w:space="0" w:color="auto"/>
                        <w:bottom w:val="none" w:sz="0" w:space="0" w:color="auto"/>
                        <w:right w:val="none" w:sz="0" w:space="0" w:color="auto"/>
                      </w:divBdr>
                      <w:divsChild>
                        <w:div w:id="2126344320">
                          <w:marLeft w:val="0"/>
                          <w:marRight w:val="0"/>
                          <w:marTop w:val="0"/>
                          <w:marBottom w:val="0"/>
                          <w:divBdr>
                            <w:top w:val="none" w:sz="0" w:space="0" w:color="auto"/>
                            <w:left w:val="none" w:sz="0" w:space="0" w:color="auto"/>
                            <w:bottom w:val="none" w:sz="0" w:space="0" w:color="auto"/>
                            <w:right w:val="none" w:sz="0" w:space="0" w:color="auto"/>
                          </w:divBdr>
                          <w:divsChild>
                            <w:div w:id="1420710697">
                              <w:marLeft w:val="0"/>
                              <w:marRight w:val="0"/>
                              <w:marTop w:val="0"/>
                              <w:marBottom w:val="0"/>
                              <w:divBdr>
                                <w:top w:val="none" w:sz="0" w:space="0" w:color="auto"/>
                                <w:left w:val="none" w:sz="0" w:space="0" w:color="auto"/>
                                <w:bottom w:val="none" w:sz="0" w:space="0" w:color="auto"/>
                                <w:right w:val="none" w:sz="0" w:space="0" w:color="auto"/>
                              </w:divBdr>
                              <w:divsChild>
                                <w:div w:id="1447431097">
                                  <w:marLeft w:val="0"/>
                                  <w:marRight w:val="0"/>
                                  <w:marTop w:val="0"/>
                                  <w:marBottom w:val="0"/>
                                  <w:divBdr>
                                    <w:top w:val="none" w:sz="0" w:space="0" w:color="auto"/>
                                    <w:left w:val="none" w:sz="0" w:space="0" w:color="auto"/>
                                    <w:bottom w:val="none" w:sz="0" w:space="0" w:color="auto"/>
                                    <w:right w:val="none" w:sz="0" w:space="0" w:color="auto"/>
                                  </w:divBdr>
                                  <w:divsChild>
                                    <w:div w:id="2086419072">
                                      <w:marLeft w:val="0"/>
                                      <w:marRight w:val="0"/>
                                      <w:marTop w:val="0"/>
                                      <w:marBottom w:val="0"/>
                                      <w:divBdr>
                                        <w:top w:val="none" w:sz="0" w:space="0" w:color="auto"/>
                                        <w:left w:val="none" w:sz="0" w:space="0" w:color="auto"/>
                                        <w:bottom w:val="none" w:sz="0" w:space="0" w:color="auto"/>
                                        <w:right w:val="none" w:sz="0" w:space="0" w:color="auto"/>
                                      </w:divBdr>
                                      <w:divsChild>
                                        <w:div w:id="2112242793">
                                          <w:marLeft w:val="0"/>
                                          <w:marRight w:val="0"/>
                                          <w:marTop w:val="0"/>
                                          <w:marBottom w:val="0"/>
                                          <w:divBdr>
                                            <w:top w:val="none" w:sz="0" w:space="0" w:color="auto"/>
                                            <w:left w:val="none" w:sz="0" w:space="0" w:color="auto"/>
                                            <w:bottom w:val="none" w:sz="0" w:space="0" w:color="auto"/>
                                            <w:right w:val="none" w:sz="0" w:space="0" w:color="auto"/>
                                          </w:divBdr>
                                          <w:divsChild>
                                            <w:div w:id="1828551158">
                                              <w:marLeft w:val="0"/>
                                              <w:marRight w:val="0"/>
                                              <w:marTop w:val="0"/>
                                              <w:marBottom w:val="0"/>
                                              <w:divBdr>
                                                <w:top w:val="none" w:sz="0" w:space="0" w:color="auto"/>
                                                <w:left w:val="none" w:sz="0" w:space="0" w:color="auto"/>
                                                <w:bottom w:val="none" w:sz="0" w:space="0" w:color="auto"/>
                                                <w:right w:val="none" w:sz="0" w:space="0" w:color="auto"/>
                                              </w:divBdr>
                                              <w:divsChild>
                                                <w:div w:id="613100396">
                                                  <w:marLeft w:val="0"/>
                                                  <w:marRight w:val="0"/>
                                                  <w:marTop w:val="0"/>
                                                  <w:marBottom w:val="0"/>
                                                  <w:divBdr>
                                                    <w:top w:val="none" w:sz="0" w:space="0" w:color="auto"/>
                                                    <w:left w:val="none" w:sz="0" w:space="0" w:color="auto"/>
                                                    <w:bottom w:val="none" w:sz="0" w:space="0" w:color="auto"/>
                                                    <w:right w:val="none" w:sz="0" w:space="0" w:color="auto"/>
                                                  </w:divBdr>
                                                  <w:divsChild>
                                                    <w:div w:id="90426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8422897">
      <w:bodyDiv w:val="1"/>
      <w:marLeft w:val="0"/>
      <w:marRight w:val="0"/>
      <w:marTop w:val="0"/>
      <w:marBottom w:val="0"/>
      <w:divBdr>
        <w:top w:val="none" w:sz="0" w:space="0" w:color="auto"/>
        <w:left w:val="none" w:sz="0" w:space="0" w:color="auto"/>
        <w:bottom w:val="none" w:sz="0" w:space="0" w:color="auto"/>
        <w:right w:val="none" w:sz="0" w:space="0" w:color="auto"/>
      </w:divBdr>
    </w:div>
    <w:div w:id="1597592508">
      <w:bodyDiv w:val="1"/>
      <w:marLeft w:val="0"/>
      <w:marRight w:val="0"/>
      <w:marTop w:val="0"/>
      <w:marBottom w:val="0"/>
      <w:divBdr>
        <w:top w:val="none" w:sz="0" w:space="0" w:color="auto"/>
        <w:left w:val="none" w:sz="0" w:space="0" w:color="auto"/>
        <w:bottom w:val="none" w:sz="0" w:space="0" w:color="auto"/>
        <w:right w:val="none" w:sz="0" w:space="0" w:color="auto"/>
      </w:divBdr>
    </w:div>
    <w:div w:id="1598828910">
      <w:bodyDiv w:val="1"/>
      <w:marLeft w:val="0"/>
      <w:marRight w:val="0"/>
      <w:marTop w:val="0"/>
      <w:marBottom w:val="0"/>
      <w:divBdr>
        <w:top w:val="none" w:sz="0" w:space="0" w:color="auto"/>
        <w:left w:val="none" w:sz="0" w:space="0" w:color="auto"/>
        <w:bottom w:val="none" w:sz="0" w:space="0" w:color="auto"/>
        <w:right w:val="none" w:sz="0" w:space="0" w:color="auto"/>
      </w:divBdr>
    </w:div>
    <w:div w:id="1603076635">
      <w:bodyDiv w:val="1"/>
      <w:marLeft w:val="0"/>
      <w:marRight w:val="0"/>
      <w:marTop w:val="0"/>
      <w:marBottom w:val="0"/>
      <w:divBdr>
        <w:top w:val="none" w:sz="0" w:space="0" w:color="auto"/>
        <w:left w:val="none" w:sz="0" w:space="0" w:color="auto"/>
        <w:bottom w:val="none" w:sz="0" w:space="0" w:color="auto"/>
        <w:right w:val="none" w:sz="0" w:space="0" w:color="auto"/>
      </w:divBdr>
    </w:div>
    <w:div w:id="1611082869">
      <w:bodyDiv w:val="1"/>
      <w:marLeft w:val="0"/>
      <w:marRight w:val="0"/>
      <w:marTop w:val="0"/>
      <w:marBottom w:val="0"/>
      <w:divBdr>
        <w:top w:val="none" w:sz="0" w:space="0" w:color="auto"/>
        <w:left w:val="none" w:sz="0" w:space="0" w:color="auto"/>
        <w:bottom w:val="none" w:sz="0" w:space="0" w:color="auto"/>
        <w:right w:val="none" w:sz="0" w:space="0" w:color="auto"/>
      </w:divBdr>
    </w:div>
    <w:div w:id="1611475593">
      <w:bodyDiv w:val="1"/>
      <w:marLeft w:val="0"/>
      <w:marRight w:val="0"/>
      <w:marTop w:val="0"/>
      <w:marBottom w:val="0"/>
      <w:divBdr>
        <w:top w:val="none" w:sz="0" w:space="0" w:color="auto"/>
        <w:left w:val="none" w:sz="0" w:space="0" w:color="auto"/>
        <w:bottom w:val="none" w:sz="0" w:space="0" w:color="auto"/>
        <w:right w:val="none" w:sz="0" w:space="0" w:color="auto"/>
      </w:divBdr>
    </w:div>
    <w:div w:id="1618177010">
      <w:bodyDiv w:val="1"/>
      <w:marLeft w:val="0"/>
      <w:marRight w:val="0"/>
      <w:marTop w:val="0"/>
      <w:marBottom w:val="0"/>
      <w:divBdr>
        <w:top w:val="none" w:sz="0" w:space="0" w:color="auto"/>
        <w:left w:val="none" w:sz="0" w:space="0" w:color="auto"/>
        <w:bottom w:val="none" w:sz="0" w:space="0" w:color="auto"/>
        <w:right w:val="none" w:sz="0" w:space="0" w:color="auto"/>
      </w:divBdr>
    </w:div>
    <w:div w:id="1635789231">
      <w:bodyDiv w:val="1"/>
      <w:marLeft w:val="0"/>
      <w:marRight w:val="0"/>
      <w:marTop w:val="0"/>
      <w:marBottom w:val="0"/>
      <w:divBdr>
        <w:top w:val="none" w:sz="0" w:space="0" w:color="auto"/>
        <w:left w:val="none" w:sz="0" w:space="0" w:color="auto"/>
        <w:bottom w:val="none" w:sz="0" w:space="0" w:color="auto"/>
        <w:right w:val="none" w:sz="0" w:space="0" w:color="auto"/>
      </w:divBdr>
    </w:div>
    <w:div w:id="1641881971">
      <w:bodyDiv w:val="1"/>
      <w:marLeft w:val="0"/>
      <w:marRight w:val="0"/>
      <w:marTop w:val="0"/>
      <w:marBottom w:val="0"/>
      <w:divBdr>
        <w:top w:val="none" w:sz="0" w:space="0" w:color="auto"/>
        <w:left w:val="none" w:sz="0" w:space="0" w:color="auto"/>
        <w:bottom w:val="none" w:sz="0" w:space="0" w:color="auto"/>
        <w:right w:val="none" w:sz="0" w:space="0" w:color="auto"/>
      </w:divBdr>
    </w:div>
    <w:div w:id="1672021840">
      <w:bodyDiv w:val="1"/>
      <w:marLeft w:val="0"/>
      <w:marRight w:val="0"/>
      <w:marTop w:val="0"/>
      <w:marBottom w:val="0"/>
      <w:divBdr>
        <w:top w:val="none" w:sz="0" w:space="0" w:color="auto"/>
        <w:left w:val="none" w:sz="0" w:space="0" w:color="auto"/>
        <w:bottom w:val="none" w:sz="0" w:space="0" w:color="auto"/>
        <w:right w:val="none" w:sz="0" w:space="0" w:color="auto"/>
      </w:divBdr>
    </w:div>
    <w:div w:id="1694839396">
      <w:bodyDiv w:val="1"/>
      <w:marLeft w:val="0"/>
      <w:marRight w:val="0"/>
      <w:marTop w:val="0"/>
      <w:marBottom w:val="0"/>
      <w:divBdr>
        <w:top w:val="none" w:sz="0" w:space="0" w:color="auto"/>
        <w:left w:val="none" w:sz="0" w:space="0" w:color="auto"/>
        <w:bottom w:val="none" w:sz="0" w:space="0" w:color="auto"/>
        <w:right w:val="none" w:sz="0" w:space="0" w:color="auto"/>
      </w:divBdr>
    </w:div>
    <w:div w:id="1712995070">
      <w:bodyDiv w:val="1"/>
      <w:marLeft w:val="0"/>
      <w:marRight w:val="0"/>
      <w:marTop w:val="0"/>
      <w:marBottom w:val="0"/>
      <w:divBdr>
        <w:top w:val="none" w:sz="0" w:space="0" w:color="auto"/>
        <w:left w:val="none" w:sz="0" w:space="0" w:color="auto"/>
        <w:bottom w:val="none" w:sz="0" w:space="0" w:color="auto"/>
        <w:right w:val="none" w:sz="0" w:space="0" w:color="auto"/>
      </w:divBdr>
      <w:divsChild>
        <w:div w:id="1104152806">
          <w:marLeft w:val="0"/>
          <w:marRight w:val="0"/>
          <w:marTop w:val="0"/>
          <w:marBottom w:val="0"/>
          <w:divBdr>
            <w:top w:val="none" w:sz="0" w:space="0" w:color="auto"/>
            <w:left w:val="none" w:sz="0" w:space="0" w:color="auto"/>
            <w:bottom w:val="none" w:sz="0" w:space="0" w:color="auto"/>
            <w:right w:val="none" w:sz="0" w:space="0" w:color="auto"/>
          </w:divBdr>
          <w:divsChild>
            <w:div w:id="971910082">
              <w:marLeft w:val="0"/>
              <w:marRight w:val="0"/>
              <w:marTop w:val="0"/>
              <w:marBottom w:val="0"/>
              <w:divBdr>
                <w:top w:val="none" w:sz="0" w:space="0" w:color="auto"/>
                <w:left w:val="none" w:sz="0" w:space="0" w:color="auto"/>
                <w:bottom w:val="none" w:sz="0" w:space="0" w:color="auto"/>
                <w:right w:val="none" w:sz="0" w:space="0" w:color="auto"/>
              </w:divBdr>
              <w:divsChild>
                <w:div w:id="1300261737">
                  <w:marLeft w:val="0"/>
                  <w:marRight w:val="0"/>
                  <w:marTop w:val="0"/>
                  <w:marBottom w:val="0"/>
                  <w:divBdr>
                    <w:top w:val="none" w:sz="0" w:space="0" w:color="auto"/>
                    <w:left w:val="none" w:sz="0" w:space="0" w:color="auto"/>
                    <w:bottom w:val="none" w:sz="0" w:space="0" w:color="auto"/>
                    <w:right w:val="none" w:sz="0" w:space="0" w:color="auto"/>
                  </w:divBdr>
                  <w:divsChild>
                    <w:div w:id="1067068568">
                      <w:marLeft w:val="150"/>
                      <w:marRight w:val="150"/>
                      <w:marTop w:val="0"/>
                      <w:marBottom w:val="0"/>
                      <w:divBdr>
                        <w:top w:val="none" w:sz="0" w:space="0" w:color="auto"/>
                        <w:left w:val="none" w:sz="0" w:space="0" w:color="auto"/>
                        <w:bottom w:val="none" w:sz="0" w:space="0" w:color="auto"/>
                        <w:right w:val="none" w:sz="0" w:space="0" w:color="auto"/>
                      </w:divBdr>
                      <w:divsChild>
                        <w:div w:id="346255560">
                          <w:marLeft w:val="0"/>
                          <w:marRight w:val="0"/>
                          <w:marTop w:val="0"/>
                          <w:marBottom w:val="0"/>
                          <w:divBdr>
                            <w:top w:val="none" w:sz="0" w:space="0" w:color="auto"/>
                            <w:left w:val="none" w:sz="0" w:space="0" w:color="auto"/>
                            <w:bottom w:val="none" w:sz="0" w:space="0" w:color="auto"/>
                            <w:right w:val="none" w:sz="0" w:space="0" w:color="auto"/>
                          </w:divBdr>
                          <w:divsChild>
                            <w:div w:id="627471849">
                              <w:marLeft w:val="0"/>
                              <w:marRight w:val="0"/>
                              <w:marTop w:val="0"/>
                              <w:marBottom w:val="0"/>
                              <w:divBdr>
                                <w:top w:val="none" w:sz="0" w:space="0" w:color="auto"/>
                                <w:left w:val="none" w:sz="0" w:space="0" w:color="auto"/>
                                <w:bottom w:val="none" w:sz="0" w:space="0" w:color="auto"/>
                                <w:right w:val="none" w:sz="0" w:space="0" w:color="auto"/>
                              </w:divBdr>
                              <w:divsChild>
                                <w:div w:id="413623814">
                                  <w:marLeft w:val="0"/>
                                  <w:marRight w:val="0"/>
                                  <w:marTop w:val="0"/>
                                  <w:marBottom w:val="0"/>
                                  <w:divBdr>
                                    <w:top w:val="none" w:sz="0" w:space="0" w:color="auto"/>
                                    <w:left w:val="none" w:sz="0" w:space="0" w:color="auto"/>
                                    <w:bottom w:val="none" w:sz="0" w:space="0" w:color="auto"/>
                                    <w:right w:val="none" w:sz="0" w:space="0" w:color="auto"/>
                                  </w:divBdr>
                                  <w:divsChild>
                                    <w:div w:id="1436438394">
                                      <w:marLeft w:val="0"/>
                                      <w:marRight w:val="0"/>
                                      <w:marTop w:val="0"/>
                                      <w:marBottom w:val="0"/>
                                      <w:divBdr>
                                        <w:top w:val="none" w:sz="0" w:space="0" w:color="auto"/>
                                        <w:left w:val="none" w:sz="0" w:space="0" w:color="auto"/>
                                        <w:bottom w:val="none" w:sz="0" w:space="0" w:color="auto"/>
                                        <w:right w:val="none" w:sz="0" w:space="0" w:color="auto"/>
                                      </w:divBdr>
                                      <w:divsChild>
                                        <w:div w:id="345251818">
                                          <w:marLeft w:val="0"/>
                                          <w:marRight w:val="0"/>
                                          <w:marTop w:val="0"/>
                                          <w:marBottom w:val="0"/>
                                          <w:divBdr>
                                            <w:top w:val="none" w:sz="0" w:space="0" w:color="auto"/>
                                            <w:left w:val="none" w:sz="0" w:space="0" w:color="auto"/>
                                            <w:bottom w:val="none" w:sz="0" w:space="0" w:color="auto"/>
                                            <w:right w:val="none" w:sz="0" w:space="0" w:color="auto"/>
                                          </w:divBdr>
                                          <w:divsChild>
                                            <w:div w:id="20426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1291661">
      <w:bodyDiv w:val="1"/>
      <w:marLeft w:val="0"/>
      <w:marRight w:val="0"/>
      <w:marTop w:val="0"/>
      <w:marBottom w:val="0"/>
      <w:divBdr>
        <w:top w:val="none" w:sz="0" w:space="0" w:color="auto"/>
        <w:left w:val="none" w:sz="0" w:space="0" w:color="auto"/>
        <w:bottom w:val="none" w:sz="0" w:space="0" w:color="auto"/>
        <w:right w:val="none" w:sz="0" w:space="0" w:color="auto"/>
      </w:divBdr>
    </w:div>
    <w:div w:id="1751658941">
      <w:bodyDiv w:val="1"/>
      <w:marLeft w:val="0"/>
      <w:marRight w:val="0"/>
      <w:marTop w:val="0"/>
      <w:marBottom w:val="0"/>
      <w:divBdr>
        <w:top w:val="none" w:sz="0" w:space="0" w:color="auto"/>
        <w:left w:val="none" w:sz="0" w:space="0" w:color="auto"/>
        <w:bottom w:val="none" w:sz="0" w:space="0" w:color="auto"/>
        <w:right w:val="none" w:sz="0" w:space="0" w:color="auto"/>
      </w:divBdr>
    </w:div>
    <w:div w:id="1753576699">
      <w:bodyDiv w:val="1"/>
      <w:marLeft w:val="0"/>
      <w:marRight w:val="0"/>
      <w:marTop w:val="0"/>
      <w:marBottom w:val="0"/>
      <w:divBdr>
        <w:top w:val="none" w:sz="0" w:space="0" w:color="auto"/>
        <w:left w:val="none" w:sz="0" w:space="0" w:color="auto"/>
        <w:bottom w:val="none" w:sz="0" w:space="0" w:color="auto"/>
        <w:right w:val="none" w:sz="0" w:space="0" w:color="auto"/>
      </w:divBdr>
    </w:div>
    <w:div w:id="1790777974">
      <w:bodyDiv w:val="1"/>
      <w:marLeft w:val="0"/>
      <w:marRight w:val="0"/>
      <w:marTop w:val="0"/>
      <w:marBottom w:val="0"/>
      <w:divBdr>
        <w:top w:val="none" w:sz="0" w:space="0" w:color="auto"/>
        <w:left w:val="none" w:sz="0" w:space="0" w:color="auto"/>
        <w:bottom w:val="none" w:sz="0" w:space="0" w:color="auto"/>
        <w:right w:val="none" w:sz="0" w:space="0" w:color="auto"/>
      </w:divBdr>
      <w:divsChild>
        <w:div w:id="1706129636">
          <w:marLeft w:val="0"/>
          <w:marRight w:val="0"/>
          <w:marTop w:val="0"/>
          <w:marBottom w:val="0"/>
          <w:divBdr>
            <w:top w:val="none" w:sz="0" w:space="0" w:color="auto"/>
            <w:left w:val="none" w:sz="0" w:space="0" w:color="auto"/>
            <w:bottom w:val="none" w:sz="0" w:space="0" w:color="auto"/>
            <w:right w:val="none" w:sz="0" w:space="0" w:color="auto"/>
          </w:divBdr>
          <w:divsChild>
            <w:div w:id="1665040035">
              <w:marLeft w:val="-225"/>
              <w:marRight w:val="-225"/>
              <w:marTop w:val="0"/>
              <w:marBottom w:val="0"/>
              <w:divBdr>
                <w:top w:val="none" w:sz="0" w:space="0" w:color="auto"/>
                <w:left w:val="none" w:sz="0" w:space="0" w:color="auto"/>
                <w:bottom w:val="none" w:sz="0" w:space="0" w:color="auto"/>
                <w:right w:val="none" w:sz="0" w:space="0" w:color="auto"/>
              </w:divBdr>
              <w:divsChild>
                <w:div w:id="1936400846">
                  <w:marLeft w:val="0"/>
                  <w:marRight w:val="0"/>
                  <w:marTop w:val="0"/>
                  <w:marBottom w:val="0"/>
                  <w:divBdr>
                    <w:top w:val="none" w:sz="0" w:space="0" w:color="auto"/>
                    <w:left w:val="none" w:sz="0" w:space="0" w:color="auto"/>
                    <w:bottom w:val="none" w:sz="0" w:space="0" w:color="auto"/>
                    <w:right w:val="none" w:sz="0" w:space="0" w:color="auto"/>
                  </w:divBdr>
                  <w:divsChild>
                    <w:div w:id="290868162">
                      <w:marLeft w:val="0"/>
                      <w:marRight w:val="0"/>
                      <w:marTop w:val="0"/>
                      <w:marBottom w:val="225"/>
                      <w:divBdr>
                        <w:top w:val="none" w:sz="0" w:space="0" w:color="auto"/>
                        <w:left w:val="none" w:sz="0" w:space="0" w:color="auto"/>
                        <w:bottom w:val="none" w:sz="0" w:space="0" w:color="auto"/>
                        <w:right w:val="none" w:sz="0" w:space="0" w:color="auto"/>
                      </w:divBdr>
                      <w:divsChild>
                        <w:div w:id="1634603410">
                          <w:marLeft w:val="0"/>
                          <w:marRight w:val="0"/>
                          <w:marTop w:val="0"/>
                          <w:marBottom w:val="0"/>
                          <w:divBdr>
                            <w:top w:val="none" w:sz="0" w:space="0" w:color="auto"/>
                            <w:left w:val="none" w:sz="0" w:space="0" w:color="auto"/>
                            <w:bottom w:val="none" w:sz="0" w:space="0" w:color="auto"/>
                            <w:right w:val="none" w:sz="0" w:space="0" w:color="auto"/>
                          </w:divBdr>
                          <w:divsChild>
                            <w:div w:id="1980914003">
                              <w:marLeft w:val="0"/>
                              <w:marRight w:val="0"/>
                              <w:marTop w:val="0"/>
                              <w:marBottom w:val="0"/>
                              <w:divBdr>
                                <w:top w:val="none" w:sz="0" w:space="0" w:color="auto"/>
                                <w:left w:val="none" w:sz="0" w:space="0" w:color="auto"/>
                                <w:bottom w:val="none" w:sz="0" w:space="0" w:color="auto"/>
                                <w:right w:val="none" w:sz="0" w:space="0" w:color="auto"/>
                              </w:divBdr>
                              <w:divsChild>
                                <w:div w:id="442308713">
                                  <w:marLeft w:val="0"/>
                                  <w:marRight w:val="0"/>
                                  <w:marTop w:val="0"/>
                                  <w:marBottom w:val="0"/>
                                  <w:divBdr>
                                    <w:top w:val="none" w:sz="0" w:space="0" w:color="auto"/>
                                    <w:left w:val="none" w:sz="0" w:space="0" w:color="auto"/>
                                    <w:bottom w:val="none" w:sz="0" w:space="0" w:color="auto"/>
                                    <w:right w:val="none" w:sz="0" w:space="0" w:color="auto"/>
                                  </w:divBdr>
                                  <w:divsChild>
                                    <w:div w:id="499854453">
                                      <w:marLeft w:val="0"/>
                                      <w:marRight w:val="0"/>
                                      <w:marTop w:val="0"/>
                                      <w:marBottom w:val="0"/>
                                      <w:divBdr>
                                        <w:top w:val="none" w:sz="0" w:space="0" w:color="auto"/>
                                        <w:left w:val="none" w:sz="0" w:space="0" w:color="auto"/>
                                        <w:bottom w:val="none" w:sz="0" w:space="0" w:color="auto"/>
                                        <w:right w:val="none" w:sz="0" w:space="0" w:color="auto"/>
                                      </w:divBdr>
                                      <w:divsChild>
                                        <w:div w:id="948312627">
                                          <w:marLeft w:val="0"/>
                                          <w:marRight w:val="0"/>
                                          <w:marTop w:val="0"/>
                                          <w:marBottom w:val="0"/>
                                          <w:divBdr>
                                            <w:top w:val="none" w:sz="0" w:space="0" w:color="auto"/>
                                            <w:left w:val="none" w:sz="0" w:space="0" w:color="auto"/>
                                            <w:bottom w:val="none" w:sz="0" w:space="0" w:color="auto"/>
                                            <w:right w:val="none" w:sz="0" w:space="0" w:color="auto"/>
                                          </w:divBdr>
                                          <w:divsChild>
                                            <w:div w:id="607929881">
                                              <w:marLeft w:val="0"/>
                                              <w:marRight w:val="0"/>
                                              <w:marTop w:val="0"/>
                                              <w:marBottom w:val="0"/>
                                              <w:divBdr>
                                                <w:top w:val="none" w:sz="0" w:space="0" w:color="auto"/>
                                                <w:left w:val="none" w:sz="0" w:space="0" w:color="auto"/>
                                                <w:bottom w:val="none" w:sz="0" w:space="0" w:color="auto"/>
                                                <w:right w:val="none" w:sz="0" w:space="0" w:color="auto"/>
                                              </w:divBdr>
                                              <w:divsChild>
                                                <w:div w:id="1239553820">
                                                  <w:marLeft w:val="0"/>
                                                  <w:marRight w:val="0"/>
                                                  <w:marTop w:val="0"/>
                                                  <w:marBottom w:val="0"/>
                                                  <w:divBdr>
                                                    <w:top w:val="none" w:sz="0" w:space="0" w:color="auto"/>
                                                    <w:left w:val="none" w:sz="0" w:space="0" w:color="auto"/>
                                                    <w:bottom w:val="none" w:sz="0" w:space="0" w:color="auto"/>
                                                    <w:right w:val="none" w:sz="0" w:space="0" w:color="auto"/>
                                                  </w:divBdr>
                                                  <w:divsChild>
                                                    <w:div w:id="17377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3090160">
      <w:bodyDiv w:val="1"/>
      <w:marLeft w:val="0"/>
      <w:marRight w:val="0"/>
      <w:marTop w:val="0"/>
      <w:marBottom w:val="0"/>
      <w:divBdr>
        <w:top w:val="none" w:sz="0" w:space="0" w:color="auto"/>
        <w:left w:val="none" w:sz="0" w:space="0" w:color="auto"/>
        <w:bottom w:val="none" w:sz="0" w:space="0" w:color="auto"/>
        <w:right w:val="none" w:sz="0" w:space="0" w:color="auto"/>
      </w:divBdr>
      <w:divsChild>
        <w:div w:id="1307052702">
          <w:marLeft w:val="0"/>
          <w:marRight w:val="0"/>
          <w:marTop w:val="0"/>
          <w:marBottom w:val="0"/>
          <w:divBdr>
            <w:top w:val="none" w:sz="0" w:space="0" w:color="auto"/>
            <w:left w:val="none" w:sz="0" w:space="0" w:color="auto"/>
            <w:bottom w:val="none" w:sz="0" w:space="0" w:color="auto"/>
            <w:right w:val="none" w:sz="0" w:space="0" w:color="auto"/>
          </w:divBdr>
          <w:divsChild>
            <w:div w:id="49496214">
              <w:marLeft w:val="0"/>
              <w:marRight w:val="0"/>
              <w:marTop w:val="0"/>
              <w:marBottom w:val="0"/>
              <w:divBdr>
                <w:top w:val="none" w:sz="0" w:space="0" w:color="auto"/>
                <w:left w:val="none" w:sz="0" w:space="0" w:color="auto"/>
                <w:bottom w:val="none" w:sz="0" w:space="0" w:color="auto"/>
                <w:right w:val="none" w:sz="0" w:space="0" w:color="auto"/>
              </w:divBdr>
              <w:divsChild>
                <w:div w:id="587928797">
                  <w:marLeft w:val="0"/>
                  <w:marRight w:val="0"/>
                  <w:marTop w:val="0"/>
                  <w:marBottom w:val="0"/>
                  <w:divBdr>
                    <w:top w:val="none" w:sz="0" w:space="0" w:color="auto"/>
                    <w:left w:val="none" w:sz="0" w:space="0" w:color="auto"/>
                    <w:bottom w:val="none" w:sz="0" w:space="0" w:color="auto"/>
                    <w:right w:val="none" w:sz="0" w:space="0" w:color="auto"/>
                  </w:divBdr>
                  <w:divsChild>
                    <w:div w:id="862323219">
                      <w:marLeft w:val="150"/>
                      <w:marRight w:val="150"/>
                      <w:marTop w:val="0"/>
                      <w:marBottom w:val="0"/>
                      <w:divBdr>
                        <w:top w:val="none" w:sz="0" w:space="0" w:color="auto"/>
                        <w:left w:val="none" w:sz="0" w:space="0" w:color="auto"/>
                        <w:bottom w:val="none" w:sz="0" w:space="0" w:color="auto"/>
                        <w:right w:val="none" w:sz="0" w:space="0" w:color="auto"/>
                      </w:divBdr>
                      <w:divsChild>
                        <w:div w:id="167671871">
                          <w:marLeft w:val="0"/>
                          <w:marRight w:val="0"/>
                          <w:marTop w:val="0"/>
                          <w:marBottom w:val="0"/>
                          <w:divBdr>
                            <w:top w:val="none" w:sz="0" w:space="0" w:color="auto"/>
                            <w:left w:val="none" w:sz="0" w:space="0" w:color="auto"/>
                            <w:bottom w:val="none" w:sz="0" w:space="0" w:color="auto"/>
                            <w:right w:val="none" w:sz="0" w:space="0" w:color="auto"/>
                          </w:divBdr>
                          <w:divsChild>
                            <w:div w:id="1598514116">
                              <w:marLeft w:val="0"/>
                              <w:marRight w:val="0"/>
                              <w:marTop w:val="0"/>
                              <w:marBottom w:val="0"/>
                              <w:divBdr>
                                <w:top w:val="none" w:sz="0" w:space="0" w:color="auto"/>
                                <w:left w:val="none" w:sz="0" w:space="0" w:color="auto"/>
                                <w:bottom w:val="none" w:sz="0" w:space="0" w:color="auto"/>
                                <w:right w:val="none" w:sz="0" w:space="0" w:color="auto"/>
                              </w:divBdr>
                              <w:divsChild>
                                <w:div w:id="1683969152">
                                  <w:marLeft w:val="0"/>
                                  <w:marRight w:val="0"/>
                                  <w:marTop w:val="0"/>
                                  <w:marBottom w:val="0"/>
                                  <w:divBdr>
                                    <w:top w:val="none" w:sz="0" w:space="0" w:color="auto"/>
                                    <w:left w:val="none" w:sz="0" w:space="0" w:color="auto"/>
                                    <w:bottom w:val="none" w:sz="0" w:space="0" w:color="auto"/>
                                    <w:right w:val="none" w:sz="0" w:space="0" w:color="auto"/>
                                  </w:divBdr>
                                  <w:divsChild>
                                    <w:div w:id="1145976872">
                                      <w:marLeft w:val="0"/>
                                      <w:marRight w:val="0"/>
                                      <w:marTop w:val="0"/>
                                      <w:marBottom w:val="0"/>
                                      <w:divBdr>
                                        <w:top w:val="none" w:sz="0" w:space="0" w:color="auto"/>
                                        <w:left w:val="none" w:sz="0" w:space="0" w:color="auto"/>
                                        <w:bottom w:val="none" w:sz="0" w:space="0" w:color="auto"/>
                                        <w:right w:val="none" w:sz="0" w:space="0" w:color="auto"/>
                                      </w:divBdr>
                                      <w:divsChild>
                                        <w:div w:id="1539389028">
                                          <w:marLeft w:val="0"/>
                                          <w:marRight w:val="0"/>
                                          <w:marTop w:val="0"/>
                                          <w:marBottom w:val="0"/>
                                          <w:divBdr>
                                            <w:top w:val="none" w:sz="0" w:space="0" w:color="auto"/>
                                            <w:left w:val="none" w:sz="0" w:space="0" w:color="auto"/>
                                            <w:bottom w:val="none" w:sz="0" w:space="0" w:color="auto"/>
                                            <w:right w:val="none" w:sz="0" w:space="0" w:color="auto"/>
                                          </w:divBdr>
                                          <w:divsChild>
                                            <w:div w:id="42553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2504407">
      <w:bodyDiv w:val="1"/>
      <w:marLeft w:val="0"/>
      <w:marRight w:val="0"/>
      <w:marTop w:val="0"/>
      <w:marBottom w:val="0"/>
      <w:divBdr>
        <w:top w:val="none" w:sz="0" w:space="0" w:color="auto"/>
        <w:left w:val="none" w:sz="0" w:space="0" w:color="auto"/>
        <w:bottom w:val="none" w:sz="0" w:space="0" w:color="auto"/>
        <w:right w:val="none" w:sz="0" w:space="0" w:color="auto"/>
      </w:divBdr>
    </w:div>
    <w:div w:id="1808204735">
      <w:bodyDiv w:val="1"/>
      <w:marLeft w:val="0"/>
      <w:marRight w:val="0"/>
      <w:marTop w:val="0"/>
      <w:marBottom w:val="0"/>
      <w:divBdr>
        <w:top w:val="none" w:sz="0" w:space="0" w:color="auto"/>
        <w:left w:val="none" w:sz="0" w:space="0" w:color="auto"/>
        <w:bottom w:val="none" w:sz="0" w:space="0" w:color="auto"/>
        <w:right w:val="none" w:sz="0" w:space="0" w:color="auto"/>
      </w:divBdr>
    </w:div>
    <w:div w:id="1821075435">
      <w:bodyDiv w:val="1"/>
      <w:marLeft w:val="0"/>
      <w:marRight w:val="0"/>
      <w:marTop w:val="0"/>
      <w:marBottom w:val="0"/>
      <w:divBdr>
        <w:top w:val="none" w:sz="0" w:space="0" w:color="auto"/>
        <w:left w:val="none" w:sz="0" w:space="0" w:color="auto"/>
        <w:bottom w:val="none" w:sz="0" w:space="0" w:color="auto"/>
        <w:right w:val="none" w:sz="0" w:space="0" w:color="auto"/>
      </w:divBdr>
    </w:div>
    <w:div w:id="1831746330">
      <w:bodyDiv w:val="1"/>
      <w:marLeft w:val="0"/>
      <w:marRight w:val="0"/>
      <w:marTop w:val="0"/>
      <w:marBottom w:val="0"/>
      <w:divBdr>
        <w:top w:val="none" w:sz="0" w:space="0" w:color="auto"/>
        <w:left w:val="none" w:sz="0" w:space="0" w:color="auto"/>
        <w:bottom w:val="none" w:sz="0" w:space="0" w:color="auto"/>
        <w:right w:val="none" w:sz="0" w:space="0" w:color="auto"/>
      </w:divBdr>
    </w:div>
    <w:div w:id="1836804270">
      <w:bodyDiv w:val="1"/>
      <w:marLeft w:val="0"/>
      <w:marRight w:val="0"/>
      <w:marTop w:val="0"/>
      <w:marBottom w:val="0"/>
      <w:divBdr>
        <w:top w:val="none" w:sz="0" w:space="0" w:color="auto"/>
        <w:left w:val="none" w:sz="0" w:space="0" w:color="auto"/>
        <w:bottom w:val="none" w:sz="0" w:space="0" w:color="auto"/>
        <w:right w:val="none" w:sz="0" w:space="0" w:color="auto"/>
      </w:divBdr>
    </w:div>
    <w:div w:id="1841967774">
      <w:bodyDiv w:val="1"/>
      <w:marLeft w:val="0"/>
      <w:marRight w:val="0"/>
      <w:marTop w:val="0"/>
      <w:marBottom w:val="0"/>
      <w:divBdr>
        <w:top w:val="none" w:sz="0" w:space="0" w:color="auto"/>
        <w:left w:val="none" w:sz="0" w:space="0" w:color="auto"/>
        <w:bottom w:val="none" w:sz="0" w:space="0" w:color="auto"/>
        <w:right w:val="none" w:sz="0" w:space="0" w:color="auto"/>
      </w:divBdr>
    </w:div>
    <w:div w:id="1861158745">
      <w:bodyDiv w:val="1"/>
      <w:marLeft w:val="0"/>
      <w:marRight w:val="0"/>
      <w:marTop w:val="0"/>
      <w:marBottom w:val="0"/>
      <w:divBdr>
        <w:top w:val="none" w:sz="0" w:space="0" w:color="auto"/>
        <w:left w:val="none" w:sz="0" w:space="0" w:color="auto"/>
        <w:bottom w:val="none" w:sz="0" w:space="0" w:color="auto"/>
        <w:right w:val="none" w:sz="0" w:space="0" w:color="auto"/>
      </w:divBdr>
    </w:div>
    <w:div w:id="1871183888">
      <w:bodyDiv w:val="1"/>
      <w:marLeft w:val="0"/>
      <w:marRight w:val="0"/>
      <w:marTop w:val="0"/>
      <w:marBottom w:val="0"/>
      <w:divBdr>
        <w:top w:val="none" w:sz="0" w:space="0" w:color="auto"/>
        <w:left w:val="none" w:sz="0" w:space="0" w:color="auto"/>
        <w:bottom w:val="none" w:sz="0" w:space="0" w:color="auto"/>
        <w:right w:val="none" w:sz="0" w:space="0" w:color="auto"/>
      </w:divBdr>
    </w:div>
    <w:div w:id="1877620352">
      <w:bodyDiv w:val="1"/>
      <w:marLeft w:val="0"/>
      <w:marRight w:val="0"/>
      <w:marTop w:val="0"/>
      <w:marBottom w:val="0"/>
      <w:divBdr>
        <w:top w:val="none" w:sz="0" w:space="0" w:color="auto"/>
        <w:left w:val="none" w:sz="0" w:space="0" w:color="auto"/>
        <w:bottom w:val="none" w:sz="0" w:space="0" w:color="auto"/>
        <w:right w:val="none" w:sz="0" w:space="0" w:color="auto"/>
      </w:divBdr>
    </w:div>
    <w:div w:id="1894803712">
      <w:bodyDiv w:val="1"/>
      <w:marLeft w:val="0"/>
      <w:marRight w:val="0"/>
      <w:marTop w:val="0"/>
      <w:marBottom w:val="0"/>
      <w:divBdr>
        <w:top w:val="none" w:sz="0" w:space="0" w:color="auto"/>
        <w:left w:val="none" w:sz="0" w:space="0" w:color="auto"/>
        <w:bottom w:val="none" w:sz="0" w:space="0" w:color="auto"/>
        <w:right w:val="none" w:sz="0" w:space="0" w:color="auto"/>
      </w:divBdr>
      <w:divsChild>
        <w:div w:id="1018774612">
          <w:marLeft w:val="0"/>
          <w:marRight w:val="0"/>
          <w:marTop w:val="0"/>
          <w:marBottom w:val="0"/>
          <w:divBdr>
            <w:top w:val="none" w:sz="0" w:space="0" w:color="auto"/>
            <w:left w:val="none" w:sz="0" w:space="0" w:color="auto"/>
            <w:bottom w:val="none" w:sz="0" w:space="0" w:color="auto"/>
            <w:right w:val="none" w:sz="0" w:space="0" w:color="auto"/>
          </w:divBdr>
          <w:divsChild>
            <w:div w:id="521435453">
              <w:marLeft w:val="0"/>
              <w:marRight w:val="0"/>
              <w:marTop w:val="0"/>
              <w:marBottom w:val="0"/>
              <w:divBdr>
                <w:top w:val="none" w:sz="0" w:space="0" w:color="auto"/>
                <w:left w:val="none" w:sz="0" w:space="0" w:color="auto"/>
                <w:bottom w:val="none" w:sz="0" w:space="0" w:color="auto"/>
                <w:right w:val="none" w:sz="0" w:space="0" w:color="auto"/>
              </w:divBdr>
              <w:divsChild>
                <w:div w:id="1993757225">
                  <w:marLeft w:val="0"/>
                  <w:marRight w:val="0"/>
                  <w:marTop w:val="0"/>
                  <w:marBottom w:val="0"/>
                  <w:divBdr>
                    <w:top w:val="none" w:sz="0" w:space="0" w:color="auto"/>
                    <w:left w:val="none" w:sz="0" w:space="0" w:color="auto"/>
                    <w:bottom w:val="none" w:sz="0" w:space="0" w:color="auto"/>
                    <w:right w:val="none" w:sz="0" w:space="0" w:color="auto"/>
                  </w:divBdr>
                  <w:divsChild>
                    <w:div w:id="346367325">
                      <w:marLeft w:val="150"/>
                      <w:marRight w:val="150"/>
                      <w:marTop w:val="0"/>
                      <w:marBottom w:val="0"/>
                      <w:divBdr>
                        <w:top w:val="none" w:sz="0" w:space="0" w:color="auto"/>
                        <w:left w:val="none" w:sz="0" w:space="0" w:color="auto"/>
                        <w:bottom w:val="none" w:sz="0" w:space="0" w:color="auto"/>
                        <w:right w:val="none" w:sz="0" w:space="0" w:color="auto"/>
                      </w:divBdr>
                      <w:divsChild>
                        <w:div w:id="247467003">
                          <w:marLeft w:val="0"/>
                          <w:marRight w:val="0"/>
                          <w:marTop w:val="0"/>
                          <w:marBottom w:val="0"/>
                          <w:divBdr>
                            <w:top w:val="none" w:sz="0" w:space="0" w:color="auto"/>
                            <w:left w:val="none" w:sz="0" w:space="0" w:color="auto"/>
                            <w:bottom w:val="none" w:sz="0" w:space="0" w:color="auto"/>
                            <w:right w:val="none" w:sz="0" w:space="0" w:color="auto"/>
                          </w:divBdr>
                          <w:divsChild>
                            <w:div w:id="668096111">
                              <w:marLeft w:val="0"/>
                              <w:marRight w:val="0"/>
                              <w:marTop w:val="0"/>
                              <w:marBottom w:val="0"/>
                              <w:divBdr>
                                <w:top w:val="none" w:sz="0" w:space="0" w:color="auto"/>
                                <w:left w:val="none" w:sz="0" w:space="0" w:color="auto"/>
                                <w:bottom w:val="none" w:sz="0" w:space="0" w:color="auto"/>
                                <w:right w:val="none" w:sz="0" w:space="0" w:color="auto"/>
                              </w:divBdr>
                              <w:divsChild>
                                <w:div w:id="846871030">
                                  <w:marLeft w:val="0"/>
                                  <w:marRight w:val="0"/>
                                  <w:marTop w:val="0"/>
                                  <w:marBottom w:val="0"/>
                                  <w:divBdr>
                                    <w:top w:val="none" w:sz="0" w:space="0" w:color="auto"/>
                                    <w:left w:val="none" w:sz="0" w:space="0" w:color="auto"/>
                                    <w:bottom w:val="none" w:sz="0" w:space="0" w:color="auto"/>
                                    <w:right w:val="none" w:sz="0" w:space="0" w:color="auto"/>
                                  </w:divBdr>
                                  <w:divsChild>
                                    <w:div w:id="805850472">
                                      <w:marLeft w:val="0"/>
                                      <w:marRight w:val="0"/>
                                      <w:marTop w:val="0"/>
                                      <w:marBottom w:val="0"/>
                                      <w:divBdr>
                                        <w:top w:val="none" w:sz="0" w:space="0" w:color="auto"/>
                                        <w:left w:val="none" w:sz="0" w:space="0" w:color="auto"/>
                                        <w:bottom w:val="none" w:sz="0" w:space="0" w:color="auto"/>
                                        <w:right w:val="none" w:sz="0" w:space="0" w:color="auto"/>
                                      </w:divBdr>
                                      <w:divsChild>
                                        <w:div w:id="334848815">
                                          <w:marLeft w:val="0"/>
                                          <w:marRight w:val="0"/>
                                          <w:marTop w:val="0"/>
                                          <w:marBottom w:val="0"/>
                                          <w:divBdr>
                                            <w:top w:val="none" w:sz="0" w:space="0" w:color="auto"/>
                                            <w:left w:val="none" w:sz="0" w:space="0" w:color="auto"/>
                                            <w:bottom w:val="none" w:sz="0" w:space="0" w:color="auto"/>
                                            <w:right w:val="none" w:sz="0" w:space="0" w:color="auto"/>
                                          </w:divBdr>
                                          <w:divsChild>
                                            <w:div w:id="129659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6936080">
      <w:bodyDiv w:val="1"/>
      <w:marLeft w:val="0"/>
      <w:marRight w:val="0"/>
      <w:marTop w:val="0"/>
      <w:marBottom w:val="0"/>
      <w:divBdr>
        <w:top w:val="none" w:sz="0" w:space="0" w:color="auto"/>
        <w:left w:val="none" w:sz="0" w:space="0" w:color="auto"/>
        <w:bottom w:val="none" w:sz="0" w:space="0" w:color="auto"/>
        <w:right w:val="none" w:sz="0" w:space="0" w:color="auto"/>
      </w:divBdr>
    </w:div>
    <w:div w:id="1953855839">
      <w:bodyDiv w:val="1"/>
      <w:marLeft w:val="0"/>
      <w:marRight w:val="0"/>
      <w:marTop w:val="0"/>
      <w:marBottom w:val="0"/>
      <w:divBdr>
        <w:top w:val="none" w:sz="0" w:space="0" w:color="auto"/>
        <w:left w:val="none" w:sz="0" w:space="0" w:color="auto"/>
        <w:bottom w:val="none" w:sz="0" w:space="0" w:color="auto"/>
        <w:right w:val="none" w:sz="0" w:space="0" w:color="auto"/>
      </w:divBdr>
    </w:div>
    <w:div w:id="1961448950">
      <w:bodyDiv w:val="1"/>
      <w:marLeft w:val="0"/>
      <w:marRight w:val="0"/>
      <w:marTop w:val="0"/>
      <w:marBottom w:val="0"/>
      <w:divBdr>
        <w:top w:val="none" w:sz="0" w:space="0" w:color="auto"/>
        <w:left w:val="none" w:sz="0" w:space="0" w:color="auto"/>
        <w:bottom w:val="none" w:sz="0" w:space="0" w:color="auto"/>
        <w:right w:val="none" w:sz="0" w:space="0" w:color="auto"/>
      </w:divBdr>
    </w:div>
    <w:div w:id="1976786758">
      <w:bodyDiv w:val="1"/>
      <w:marLeft w:val="0"/>
      <w:marRight w:val="0"/>
      <w:marTop w:val="0"/>
      <w:marBottom w:val="0"/>
      <w:divBdr>
        <w:top w:val="none" w:sz="0" w:space="0" w:color="auto"/>
        <w:left w:val="none" w:sz="0" w:space="0" w:color="auto"/>
        <w:bottom w:val="none" w:sz="0" w:space="0" w:color="auto"/>
        <w:right w:val="none" w:sz="0" w:space="0" w:color="auto"/>
      </w:divBdr>
    </w:div>
    <w:div w:id="1989744499">
      <w:bodyDiv w:val="1"/>
      <w:marLeft w:val="0"/>
      <w:marRight w:val="0"/>
      <w:marTop w:val="0"/>
      <w:marBottom w:val="0"/>
      <w:divBdr>
        <w:top w:val="none" w:sz="0" w:space="0" w:color="auto"/>
        <w:left w:val="none" w:sz="0" w:space="0" w:color="auto"/>
        <w:bottom w:val="none" w:sz="0" w:space="0" w:color="auto"/>
        <w:right w:val="none" w:sz="0" w:space="0" w:color="auto"/>
      </w:divBdr>
      <w:divsChild>
        <w:div w:id="637760310">
          <w:marLeft w:val="547"/>
          <w:marRight w:val="0"/>
          <w:marTop w:val="0"/>
          <w:marBottom w:val="0"/>
          <w:divBdr>
            <w:top w:val="none" w:sz="0" w:space="0" w:color="auto"/>
            <w:left w:val="none" w:sz="0" w:space="0" w:color="auto"/>
            <w:bottom w:val="none" w:sz="0" w:space="0" w:color="auto"/>
            <w:right w:val="none" w:sz="0" w:space="0" w:color="auto"/>
          </w:divBdr>
        </w:div>
      </w:divsChild>
    </w:div>
    <w:div w:id="1994024555">
      <w:bodyDiv w:val="1"/>
      <w:marLeft w:val="0"/>
      <w:marRight w:val="0"/>
      <w:marTop w:val="0"/>
      <w:marBottom w:val="0"/>
      <w:divBdr>
        <w:top w:val="none" w:sz="0" w:space="0" w:color="auto"/>
        <w:left w:val="none" w:sz="0" w:space="0" w:color="auto"/>
        <w:bottom w:val="none" w:sz="0" w:space="0" w:color="auto"/>
        <w:right w:val="none" w:sz="0" w:space="0" w:color="auto"/>
      </w:divBdr>
      <w:divsChild>
        <w:div w:id="132917691">
          <w:marLeft w:val="0"/>
          <w:marRight w:val="0"/>
          <w:marTop w:val="0"/>
          <w:marBottom w:val="0"/>
          <w:divBdr>
            <w:top w:val="none" w:sz="0" w:space="0" w:color="auto"/>
            <w:left w:val="none" w:sz="0" w:space="0" w:color="auto"/>
            <w:bottom w:val="none" w:sz="0" w:space="0" w:color="auto"/>
            <w:right w:val="none" w:sz="0" w:space="0" w:color="auto"/>
          </w:divBdr>
          <w:divsChild>
            <w:div w:id="589387979">
              <w:marLeft w:val="-225"/>
              <w:marRight w:val="-225"/>
              <w:marTop w:val="0"/>
              <w:marBottom w:val="0"/>
              <w:divBdr>
                <w:top w:val="none" w:sz="0" w:space="0" w:color="auto"/>
                <w:left w:val="none" w:sz="0" w:space="0" w:color="auto"/>
                <w:bottom w:val="none" w:sz="0" w:space="0" w:color="auto"/>
                <w:right w:val="none" w:sz="0" w:space="0" w:color="auto"/>
              </w:divBdr>
              <w:divsChild>
                <w:div w:id="1499687681">
                  <w:marLeft w:val="0"/>
                  <w:marRight w:val="0"/>
                  <w:marTop w:val="0"/>
                  <w:marBottom w:val="0"/>
                  <w:divBdr>
                    <w:top w:val="none" w:sz="0" w:space="0" w:color="auto"/>
                    <w:left w:val="none" w:sz="0" w:space="0" w:color="auto"/>
                    <w:bottom w:val="none" w:sz="0" w:space="0" w:color="auto"/>
                    <w:right w:val="none" w:sz="0" w:space="0" w:color="auto"/>
                  </w:divBdr>
                  <w:divsChild>
                    <w:div w:id="636836389">
                      <w:marLeft w:val="0"/>
                      <w:marRight w:val="0"/>
                      <w:marTop w:val="0"/>
                      <w:marBottom w:val="225"/>
                      <w:divBdr>
                        <w:top w:val="none" w:sz="0" w:space="0" w:color="auto"/>
                        <w:left w:val="none" w:sz="0" w:space="0" w:color="auto"/>
                        <w:bottom w:val="none" w:sz="0" w:space="0" w:color="auto"/>
                        <w:right w:val="none" w:sz="0" w:space="0" w:color="auto"/>
                      </w:divBdr>
                      <w:divsChild>
                        <w:div w:id="1090587379">
                          <w:marLeft w:val="0"/>
                          <w:marRight w:val="0"/>
                          <w:marTop w:val="0"/>
                          <w:marBottom w:val="0"/>
                          <w:divBdr>
                            <w:top w:val="none" w:sz="0" w:space="0" w:color="auto"/>
                            <w:left w:val="none" w:sz="0" w:space="0" w:color="auto"/>
                            <w:bottom w:val="none" w:sz="0" w:space="0" w:color="auto"/>
                            <w:right w:val="none" w:sz="0" w:space="0" w:color="auto"/>
                          </w:divBdr>
                          <w:divsChild>
                            <w:div w:id="981498480">
                              <w:marLeft w:val="0"/>
                              <w:marRight w:val="0"/>
                              <w:marTop w:val="0"/>
                              <w:marBottom w:val="0"/>
                              <w:divBdr>
                                <w:top w:val="none" w:sz="0" w:space="0" w:color="auto"/>
                                <w:left w:val="none" w:sz="0" w:space="0" w:color="auto"/>
                                <w:bottom w:val="none" w:sz="0" w:space="0" w:color="auto"/>
                                <w:right w:val="none" w:sz="0" w:space="0" w:color="auto"/>
                              </w:divBdr>
                              <w:divsChild>
                                <w:div w:id="1884975924">
                                  <w:marLeft w:val="0"/>
                                  <w:marRight w:val="0"/>
                                  <w:marTop w:val="0"/>
                                  <w:marBottom w:val="0"/>
                                  <w:divBdr>
                                    <w:top w:val="none" w:sz="0" w:space="0" w:color="auto"/>
                                    <w:left w:val="none" w:sz="0" w:space="0" w:color="auto"/>
                                    <w:bottom w:val="none" w:sz="0" w:space="0" w:color="auto"/>
                                    <w:right w:val="none" w:sz="0" w:space="0" w:color="auto"/>
                                  </w:divBdr>
                                  <w:divsChild>
                                    <w:div w:id="222644389">
                                      <w:marLeft w:val="0"/>
                                      <w:marRight w:val="0"/>
                                      <w:marTop w:val="0"/>
                                      <w:marBottom w:val="0"/>
                                      <w:divBdr>
                                        <w:top w:val="none" w:sz="0" w:space="0" w:color="auto"/>
                                        <w:left w:val="none" w:sz="0" w:space="0" w:color="auto"/>
                                        <w:bottom w:val="none" w:sz="0" w:space="0" w:color="auto"/>
                                        <w:right w:val="none" w:sz="0" w:space="0" w:color="auto"/>
                                      </w:divBdr>
                                      <w:divsChild>
                                        <w:div w:id="1559433704">
                                          <w:marLeft w:val="0"/>
                                          <w:marRight w:val="0"/>
                                          <w:marTop w:val="0"/>
                                          <w:marBottom w:val="0"/>
                                          <w:divBdr>
                                            <w:top w:val="none" w:sz="0" w:space="0" w:color="auto"/>
                                            <w:left w:val="none" w:sz="0" w:space="0" w:color="auto"/>
                                            <w:bottom w:val="none" w:sz="0" w:space="0" w:color="auto"/>
                                            <w:right w:val="none" w:sz="0" w:space="0" w:color="auto"/>
                                          </w:divBdr>
                                          <w:divsChild>
                                            <w:div w:id="920866480">
                                              <w:marLeft w:val="0"/>
                                              <w:marRight w:val="0"/>
                                              <w:marTop w:val="0"/>
                                              <w:marBottom w:val="0"/>
                                              <w:divBdr>
                                                <w:top w:val="none" w:sz="0" w:space="0" w:color="auto"/>
                                                <w:left w:val="none" w:sz="0" w:space="0" w:color="auto"/>
                                                <w:bottom w:val="none" w:sz="0" w:space="0" w:color="auto"/>
                                                <w:right w:val="none" w:sz="0" w:space="0" w:color="auto"/>
                                              </w:divBdr>
                                              <w:divsChild>
                                                <w:div w:id="834882593">
                                                  <w:marLeft w:val="0"/>
                                                  <w:marRight w:val="0"/>
                                                  <w:marTop w:val="0"/>
                                                  <w:marBottom w:val="0"/>
                                                  <w:divBdr>
                                                    <w:top w:val="none" w:sz="0" w:space="0" w:color="auto"/>
                                                    <w:left w:val="none" w:sz="0" w:space="0" w:color="auto"/>
                                                    <w:bottom w:val="none" w:sz="0" w:space="0" w:color="auto"/>
                                                    <w:right w:val="none" w:sz="0" w:space="0" w:color="auto"/>
                                                  </w:divBdr>
                                                  <w:divsChild>
                                                    <w:div w:id="1780367693">
                                                      <w:marLeft w:val="0"/>
                                                      <w:marRight w:val="0"/>
                                                      <w:marTop w:val="0"/>
                                                      <w:marBottom w:val="0"/>
                                                      <w:divBdr>
                                                        <w:top w:val="none" w:sz="0" w:space="0" w:color="auto"/>
                                                        <w:left w:val="none" w:sz="0" w:space="0" w:color="auto"/>
                                                        <w:bottom w:val="none" w:sz="0" w:space="0" w:color="auto"/>
                                                        <w:right w:val="none" w:sz="0" w:space="0" w:color="auto"/>
                                                      </w:divBdr>
                                                      <w:divsChild>
                                                        <w:div w:id="766274020">
                                                          <w:marLeft w:val="-225"/>
                                                          <w:marRight w:val="-225"/>
                                                          <w:marTop w:val="0"/>
                                                          <w:marBottom w:val="0"/>
                                                          <w:divBdr>
                                                            <w:top w:val="none" w:sz="0" w:space="0" w:color="auto"/>
                                                            <w:left w:val="none" w:sz="0" w:space="0" w:color="auto"/>
                                                            <w:bottom w:val="none" w:sz="0" w:space="0" w:color="auto"/>
                                                            <w:right w:val="none" w:sz="0" w:space="0" w:color="auto"/>
                                                          </w:divBdr>
                                                          <w:divsChild>
                                                            <w:div w:id="1017972127">
                                                              <w:marLeft w:val="0"/>
                                                              <w:marRight w:val="0"/>
                                                              <w:marTop w:val="0"/>
                                                              <w:marBottom w:val="0"/>
                                                              <w:divBdr>
                                                                <w:top w:val="none" w:sz="0" w:space="0" w:color="auto"/>
                                                                <w:left w:val="none" w:sz="0" w:space="0" w:color="auto"/>
                                                                <w:bottom w:val="none" w:sz="0" w:space="0" w:color="auto"/>
                                                                <w:right w:val="none" w:sz="0" w:space="0" w:color="auto"/>
                                                              </w:divBdr>
                                                            </w:div>
                                                          </w:divsChild>
                                                        </w:div>
                                                        <w:div w:id="984625264">
                                                          <w:marLeft w:val="-225"/>
                                                          <w:marRight w:val="-225"/>
                                                          <w:marTop w:val="0"/>
                                                          <w:marBottom w:val="0"/>
                                                          <w:divBdr>
                                                            <w:top w:val="none" w:sz="0" w:space="0" w:color="auto"/>
                                                            <w:left w:val="none" w:sz="0" w:space="0" w:color="auto"/>
                                                            <w:bottom w:val="none" w:sz="0" w:space="0" w:color="auto"/>
                                                            <w:right w:val="none" w:sz="0" w:space="0" w:color="auto"/>
                                                          </w:divBdr>
                                                          <w:divsChild>
                                                            <w:div w:id="1731657743">
                                                              <w:marLeft w:val="0"/>
                                                              <w:marRight w:val="0"/>
                                                              <w:marTop w:val="0"/>
                                                              <w:marBottom w:val="0"/>
                                                              <w:divBdr>
                                                                <w:top w:val="none" w:sz="0" w:space="0" w:color="auto"/>
                                                                <w:left w:val="none" w:sz="0" w:space="0" w:color="auto"/>
                                                                <w:bottom w:val="none" w:sz="0" w:space="0" w:color="auto"/>
                                                                <w:right w:val="none" w:sz="0" w:space="0" w:color="auto"/>
                                                              </w:divBdr>
                                                            </w:div>
                                                          </w:divsChild>
                                                        </w:div>
                                                        <w:div w:id="993415310">
                                                          <w:marLeft w:val="-225"/>
                                                          <w:marRight w:val="-225"/>
                                                          <w:marTop w:val="0"/>
                                                          <w:marBottom w:val="0"/>
                                                          <w:divBdr>
                                                            <w:top w:val="none" w:sz="0" w:space="0" w:color="auto"/>
                                                            <w:left w:val="none" w:sz="0" w:space="0" w:color="auto"/>
                                                            <w:bottom w:val="none" w:sz="0" w:space="0" w:color="auto"/>
                                                            <w:right w:val="none" w:sz="0" w:space="0" w:color="auto"/>
                                                          </w:divBdr>
                                                          <w:divsChild>
                                                            <w:div w:id="50806770">
                                                              <w:marLeft w:val="0"/>
                                                              <w:marRight w:val="0"/>
                                                              <w:marTop w:val="0"/>
                                                              <w:marBottom w:val="0"/>
                                                              <w:divBdr>
                                                                <w:top w:val="none" w:sz="0" w:space="0" w:color="auto"/>
                                                                <w:left w:val="none" w:sz="0" w:space="0" w:color="auto"/>
                                                                <w:bottom w:val="none" w:sz="0" w:space="0" w:color="auto"/>
                                                                <w:right w:val="none" w:sz="0" w:space="0" w:color="auto"/>
                                                              </w:divBdr>
                                                            </w:div>
                                                          </w:divsChild>
                                                        </w:div>
                                                        <w:div w:id="1784566654">
                                                          <w:marLeft w:val="-225"/>
                                                          <w:marRight w:val="-225"/>
                                                          <w:marTop w:val="0"/>
                                                          <w:marBottom w:val="0"/>
                                                          <w:divBdr>
                                                            <w:top w:val="none" w:sz="0" w:space="0" w:color="auto"/>
                                                            <w:left w:val="none" w:sz="0" w:space="0" w:color="auto"/>
                                                            <w:bottom w:val="none" w:sz="0" w:space="0" w:color="auto"/>
                                                            <w:right w:val="none" w:sz="0" w:space="0" w:color="auto"/>
                                                          </w:divBdr>
                                                          <w:divsChild>
                                                            <w:div w:id="17898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9798045">
      <w:bodyDiv w:val="1"/>
      <w:marLeft w:val="0"/>
      <w:marRight w:val="0"/>
      <w:marTop w:val="0"/>
      <w:marBottom w:val="0"/>
      <w:divBdr>
        <w:top w:val="none" w:sz="0" w:space="0" w:color="auto"/>
        <w:left w:val="none" w:sz="0" w:space="0" w:color="auto"/>
        <w:bottom w:val="none" w:sz="0" w:space="0" w:color="auto"/>
        <w:right w:val="none" w:sz="0" w:space="0" w:color="auto"/>
      </w:divBdr>
      <w:divsChild>
        <w:div w:id="1019964200">
          <w:marLeft w:val="0"/>
          <w:marRight w:val="0"/>
          <w:marTop w:val="0"/>
          <w:marBottom w:val="0"/>
          <w:divBdr>
            <w:top w:val="none" w:sz="0" w:space="0" w:color="auto"/>
            <w:left w:val="none" w:sz="0" w:space="0" w:color="auto"/>
            <w:bottom w:val="none" w:sz="0" w:space="0" w:color="auto"/>
            <w:right w:val="none" w:sz="0" w:space="0" w:color="auto"/>
          </w:divBdr>
          <w:divsChild>
            <w:div w:id="1151021414">
              <w:marLeft w:val="0"/>
              <w:marRight w:val="0"/>
              <w:marTop w:val="0"/>
              <w:marBottom w:val="0"/>
              <w:divBdr>
                <w:top w:val="none" w:sz="0" w:space="0" w:color="auto"/>
                <w:left w:val="none" w:sz="0" w:space="0" w:color="auto"/>
                <w:bottom w:val="none" w:sz="0" w:space="0" w:color="auto"/>
                <w:right w:val="none" w:sz="0" w:space="0" w:color="auto"/>
              </w:divBdr>
              <w:divsChild>
                <w:div w:id="749617875">
                  <w:marLeft w:val="0"/>
                  <w:marRight w:val="0"/>
                  <w:marTop w:val="0"/>
                  <w:marBottom w:val="0"/>
                  <w:divBdr>
                    <w:top w:val="none" w:sz="0" w:space="0" w:color="auto"/>
                    <w:left w:val="none" w:sz="0" w:space="0" w:color="auto"/>
                    <w:bottom w:val="none" w:sz="0" w:space="0" w:color="auto"/>
                    <w:right w:val="none" w:sz="0" w:space="0" w:color="auto"/>
                  </w:divBdr>
                  <w:divsChild>
                    <w:div w:id="1702628998">
                      <w:marLeft w:val="150"/>
                      <w:marRight w:val="150"/>
                      <w:marTop w:val="0"/>
                      <w:marBottom w:val="0"/>
                      <w:divBdr>
                        <w:top w:val="none" w:sz="0" w:space="0" w:color="auto"/>
                        <w:left w:val="none" w:sz="0" w:space="0" w:color="auto"/>
                        <w:bottom w:val="none" w:sz="0" w:space="0" w:color="auto"/>
                        <w:right w:val="none" w:sz="0" w:space="0" w:color="auto"/>
                      </w:divBdr>
                      <w:divsChild>
                        <w:div w:id="1255672602">
                          <w:marLeft w:val="0"/>
                          <w:marRight w:val="0"/>
                          <w:marTop w:val="0"/>
                          <w:marBottom w:val="0"/>
                          <w:divBdr>
                            <w:top w:val="none" w:sz="0" w:space="0" w:color="auto"/>
                            <w:left w:val="none" w:sz="0" w:space="0" w:color="auto"/>
                            <w:bottom w:val="none" w:sz="0" w:space="0" w:color="auto"/>
                            <w:right w:val="none" w:sz="0" w:space="0" w:color="auto"/>
                          </w:divBdr>
                          <w:divsChild>
                            <w:div w:id="1383285363">
                              <w:marLeft w:val="0"/>
                              <w:marRight w:val="0"/>
                              <w:marTop w:val="0"/>
                              <w:marBottom w:val="0"/>
                              <w:divBdr>
                                <w:top w:val="none" w:sz="0" w:space="0" w:color="auto"/>
                                <w:left w:val="none" w:sz="0" w:space="0" w:color="auto"/>
                                <w:bottom w:val="none" w:sz="0" w:space="0" w:color="auto"/>
                                <w:right w:val="none" w:sz="0" w:space="0" w:color="auto"/>
                              </w:divBdr>
                              <w:divsChild>
                                <w:div w:id="186985117">
                                  <w:marLeft w:val="0"/>
                                  <w:marRight w:val="0"/>
                                  <w:marTop w:val="0"/>
                                  <w:marBottom w:val="0"/>
                                  <w:divBdr>
                                    <w:top w:val="none" w:sz="0" w:space="0" w:color="auto"/>
                                    <w:left w:val="none" w:sz="0" w:space="0" w:color="auto"/>
                                    <w:bottom w:val="none" w:sz="0" w:space="0" w:color="auto"/>
                                    <w:right w:val="none" w:sz="0" w:space="0" w:color="auto"/>
                                  </w:divBdr>
                                  <w:divsChild>
                                    <w:div w:id="987056911">
                                      <w:marLeft w:val="0"/>
                                      <w:marRight w:val="0"/>
                                      <w:marTop w:val="0"/>
                                      <w:marBottom w:val="0"/>
                                      <w:divBdr>
                                        <w:top w:val="none" w:sz="0" w:space="0" w:color="auto"/>
                                        <w:left w:val="none" w:sz="0" w:space="0" w:color="auto"/>
                                        <w:bottom w:val="none" w:sz="0" w:space="0" w:color="auto"/>
                                        <w:right w:val="none" w:sz="0" w:space="0" w:color="auto"/>
                                      </w:divBdr>
                                      <w:divsChild>
                                        <w:div w:id="1101561773">
                                          <w:marLeft w:val="0"/>
                                          <w:marRight w:val="0"/>
                                          <w:marTop w:val="0"/>
                                          <w:marBottom w:val="0"/>
                                          <w:divBdr>
                                            <w:top w:val="none" w:sz="0" w:space="0" w:color="auto"/>
                                            <w:left w:val="none" w:sz="0" w:space="0" w:color="auto"/>
                                            <w:bottom w:val="none" w:sz="0" w:space="0" w:color="auto"/>
                                            <w:right w:val="none" w:sz="0" w:space="0" w:color="auto"/>
                                          </w:divBdr>
                                          <w:divsChild>
                                            <w:div w:id="5710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276489">
      <w:bodyDiv w:val="1"/>
      <w:marLeft w:val="0"/>
      <w:marRight w:val="0"/>
      <w:marTop w:val="0"/>
      <w:marBottom w:val="0"/>
      <w:divBdr>
        <w:top w:val="none" w:sz="0" w:space="0" w:color="auto"/>
        <w:left w:val="none" w:sz="0" w:space="0" w:color="auto"/>
        <w:bottom w:val="none" w:sz="0" w:space="0" w:color="auto"/>
        <w:right w:val="none" w:sz="0" w:space="0" w:color="auto"/>
      </w:divBdr>
    </w:div>
    <w:div w:id="2014646020">
      <w:bodyDiv w:val="1"/>
      <w:marLeft w:val="0"/>
      <w:marRight w:val="0"/>
      <w:marTop w:val="0"/>
      <w:marBottom w:val="0"/>
      <w:divBdr>
        <w:top w:val="none" w:sz="0" w:space="0" w:color="auto"/>
        <w:left w:val="none" w:sz="0" w:space="0" w:color="auto"/>
        <w:bottom w:val="none" w:sz="0" w:space="0" w:color="auto"/>
        <w:right w:val="none" w:sz="0" w:space="0" w:color="auto"/>
      </w:divBdr>
    </w:div>
    <w:div w:id="2034264183">
      <w:bodyDiv w:val="1"/>
      <w:marLeft w:val="0"/>
      <w:marRight w:val="0"/>
      <w:marTop w:val="0"/>
      <w:marBottom w:val="0"/>
      <w:divBdr>
        <w:top w:val="none" w:sz="0" w:space="0" w:color="auto"/>
        <w:left w:val="none" w:sz="0" w:space="0" w:color="auto"/>
        <w:bottom w:val="none" w:sz="0" w:space="0" w:color="auto"/>
        <w:right w:val="none" w:sz="0" w:space="0" w:color="auto"/>
      </w:divBdr>
    </w:div>
    <w:div w:id="2036347761">
      <w:bodyDiv w:val="1"/>
      <w:marLeft w:val="0"/>
      <w:marRight w:val="0"/>
      <w:marTop w:val="0"/>
      <w:marBottom w:val="0"/>
      <w:divBdr>
        <w:top w:val="none" w:sz="0" w:space="0" w:color="auto"/>
        <w:left w:val="none" w:sz="0" w:space="0" w:color="auto"/>
        <w:bottom w:val="none" w:sz="0" w:space="0" w:color="auto"/>
        <w:right w:val="none" w:sz="0" w:space="0" w:color="auto"/>
      </w:divBdr>
    </w:div>
    <w:div w:id="2045591460">
      <w:bodyDiv w:val="1"/>
      <w:marLeft w:val="0"/>
      <w:marRight w:val="0"/>
      <w:marTop w:val="0"/>
      <w:marBottom w:val="0"/>
      <w:divBdr>
        <w:top w:val="none" w:sz="0" w:space="0" w:color="auto"/>
        <w:left w:val="none" w:sz="0" w:space="0" w:color="auto"/>
        <w:bottom w:val="none" w:sz="0" w:space="0" w:color="auto"/>
        <w:right w:val="none" w:sz="0" w:space="0" w:color="auto"/>
      </w:divBdr>
    </w:div>
    <w:div w:id="2045985985">
      <w:bodyDiv w:val="1"/>
      <w:marLeft w:val="0"/>
      <w:marRight w:val="0"/>
      <w:marTop w:val="0"/>
      <w:marBottom w:val="0"/>
      <w:divBdr>
        <w:top w:val="none" w:sz="0" w:space="0" w:color="auto"/>
        <w:left w:val="none" w:sz="0" w:space="0" w:color="auto"/>
        <w:bottom w:val="none" w:sz="0" w:space="0" w:color="auto"/>
        <w:right w:val="none" w:sz="0" w:space="0" w:color="auto"/>
      </w:divBdr>
    </w:div>
    <w:div w:id="2118720369">
      <w:bodyDiv w:val="1"/>
      <w:marLeft w:val="0"/>
      <w:marRight w:val="0"/>
      <w:marTop w:val="0"/>
      <w:marBottom w:val="0"/>
      <w:divBdr>
        <w:top w:val="none" w:sz="0" w:space="0" w:color="auto"/>
        <w:left w:val="none" w:sz="0" w:space="0" w:color="auto"/>
        <w:bottom w:val="none" w:sz="0" w:space="0" w:color="auto"/>
        <w:right w:val="none" w:sz="0" w:space="0" w:color="auto"/>
      </w:divBdr>
    </w:div>
    <w:div w:id="21325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FS">
  <a:themeElements>
    <a:clrScheme name="Axiom With Burgundy">
      <a:dk1>
        <a:sysClr val="windowText" lastClr="000000"/>
      </a:dk1>
      <a:lt1>
        <a:srgbClr val="FFFFFF"/>
      </a:lt1>
      <a:dk2>
        <a:srgbClr val="214C90"/>
      </a:dk2>
      <a:lt2>
        <a:srgbClr val="E1E2E7"/>
      </a:lt2>
      <a:accent1>
        <a:srgbClr val="214C90"/>
      </a:accent1>
      <a:accent2>
        <a:srgbClr val="46A6A9"/>
      </a:accent2>
      <a:accent3>
        <a:srgbClr val="5D89B4"/>
      </a:accent3>
      <a:accent4>
        <a:srgbClr val="A9A8A9"/>
      </a:accent4>
      <a:accent5>
        <a:srgbClr val="990033"/>
      </a:accent5>
      <a:accent6>
        <a:srgbClr val="800080"/>
      </a:accent6>
      <a:hlink>
        <a:srgbClr val="214C90"/>
      </a:hlink>
      <a:folHlink>
        <a:srgbClr val="46A6A9"/>
      </a:folHlink>
    </a:clrScheme>
    <a:fontScheme name="Axiom Arial and Book Antiqua">
      <a:majorFont>
        <a:latin typeface="Arial"/>
        <a:ea typeface=""/>
        <a:cs typeface=""/>
      </a:majorFont>
      <a:minorFont>
        <a:latin typeface="Book Antiqu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3DBF02F1.dotm</Template>
  <TotalTime>0</TotalTime>
  <Pages>22</Pages>
  <Words>5015</Words>
  <Characters>24597</Characters>
  <Application>Microsoft Office Word</Application>
  <DocSecurity>0</DocSecurity>
  <Lines>204</Lines>
  <Paragraphs>59</Paragraphs>
  <ScaleCrop>false</ScaleCrop>
  <HeadingPairs>
    <vt:vector size="2" baseType="variant">
      <vt:variant>
        <vt:lpstr>Title</vt:lpstr>
      </vt:variant>
      <vt:variant>
        <vt:i4>1</vt:i4>
      </vt:variant>
    </vt:vector>
  </HeadingPairs>
  <TitlesOfParts>
    <vt:vector size="1" baseType="lpstr">
      <vt:lpstr>GMRM Stakeholder feedback template - Attachment 2</vt:lpstr>
    </vt:vector>
  </TitlesOfParts>
  <Company/>
  <LinksUpToDate>false</LinksUpToDate>
  <CharactersWithSpaces>29553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GMRM Stakeholder feedback template - Attachment 2</dc:title>
  <dc:subject/>
  <dc:creator/>
  <cp:keywords/>
  <dc:description/>
  <cp:lastModifiedBy/>
  <cp:revision>1</cp:revision>
  <dcterms:created xsi:type="dcterms:W3CDTF">2017-09-07T00:23:00Z</dcterms:created>
  <dcterms:modified xsi:type="dcterms:W3CDTF">2017-09-07T01:45:00Z</dcterms:modified>
</cp:coreProperties>
</file>