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B43A9" w14:textId="77777777" w:rsidR="00A736A5" w:rsidRPr="00A736A5" w:rsidRDefault="007910C1" w:rsidP="00A736A5">
      <w:pPr>
        <w:pStyle w:val="Title"/>
        <w:spacing w:before="0" w:after="0" w:line="264" w:lineRule="auto"/>
        <w:jc w:val="right"/>
        <w:rPr>
          <w:rFonts w:cstheme="majorHAnsi"/>
          <w:b/>
          <w:color w:val="auto"/>
          <w:sz w:val="10"/>
          <w:szCs w:val="10"/>
        </w:rPr>
      </w:pPr>
      <w:bookmarkStart w:id="0" w:name="_GoBack"/>
      <w:bookmarkEnd w:id="0"/>
      <w:r w:rsidRPr="00023A3E">
        <w:rPr>
          <w:rFonts w:cstheme="majorHAnsi"/>
          <w:b/>
          <w:color w:val="auto"/>
          <w:sz w:val="28"/>
          <w:szCs w:val="28"/>
        </w:rPr>
        <w:t>3 August 2018</w:t>
      </w:r>
      <w:r w:rsidR="00A736A5">
        <w:rPr>
          <w:rFonts w:cstheme="majorHAnsi"/>
          <w:b/>
          <w:color w:val="auto"/>
          <w:sz w:val="28"/>
          <w:szCs w:val="28"/>
        </w:rPr>
        <w:br/>
      </w:r>
    </w:p>
    <w:p w14:paraId="460F9B77" w14:textId="77777777" w:rsidR="00A54990" w:rsidRPr="00FF1CEF" w:rsidRDefault="00231DC5" w:rsidP="00A736A5">
      <w:pPr>
        <w:pStyle w:val="Title"/>
        <w:spacing w:before="0" w:after="0" w:line="264" w:lineRule="auto"/>
        <w:jc w:val="both"/>
        <w:rPr>
          <w:rFonts w:cstheme="majorHAnsi"/>
          <w:b/>
          <w:color w:val="0099CC"/>
          <w:sz w:val="40"/>
          <w:szCs w:val="40"/>
        </w:rPr>
      </w:pPr>
      <w:r>
        <w:rPr>
          <w:rFonts w:cstheme="majorHAnsi"/>
          <w:b/>
          <w:color w:val="0099CC"/>
          <w:sz w:val="40"/>
          <w:szCs w:val="40"/>
        </w:rPr>
        <w:t xml:space="preserve">Guidance </w:t>
      </w:r>
      <w:r w:rsidR="009A34C1">
        <w:rPr>
          <w:rFonts w:cstheme="majorHAnsi"/>
          <w:b/>
          <w:color w:val="0099CC"/>
          <w:sz w:val="40"/>
          <w:szCs w:val="40"/>
        </w:rPr>
        <w:t>N</w:t>
      </w:r>
      <w:r>
        <w:rPr>
          <w:rFonts w:cstheme="majorHAnsi"/>
          <w:b/>
          <w:color w:val="0099CC"/>
          <w:sz w:val="40"/>
          <w:szCs w:val="40"/>
        </w:rPr>
        <w:t>ote</w:t>
      </w:r>
      <w:r w:rsidR="00A74A3C" w:rsidRPr="00FF1CEF">
        <w:rPr>
          <w:rFonts w:cstheme="majorHAnsi"/>
          <w:b/>
          <w:color w:val="0099CC"/>
          <w:sz w:val="40"/>
          <w:szCs w:val="40"/>
        </w:rPr>
        <w:t xml:space="preserve">: </w:t>
      </w:r>
      <w:r w:rsidR="00B331E5">
        <w:rPr>
          <w:rFonts w:cstheme="majorHAnsi"/>
          <w:b/>
          <w:color w:val="0099CC"/>
          <w:sz w:val="40"/>
          <w:szCs w:val="40"/>
        </w:rPr>
        <w:t>AEMO’s</w:t>
      </w:r>
      <w:r>
        <w:rPr>
          <w:rFonts w:cstheme="majorHAnsi"/>
          <w:b/>
          <w:color w:val="0099CC"/>
          <w:sz w:val="40"/>
          <w:szCs w:val="40"/>
        </w:rPr>
        <w:t xml:space="preserve"> </w:t>
      </w:r>
      <w:r w:rsidR="008A01EE">
        <w:rPr>
          <w:rFonts w:cstheme="majorHAnsi"/>
          <w:b/>
          <w:color w:val="0099CC"/>
          <w:sz w:val="40"/>
          <w:szCs w:val="40"/>
        </w:rPr>
        <w:t>role</w:t>
      </w:r>
      <w:r w:rsidR="009A34C1">
        <w:rPr>
          <w:rFonts w:cstheme="majorHAnsi"/>
          <w:b/>
          <w:color w:val="0099CC"/>
          <w:sz w:val="40"/>
          <w:szCs w:val="40"/>
        </w:rPr>
        <w:t xml:space="preserve"> </w:t>
      </w:r>
      <w:r>
        <w:rPr>
          <w:rFonts w:cstheme="majorHAnsi"/>
          <w:b/>
          <w:color w:val="0099CC"/>
          <w:sz w:val="40"/>
          <w:szCs w:val="40"/>
        </w:rPr>
        <w:t>under the c</w:t>
      </w:r>
      <w:r w:rsidR="003D62AC" w:rsidRPr="00FF1CEF">
        <w:rPr>
          <w:rFonts w:cstheme="majorHAnsi"/>
          <w:b/>
          <w:color w:val="0099CC"/>
          <w:sz w:val="40"/>
          <w:szCs w:val="40"/>
        </w:rPr>
        <w:t xml:space="preserve">apacity trading reform package </w:t>
      </w:r>
    </w:p>
    <w:p w14:paraId="5FCBF261" w14:textId="77777777" w:rsidR="00482072" w:rsidRPr="00757AFC" w:rsidRDefault="00482072" w:rsidP="00482072">
      <w:pPr>
        <w:rPr>
          <w:rFonts w:asciiTheme="majorHAnsi" w:hAnsiTheme="majorHAnsi" w:cstheme="majorHAnsi"/>
          <w:sz w:val="2"/>
          <w:szCs w:val="2"/>
        </w:rPr>
      </w:pPr>
    </w:p>
    <w:p w14:paraId="2E1E5E63" w14:textId="77777777" w:rsidR="001C7FC3" w:rsidRPr="00576108" w:rsidRDefault="00231DC5" w:rsidP="00576108">
      <w:pPr>
        <w:pStyle w:val="Heading1"/>
        <w:spacing w:before="120" w:after="120"/>
        <w:rPr>
          <w:color w:val="0099CC"/>
          <w:sz w:val="26"/>
          <w:szCs w:val="26"/>
        </w:rPr>
      </w:pPr>
      <w:r w:rsidRPr="00576108">
        <w:rPr>
          <w:color w:val="0099CC"/>
          <w:sz w:val="26"/>
          <w:szCs w:val="26"/>
        </w:rPr>
        <w:t>Introduction</w:t>
      </w:r>
    </w:p>
    <w:p w14:paraId="5E17CC10" w14:textId="77777777" w:rsidR="009A34C1" w:rsidRPr="009A34C1" w:rsidRDefault="009A34C1" w:rsidP="00C60A69">
      <w:pPr>
        <w:tabs>
          <w:tab w:val="left" w:pos="2268"/>
          <w:tab w:val="left" w:pos="4536"/>
          <w:tab w:val="left" w:pos="6804"/>
          <w:tab w:val="right" w:pos="9638"/>
        </w:tabs>
        <w:spacing w:after="60" w:line="252" w:lineRule="auto"/>
        <w:rPr>
          <w:rFonts w:asciiTheme="majorHAnsi" w:hAnsiTheme="majorHAnsi" w:cstheme="majorHAnsi"/>
        </w:rPr>
      </w:pPr>
      <w:r w:rsidRPr="009A34C1">
        <w:rPr>
          <w:rFonts w:asciiTheme="majorHAnsi" w:hAnsiTheme="majorHAnsi" w:cstheme="majorHAnsi"/>
        </w:rPr>
        <w:t xml:space="preserve">On 29 June 2018, the Council of Australian Governments (COAG) Energy Council (Energy Council) agreed to implement the legal and regulatory </w:t>
      </w:r>
      <w:r w:rsidR="007910C1">
        <w:rPr>
          <w:rFonts w:asciiTheme="majorHAnsi" w:hAnsiTheme="majorHAnsi" w:cstheme="majorHAnsi"/>
        </w:rPr>
        <w:t xml:space="preserve">framework </w:t>
      </w:r>
      <w:r w:rsidRPr="009A34C1">
        <w:rPr>
          <w:rFonts w:asciiTheme="majorHAnsi" w:hAnsiTheme="majorHAnsi" w:cstheme="majorHAnsi"/>
        </w:rPr>
        <w:t xml:space="preserve">required to give effect to the </w:t>
      </w:r>
      <w:r w:rsidR="00481944">
        <w:rPr>
          <w:rFonts w:asciiTheme="majorHAnsi" w:hAnsiTheme="majorHAnsi" w:cstheme="majorHAnsi"/>
        </w:rPr>
        <w:t xml:space="preserve">final design of the </w:t>
      </w:r>
      <w:r w:rsidRPr="009A34C1">
        <w:rPr>
          <w:rFonts w:asciiTheme="majorHAnsi" w:hAnsiTheme="majorHAnsi" w:cstheme="majorHAnsi"/>
        </w:rPr>
        <w:t>capacity trading reform package</w:t>
      </w:r>
      <w:r w:rsidR="00110744">
        <w:rPr>
          <w:rFonts w:asciiTheme="majorHAnsi" w:hAnsiTheme="majorHAnsi" w:cstheme="majorHAnsi"/>
        </w:rPr>
        <w:t xml:space="preserve">. </w:t>
      </w:r>
      <w:r w:rsidR="00481944">
        <w:rPr>
          <w:rFonts w:asciiTheme="majorHAnsi" w:hAnsiTheme="majorHAnsi" w:cstheme="majorHAnsi"/>
        </w:rPr>
        <w:t xml:space="preserve">This </w:t>
      </w:r>
      <w:r w:rsidR="00110744">
        <w:rPr>
          <w:rFonts w:asciiTheme="majorHAnsi" w:hAnsiTheme="majorHAnsi" w:cstheme="majorHAnsi"/>
        </w:rPr>
        <w:t xml:space="preserve">legal and regulatory framework </w:t>
      </w:r>
      <w:r w:rsidR="00481944">
        <w:rPr>
          <w:rFonts w:asciiTheme="majorHAnsi" w:hAnsiTheme="majorHAnsi" w:cstheme="majorHAnsi"/>
        </w:rPr>
        <w:t>comprises</w:t>
      </w:r>
      <w:r>
        <w:rPr>
          <w:rFonts w:asciiTheme="majorHAnsi" w:hAnsiTheme="majorHAnsi" w:cstheme="majorHAnsi"/>
        </w:rPr>
        <w:t xml:space="preserve">: </w:t>
      </w:r>
    </w:p>
    <w:p w14:paraId="51FC6252" w14:textId="77777777" w:rsidR="00231DC5" w:rsidRPr="00231DC5" w:rsidRDefault="00231DC5" w:rsidP="007C4A75">
      <w:pPr>
        <w:pStyle w:val="ListBullet"/>
        <w:numPr>
          <w:ilvl w:val="0"/>
          <w:numId w:val="14"/>
        </w:numPr>
        <w:spacing w:before="60" w:after="60" w:line="252" w:lineRule="auto"/>
        <w:rPr>
          <w:rFonts w:asciiTheme="majorHAnsi" w:eastAsiaTheme="minorEastAsia" w:hAnsiTheme="majorHAnsi" w:cstheme="majorHAnsi"/>
        </w:rPr>
      </w:pPr>
      <w:r w:rsidRPr="00231DC5">
        <w:rPr>
          <w:rFonts w:asciiTheme="majorHAnsi" w:eastAsiaTheme="minorEastAsia" w:hAnsiTheme="majorHAnsi" w:cstheme="majorHAnsi"/>
        </w:rPr>
        <w:t>amendments to the National Gas Law (NGL), the regulations made under the NGL (Regulations) and the National Gas Rules (</w:t>
      </w:r>
      <w:r w:rsidR="00672B5F">
        <w:rPr>
          <w:rFonts w:asciiTheme="majorHAnsi" w:eastAsiaTheme="minorEastAsia" w:hAnsiTheme="majorHAnsi" w:cstheme="majorHAnsi"/>
        </w:rPr>
        <w:t>NGR</w:t>
      </w:r>
      <w:r w:rsidRPr="00231DC5">
        <w:rPr>
          <w:rFonts w:asciiTheme="majorHAnsi" w:eastAsiaTheme="minorEastAsia" w:hAnsiTheme="majorHAnsi" w:cstheme="majorHAnsi"/>
        </w:rPr>
        <w:t>); and</w:t>
      </w:r>
    </w:p>
    <w:p w14:paraId="5A54BBD4" w14:textId="77777777" w:rsidR="00231DC5" w:rsidRPr="00231DC5" w:rsidRDefault="00231DC5" w:rsidP="007C4A75">
      <w:pPr>
        <w:pStyle w:val="ListBullet"/>
        <w:numPr>
          <w:ilvl w:val="0"/>
          <w:numId w:val="14"/>
        </w:numPr>
        <w:spacing w:before="60" w:after="60" w:line="252" w:lineRule="auto"/>
        <w:rPr>
          <w:rFonts w:asciiTheme="majorHAnsi" w:eastAsiaTheme="minorEastAsia" w:hAnsiTheme="majorHAnsi" w:cstheme="majorHAnsi"/>
        </w:rPr>
      </w:pPr>
      <w:r w:rsidRPr="00231DC5">
        <w:rPr>
          <w:rFonts w:asciiTheme="majorHAnsi" w:eastAsiaTheme="minorEastAsia" w:hAnsiTheme="majorHAnsi" w:cstheme="majorHAnsi"/>
        </w:rPr>
        <w:t>the introduction of a new regulatory instrument, the Operational Transportation Service Code (Code).</w:t>
      </w:r>
    </w:p>
    <w:p w14:paraId="7FB69E43" w14:textId="77777777" w:rsidR="00507332" w:rsidRDefault="009411EA" w:rsidP="009D723E">
      <w:pPr>
        <w:pStyle w:val="BodyText"/>
        <w:spacing w:line="252" w:lineRule="auto"/>
        <w:rPr>
          <w:rFonts w:asciiTheme="majorHAnsi" w:hAnsiTheme="majorHAnsi" w:cstheme="majorHAnsi"/>
        </w:rPr>
      </w:pPr>
      <w:r w:rsidRPr="009411EA">
        <w:rPr>
          <w:rFonts w:asciiTheme="majorHAnsi" w:hAnsiTheme="majorHAnsi" w:cstheme="majorHAnsi"/>
        </w:rPr>
        <w:t xml:space="preserve">Consistent with the approach that is usually employed when changes of this nature </w:t>
      </w:r>
      <w:r w:rsidR="00E55287">
        <w:rPr>
          <w:rFonts w:asciiTheme="majorHAnsi" w:hAnsiTheme="majorHAnsi" w:cstheme="majorHAnsi"/>
        </w:rPr>
        <w:t>are</w:t>
      </w:r>
      <w:r w:rsidRPr="009411EA">
        <w:rPr>
          <w:rFonts w:asciiTheme="majorHAnsi" w:hAnsiTheme="majorHAnsi" w:cstheme="majorHAnsi"/>
        </w:rPr>
        <w:t xml:space="preserve"> made to the legal and regulatory framework, the final version</w:t>
      </w:r>
      <w:r w:rsidR="00E55287">
        <w:rPr>
          <w:rFonts w:asciiTheme="majorHAnsi" w:hAnsiTheme="majorHAnsi" w:cstheme="majorHAnsi"/>
        </w:rPr>
        <w:t>s</w:t>
      </w:r>
      <w:r w:rsidRPr="009411EA">
        <w:rPr>
          <w:rFonts w:asciiTheme="majorHAnsi" w:hAnsiTheme="majorHAnsi" w:cstheme="majorHAnsi"/>
        </w:rPr>
        <w:t xml:space="preserve"> of the NGL, Regulations</w:t>
      </w:r>
      <w:r w:rsidR="008A01EE">
        <w:rPr>
          <w:rFonts w:asciiTheme="majorHAnsi" w:hAnsiTheme="majorHAnsi" w:cstheme="majorHAnsi"/>
        </w:rPr>
        <w:t>, NGR</w:t>
      </w:r>
      <w:r w:rsidRPr="009411EA">
        <w:rPr>
          <w:rFonts w:asciiTheme="majorHAnsi" w:hAnsiTheme="majorHAnsi" w:cstheme="majorHAnsi"/>
        </w:rPr>
        <w:t xml:space="preserve"> and Code will only be published </w:t>
      </w:r>
      <w:r w:rsidR="00481944">
        <w:rPr>
          <w:rFonts w:asciiTheme="majorHAnsi" w:hAnsiTheme="majorHAnsi" w:cstheme="majorHAnsi"/>
        </w:rPr>
        <w:t>once</w:t>
      </w:r>
      <w:r w:rsidRPr="009411EA">
        <w:rPr>
          <w:rFonts w:asciiTheme="majorHAnsi" w:hAnsiTheme="majorHAnsi" w:cstheme="majorHAnsi"/>
        </w:rPr>
        <w:t xml:space="preserve"> they are made</w:t>
      </w:r>
      <w:r w:rsidR="000E33A2">
        <w:rPr>
          <w:rFonts w:asciiTheme="majorHAnsi" w:hAnsiTheme="majorHAnsi" w:cstheme="majorHAnsi"/>
        </w:rPr>
        <w:t>, which is currently expected to occur in November</w:t>
      </w:r>
      <w:r w:rsidR="008A01EE">
        <w:rPr>
          <w:rFonts w:asciiTheme="majorHAnsi" w:hAnsiTheme="majorHAnsi" w:cstheme="majorHAnsi"/>
        </w:rPr>
        <w:t xml:space="preserve"> 2018</w:t>
      </w:r>
      <w:r w:rsidRPr="009411EA">
        <w:rPr>
          <w:rFonts w:asciiTheme="majorHAnsi" w:hAnsiTheme="majorHAnsi" w:cstheme="majorHAnsi"/>
        </w:rPr>
        <w:t xml:space="preserve">. </w:t>
      </w:r>
      <w:r w:rsidR="00507332" w:rsidRPr="00507332">
        <w:rPr>
          <w:rFonts w:asciiTheme="majorHAnsi" w:hAnsiTheme="majorHAnsi" w:cstheme="majorHAnsi"/>
        </w:rPr>
        <w:t xml:space="preserve">To provide stakeholders with some guidance in the intervening period, the </w:t>
      </w:r>
      <w:r w:rsidR="00507332">
        <w:rPr>
          <w:rFonts w:asciiTheme="majorHAnsi" w:hAnsiTheme="majorHAnsi" w:cstheme="majorHAnsi"/>
        </w:rPr>
        <w:t xml:space="preserve">Gas Market Reform Group (GMRG) </w:t>
      </w:r>
      <w:r w:rsidR="0088787A">
        <w:rPr>
          <w:rFonts w:asciiTheme="majorHAnsi" w:hAnsiTheme="majorHAnsi" w:cstheme="majorHAnsi"/>
        </w:rPr>
        <w:t xml:space="preserve">has </w:t>
      </w:r>
      <w:r w:rsidR="00507332" w:rsidRPr="00507332">
        <w:rPr>
          <w:rFonts w:asciiTheme="majorHAnsi" w:hAnsiTheme="majorHAnsi" w:cstheme="majorHAnsi"/>
        </w:rPr>
        <w:t>published</w:t>
      </w:r>
      <w:r w:rsidR="00481944">
        <w:rPr>
          <w:rFonts w:asciiTheme="majorHAnsi" w:hAnsiTheme="majorHAnsi" w:cstheme="majorHAnsi"/>
        </w:rPr>
        <w:t xml:space="preserve"> the following</w:t>
      </w:r>
      <w:r w:rsidR="00507332">
        <w:rPr>
          <w:rFonts w:asciiTheme="majorHAnsi" w:hAnsiTheme="majorHAnsi" w:cstheme="majorHAnsi"/>
        </w:rPr>
        <w:t>:</w:t>
      </w:r>
      <w:r w:rsidR="00507332">
        <w:rPr>
          <w:rStyle w:val="FootnoteReference"/>
          <w:rFonts w:asciiTheme="majorHAnsi" w:hAnsiTheme="majorHAnsi" w:cstheme="majorHAnsi"/>
        </w:rPr>
        <w:footnoteReference w:id="2"/>
      </w:r>
      <w:r w:rsidR="00507332" w:rsidRPr="00507332">
        <w:rPr>
          <w:rFonts w:asciiTheme="majorHAnsi" w:hAnsiTheme="majorHAnsi" w:cstheme="majorHAnsi"/>
        </w:rPr>
        <w:t xml:space="preserve"> </w:t>
      </w:r>
    </w:p>
    <w:p w14:paraId="1BE25FE9" w14:textId="29F5724E" w:rsidR="00507332" w:rsidRDefault="00507332" w:rsidP="007C4A75">
      <w:pPr>
        <w:pStyle w:val="ListBullet"/>
        <w:spacing w:before="60" w:after="60" w:line="252" w:lineRule="auto"/>
      </w:pPr>
      <w:r w:rsidRPr="00481944">
        <w:rPr>
          <w:b/>
        </w:rPr>
        <w:t>Information Paper</w:t>
      </w:r>
      <w:r w:rsidR="00481944" w:rsidRPr="00481944">
        <w:rPr>
          <w:b/>
        </w:rPr>
        <w:t>: Capacity trading reform package legal and regulatory instruments</w:t>
      </w:r>
      <w:r w:rsidR="000E33A2">
        <w:rPr>
          <w:b/>
        </w:rPr>
        <w:t xml:space="preserve"> </w:t>
      </w:r>
      <w:r w:rsidR="000E33A2" w:rsidRPr="000E33A2">
        <w:t>(Information Paper)</w:t>
      </w:r>
      <w:r w:rsidR="00481944" w:rsidRPr="00481944">
        <w:rPr>
          <w:b/>
        </w:rPr>
        <w:t>,</w:t>
      </w:r>
      <w:r w:rsidR="00481944">
        <w:t xml:space="preserve"> which </w:t>
      </w:r>
      <w:r w:rsidR="00576108">
        <w:t xml:space="preserve">sets out </w:t>
      </w:r>
      <w:r w:rsidR="00481944">
        <w:t xml:space="preserve">the </w:t>
      </w:r>
      <w:r w:rsidRPr="00507332">
        <w:t xml:space="preserve">final design of the reform package and key dates for various obligations </w:t>
      </w:r>
      <w:r w:rsidR="000E33A2">
        <w:t xml:space="preserve">that </w:t>
      </w:r>
      <w:r w:rsidR="003E4973">
        <w:t>the Australian Energy Market Operator (</w:t>
      </w:r>
      <w:r w:rsidR="000E33A2">
        <w:t>AEMO</w:t>
      </w:r>
      <w:r w:rsidR="003E4973">
        <w:t>)</w:t>
      </w:r>
      <w:r w:rsidR="000E33A2">
        <w:t xml:space="preserve">, the </w:t>
      </w:r>
      <w:r w:rsidR="003E4973">
        <w:t>Australian Energy Regulator (</w:t>
      </w:r>
      <w:r w:rsidR="000E33A2">
        <w:t>AER</w:t>
      </w:r>
      <w:r w:rsidR="00EE567C">
        <w:t>)</w:t>
      </w:r>
      <w:r w:rsidR="000E33A2">
        <w:t xml:space="preserve">, service providers and other </w:t>
      </w:r>
      <w:r w:rsidRPr="00507332">
        <w:t>market participants will be subject to</w:t>
      </w:r>
      <w:r>
        <w:t>; and</w:t>
      </w:r>
    </w:p>
    <w:p w14:paraId="568632F4" w14:textId="1906987C" w:rsidR="00F54135" w:rsidRDefault="00F54135" w:rsidP="007C4A75">
      <w:pPr>
        <w:pStyle w:val="ListBullet"/>
        <w:spacing w:before="60" w:after="60" w:line="252" w:lineRule="auto"/>
      </w:pPr>
      <w:r w:rsidRPr="00481944">
        <w:rPr>
          <w:b/>
        </w:rPr>
        <w:t xml:space="preserve">Guidance Note: </w:t>
      </w:r>
      <w:r w:rsidR="003E4973">
        <w:rPr>
          <w:b/>
        </w:rPr>
        <w:t xml:space="preserve">AER’s </w:t>
      </w:r>
      <w:r>
        <w:rPr>
          <w:b/>
        </w:rPr>
        <w:t xml:space="preserve">role under </w:t>
      </w:r>
      <w:r w:rsidRPr="00481944">
        <w:rPr>
          <w:b/>
        </w:rPr>
        <w:t>the capacity trading reform package</w:t>
      </w:r>
      <w:r w:rsidR="000E33A2">
        <w:rPr>
          <w:b/>
        </w:rPr>
        <w:t xml:space="preserve"> </w:t>
      </w:r>
      <w:r w:rsidR="000E33A2" w:rsidRPr="000E33A2">
        <w:t>(AER Guidance Note)</w:t>
      </w:r>
      <w:r>
        <w:t xml:space="preserve">, which provides further detail on the functions and powers </w:t>
      </w:r>
      <w:r w:rsidR="00023A3E">
        <w:t xml:space="preserve">that </w:t>
      </w:r>
      <w:r>
        <w:t>the AER will have under the reform package (including in relation to the exemptions framework and the classification of transitional firm services) and the matters to be dealt with in guidelines the AER is required to prepare.</w:t>
      </w:r>
    </w:p>
    <w:p w14:paraId="755D9527" w14:textId="77777777" w:rsidR="00F54135" w:rsidRDefault="00F54135" w:rsidP="009D723E">
      <w:pPr>
        <w:pStyle w:val="BodyText"/>
        <w:spacing w:line="252" w:lineRule="auto"/>
        <w:rPr>
          <w:rFonts w:asciiTheme="majorHAnsi" w:hAnsiTheme="majorHAnsi" w:cstheme="majorHAnsi"/>
        </w:rPr>
      </w:pPr>
      <w:r>
        <w:rPr>
          <w:rFonts w:asciiTheme="majorHAnsi" w:hAnsiTheme="majorHAnsi" w:cstheme="majorHAnsi"/>
        </w:rPr>
        <w:t>The purpose of this Guidance Note is to provide an overview of the functions and powers that AEMO will have under the reform package and to provide further detail on:</w:t>
      </w:r>
    </w:p>
    <w:p w14:paraId="222FE332" w14:textId="77777777" w:rsidR="00F54135" w:rsidRPr="00435237" w:rsidRDefault="00F54135" w:rsidP="007C4A75">
      <w:pPr>
        <w:pStyle w:val="ListBullet"/>
        <w:numPr>
          <w:ilvl w:val="0"/>
          <w:numId w:val="14"/>
        </w:numPr>
        <w:spacing w:before="60" w:after="60" w:line="252" w:lineRule="auto"/>
        <w:rPr>
          <w:rFonts w:asciiTheme="majorHAnsi" w:eastAsiaTheme="minorEastAsia" w:hAnsiTheme="majorHAnsi" w:cstheme="majorHAnsi"/>
        </w:rPr>
      </w:pPr>
      <w:r>
        <w:rPr>
          <w:rFonts w:asciiTheme="majorHAnsi" w:eastAsiaTheme="minorEastAsia" w:hAnsiTheme="majorHAnsi" w:cstheme="majorHAnsi"/>
        </w:rPr>
        <w:t xml:space="preserve">the matters to be dealt with in </w:t>
      </w:r>
      <w:r w:rsidRPr="00435237">
        <w:rPr>
          <w:rFonts w:asciiTheme="majorHAnsi" w:eastAsiaTheme="minorEastAsia" w:hAnsiTheme="majorHAnsi" w:cstheme="majorHAnsi"/>
        </w:rPr>
        <w:t>the Capacity Transfer and Auction Procedures (CT</w:t>
      </w:r>
      <w:r>
        <w:rPr>
          <w:rFonts w:asciiTheme="majorHAnsi" w:eastAsiaTheme="minorEastAsia" w:hAnsiTheme="majorHAnsi" w:cstheme="majorHAnsi"/>
        </w:rPr>
        <w:t>&amp;</w:t>
      </w:r>
      <w:r w:rsidRPr="00435237">
        <w:rPr>
          <w:rFonts w:asciiTheme="majorHAnsi" w:eastAsiaTheme="minorEastAsia" w:hAnsiTheme="majorHAnsi" w:cstheme="majorHAnsi"/>
        </w:rPr>
        <w:t>A Procedures)</w:t>
      </w:r>
      <w:r w:rsidR="000E33A2">
        <w:rPr>
          <w:rFonts w:asciiTheme="majorHAnsi" w:eastAsiaTheme="minorEastAsia" w:hAnsiTheme="majorHAnsi" w:cstheme="majorHAnsi"/>
        </w:rPr>
        <w:t xml:space="preserve"> that </w:t>
      </w:r>
      <w:r w:rsidRPr="00435237">
        <w:rPr>
          <w:rFonts w:asciiTheme="majorHAnsi" w:eastAsiaTheme="minorEastAsia" w:hAnsiTheme="majorHAnsi" w:cstheme="majorHAnsi"/>
        </w:rPr>
        <w:t xml:space="preserve">AEMO </w:t>
      </w:r>
      <w:r>
        <w:rPr>
          <w:rFonts w:asciiTheme="majorHAnsi" w:eastAsiaTheme="minorEastAsia" w:hAnsiTheme="majorHAnsi" w:cstheme="majorHAnsi"/>
        </w:rPr>
        <w:t xml:space="preserve">will be </w:t>
      </w:r>
      <w:r w:rsidRPr="00435237">
        <w:rPr>
          <w:rFonts w:asciiTheme="majorHAnsi" w:eastAsiaTheme="minorEastAsia" w:hAnsiTheme="majorHAnsi" w:cstheme="majorHAnsi"/>
        </w:rPr>
        <w:t xml:space="preserve">required to </w:t>
      </w:r>
      <w:r>
        <w:rPr>
          <w:rFonts w:asciiTheme="majorHAnsi" w:eastAsiaTheme="minorEastAsia" w:hAnsiTheme="majorHAnsi" w:cstheme="majorHAnsi"/>
        </w:rPr>
        <w:t>prepare;</w:t>
      </w:r>
      <w:r w:rsidRPr="00435237">
        <w:rPr>
          <w:rFonts w:asciiTheme="majorHAnsi" w:eastAsiaTheme="minorEastAsia" w:hAnsiTheme="majorHAnsi" w:cstheme="majorHAnsi"/>
        </w:rPr>
        <w:t xml:space="preserve"> </w:t>
      </w:r>
    </w:p>
    <w:p w14:paraId="222BA98B" w14:textId="77777777" w:rsidR="00F54135" w:rsidRPr="00435237" w:rsidRDefault="00F54135" w:rsidP="007C4A75">
      <w:pPr>
        <w:pStyle w:val="ListBullet"/>
        <w:numPr>
          <w:ilvl w:val="0"/>
          <w:numId w:val="14"/>
        </w:numPr>
        <w:spacing w:before="60" w:after="60" w:line="252" w:lineRule="auto"/>
        <w:rPr>
          <w:rFonts w:asciiTheme="majorHAnsi" w:eastAsiaTheme="minorEastAsia" w:hAnsiTheme="majorHAnsi" w:cstheme="majorHAnsi"/>
        </w:rPr>
      </w:pPr>
      <w:r w:rsidRPr="00435237">
        <w:rPr>
          <w:rFonts w:asciiTheme="majorHAnsi" w:eastAsiaTheme="minorEastAsia" w:hAnsiTheme="majorHAnsi" w:cstheme="majorHAnsi"/>
        </w:rPr>
        <w:t xml:space="preserve">the </w:t>
      </w:r>
      <w:r>
        <w:rPr>
          <w:rFonts w:asciiTheme="majorHAnsi" w:eastAsiaTheme="minorEastAsia" w:hAnsiTheme="majorHAnsi" w:cstheme="majorHAnsi"/>
        </w:rPr>
        <w:t xml:space="preserve">registration </w:t>
      </w:r>
      <w:r w:rsidRPr="00435237">
        <w:rPr>
          <w:rFonts w:asciiTheme="majorHAnsi" w:eastAsiaTheme="minorEastAsia" w:hAnsiTheme="majorHAnsi" w:cstheme="majorHAnsi"/>
        </w:rPr>
        <w:t xml:space="preserve">framework for </w:t>
      </w:r>
      <w:r>
        <w:rPr>
          <w:rFonts w:asciiTheme="majorHAnsi" w:eastAsiaTheme="minorEastAsia" w:hAnsiTheme="majorHAnsi" w:cstheme="majorHAnsi"/>
        </w:rPr>
        <w:t>transaction support arrangements and the day-ahead auction</w:t>
      </w:r>
      <w:r w:rsidR="000E33A2">
        <w:rPr>
          <w:rFonts w:asciiTheme="majorHAnsi" w:eastAsiaTheme="minorEastAsia" w:hAnsiTheme="majorHAnsi" w:cstheme="majorHAnsi"/>
        </w:rPr>
        <w:t xml:space="preserve"> that </w:t>
      </w:r>
      <w:r>
        <w:rPr>
          <w:rFonts w:asciiTheme="majorHAnsi" w:eastAsiaTheme="minorEastAsia" w:hAnsiTheme="majorHAnsi" w:cstheme="majorHAnsi"/>
        </w:rPr>
        <w:t xml:space="preserve">AEMO will </w:t>
      </w:r>
      <w:r w:rsidR="00EB2655">
        <w:rPr>
          <w:rFonts w:asciiTheme="majorHAnsi" w:eastAsiaTheme="minorEastAsia" w:hAnsiTheme="majorHAnsi" w:cstheme="majorHAnsi"/>
        </w:rPr>
        <w:t xml:space="preserve">be </w:t>
      </w:r>
      <w:r>
        <w:rPr>
          <w:rFonts w:asciiTheme="majorHAnsi" w:eastAsiaTheme="minorEastAsia" w:hAnsiTheme="majorHAnsi" w:cstheme="majorHAnsi"/>
        </w:rPr>
        <w:t>required to administer</w:t>
      </w:r>
      <w:r w:rsidRPr="00435237">
        <w:rPr>
          <w:rFonts w:asciiTheme="majorHAnsi" w:eastAsiaTheme="minorEastAsia" w:hAnsiTheme="majorHAnsi" w:cstheme="majorHAnsi"/>
        </w:rPr>
        <w:t>;</w:t>
      </w:r>
    </w:p>
    <w:p w14:paraId="0013EBB4" w14:textId="77777777" w:rsidR="00F54135" w:rsidRPr="00435237" w:rsidRDefault="00F54135" w:rsidP="007C4A75">
      <w:pPr>
        <w:pStyle w:val="ListBullet"/>
        <w:numPr>
          <w:ilvl w:val="0"/>
          <w:numId w:val="14"/>
        </w:numPr>
        <w:spacing w:before="60" w:after="60" w:line="252" w:lineRule="auto"/>
        <w:rPr>
          <w:rFonts w:asciiTheme="majorHAnsi" w:eastAsiaTheme="minorEastAsia" w:hAnsiTheme="majorHAnsi" w:cstheme="majorHAnsi"/>
        </w:rPr>
      </w:pPr>
      <w:r>
        <w:rPr>
          <w:rFonts w:asciiTheme="majorHAnsi" w:eastAsiaTheme="minorEastAsia" w:hAnsiTheme="majorHAnsi" w:cstheme="majorHAnsi"/>
        </w:rPr>
        <w:t xml:space="preserve">the matters to be dealt with in the Bulletin Board </w:t>
      </w:r>
      <w:r w:rsidRPr="00435237">
        <w:rPr>
          <w:rFonts w:asciiTheme="majorHAnsi" w:eastAsiaTheme="minorEastAsia" w:hAnsiTheme="majorHAnsi" w:cstheme="majorHAnsi"/>
        </w:rPr>
        <w:t>Procedures</w:t>
      </w:r>
      <w:r w:rsidR="00163C9F">
        <w:rPr>
          <w:rFonts w:asciiTheme="majorHAnsi" w:eastAsiaTheme="minorEastAsia" w:hAnsiTheme="majorHAnsi" w:cstheme="majorHAnsi"/>
        </w:rPr>
        <w:t xml:space="preserve"> (BB Procedures)</w:t>
      </w:r>
      <w:r w:rsidR="00F272F8">
        <w:rPr>
          <w:rFonts w:asciiTheme="majorHAnsi" w:eastAsiaTheme="minorEastAsia" w:hAnsiTheme="majorHAnsi" w:cstheme="majorHAnsi"/>
        </w:rPr>
        <w:t xml:space="preserve"> </w:t>
      </w:r>
      <w:r>
        <w:rPr>
          <w:rFonts w:asciiTheme="majorHAnsi" w:eastAsiaTheme="minorEastAsia" w:hAnsiTheme="majorHAnsi" w:cstheme="majorHAnsi"/>
        </w:rPr>
        <w:t>that AEMO will be required to amend</w:t>
      </w:r>
      <w:r w:rsidRPr="00435237">
        <w:rPr>
          <w:rFonts w:asciiTheme="majorHAnsi" w:eastAsiaTheme="minorEastAsia" w:hAnsiTheme="majorHAnsi" w:cstheme="majorHAnsi"/>
        </w:rPr>
        <w:t>;</w:t>
      </w:r>
      <w:r>
        <w:rPr>
          <w:rFonts w:asciiTheme="majorHAnsi" w:eastAsiaTheme="minorEastAsia" w:hAnsiTheme="majorHAnsi" w:cstheme="majorHAnsi"/>
        </w:rPr>
        <w:t xml:space="preserve"> and</w:t>
      </w:r>
    </w:p>
    <w:p w14:paraId="17460055" w14:textId="77777777" w:rsidR="00B331E5" w:rsidRPr="00F54135" w:rsidRDefault="00F54135" w:rsidP="000E33A2">
      <w:pPr>
        <w:pStyle w:val="ListBullet"/>
        <w:numPr>
          <w:ilvl w:val="0"/>
          <w:numId w:val="14"/>
        </w:numPr>
        <w:spacing w:before="60" w:after="0" w:line="252" w:lineRule="auto"/>
        <w:rPr>
          <w:rFonts w:asciiTheme="majorHAnsi" w:eastAsiaTheme="minorEastAsia" w:hAnsiTheme="majorHAnsi" w:cstheme="majorHAnsi"/>
        </w:rPr>
      </w:pPr>
      <w:r w:rsidRPr="00435237">
        <w:rPr>
          <w:rFonts w:asciiTheme="majorHAnsi" w:eastAsiaTheme="minorEastAsia" w:hAnsiTheme="majorHAnsi" w:cstheme="majorHAnsi"/>
        </w:rPr>
        <w:t xml:space="preserve">the </w:t>
      </w:r>
      <w:r>
        <w:rPr>
          <w:rFonts w:asciiTheme="majorHAnsi" w:eastAsiaTheme="minorEastAsia" w:hAnsiTheme="majorHAnsi" w:cstheme="majorHAnsi"/>
        </w:rPr>
        <w:t xml:space="preserve">capacity trading and </w:t>
      </w:r>
      <w:r w:rsidR="007C4A75">
        <w:rPr>
          <w:rFonts w:asciiTheme="majorHAnsi" w:eastAsiaTheme="minorEastAsia" w:hAnsiTheme="majorHAnsi" w:cstheme="majorHAnsi"/>
        </w:rPr>
        <w:t xml:space="preserve">day-ahead </w:t>
      </w:r>
      <w:r>
        <w:rPr>
          <w:rFonts w:asciiTheme="majorHAnsi" w:eastAsiaTheme="minorEastAsia" w:hAnsiTheme="majorHAnsi" w:cstheme="majorHAnsi"/>
        </w:rPr>
        <w:t xml:space="preserve">auction </w:t>
      </w:r>
      <w:r w:rsidR="007C4A75">
        <w:rPr>
          <w:rFonts w:asciiTheme="majorHAnsi" w:eastAsiaTheme="minorEastAsia" w:hAnsiTheme="majorHAnsi" w:cstheme="majorHAnsi"/>
        </w:rPr>
        <w:t xml:space="preserve">related </w:t>
      </w:r>
      <w:r w:rsidR="006F2C84">
        <w:rPr>
          <w:rFonts w:asciiTheme="majorHAnsi" w:eastAsiaTheme="minorEastAsia" w:hAnsiTheme="majorHAnsi" w:cstheme="majorHAnsi"/>
        </w:rPr>
        <w:t xml:space="preserve">costs </w:t>
      </w:r>
      <w:r>
        <w:rPr>
          <w:rFonts w:asciiTheme="majorHAnsi" w:eastAsiaTheme="minorEastAsia" w:hAnsiTheme="majorHAnsi" w:cstheme="majorHAnsi"/>
        </w:rPr>
        <w:t xml:space="preserve">that </w:t>
      </w:r>
      <w:r w:rsidRPr="00435237">
        <w:rPr>
          <w:rFonts w:asciiTheme="majorHAnsi" w:eastAsiaTheme="minorEastAsia" w:hAnsiTheme="majorHAnsi" w:cstheme="majorHAnsi"/>
        </w:rPr>
        <w:t xml:space="preserve">AEMO </w:t>
      </w:r>
      <w:r>
        <w:rPr>
          <w:rFonts w:asciiTheme="majorHAnsi" w:eastAsiaTheme="minorEastAsia" w:hAnsiTheme="majorHAnsi" w:cstheme="majorHAnsi"/>
        </w:rPr>
        <w:t>will be able to recover</w:t>
      </w:r>
      <w:r w:rsidR="006F2C84">
        <w:rPr>
          <w:rFonts w:asciiTheme="majorHAnsi" w:eastAsiaTheme="minorEastAsia" w:hAnsiTheme="majorHAnsi" w:cstheme="majorHAnsi"/>
        </w:rPr>
        <w:t xml:space="preserve"> through participant fees</w:t>
      </w:r>
      <w:r w:rsidR="00FF7B8A">
        <w:rPr>
          <w:rFonts w:asciiTheme="majorHAnsi" w:eastAsiaTheme="minorEastAsia" w:hAnsiTheme="majorHAnsi" w:cstheme="majorHAnsi"/>
        </w:rPr>
        <w:t>, exchange fees and/or auction fees</w:t>
      </w:r>
      <w:r>
        <w:rPr>
          <w:rFonts w:asciiTheme="majorHAnsi" w:eastAsiaTheme="minorEastAsia" w:hAnsiTheme="majorHAnsi" w:cstheme="majorHAnsi"/>
        </w:rPr>
        <w:t>.</w:t>
      </w:r>
    </w:p>
    <w:p w14:paraId="7387693C" w14:textId="77777777" w:rsidR="006F2C84" w:rsidRDefault="006F2C84" w:rsidP="000E33A2">
      <w:pPr>
        <w:pStyle w:val="BodyText"/>
        <w:spacing w:before="120" w:line="252" w:lineRule="auto"/>
      </w:pPr>
      <w:r>
        <w:t xml:space="preserve">The publication of this Guidance Note is intended to assist market participants and AEMO with the market readiness activities that are expected to be carried out before or shortly after the final legal and regulatory instruments will be published. </w:t>
      </w:r>
      <w:r w:rsidR="007C4A75">
        <w:t>This Guidance Note should be read in conjunction with the Information Paper</w:t>
      </w:r>
      <w:r w:rsidR="000E33A2">
        <w:t xml:space="preserve"> and AER Guidance Note</w:t>
      </w:r>
      <w:r w:rsidR="007C4A75">
        <w:t>.</w:t>
      </w:r>
    </w:p>
    <w:p w14:paraId="2CDD1EAC" w14:textId="77777777" w:rsidR="00231DC5" w:rsidRPr="00576108" w:rsidRDefault="00B331E5" w:rsidP="001518FB">
      <w:pPr>
        <w:pStyle w:val="Heading1"/>
        <w:spacing w:before="120" w:after="120"/>
        <w:rPr>
          <w:color w:val="0099CC"/>
          <w:sz w:val="26"/>
          <w:szCs w:val="26"/>
        </w:rPr>
      </w:pPr>
      <w:r w:rsidRPr="00576108">
        <w:rPr>
          <w:color w:val="0099CC"/>
          <w:sz w:val="26"/>
          <w:szCs w:val="26"/>
        </w:rPr>
        <w:lastRenderedPageBreak/>
        <w:t xml:space="preserve">AEMO’s </w:t>
      </w:r>
      <w:r w:rsidR="001879CF" w:rsidRPr="00576108">
        <w:rPr>
          <w:color w:val="0099CC"/>
          <w:sz w:val="26"/>
          <w:szCs w:val="26"/>
        </w:rPr>
        <w:t xml:space="preserve">functions </w:t>
      </w:r>
      <w:r w:rsidR="007910C1" w:rsidRPr="00576108">
        <w:rPr>
          <w:color w:val="0099CC"/>
          <w:sz w:val="26"/>
          <w:szCs w:val="26"/>
        </w:rPr>
        <w:t xml:space="preserve">and powers </w:t>
      </w:r>
      <w:r w:rsidR="001879CF" w:rsidRPr="00576108">
        <w:rPr>
          <w:color w:val="0099CC"/>
          <w:sz w:val="26"/>
          <w:szCs w:val="26"/>
        </w:rPr>
        <w:t xml:space="preserve">under the NGL and </w:t>
      </w:r>
      <w:r w:rsidR="004033CE" w:rsidRPr="00576108">
        <w:rPr>
          <w:color w:val="0099CC"/>
          <w:sz w:val="26"/>
          <w:szCs w:val="26"/>
        </w:rPr>
        <w:t xml:space="preserve">the </w:t>
      </w:r>
      <w:r w:rsidR="007910C1" w:rsidRPr="00576108">
        <w:rPr>
          <w:color w:val="0099CC"/>
          <w:sz w:val="26"/>
          <w:szCs w:val="26"/>
        </w:rPr>
        <w:t>NGR</w:t>
      </w:r>
    </w:p>
    <w:p w14:paraId="39EE8846" w14:textId="77777777" w:rsidR="007910C1" w:rsidRDefault="007910C1" w:rsidP="009D723E">
      <w:pPr>
        <w:pStyle w:val="ListBullet"/>
        <w:numPr>
          <w:ilvl w:val="0"/>
          <w:numId w:val="0"/>
        </w:numPr>
        <w:spacing w:line="250" w:lineRule="auto"/>
        <w:rPr>
          <w:rFonts w:asciiTheme="majorHAnsi" w:eastAsiaTheme="minorEastAsia" w:hAnsiTheme="majorHAnsi" w:cstheme="majorHAnsi"/>
        </w:rPr>
      </w:pPr>
      <w:r>
        <w:rPr>
          <w:rFonts w:asciiTheme="majorHAnsi" w:eastAsiaTheme="minorEastAsia" w:hAnsiTheme="majorHAnsi" w:cstheme="majorHAnsi"/>
        </w:rPr>
        <w:t xml:space="preserve">Under the legal and regulatory framework that the Energy Council has agreed to implement, </w:t>
      </w:r>
      <w:r w:rsidR="00B331E5">
        <w:rPr>
          <w:rFonts w:asciiTheme="majorHAnsi" w:eastAsiaTheme="minorEastAsia" w:hAnsiTheme="majorHAnsi" w:cstheme="majorHAnsi"/>
        </w:rPr>
        <w:t>AEMO</w:t>
      </w:r>
      <w:r w:rsidR="00D47DF3">
        <w:rPr>
          <w:rFonts w:asciiTheme="majorHAnsi" w:eastAsiaTheme="minorEastAsia" w:hAnsiTheme="majorHAnsi" w:cstheme="majorHAnsi"/>
        </w:rPr>
        <w:t xml:space="preserve">’s existing functions and powers </w:t>
      </w:r>
      <w:r>
        <w:rPr>
          <w:rFonts w:asciiTheme="majorHAnsi" w:eastAsiaTheme="minorEastAsia" w:hAnsiTheme="majorHAnsi" w:cstheme="majorHAnsi"/>
        </w:rPr>
        <w:t xml:space="preserve">will be </w:t>
      </w:r>
      <w:r w:rsidR="00D47DF3">
        <w:rPr>
          <w:rFonts w:asciiTheme="majorHAnsi" w:eastAsiaTheme="minorEastAsia" w:hAnsiTheme="majorHAnsi" w:cstheme="majorHAnsi"/>
        </w:rPr>
        <w:t xml:space="preserve">expanded to </w:t>
      </w:r>
      <w:r w:rsidR="00576108">
        <w:rPr>
          <w:rFonts w:asciiTheme="majorHAnsi" w:eastAsiaTheme="minorEastAsia" w:hAnsiTheme="majorHAnsi" w:cstheme="majorHAnsi"/>
        </w:rPr>
        <w:t>encompass the following</w:t>
      </w:r>
      <w:r w:rsidR="006F2C84">
        <w:rPr>
          <w:rFonts w:asciiTheme="majorHAnsi" w:eastAsiaTheme="minorEastAsia" w:hAnsiTheme="majorHAnsi" w:cstheme="majorHAnsi"/>
        </w:rPr>
        <w:t xml:space="preserve"> areas</w:t>
      </w:r>
      <w:r>
        <w:rPr>
          <w:rFonts w:asciiTheme="majorHAnsi" w:eastAsiaTheme="minorEastAsia" w:hAnsiTheme="majorHAnsi" w:cstheme="majorHAnsi"/>
        </w:rPr>
        <w:t>:</w:t>
      </w:r>
    </w:p>
    <w:p w14:paraId="0EEEAC77" w14:textId="77777777" w:rsidR="00576108" w:rsidRDefault="009E4433" w:rsidP="009D723E">
      <w:pPr>
        <w:pStyle w:val="ListBullet"/>
        <w:spacing w:before="60" w:after="60" w:line="250" w:lineRule="auto"/>
        <w:rPr>
          <w:lang w:eastAsia="fr-CA"/>
        </w:rPr>
      </w:pPr>
      <w:r w:rsidRPr="009E4433">
        <w:rPr>
          <w:b/>
          <w:lang w:eastAsia="fr-CA"/>
        </w:rPr>
        <w:t>Measures to facilitate capacity trading and the day-ahead auction</w:t>
      </w:r>
      <w:r>
        <w:rPr>
          <w:lang w:eastAsia="fr-CA"/>
        </w:rPr>
        <w:t>: AEMO will be responsible for:</w:t>
      </w:r>
    </w:p>
    <w:p w14:paraId="755B0C32" w14:textId="77777777" w:rsidR="00826F77" w:rsidRDefault="00826F77" w:rsidP="009D723E">
      <w:pPr>
        <w:pStyle w:val="ListBullet2"/>
        <w:numPr>
          <w:ilvl w:val="0"/>
          <w:numId w:val="33"/>
        </w:numPr>
        <w:spacing w:before="60" w:after="60" w:line="250" w:lineRule="auto"/>
        <w:ind w:left="714" w:hanging="357"/>
        <w:rPr>
          <w:lang w:eastAsia="fr-CA"/>
        </w:rPr>
      </w:pPr>
      <w:r>
        <w:rPr>
          <w:lang w:eastAsia="fr-CA"/>
        </w:rPr>
        <w:t xml:space="preserve">establishing, operating and administering the transaction support arrangements that will </w:t>
      </w:r>
      <w:r>
        <w:t>facilitate transactions conducted through the capacity trading platform and the day-ahead auction;</w:t>
      </w:r>
      <w:r>
        <w:rPr>
          <w:rStyle w:val="FootnoteReference"/>
        </w:rPr>
        <w:footnoteReference w:id="3"/>
      </w:r>
      <w:r>
        <w:t xml:space="preserve"> </w:t>
      </w:r>
    </w:p>
    <w:p w14:paraId="40EFD87E" w14:textId="77777777" w:rsidR="00004E4F" w:rsidRDefault="009E4433" w:rsidP="009D723E">
      <w:pPr>
        <w:pStyle w:val="ListBullet"/>
        <w:numPr>
          <w:ilvl w:val="0"/>
          <w:numId w:val="33"/>
        </w:numPr>
        <w:spacing w:before="60" w:after="60" w:line="250" w:lineRule="auto"/>
        <w:ind w:left="714" w:hanging="357"/>
        <w:rPr>
          <w:lang w:eastAsia="fr-CA"/>
        </w:rPr>
      </w:pPr>
      <w:r w:rsidRPr="00890C7A">
        <w:rPr>
          <w:lang w:eastAsia="fr-CA"/>
        </w:rPr>
        <w:t>determin</w:t>
      </w:r>
      <w:r>
        <w:rPr>
          <w:lang w:eastAsia="fr-CA"/>
        </w:rPr>
        <w:t>ing</w:t>
      </w:r>
      <w:r w:rsidRPr="00890C7A">
        <w:rPr>
          <w:lang w:eastAsia="fr-CA"/>
        </w:rPr>
        <w:t xml:space="preserve"> </w:t>
      </w:r>
      <w:r>
        <w:rPr>
          <w:lang w:eastAsia="fr-CA"/>
        </w:rPr>
        <w:t xml:space="preserve">the </w:t>
      </w:r>
      <w:r w:rsidRPr="00890C7A">
        <w:rPr>
          <w:lang w:eastAsia="fr-CA"/>
        </w:rPr>
        <w:t xml:space="preserve">zones </w:t>
      </w:r>
      <w:r>
        <w:rPr>
          <w:lang w:eastAsia="fr-CA"/>
        </w:rPr>
        <w:t xml:space="preserve">and pipeline segments for each </w:t>
      </w:r>
      <w:r w:rsidR="00004E4F">
        <w:rPr>
          <w:lang w:eastAsia="fr-CA"/>
        </w:rPr>
        <w:t xml:space="preserve">transportation facility </w:t>
      </w:r>
      <w:r>
        <w:rPr>
          <w:lang w:eastAsia="fr-CA"/>
        </w:rPr>
        <w:t>that will be subject to the reforms and</w:t>
      </w:r>
      <w:r w:rsidR="00004E4F">
        <w:rPr>
          <w:lang w:eastAsia="fr-CA"/>
        </w:rPr>
        <w:t xml:space="preserve"> </w:t>
      </w:r>
      <w:r>
        <w:rPr>
          <w:lang w:eastAsia="fr-CA"/>
        </w:rPr>
        <w:t xml:space="preserve">the </w:t>
      </w:r>
      <w:r w:rsidR="006F2C84">
        <w:rPr>
          <w:lang w:eastAsia="fr-CA"/>
        </w:rPr>
        <w:t xml:space="preserve">service points </w:t>
      </w:r>
      <w:r w:rsidRPr="00890C7A">
        <w:rPr>
          <w:lang w:eastAsia="fr-CA"/>
        </w:rPr>
        <w:t>between which backhaul auction services will be available</w:t>
      </w:r>
      <w:r w:rsidR="006F2C84">
        <w:rPr>
          <w:lang w:eastAsia="fr-CA"/>
        </w:rPr>
        <w:t xml:space="preserve"> on single direction pipelines</w:t>
      </w:r>
      <w:r w:rsidR="000E33A2">
        <w:rPr>
          <w:lang w:eastAsia="fr-CA"/>
        </w:rPr>
        <w:t xml:space="preserve"> (or parts thereof)</w:t>
      </w:r>
      <w:r w:rsidR="00004E4F">
        <w:rPr>
          <w:lang w:eastAsia="fr-CA"/>
        </w:rPr>
        <w:t>;</w:t>
      </w:r>
    </w:p>
    <w:p w14:paraId="4C513D34" w14:textId="77777777" w:rsidR="009E4433" w:rsidRDefault="00004E4F" w:rsidP="009D723E">
      <w:pPr>
        <w:pStyle w:val="ListBullet"/>
        <w:numPr>
          <w:ilvl w:val="0"/>
          <w:numId w:val="33"/>
        </w:numPr>
        <w:spacing w:before="60" w:after="60" w:line="250" w:lineRule="auto"/>
        <w:ind w:left="714" w:hanging="357"/>
        <w:rPr>
          <w:lang w:eastAsia="fr-CA"/>
        </w:rPr>
      </w:pPr>
      <w:r>
        <w:rPr>
          <w:lang w:eastAsia="fr-CA"/>
        </w:rPr>
        <w:t xml:space="preserve">establishing, maintaining and administering the </w:t>
      </w:r>
      <w:r w:rsidR="009E4433">
        <w:rPr>
          <w:lang w:eastAsia="fr-CA"/>
        </w:rPr>
        <w:t>transportation service point register</w:t>
      </w:r>
      <w:r>
        <w:rPr>
          <w:lang w:eastAsia="fr-CA"/>
        </w:rPr>
        <w:t>, which will set out the service points, zones and</w:t>
      </w:r>
      <w:r w:rsidR="000E33A2">
        <w:rPr>
          <w:lang w:eastAsia="fr-CA"/>
        </w:rPr>
        <w:t>, where relevant,</w:t>
      </w:r>
      <w:r>
        <w:rPr>
          <w:lang w:eastAsia="fr-CA"/>
        </w:rPr>
        <w:t xml:space="preserve"> pipeline segments </w:t>
      </w:r>
      <w:r w:rsidR="000E33A2">
        <w:rPr>
          <w:lang w:eastAsia="fr-CA"/>
        </w:rPr>
        <w:t xml:space="preserve">on </w:t>
      </w:r>
      <w:r>
        <w:rPr>
          <w:lang w:eastAsia="fr-CA"/>
        </w:rPr>
        <w:t>each transportation facility that will be subject to the reforms</w:t>
      </w:r>
      <w:r w:rsidR="009E4433">
        <w:rPr>
          <w:lang w:eastAsia="fr-CA"/>
        </w:rPr>
        <w:t>;</w:t>
      </w:r>
      <w:r>
        <w:rPr>
          <w:lang w:eastAsia="fr-CA"/>
        </w:rPr>
        <w:t xml:space="preserve"> </w:t>
      </w:r>
    </w:p>
    <w:p w14:paraId="63A5CF27" w14:textId="77777777" w:rsidR="009E4433" w:rsidRDefault="009E4433" w:rsidP="009D723E">
      <w:pPr>
        <w:pStyle w:val="ListBullet"/>
        <w:numPr>
          <w:ilvl w:val="0"/>
          <w:numId w:val="33"/>
        </w:numPr>
        <w:spacing w:before="60" w:after="60" w:line="250" w:lineRule="auto"/>
        <w:ind w:left="714" w:hanging="357"/>
        <w:rPr>
          <w:lang w:eastAsia="fr-CA"/>
        </w:rPr>
      </w:pPr>
      <w:r w:rsidRPr="00890C7A">
        <w:rPr>
          <w:lang w:eastAsia="fr-CA"/>
        </w:rPr>
        <w:t>establish</w:t>
      </w:r>
      <w:r>
        <w:rPr>
          <w:lang w:eastAsia="fr-CA"/>
        </w:rPr>
        <w:t>ing</w:t>
      </w:r>
      <w:r w:rsidR="004B581B">
        <w:rPr>
          <w:lang w:eastAsia="fr-CA"/>
        </w:rPr>
        <w:t xml:space="preserve">, </w:t>
      </w:r>
      <w:r w:rsidRPr="00890C7A">
        <w:rPr>
          <w:lang w:eastAsia="fr-CA"/>
        </w:rPr>
        <w:t>chair</w:t>
      </w:r>
      <w:r>
        <w:rPr>
          <w:lang w:eastAsia="fr-CA"/>
        </w:rPr>
        <w:t>ing</w:t>
      </w:r>
      <w:r w:rsidRPr="00890C7A">
        <w:rPr>
          <w:lang w:eastAsia="fr-CA"/>
        </w:rPr>
        <w:t xml:space="preserve"> </w:t>
      </w:r>
      <w:r w:rsidR="004B581B">
        <w:rPr>
          <w:lang w:eastAsia="fr-CA"/>
        </w:rPr>
        <w:t>and providing secretariat services</w:t>
      </w:r>
      <w:r w:rsidR="004B581B">
        <w:rPr>
          <w:rStyle w:val="FootnoteReference"/>
          <w:lang w:eastAsia="fr-CA"/>
        </w:rPr>
        <w:footnoteReference w:id="4"/>
      </w:r>
      <w:r w:rsidR="004B581B">
        <w:rPr>
          <w:lang w:eastAsia="fr-CA"/>
        </w:rPr>
        <w:t xml:space="preserve"> to </w:t>
      </w:r>
      <w:r w:rsidRPr="00890C7A">
        <w:rPr>
          <w:lang w:eastAsia="fr-CA"/>
        </w:rPr>
        <w:t>the Code Panel</w:t>
      </w:r>
      <w:r w:rsidR="00CC65DE">
        <w:rPr>
          <w:lang w:eastAsia="fr-CA"/>
        </w:rPr>
        <w:t>;</w:t>
      </w:r>
      <w:r w:rsidRPr="00890C7A">
        <w:rPr>
          <w:lang w:eastAsia="fr-CA"/>
        </w:rPr>
        <w:t xml:space="preserve"> </w:t>
      </w:r>
      <w:r w:rsidR="00CC65DE">
        <w:rPr>
          <w:lang w:eastAsia="fr-CA"/>
        </w:rPr>
        <w:t>and</w:t>
      </w:r>
    </w:p>
    <w:p w14:paraId="6B08EE25" w14:textId="77777777" w:rsidR="00CC65DE" w:rsidRPr="00890C7A" w:rsidRDefault="00CC65DE" w:rsidP="009D723E">
      <w:pPr>
        <w:pStyle w:val="ListBullet"/>
        <w:numPr>
          <w:ilvl w:val="0"/>
          <w:numId w:val="33"/>
        </w:numPr>
        <w:spacing w:before="60" w:after="60" w:line="250" w:lineRule="auto"/>
        <w:ind w:left="714" w:hanging="357"/>
        <w:rPr>
          <w:lang w:eastAsia="fr-CA"/>
        </w:rPr>
      </w:pPr>
      <w:r>
        <w:rPr>
          <w:lang w:eastAsia="fr-CA"/>
        </w:rPr>
        <w:t xml:space="preserve">publishing </w:t>
      </w:r>
      <w:r w:rsidR="00EB2655">
        <w:rPr>
          <w:lang w:eastAsia="fr-CA"/>
        </w:rPr>
        <w:t xml:space="preserve">on the Bulletin Board </w:t>
      </w:r>
      <w:r>
        <w:rPr>
          <w:lang w:eastAsia="fr-CA"/>
        </w:rPr>
        <w:t xml:space="preserve">a range of capacity trading, day-ahead auction and other information that </w:t>
      </w:r>
      <w:r w:rsidR="007A5171">
        <w:rPr>
          <w:lang w:eastAsia="fr-CA"/>
        </w:rPr>
        <w:t xml:space="preserve">service providers and other </w:t>
      </w:r>
      <w:r>
        <w:rPr>
          <w:lang w:eastAsia="fr-CA"/>
        </w:rPr>
        <w:t>market participants will be required to report.</w:t>
      </w:r>
    </w:p>
    <w:p w14:paraId="50A4FF9F" w14:textId="77777777" w:rsidR="009E4433" w:rsidRDefault="009E4433" w:rsidP="009D723E">
      <w:pPr>
        <w:pStyle w:val="ListBullet"/>
        <w:spacing w:before="60" w:after="60" w:line="250" w:lineRule="auto"/>
        <w:rPr>
          <w:lang w:eastAsia="fr-CA"/>
        </w:rPr>
      </w:pPr>
      <w:r w:rsidRPr="009E4433">
        <w:rPr>
          <w:b/>
          <w:lang w:eastAsia="fr-CA"/>
        </w:rPr>
        <w:t>Day-ahead auction:</w:t>
      </w:r>
      <w:r>
        <w:rPr>
          <w:lang w:eastAsia="fr-CA"/>
        </w:rPr>
        <w:t xml:space="preserve"> AEMO will be responsible for: </w:t>
      </w:r>
    </w:p>
    <w:p w14:paraId="64EF4C1A" w14:textId="77777777" w:rsidR="009E4433" w:rsidRPr="009E4433" w:rsidRDefault="009D2202" w:rsidP="009D723E">
      <w:pPr>
        <w:pStyle w:val="ListBullet2"/>
        <w:numPr>
          <w:ilvl w:val="0"/>
          <w:numId w:val="33"/>
        </w:numPr>
        <w:spacing w:before="60" w:after="60" w:line="250" w:lineRule="auto"/>
        <w:ind w:left="714" w:hanging="357"/>
        <w:rPr>
          <w:lang w:eastAsia="fr-CA"/>
        </w:rPr>
      </w:pPr>
      <w:r w:rsidRPr="009E4433">
        <w:rPr>
          <w:lang w:eastAsia="fr-CA"/>
        </w:rPr>
        <w:t>establishing, operating and administering the day-ahead auction</w:t>
      </w:r>
      <w:r w:rsidR="009E4433" w:rsidRPr="009E4433">
        <w:rPr>
          <w:lang w:eastAsia="fr-CA"/>
        </w:rPr>
        <w:t>;</w:t>
      </w:r>
      <w:r w:rsidR="00004E4F">
        <w:rPr>
          <w:lang w:eastAsia="fr-CA"/>
        </w:rPr>
        <w:t xml:space="preserve"> </w:t>
      </w:r>
      <w:r w:rsidR="00CC65DE">
        <w:rPr>
          <w:lang w:eastAsia="fr-CA"/>
        </w:rPr>
        <w:t>and</w:t>
      </w:r>
    </w:p>
    <w:p w14:paraId="4B477D60" w14:textId="77777777" w:rsidR="009D2202" w:rsidRDefault="009D2202" w:rsidP="009D723E">
      <w:pPr>
        <w:pStyle w:val="ListBullet2"/>
        <w:numPr>
          <w:ilvl w:val="0"/>
          <w:numId w:val="33"/>
        </w:numPr>
        <w:spacing w:before="60" w:after="60" w:line="250" w:lineRule="auto"/>
        <w:ind w:left="714" w:hanging="357"/>
        <w:rPr>
          <w:lang w:eastAsia="fr-CA"/>
        </w:rPr>
      </w:pPr>
      <w:r w:rsidRPr="009E4433">
        <w:rPr>
          <w:lang w:eastAsia="fr-CA"/>
        </w:rPr>
        <w:t xml:space="preserve">making and administering </w:t>
      </w:r>
      <w:r w:rsidR="009D723E">
        <w:rPr>
          <w:lang w:eastAsia="fr-CA"/>
        </w:rPr>
        <w:t>a</w:t>
      </w:r>
      <w:r w:rsidRPr="009E4433">
        <w:rPr>
          <w:lang w:eastAsia="fr-CA"/>
        </w:rPr>
        <w:t xml:space="preserve">uction </w:t>
      </w:r>
      <w:r w:rsidR="009D723E">
        <w:rPr>
          <w:lang w:eastAsia="fr-CA"/>
        </w:rPr>
        <w:t>a</w:t>
      </w:r>
      <w:r w:rsidRPr="009E4433">
        <w:rPr>
          <w:lang w:eastAsia="fr-CA"/>
        </w:rPr>
        <w:t>greements</w:t>
      </w:r>
      <w:r w:rsidR="009E4433" w:rsidRPr="009E4433">
        <w:rPr>
          <w:lang w:eastAsia="fr-CA"/>
        </w:rPr>
        <w:t>, which shippers will be required to enter into with AEMO to participate in the auction</w:t>
      </w:r>
      <w:r w:rsidR="00CC65DE">
        <w:rPr>
          <w:lang w:eastAsia="fr-CA"/>
        </w:rPr>
        <w:t>.</w:t>
      </w:r>
    </w:p>
    <w:p w14:paraId="10A1B65A" w14:textId="77777777" w:rsidR="006F2C84" w:rsidRDefault="006F2C84" w:rsidP="009D723E">
      <w:pPr>
        <w:pStyle w:val="ListBullet"/>
        <w:spacing w:before="60" w:after="60" w:line="250" w:lineRule="auto"/>
        <w:rPr>
          <w:lang w:eastAsia="fr-CA"/>
        </w:rPr>
      </w:pPr>
      <w:r w:rsidRPr="009E4433">
        <w:rPr>
          <w:b/>
          <w:lang w:eastAsia="fr-CA"/>
        </w:rPr>
        <w:t>Registration</w:t>
      </w:r>
      <w:r>
        <w:rPr>
          <w:b/>
          <w:lang w:eastAsia="fr-CA"/>
        </w:rPr>
        <w:t xml:space="preserve"> for transaction support arrangements and the day-ahead auction</w:t>
      </w:r>
      <w:r>
        <w:rPr>
          <w:lang w:eastAsia="fr-CA"/>
        </w:rPr>
        <w:t xml:space="preserve">: AEMO will be responsible for establishing, maintaining and administering a register of </w:t>
      </w:r>
      <w:r w:rsidR="000E33A2">
        <w:rPr>
          <w:lang w:eastAsia="fr-CA"/>
        </w:rPr>
        <w:t xml:space="preserve">non-exempt </w:t>
      </w:r>
      <w:r>
        <w:rPr>
          <w:lang w:eastAsia="fr-CA"/>
        </w:rPr>
        <w:t xml:space="preserve">transportation </w:t>
      </w:r>
      <w:r w:rsidRPr="00890C7A">
        <w:rPr>
          <w:lang w:eastAsia="fr-CA"/>
        </w:rPr>
        <w:t xml:space="preserve">facilities </w:t>
      </w:r>
      <w:r w:rsidR="000E33A2">
        <w:rPr>
          <w:lang w:eastAsia="fr-CA"/>
        </w:rPr>
        <w:t>and their facility operators</w:t>
      </w:r>
      <w:r>
        <w:rPr>
          <w:lang w:eastAsia="fr-CA"/>
        </w:rPr>
        <w:t>.</w:t>
      </w:r>
    </w:p>
    <w:p w14:paraId="26DD5272" w14:textId="77777777" w:rsidR="009E4433" w:rsidRDefault="009E4433" w:rsidP="009D723E">
      <w:pPr>
        <w:pStyle w:val="ListBullet"/>
        <w:spacing w:before="60" w:after="60" w:line="250" w:lineRule="auto"/>
        <w:rPr>
          <w:lang w:eastAsia="fr-CA"/>
        </w:rPr>
      </w:pPr>
      <w:r w:rsidRPr="009E4433">
        <w:rPr>
          <w:b/>
          <w:lang w:eastAsia="fr-CA"/>
        </w:rPr>
        <w:t>Procedures and other guidance material</w:t>
      </w:r>
      <w:r>
        <w:rPr>
          <w:lang w:eastAsia="fr-CA"/>
        </w:rPr>
        <w:t xml:space="preserve">: </w:t>
      </w:r>
    </w:p>
    <w:p w14:paraId="13B0984A" w14:textId="77777777" w:rsidR="009D723E" w:rsidRDefault="00F272F8" w:rsidP="009D723E">
      <w:pPr>
        <w:pStyle w:val="ListBullet2"/>
        <w:numPr>
          <w:ilvl w:val="0"/>
          <w:numId w:val="33"/>
        </w:numPr>
        <w:spacing w:before="60" w:after="60" w:line="250" w:lineRule="auto"/>
        <w:rPr>
          <w:lang w:eastAsia="fr-CA"/>
        </w:rPr>
      </w:pPr>
      <w:r>
        <w:rPr>
          <w:lang w:eastAsia="fr-CA"/>
        </w:rPr>
        <w:t xml:space="preserve">AEMO will be responsible for </w:t>
      </w:r>
      <w:r w:rsidR="009D723E" w:rsidRPr="00890C7A">
        <w:rPr>
          <w:lang w:eastAsia="fr-CA"/>
        </w:rPr>
        <w:t>mak</w:t>
      </w:r>
      <w:r w:rsidR="009D723E">
        <w:rPr>
          <w:lang w:eastAsia="fr-CA"/>
        </w:rPr>
        <w:t xml:space="preserve">ing and </w:t>
      </w:r>
      <w:r w:rsidR="009D723E" w:rsidRPr="00890C7A">
        <w:rPr>
          <w:lang w:eastAsia="fr-CA"/>
        </w:rPr>
        <w:t>amend</w:t>
      </w:r>
      <w:r w:rsidR="009D723E">
        <w:rPr>
          <w:lang w:eastAsia="fr-CA"/>
        </w:rPr>
        <w:t>ing</w:t>
      </w:r>
      <w:r w:rsidR="009D723E" w:rsidRPr="00890C7A">
        <w:rPr>
          <w:lang w:eastAsia="fr-CA"/>
        </w:rPr>
        <w:t xml:space="preserve"> </w:t>
      </w:r>
      <w:r w:rsidR="009D723E">
        <w:rPr>
          <w:lang w:eastAsia="fr-CA"/>
        </w:rPr>
        <w:t>the CT&amp;A P</w:t>
      </w:r>
      <w:r w:rsidR="009D723E" w:rsidRPr="00890C7A">
        <w:rPr>
          <w:lang w:eastAsia="fr-CA"/>
        </w:rPr>
        <w:t>rocedures</w:t>
      </w:r>
      <w:r w:rsidR="009D723E">
        <w:rPr>
          <w:lang w:eastAsia="fr-CA"/>
        </w:rPr>
        <w:t xml:space="preserve">, which, in conjunction with the NGL and NGR, will govern the operation and administration of the auction and the transaction support arrangements; </w:t>
      </w:r>
    </w:p>
    <w:p w14:paraId="78CEFD2F" w14:textId="77777777" w:rsidR="009D723E" w:rsidRDefault="00F272F8" w:rsidP="009D723E">
      <w:pPr>
        <w:pStyle w:val="ListBullet2"/>
        <w:numPr>
          <w:ilvl w:val="0"/>
          <w:numId w:val="33"/>
        </w:numPr>
        <w:spacing w:before="60" w:after="60" w:line="250" w:lineRule="auto"/>
        <w:rPr>
          <w:lang w:eastAsia="fr-CA"/>
        </w:rPr>
      </w:pPr>
      <w:r>
        <w:rPr>
          <w:lang w:eastAsia="fr-CA"/>
        </w:rPr>
        <w:t xml:space="preserve">AEMO may develop </w:t>
      </w:r>
      <w:r w:rsidR="009D723E" w:rsidRPr="00890C7A">
        <w:rPr>
          <w:lang w:eastAsia="fr-CA"/>
        </w:rPr>
        <w:t xml:space="preserve">and publish a guide for service providers about the process and timing for </w:t>
      </w:r>
      <w:r w:rsidR="009D723E">
        <w:rPr>
          <w:lang w:eastAsia="fr-CA"/>
        </w:rPr>
        <w:t>registration and the functions of service providers and facility operators (i.e. the registered service provider for a non-exempt transportation facility) under the capacity trading reforms; and</w:t>
      </w:r>
    </w:p>
    <w:p w14:paraId="37D3FE05" w14:textId="77777777" w:rsidR="009D2202" w:rsidRPr="00890C7A" w:rsidRDefault="00F272F8" w:rsidP="009D723E">
      <w:pPr>
        <w:pStyle w:val="ListBullet2"/>
        <w:numPr>
          <w:ilvl w:val="0"/>
          <w:numId w:val="33"/>
        </w:numPr>
        <w:spacing w:before="60" w:after="60" w:line="250" w:lineRule="auto"/>
        <w:ind w:left="714" w:hanging="357"/>
        <w:rPr>
          <w:lang w:eastAsia="fr-CA"/>
        </w:rPr>
      </w:pPr>
      <w:r>
        <w:rPr>
          <w:lang w:eastAsia="fr-CA"/>
        </w:rPr>
        <w:t xml:space="preserve">AEMO will be responsible for </w:t>
      </w:r>
      <w:r w:rsidR="009D2202" w:rsidRPr="00890C7A">
        <w:rPr>
          <w:lang w:eastAsia="fr-CA"/>
        </w:rPr>
        <w:t>publish</w:t>
      </w:r>
      <w:r w:rsidR="00D47DF3">
        <w:rPr>
          <w:lang w:eastAsia="fr-CA"/>
        </w:rPr>
        <w:t>ing</w:t>
      </w:r>
      <w:r w:rsidR="009D2202" w:rsidRPr="00890C7A">
        <w:rPr>
          <w:lang w:eastAsia="fr-CA"/>
        </w:rPr>
        <w:t xml:space="preserve"> information about the transition </w:t>
      </w:r>
      <w:r w:rsidR="00D47DF3">
        <w:rPr>
          <w:lang w:eastAsia="fr-CA"/>
        </w:rPr>
        <w:t xml:space="preserve">of the facilitated gas markets </w:t>
      </w:r>
      <w:r w:rsidR="009D2202" w:rsidRPr="00890C7A">
        <w:rPr>
          <w:lang w:eastAsia="fr-CA"/>
        </w:rPr>
        <w:t xml:space="preserve">to the standard </w:t>
      </w:r>
      <w:r w:rsidR="00D47DF3">
        <w:rPr>
          <w:lang w:eastAsia="fr-CA"/>
        </w:rPr>
        <w:t>market timetable</w:t>
      </w:r>
      <w:r w:rsidR="00C47D2E">
        <w:rPr>
          <w:lang w:eastAsia="fr-CA"/>
        </w:rPr>
        <w:t>.</w:t>
      </w:r>
      <w:r w:rsidR="009D2202" w:rsidRPr="00890C7A">
        <w:rPr>
          <w:lang w:eastAsia="fr-CA"/>
        </w:rPr>
        <w:t xml:space="preserve"> </w:t>
      </w:r>
    </w:p>
    <w:p w14:paraId="5AC4C8BA" w14:textId="77777777" w:rsidR="009D2202" w:rsidRDefault="00C47D2E" w:rsidP="009D723E">
      <w:pPr>
        <w:pStyle w:val="BodyText"/>
        <w:spacing w:after="0" w:line="252" w:lineRule="auto"/>
        <w:rPr>
          <w:lang w:eastAsia="fr-CA"/>
        </w:rPr>
      </w:pPr>
      <w:r w:rsidRPr="00C47D2E">
        <w:rPr>
          <w:lang w:eastAsia="fr-CA"/>
        </w:rPr>
        <w:t xml:space="preserve">AEMO will also </w:t>
      </w:r>
      <w:r w:rsidR="007A5171">
        <w:rPr>
          <w:lang w:eastAsia="fr-CA"/>
        </w:rPr>
        <w:t xml:space="preserve">have the power </w:t>
      </w:r>
      <w:r w:rsidR="009D723E">
        <w:rPr>
          <w:lang w:eastAsia="fr-CA"/>
        </w:rPr>
        <w:t xml:space="preserve">to </w:t>
      </w:r>
      <w:r w:rsidR="009D2202" w:rsidRPr="00C47D2E">
        <w:rPr>
          <w:lang w:eastAsia="fr-CA"/>
        </w:rPr>
        <w:t>recover the costs associated with establishing, operating and administering the day-ahead auction</w:t>
      </w:r>
      <w:r w:rsidR="00004E4F">
        <w:rPr>
          <w:lang w:eastAsia="fr-CA"/>
        </w:rPr>
        <w:t>,</w:t>
      </w:r>
      <w:r w:rsidRPr="00C47D2E">
        <w:rPr>
          <w:lang w:eastAsia="fr-CA"/>
        </w:rPr>
        <w:t xml:space="preserve"> </w:t>
      </w:r>
      <w:r w:rsidR="009D2202" w:rsidRPr="00C47D2E">
        <w:rPr>
          <w:lang w:eastAsia="fr-CA"/>
        </w:rPr>
        <w:t xml:space="preserve">the </w:t>
      </w:r>
      <w:r w:rsidRPr="00C47D2E">
        <w:rPr>
          <w:lang w:eastAsia="fr-CA"/>
        </w:rPr>
        <w:t xml:space="preserve">CT&amp;A </w:t>
      </w:r>
      <w:r w:rsidR="009D2202" w:rsidRPr="00C47D2E">
        <w:rPr>
          <w:lang w:eastAsia="fr-CA"/>
        </w:rPr>
        <w:t>Procedures</w:t>
      </w:r>
      <w:r w:rsidRPr="00C47D2E">
        <w:rPr>
          <w:lang w:eastAsia="fr-CA"/>
        </w:rPr>
        <w:t xml:space="preserve"> and </w:t>
      </w:r>
      <w:r w:rsidR="00CC65DE">
        <w:rPr>
          <w:lang w:eastAsia="fr-CA"/>
        </w:rPr>
        <w:t xml:space="preserve">a number of </w:t>
      </w:r>
      <w:r w:rsidRPr="00C47D2E">
        <w:rPr>
          <w:lang w:eastAsia="fr-CA"/>
        </w:rPr>
        <w:t xml:space="preserve">costs associated with the </w:t>
      </w:r>
      <w:r w:rsidR="00CC65DE">
        <w:rPr>
          <w:lang w:eastAsia="fr-CA"/>
        </w:rPr>
        <w:t xml:space="preserve">operation of the </w:t>
      </w:r>
      <w:r w:rsidR="002D664C">
        <w:rPr>
          <w:lang w:eastAsia="fr-CA"/>
        </w:rPr>
        <w:t xml:space="preserve">Code </w:t>
      </w:r>
      <w:r w:rsidRPr="00C47D2E">
        <w:rPr>
          <w:lang w:eastAsia="fr-CA"/>
        </w:rPr>
        <w:t>Panel</w:t>
      </w:r>
      <w:r w:rsidR="009D2202" w:rsidRPr="00C47D2E">
        <w:rPr>
          <w:lang w:eastAsia="fr-CA"/>
        </w:rPr>
        <w:t>.</w:t>
      </w:r>
    </w:p>
    <w:p w14:paraId="4A556947" w14:textId="77777777" w:rsidR="00CC65DE" w:rsidRDefault="00CC65DE" w:rsidP="003702EB">
      <w:pPr>
        <w:pStyle w:val="BodyText"/>
        <w:spacing w:before="60" w:after="60" w:line="252" w:lineRule="auto"/>
        <w:rPr>
          <w:lang w:eastAsia="fr-CA"/>
        </w:rPr>
      </w:pPr>
      <w:r>
        <w:rPr>
          <w:lang w:eastAsia="fr-CA"/>
        </w:rPr>
        <w:lastRenderedPageBreak/>
        <w:t xml:space="preserve">The functions and powers </w:t>
      </w:r>
      <w:r w:rsidR="00064E78">
        <w:rPr>
          <w:lang w:eastAsia="fr-CA"/>
        </w:rPr>
        <w:t xml:space="preserve">set out above </w:t>
      </w:r>
      <w:r>
        <w:rPr>
          <w:lang w:eastAsia="fr-CA"/>
        </w:rPr>
        <w:t xml:space="preserve">are in addition to the </w:t>
      </w:r>
      <w:r w:rsidR="001A3570">
        <w:rPr>
          <w:lang w:eastAsia="fr-CA"/>
        </w:rPr>
        <w:t xml:space="preserve">existing </w:t>
      </w:r>
      <w:r>
        <w:rPr>
          <w:lang w:eastAsia="fr-CA"/>
        </w:rPr>
        <w:t xml:space="preserve">powers that AEMO has under the NGL </w:t>
      </w:r>
      <w:r w:rsidR="009D723E">
        <w:rPr>
          <w:lang w:eastAsia="fr-CA"/>
        </w:rPr>
        <w:t xml:space="preserve">and NGR </w:t>
      </w:r>
      <w:r>
        <w:rPr>
          <w:lang w:eastAsia="fr-CA"/>
        </w:rPr>
        <w:t>to:</w:t>
      </w:r>
    </w:p>
    <w:p w14:paraId="49B49D3D" w14:textId="77777777" w:rsidR="00CC65DE" w:rsidRDefault="007A5171" w:rsidP="003702EB">
      <w:pPr>
        <w:pStyle w:val="ListBullet"/>
        <w:spacing w:before="60" w:after="60" w:line="252" w:lineRule="auto"/>
        <w:rPr>
          <w:lang w:eastAsia="fr-CA"/>
        </w:rPr>
      </w:pPr>
      <w:r>
        <w:rPr>
          <w:lang w:eastAsia="fr-CA"/>
        </w:rPr>
        <w:t>o</w:t>
      </w:r>
      <w:r w:rsidR="00CC65DE">
        <w:rPr>
          <w:lang w:eastAsia="fr-CA"/>
        </w:rPr>
        <w:t>perate and administer the gas trading exchange, which the capacity trading platform will form part of;</w:t>
      </w:r>
    </w:p>
    <w:p w14:paraId="3100FBD6" w14:textId="77777777" w:rsidR="00CC65DE" w:rsidRDefault="007A5171" w:rsidP="003702EB">
      <w:pPr>
        <w:pStyle w:val="ListBullet"/>
        <w:spacing w:before="60" w:after="60" w:line="252" w:lineRule="auto"/>
        <w:rPr>
          <w:lang w:eastAsia="fr-CA"/>
        </w:rPr>
      </w:pPr>
      <w:r>
        <w:rPr>
          <w:lang w:eastAsia="fr-CA"/>
        </w:rPr>
        <w:t>o</w:t>
      </w:r>
      <w:r w:rsidR="00CC65DE">
        <w:rPr>
          <w:lang w:eastAsia="fr-CA"/>
        </w:rPr>
        <w:t>perate and maintain the Bulletin Board, which will be used to report a range of capacity trading and auction related information;</w:t>
      </w:r>
      <w:r>
        <w:rPr>
          <w:lang w:eastAsia="fr-CA"/>
        </w:rPr>
        <w:t xml:space="preserve"> and</w:t>
      </w:r>
    </w:p>
    <w:p w14:paraId="0DCA0FF2" w14:textId="77777777" w:rsidR="00CC65DE" w:rsidRDefault="007A5171" w:rsidP="003702EB">
      <w:pPr>
        <w:pStyle w:val="ListBullet"/>
        <w:spacing w:before="60" w:after="60" w:line="252" w:lineRule="auto"/>
        <w:rPr>
          <w:lang w:eastAsia="fr-CA"/>
        </w:rPr>
      </w:pPr>
      <w:r>
        <w:rPr>
          <w:lang w:eastAsia="fr-CA"/>
        </w:rPr>
        <w:t>m</w:t>
      </w:r>
      <w:r w:rsidR="00CC65DE">
        <w:rPr>
          <w:lang w:eastAsia="fr-CA"/>
        </w:rPr>
        <w:t xml:space="preserve">ake and amend a range of procedures and subordinate instruments that will be affected by the introduction of the capacity trading reforms, including the Bulletin Board, Short Term Trading Market (STTM), Declared Wholesale Gas Market (DWGM) and </w:t>
      </w:r>
      <w:r>
        <w:rPr>
          <w:lang w:eastAsia="fr-CA"/>
        </w:rPr>
        <w:t>retail market procedures.</w:t>
      </w:r>
    </w:p>
    <w:p w14:paraId="1BD26A2B" w14:textId="3C513D4F" w:rsidR="007A5171" w:rsidRDefault="007A5171" w:rsidP="003702EB">
      <w:pPr>
        <w:pStyle w:val="BodyText"/>
        <w:spacing w:after="60" w:line="252" w:lineRule="auto"/>
        <w:rPr>
          <w:lang w:eastAsia="fr-CA"/>
        </w:rPr>
      </w:pPr>
      <w:r>
        <w:rPr>
          <w:lang w:eastAsia="fr-CA"/>
        </w:rPr>
        <w:t xml:space="preserve">To enable AEMO to perform a number of these functions, service providers, shippers and </w:t>
      </w:r>
      <w:r w:rsidR="00CD3656">
        <w:rPr>
          <w:lang w:eastAsia="fr-CA"/>
        </w:rPr>
        <w:t xml:space="preserve">other </w:t>
      </w:r>
      <w:r>
        <w:rPr>
          <w:lang w:eastAsia="fr-CA"/>
        </w:rPr>
        <w:t xml:space="preserve">market participants will be required to provide </w:t>
      </w:r>
      <w:r w:rsidR="00EB2655">
        <w:rPr>
          <w:lang w:eastAsia="fr-CA"/>
        </w:rPr>
        <w:t xml:space="preserve">to </w:t>
      </w:r>
      <w:r>
        <w:rPr>
          <w:lang w:eastAsia="fr-CA"/>
        </w:rPr>
        <w:t>AEMO a range of information. For example:</w:t>
      </w:r>
    </w:p>
    <w:p w14:paraId="723FB063" w14:textId="13A9CC34" w:rsidR="007A5171" w:rsidRDefault="00B027C1" w:rsidP="003702EB">
      <w:pPr>
        <w:pStyle w:val="ListBullet"/>
        <w:spacing w:before="60" w:after="60" w:line="252" w:lineRule="auto"/>
        <w:rPr>
          <w:lang w:eastAsia="fr-CA"/>
        </w:rPr>
      </w:pPr>
      <w:r>
        <w:rPr>
          <w:lang w:eastAsia="fr-CA"/>
        </w:rPr>
        <w:t xml:space="preserve">a person that has possession or control of </w:t>
      </w:r>
      <w:r w:rsidR="007A5171">
        <w:rPr>
          <w:lang w:eastAsia="fr-CA"/>
        </w:rPr>
        <w:t xml:space="preserve">information that relates to and is necessary for the operation and administration of the day-ahead auction </w:t>
      </w:r>
      <w:r w:rsidR="000E33A2">
        <w:rPr>
          <w:lang w:eastAsia="fr-CA"/>
        </w:rPr>
        <w:t>(</w:t>
      </w:r>
      <w:r w:rsidR="004F0C09">
        <w:rPr>
          <w:lang w:eastAsia="fr-CA"/>
        </w:rPr>
        <w:t xml:space="preserve">or </w:t>
      </w:r>
      <w:r w:rsidR="000E33A2">
        <w:rPr>
          <w:lang w:eastAsia="fr-CA"/>
        </w:rPr>
        <w:t xml:space="preserve">AEMO’s </w:t>
      </w:r>
      <w:r w:rsidR="004F0C09">
        <w:rPr>
          <w:lang w:eastAsia="fr-CA"/>
        </w:rPr>
        <w:t>performance of any other auction functions</w:t>
      </w:r>
      <w:r w:rsidR="000E33A2">
        <w:rPr>
          <w:lang w:eastAsia="fr-CA"/>
        </w:rPr>
        <w:t>)</w:t>
      </w:r>
      <w:r w:rsidR="004F0C09">
        <w:rPr>
          <w:lang w:eastAsia="fr-CA"/>
        </w:rPr>
        <w:t xml:space="preserve"> </w:t>
      </w:r>
      <w:r w:rsidR="007A5171">
        <w:rPr>
          <w:lang w:eastAsia="fr-CA"/>
        </w:rPr>
        <w:t>must provide that information to AEMO if required by the NGR or the procedures</w:t>
      </w:r>
      <w:r>
        <w:rPr>
          <w:lang w:eastAsia="fr-CA"/>
        </w:rPr>
        <w:t>;</w:t>
      </w:r>
      <w:r w:rsidR="004F0C09">
        <w:rPr>
          <w:rStyle w:val="FootnoteReference"/>
          <w:lang w:eastAsia="fr-CA"/>
        </w:rPr>
        <w:footnoteReference w:id="5"/>
      </w:r>
    </w:p>
    <w:p w14:paraId="105EABB9" w14:textId="740BABD2" w:rsidR="00B027C1" w:rsidRPr="00C47D2E" w:rsidRDefault="00B027C1" w:rsidP="003702EB">
      <w:pPr>
        <w:pStyle w:val="ListBullet"/>
        <w:spacing w:before="60" w:after="60" w:line="252" w:lineRule="auto"/>
        <w:rPr>
          <w:lang w:eastAsia="fr-CA"/>
        </w:rPr>
      </w:pPr>
      <w:r>
        <w:rPr>
          <w:lang w:eastAsia="fr-CA"/>
        </w:rPr>
        <w:t xml:space="preserve">a person that has possession or control of information regarding secondary capacity </w:t>
      </w:r>
      <w:r w:rsidR="00EB2655">
        <w:rPr>
          <w:lang w:eastAsia="fr-CA"/>
        </w:rPr>
        <w:t xml:space="preserve">transactions </w:t>
      </w:r>
      <w:r>
        <w:rPr>
          <w:lang w:eastAsia="fr-CA"/>
        </w:rPr>
        <w:t>must provide that information to AEMO if required by the NGR; and</w:t>
      </w:r>
    </w:p>
    <w:p w14:paraId="1AEE7F19" w14:textId="7ECB9BAF" w:rsidR="007A5171" w:rsidRPr="00B027C1" w:rsidRDefault="00B027C1" w:rsidP="003702EB">
      <w:pPr>
        <w:pStyle w:val="ListBullet"/>
        <w:spacing w:before="60" w:after="60" w:line="252" w:lineRule="auto"/>
        <w:rPr>
          <w:lang w:eastAsia="fr-CA"/>
        </w:rPr>
      </w:pPr>
      <w:r>
        <w:rPr>
          <w:lang w:eastAsia="fr-CA"/>
        </w:rPr>
        <w:t>a person that has possession or control o</w:t>
      </w:r>
      <w:r w:rsidR="000E33A2">
        <w:rPr>
          <w:lang w:eastAsia="fr-CA"/>
        </w:rPr>
        <w:t>f</w:t>
      </w:r>
      <w:r>
        <w:rPr>
          <w:lang w:eastAsia="fr-CA"/>
        </w:rPr>
        <w:t xml:space="preserve"> information regarding allocation arrangements must provide that information to AEMO if required by the NGR</w:t>
      </w:r>
      <w:r>
        <w:rPr>
          <w:rFonts w:asciiTheme="majorHAnsi" w:hAnsiTheme="majorHAnsi" w:cstheme="majorHAnsi"/>
          <w:szCs w:val="18"/>
        </w:rPr>
        <w:t>.</w:t>
      </w:r>
    </w:p>
    <w:p w14:paraId="4EF28EA0" w14:textId="73353221" w:rsidR="00023A3E" w:rsidRDefault="00023A3E" w:rsidP="00023A3E">
      <w:pPr>
        <w:pStyle w:val="ListBullet"/>
        <w:numPr>
          <w:ilvl w:val="0"/>
          <w:numId w:val="0"/>
        </w:numPr>
        <w:spacing w:before="240" w:line="252" w:lineRule="auto"/>
        <w:rPr>
          <w:rFonts w:eastAsiaTheme="minorEastAsia"/>
        </w:rPr>
      </w:pPr>
      <w:r>
        <w:rPr>
          <w:rFonts w:eastAsiaTheme="minorEastAsia"/>
        </w:rPr>
        <w:t>Further information on these reporting obligations can be found in the Information Paper.</w:t>
      </w:r>
    </w:p>
    <w:p w14:paraId="4A8E9FF9" w14:textId="775412C7" w:rsidR="00B027C1" w:rsidRPr="002C2821" w:rsidRDefault="00B027C1" w:rsidP="002D664C">
      <w:pPr>
        <w:pStyle w:val="BodyText"/>
        <w:spacing w:line="252" w:lineRule="auto"/>
        <w:rPr>
          <w:rFonts w:eastAsiaTheme="minorEastAsia"/>
        </w:rPr>
      </w:pPr>
      <w:r>
        <w:rPr>
          <w:rFonts w:eastAsiaTheme="minorEastAsia"/>
        </w:rPr>
        <w:t xml:space="preserve">A person that is subject to </w:t>
      </w:r>
      <w:r w:rsidR="004F0C09">
        <w:rPr>
          <w:rFonts w:eastAsiaTheme="minorEastAsia"/>
        </w:rPr>
        <w:t xml:space="preserve">any of these </w:t>
      </w:r>
      <w:r>
        <w:rPr>
          <w:rFonts w:eastAsiaTheme="minorEastAsia"/>
        </w:rPr>
        <w:t xml:space="preserve">reporting obligations </w:t>
      </w:r>
      <w:r w:rsidR="004F0C09">
        <w:rPr>
          <w:rFonts w:eastAsiaTheme="minorEastAsia"/>
        </w:rPr>
        <w:t>will not be able to rely on a duty of confidence to avoid compl</w:t>
      </w:r>
      <w:r w:rsidR="00064E78">
        <w:rPr>
          <w:rFonts w:eastAsiaTheme="minorEastAsia"/>
        </w:rPr>
        <w:t xml:space="preserve">iance </w:t>
      </w:r>
      <w:r w:rsidR="004F0C09">
        <w:rPr>
          <w:rFonts w:eastAsiaTheme="minorEastAsia"/>
        </w:rPr>
        <w:t>and will be prohibited from providing information to AEMO that they know is false or misleading.</w:t>
      </w:r>
      <w:r w:rsidR="004F0C09">
        <w:rPr>
          <w:rStyle w:val="FootnoteReference"/>
          <w:rFonts w:eastAsiaTheme="minorEastAsia"/>
        </w:rPr>
        <w:footnoteReference w:id="6"/>
      </w:r>
      <w:r w:rsidR="004F0C09">
        <w:rPr>
          <w:rFonts w:eastAsiaTheme="minorEastAsia"/>
        </w:rPr>
        <w:t xml:space="preserve"> </w:t>
      </w:r>
      <w:r w:rsidR="002C2821">
        <w:rPr>
          <w:rFonts w:eastAsiaTheme="minorEastAsia"/>
        </w:rPr>
        <w:t xml:space="preserve">A person that is subject to a reporting obligation will also be subject to the information standard set out in the NGR, which is </w:t>
      </w:r>
      <w:r w:rsidR="000E33A2">
        <w:rPr>
          <w:rFonts w:eastAsiaTheme="minorEastAsia"/>
        </w:rPr>
        <w:t>similar</w:t>
      </w:r>
      <w:r w:rsidR="002C2821">
        <w:rPr>
          <w:rFonts w:eastAsiaTheme="minorEastAsia"/>
        </w:rPr>
        <w:t xml:space="preserve"> to the standard that </w:t>
      </w:r>
      <w:r w:rsidR="009D723E">
        <w:rPr>
          <w:rFonts w:eastAsiaTheme="minorEastAsia"/>
        </w:rPr>
        <w:t xml:space="preserve">will apply </w:t>
      </w:r>
      <w:r w:rsidR="002C2821">
        <w:rPr>
          <w:rFonts w:eastAsiaTheme="minorEastAsia"/>
        </w:rPr>
        <w:t xml:space="preserve">to </w:t>
      </w:r>
      <w:r w:rsidR="009D723E">
        <w:rPr>
          <w:rFonts w:eastAsiaTheme="minorEastAsia"/>
        </w:rPr>
        <w:t xml:space="preserve">the </w:t>
      </w:r>
      <w:r w:rsidR="002C2821">
        <w:rPr>
          <w:rFonts w:eastAsiaTheme="minorEastAsia"/>
        </w:rPr>
        <w:t>Bulletin Board</w:t>
      </w:r>
      <w:r w:rsidR="009D723E">
        <w:rPr>
          <w:rFonts w:eastAsiaTheme="minorEastAsia"/>
        </w:rPr>
        <w:t xml:space="preserve"> from 30 September 2018</w:t>
      </w:r>
      <w:r w:rsidR="002C2821">
        <w:rPr>
          <w:rFonts w:eastAsiaTheme="minorEastAsia"/>
        </w:rPr>
        <w:t>.</w:t>
      </w:r>
      <w:r w:rsidR="009D723E">
        <w:rPr>
          <w:rStyle w:val="FootnoteReference"/>
          <w:rFonts w:eastAsiaTheme="minorEastAsia"/>
        </w:rPr>
        <w:footnoteReference w:id="7"/>
      </w:r>
    </w:p>
    <w:p w14:paraId="5C9BEEA5" w14:textId="012F186E" w:rsidR="00DA5180" w:rsidRPr="00576108" w:rsidRDefault="00023A3E" w:rsidP="00F272F8">
      <w:pPr>
        <w:pStyle w:val="Heading1"/>
        <w:spacing w:after="120" w:line="252" w:lineRule="auto"/>
        <w:rPr>
          <w:color w:val="0099CC"/>
          <w:sz w:val="26"/>
          <w:szCs w:val="26"/>
        </w:rPr>
      </w:pPr>
      <w:r>
        <w:rPr>
          <w:color w:val="0099CC"/>
          <w:sz w:val="26"/>
          <w:szCs w:val="26"/>
        </w:rPr>
        <w:t>Capacity Transfer and Auction</w:t>
      </w:r>
      <w:r w:rsidR="00B331E5" w:rsidRPr="00576108">
        <w:rPr>
          <w:color w:val="0099CC"/>
          <w:sz w:val="26"/>
          <w:szCs w:val="26"/>
        </w:rPr>
        <w:t xml:space="preserve"> Procedures </w:t>
      </w:r>
    </w:p>
    <w:p w14:paraId="651F0BF4" w14:textId="77777777" w:rsidR="00C831DD" w:rsidRDefault="00B331E5" w:rsidP="00C831DD">
      <w:pPr>
        <w:pStyle w:val="Tabletext"/>
        <w:spacing w:before="40" w:after="40" w:line="252" w:lineRule="auto"/>
        <w:rPr>
          <w:rFonts w:asciiTheme="majorHAnsi" w:hAnsiTheme="majorHAnsi" w:cstheme="majorHAnsi"/>
        </w:rPr>
      </w:pPr>
      <w:r w:rsidRPr="00172BE1">
        <w:t xml:space="preserve">The </w:t>
      </w:r>
      <w:r w:rsidR="001518FB">
        <w:t xml:space="preserve">CT&amp;A </w:t>
      </w:r>
      <w:r w:rsidRPr="00172BE1">
        <w:t>Procedures</w:t>
      </w:r>
      <w:r w:rsidR="001518FB">
        <w:t xml:space="preserve"> are a statutory instrument </w:t>
      </w:r>
      <w:r w:rsidR="001518FB">
        <w:rPr>
          <w:lang w:eastAsia="fr-CA"/>
        </w:rPr>
        <w:t xml:space="preserve">directed at the effective operation and administration of the </w:t>
      </w:r>
      <w:r w:rsidR="001A3570">
        <w:rPr>
          <w:lang w:eastAsia="fr-CA"/>
        </w:rPr>
        <w:t xml:space="preserve">day-ahead </w:t>
      </w:r>
      <w:r w:rsidR="00EB2655">
        <w:rPr>
          <w:lang w:eastAsia="fr-CA"/>
        </w:rPr>
        <w:t xml:space="preserve">auction </w:t>
      </w:r>
      <w:r w:rsidR="001518FB">
        <w:rPr>
          <w:lang w:eastAsia="fr-CA"/>
        </w:rPr>
        <w:t>and transaction support arrangements</w:t>
      </w:r>
      <w:r w:rsidR="00EB2655">
        <w:rPr>
          <w:lang w:eastAsia="fr-CA"/>
        </w:rPr>
        <w:t>. The transaction support arrangements</w:t>
      </w:r>
      <w:r w:rsidR="001A3570">
        <w:rPr>
          <w:lang w:eastAsia="fr-CA"/>
        </w:rPr>
        <w:t xml:space="preserve"> </w:t>
      </w:r>
      <w:r w:rsidR="00EB2655">
        <w:rPr>
          <w:lang w:eastAsia="fr-CA"/>
        </w:rPr>
        <w:t xml:space="preserve">will </w:t>
      </w:r>
      <w:r w:rsidR="001A3570">
        <w:t>facilitate transactions conducted through the capacity trading platform and auction</w:t>
      </w:r>
      <w:r w:rsidR="001518FB">
        <w:rPr>
          <w:lang w:eastAsia="fr-CA"/>
        </w:rPr>
        <w:t>.</w:t>
      </w:r>
      <w:r w:rsidR="001518FB">
        <w:rPr>
          <w:rFonts w:asciiTheme="majorHAnsi" w:hAnsiTheme="majorHAnsi" w:cstheme="majorHAnsi"/>
        </w:rPr>
        <w:t xml:space="preserve"> </w:t>
      </w:r>
    </w:p>
    <w:p w14:paraId="731A6B93" w14:textId="4EB44BAA" w:rsidR="00F907FB" w:rsidRDefault="0097113C" w:rsidP="00C831DD">
      <w:pPr>
        <w:pStyle w:val="Tabletext"/>
        <w:spacing w:before="200" w:after="40" w:line="252" w:lineRule="auto"/>
      </w:pPr>
      <w:r>
        <w:rPr>
          <w:rFonts w:asciiTheme="majorHAnsi" w:hAnsiTheme="majorHAnsi" w:cstheme="majorHAnsi"/>
        </w:rPr>
        <w:t>An overview of t</w:t>
      </w:r>
      <w:r w:rsidR="001518FB">
        <w:rPr>
          <w:rFonts w:asciiTheme="majorHAnsi" w:hAnsiTheme="majorHAnsi" w:cstheme="majorHAnsi"/>
        </w:rPr>
        <w:t xml:space="preserve">he matters that may be dealt with </w:t>
      </w:r>
      <w:r w:rsidR="00B331E5" w:rsidRPr="00172BE1">
        <w:rPr>
          <w:rFonts w:asciiTheme="majorHAnsi" w:hAnsiTheme="majorHAnsi" w:cstheme="majorHAnsi"/>
        </w:rPr>
        <w:t xml:space="preserve">in the </w:t>
      </w:r>
      <w:r w:rsidR="001518FB">
        <w:rPr>
          <w:rFonts w:asciiTheme="majorHAnsi" w:hAnsiTheme="majorHAnsi" w:cstheme="majorHAnsi"/>
        </w:rPr>
        <w:t xml:space="preserve">CT&amp;A </w:t>
      </w:r>
      <w:r w:rsidR="00B331E5" w:rsidRPr="00172BE1">
        <w:rPr>
          <w:rFonts w:asciiTheme="majorHAnsi" w:hAnsiTheme="majorHAnsi" w:cstheme="majorHAnsi"/>
        </w:rPr>
        <w:t>Procedures</w:t>
      </w:r>
      <w:r w:rsidR="001518FB">
        <w:rPr>
          <w:rFonts w:asciiTheme="majorHAnsi" w:hAnsiTheme="majorHAnsi" w:cstheme="majorHAnsi"/>
        </w:rPr>
        <w:t xml:space="preserve"> </w:t>
      </w:r>
      <w:r>
        <w:rPr>
          <w:rFonts w:asciiTheme="majorHAnsi" w:hAnsiTheme="majorHAnsi" w:cstheme="majorHAnsi"/>
        </w:rPr>
        <w:t xml:space="preserve">is provided </w:t>
      </w:r>
      <w:r w:rsidR="00F272F8">
        <w:rPr>
          <w:rFonts w:asciiTheme="majorHAnsi" w:hAnsiTheme="majorHAnsi" w:cstheme="majorHAnsi"/>
        </w:rPr>
        <w:t xml:space="preserve">in </w:t>
      </w:r>
      <w:r w:rsidR="009D723E">
        <w:t>Table 3.1</w:t>
      </w:r>
      <w:r>
        <w:t>.</w:t>
      </w:r>
      <w:r w:rsidR="00023A3E">
        <w:rPr>
          <w:rStyle w:val="FootnoteReference"/>
        </w:rPr>
        <w:footnoteReference w:id="8"/>
      </w:r>
      <w:r w:rsidR="007B1CE7">
        <w:t xml:space="preserve"> </w:t>
      </w:r>
      <w:r w:rsidR="00EB2655">
        <w:t>In th</w:t>
      </w:r>
      <w:r w:rsidR="00C831DD">
        <w:t>is</w:t>
      </w:r>
      <w:r w:rsidR="007B1CE7">
        <w:t xml:space="preserve"> table, the term ‘facility operator’ is used to refer to the service provider</w:t>
      </w:r>
      <w:r w:rsidR="00DA778E">
        <w:rPr>
          <w:rStyle w:val="FootnoteReference"/>
        </w:rPr>
        <w:footnoteReference w:id="9"/>
      </w:r>
      <w:r w:rsidR="007B1CE7">
        <w:t xml:space="preserve"> </w:t>
      </w:r>
      <w:r w:rsidR="00C831DD">
        <w:t xml:space="preserve">that is </w:t>
      </w:r>
      <w:r w:rsidR="007B1CE7">
        <w:t xml:space="preserve">registered </w:t>
      </w:r>
      <w:r w:rsidR="003702EB">
        <w:t xml:space="preserve">to perform the obligations and exercise the rights of a facility operator under the </w:t>
      </w:r>
      <w:r w:rsidR="007B1CE7">
        <w:t xml:space="preserve">transaction support </w:t>
      </w:r>
      <w:r w:rsidR="003702EB">
        <w:t>arrangements and auction</w:t>
      </w:r>
      <w:r w:rsidR="00C831DD">
        <w:t xml:space="preserve">, which </w:t>
      </w:r>
      <w:r w:rsidR="003702EB">
        <w:t>may differ from the service provider that is required to comply with other obligations under the reform</w:t>
      </w:r>
      <w:r w:rsidR="00C831DD">
        <w:t>s</w:t>
      </w:r>
      <w:r w:rsidR="003702EB">
        <w:t>.</w:t>
      </w:r>
    </w:p>
    <w:p w14:paraId="579DE1BC" w14:textId="77777777" w:rsidR="00CC77AF" w:rsidRDefault="00CC77AF" w:rsidP="001518FB">
      <w:pPr>
        <w:pStyle w:val="BodyText"/>
        <w:rPr>
          <w:rFonts w:asciiTheme="majorHAnsi" w:hAnsiTheme="majorHAnsi" w:cstheme="majorHAnsi"/>
        </w:rPr>
        <w:sectPr w:rsidR="00CC77AF" w:rsidSect="000E33A2">
          <w:headerReference w:type="even" r:id="rId8"/>
          <w:headerReference w:type="default" r:id="rId9"/>
          <w:footerReference w:type="even" r:id="rId10"/>
          <w:footerReference w:type="default" r:id="rId11"/>
          <w:headerReference w:type="first" r:id="rId12"/>
          <w:footerReference w:type="first" r:id="rId13"/>
          <w:pgSz w:w="11906" w:h="16838" w:code="9"/>
          <w:pgMar w:top="1985" w:right="1418" w:bottom="992" w:left="1701" w:header="568" w:footer="601" w:gutter="0"/>
          <w:cols w:space="708"/>
          <w:titlePg/>
          <w:docGrid w:linePitch="360"/>
        </w:sectPr>
      </w:pPr>
    </w:p>
    <w:p w14:paraId="5EE9C289" w14:textId="77777777" w:rsidR="00D80626" w:rsidRPr="00CA2A58" w:rsidRDefault="00D80626" w:rsidP="00CA2A58">
      <w:pPr>
        <w:pStyle w:val="Caption"/>
        <w:spacing w:before="0" w:after="0"/>
        <w:rPr>
          <w:rFonts w:asciiTheme="majorHAnsi" w:hAnsiTheme="majorHAnsi" w:cstheme="majorHAnsi"/>
        </w:rPr>
      </w:pPr>
      <w:r w:rsidRPr="00CA2A58">
        <w:rPr>
          <w:rFonts w:asciiTheme="majorHAnsi" w:hAnsiTheme="majorHAnsi" w:cstheme="majorHAnsi"/>
        </w:rPr>
        <w:lastRenderedPageBreak/>
        <w:t xml:space="preserve">Table </w:t>
      </w:r>
      <w:r w:rsidRPr="00CA2A58">
        <w:rPr>
          <w:rFonts w:asciiTheme="majorHAnsi" w:hAnsiTheme="majorHAnsi" w:cstheme="majorHAnsi"/>
        </w:rPr>
        <w:fldChar w:fldCharType="begin"/>
      </w:r>
      <w:r w:rsidRPr="00CA2A58">
        <w:rPr>
          <w:rFonts w:asciiTheme="majorHAnsi" w:hAnsiTheme="majorHAnsi" w:cstheme="majorHAnsi"/>
        </w:rPr>
        <w:instrText xml:space="preserve"> STYLEREF 1 \s </w:instrText>
      </w:r>
      <w:r w:rsidRPr="00CA2A58">
        <w:rPr>
          <w:rFonts w:asciiTheme="majorHAnsi" w:hAnsiTheme="majorHAnsi" w:cstheme="majorHAnsi"/>
        </w:rPr>
        <w:fldChar w:fldCharType="separate"/>
      </w:r>
      <w:r w:rsidR="003C796F">
        <w:rPr>
          <w:rFonts w:asciiTheme="majorHAnsi" w:hAnsiTheme="majorHAnsi" w:cstheme="majorHAnsi"/>
          <w:noProof/>
        </w:rPr>
        <w:t>3</w:t>
      </w:r>
      <w:r w:rsidRPr="00CA2A58">
        <w:rPr>
          <w:rFonts w:asciiTheme="majorHAnsi" w:hAnsiTheme="majorHAnsi" w:cstheme="majorHAnsi"/>
        </w:rPr>
        <w:fldChar w:fldCharType="end"/>
      </w:r>
      <w:r w:rsidRPr="00CA2A58">
        <w:rPr>
          <w:rFonts w:asciiTheme="majorHAnsi" w:hAnsiTheme="majorHAnsi" w:cstheme="majorHAnsi"/>
        </w:rPr>
        <w:t>.</w:t>
      </w:r>
      <w:r w:rsidRPr="00CA2A58">
        <w:rPr>
          <w:rFonts w:asciiTheme="majorHAnsi" w:hAnsiTheme="majorHAnsi" w:cstheme="majorHAnsi"/>
        </w:rPr>
        <w:fldChar w:fldCharType="begin"/>
      </w:r>
      <w:r w:rsidRPr="00CA2A58">
        <w:rPr>
          <w:rFonts w:asciiTheme="majorHAnsi" w:hAnsiTheme="majorHAnsi" w:cstheme="majorHAnsi"/>
        </w:rPr>
        <w:instrText xml:space="preserve"> SEQ Table \* ARABIC \s 1 </w:instrText>
      </w:r>
      <w:r w:rsidRPr="00CA2A58">
        <w:rPr>
          <w:rFonts w:asciiTheme="majorHAnsi" w:hAnsiTheme="majorHAnsi" w:cstheme="majorHAnsi"/>
        </w:rPr>
        <w:fldChar w:fldCharType="separate"/>
      </w:r>
      <w:r w:rsidR="003C796F">
        <w:rPr>
          <w:rFonts w:asciiTheme="majorHAnsi" w:hAnsiTheme="majorHAnsi" w:cstheme="majorHAnsi"/>
          <w:noProof/>
        </w:rPr>
        <w:t>1</w:t>
      </w:r>
      <w:r w:rsidRPr="00CA2A58">
        <w:rPr>
          <w:rFonts w:asciiTheme="majorHAnsi" w:hAnsiTheme="majorHAnsi" w:cstheme="majorHAnsi"/>
        </w:rPr>
        <w:fldChar w:fldCharType="end"/>
      </w:r>
      <w:r w:rsidRPr="00CA2A58">
        <w:rPr>
          <w:rFonts w:asciiTheme="majorHAnsi" w:hAnsiTheme="majorHAnsi" w:cstheme="majorHAnsi"/>
        </w:rPr>
        <w:t xml:space="preserve">: </w:t>
      </w:r>
      <w:r w:rsidR="00CA2A58" w:rsidRPr="00CA2A58">
        <w:rPr>
          <w:rFonts w:asciiTheme="majorHAnsi" w:hAnsiTheme="majorHAnsi" w:cstheme="majorHAnsi"/>
        </w:rPr>
        <w:t>Matters to be dealt with in the CT&amp;A Procedures</w:t>
      </w:r>
    </w:p>
    <w:tbl>
      <w:tblPr>
        <w:tblStyle w:val="TableGrid"/>
        <w:tblW w:w="14601" w:type="dxa"/>
        <w:tblInd w:w="-142" w:type="dxa"/>
        <w:tblLook w:val="04A0" w:firstRow="1" w:lastRow="0" w:firstColumn="1" w:lastColumn="0" w:noHBand="0" w:noVBand="1"/>
      </w:tblPr>
      <w:tblGrid>
        <w:gridCol w:w="1855"/>
        <w:gridCol w:w="1543"/>
        <w:gridCol w:w="11203"/>
      </w:tblGrid>
      <w:tr w:rsidR="00D80626" w:rsidRPr="007C25A6" w14:paraId="44594B3B" w14:textId="77777777" w:rsidTr="009963D5">
        <w:trPr>
          <w:cnfStyle w:val="100000000000" w:firstRow="1" w:lastRow="0" w:firstColumn="0" w:lastColumn="0" w:oddVBand="0" w:evenVBand="0" w:oddHBand="0" w:evenHBand="0" w:firstRowFirstColumn="0" w:firstRowLastColumn="0" w:lastRowFirstColumn="0" w:lastRowLastColumn="0"/>
          <w:tblHeader/>
        </w:trPr>
        <w:tc>
          <w:tcPr>
            <w:tcW w:w="14601" w:type="dxa"/>
            <w:gridSpan w:val="3"/>
            <w:tcBorders>
              <w:bottom w:val="single" w:sz="4" w:space="0" w:color="auto"/>
            </w:tcBorders>
            <w:shd w:val="clear" w:color="auto" w:fill="00B0F0"/>
          </w:tcPr>
          <w:p w14:paraId="48D8E86C" w14:textId="77777777" w:rsidR="00D80626" w:rsidRPr="007C25A6" w:rsidRDefault="00D80626" w:rsidP="007C25A6">
            <w:pPr>
              <w:spacing w:before="20" w:after="40" w:line="252" w:lineRule="auto"/>
              <w:jc w:val="center"/>
              <w:rPr>
                <w:rFonts w:asciiTheme="majorHAnsi" w:hAnsiTheme="majorHAnsi" w:cstheme="majorHAnsi"/>
                <w:b w:val="0"/>
                <w:szCs w:val="18"/>
              </w:rPr>
            </w:pPr>
            <w:r w:rsidRPr="007C25A6">
              <w:rPr>
                <w:rFonts w:asciiTheme="majorHAnsi" w:hAnsiTheme="majorHAnsi" w:cstheme="majorHAnsi"/>
                <w:szCs w:val="18"/>
              </w:rPr>
              <w:t xml:space="preserve">Subject matter for the </w:t>
            </w:r>
            <w:r w:rsidR="009963D5">
              <w:rPr>
                <w:rFonts w:asciiTheme="majorHAnsi" w:hAnsiTheme="majorHAnsi" w:cstheme="majorHAnsi"/>
                <w:szCs w:val="18"/>
              </w:rPr>
              <w:t>CT&amp;A Procedures</w:t>
            </w:r>
          </w:p>
        </w:tc>
      </w:tr>
      <w:tr w:rsidR="00BE49D5" w:rsidRPr="005E05DF" w14:paraId="3388F852" w14:textId="77777777" w:rsidTr="009963D5">
        <w:tc>
          <w:tcPr>
            <w:tcW w:w="14601" w:type="dxa"/>
            <w:gridSpan w:val="3"/>
            <w:shd w:val="clear" w:color="auto" w:fill="65697F" w:themeFill="background2" w:themeFillShade="80"/>
          </w:tcPr>
          <w:p w14:paraId="30A7E1AA" w14:textId="77777777" w:rsidR="00BE49D5" w:rsidRPr="005E05DF" w:rsidRDefault="00BE49D5" w:rsidP="007C25A6">
            <w:pPr>
              <w:pStyle w:val="Tabletext"/>
              <w:spacing w:before="20" w:after="40" w:line="252" w:lineRule="auto"/>
              <w:jc w:val="center"/>
              <w:rPr>
                <w:rFonts w:asciiTheme="majorHAnsi" w:hAnsiTheme="majorHAnsi" w:cstheme="majorHAnsi"/>
                <w:b/>
                <w:sz w:val="17"/>
                <w:szCs w:val="17"/>
              </w:rPr>
            </w:pPr>
            <w:r w:rsidRPr="005E05DF">
              <w:rPr>
                <w:rFonts w:asciiTheme="majorHAnsi" w:hAnsiTheme="majorHAnsi" w:cstheme="majorHAnsi"/>
                <w:b/>
                <w:color w:val="FFFFFF" w:themeColor="background1"/>
                <w:sz w:val="17"/>
                <w:szCs w:val="17"/>
              </w:rPr>
              <w:t>Registration</w:t>
            </w:r>
          </w:p>
        </w:tc>
      </w:tr>
      <w:tr w:rsidR="00D80626" w:rsidRPr="005E05DF" w14:paraId="56EBC524" w14:textId="77777777" w:rsidTr="009963D5">
        <w:trPr>
          <w:cnfStyle w:val="000000010000" w:firstRow="0" w:lastRow="0" w:firstColumn="0" w:lastColumn="0" w:oddVBand="0" w:evenVBand="0" w:oddHBand="0" w:evenHBand="1" w:firstRowFirstColumn="0" w:firstRowLastColumn="0" w:lastRowFirstColumn="0" w:lastRowLastColumn="0"/>
        </w:trPr>
        <w:tc>
          <w:tcPr>
            <w:tcW w:w="1855" w:type="dxa"/>
          </w:tcPr>
          <w:p w14:paraId="28AB3928" w14:textId="77777777" w:rsidR="00D80626" w:rsidRPr="005E05DF" w:rsidRDefault="00CA2A58" w:rsidP="001306DA">
            <w:pPr>
              <w:pStyle w:val="Tabletext"/>
              <w:spacing w:before="20" w:after="20" w:line="247" w:lineRule="auto"/>
              <w:rPr>
                <w:rFonts w:asciiTheme="majorHAnsi" w:hAnsiTheme="majorHAnsi" w:cstheme="majorHAnsi"/>
                <w:sz w:val="17"/>
                <w:szCs w:val="17"/>
              </w:rPr>
            </w:pPr>
            <w:r w:rsidRPr="005E05DF">
              <w:rPr>
                <w:rFonts w:asciiTheme="majorHAnsi" w:hAnsiTheme="majorHAnsi" w:cstheme="majorHAnsi"/>
                <w:sz w:val="17"/>
                <w:szCs w:val="17"/>
              </w:rPr>
              <w:t>R</w:t>
            </w:r>
            <w:r w:rsidR="00D80626" w:rsidRPr="005E05DF">
              <w:rPr>
                <w:rFonts w:asciiTheme="majorHAnsi" w:hAnsiTheme="majorHAnsi" w:cstheme="majorHAnsi"/>
                <w:sz w:val="17"/>
                <w:szCs w:val="17"/>
              </w:rPr>
              <w:t>egistration</w:t>
            </w:r>
            <w:r w:rsidR="00BE49D5" w:rsidRPr="005E05DF">
              <w:rPr>
                <w:rFonts w:asciiTheme="majorHAnsi" w:hAnsiTheme="majorHAnsi" w:cstheme="majorHAnsi"/>
                <w:sz w:val="17"/>
                <w:szCs w:val="17"/>
              </w:rPr>
              <w:t xml:space="preserve"> </w:t>
            </w:r>
            <w:r w:rsidR="001306DA">
              <w:rPr>
                <w:rFonts w:asciiTheme="majorHAnsi" w:hAnsiTheme="majorHAnsi" w:cstheme="majorHAnsi"/>
                <w:sz w:val="17"/>
                <w:szCs w:val="17"/>
              </w:rPr>
              <w:t>for transaction support arrangements and the auction</w:t>
            </w:r>
          </w:p>
        </w:tc>
        <w:tc>
          <w:tcPr>
            <w:tcW w:w="12746" w:type="dxa"/>
            <w:gridSpan w:val="2"/>
          </w:tcPr>
          <w:p w14:paraId="4BBC856D" w14:textId="77777777" w:rsidR="00CA2A58" w:rsidRPr="005E05DF" w:rsidRDefault="00D80626" w:rsidP="001306DA">
            <w:pPr>
              <w:pStyle w:val="Tabletext"/>
              <w:spacing w:before="20" w:after="20" w:line="247" w:lineRule="auto"/>
              <w:rPr>
                <w:rFonts w:asciiTheme="majorHAnsi" w:hAnsiTheme="majorHAnsi" w:cstheme="majorHAnsi"/>
                <w:sz w:val="17"/>
                <w:szCs w:val="17"/>
              </w:rPr>
            </w:pPr>
            <w:r w:rsidRPr="005E05DF">
              <w:rPr>
                <w:rFonts w:asciiTheme="majorHAnsi" w:hAnsiTheme="majorHAnsi" w:cstheme="majorHAnsi"/>
                <w:sz w:val="17"/>
                <w:szCs w:val="17"/>
              </w:rPr>
              <w:t>The Procedures must</w:t>
            </w:r>
            <w:r w:rsidR="00CA2A58" w:rsidRPr="005E05DF">
              <w:rPr>
                <w:rFonts w:asciiTheme="majorHAnsi" w:hAnsiTheme="majorHAnsi" w:cstheme="majorHAnsi"/>
                <w:sz w:val="17"/>
                <w:szCs w:val="17"/>
              </w:rPr>
              <w:t>:</w:t>
            </w:r>
            <w:r w:rsidRPr="005E05DF">
              <w:rPr>
                <w:rFonts w:asciiTheme="majorHAnsi" w:hAnsiTheme="majorHAnsi" w:cstheme="majorHAnsi"/>
                <w:sz w:val="17"/>
                <w:szCs w:val="17"/>
              </w:rPr>
              <w:t xml:space="preserve"> </w:t>
            </w:r>
          </w:p>
          <w:p w14:paraId="1A5794E5" w14:textId="77777777" w:rsidR="00CA2A58" w:rsidRPr="007B1CE7" w:rsidRDefault="00CA2A58" w:rsidP="001306DA">
            <w:pPr>
              <w:pStyle w:val="TableBullet1"/>
              <w:spacing w:before="20" w:after="20" w:line="247" w:lineRule="auto"/>
              <w:rPr>
                <w:rFonts w:asciiTheme="majorHAnsi" w:hAnsiTheme="majorHAnsi" w:cstheme="majorHAnsi"/>
                <w:sz w:val="17"/>
                <w:szCs w:val="17"/>
              </w:rPr>
            </w:pPr>
            <w:r w:rsidRPr="007B1CE7">
              <w:rPr>
                <w:rFonts w:asciiTheme="majorHAnsi" w:hAnsiTheme="majorHAnsi" w:cstheme="majorHAnsi"/>
                <w:sz w:val="17"/>
                <w:szCs w:val="17"/>
              </w:rPr>
              <w:t xml:space="preserve">include the arrangements for AEMO to </w:t>
            </w:r>
            <w:r w:rsidR="00D80626" w:rsidRPr="007B1CE7">
              <w:rPr>
                <w:rFonts w:asciiTheme="majorHAnsi" w:hAnsiTheme="majorHAnsi" w:cstheme="majorHAnsi"/>
                <w:sz w:val="17"/>
                <w:szCs w:val="17"/>
              </w:rPr>
              <w:t xml:space="preserve">establish, maintain and publish the register of </w:t>
            </w:r>
            <w:r w:rsidR="007B1CE7" w:rsidRPr="007B1CE7">
              <w:rPr>
                <w:rFonts w:asciiTheme="majorHAnsi" w:hAnsiTheme="majorHAnsi" w:cstheme="majorHAnsi"/>
                <w:sz w:val="17"/>
                <w:szCs w:val="17"/>
              </w:rPr>
              <w:t xml:space="preserve">non-exempt </w:t>
            </w:r>
            <w:r w:rsidRPr="007B1CE7">
              <w:rPr>
                <w:rFonts w:asciiTheme="majorHAnsi" w:hAnsiTheme="majorHAnsi" w:cstheme="majorHAnsi"/>
                <w:sz w:val="17"/>
                <w:szCs w:val="17"/>
              </w:rPr>
              <w:t xml:space="preserve">transportation </w:t>
            </w:r>
            <w:r w:rsidR="00D80626" w:rsidRPr="007B1CE7">
              <w:rPr>
                <w:rFonts w:asciiTheme="majorHAnsi" w:hAnsiTheme="majorHAnsi" w:cstheme="majorHAnsi"/>
                <w:sz w:val="17"/>
                <w:szCs w:val="17"/>
              </w:rPr>
              <w:t xml:space="preserve">facilities </w:t>
            </w:r>
            <w:r w:rsidR="007B1CE7" w:rsidRPr="007B1CE7">
              <w:rPr>
                <w:rFonts w:asciiTheme="majorHAnsi" w:hAnsiTheme="majorHAnsi" w:cstheme="majorHAnsi"/>
                <w:sz w:val="17"/>
                <w:szCs w:val="17"/>
              </w:rPr>
              <w:t xml:space="preserve">and their facility operators (who will be responsible for performing the obligations and exercising the rights </w:t>
            </w:r>
            <w:r w:rsidR="003702EB">
              <w:rPr>
                <w:rFonts w:asciiTheme="majorHAnsi" w:hAnsiTheme="majorHAnsi" w:cstheme="majorHAnsi"/>
                <w:sz w:val="17"/>
                <w:szCs w:val="17"/>
              </w:rPr>
              <w:t xml:space="preserve">of </w:t>
            </w:r>
            <w:r w:rsidR="007B1CE7" w:rsidRPr="007B1CE7">
              <w:rPr>
                <w:rFonts w:asciiTheme="majorHAnsi" w:hAnsiTheme="majorHAnsi" w:cstheme="majorHAnsi"/>
                <w:sz w:val="17"/>
                <w:szCs w:val="17"/>
              </w:rPr>
              <w:t>a facility operator under the transaction support arrangements and day-ahead auction provisions in the NGR and Procedures)</w:t>
            </w:r>
            <w:r w:rsidRPr="007B1CE7">
              <w:rPr>
                <w:rFonts w:asciiTheme="majorHAnsi" w:hAnsiTheme="majorHAnsi" w:cstheme="majorHAnsi"/>
                <w:sz w:val="17"/>
                <w:szCs w:val="17"/>
              </w:rPr>
              <w:t>;</w:t>
            </w:r>
            <w:r w:rsidR="001306DA" w:rsidRPr="007B1CE7">
              <w:rPr>
                <w:rFonts w:asciiTheme="majorHAnsi" w:hAnsiTheme="majorHAnsi" w:cstheme="majorHAnsi"/>
                <w:sz w:val="17"/>
                <w:szCs w:val="17"/>
              </w:rPr>
              <w:t xml:space="preserve"> and</w:t>
            </w:r>
          </w:p>
          <w:p w14:paraId="2CF7D70E" w14:textId="77777777" w:rsidR="00CA2A58" w:rsidRPr="005E05DF" w:rsidRDefault="00CA2A58" w:rsidP="001306DA">
            <w:pPr>
              <w:pStyle w:val="TableBullet1"/>
              <w:spacing w:before="20" w:after="20" w:line="247" w:lineRule="auto"/>
              <w:rPr>
                <w:rFonts w:asciiTheme="majorHAnsi" w:hAnsiTheme="majorHAnsi" w:cstheme="majorHAnsi"/>
                <w:sz w:val="17"/>
                <w:szCs w:val="17"/>
              </w:rPr>
            </w:pPr>
            <w:r w:rsidRPr="005E05DF">
              <w:rPr>
                <w:rFonts w:asciiTheme="majorHAnsi" w:hAnsiTheme="majorHAnsi" w:cstheme="majorHAnsi"/>
                <w:sz w:val="17"/>
                <w:szCs w:val="17"/>
              </w:rPr>
              <w:t xml:space="preserve">describe the content and form of applications for registration and revocation of registration and AEMO’s obligations to confirm the registration details. </w:t>
            </w:r>
          </w:p>
          <w:p w14:paraId="3B0200F7" w14:textId="77777777" w:rsidR="00D80626" w:rsidRPr="005E05DF" w:rsidRDefault="00CA2A58" w:rsidP="001306DA">
            <w:pPr>
              <w:pStyle w:val="Tabletext"/>
              <w:spacing w:before="20" w:after="20" w:line="247" w:lineRule="auto"/>
              <w:rPr>
                <w:rFonts w:asciiTheme="majorHAnsi" w:hAnsiTheme="majorHAnsi" w:cstheme="majorHAnsi"/>
                <w:sz w:val="17"/>
                <w:szCs w:val="17"/>
              </w:rPr>
            </w:pPr>
            <w:r w:rsidRPr="005E05DF">
              <w:rPr>
                <w:rFonts w:asciiTheme="majorHAnsi" w:hAnsiTheme="majorHAnsi" w:cstheme="majorHAnsi"/>
                <w:sz w:val="17"/>
                <w:szCs w:val="17"/>
              </w:rPr>
              <w:t xml:space="preserve">The Procedures may also </w:t>
            </w:r>
            <w:r w:rsidR="00D80626" w:rsidRPr="005E05DF">
              <w:rPr>
                <w:rFonts w:asciiTheme="majorHAnsi" w:hAnsiTheme="majorHAnsi" w:cstheme="majorHAnsi"/>
                <w:sz w:val="17"/>
                <w:szCs w:val="17"/>
              </w:rPr>
              <w:t xml:space="preserve">specify </w:t>
            </w:r>
            <w:r w:rsidRPr="005E05DF">
              <w:rPr>
                <w:rFonts w:asciiTheme="majorHAnsi" w:hAnsiTheme="majorHAnsi" w:cstheme="majorHAnsi"/>
                <w:sz w:val="17"/>
                <w:szCs w:val="17"/>
              </w:rPr>
              <w:t xml:space="preserve">any additional </w:t>
            </w:r>
            <w:r w:rsidR="00D80626" w:rsidRPr="005E05DF">
              <w:rPr>
                <w:rFonts w:asciiTheme="majorHAnsi" w:hAnsiTheme="majorHAnsi" w:cstheme="majorHAnsi"/>
                <w:sz w:val="17"/>
                <w:szCs w:val="17"/>
              </w:rPr>
              <w:t>information to be included in the register</w:t>
            </w:r>
            <w:r w:rsidR="001306DA">
              <w:rPr>
                <w:rFonts w:asciiTheme="majorHAnsi" w:hAnsiTheme="majorHAnsi" w:cstheme="majorHAnsi"/>
                <w:sz w:val="17"/>
                <w:szCs w:val="17"/>
              </w:rPr>
              <w:t xml:space="preserve"> (i.e. in addition to the name and contact details for each facility operator, a description of the facility and the operator and a list of pending applications for registration).</w:t>
            </w:r>
          </w:p>
        </w:tc>
      </w:tr>
      <w:tr w:rsidR="00BE49D5" w:rsidRPr="005E05DF" w14:paraId="73DD7626" w14:textId="77777777" w:rsidTr="009963D5">
        <w:tc>
          <w:tcPr>
            <w:tcW w:w="14601" w:type="dxa"/>
            <w:gridSpan w:val="3"/>
            <w:tcBorders>
              <w:bottom w:val="single" w:sz="4" w:space="0" w:color="auto"/>
            </w:tcBorders>
            <w:shd w:val="clear" w:color="auto" w:fill="65697F" w:themeFill="background2" w:themeFillShade="80"/>
          </w:tcPr>
          <w:p w14:paraId="2DF6E5DF" w14:textId="77777777" w:rsidR="00BE49D5" w:rsidRPr="005E05DF" w:rsidRDefault="00BE49D5" w:rsidP="001306DA">
            <w:pPr>
              <w:pStyle w:val="Tabletext"/>
              <w:spacing w:before="20" w:after="40" w:line="247" w:lineRule="auto"/>
              <w:jc w:val="center"/>
              <w:rPr>
                <w:rFonts w:asciiTheme="majorHAnsi" w:hAnsiTheme="majorHAnsi" w:cstheme="majorHAnsi"/>
                <w:b/>
                <w:sz w:val="17"/>
                <w:szCs w:val="17"/>
              </w:rPr>
            </w:pPr>
            <w:r w:rsidRPr="005E05DF">
              <w:rPr>
                <w:rFonts w:asciiTheme="majorHAnsi" w:hAnsiTheme="majorHAnsi" w:cstheme="majorHAnsi"/>
                <w:b/>
                <w:color w:val="FFFFFF" w:themeColor="background1"/>
                <w:sz w:val="17"/>
                <w:szCs w:val="17"/>
              </w:rPr>
              <w:t>Measures to facilitate capacity trades and the auction</w:t>
            </w:r>
          </w:p>
        </w:tc>
      </w:tr>
      <w:tr w:rsidR="00BE49D5" w:rsidRPr="005E05DF" w14:paraId="5E28EA06" w14:textId="77777777" w:rsidTr="00C831DD">
        <w:trPr>
          <w:cnfStyle w:val="000000010000" w:firstRow="0" w:lastRow="0" w:firstColumn="0" w:lastColumn="0" w:oddVBand="0" w:evenVBand="0" w:oddHBand="0" w:evenHBand="1" w:firstRowFirstColumn="0" w:firstRowLastColumn="0" w:lastRowFirstColumn="0" w:lastRowLastColumn="0"/>
        </w:trPr>
        <w:tc>
          <w:tcPr>
            <w:tcW w:w="1855" w:type="dxa"/>
            <w:tcBorders>
              <w:bottom w:val="single" w:sz="4" w:space="0" w:color="auto"/>
            </w:tcBorders>
            <w:shd w:val="clear" w:color="auto" w:fill="FFFFFF" w:themeFill="background1"/>
          </w:tcPr>
          <w:p w14:paraId="120A7D5A" w14:textId="77777777" w:rsidR="00BE49D5" w:rsidRPr="005E05DF" w:rsidRDefault="00BE49D5" w:rsidP="001306DA">
            <w:pPr>
              <w:pStyle w:val="Tabletext"/>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t>Transaction support arrangements</w:t>
            </w:r>
          </w:p>
        </w:tc>
        <w:tc>
          <w:tcPr>
            <w:tcW w:w="12746" w:type="dxa"/>
            <w:gridSpan w:val="2"/>
            <w:tcBorders>
              <w:bottom w:val="single" w:sz="4" w:space="0" w:color="auto"/>
            </w:tcBorders>
            <w:shd w:val="clear" w:color="auto" w:fill="FFFFFF" w:themeFill="background1"/>
          </w:tcPr>
          <w:p w14:paraId="3777AEC0" w14:textId="77777777" w:rsidR="00BE49D5" w:rsidRPr="005E05DF" w:rsidRDefault="00EB2655" w:rsidP="001306DA">
            <w:pPr>
              <w:pStyle w:val="TableBodyText"/>
              <w:spacing w:before="20" w:after="40" w:line="247" w:lineRule="auto"/>
              <w:rPr>
                <w:rFonts w:asciiTheme="majorHAnsi" w:eastAsiaTheme="minorEastAsia" w:hAnsiTheme="majorHAnsi" w:cstheme="majorHAnsi"/>
                <w:sz w:val="17"/>
                <w:szCs w:val="17"/>
              </w:rPr>
            </w:pPr>
            <w:r w:rsidRPr="00EB2655">
              <w:rPr>
                <w:rFonts w:asciiTheme="majorHAnsi" w:eastAsiaTheme="minorEastAsia" w:hAnsiTheme="majorHAnsi" w:cstheme="majorHAnsi"/>
                <w:sz w:val="17"/>
                <w:szCs w:val="17"/>
              </w:rPr>
              <w:t xml:space="preserve">The Procedures must set out the arrangements for AEMO to notify a facility operator of </w:t>
            </w:r>
            <w:r w:rsidRPr="005E05DF">
              <w:rPr>
                <w:rFonts w:asciiTheme="majorHAnsi" w:eastAsiaTheme="minorEastAsia" w:hAnsiTheme="majorHAnsi" w:cstheme="majorHAnsi"/>
                <w:sz w:val="17"/>
                <w:szCs w:val="17"/>
              </w:rPr>
              <w:t xml:space="preserve">transactions entered into on the capacity trading platform or through the auction </w:t>
            </w:r>
            <w:r w:rsidRPr="00EB2655">
              <w:rPr>
                <w:rFonts w:asciiTheme="majorHAnsi" w:eastAsiaTheme="minorEastAsia" w:hAnsiTheme="majorHAnsi" w:cstheme="majorHAnsi"/>
                <w:sz w:val="17"/>
                <w:szCs w:val="17"/>
              </w:rPr>
              <w:t xml:space="preserve">and any exceptions to the obligation to give effect to those </w:t>
            </w:r>
            <w:r>
              <w:rPr>
                <w:rFonts w:asciiTheme="majorHAnsi" w:eastAsiaTheme="minorEastAsia" w:hAnsiTheme="majorHAnsi" w:cstheme="majorHAnsi"/>
                <w:sz w:val="17"/>
                <w:szCs w:val="17"/>
              </w:rPr>
              <w:t>transactions</w:t>
            </w:r>
            <w:r w:rsidRPr="00EB2655">
              <w:rPr>
                <w:rFonts w:asciiTheme="majorHAnsi" w:eastAsiaTheme="minorEastAsia" w:hAnsiTheme="majorHAnsi" w:cstheme="majorHAnsi"/>
                <w:sz w:val="17"/>
                <w:szCs w:val="17"/>
              </w:rPr>
              <w:t>.</w:t>
            </w:r>
            <w:r w:rsidR="00C831DD">
              <w:rPr>
                <w:rFonts w:asciiTheme="majorHAnsi" w:eastAsiaTheme="minorEastAsia" w:hAnsiTheme="majorHAnsi" w:cstheme="majorHAnsi"/>
                <w:sz w:val="17"/>
                <w:szCs w:val="17"/>
              </w:rPr>
              <w:t xml:space="preserve"> </w:t>
            </w:r>
            <w:r w:rsidR="00BE49D5" w:rsidRPr="005E05DF">
              <w:rPr>
                <w:rFonts w:asciiTheme="majorHAnsi" w:eastAsiaTheme="minorEastAsia" w:hAnsiTheme="majorHAnsi" w:cstheme="majorHAnsi"/>
                <w:sz w:val="17"/>
                <w:szCs w:val="17"/>
              </w:rPr>
              <w:t xml:space="preserve">The Procedures </w:t>
            </w:r>
            <w:r w:rsidR="00ED6A32">
              <w:rPr>
                <w:rFonts w:asciiTheme="majorHAnsi" w:eastAsiaTheme="minorEastAsia" w:hAnsiTheme="majorHAnsi" w:cstheme="majorHAnsi"/>
                <w:sz w:val="17"/>
                <w:szCs w:val="17"/>
              </w:rPr>
              <w:t xml:space="preserve">will </w:t>
            </w:r>
            <w:r w:rsidR="00C831DD">
              <w:rPr>
                <w:rFonts w:asciiTheme="majorHAnsi" w:eastAsiaTheme="minorEastAsia" w:hAnsiTheme="majorHAnsi" w:cstheme="majorHAnsi"/>
                <w:sz w:val="17"/>
                <w:szCs w:val="17"/>
              </w:rPr>
              <w:t xml:space="preserve">also </w:t>
            </w:r>
            <w:r w:rsidR="00BE49D5" w:rsidRPr="005E05DF">
              <w:rPr>
                <w:rFonts w:asciiTheme="majorHAnsi" w:eastAsiaTheme="minorEastAsia" w:hAnsiTheme="majorHAnsi" w:cstheme="majorHAnsi"/>
                <w:sz w:val="17"/>
                <w:szCs w:val="17"/>
              </w:rPr>
              <w:t xml:space="preserve">set out the obligations </w:t>
            </w:r>
            <w:r w:rsidR="007B1CE7">
              <w:rPr>
                <w:rFonts w:asciiTheme="majorHAnsi" w:eastAsiaTheme="minorEastAsia" w:hAnsiTheme="majorHAnsi" w:cstheme="majorHAnsi"/>
                <w:sz w:val="17"/>
                <w:szCs w:val="17"/>
              </w:rPr>
              <w:t xml:space="preserve">facility operators </w:t>
            </w:r>
            <w:r w:rsidR="00BE49D5" w:rsidRPr="005E05DF">
              <w:rPr>
                <w:rFonts w:asciiTheme="majorHAnsi" w:eastAsiaTheme="minorEastAsia" w:hAnsiTheme="majorHAnsi" w:cstheme="majorHAnsi"/>
                <w:sz w:val="17"/>
                <w:szCs w:val="17"/>
              </w:rPr>
              <w:t>will have in relation to the transaction support arrangements, including arrangements for:</w:t>
            </w:r>
          </w:p>
          <w:p w14:paraId="0577D96A" w14:textId="77777777" w:rsidR="00360B2B" w:rsidRPr="005E05DF" w:rsidRDefault="00BE49D5" w:rsidP="001306DA">
            <w:pPr>
              <w:pStyle w:val="TableBullet1"/>
              <w:spacing w:before="20" w:after="40" w:line="247" w:lineRule="auto"/>
              <w:rPr>
                <w:rFonts w:asciiTheme="majorHAnsi" w:eastAsiaTheme="minorEastAsia" w:hAnsiTheme="majorHAnsi" w:cstheme="majorHAnsi"/>
                <w:sz w:val="17"/>
                <w:szCs w:val="17"/>
              </w:rPr>
            </w:pPr>
            <w:r w:rsidRPr="005E05DF">
              <w:rPr>
                <w:rFonts w:asciiTheme="majorHAnsi" w:eastAsiaTheme="minorEastAsia" w:hAnsiTheme="majorHAnsi" w:cstheme="majorHAnsi"/>
                <w:sz w:val="17"/>
                <w:szCs w:val="17"/>
              </w:rPr>
              <w:t>access to and use of the systems established by AEMO;</w:t>
            </w:r>
            <w:r w:rsidR="00C831DD" w:rsidRPr="005E05DF">
              <w:rPr>
                <w:rFonts w:asciiTheme="majorHAnsi" w:eastAsiaTheme="minorEastAsia" w:hAnsiTheme="majorHAnsi" w:cstheme="majorHAnsi"/>
                <w:sz w:val="17"/>
                <w:szCs w:val="17"/>
              </w:rPr>
              <w:t xml:space="preserve"> </w:t>
            </w:r>
          </w:p>
          <w:p w14:paraId="61DC6CEE" w14:textId="77777777" w:rsidR="00BE49D5" w:rsidRPr="005E05DF" w:rsidRDefault="00360B2B" w:rsidP="001306DA">
            <w:pPr>
              <w:pStyle w:val="TableBullet1"/>
              <w:spacing w:before="20" w:after="40" w:line="247" w:lineRule="auto"/>
              <w:rPr>
                <w:rFonts w:asciiTheme="majorHAnsi" w:eastAsiaTheme="minorEastAsia" w:hAnsiTheme="majorHAnsi" w:cstheme="majorHAnsi"/>
                <w:sz w:val="17"/>
                <w:szCs w:val="17"/>
              </w:rPr>
            </w:pPr>
            <w:r w:rsidRPr="005E05DF">
              <w:rPr>
                <w:rFonts w:asciiTheme="majorHAnsi" w:eastAsiaTheme="minorEastAsia" w:hAnsiTheme="majorHAnsi" w:cstheme="majorHAnsi"/>
                <w:sz w:val="17"/>
                <w:szCs w:val="17"/>
              </w:rPr>
              <w:t xml:space="preserve">the validation of transactions, including the </w:t>
            </w:r>
            <w:r w:rsidR="00BE49D5" w:rsidRPr="005E05DF">
              <w:rPr>
                <w:rFonts w:asciiTheme="majorHAnsi" w:eastAsiaTheme="minorEastAsia" w:hAnsiTheme="majorHAnsi" w:cstheme="majorHAnsi"/>
                <w:sz w:val="17"/>
                <w:szCs w:val="17"/>
              </w:rPr>
              <w:t>timing, the criteria for validation and rejection of transactions that fail validation; and</w:t>
            </w:r>
          </w:p>
          <w:p w14:paraId="604BD3DB" w14:textId="77777777" w:rsidR="00360B2B" w:rsidRPr="005E05DF" w:rsidRDefault="00360B2B" w:rsidP="001306DA">
            <w:pPr>
              <w:pStyle w:val="TableBullet1"/>
              <w:spacing w:before="20" w:after="40" w:line="247" w:lineRule="auto"/>
              <w:rPr>
                <w:rFonts w:asciiTheme="majorHAnsi" w:eastAsiaTheme="minorEastAsia" w:hAnsiTheme="majorHAnsi" w:cstheme="majorHAnsi"/>
                <w:sz w:val="17"/>
                <w:szCs w:val="17"/>
              </w:rPr>
            </w:pPr>
            <w:r w:rsidRPr="005E05DF">
              <w:rPr>
                <w:rFonts w:asciiTheme="majorHAnsi" w:eastAsiaTheme="minorEastAsia" w:hAnsiTheme="majorHAnsi" w:cstheme="majorHAnsi"/>
                <w:sz w:val="17"/>
                <w:szCs w:val="17"/>
              </w:rPr>
              <w:t xml:space="preserve">the </w:t>
            </w:r>
            <w:r w:rsidR="00BE49D5" w:rsidRPr="005E05DF">
              <w:rPr>
                <w:rFonts w:asciiTheme="majorHAnsi" w:eastAsiaTheme="minorEastAsia" w:hAnsiTheme="majorHAnsi" w:cstheme="majorHAnsi"/>
                <w:sz w:val="17"/>
                <w:szCs w:val="17"/>
              </w:rPr>
              <w:t xml:space="preserve">information required and processes to be followed to give effect to transactions entered into on the capacity trading platform or </w:t>
            </w:r>
            <w:r w:rsidR="00EB2655">
              <w:rPr>
                <w:rFonts w:asciiTheme="majorHAnsi" w:eastAsiaTheme="minorEastAsia" w:hAnsiTheme="majorHAnsi" w:cstheme="majorHAnsi"/>
                <w:sz w:val="17"/>
                <w:szCs w:val="17"/>
              </w:rPr>
              <w:t xml:space="preserve">through </w:t>
            </w:r>
            <w:r w:rsidR="00BE49D5" w:rsidRPr="005E05DF">
              <w:rPr>
                <w:rFonts w:asciiTheme="majorHAnsi" w:eastAsiaTheme="minorEastAsia" w:hAnsiTheme="majorHAnsi" w:cstheme="majorHAnsi"/>
                <w:sz w:val="17"/>
                <w:szCs w:val="17"/>
              </w:rPr>
              <w:t>the auction.</w:t>
            </w:r>
          </w:p>
          <w:p w14:paraId="580B59E4" w14:textId="77777777" w:rsidR="00BE49D5" w:rsidRDefault="00BE49D5">
            <w:pPr>
              <w:pStyle w:val="TableBullet1"/>
              <w:numPr>
                <w:ilvl w:val="0"/>
                <w:numId w:val="0"/>
              </w:numPr>
              <w:spacing w:before="20" w:after="40" w:line="247" w:lineRule="auto"/>
              <w:ind w:left="85"/>
              <w:rPr>
                <w:rFonts w:asciiTheme="majorHAnsi" w:eastAsiaTheme="minorEastAsia" w:hAnsiTheme="majorHAnsi" w:cstheme="majorHAnsi"/>
                <w:sz w:val="17"/>
                <w:szCs w:val="17"/>
              </w:rPr>
            </w:pPr>
            <w:r w:rsidRPr="005E05DF">
              <w:rPr>
                <w:rFonts w:asciiTheme="majorHAnsi" w:eastAsiaTheme="minorEastAsia" w:hAnsiTheme="majorHAnsi" w:cstheme="majorHAnsi"/>
                <w:sz w:val="17"/>
                <w:szCs w:val="17"/>
              </w:rPr>
              <w:t xml:space="preserve">The Procedures </w:t>
            </w:r>
            <w:r w:rsidR="000F36C5">
              <w:rPr>
                <w:rFonts w:asciiTheme="majorHAnsi" w:eastAsiaTheme="minorEastAsia" w:hAnsiTheme="majorHAnsi" w:cstheme="majorHAnsi"/>
                <w:sz w:val="17"/>
                <w:szCs w:val="17"/>
              </w:rPr>
              <w:t xml:space="preserve">may </w:t>
            </w:r>
            <w:r w:rsidRPr="005E05DF">
              <w:rPr>
                <w:rFonts w:asciiTheme="majorHAnsi" w:eastAsiaTheme="minorEastAsia" w:hAnsiTheme="majorHAnsi" w:cstheme="majorHAnsi"/>
                <w:sz w:val="17"/>
                <w:szCs w:val="17"/>
              </w:rPr>
              <w:t>set out contingency arrangements for events affecting the transaction support arrangements, the capacity trading platform or auction</w:t>
            </w:r>
            <w:r w:rsidR="00360B2B" w:rsidRPr="005E05DF">
              <w:rPr>
                <w:rFonts w:asciiTheme="majorHAnsi" w:eastAsiaTheme="minorEastAsia" w:hAnsiTheme="majorHAnsi" w:cstheme="majorHAnsi"/>
                <w:sz w:val="17"/>
                <w:szCs w:val="17"/>
              </w:rPr>
              <w:t>,</w:t>
            </w:r>
            <w:r w:rsidRPr="005E05DF">
              <w:rPr>
                <w:rFonts w:asciiTheme="majorHAnsi" w:eastAsiaTheme="minorEastAsia" w:hAnsiTheme="majorHAnsi" w:cstheme="majorHAnsi"/>
                <w:sz w:val="17"/>
                <w:szCs w:val="17"/>
              </w:rPr>
              <w:t xml:space="preserve"> including the failure of systems or processes and/or the default in the performance of obligations under the Procedures or other instruments.</w:t>
            </w:r>
          </w:p>
          <w:p w14:paraId="468457CB" w14:textId="77777777" w:rsidR="00F272F8" w:rsidRPr="005E05DF" w:rsidRDefault="00F272F8">
            <w:pPr>
              <w:pStyle w:val="TableBullet1"/>
              <w:numPr>
                <w:ilvl w:val="0"/>
                <w:numId w:val="0"/>
              </w:numPr>
              <w:spacing w:before="20" w:after="40" w:line="247" w:lineRule="auto"/>
              <w:ind w:left="85"/>
              <w:rPr>
                <w:rFonts w:asciiTheme="majorHAnsi" w:eastAsiaTheme="minorEastAsia" w:hAnsiTheme="majorHAnsi" w:cstheme="majorHAnsi"/>
                <w:sz w:val="17"/>
                <w:szCs w:val="17"/>
              </w:rPr>
            </w:pPr>
            <w:r w:rsidRPr="005E05DF">
              <w:rPr>
                <w:rFonts w:asciiTheme="majorHAnsi" w:hAnsiTheme="majorHAnsi" w:cstheme="majorHAnsi"/>
                <w:sz w:val="17"/>
                <w:szCs w:val="17"/>
              </w:rPr>
              <w:t xml:space="preserve">The Procedures </w:t>
            </w:r>
            <w:r w:rsidR="000F36C5">
              <w:rPr>
                <w:rFonts w:asciiTheme="majorHAnsi" w:hAnsiTheme="majorHAnsi" w:cstheme="majorHAnsi"/>
                <w:sz w:val="17"/>
                <w:szCs w:val="17"/>
              </w:rPr>
              <w:t xml:space="preserve">may </w:t>
            </w:r>
            <w:r w:rsidRPr="005E05DF">
              <w:rPr>
                <w:rFonts w:asciiTheme="majorHAnsi" w:hAnsiTheme="majorHAnsi" w:cstheme="majorHAnsi"/>
                <w:sz w:val="17"/>
                <w:szCs w:val="17"/>
              </w:rPr>
              <w:t xml:space="preserve">include the arrangements for </w:t>
            </w:r>
            <w:r>
              <w:rPr>
                <w:rFonts w:asciiTheme="majorHAnsi" w:hAnsiTheme="majorHAnsi" w:cstheme="majorHAnsi"/>
                <w:sz w:val="17"/>
                <w:szCs w:val="17"/>
              </w:rPr>
              <w:t xml:space="preserve">facility operators </w:t>
            </w:r>
            <w:r w:rsidRPr="005E05DF">
              <w:rPr>
                <w:rFonts w:asciiTheme="majorHAnsi" w:hAnsiTheme="majorHAnsi" w:cstheme="majorHAnsi"/>
                <w:sz w:val="17"/>
                <w:szCs w:val="17"/>
              </w:rPr>
              <w:t>to provide to AEMO, and keep up to date, information about facility agreements to allow for the accurate identification of those agreements for the purposes of the transaction support arrangements.</w:t>
            </w:r>
          </w:p>
        </w:tc>
      </w:tr>
      <w:tr w:rsidR="00DB5F67" w:rsidRPr="005E05DF" w14:paraId="5E6F6A5B" w14:textId="77777777" w:rsidTr="00C831DD">
        <w:tc>
          <w:tcPr>
            <w:tcW w:w="1855" w:type="dxa"/>
            <w:vMerge w:val="restart"/>
            <w:shd w:val="clear" w:color="auto" w:fill="E1E2E7" w:themeFill="background2"/>
          </w:tcPr>
          <w:p w14:paraId="62A6DBDE" w14:textId="77777777" w:rsidR="00DB5F67" w:rsidRPr="005E05DF" w:rsidRDefault="00DB5F67" w:rsidP="001306DA">
            <w:pPr>
              <w:pStyle w:val="Tabletext"/>
              <w:spacing w:before="20" w:after="40" w:line="247" w:lineRule="auto"/>
              <w:rPr>
                <w:rFonts w:asciiTheme="majorHAnsi" w:hAnsiTheme="majorHAnsi" w:cstheme="majorHAnsi"/>
                <w:sz w:val="17"/>
                <w:szCs w:val="17"/>
              </w:rPr>
            </w:pPr>
            <w:r>
              <w:rPr>
                <w:rFonts w:asciiTheme="majorHAnsi" w:hAnsiTheme="majorHAnsi" w:cstheme="majorHAnsi"/>
                <w:sz w:val="17"/>
                <w:szCs w:val="17"/>
              </w:rPr>
              <w:t xml:space="preserve">Service points, zones and </w:t>
            </w:r>
            <w:r w:rsidR="009963D5">
              <w:rPr>
                <w:rFonts w:asciiTheme="majorHAnsi" w:hAnsiTheme="majorHAnsi" w:cstheme="majorHAnsi"/>
                <w:sz w:val="17"/>
                <w:szCs w:val="17"/>
              </w:rPr>
              <w:t xml:space="preserve">pipeline </w:t>
            </w:r>
            <w:r>
              <w:rPr>
                <w:rFonts w:asciiTheme="majorHAnsi" w:hAnsiTheme="majorHAnsi" w:cstheme="majorHAnsi"/>
                <w:sz w:val="17"/>
                <w:szCs w:val="17"/>
              </w:rPr>
              <w:t>segments</w:t>
            </w:r>
          </w:p>
        </w:tc>
        <w:tc>
          <w:tcPr>
            <w:tcW w:w="1543" w:type="dxa"/>
            <w:shd w:val="clear" w:color="auto" w:fill="E1E2E7" w:themeFill="background2"/>
          </w:tcPr>
          <w:p w14:paraId="364DBEDF" w14:textId="77777777" w:rsidR="00DB5F67" w:rsidRPr="005E05DF" w:rsidRDefault="00DB5F67" w:rsidP="001306DA">
            <w:pPr>
              <w:pStyle w:val="Tabletext"/>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t>Service point specifications and park service points</w:t>
            </w:r>
          </w:p>
        </w:tc>
        <w:tc>
          <w:tcPr>
            <w:tcW w:w="11203" w:type="dxa"/>
            <w:shd w:val="clear" w:color="auto" w:fill="E1E2E7" w:themeFill="background2"/>
          </w:tcPr>
          <w:p w14:paraId="5FA04814" w14:textId="24F76EA0" w:rsidR="00DB5F67" w:rsidRPr="005E05DF" w:rsidRDefault="00DB5F67" w:rsidP="001306DA">
            <w:pPr>
              <w:pStyle w:val="Tabletext"/>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t>The Procedures must include</w:t>
            </w:r>
            <w:r w:rsidR="00023A3E">
              <w:rPr>
                <w:rFonts w:asciiTheme="majorHAnsi" w:hAnsiTheme="majorHAnsi" w:cstheme="majorHAnsi"/>
                <w:sz w:val="17"/>
                <w:szCs w:val="17"/>
              </w:rPr>
              <w:t>:</w:t>
            </w:r>
            <w:r w:rsidRPr="005E05DF">
              <w:rPr>
                <w:rFonts w:asciiTheme="majorHAnsi" w:hAnsiTheme="majorHAnsi" w:cstheme="majorHAnsi"/>
                <w:sz w:val="17"/>
                <w:szCs w:val="17"/>
              </w:rPr>
              <w:t xml:space="preserve"> </w:t>
            </w:r>
          </w:p>
          <w:p w14:paraId="22FA03A8" w14:textId="3634DC62" w:rsidR="00DB5F67" w:rsidRPr="005E05DF" w:rsidRDefault="00023A3E" w:rsidP="001306DA">
            <w:pPr>
              <w:pStyle w:val="TableBullet1"/>
              <w:spacing w:before="20" w:after="40" w:line="247" w:lineRule="auto"/>
              <w:rPr>
                <w:rFonts w:asciiTheme="majorHAnsi" w:hAnsiTheme="majorHAnsi" w:cstheme="majorHAnsi"/>
                <w:sz w:val="17"/>
                <w:szCs w:val="17"/>
              </w:rPr>
            </w:pPr>
            <w:r>
              <w:rPr>
                <w:rFonts w:asciiTheme="majorHAnsi" w:hAnsiTheme="majorHAnsi" w:cstheme="majorHAnsi"/>
                <w:sz w:val="17"/>
                <w:szCs w:val="17"/>
              </w:rPr>
              <w:t xml:space="preserve">the form in which a facility operator is to </w:t>
            </w:r>
            <w:r w:rsidR="00DB5F67" w:rsidRPr="005E05DF">
              <w:rPr>
                <w:rFonts w:asciiTheme="majorHAnsi" w:hAnsiTheme="majorHAnsi" w:cstheme="majorHAnsi"/>
                <w:sz w:val="17"/>
                <w:szCs w:val="17"/>
              </w:rPr>
              <w:t>provide to AEMO a specification of each service point at or between which transportation services are or may be provided and each park service point; and</w:t>
            </w:r>
          </w:p>
          <w:p w14:paraId="6C6AF615" w14:textId="435BAD7E" w:rsidR="00DB5F67" w:rsidRPr="005E05DF" w:rsidRDefault="00023A3E" w:rsidP="001306DA">
            <w:pPr>
              <w:pStyle w:val="TableBullet1"/>
              <w:spacing w:before="20" w:after="40" w:line="247" w:lineRule="auto"/>
              <w:rPr>
                <w:rFonts w:asciiTheme="majorHAnsi" w:hAnsiTheme="majorHAnsi" w:cstheme="majorHAnsi"/>
                <w:sz w:val="17"/>
                <w:szCs w:val="17"/>
              </w:rPr>
            </w:pPr>
            <w:r>
              <w:rPr>
                <w:rFonts w:asciiTheme="majorHAnsi" w:hAnsiTheme="majorHAnsi" w:cstheme="majorHAnsi"/>
                <w:sz w:val="17"/>
                <w:szCs w:val="17"/>
              </w:rPr>
              <w:t xml:space="preserve">arrangements for a facility operator to </w:t>
            </w:r>
            <w:r w:rsidR="00DB5F67" w:rsidRPr="005E05DF">
              <w:rPr>
                <w:rFonts w:asciiTheme="majorHAnsi" w:hAnsiTheme="majorHAnsi" w:cstheme="majorHAnsi"/>
                <w:sz w:val="17"/>
                <w:szCs w:val="17"/>
              </w:rPr>
              <w:t xml:space="preserve">amend the specification of a service point or a park service point.  </w:t>
            </w:r>
          </w:p>
        </w:tc>
      </w:tr>
      <w:tr w:rsidR="00DB5F67" w:rsidRPr="005E05DF" w14:paraId="55E4E498" w14:textId="77777777" w:rsidTr="00C831DD">
        <w:trPr>
          <w:cnfStyle w:val="000000010000" w:firstRow="0" w:lastRow="0" w:firstColumn="0" w:lastColumn="0" w:oddVBand="0" w:evenVBand="0" w:oddHBand="0" w:evenHBand="1" w:firstRowFirstColumn="0" w:firstRowLastColumn="0" w:lastRowFirstColumn="0" w:lastRowLastColumn="0"/>
        </w:trPr>
        <w:tc>
          <w:tcPr>
            <w:tcW w:w="1855" w:type="dxa"/>
            <w:vMerge/>
          </w:tcPr>
          <w:p w14:paraId="73500018" w14:textId="77777777" w:rsidR="00DB5F67" w:rsidRPr="005E05DF" w:rsidRDefault="00DB5F67" w:rsidP="001306DA">
            <w:pPr>
              <w:pStyle w:val="Tabletext"/>
              <w:spacing w:before="20" w:after="40" w:line="247" w:lineRule="auto"/>
              <w:rPr>
                <w:rFonts w:asciiTheme="majorHAnsi" w:hAnsiTheme="majorHAnsi" w:cstheme="majorHAnsi"/>
                <w:sz w:val="17"/>
                <w:szCs w:val="17"/>
              </w:rPr>
            </w:pPr>
          </w:p>
        </w:tc>
        <w:tc>
          <w:tcPr>
            <w:tcW w:w="1543" w:type="dxa"/>
            <w:tcBorders>
              <w:bottom w:val="single" w:sz="4" w:space="0" w:color="auto"/>
            </w:tcBorders>
          </w:tcPr>
          <w:p w14:paraId="5F208D28" w14:textId="77777777" w:rsidR="00DB5F67" w:rsidRPr="005E05DF" w:rsidRDefault="00DB5F67" w:rsidP="001306DA">
            <w:pPr>
              <w:pStyle w:val="Tabletext"/>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t>Zones and pipeline segments</w:t>
            </w:r>
          </w:p>
        </w:tc>
        <w:tc>
          <w:tcPr>
            <w:tcW w:w="11203" w:type="dxa"/>
            <w:tcBorders>
              <w:bottom w:val="single" w:sz="4" w:space="0" w:color="auto"/>
            </w:tcBorders>
          </w:tcPr>
          <w:p w14:paraId="7ED41BDB" w14:textId="77777777" w:rsidR="00DB5F67" w:rsidRPr="005E05DF" w:rsidRDefault="00DB5F67" w:rsidP="001306DA">
            <w:pPr>
              <w:pStyle w:val="Tabletext"/>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t xml:space="preserve">The Procedures must set out the arrangements for AEMO to consult on and determine the proposed allocation of service points to zones and </w:t>
            </w:r>
            <w:r>
              <w:rPr>
                <w:rFonts w:asciiTheme="majorHAnsi" w:hAnsiTheme="majorHAnsi" w:cstheme="majorHAnsi"/>
                <w:sz w:val="17"/>
                <w:szCs w:val="17"/>
              </w:rPr>
              <w:t xml:space="preserve">the specification of </w:t>
            </w:r>
            <w:r w:rsidRPr="005E05DF">
              <w:rPr>
                <w:rFonts w:asciiTheme="majorHAnsi" w:hAnsiTheme="majorHAnsi" w:cstheme="majorHAnsi"/>
                <w:sz w:val="17"/>
                <w:szCs w:val="17"/>
              </w:rPr>
              <w:t xml:space="preserve">pipeline segments. </w:t>
            </w:r>
            <w:r>
              <w:rPr>
                <w:rFonts w:asciiTheme="majorHAnsi" w:hAnsiTheme="majorHAnsi" w:cstheme="majorHAnsi"/>
                <w:sz w:val="17"/>
                <w:szCs w:val="17"/>
              </w:rPr>
              <w:t xml:space="preserve">These arrangements must </w:t>
            </w:r>
            <w:r w:rsidRPr="005E05DF">
              <w:rPr>
                <w:rFonts w:asciiTheme="majorHAnsi" w:hAnsiTheme="majorHAnsi" w:cstheme="majorHAnsi"/>
                <w:sz w:val="17"/>
                <w:szCs w:val="17"/>
              </w:rPr>
              <w:t>include provisions with respect to:</w:t>
            </w:r>
          </w:p>
          <w:p w14:paraId="2A3DA914" w14:textId="77777777" w:rsidR="00DB5F67" w:rsidRPr="005E05DF" w:rsidRDefault="00DB5F67" w:rsidP="001306DA">
            <w:pPr>
              <w:pStyle w:val="TableBullet1"/>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t xml:space="preserve">proposals to be made by a </w:t>
            </w:r>
            <w:r w:rsidR="008C6C93">
              <w:rPr>
                <w:rFonts w:asciiTheme="majorHAnsi" w:hAnsiTheme="majorHAnsi" w:cstheme="majorHAnsi"/>
                <w:sz w:val="17"/>
                <w:szCs w:val="17"/>
              </w:rPr>
              <w:t>facility operator</w:t>
            </w:r>
            <w:r w:rsidRPr="005E05DF">
              <w:rPr>
                <w:rFonts w:asciiTheme="majorHAnsi" w:hAnsiTheme="majorHAnsi" w:cstheme="majorHAnsi"/>
                <w:sz w:val="17"/>
                <w:szCs w:val="17"/>
              </w:rPr>
              <w:t xml:space="preserve"> or any other person (including AEMO) for a determination;</w:t>
            </w:r>
          </w:p>
          <w:p w14:paraId="1A8C3C4F" w14:textId="77777777" w:rsidR="00DB5F67" w:rsidRPr="005E05DF" w:rsidRDefault="00DB5F67" w:rsidP="001306DA">
            <w:pPr>
              <w:pStyle w:val="TableBullet1"/>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t>the provision of information by facility operators in connection with the determination;</w:t>
            </w:r>
          </w:p>
          <w:p w14:paraId="10F26696" w14:textId="77777777" w:rsidR="00DB5F67" w:rsidRPr="005E05DF" w:rsidRDefault="00DB5F67" w:rsidP="001306DA">
            <w:pPr>
              <w:pStyle w:val="TableBullet1"/>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t>the time frame and process for AEMO to consult, which may allow for extensions of time in reasonable circumstances and an expedited process where the matter is of a minor or administrative nature;</w:t>
            </w:r>
          </w:p>
          <w:p w14:paraId="3E5651B3" w14:textId="77777777" w:rsidR="00DB5F67" w:rsidRPr="005E05DF" w:rsidRDefault="00DB5F67" w:rsidP="001306DA">
            <w:pPr>
              <w:pStyle w:val="TableBullet1"/>
              <w:spacing w:before="20" w:after="40" w:line="247" w:lineRule="auto"/>
              <w:rPr>
                <w:rFonts w:asciiTheme="majorHAnsi" w:hAnsiTheme="majorHAnsi" w:cstheme="majorHAnsi"/>
                <w:sz w:val="17"/>
                <w:szCs w:val="17"/>
              </w:rPr>
            </w:pPr>
            <w:r>
              <w:rPr>
                <w:rFonts w:asciiTheme="majorHAnsi" w:hAnsiTheme="majorHAnsi" w:cstheme="majorHAnsi"/>
                <w:sz w:val="17"/>
                <w:szCs w:val="17"/>
              </w:rPr>
              <w:t xml:space="preserve">AEMO’s ability to reject a </w:t>
            </w:r>
            <w:r w:rsidRPr="005E05DF">
              <w:rPr>
                <w:rFonts w:asciiTheme="majorHAnsi" w:hAnsiTheme="majorHAnsi" w:cstheme="majorHAnsi"/>
                <w:sz w:val="17"/>
                <w:szCs w:val="17"/>
              </w:rPr>
              <w:t xml:space="preserve">change </w:t>
            </w:r>
            <w:r>
              <w:rPr>
                <w:rFonts w:asciiTheme="majorHAnsi" w:hAnsiTheme="majorHAnsi" w:cstheme="majorHAnsi"/>
                <w:sz w:val="17"/>
                <w:szCs w:val="17"/>
              </w:rPr>
              <w:t xml:space="preserve">proposal </w:t>
            </w:r>
            <w:r w:rsidRPr="005E05DF">
              <w:rPr>
                <w:rFonts w:asciiTheme="majorHAnsi" w:hAnsiTheme="majorHAnsi" w:cstheme="majorHAnsi"/>
                <w:sz w:val="17"/>
                <w:szCs w:val="17"/>
              </w:rPr>
              <w:t xml:space="preserve">without consultation </w:t>
            </w:r>
            <w:r w:rsidR="00EB2655">
              <w:rPr>
                <w:rFonts w:asciiTheme="majorHAnsi" w:hAnsiTheme="majorHAnsi" w:cstheme="majorHAnsi"/>
                <w:sz w:val="17"/>
                <w:szCs w:val="17"/>
              </w:rPr>
              <w:t xml:space="preserve">including </w:t>
            </w:r>
            <w:r w:rsidRPr="005E05DF">
              <w:rPr>
                <w:rFonts w:asciiTheme="majorHAnsi" w:hAnsiTheme="majorHAnsi" w:cstheme="majorHAnsi"/>
                <w:sz w:val="17"/>
                <w:szCs w:val="17"/>
              </w:rPr>
              <w:t xml:space="preserve">where in </w:t>
            </w:r>
            <w:r>
              <w:rPr>
                <w:rFonts w:asciiTheme="majorHAnsi" w:hAnsiTheme="majorHAnsi" w:cstheme="majorHAnsi"/>
                <w:sz w:val="17"/>
                <w:szCs w:val="17"/>
              </w:rPr>
              <w:t xml:space="preserve">its </w:t>
            </w:r>
            <w:r w:rsidRPr="005E05DF">
              <w:rPr>
                <w:rFonts w:asciiTheme="majorHAnsi" w:hAnsiTheme="majorHAnsi" w:cstheme="majorHAnsi"/>
                <w:sz w:val="17"/>
                <w:szCs w:val="17"/>
              </w:rPr>
              <w:t>reasonable opinion the proposal is for a change that was proposed but rejected in the last 12 months, or is misconceived or lacking in substance;</w:t>
            </w:r>
          </w:p>
          <w:p w14:paraId="10890544" w14:textId="77777777" w:rsidR="00DB5F67" w:rsidRPr="005E05DF" w:rsidRDefault="00DB5F67" w:rsidP="001306DA">
            <w:pPr>
              <w:pStyle w:val="TableBullet1"/>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t xml:space="preserve">the information to be published </w:t>
            </w:r>
            <w:r>
              <w:rPr>
                <w:rFonts w:asciiTheme="majorHAnsi" w:hAnsiTheme="majorHAnsi" w:cstheme="majorHAnsi"/>
                <w:sz w:val="17"/>
                <w:szCs w:val="17"/>
              </w:rPr>
              <w:t xml:space="preserve">through </w:t>
            </w:r>
            <w:r w:rsidRPr="005E05DF">
              <w:rPr>
                <w:rFonts w:asciiTheme="majorHAnsi" w:hAnsiTheme="majorHAnsi" w:cstheme="majorHAnsi"/>
                <w:sz w:val="17"/>
                <w:szCs w:val="17"/>
              </w:rPr>
              <w:t>the consultation</w:t>
            </w:r>
            <w:r>
              <w:rPr>
                <w:rFonts w:asciiTheme="majorHAnsi" w:hAnsiTheme="majorHAnsi" w:cstheme="majorHAnsi"/>
                <w:sz w:val="17"/>
                <w:szCs w:val="17"/>
              </w:rPr>
              <w:t xml:space="preserve"> process</w:t>
            </w:r>
            <w:r w:rsidRPr="005E05DF">
              <w:rPr>
                <w:rFonts w:asciiTheme="majorHAnsi" w:hAnsiTheme="majorHAnsi" w:cstheme="majorHAnsi"/>
                <w:sz w:val="17"/>
                <w:szCs w:val="17"/>
              </w:rPr>
              <w:t>, including information relating to possible curtailment of capacity released for transfer from one service point in a zone for use at another service point in the zone;</w:t>
            </w:r>
          </w:p>
          <w:p w14:paraId="739BAEE2" w14:textId="77777777" w:rsidR="00DB5F67" w:rsidRPr="005E05DF" w:rsidRDefault="00DB5F67" w:rsidP="001306DA">
            <w:pPr>
              <w:pStyle w:val="TableBullet1"/>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t xml:space="preserve">arrangements to </w:t>
            </w:r>
            <w:r w:rsidR="00C831DD">
              <w:rPr>
                <w:rFonts w:asciiTheme="majorHAnsi" w:hAnsiTheme="majorHAnsi" w:cstheme="majorHAnsi"/>
                <w:sz w:val="17"/>
                <w:szCs w:val="17"/>
              </w:rPr>
              <w:t xml:space="preserve">deal with </w:t>
            </w:r>
            <w:r w:rsidR="00EB2655">
              <w:rPr>
                <w:rFonts w:asciiTheme="majorHAnsi" w:hAnsiTheme="majorHAnsi" w:cstheme="majorHAnsi"/>
                <w:sz w:val="17"/>
                <w:szCs w:val="17"/>
              </w:rPr>
              <w:t xml:space="preserve">confidential or commercially sensitive </w:t>
            </w:r>
            <w:r w:rsidRPr="005E05DF">
              <w:rPr>
                <w:rFonts w:asciiTheme="majorHAnsi" w:hAnsiTheme="majorHAnsi" w:cstheme="majorHAnsi"/>
                <w:sz w:val="17"/>
                <w:szCs w:val="17"/>
              </w:rPr>
              <w:t>information provided to AEMO in connection with a determination; and</w:t>
            </w:r>
          </w:p>
          <w:p w14:paraId="3691023F" w14:textId="77777777" w:rsidR="00DB5F67" w:rsidRPr="005E05DF" w:rsidRDefault="00DB5F67" w:rsidP="001306DA">
            <w:pPr>
              <w:pStyle w:val="TableBullet1"/>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t>the time at which a determination takes effect and the matters to be taken into account for that purpose, including the impact on transactions occurring before the determination is made</w:t>
            </w:r>
            <w:r w:rsidR="00EB2655">
              <w:rPr>
                <w:rFonts w:asciiTheme="majorHAnsi" w:hAnsiTheme="majorHAnsi" w:cstheme="majorHAnsi"/>
                <w:sz w:val="17"/>
                <w:szCs w:val="17"/>
              </w:rPr>
              <w:t xml:space="preserve"> and </w:t>
            </w:r>
            <w:r w:rsidR="00C831DD">
              <w:rPr>
                <w:rFonts w:asciiTheme="majorHAnsi" w:hAnsiTheme="majorHAnsi" w:cstheme="majorHAnsi"/>
                <w:sz w:val="17"/>
                <w:szCs w:val="17"/>
              </w:rPr>
              <w:t xml:space="preserve">impacts on </w:t>
            </w:r>
            <w:r w:rsidR="00EB2655">
              <w:rPr>
                <w:rFonts w:asciiTheme="majorHAnsi" w:hAnsiTheme="majorHAnsi" w:cstheme="majorHAnsi"/>
                <w:sz w:val="17"/>
                <w:szCs w:val="17"/>
              </w:rPr>
              <w:t xml:space="preserve">the </w:t>
            </w:r>
            <w:r w:rsidR="00C831DD">
              <w:rPr>
                <w:rFonts w:asciiTheme="majorHAnsi" w:hAnsiTheme="majorHAnsi" w:cstheme="majorHAnsi"/>
                <w:sz w:val="17"/>
                <w:szCs w:val="17"/>
              </w:rPr>
              <w:t>capacity trading platform</w:t>
            </w:r>
            <w:r w:rsidRPr="005E05DF">
              <w:rPr>
                <w:rFonts w:asciiTheme="majorHAnsi" w:hAnsiTheme="majorHAnsi" w:cstheme="majorHAnsi"/>
                <w:sz w:val="17"/>
                <w:szCs w:val="17"/>
              </w:rPr>
              <w:t>.</w:t>
            </w:r>
          </w:p>
          <w:p w14:paraId="74100553" w14:textId="77777777" w:rsidR="00DB5F67" w:rsidRDefault="00DB5F67" w:rsidP="001306DA">
            <w:pPr>
              <w:pStyle w:val="Tabletext"/>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lastRenderedPageBreak/>
              <w:t xml:space="preserve">The Procedures must </w:t>
            </w:r>
            <w:r>
              <w:rPr>
                <w:rFonts w:asciiTheme="majorHAnsi" w:hAnsiTheme="majorHAnsi" w:cstheme="majorHAnsi"/>
                <w:sz w:val="17"/>
                <w:szCs w:val="17"/>
              </w:rPr>
              <w:t xml:space="preserve">also </w:t>
            </w:r>
            <w:r w:rsidRPr="005E05DF">
              <w:rPr>
                <w:rFonts w:asciiTheme="majorHAnsi" w:hAnsiTheme="majorHAnsi" w:cstheme="majorHAnsi"/>
                <w:sz w:val="17"/>
                <w:szCs w:val="17"/>
              </w:rPr>
              <w:t>set out the arrangements for a facility operator to</w:t>
            </w:r>
            <w:r>
              <w:rPr>
                <w:rFonts w:asciiTheme="majorHAnsi" w:hAnsiTheme="majorHAnsi" w:cstheme="majorHAnsi"/>
                <w:sz w:val="17"/>
                <w:szCs w:val="17"/>
              </w:rPr>
              <w:t>:</w:t>
            </w:r>
            <w:r w:rsidRPr="005E05DF">
              <w:rPr>
                <w:rFonts w:asciiTheme="majorHAnsi" w:hAnsiTheme="majorHAnsi" w:cstheme="majorHAnsi"/>
                <w:sz w:val="17"/>
                <w:szCs w:val="17"/>
              </w:rPr>
              <w:t xml:space="preserve"> </w:t>
            </w:r>
          </w:p>
          <w:p w14:paraId="25A92436" w14:textId="77777777" w:rsidR="00DB5F67" w:rsidRDefault="00DB5F67" w:rsidP="003702EB">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provide the information reasonably required by AEMO to analyse and assess a proposed zone or pipeline segment</w:t>
            </w:r>
            <w:r>
              <w:rPr>
                <w:rFonts w:asciiTheme="majorHAnsi" w:hAnsiTheme="majorHAnsi" w:cstheme="majorHAnsi"/>
                <w:sz w:val="17"/>
                <w:szCs w:val="17"/>
              </w:rPr>
              <w:t>;</w:t>
            </w:r>
            <w:r w:rsidRPr="005E05DF">
              <w:rPr>
                <w:rFonts w:asciiTheme="majorHAnsi" w:hAnsiTheme="majorHAnsi" w:cstheme="majorHAnsi"/>
                <w:sz w:val="17"/>
                <w:szCs w:val="17"/>
              </w:rPr>
              <w:t xml:space="preserve"> and </w:t>
            </w:r>
          </w:p>
          <w:p w14:paraId="64DEE430" w14:textId="77777777" w:rsidR="00DB5F67" w:rsidRPr="005E05DF" w:rsidRDefault="00DB5F67" w:rsidP="003702EB">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undertake modelling or other analysis and provide the results to AEMO, together with information reasonably required by AEMO to analyse the model and the results.</w:t>
            </w:r>
          </w:p>
        </w:tc>
      </w:tr>
      <w:tr w:rsidR="00DB5F67" w:rsidRPr="005E05DF" w14:paraId="60FFE3DC" w14:textId="77777777" w:rsidTr="00C831DD">
        <w:tc>
          <w:tcPr>
            <w:tcW w:w="1855" w:type="dxa"/>
            <w:vMerge/>
            <w:tcBorders>
              <w:right w:val="single" w:sz="4" w:space="0" w:color="auto"/>
            </w:tcBorders>
            <w:shd w:val="clear" w:color="auto" w:fill="FFFFFF" w:themeFill="background1"/>
          </w:tcPr>
          <w:p w14:paraId="49228F48" w14:textId="77777777" w:rsidR="00DB5F67" w:rsidRPr="005E05DF" w:rsidRDefault="00DB5F67" w:rsidP="007C25A6">
            <w:pPr>
              <w:pStyle w:val="Tabletext"/>
              <w:spacing w:before="20" w:after="40" w:line="252" w:lineRule="auto"/>
              <w:rPr>
                <w:rFonts w:asciiTheme="majorHAnsi" w:hAnsiTheme="majorHAnsi" w:cstheme="majorHAnsi"/>
                <w:sz w:val="17"/>
                <w:szCs w:val="17"/>
              </w:rPr>
            </w:pPr>
          </w:p>
        </w:tc>
        <w:tc>
          <w:tcPr>
            <w:tcW w:w="1543" w:type="dxa"/>
            <w:tcBorders>
              <w:left w:val="single" w:sz="4" w:space="0" w:color="auto"/>
              <w:right w:val="single" w:sz="4" w:space="0" w:color="auto"/>
            </w:tcBorders>
            <w:shd w:val="clear" w:color="auto" w:fill="E1E2E7" w:themeFill="background2"/>
          </w:tcPr>
          <w:p w14:paraId="4DDFA4DB" w14:textId="77777777" w:rsidR="00DB5F67" w:rsidRPr="005E05DF" w:rsidRDefault="00DB5F67" w:rsidP="007C25A6">
            <w:pPr>
              <w:pStyle w:val="Tabletext"/>
              <w:spacing w:before="20" w:after="40" w:line="252" w:lineRule="auto"/>
              <w:rPr>
                <w:rFonts w:asciiTheme="majorHAnsi" w:hAnsiTheme="majorHAnsi" w:cstheme="majorHAnsi"/>
                <w:sz w:val="17"/>
                <w:szCs w:val="17"/>
              </w:rPr>
            </w:pPr>
            <w:r>
              <w:rPr>
                <w:rFonts w:asciiTheme="majorHAnsi" w:hAnsiTheme="majorHAnsi" w:cstheme="majorHAnsi"/>
                <w:sz w:val="17"/>
                <w:szCs w:val="17"/>
              </w:rPr>
              <w:t>R</w:t>
            </w:r>
            <w:r w:rsidRPr="005E05DF">
              <w:rPr>
                <w:rFonts w:asciiTheme="majorHAnsi" w:hAnsiTheme="majorHAnsi" w:cstheme="majorHAnsi"/>
                <w:sz w:val="17"/>
                <w:szCs w:val="17"/>
              </w:rPr>
              <w:t>egister</w:t>
            </w:r>
          </w:p>
        </w:tc>
        <w:tc>
          <w:tcPr>
            <w:tcW w:w="11203" w:type="dxa"/>
            <w:tcBorders>
              <w:left w:val="single" w:sz="4" w:space="0" w:color="auto"/>
            </w:tcBorders>
            <w:shd w:val="clear" w:color="auto" w:fill="E1E2E7" w:themeFill="background2"/>
          </w:tcPr>
          <w:p w14:paraId="17C44E63" w14:textId="77777777" w:rsidR="00DB5F67" w:rsidRPr="005E05DF" w:rsidRDefault="00DB5F67"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Procedures must provide more detail about the form and content of the transportation service point register to be maintained by AEMO.</w:t>
            </w:r>
          </w:p>
        </w:tc>
      </w:tr>
      <w:tr w:rsidR="00DB5F67" w:rsidRPr="005E05DF" w14:paraId="09D1D3BA" w14:textId="77777777" w:rsidTr="00C831DD">
        <w:trPr>
          <w:cnfStyle w:val="000000010000" w:firstRow="0" w:lastRow="0" w:firstColumn="0" w:lastColumn="0" w:oddVBand="0" w:evenVBand="0" w:oddHBand="0" w:evenHBand="1" w:firstRowFirstColumn="0" w:firstRowLastColumn="0" w:lastRowFirstColumn="0" w:lastRowLastColumn="0"/>
        </w:trPr>
        <w:tc>
          <w:tcPr>
            <w:tcW w:w="1855" w:type="dxa"/>
            <w:vMerge/>
            <w:tcBorders>
              <w:right w:val="single" w:sz="4" w:space="0" w:color="auto"/>
            </w:tcBorders>
            <w:shd w:val="clear" w:color="auto" w:fill="FFFFFF" w:themeFill="background1"/>
          </w:tcPr>
          <w:p w14:paraId="53D55C17" w14:textId="77777777" w:rsidR="00DB5F67" w:rsidRPr="005E05DF" w:rsidRDefault="00DB5F67" w:rsidP="007C25A6">
            <w:pPr>
              <w:pStyle w:val="Tabletext"/>
              <w:spacing w:before="20" w:after="40" w:line="252" w:lineRule="auto"/>
              <w:rPr>
                <w:rFonts w:asciiTheme="majorHAnsi" w:hAnsiTheme="majorHAnsi" w:cstheme="majorHAnsi"/>
                <w:sz w:val="17"/>
                <w:szCs w:val="17"/>
              </w:rPr>
            </w:pPr>
          </w:p>
        </w:tc>
        <w:tc>
          <w:tcPr>
            <w:tcW w:w="1543" w:type="dxa"/>
            <w:tcBorders>
              <w:left w:val="single" w:sz="4" w:space="0" w:color="auto"/>
              <w:right w:val="single" w:sz="4" w:space="0" w:color="auto"/>
            </w:tcBorders>
          </w:tcPr>
          <w:p w14:paraId="3B3AD125" w14:textId="77777777" w:rsidR="00DB5F67" w:rsidRPr="005E05DF" w:rsidRDefault="00DB5F67"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Curtailment within zones</w:t>
            </w:r>
          </w:p>
        </w:tc>
        <w:tc>
          <w:tcPr>
            <w:tcW w:w="11203" w:type="dxa"/>
            <w:tcBorders>
              <w:left w:val="single" w:sz="4" w:space="0" w:color="auto"/>
            </w:tcBorders>
          </w:tcPr>
          <w:p w14:paraId="5A765CC5" w14:textId="77777777" w:rsidR="00DB5F67" w:rsidRPr="005E05DF" w:rsidRDefault="00DB5F67"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Procedures must set out the arrangements for a facility operator to provide to AEMO, and for AEMO to publish, information relating to the curtailment of capacity released for transfer from one service point in a zone when nominated for use at another service point in the zone.</w:t>
            </w:r>
            <w:r w:rsidRPr="005E05DF">
              <w:rPr>
                <w:rFonts w:asciiTheme="majorHAnsi" w:hAnsiTheme="majorHAnsi" w:cstheme="majorHAnsi"/>
                <w:i/>
                <w:sz w:val="17"/>
                <w:szCs w:val="17"/>
              </w:rPr>
              <w:t xml:space="preserve"> </w:t>
            </w:r>
          </w:p>
        </w:tc>
      </w:tr>
      <w:tr w:rsidR="00DB5F67" w:rsidRPr="005E05DF" w14:paraId="12FCA6E7" w14:textId="77777777" w:rsidTr="00C831DD">
        <w:tc>
          <w:tcPr>
            <w:tcW w:w="1855" w:type="dxa"/>
            <w:tcBorders>
              <w:bottom w:val="single" w:sz="4" w:space="0" w:color="auto"/>
            </w:tcBorders>
            <w:shd w:val="clear" w:color="auto" w:fill="FFFFFF" w:themeFill="background1"/>
          </w:tcPr>
          <w:p w14:paraId="51B43819" w14:textId="77777777" w:rsidR="00DB5F67" w:rsidRPr="005E05DF" w:rsidRDefault="00DB5F67"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DWGM and STTM interfaces</w:t>
            </w:r>
          </w:p>
        </w:tc>
        <w:tc>
          <w:tcPr>
            <w:tcW w:w="12746" w:type="dxa"/>
            <w:gridSpan w:val="2"/>
            <w:tcBorders>
              <w:bottom w:val="single" w:sz="4" w:space="0" w:color="auto"/>
            </w:tcBorders>
            <w:shd w:val="clear" w:color="auto" w:fill="FFFFFF" w:themeFill="background1"/>
          </w:tcPr>
          <w:p w14:paraId="09D8F366" w14:textId="77777777" w:rsidR="00DB5F67" w:rsidRPr="005E05DF" w:rsidRDefault="00DB5F67"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Procedures must set out the arrangements for notification to AEMO and confirmation, approval or acceptance by AEMO or any other person of:</w:t>
            </w:r>
          </w:p>
          <w:p w14:paraId="62FE3B23" w14:textId="77777777" w:rsidR="00DB5F67" w:rsidRPr="005E05DF" w:rsidRDefault="00DB5F67"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a sale of capacity at a DWGM interface point through the auction or capacity trading platform; or</w:t>
            </w:r>
          </w:p>
          <w:p w14:paraId="4E2F9890" w14:textId="77777777" w:rsidR="00DB5F67" w:rsidRPr="005E05DF" w:rsidRDefault="00DB5F67"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a sale of capacity at an STTM interface point through the capacity trading platform.</w:t>
            </w:r>
          </w:p>
        </w:tc>
      </w:tr>
      <w:tr w:rsidR="00DB5F67" w:rsidRPr="005E05DF" w14:paraId="267ED48A" w14:textId="77777777" w:rsidTr="00C831DD">
        <w:trPr>
          <w:cnfStyle w:val="000000010000" w:firstRow="0" w:lastRow="0" w:firstColumn="0" w:lastColumn="0" w:oddVBand="0" w:evenVBand="0" w:oddHBand="0" w:evenHBand="1" w:firstRowFirstColumn="0" w:firstRowLastColumn="0" w:lastRowFirstColumn="0" w:lastRowLastColumn="0"/>
        </w:trPr>
        <w:tc>
          <w:tcPr>
            <w:tcW w:w="1855" w:type="dxa"/>
          </w:tcPr>
          <w:p w14:paraId="019BB68D" w14:textId="77777777" w:rsidR="00DB5F67" w:rsidRPr="005E05DF" w:rsidRDefault="00DB5F67"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Service continuity if primary facility agreement terminated</w:t>
            </w:r>
          </w:p>
        </w:tc>
        <w:tc>
          <w:tcPr>
            <w:tcW w:w="12746" w:type="dxa"/>
            <w:gridSpan w:val="2"/>
          </w:tcPr>
          <w:p w14:paraId="4DB6EF67" w14:textId="77777777" w:rsidR="00DB5F67" w:rsidRPr="005E05DF" w:rsidRDefault="00DB5F67"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 xml:space="preserve">The Procedures must: </w:t>
            </w:r>
          </w:p>
          <w:p w14:paraId="7E0B1463" w14:textId="77777777" w:rsidR="00DB5F67" w:rsidRPr="005E05DF" w:rsidRDefault="00DB5F67"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include the arrangements for a service provider to notify AEMO if a primary facility agreement terminates and may also provide for AEMO to verify the accuracy of information provided to it</w:t>
            </w:r>
            <w:r>
              <w:rPr>
                <w:rFonts w:asciiTheme="majorHAnsi" w:hAnsiTheme="majorHAnsi" w:cstheme="majorHAnsi"/>
                <w:sz w:val="17"/>
                <w:szCs w:val="17"/>
              </w:rPr>
              <w:t>; and</w:t>
            </w:r>
          </w:p>
          <w:p w14:paraId="0A1A1AB2" w14:textId="77777777" w:rsidR="00DB5F67" w:rsidRPr="005E05DF" w:rsidRDefault="00DB5F67" w:rsidP="007C25A6">
            <w:pPr>
              <w:pStyle w:val="TableBullet1"/>
              <w:spacing w:before="20" w:after="40" w:line="252" w:lineRule="auto"/>
              <w:rPr>
                <w:rFonts w:asciiTheme="majorHAnsi" w:hAnsiTheme="majorHAnsi" w:cstheme="majorHAnsi"/>
                <w:sz w:val="17"/>
                <w:szCs w:val="17"/>
              </w:rPr>
            </w:pPr>
            <w:r w:rsidRPr="005E05DF">
              <w:rPr>
                <w:rFonts w:asciiTheme="majorHAnsi" w:eastAsiaTheme="minorEastAsia" w:hAnsiTheme="majorHAnsi" w:cstheme="majorHAnsi"/>
                <w:sz w:val="17"/>
                <w:szCs w:val="17"/>
              </w:rPr>
              <w:t xml:space="preserve">set out the method to determine the amount to be paid to the service provider for the use of the capacity during the service continuity period, which must be determined by reference to the price or prices at which the terminated seller sold the capacity. </w:t>
            </w:r>
          </w:p>
        </w:tc>
      </w:tr>
      <w:tr w:rsidR="00D80626" w:rsidRPr="005E05DF" w14:paraId="76355BA3" w14:textId="77777777" w:rsidTr="00C831DD">
        <w:tc>
          <w:tcPr>
            <w:tcW w:w="14601" w:type="dxa"/>
            <w:gridSpan w:val="3"/>
            <w:tcBorders>
              <w:bottom w:val="single" w:sz="4" w:space="0" w:color="auto"/>
            </w:tcBorders>
            <w:shd w:val="clear" w:color="auto" w:fill="65697F" w:themeFill="background2" w:themeFillShade="80"/>
          </w:tcPr>
          <w:p w14:paraId="6AAC7C9C" w14:textId="77777777" w:rsidR="00D80626" w:rsidRPr="005E05DF" w:rsidRDefault="00360B2B" w:rsidP="007C25A6">
            <w:pPr>
              <w:pStyle w:val="Tabletext"/>
              <w:keepNext/>
              <w:spacing w:before="20" w:after="40" w:line="252" w:lineRule="auto"/>
              <w:jc w:val="center"/>
              <w:rPr>
                <w:rFonts w:asciiTheme="majorHAnsi" w:hAnsiTheme="majorHAnsi" w:cstheme="majorHAnsi"/>
                <w:b/>
                <w:sz w:val="17"/>
                <w:szCs w:val="17"/>
              </w:rPr>
            </w:pPr>
            <w:r w:rsidRPr="005E05DF">
              <w:rPr>
                <w:rFonts w:asciiTheme="majorHAnsi" w:hAnsiTheme="majorHAnsi" w:cstheme="majorHAnsi"/>
                <w:b/>
                <w:color w:val="FFFFFF" w:themeColor="background1"/>
                <w:sz w:val="17"/>
                <w:szCs w:val="17"/>
              </w:rPr>
              <w:t xml:space="preserve">Operation of the Day-Ahead </w:t>
            </w:r>
            <w:r w:rsidR="00D80626" w:rsidRPr="005E05DF">
              <w:rPr>
                <w:rFonts w:asciiTheme="majorHAnsi" w:hAnsiTheme="majorHAnsi" w:cstheme="majorHAnsi"/>
                <w:b/>
                <w:color w:val="FFFFFF" w:themeColor="background1"/>
                <w:sz w:val="17"/>
                <w:szCs w:val="17"/>
              </w:rPr>
              <w:t>Auction</w:t>
            </w:r>
          </w:p>
        </w:tc>
      </w:tr>
      <w:tr w:rsidR="000E39FD" w:rsidRPr="009963D5" w14:paraId="18148903" w14:textId="77777777" w:rsidTr="00C831DD">
        <w:trPr>
          <w:cnfStyle w:val="000000010000" w:firstRow="0" w:lastRow="0" w:firstColumn="0" w:lastColumn="0" w:oddVBand="0" w:evenVBand="0" w:oddHBand="0" w:evenHBand="1" w:firstRowFirstColumn="0" w:firstRowLastColumn="0" w:lastRowFirstColumn="0" w:lastRowLastColumn="0"/>
        </w:trPr>
        <w:tc>
          <w:tcPr>
            <w:tcW w:w="1855" w:type="dxa"/>
            <w:vMerge w:val="restart"/>
            <w:shd w:val="clear" w:color="auto" w:fill="FFFFFF" w:themeFill="background1"/>
          </w:tcPr>
          <w:p w14:paraId="78097CCA" w14:textId="77777777" w:rsidR="000E39FD" w:rsidRPr="009963D5" w:rsidRDefault="000E39FD" w:rsidP="003702EB">
            <w:pPr>
              <w:pStyle w:val="Tabletext"/>
              <w:spacing w:before="20" w:after="20" w:line="252" w:lineRule="auto"/>
              <w:rPr>
                <w:rFonts w:asciiTheme="majorHAnsi" w:hAnsiTheme="majorHAnsi" w:cstheme="majorHAnsi"/>
                <w:sz w:val="17"/>
                <w:szCs w:val="17"/>
              </w:rPr>
            </w:pPr>
            <w:r w:rsidRPr="009963D5">
              <w:rPr>
                <w:rFonts w:asciiTheme="majorHAnsi" w:hAnsiTheme="majorHAnsi" w:cstheme="majorHAnsi"/>
                <w:sz w:val="17"/>
                <w:szCs w:val="17"/>
              </w:rPr>
              <w:t>Auction design</w:t>
            </w:r>
          </w:p>
        </w:tc>
        <w:tc>
          <w:tcPr>
            <w:tcW w:w="12746" w:type="dxa"/>
            <w:gridSpan w:val="2"/>
            <w:shd w:val="clear" w:color="auto" w:fill="FFFFFF" w:themeFill="background1"/>
          </w:tcPr>
          <w:p w14:paraId="1F0545E6" w14:textId="77777777" w:rsidR="000E39FD" w:rsidRPr="009963D5" w:rsidRDefault="000E39FD" w:rsidP="003702EB">
            <w:pPr>
              <w:pStyle w:val="TableBullet1"/>
              <w:numPr>
                <w:ilvl w:val="0"/>
                <w:numId w:val="0"/>
              </w:numPr>
              <w:spacing w:before="20" w:after="20" w:line="252" w:lineRule="auto"/>
              <w:ind w:left="85"/>
              <w:rPr>
                <w:rFonts w:asciiTheme="majorHAnsi" w:hAnsiTheme="majorHAnsi" w:cstheme="majorHAnsi"/>
                <w:sz w:val="17"/>
                <w:szCs w:val="17"/>
              </w:rPr>
            </w:pPr>
            <w:r w:rsidRPr="009963D5">
              <w:rPr>
                <w:rFonts w:asciiTheme="majorHAnsi" w:hAnsiTheme="majorHAnsi" w:cstheme="majorHAnsi"/>
                <w:sz w:val="17"/>
                <w:szCs w:val="17"/>
              </w:rPr>
              <w:t>The day-ahead auction must to be established and operated by AEMO in accordance with the principles set out in the NGR, which the CT&amp;A Procedures must give effect to. The key design principles are as follows:</w:t>
            </w:r>
          </w:p>
          <w:p w14:paraId="28574D6A" w14:textId="77777777" w:rsidR="000E39FD" w:rsidRPr="009963D5" w:rsidRDefault="000E39FD" w:rsidP="003702EB">
            <w:pPr>
              <w:pStyle w:val="TableBullet1"/>
              <w:spacing w:before="20" w:after="20" w:line="252" w:lineRule="auto"/>
              <w:rPr>
                <w:rFonts w:asciiTheme="majorHAnsi" w:hAnsiTheme="majorHAnsi" w:cstheme="majorHAnsi"/>
                <w:sz w:val="17"/>
                <w:szCs w:val="17"/>
              </w:rPr>
            </w:pPr>
            <w:r w:rsidRPr="009963D5">
              <w:rPr>
                <w:rFonts w:asciiTheme="majorHAnsi" w:hAnsiTheme="majorHAnsi" w:cstheme="majorHAnsi"/>
                <w:sz w:val="17"/>
                <w:szCs w:val="17"/>
              </w:rPr>
              <w:t xml:space="preserve">the auction must be conducted on a </w:t>
            </w:r>
            <w:r w:rsidR="003702EB" w:rsidRPr="009963D5">
              <w:rPr>
                <w:rFonts w:asciiTheme="majorHAnsi" w:hAnsiTheme="majorHAnsi" w:cstheme="majorHAnsi"/>
                <w:sz w:val="17"/>
                <w:szCs w:val="17"/>
              </w:rPr>
              <w:t>day-ahead basis</w:t>
            </w:r>
            <w:r w:rsidRPr="009963D5">
              <w:rPr>
                <w:rFonts w:asciiTheme="majorHAnsi" w:hAnsiTheme="majorHAnsi" w:cstheme="majorHAnsi"/>
                <w:sz w:val="17"/>
                <w:szCs w:val="17"/>
              </w:rPr>
              <w:t>;</w:t>
            </w:r>
          </w:p>
          <w:p w14:paraId="3841B293" w14:textId="77777777" w:rsidR="006F3EE9" w:rsidRPr="009963D5" w:rsidRDefault="006F3EE9" w:rsidP="003702EB">
            <w:pPr>
              <w:pStyle w:val="TableBullet1"/>
              <w:spacing w:before="20" w:after="20" w:line="252" w:lineRule="auto"/>
              <w:rPr>
                <w:rFonts w:asciiTheme="majorHAnsi" w:hAnsiTheme="majorHAnsi" w:cstheme="majorHAnsi"/>
                <w:sz w:val="17"/>
                <w:szCs w:val="17"/>
              </w:rPr>
            </w:pPr>
            <w:r w:rsidRPr="009963D5">
              <w:rPr>
                <w:rFonts w:asciiTheme="majorHAnsi" w:hAnsiTheme="majorHAnsi" w:cstheme="majorHAnsi"/>
                <w:sz w:val="17"/>
                <w:szCs w:val="17"/>
              </w:rPr>
              <w:t>participants will be able to use the auction to procure forward haul auction services (with separate products offered in both directions on bi-directional</w:t>
            </w:r>
            <w:r w:rsidRPr="009963D5">
              <w:rPr>
                <w:rStyle w:val="FootnoteReference"/>
                <w:rFonts w:asciiTheme="majorHAnsi" w:hAnsiTheme="majorHAnsi" w:cstheme="majorHAnsi"/>
                <w:sz w:val="17"/>
                <w:szCs w:val="17"/>
              </w:rPr>
              <w:footnoteReference w:id="10"/>
            </w:r>
            <w:r w:rsidRPr="009963D5">
              <w:rPr>
                <w:rFonts w:asciiTheme="majorHAnsi" w:hAnsiTheme="majorHAnsi" w:cstheme="majorHAnsi"/>
                <w:sz w:val="17"/>
                <w:szCs w:val="17"/>
              </w:rPr>
              <w:t xml:space="preserve"> pipelines), backhaul auction services on </w:t>
            </w:r>
            <w:r w:rsidRPr="009963D5">
              <w:rPr>
                <w:rFonts w:asciiTheme="majorHAnsi" w:eastAsiaTheme="majorEastAsia" w:hAnsiTheme="majorHAnsi" w:cstheme="majorHAnsi"/>
                <w:sz w:val="17"/>
                <w:szCs w:val="17"/>
              </w:rPr>
              <w:t>those single direction pipelines (or parts of pipelines) that AEMO specifies</w:t>
            </w:r>
            <w:r w:rsidR="005D1657">
              <w:rPr>
                <w:rFonts w:asciiTheme="majorHAnsi" w:eastAsiaTheme="majorEastAsia" w:hAnsiTheme="majorHAnsi" w:cstheme="majorHAnsi"/>
                <w:sz w:val="17"/>
                <w:szCs w:val="17"/>
              </w:rPr>
              <w:t xml:space="preserve"> should be included in the auction</w:t>
            </w:r>
            <w:r w:rsidRPr="009963D5">
              <w:rPr>
                <w:rFonts w:asciiTheme="majorHAnsi" w:eastAsiaTheme="majorEastAsia" w:hAnsiTheme="majorHAnsi" w:cstheme="majorHAnsi"/>
                <w:sz w:val="17"/>
                <w:szCs w:val="17"/>
              </w:rPr>
              <w:t xml:space="preserve"> and compression services</w:t>
            </w:r>
            <w:r w:rsidR="005D1657">
              <w:rPr>
                <w:rFonts w:asciiTheme="majorHAnsi" w:eastAsiaTheme="majorEastAsia" w:hAnsiTheme="majorHAnsi" w:cstheme="majorHAnsi"/>
                <w:sz w:val="17"/>
                <w:szCs w:val="17"/>
              </w:rPr>
              <w:t xml:space="preserve"> provided by </w:t>
            </w:r>
            <w:r w:rsidR="00C831DD">
              <w:rPr>
                <w:rFonts w:asciiTheme="majorHAnsi" w:eastAsiaTheme="majorEastAsia" w:hAnsiTheme="majorHAnsi" w:cstheme="majorHAnsi"/>
                <w:sz w:val="17"/>
                <w:szCs w:val="17"/>
              </w:rPr>
              <w:t xml:space="preserve">the stand-alone </w:t>
            </w:r>
            <w:r w:rsidR="005D1657">
              <w:rPr>
                <w:rFonts w:asciiTheme="majorHAnsi" w:eastAsiaTheme="majorEastAsia" w:hAnsiTheme="majorHAnsi" w:cstheme="majorHAnsi"/>
                <w:sz w:val="17"/>
                <w:szCs w:val="17"/>
              </w:rPr>
              <w:t>compression facilities subject to the auction</w:t>
            </w:r>
            <w:r w:rsidRPr="009963D5">
              <w:rPr>
                <w:rFonts w:asciiTheme="majorHAnsi" w:eastAsiaTheme="majorEastAsia" w:hAnsiTheme="majorHAnsi" w:cstheme="majorHAnsi"/>
                <w:sz w:val="17"/>
                <w:szCs w:val="17"/>
              </w:rPr>
              <w:t>;</w:t>
            </w:r>
          </w:p>
          <w:p w14:paraId="4B6C8DCA" w14:textId="77777777" w:rsidR="003702EB" w:rsidRPr="009963D5" w:rsidRDefault="003702EB" w:rsidP="006F3EE9">
            <w:pPr>
              <w:pStyle w:val="TableBullet1"/>
              <w:spacing w:before="20" w:after="20" w:line="252" w:lineRule="auto"/>
              <w:rPr>
                <w:rFonts w:asciiTheme="majorHAnsi" w:hAnsiTheme="majorHAnsi" w:cstheme="majorHAnsi"/>
                <w:sz w:val="17"/>
                <w:szCs w:val="17"/>
              </w:rPr>
            </w:pPr>
            <w:r w:rsidRPr="009963D5">
              <w:rPr>
                <w:rFonts w:asciiTheme="majorHAnsi" w:hAnsiTheme="majorHAnsi" w:cstheme="majorHAnsi"/>
                <w:sz w:val="17"/>
                <w:szCs w:val="17"/>
              </w:rPr>
              <w:t>the auction must be held for each auction facility and each auction service</w:t>
            </w:r>
            <w:r w:rsidR="006F3EE9" w:rsidRPr="009963D5">
              <w:rPr>
                <w:rFonts w:asciiTheme="majorHAnsi" w:hAnsiTheme="majorHAnsi" w:cstheme="majorHAnsi"/>
                <w:sz w:val="17"/>
                <w:szCs w:val="17"/>
              </w:rPr>
              <w:t>;</w:t>
            </w:r>
          </w:p>
          <w:p w14:paraId="1E8856CD" w14:textId="2F1B8B8C" w:rsidR="000E39FD" w:rsidRPr="009963D5" w:rsidRDefault="000E39FD" w:rsidP="003702EB">
            <w:pPr>
              <w:pStyle w:val="TableBullet1"/>
              <w:spacing w:before="20" w:after="20" w:line="252" w:lineRule="auto"/>
              <w:rPr>
                <w:rFonts w:asciiTheme="majorHAnsi" w:hAnsiTheme="majorHAnsi" w:cstheme="majorHAnsi"/>
                <w:sz w:val="17"/>
                <w:szCs w:val="17"/>
              </w:rPr>
            </w:pPr>
            <w:r w:rsidRPr="009963D5">
              <w:rPr>
                <w:rFonts w:asciiTheme="majorHAnsi" w:hAnsiTheme="majorHAnsi" w:cstheme="majorHAnsi"/>
                <w:sz w:val="17"/>
                <w:szCs w:val="17"/>
              </w:rPr>
              <w:t xml:space="preserve">the auction must take place </w:t>
            </w:r>
            <w:r w:rsidR="003702EB" w:rsidRPr="009963D5">
              <w:rPr>
                <w:rFonts w:asciiTheme="majorHAnsi" w:hAnsiTheme="majorHAnsi" w:cstheme="majorHAnsi"/>
                <w:sz w:val="17"/>
                <w:szCs w:val="17"/>
              </w:rPr>
              <w:t xml:space="preserve">on </w:t>
            </w:r>
            <w:r w:rsidRPr="009963D5">
              <w:rPr>
                <w:rFonts w:asciiTheme="majorHAnsi" w:hAnsiTheme="majorHAnsi" w:cstheme="majorHAnsi"/>
                <w:sz w:val="17"/>
                <w:szCs w:val="17"/>
              </w:rPr>
              <w:t xml:space="preserve">a single round </w:t>
            </w:r>
            <w:r w:rsidR="003702EB" w:rsidRPr="009963D5">
              <w:rPr>
                <w:rFonts w:asciiTheme="majorHAnsi" w:hAnsiTheme="majorHAnsi" w:cstheme="majorHAnsi"/>
                <w:sz w:val="17"/>
                <w:szCs w:val="17"/>
              </w:rPr>
              <w:t xml:space="preserve">sealed bid basis and have </w:t>
            </w:r>
            <w:r w:rsidRPr="009963D5">
              <w:rPr>
                <w:rFonts w:asciiTheme="majorHAnsi" w:hAnsiTheme="majorHAnsi" w:cstheme="majorHAnsi"/>
                <w:sz w:val="17"/>
                <w:szCs w:val="17"/>
              </w:rPr>
              <w:t>a reserve price of zero;</w:t>
            </w:r>
            <w:r w:rsidR="003702EB" w:rsidRPr="009963D5">
              <w:rPr>
                <w:rFonts w:asciiTheme="majorHAnsi" w:hAnsiTheme="majorHAnsi" w:cstheme="majorHAnsi"/>
                <w:sz w:val="17"/>
                <w:szCs w:val="17"/>
              </w:rPr>
              <w:t xml:space="preserve"> and</w:t>
            </w:r>
          </w:p>
          <w:p w14:paraId="6F76B6D5" w14:textId="77777777" w:rsidR="000E39FD" w:rsidRDefault="000E39FD" w:rsidP="003702EB">
            <w:pPr>
              <w:pStyle w:val="TableBullet1"/>
              <w:spacing w:before="20" w:after="20" w:line="252" w:lineRule="auto"/>
              <w:rPr>
                <w:rFonts w:asciiTheme="majorHAnsi" w:hAnsiTheme="majorHAnsi" w:cstheme="majorHAnsi"/>
                <w:sz w:val="17"/>
                <w:szCs w:val="17"/>
              </w:rPr>
            </w:pPr>
            <w:r w:rsidRPr="009963D5">
              <w:rPr>
                <w:rFonts w:asciiTheme="majorHAnsi" w:hAnsiTheme="majorHAnsi" w:cstheme="majorHAnsi"/>
                <w:sz w:val="17"/>
                <w:szCs w:val="17"/>
              </w:rPr>
              <w:t>the capacity allocated through the auction must not exceed the auction quantity limits applicable to the auction facility for that auction service and gas day</w:t>
            </w:r>
            <w:r w:rsidR="008C6C93" w:rsidRPr="009963D5">
              <w:rPr>
                <w:rFonts w:asciiTheme="majorHAnsi" w:hAnsiTheme="majorHAnsi" w:cstheme="majorHAnsi"/>
                <w:sz w:val="17"/>
                <w:szCs w:val="17"/>
              </w:rPr>
              <w:t>,</w:t>
            </w:r>
            <w:r w:rsidRPr="009963D5">
              <w:rPr>
                <w:rFonts w:asciiTheme="majorHAnsi" w:hAnsiTheme="majorHAnsi" w:cstheme="majorHAnsi"/>
                <w:sz w:val="17"/>
                <w:szCs w:val="17"/>
              </w:rPr>
              <w:t xml:space="preserve"> and in the case of a bidirectional pipeline, must not change the scheduled direction of flow for that gas day</w:t>
            </w:r>
            <w:r w:rsidR="003702EB" w:rsidRPr="009963D5">
              <w:rPr>
                <w:rFonts w:asciiTheme="majorHAnsi" w:hAnsiTheme="majorHAnsi" w:cstheme="majorHAnsi"/>
                <w:sz w:val="17"/>
                <w:szCs w:val="17"/>
              </w:rPr>
              <w:t>.</w:t>
            </w:r>
            <w:r w:rsidRPr="009963D5">
              <w:rPr>
                <w:rFonts w:asciiTheme="majorHAnsi" w:hAnsiTheme="majorHAnsi" w:cstheme="majorHAnsi"/>
                <w:sz w:val="17"/>
                <w:szCs w:val="17"/>
              </w:rPr>
              <w:t xml:space="preserve"> </w:t>
            </w:r>
          </w:p>
          <w:p w14:paraId="38510AB5" w14:textId="77777777" w:rsidR="000F36C5" w:rsidRPr="009963D5" w:rsidRDefault="000F36C5" w:rsidP="00C831DD">
            <w:pPr>
              <w:pStyle w:val="TableBullet1"/>
              <w:numPr>
                <w:ilvl w:val="0"/>
                <w:numId w:val="0"/>
              </w:numPr>
              <w:spacing w:before="20" w:after="20" w:line="252" w:lineRule="auto"/>
              <w:ind w:left="312" w:hanging="227"/>
              <w:rPr>
                <w:rFonts w:asciiTheme="majorHAnsi" w:hAnsiTheme="majorHAnsi" w:cstheme="majorHAnsi"/>
                <w:sz w:val="17"/>
                <w:szCs w:val="17"/>
              </w:rPr>
            </w:pPr>
            <w:r w:rsidRPr="005E05DF">
              <w:rPr>
                <w:rFonts w:asciiTheme="majorHAnsi" w:hAnsiTheme="majorHAnsi" w:cstheme="majorHAnsi"/>
                <w:sz w:val="17"/>
                <w:szCs w:val="17"/>
              </w:rPr>
              <w:t>The Procedures must</w:t>
            </w:r>
            <w:r>
              <w:rPr>
                <w:rFonts w:asciiTheme="majorHAnsi" w:hAnsiTheme="majorHAnsi" w:cstheme="majorHAnsi"/>
                <w:sz w:val="17"/>
                <w:szCs w:val="17"/>
              </w:rPr>
              <w:t xml:space="preserve"> set out </w:t>
            </w:r>
            <w:r w:rsidRPr="005E05DF">
              <w:rPr>
                <w:rFonts w:asciiTheme="majorHAnsi" w:hAnsiTheme="majorHAnsi" w:cstheme="majorHAnsi"/>
                <w:sz w:val="17"/>
                <w:szCs w:val="17"/>
              </w:rPr>
              <w:t>the specification of auction products or the manner in which that is determined</w:t>
            </w:r>
            <w:r>
              <w:rPr>
                <w:rFonts w:asciiTheme="majorHAnsi" w:hAnsiTheme="majorHAnsi" w:cstheme="majorHAnsi"/>
                <w:sz w:val="17"/>
                <w:szCs w:val="17"/>
              </w:rPr>
              <w:t>.</w:t>
            </w:r>
          </w:p>
        </w:tc>
      </w:tr>
      <w:tr w:rsidR="00C831DD" w:rsidRPr="005E05DF" w14:paraId="1C7553F3" w14:textId="77777777" w:rsidTr="00C831DD">
        <w:trPr>
          <w:trHeight w:val="1489"/>
        </w:trPr>
        <w:tc>
          <w:tcPr>
            <w:tcW w:w="1855" w:type="dxa"/>
            <w:vMerge/>
            <w:shd w:val="clear" w:color="auto" w:fill="FFFFFF" w:themeFill="background1"/>
          </w:tcPr>
          <w:p w14:paraId="66D907F6" w14:textId="77777777" w:rsidR="00C831DD" w:rsidRPr="005E05DF" w:rsidRDefault="00C831DD" w:rsidP="007C25A6">
            <w:pPr>
              <w:pStyle w:val="Tabletext"/>
              <w:spacing w:before="20" w:after="40" w:line="252" w:lineRule="auto"/>
              <w:rPr>
                <w:rFonts w:asciiTheme="majorHAnsi" w:hAnsiTheme="majorHAnsi" w:cstheme="majorHAnsi"/>
                <w:sz w:val="17"/>
                <w:szCs w:val="17"/>
              </w:rPr>
            </w:pPr>
          </w:p>
        </w:tc>
        <w:tc>
          <w:tcPr>
            <w:tcW w:w="1543" w:type="dxa"/>
            <w:shd w:val="clear" w:color="auto" w:fill="FFFFFF" w:themeFill="background1"/>
          </w:tcPr>
          <w:p w14:paraId="2F135A56" w14:textId="77777777" w:rsidR="00C831DD" w:rsidRPr="005E05DF" w:rsidRDefault="00C831DD"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Bidding</w:t>
            </w:r>
          </w:p>
        </w:tc>
        <w:tc>
          <w:tcPr>
            <w:tcW w:w="11203" w:type="dxa"/>
            <w:shd w:val="clear" w:color="auto" w:fill="FFFFFF" w:themeFill="background1"/>
          </w:tcPr>
          <w:p w14:paraId="147D5349" w14:textId="77777777" w:rsidR="00C831DD" w:rsidRPr="005E05DF" w:rsidRDefault="00C831DD"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Procedures must provide for:</w:t>
            </w:r>
          </w:p>
          <w:p w14:paraId="26F0DA48" w14:textId="77777777" w:rsidR="00C831DD" w:rsidRPr="005E05DF" w:rsidRDefault="00C831DD"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each auction participant to specify in its bid the combination of auction products that its bid relates to;</w:t>
            </w:r>
          </w:p>
          <w:p w14:paraId="00F2CFEE" w14:textId="77777777" w:rsidR="00C831DD" w:rsidRPr="005E05DF" w:rsidRDefault="00C831DD"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submission of separate bids for different combinations of auction products; and</w:t>
            </w:r>
          </w:p>
          <w:p w14:paraId="7E1F93C8" w14:textId="77777777" w:rsidR="00C831DD" w:rsidRPr="005E05DF" w:rsidRDefault="00C831DD"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each bid to comprise a single bid quantity (in GJ) and a single bid price (in $/GJ and expressed to the number of decimal places provided for in the Procedures) for the combination of auction products specified in the bid.</w:t>
            </w:r>
          </w:p>
        </w:tc>
      </w:tr>
      <w:tr w:rsidR="000E39FD" w:rsidRPr="005E05DF" w14:paraId="17BDBA78" w14:textId="77777777" w:rsidTr="00C831DD">
        <w:trPr>
          <w:cnfStyle w:val="000000010000" w:firstRow="0" w:lastRow="0" w:firstColumn="0" w:lastColumn="0" w:oddVBand="0" w:evenVBand="0" w:oddHBand="0" w:evenHBand="1" w:firstRowFirstColumn="0" w:firstRowLastColumn="0" w:lastRowFirstColumn="0" w:lastRowLastColumn="0"/>
        </w:trPr>
        <w:tc>
          <w:tcPr>
            <w:tcW w:w="1855" w:type="dxa"/>
            <w:vMerge/>
            <w:shd w:val="clear" w:color="auto" w:fill="FFFFFF" w:themeFill="background1"/>
          </w:tcPr>
          <w:p w14:paraId="5C224CB2" w14:textId="77777777" w:rsidR="000E39FD" w:rsidRPr="005E05DF" w:rsidRDefault="000E39FD" w:rsidP="007C25A6">
            <w:pPr>
              <w:pStyle w:val="Tabletext"/>
              <w:spacing w:before="20" w:after="40" w:line="252" w:lineRule="auto"/>
              <w:rPr>
                <w:rFonts w:asciiTheme="majorHAnsi" w:hAnsiTheme="majorHAnsi" w:cstheme="majorHAnsi"/>
                <w:sz w:val="17"/>
                <w:szCs w:val="17"/>
              </w:rPr>
            </w:pPr>
          </w:p>
        </w:tc>
        <w:tc>
          <w:tcPr>
            <w:tcW w:w="1543" w:type="dxa"/>
            <w:shd w:val="clear" w:color="auto" w:fill="FFFFFF" w:themeFill="background1"/>
          </w:tcPr>
          <w:p w14:paraId="2AE52414" w14:textId="77777777" w:rsidR="000E39FD" w:rsidRPr="005E05DF" w:rsidRDefault="000E39FD" w:rsidP="007C25A6">
            <w:pPr>
              <w:pStyle w:val="Tabletext"/>
              <w:keepN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Allocation of capacity</w:t>
            </w:r>
          </w:p>
        </w:tc>
        <w:tc>
          <w:tcPr>
            <w:tcW w:w="11203" w:type="dxa"/>
            <w:shd w:val="clear" w:color="auto" w:fill="FFFFFF" w:themeFill="background1"/>
          </w:tcPr>
          <w:p w14:paraId="33A5DDD2" w14:textId="77777777" w:rsidR="000E39FD" w:rsidRPr="005E05DF" w:rsidRDefault="000E39FD" w:rsidP="007C25A6">
            <w:pPr>
              <w:pStyle w:val="Tabletext"/>
              <w:keepN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Procedures must provide for:</w:t>
            </w:r>
          </w:p>
          <w:p w14:paraId="7D3B90DC" w14:textId="77777777" w:rsidR="000E39FD" w:rsidRPr="005E05DF" w:rsidRDefault="000E39FD" w:rsidP="007C25A6">
            <w:pPr>
              <w:pStyle w:val="TableBullet1"/>
              <w:keepN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all winning bids to be determined simultaneously and for an auction participant to win none, one or more of its bids;</w:t>
            </w:r>
          </w:p>
          <w:p w14:paraId="71314460" w14:textId="77777777" w:rsidR="000E39FD" w:rsidRPr="005E05DF" w:rsidRDefault="000E39FD" w:rsidP="007C25A6">
            <w:pPr>
              <w:pStyle w:val="TableBullet1"/>
              <w:keepN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winning bids to be the combination of one or more bids that maximise the total auction revenues at bid prices and allocates to each winning auction participant the same quantity of capacity for all auction products in the combination specified in its winning bid;</w:t>
            </w:r>
          </w:p>
          <w:p w14:paraId="0A190BD7" w14:textId="62684DAD" w:rsidR="000E39FD" w:rsidRPr="005E05DF" w:rsidRDefault="000E39FD" w:rsidP="007C25A6">
            <w:pPr>
              <w:pStyle w:val="TableBullet1"/>
              <w:keepN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 xml:space="preserve">the quantity of capacity allocated to a particular winning bid to be any quantity between </w:t>
            </w:r>
            <w:r w:rsidR="00023A3E">
              <w:rPr>
                <w:rFonts w:asciiTheme="majorHAnsi" w:hAnsiTheme="majorHAnsi" w:cstheme="majorHAnsi"/>
                <w:sz w:val="17"/>
                <w:szCs w:val="17"/>
              </w:rPr>
              <w:t xml:space="preserve">zero and </w:t>
            </w:r>
            <w:r w:rsidRPr="005E05DF">
              <w:rPr>
                <w:rFonts w:asciiTheme="majorHAnsi" w:hAnsiTheme="majorHAnsi" w:cstheme="majorHAnsi"/>
                <w:sz w:val="17"/>
                <w:szCs w:val="17"/>
              </w:rPr>
              <w:t xml:space="preserve">the </w:t>
            </w:r>
            <w:r w:rsidR="00023A3E">
              <w:rPr>
                <w:rFonts w:asciiTheme="majorHAnsi" w:hAnsiTheme="majorHAnsi" w:cstheme="majorHAnsi"/>
                <w:sz w:val="17"/>
                <w:szCs w:val="17"/>
              </w:rPr>
              <w:t>bid quantity</w:t>
            </w:r>
            <w:r w:rsidRPr="005E05DF">
              <w:rPr>
                <w:rFonts w:asciiTheme="majorHAnsi" w:hAnsiTheme="majorHAnsi" w:cstheme="majorHAnsi"/>
                <w:sz w:val="17"/>
                <w:szCs w:val="17"/>
              </w:rPr>
              <w:t xml:space="preserve">; </w:t>
            </w:r>
          </w:p>
          <w:p w14:paraId="7DE7FF68" w14:textId="77777777" w:rsidR="000E39FD" w:rsidRPr="005E05DF" w:rsidRDefault="000E39FD" w:rsidP="007C25A6">
            <w:pPr>
              <w:pStyle w:val="TableBullet1"/>
              <w:keepN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 xml:space="preserve">a random selection </w:t>
            </w:r>
            <w:r>
              <w:rPr>
                <w:rFonts w:asciiTheme="majorHAnsi" w:hAnsiTheme="majorHAnsi" w:cstheme="majorHAnsi"/>
                <w:sz w:val="17"/>
                <w:szCs w:val="17"/>
              </w:rPr>
              <w:t xml:space="preserve">method </w:t>
            </w:r>
            <w:r w:rsidRPr="005E05DF">
              <w:rPr>
                <w:rFonts w:asciiTheme="majorHAnsi" w:hAnsiTheme="majorHAnsi" w:cstheme="majorHAnsi"/>
                <w:sz w:val="17"/>
                <w:szCs w:val="17"/>
              </w:rPr>
              <w:t xml:space="preserve">to </w:t>
            </w:r>
            <w:r w:rsidR="003702EB">
              <w:rPr>
                <w:rFonts w:asciiTheme="majorHAnsi" w:hAnsiTheme="majorHAnsi" w:cstheme="majorHAnsi"/>
                <w:sz w:val="17"/>
                <w:szCs w:val="17"/>
              </w:rPr>
              <w:t xml:space="preserve">be used to </w:t>
            </w:r>
            <w:r w:rsidRPr="005E05DF">
              <w:rPr>
                <w:rFonts w:asciiTheme="majorHAnsi" w:hAnsiTheme="majorHAnsi" w:cstheme="majorHAnsi"/>
                <w:sz w:val="17"/>
                <w:szCs w:val="17"/>
              </w:rPr>
              <w:t>determine the winning allocation</w:t>
            </w:r>
            <w:r>
              <w:rPr>
                <w:rFonts w:asciiTheme="majorHAnsi" w:hAnsiTheme="majorHAnsi" w:cstheme="majorHAnsi"/>
                <w:sz w:val="17"/>
                <w:szCs w:val="17"/>
              </w:rPr>
              <w:t xml:space="preserve"> </w:t>
            </w:r>
            <w:r w:rsidRPr="005E05DF">
              <w:rPr>
                <w:rFonts w:asciiTheme="majorHAnsi" w:hAnsiTheme="majorHAnsi" w:cstheme="majorHAnsi"/>
                <w:sz w:val="17"/>
                <w:szCs w:val="17"/>
              </w:rPr>
              <w:t>if there is more than one combination of winning bids; and</w:t>
            </w:r>
          </w:p>
          <w:p w14:paraId="483E43D9" w14:textId="020F1861" w:rsidR="000E39FD" w:rsidRPr="005E05DF" w:rsidRDefault="000E39FD" w:rsidP="00023A3E">
            <w:pPr>
              <w:pStyle w:val="TableBullet1"/>
              <w:keepN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lowest</w:t>
            </w:r>
            <w:r w:rsidR="00023A3E">
              <w:rPr>
                <w:rFonts w:asciiTheme="majorHAnsi" w:hAnsiTheme="majorHAnsi" w:cstheme="majorHAnsi"/>
                <w:sz w:val="17"/>
                <w:szCs w:val="17"/>
              </w:rPr>
              <w:t xml:space="preserve"> priced bid</w:t>
            </w:r>
            <w:r w:rsidRPr="005E05DF">
              <w:rPr>
                <w:rFonts w:asciiTheme="majorHAnsi" w:hAnsiTheme="majorHAnsi" w:cstheme="majorHAnsi"/>
                <w:sz w:val="17"/>
                <w:szCs w:val="17"/>
              </w:rPr>
              <w:t xml:space="preserve"> accepted for any particular auction product to be partially filled if necessary.</w:t>
            </w:r>
          </w:p>
        </w:tc>
      </w:tr>
      <w:tr w:rsidR="000E39FD" w:rsidRPr="005E05DF" w14:paraId="1E7D8F22" w14:textId="77777777" w:rsidTr="00C831DD">
        <w:tc>
          <w:tcPr>
            <w:tcW w:w="1855" w:type="dxa"/>
            <w:vMerge/>
            <w:shd w:val="clear" w:color="auto" w:fill="FFFFFF" w:themeFill="background1"/>
          </w:tcPr>
          <w:p w14:paraId="64A750E1" w14:textId="77777777" w:rsidR="000E39FD" w:rsidRPr="005E05DF" w:rsidRDefault="000E39FD" w:rsidP="007C25A6">
            <w:pPr>
              <w:pStyle w:val="Tabletext"/>
              <w:spacing w:before="20" w:after="40" w:line="252" w:lineRule="auto"/>
              <w:rPr>
                <w:rFonts w:asciiTheme="majorHAnsi" w:hAnsiTheme="majorHAnsi" w:cstheme="majorHAnsi"/>
                <w:sz w:val="17"/>
                <w:szCs w:val="17"/>
              </w:rPr>
            </w:pPr>
          </w:p>
        </w:tc>
        <w:tc>
          <w:tcPr>
            <w:tcW w:w="1543" w:type="dxa"/>
            <w:shd w:val="clear" w:color="auto" w:fill="FFFFFF" w:themeFill="background1"/>
          </w:tcPr>
          <w:p w14:paraId="01D6A5ED" w14:textId="77777777" w:rsidR="000E39FD" w:rsidRPr="005E05DF" w:rsidRDefault="000E39FD"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Clearing prices</w:t>
            </w:r>
          </w:p>
        </w:tc>
        <w:tc>
          <w:tcPr>
            <w:tcW w:w="11203" w:type="dxa"/>
            <w:shd w:val="clear" w:color="auto" w:fill="FFFFFF" w:themeFill="background1"/>
          </w:tcPr>
          <w:p w14:paraId="22A834F0" w14:textId="77777777" w:rsidR="000E39FD" w:rsidRPr="005E05DF" w:rsidRDefault="000E39FD"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Procedures must provide for:</w:t>
            </w:r>
          </w:p>
          <w:p w14:paraId="2A03ABBD" w14:textId="77777777" w:rsidR="000E39FD" w:rsidRPr="005E05DF" w:rsidRDefault="000E39FD"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auction to operate on a pay as cleared basis with all winners of a particular auction product to pay the same clearing price (per GJ) for that auction product and the clearing price to be determined jointly such that the lowest accepted bid sets the clearing price;</w:t>
            </w:r>
          </w:p>
          <w:p w14:paraId="69E04641" w14:textId="77777777" w:rsidR="000E39FD" w:rsidRPr="005E05DF" w:rsidRDefault="000E39FD"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 xml:space="preserve">any auction product for which capacity remains partially unsold in the auction for a gas day to have a clearing price of $0 for that gas day; </w:t>
            </w:r>
            <w:r w:rsidR="009963D5">
              <w:rPr>
                <w:rFonts w:asciiTheme="majorHAnsi" w:hAnsiTheme="majorHAnsi" w:cstheme="majorHAnsi"/>
                <w:sz w:val="17"/>
                <w:szCs w:val="17"/>
              </w:rPr>
              <w:t>and</w:t>
            </w:r>
          </w:p>
          <w:p w14:paraId="5BF40839" w14:textId="77777777" w:rsidR="000E39FD" w:rsidRPr="005E05DF" w:rsidRDefault="000E39FD"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clearing price determined for each auction product to satisfy the following conditions:</w:t>
            </w:r>
          </w:p>
          <w:p w14:paraId="3BEC6007" w14:textId="77777777" w:rsidR="000E39FD" w:rsidRPr="005E05DF" w:rsidRDefault="000E39FD" w:rsidP="003702EB">
            <w:pPr>
              <w:pStyle w:val="TableBullet2"/>
              <w:spacing w:before="20" w:after="20"/>
              <w:rPr>
                <w:rFonts w:asciiTheme="majorHAnsi" w:hAnsiTheme="majorHAnsi" w:cstheme="majorHAnsi"/>
                <w:sz w:val="17"/>
                <w:szCs w:val="17"/>
              </w:rPr>
            </w:pPr>
            <w:r w:rsidRPr="005E05DF">
              <w:rPr>
                <w:rFonts w:asciiTheme="majorHAnsi" w:hAnsiTheme="majorHAnsi" w:cstheme="majorHAnsi"/>
                <w:sz w:val="17"/>
                <w:szCs w:val="17"/>
              </w:rPr>
              <w:t>for any winning bid that is allocated a quantity of capacity equal to its bid quantity, the sum of clearing prices of all auction products included in that bid must not exceed the bid price in that bid;</w:t>
            </w:r>
          </w:p>
          <w:p w14:paraId="762CC6E7" w14:textId="77777777" w:rsidR="000E39FD" w:rsidRPr="005E05DF" w:rsidRDefault="000E39FD" w:rsidP="003702EB">
            <w:pPr>
              <w:pStyle w:val="TableBullet2"/>
              <w:spacing w:before="20" w:after="20"/>
              <w:rPr>
                <w:rFonts w:asciiTheme="majorHAnsi" w:hAnsiTheme="majorHAnsi" w:cstheme="majorHAnsi"/>
                <w:sz w:val="17"/>
                <w:szCs w:val="17"/>
              </w:rPr>
            </w:pPr>
            <w:r w:rsidRPr="005E05DF">
              <w:rPr>
                <w:rFonts w:asciiTheme="majorHAnsi" w:hAnsiTheme="majorHAnsi" w:cstheme="majorHAnsi"/>
                <w:sz w:val="17"/>
                <w:szCs w:val="17"/>
              </w:rPr>
              <w:t>for any winning bid that is allocated a quantity of capacity greater than zero but less than the bid quantity, the sum of clearing prices of all auction products included in that bid must be equal to the bid price; and</w:t>
            </w:r>
          </w:p>
          <w:p w14:paraId="2ED78E5F" w14:textId="77777777" w:rsidR="000E39FD" w:rsidRPr="005E05DF" w:rsidRDefault="000E39FD" w:rsidP="003702EB">
            <w:pPr>
              <w:pStyle w:val="TableBullet2"/>
              <w:spacing w:before="20" w:after="20"/>
              <w:rPr>
                <w:rFonts w:asciiTheme="majorHAnsi" w:hAnsiTheme="majorHAnsi" w:cstheme="majorHAnsi"/>
                <w:sz w:val="17"/>
                <w:szCs w:val="17"/>
              </w:rPr>
            </w:pPr>
            <w:r w:rsidRPr="005E05DF">
              <w:rPr>
                <w:rFonts w:asciiTheme="majorHAnsi" w:hAnsiTheme="majorHAnsi" w:cstheme="majorHAnsi"/>
                <w:sz w:val="17"/>
                <w:szCs w:val="17"/>
              </w:rPr>
              <w:t>for any bid that is not allocated any capacity, the sum of the clearing prices of all auction products included in that bid must be no lower than the bid price of that bid.</w:t>
            </w:r>
          </w:p>
        </w:tc>
      </w:tr>
      <w:tr w:rsidR="000E39FD" w:rsidRPr="005E05DF" w14:paraId="5F8DA6C7" w14:textId="77777777" w:rsidTr="00C831DD">
        <w:trPr>
          <w:cnfStyle w:val="000000010000" w:firstRow="0" w:lastRow="0" w:firstColumn="0" w:lastColumn="0" w:oddVBand="0" w:evenVBand="0" w:oddHBand="0" w:evenHBand="1" w:firstRowFirstColumn="0" w:firstRowLastColumn="0" w:lastRowFirstColumn="0" w:lastRowLastColumn="0"/>
        </w:trPr>
        <w:tc>
          <w:tcPr>
            <w:tcW w:w="1855" w:type="dxa"/>
            <w:vMerge/>
            <w:shd w:val="clear" w:color="auto" w:fill="FFFFFF" w:themeFill="background1"/>
          </w:tcPr>
          <w:p w14:paraId="51E8BCCE" w14:textId="77777777" w:rsidR="000E39FD" w:rsidRPr="005E05DF" w:rsidRDefault="000E39FD" w:rsidP="007C25A6">
            <w:pPr>
              <w:pStyle w:val="Tabletext"/>
              <w:spacing w:before="20" w:after="40" w:line="252" w:lineRule="auto"/>
              <w:rPr>
                <w:rFonts w:asciiTheme="majorHAnsi" w:hAnsiTheme="majorHAnsi" w:cstheme="majorHAnsi"/>
                <w:sz w:val="17"/>
                <w:szCs w:val="17"/>
              </w:rPr>
            </w:pPr>
          </w:p>
        </w:tc>
        <w:tc>
          <w:tcPr>
            <w:tcW w:w="1543" w:type="dxa"/>
            <w:shd w:val="clear" w:color="auto" w:fill="FFFFFF" w:themeFill="background1"/>
          </w:tcPr>
          <w:p w14:paraId="68A0002D" w14:textId="77777777" w:rsidR="000E39FD" w:rsidRPr="005E05DF" w:rsidRDefault="000E39FD"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Payments by winning bidders</w:t>
            </w:r>
          </w:p>
        </w:tc>
        <w:tc>
          <w:tcPr>
            <w:tcW w:w="11203" w:type="dxa"/>
            <w:shd w:val="clear" w:color="auto" w:fill="FFFFFF" w:themeFill="background1"/>
          </w:tcPr>
          <w:p w14:paraId="5D33BA47" w14:textId="77777777" w:rsidR="000E39FD" w:rsidRPr="005E05DF" w:rsidRDefault="000E39FD"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Procedures must provide for:</w:t>
            </w:r>
          </w:p>
          <w:p w14:paraId="247E2045" w14:textId="77777777" w:rsidR="000E39FD" w:rsidRPr="005E05DF" w:rsidRDefault="000E39FD"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auction participant to pay an amount for each auction product allocated to the auction participant in the auction by reference to the auction Maximum Daily Quantity (MDQ) allocated to the auction participant and the clearing price for the auction product;</w:t>
            </w:r>
          </w:p>
          <w:p w14:paraId="15A8AED1" w14:textId="77777777" w:rsidR="000E39FD" w:rsidRPr="005E05DF" w:rsidRDefault="000E39FD"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if the auction MDQ for an auction product allocated to an auction participant is curtailed, the amount payable by the auction participant for the curtailed auction MDQ and the auction MDQ for the other auction products that formed part of the relevant winning bid to be determined by reference to the curtailed auction MDQ and the auction participant’s nominations or renominations for use of auction MDQ; and</w:t>
            </w:r>
          </w:p>
          <w:p w14:paraId="034740CD" w14:textId="77777777" w:rsidR="000E39FD" w:rsidRPr="005E05DF" w:rsidRDefault="000E39FD"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payment of GST by winning bidders.</w:t>
            </w:r>
          </w:p>
        </w:tc>
      </w:tr>
      <w:tr w:rsidR="000E39FD" w:rsidRPr="005E05DF" w14:paraId="5823650E" w14:textId="77777777" w:rsidTr="00C831DD">
        <w:tc>
          <w:tcPr>
            <w:tcW w:w="1855" w:type="dxa"/>
            <w:vMerge/>
            <w:shd w:val="clear" w:color="auto" w:fill="FFFFFF" w:themeFill="background1"/>
          </w:tcPr>
          <w:p w14:paraId="584403E0" w14:textId="77777777" w:rsidR="000E39FD" w:rsidRPr="005E05DF" w:rsidRDefault="000E39FD" w:rsidP="007C25A6">
            <w:pPr>
              <w:pStyle w:val="Tabletext"/>
              <w:spacing w:before="20" w:after="40" w:line="252" w:lineRule="auto"/>
              <w:rPr>
                <w:rFonts w:asciiTheme="majorHAnsi" w:hAnsiTheme="majorHAnsi" w:cstheme="majorHAnsi"/>
                <w:sz w:val="17"/>
                <w:szCs w:val="17"/>
              </w:rPr>
            </w:pPr>
          </w:p>
        </w:tc>
        <w:tc>
          <w:tcPr>
            <w:tcW w:w="1543" w:type="dxa"/>
            <w:shd w:val="clear" w:color="auto" w:fill="FFFFFF" w:themeFill="background1"/>
          </w:tcPr>
          <w:p w14:paraId="44558237" w14:textId="77777777" w:rsidR="000E39FD" w:rsidRPr="005E05DF" w:rsidRDefault="000E39FD"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Payments to facility operators</w:t>
            </w:r>
          </w:p>
        </w:tc>
        <w:tc>
          <w:tcPr>
            <w:tcW w:w="11203" w:type="dxa"/>
            <w:shd w:val="clear" w:color="auto" w:fill="FFFFFF" w:themeFill="background1"/>
          </w:tcPr>
          <w:p w14:paraId="1F7149A8" w14:textId="77777777" w:rsidR="000E39FD" w:rsidRPr="005E05DF" w:rsidRDefault="000E39FD"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Procedures must provide for the proceeds of the auction for a gas day (excluding taxes and subject to the maximum total payment provisions) to be paid to the auction facility operators for which capacity was sold in the auction for that gas day.</w:t>
            </w:r>
          </w:p>
        </w:tc>
      </w:tr>
      <w:tr w:rsidR="000E39FD" w:rsidRPr="005E05DF" w14:paraId="4C8C6F9E" w14:textId="77777777" w:rsidTr="00C831DD">
        <w:trPr>
          <w:cnfStyle w:val="000000010000" w:firstRow="0" w:lastRow="0" w:firstColumn="0" w:lastColumn="0" w:oddVBand="0" w:evenVBand="0" w:oddHBand="0" w:evenHBand="1" w:firstRowFirstColumn="0" w:firstRowLastColumn="0" w:lastRowFirstColumn="0" w:lastRowLastColumn="0"/>
        </w:trPr>
        <w:tc>
          <w:tcPr>
            <w:tcW w:w="1855" w:type="dxa"/>
            <w:vMerge/>
            <w:shd w:val="clear" w:color="auto" w:fill="FFFFFF" w:themeFill="background1"/>
          </w:tcPr>
          <w:p w14:paraId="60E8BEAC" w14:textId="77777777" w:rsidR="000E39FD" w:rsidRPr="005E05DF" w:rsidRDefault="000E39FD" w:rsidP="007C25A6">
            <w:pPr>
              <w:pStyle w:val="Tabletext"/>
              <w:spacing w:before="20" w:after="40" w:line="252" w:lineRule="auto"/>
              <w:rPr>
                <w:rFonts w:asciiTheme="majorHAnsi" w:hAnsiTheme="majorHAnsi" w:cstheme="majorHAnsi"/>
                <w:sz w:val="17"/>
                <w:szCs w:val="17"/>
              </w:rPr>
            </w:pPr>
          </w:p>
        </w:tc>
        <w:tc>
          <w:tcPr>
            <w:tcW w:w="1543" w:type="dxa"/>
            <w:shd w:val="clear" w:color="auto" w:fill="FFFFFF" w:themeFill="background1"/>
          </w:tcPr>
          <w:p w14:paraId="5BE7BE99" w14:textId="77777777" w:rsidR="000E39FD" w:rsidRPr="005E05DF" w:rsidRDefault="000E39FD"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Auction errors</w:t>
            </w:r>
          </w:p>
        </w:tc>
        <w:tc>
          <w:tcPr>
            <w:tcW w:w="11203" w:type="dxa"/>
            <w:shd w:val="clear" w:color="auto" w:fill="FFFFFF" w:themeFill="background1"/>
          </w:tcPr>
          <w:p w14:paraId="6487E5EC" w14:textId="71F843DF" w:rsidR="000E39FD" w:rsidRPr="005E05DF" w:rsidRDefault="000E39FD" w:rsidP="00023A3E">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 xml:space="preserve">The Procedures may require auction results to be treated as final and not subject to review or </w:t>
            </w:r>
            <w:r w:rsidR="00023A3E">
              <w:rPr>
                <w:rFonts w:asciiTheme="majorHAnsi" w:hAnsiTheme="majorHAnsi" w:cstheme="majorHAnsi"/>
                <w:sz w:val="17"/>
                <w:szCs w:val="17"/>
              </w:rPr>
              <w:t>the payment of compensation for</w:t>
            </w:r>
            <w:r w:rsidRPr="005E05DF">
              <w:rPr>
                <w:rFonts w:asciiTheme="majorHAnsi" w:hAnsiTheme="majorHAnsi" w:cstheme="majorHAnsi"/>
                <w:sz w:val="17"/>
                <w:szCs w:val="17"/>
              </w:rPr>
              <w:t xml:space="preserve"> error.</w:t>
            </w:r>
          </w:p>
        </w:tc>
      </w:tr>
      <w:tr w:rsidR="000E39FD" w:rsidRPr="005E05DF" w14:paraId="60943DA4" w14:textId="77777777" w:rsidTr="00C831DD">
        <w:tc>
          <w:tcPr>
            <w:tcW w:w="1855" w:type="dxa"/>
            <w:vMerge/>
            <w:tcBorders>
              <w:bottom w:val="single" w:sz="4" w:space="0" w:color="auto"/>
            </w:tcBorders>
            <w:shd w:val="clear" w:color="auto" w:fill="FFFFFF" w:themeFill="background1"/>
          </w:tcPr>
          <w:p w14:paraId="42A2D4EB" w14:textId="77777777" w:rsidR="000E39FD" w:rsidRPr="005E05DF" w:rsidRDefault="000E39FD" w:rsidP="007C25A6">
            <w:pPr>
              <w:pStyle w:val="Tabletext"/>
              <w:spacing w:before="20" w:after="40" w:line="252" w:lineRule="auto"/>
              <w:rPr>
                <w:rFonts w:asciiTheme="majorHAnsi" w:hAnsiTheme="majorHAnsi" w:cstheme="majorHAnsi"/>
                <w:sz w:val="17"/>
                <w:szCs w:val="17"/>
              </w:rPr>
            </w:pPr>
          </w:p>
        </w:tc>
        <w:tc>
          <w:tcPr>
            <w:tcW w:w="1543" w:type="dxa"/>
            <w:tcBorders>
              <w:bottom w:val="single" w:sz="4" w:space="0" w:color="auto"/>
            </w:tcBorders>
            <w:shd w:val="clear" w:color="auto" w:fill="FFFFFF" w:themeFill="background1"/>
          </w:tcPr>
          <w:p w14:paraId="7BCF1103" w14:textId="77777777" w:rsidR="000E39FD" w:rsidRPr="005E05DF" w:rsidRDefault="000E39FD"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Delay, cancellation and suspension</w:t>
            </w:r>
            <w:r>
              <w:rPr>
                <w:rFonts w:asciiTheme="majorHAnsi" w:hAnsiTheme="majorHAnsi" w:cstheme="majorHAnsi"/>
                <w:sz w:val="17"/>
                <w:szCs w:val="17"/>
              </w:rPr>
              <w:t xml:space="preserve"> of the auction</w:t>
            </w:r>
          </w:p>
        </w:tc>
        <w:tc>
          <w:tcPr>
            <w:tcW w:w="11203" w:type="dxa"/>
            <w:tcBorders>
              <w:bottom w:val="single" w:sz="4" w:space="0" w:color="auto"/>
            </w:tcBorders>
            <w:shd w:val="clear" w:color="auto" w:fill="FFFFFF" w:themeFill="background1"/>
          </w:tcPr>
          <w:p w14:paraId="51CC9188" w14:textId="77777777" w:rsidR="000E39FD" w:rsidRPr="005E05DF" w:rsidRDefault="000E39FD"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Procedures must specify the circumstances in which AEMO may:</w:t>
            </w:r>
          </w:p>
          <w:p w14:paraId="2FF7E88C" w14:textId="77777777" w:rsidR="000E39FD" w:rsidRPr="005E05DF" w:rsidRDefault="000E39FD"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 xml:space="preserve">delay or cancel the auction; or </w:t>
            </w:r>
          </w:p>
          <w:p w14:paraId="54A10A0A" w14:textId="77777777" w:rsidR="000E39FD" w:rsidRDefault="000E39FD"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 xml:space="preserve">suspend </w:t>
            </w:r>
            <w:r w:rsidR="003702EB">
              <w:rPr>
                <w:rFonts w:asciiTheme="majorHAnsi" w:hAnsiTheme="majorHAnsi" w:cstheme="majorHAnsi"/>
                <w:sz w:val="17"/>
                <w:szCs w:val="17"/>
              </w:rPr>
              <w:t xml:space="preserve">the </w:t>
            </w:r>
            <w:r w:rsidRPr="005E05DF">
              <w:rPr>
                <w:rFonts w:asciiTheme="majorHAnsi" w:hAnsiTheme="majorHAnsi" w:cstheme="majorHAnsi"/>
                <w:sz w:val="17"/>
                <w:szCs w:val="17"/>
              </w:rPr>
              <w:t>participation of an auction facility.</w:t>
            </w:r>
          </w:p>
          <w:p w14:paraId="410B10E7" w14:textId="77777777" w:rsidR="000E39FD" w:rsidRPr="005E05DF" w:rsidRDefault="000E39FD">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Procedures may allow the standard nomination cut-off time or the auction service nomination cut-off time for a gas day to be extended where there is an unforeseen event such as a system failure.</w:t>
            </w:r>
          </w:p>
        </w:tc>
      </w:tr>
      <w:tr w:rsidR="00AC72D6" w:rsidRPr="005E05DF" w14:paraId="5F4C66B9" w14:textId="77777777" w:rsidTr="00C831DD">
        <w:trPr>
          <w:cnfStyle w:val="000000010000" w:firstRow="0" w:lastRow="0" w:firstColumn="0" w:lastColumn="0" w:oddVBand="0" w:evenVBand="0" w:oddHBand="0" w:evenHBand="1" w:firstRowFirstColumn="0" w:firstRowLastColumn="0" w:lastRowFirstColumn="0" w:lastRowLastColumn="0"/>
        </w:trPr>
        <w:tc>
          <w:tcPr>
            <w:tcW w:w="1855" w:type="dxa"/>
            <w:vMerge w:val="restart"/>
          </w:tcPr>
          <w:p w14:paraId="320DA09C" w14:textId="77777777" w:rsidR="00D80626" w:rsidRPr="005E05DF" w:rsidRDefault="00D80626" w:rsidP="00023A3E">
            <w:pPr>
              <w:pStyle w:val="Tabletext"/>
              <w:keepNext/>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lastRenderedPageBreak/>
              <w:t>Auction quantity limits</w:t>
            </w:r>
          </w:p>
        </w:tc>
        <w:tc>
          <w:tcPr>
            <w:tcW w:w="12746" w:type="dxa"/>
            <w:gridSpan w:val="2"/>
          </w:tcPr>
          <w:p w14:paraId="4FD746F4" w14:textId="77777777" w:rsidR="005E05DF" w:rsidRPr="005E05DF" w:rsidRDefault="00D80626" w:rsidP="00023A3E">
            <w:pPr>
              <w:pStyle w:val="Tabletext"/>
              <w:keepNext/>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t>The Procedures must</w:t>
            </w:r>
            <w:r w:rsidR="005E05DF" w:rsidRPr="005E05DF">
              <w:rPr>
                <w:rFonts w:asciiTheme="majorHAnsi" w:hAnsiTheme="majorHAnsi" w:cstheme="majorHAnsi"/>
                <w:sz w:val="17"/>
                <w:szCs w:val="17"/>
              </w:rPr>
              <w:t>:</w:t>
            </w:r>
            <w:r w:rsidRPr="005E05DF">
              <w:rPr>
                <w:rFonts w:asciiTheme="majorHAnsi" w:hAnsiTheme="majorHAnsi" w:cstheme="majorHAnsi"/>
                <w:sz w:val="17"/>
                <w:szCs w:val="17"/>
              </w:rPr>
              <w:t xml:space="preserve"> </w:t>
            </w:r>
          </w:p>
          <w:p w14:paraId="10C9E705" w14:textId="77777777" w:rsidR="00D80626" w:rsidRPr="005E05DF" w:rsidRDefault="00D80626" w:rsidP="00023A3E">
            <w:pPr>
              <w:pStyle w:val="TableBullet1"/>
              <w:keepNext/>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t xml:space="preserve">set out the arrangements for facility operators to determine, update and provide to AEMO </w:t>
            </w:r>
            <w:r w:rsidR="006B6526">
              <w:rPr>
                <w:rFonts w:asciiTheme="majorHAnsi" w:hAnsiTheme="majorHAnsi" w:cstheme="majorHAnsi"/>
                <w:sz w:val="17"/>
                <w:szCs w:val="17"/>
              </w:rPr>
              <w:t xml:space="preserve">for </w:t>
            </w:r>
            <w:r w:rsidRPr="005E05DF">
              <w:rPr>
                <w:rFonts w:asciiTheme="majorHAnsi" w:hAnsiTheme="majorHAnsi" w:cstheme="majorHAnsi"/>
                <w:sz w:val="17"/>
                <w:szCs w:val="17"/>
              </w:rPr>
              <w:t>each gas day the auction quantity limits</w:t>
            </w:r>
            <w:r w:rsidR="003702EB">
              <w:rPr>
                <w:rFonts w:asciiTheme="majorHAnsi" w:hAnsiTheme="majorHAnsi" w:cstheme="majorHAnsi"/>
                <w:sz w:val="17"/>
                <w:szCs w:val="17"/>
              </w:rPr>
              <w:t>; and</w:t>
            </w:r>
          </w:p>
          <w:p w14:paraId="2CB05F45" w14:textId="77777777" w:rsidR="00D80626" w:rsidRPr="005E05DF" w:rsidRDefault="00D80626" w:rsidP="00023A3E">
            <w:pPr>
              <w:pStyle w:val="TableBullet1"/>
              <w:keepNext/>
              <w:spacing w:before="20" w:after="40" w:line="247" w:lineRule="auto"/>
            </w:pPr>
            <w:r w:rsidRPr="005E05DF">
              <w:rPr>
                <w:rFonts w:asciiTheme="majorHAnsi" w:hAnsiTheme="majorHAnsi" w:cstheme="majorHAnsi"/>
                <w:sz w:val="17"/>
                <w:szCs w:val="17"/>
              </w:rPr>
              <w:t xml:space="preserve">set out the methodology for the calculation of auction quantity limits in accordance with the principles in the </w:t>
            </w:r>
            <w:r w:rsidR="007C25A6">
              <w:rPr>
                <w:rFonts w:asciiTheme="majorHAnsi" w:hAnsiTheme="majorHAnsi" w:cstheme="majorHAnsi"/>
                <w:sz w:val="17"/>
                <w:szCs w:val="17"/>
              </w:rPr>
              <w:t>NGR (see rows below)</w:t>
            </w:r>
            <w:r w:rsidRPr="005E05DF">
              <w:t xml:space="preserve">. </w:t>
            </w:r>
          </w:p>
          <w:p w14:paraId="0543933E" w14:textId="77777777" w:rsidR="00D80626" w:rsidRPr="005E05DF" w:rsidRDefault="00D80626" w:rsidP="00023A3E">
            <w:pPr>
              <w:pStyle w:val="Tabletext"/>
              <w:keepNext/>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t>The Procedures may provide for:</w:t>
            </w:r>
          </w:p>
          <w:p w14:paraId="0C745558" w14:textId="77777777" w:rsidR="00D80626" w:rsidRPr="005E05DF" w:rsidRDefault="00D80626" w:rsidP="00023A3E">
            <w:pPr>
              <w:pStyle w:val="TableBullet1"/>
              <w:keepNext/>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t>arrangements for AEMO and a facility operator to agree or have determined the allocation of reserved capacity to an auction facility, service point or pipeline segment for the purposes of determining auction quantity limits; and</w:t>
            </w:r>
          </w:p>
          <w:p w14:paraId="65FABDB3" w14:textId="77777777" w:rsidR="00D80626" w:rsidRPr="005E05DF" w:rsidRDefault="00D80626" w:rsidP="00023A3E">
            <w:pPr>
              <w:pStyle w:val="TableBullet1"/>
              <w:keepNext/>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t xml:space="preserve">circumstances in which a facility operator may include additional quantities of </w:t>
            </w:r>
            <w:r w:rsidR="005E05DF" w:rsidRPr="005E05DF">
              <w:rPr>
                <w:rFonts w:asciiTheme="majorHAnsi" w:hAnsiTheme="majorHAnsi" w:cstheme="majorHAnsi"/>
                <w:sz w:val="17"/>
                <w:szCs w:val="17"/>
              </w:rPr>
              <w:t>capacity</w:t>
            </w:r>
            <w:r w:rsidRPr="005E05DF">
              <w:rPr>
                <w:rFonts w:asciiTheme="majorHAnsi" w:hAnsiTheme="majorHAnsi" w:cstheme="majorHAnsi"/>
                <w:sz w:val="17"/>
                <w:szCs w:val="17"/>
              </w:rPr>
              <w:t xml:space="preserve"> as contracted capacity </w:t>
            </w:r>
            <w:r w:rsidR="005E05DF">
              <w:rPr>
                <w:rFonts w:asciiTheme="majorHAnsi" w:hAnsiTheme="majorHAnsi" w:cstheme="majorHAnsi"/>
                <w:sz w:val="17"/>
                <w:szCs w:val="17"/>
              </w:rPr>
              <w:t xml:space="preserve">when </w:t>
            </w:r>
            <w:r w:rsidRPr="005E05DF">
              <w:rPr>
                <w:rFonts w:asciiTheme="majorHAnsi" w:hAnsiTheme="majorHAnsi" w:cstheme="majorHAnsi"/>
                <w:sz w:val="17"/>
                <w:szCs w:val="17"/>
              </w:rPr>
              <w:t>calculating auction quantity limits.</w:t>
            </w:r>
          </w:p>
        </w:tc>
      </w:tr>
      <w:tr w:rsidR="00BE49D5" w:rsidRPr="005E05DF" w14:paraId="1957918B" w14:textId="77777777" w:rsidTr="00C831DD">
        <w:tc>
          <w:tcPr>
            <w:tcW w:w="1855" w:type="dxa"/>
            <w:vMerge/>
            <w:shd w:val="clear" w:color="auto" w:fill="E1E2E7" w:themeFill="background2"/>
          </w:tcPr>
          <w:p w14:paraId="110DBA3A" w14:textId="77777777" w:rsidR="00D80626" w:rsidRPr="005E05DF" w:rsidRDefault="00D80626" w:rsidP="007C25A6">
            <w:pPr>
              <w:pStyle w:val="Tabletext"/>
              <w:spacing w:before="20" w:after="40" w:line="252" w:lineRule="auto"/>
              <w:rPr>
                <w:rFonts w:asciiTheme="majorHAnsi" w:hAnsiTheme="majorHAnsi" w:cstheme="majorHAnsi"/>
                <w:sz w:val="17"/>
                <w:szCs w:val="17"/>
              </w:rPr>
            </w:pPr>
          </w:p>
        </w:tc>
        <w:tc>
          <w:tcPr>
            <w:tcW w:w="1543" w:type="dxa"/>
            <w:shd w:val="clear" w:color="auto" w:fill="E1E2E7" w:themeFill="background2"/>
          </w:tcPr>
          <w:p w14:paraId="56ADEF94" w14:textId="77777777" w:rsidR="00D80626" w:rsidRPr="007C25A6" w:rsidRDefault="00167483" w:rsidP="00023A3E">
            <w:pPr>
              <w:pStyle w:val="Tabletext"/>
              <w:spacing w:before="20" w:after="40" w:line="247" w:lineRule="auto"/>
              <w:rPr>
                <w:rFonts w:asciiTheme="majorHAnsi" w:hAnsiTheme="majorHAnsi" w:cstheme="majorHAnsi"/>
                <w:sz w:val="17"/>
                <w:szCs w:val="17"/>
              </w:rPr>
            </w:pPr>
            <w:r w:rsidRPr="007C25A6">
              <w:rPr>
                <w:rFonts w:asciiTheme="majorHAnsi" w:hAnsiTheme="majorHAnsi" w:cstheme="majorHAnsi"/>
                <w:sz w:val="17"/>
                <w:szCs w:val="17"/>
              </w:rPr>
              <w:t>Pipeline f</w:t>
            </w:r>
            <w:r w:rsidR="00D80626" w:rsidRPr="007C25A6">
              <w:rPr>
                <w:rFonts w:asciiTheme="majorHAnsi" w:hAnsiTheme="majorHAnsi" w:cstheme="majorHAnsi"/>
                <w:sz w:val="17"/>
                <w:szCs w:val="17"/>
              </w:rPr>
              <w:t>orward haul</w:t>
            </w:r>
            <w:r w:rsidRPr="007C25A6">
              <w:rPr>
                <w:rFonts w:asciiTheme="majorHAnsi" w:hAnsiTheme="majorHAnsi" w:cstheme="majorHAnsi"/>
                <w:sz w:val="17"/>
                <w:szCs w:val="17"/>
              </w:rPr>
              <w:t xml:space="preserve"> </w:t>
            </w:r>
            <w:r w:rsidR="003702EB">
              <w:rPr>
                <w:rFonts w:asciiTheme="majorHAnsi" w:hAnsiTheme="majorHAnsi" w:cstheme="majorHAnsi"/>
                <w:sz w:val="17"/>
                <w:szCs w:val="17"/>
              </w:rPr>
              <w:t xml:space="preserve">auction quantity </w:t>
            </w:r>
            <w:r w:rsidRPr="007C25A6">
              <w:rPr>
                <w:rFonts w:asciiTheme="majorHAnsi" w:hAnsiTheme="majorHAnsi" w:cstheme="majorHAnsi"/>
                <w:sz w:val="17"/>
                <w:szCs w:val="17"/>
              </w:rPr>
              <w:t>limits</w:t>
            </w:r>
            <w:r w:rsidR="007C25A6" w:rsidRPr="007C25A6">
              <w:rPr>
                <w:rFonts w:asciiTheme="majorHAnsi" w:hAnsiTheme="majorHAnsi" w:cstheme="majorHAnsi"/>
                <w:sz w:val="17"/>
                <w:szCs w:val="17"/>
              </w:rPr>
              <w:t xml:space="preserve"> </w:t>
            </w:r>
          </w:p>
        </w:tc>
        <w:tc>
          <w:tcPr>
            <w:tcW w:w="11203" w:type="dxa"/>
            <w:shd w:val="clear" w:color="auto" w:fill="E1E2E7" w:themeFill="background2"/>
          </w:tcPr>
          <w:p w14:paraId="69CCD68E" w14:textId="77777777" w:rsidR="00D80626" w:rsidRPr="007C25A6" w:rsidRDefault="00167483" w:rsidP="00023A3E">
            <w:pPr>
              <w:pStyle w:val="Tabletext"/>
              <w:spacing w:before="20" w:after="40" w:line="247" w:lineRule="auto"/>
              <w:rPr>
                <w:rFonts w:asciiTheme="majorHAnsi" w:hAnsiTheme="majorHAnsi" w:cstheme="majorHAnsi"/>
                <w:sz w:val="17"/>
                <w:szCs w:val="17"/>
              </w:rPr>
            </w:pPr>
            <w:r w:rsidRPr="007C25A6">
              <w:rPr>
                <w:rFonts w:asciiTheme="majorHAnsi" w:hAnsiTheme="majorHAnsi" w:cstheme="majorHAnsi"/>
                <w:sz w:val="17"/>
                <w:szCs w:val="17"/>
              </w:rPr>
              <w:t>T</w:t>
            </w:r>
            <w:r w:rsidR="00D80626" w:rsidRPr="007C25A6">
              <w:rPr>
                <w:rFonts w:asciiTheme="majorHAnsi" w:hAnsiTheme="majorHAnsi" w:cstheme="majorHAnsi"/>
                <w:sz w:val="17"/>
                <w:szCs w:val="17"/>
              </w:rPr>
              <w:t xml:space="preserve">he </w:t>
            </w:r>
            <w:r w:rsidRPr="007C25A6">
              <w:rPr>
                <w:rFonts w:asciiTheme="majorHAnsi" w:hAnsiTheme="majorHAnsi" w:cstheme="majorHAnsi"/>
                <w:sz w:val="17"/>
                <w:szCs w:val="17"/>
              </w:rPr>
              <w:t xml:space="preserve">Procedures must provide for the following auction quantity limits to be determined for each gas day on </w:t>
            </w:r>
            <w:r w:rsidR="003702EB">
              <w:rPr>
                <w:rFonts w:asciiTheme="majorHAnsi" w:hAnsiTheme="majorHAnsi" w:cstheme="majorHAnsi"/>
                <w:sz w:val="17"/>
                <w:szCs w:val="17"/>
              </w:rPr>
              <w:t xml:space="preserve">each </w:t>
            </w:r>
            <w:r w:rsidRPr="007C25A6">
              <w:rPr>
                <w:rFonts w:asciiTheme="majorHAnsi" w:hAnsiTheme="majorHAnsi" w:cstheme="majorHAnsi"/>
                <w:sz w:val="17"/>
                <w:szCs w:val="17"/>
              </w:rPr>
              <w:t xml:space="preserve">pipeline subject to the </w:t>
            </w:r>
            <w:r w:rsidR="003702EB">
              <w:rPr>
                <w:rFonts w:asciiTheme="majorHAnsi" w:hAnsiTheme="majorHAnsi" w:cstheme="majorHAnsi"/>
                <w:sz w:val="17"/>
                <w:szCs w:val="17"/>
              </w:rPr>
              <w:t>auction</w:t>
            </w:r>
            <w:r w:rsidR="00D80626" w:rsidRPr="007C25A6">
              <w:rPr>
                <w:rFonts w:asciiTheme="majorHAnsi" w:hAnsiTheme="majorHAnsi" w:cstheme="majorHAnsi"/>
                <w:sz w:val="17"/>
                <w:szCs w:val="17"/>
              </w:rPr>
              <w:t>:</w:t>
            </w:r>
          </w:p>
          <w:p w14:paraId="725004F6" w14:textId="77777777" w:rsidR="00D80626" w:rsidRPr="007C25A6" w:rsidRDefault="00D80626" w:rsidP="00023A3E">
            <w:pPr>
              <w:pStyle w:val="TableBullet1"/>
              <w:spacing w:before="20" w:after="40" w:line="247" w:lineRule="auto"/>
              <w:rPr>
                <w:rFonts w:asciiTheme="majorHAnsi" w:hAnsiTheme="majorHAnsi" w:cstheme="majorHAnsi"/>
                <w:sz w:val="17"/>
                <w:szCs w:val="17"/>
              </w:rPr>
            </w:pPr>
            <w:r w:rsidRPr="007C25A6">
              <w:rPr>
                <w:rFonts w:asciiTheme="majorHAnsi" w:hAnsiTheme="majorHAnsi" w:cstheme="majorHAnsi"/>
                <w:b/>
                <w:sz w:val="17"/>
                <w:szCs w:val="17"/>
              </w:rPr>
              <w:t>unused capacity</w:t>
            </w:r>
            <w:r w:rsidR="00167483" w:rsidRPr="00C831DD">
              <w:rPr>
                <w:rFonts w:asciiTheme="majorHAnsi" w:hAnsiTheme="majorHAnsi" w:cstheme="majorHAnsi"/>
                <w:sz w:val="17"/>
                <w:szCs w:val="17"/>
              </w:rPr>
              <w:t>,</w:t>
            </w:r>
            <w:r w:rsidR="00167483" w:rsidRPr="007C25A6">
              <w:rPr>
                <w:rFonts w:asciiTheme="majorHAnsi" w:hAnsiTheme="majorHAnsi" w:cstheme="majorHAnsi"/>
                <w:b/>
                <w:sz w:val="17"/>
                <w:szCs w:val="17"/>
              </w:rPr>
              <w:t xml:space="preserve"> </w:t>
            </w:r>
            <w:r w:rsidR="00167483" w:rsidRPr="007C25A6">
              <w:rPr>
                <w:rFonts w:asciiTheme="majorHAnsi" w:hAnsiTheme="majorHAnsi" w:cstheme="majorHAnsi"/>
                <w:sz w:val="17"/>
                <w:szCs w:val="17"/>
              </w:rPr>
              <w:t>which is to be</w:t>
            </w:r>
            <w:r w:rsidRPr="007C25A6">
              <w:rPr>
                <w:rFonts w:asciiTheme="majorHAnsi" w:hAnsiTheme="majorHAnsi" w:cstheme="majorHAnsi"/>
                <w:sz w:val="17"/>
                <w:szCs w:val="17"/>
              </w:rPr>
              <w:t xml:space="preserve"> determined for each pipeline service point </w:t>
            </w:r>
            <w:r w:rsidR="007C25A6" w:rsidRPr="007C25A6">
              <w:rPr>
                <w:rFonts w:asciiTheme="majorHAnsi" w:hAnsiTheme="majorHAnsi" w:cstheme="majorHAnsi"/>
                <w:sz w:val="17"/>
                <w:szCs w:val="17"/>
              </w:rPr>
              <w:t xml:space="preserve">and is </w:t>
            </w:r>
            <w:r w:rsidR="00167483" w:rsidRPr="007C25A6">
              <w:rPr>
                <w:rFonts w:asciiTheme="majorHAnsi" w:hAnsiTheme="majorHAnsi" w:cstheme="majorHAnsi"/>
                <w:sz w:val="17"/>
                <w:szCs w:val="17"/>
              </w:rPr>
              <w:t xml:space="preserve">a </w:t>
            </w:r>
            <w:r w:rsidRPr="007C25A6">
              <w:rPr>
                <w:rFonts w:asciiTheme="majorHAnsi" w:hAnsiTheme="majorHAnsi" w:cstheme="majorHAnsi"/>
                <w:sz w:val="17"/>
                <w:szCs w:val="17"/>
              </w:rPr>
              <w:t>measure of the physical capacity</w:t>
            </w:r>
            <w:r w:rsidR="007C25A6" w:rsidRPr="007C25A6">
              <w:rPr>
                <w:rStyle w:val="FootnoteReference"/>
                <w:rFonts w:asciiTheme="majorHAnsi" w:hAnsiTheme="majorHAnsi" w:cstheme="majorHAnsi"/>
                <w:sz w:val="17"/>
                <w:szCs w:val="17"/>
              </w:rPr>
              <w:footnoteReference w:id="11"/>
            </w:r>
            <w:r w:rsidRPr="007C25A6">
              <w:rPr>
                <w:rFonts w:asciiTheme="majorHAnsi" w:hAnsiTheme="majorHAnsi" w:cstheme="majorHAnsi"/>
                <w:sz w:val="17"/>
                <w:szCs w:val="17"/>
              </w:rPr>
              <w:t xml:space="preserve"> remaining at the pipeline service point after deducting the scheduled priority flow</w:t>
            </w:r>
            <w:r w:rsidR="006B6526" w:rsidRPr="007C25A6">
              <w:rPr>
                <w:rStyle w:val="FootnoteReference"/>
                <w:rFonts w:asciiTheme="majorHAnsi" w:hAnsiTheme="majorHAnsi" w:cstheme="majorHAnsi"/>
                <w:sz w:val="17"/>
                <w:szCs w:val="17"/>
              </w:rPr>
              <w:footnoteReference w:id="12"/>
            </w:r>
            <w:r w:rsidRPr="007C25A6">
              <w:rPr>
                <w:rFonts w:asciiTheme="majorHAnsi" w:hAnsiTheme="majorHAnsi" w:cstheme="majorHAnsi"/>
                <w:sz w:val="17"/>
                <w:szCs w:val="17"/>
              </w:rPr>
              <w:t xml:space="preserve"> for the point for the gas day;</w:t>
            </w:r>
          </w:p>
          <w:p w14:paraId="02DB497B" w14:textId="77777777" w:rsidR="00D80626" w:rsidRPr="007C25A6" w:rsidRDefault="00D80626" w:rsidP="00023A3E">
            <w:pPr>
              <w:pStyle w:val="TableBullet1"/>
              <w:spacing w:before="20" w:after="40" w:line="247" w:lineRule="auto"/>
              <w:rPr>
                <w:rFonts w:asciiTheme="majorHAnsi" w:hAnsiTheme="majorHAnsi" w:cstheme="majorHAnsi"/>
                <w:sz w:val="17"/>
                <w:szCs w:val="17"/>
              </w:rPr>
            </w:pPr>
            <w:r w:rsidRPr="007C25A6">
              <w:rPr>
                <w:rFonts w:asciiTheme="majorHAnsi" w:hAnsiTheme="majorHAnsi" w:cstheme="majorHAnsi"/>
                <w:b/>
                <w:sz w:val="17"/>
                <w:szCs w:val="17"/>
              </w:rPr>
              <w:t>pipeline zone forward haul limit</w:t>
            </w:r>
            <w:r w:rsidR="00167483" w:rsidRPr="00C831DD">
              <w:rPr>
                <w:rFonts w:asciiTheme="majorHAnsi" w:hAnsiTheme="majorHAnsi" w:cstheme="majorHAnsi"/>
                <w:sz w:val="17"/>
                <w:szCs w:val="17"/>
              </w:rPr>
              <w:t>,</w:t>
            </w:r>
            <w:r w:rsidR="00167483" w:rsidRPr="007C25A6">
              <w:rPr>
                <w:rFonts w:asciiTheme="majorHAnsi" w:hAnsiTheme="majorHAnsi" w:cstheme="majorHAnsi"/>
                <w:sz w:val="17"/>
                <w:szCs w:val="17"/>
              </w:rPr>
              <w:t xml:space="preserve"> which is to</w:t>
            </w:r>
            <w:r w:rsidRPr="007C25A6">
              <w:rPr>
                <w:rFonts w:asciiTheme="majorHAnsi" w:hAnsiTheme="majorHAnsi" w:cstheme="majorHAnsi"/>
                <w:sz w:val="17"/>
                <w:szCs w:val="17"/>
              </w:rPr>
              <w:t xml:space="preserve"> </w:t>
            </w:r>
            <w:r w:rsidR="00167483" w:rsidRPr="007C25A6">
              <w:rPr>
                <w:rFonts w:asciiTheme="majorHAnsi" w:hAnsiTheme="majorHAnsi" w:cstheme="majorHAnsi"/>
                <w:sz w:val="17"/>
                <w:szCs w:val="17"/>
              </w:rPr>
              <w:t xml:space="preserve">be </w:t>
            </w:r>
            <w:r w:rsidRPr="007C25A6">
              <w:rPr>
                <w:rFonts w:asciiTheme="majorHAnsi" w:hAnsiTheme="majorHAnsi" w:cstheme="majorHAnsi"/>
                <w:sz w:val="17"/>
                <w:szCs w:val="17"/>
              </w:rPr>
              <w:t xml:space="preserve">determined for each pipeline zone </w:t>
            </w:r>
            <w:r w:rsidR="00167483" w:rsidRPr="007C25A6">
              <w:rPr>
                <w:rFonts w:asciiTheme="majorHAnsi" w:hAnsiTheme="majorHAnsi" w:cstheme="majorHAnsi"/>
                <w:sz w:val="17"/>
                <w:szCs w:val="17"/>
              </w:rPr>
              <w:t xml:space="preserve">and is </w:t>
            </w:r>
            <w:r w:rsidRPr="007C25A6">
              <w:rPr>
                <w:rFonts w:asciiTheme="majorHAnsi" w:hAnsiTheme="majorHAnsi" w:cstheme="majorHAnsi"/>
                <w:sz w:val="17"/>
                <w:szCs w:val="17"/>
              </w:rPr>
              <w:t>a measure of the total contracted capacity</w:t>
            </w:r>
            <w:r w:rsidR="007C25A6" w:rsidRPr="007C25A6">
              <w:rPr>
                <w:rStyle w:val="FootnoteReference"/>
                <w:rFonts w:asciiTheme="majorHAnsi" w:hAnsiTheme="majorHAnsi" w:cstheme="majorHAnsi"/>
                <w:sz w:val="17"/>
                <w:szCs w:val="17"/>
              </w:rPr>
              <w:footnoteReference w:id="13"/>
            </w:r>
            <w:r w:rsidRPr="007C25A6">
              <w:rPr>
                <w:rFonts w:asciiTheme="majorHAnsi" w:hAnsiTheme="majorHAnsi" w:cstheme="majorHAnsi"/>
                <w:sz w:val="17"/>
                <w:szCs w:val="17"/>
              </w:rPr>
              <w:t xml:space="preserve"> remaining at pipeline service points in the zone after deducting the scheduled priority flow for the relevant service point for the gas day; and </w:t>
            </w:r>
          </w:p>
          <w:p w14:paraId="319EADC1" w14:textId="77777777" w:rsidR="00D80626" w:rsidRPr="007C25A6" w:rsidRDefault="00D80626" w:rsidP="00023A3E">
            <w:pPr>
              <w:pStyle w:val="TableBullet1"/>
              <w:spacing w:before="20" w:after="40" w:line="247" w:lineRule="auto"/>
              <w:rPr>
                <w:rFonts w:asciiTheme="majorHAnsi" w:hAnsiTheme="majorHAnsi" w:cstheme="majorHAnsi"/>
                <w:sz w:val="17"/>
                <w:szCs w:val="17"/>
              </w:rPr>
            </w:pPr>
            <w:r w:rsidRPr="007C25A6">
              <w:rPr>
                <w:rFonts w:asciiTheme="majorHAnsi" w:hAnsiTheme="majorHAnsi" w:cstheme="majorHAnsi"/>
                <w:b/>
                <w:sz w:val="17"/>
                <w:szCs w:val="17"/>
              </w:rPr>
              <w:t>forward haul pipeline segment limit</w:t>
            </w:r>
            <w:r w:rsidR="00167483" w:rsidRPr="007C25A6">
              <w:rPr>
                <w:rFonts w:asciiTheme="majorHAnsi" w:hAnsiTheme="majorHAnsi" w:cstheme="majorHAnsi"/>
                <w:sz w:val="17"/>
                <w:szCs w:val="17"/>
              </w:rPr>
              <w:t>, which is to be</w:t>
            </w:r>
            <w:r w:rsidRPr="007C25A6">
              <w:rPr>
                <w:rFonts w:asciiTheme="majorHAnsi" w:hAnsiTheme="majorHAnsi" w:cstheme="majorHAnsi"/>
                <w:sz w:val="17"/>
                <w:szCs w:val="17"/>
              </w:rPr>
              <w:t xml:space="preserve"> determined for each forward haul pipeline segment</w:t>
            </w:r>
            <w:r w:rsidR="00167483" w:rsidRPr="007C25A6">
              <w:rPr>
                <w:rFonts w:asciiTheme="majorHAnsi" w:hAnsiTheme="majorHAnsi" w:cstheme="majorHAnsi"/>
                <w:sz w:val="17"/>
                <w:szCs w:val="17"/>
              </w:rPr>
              <w:t xml:space="preserve"> and is </w:t>
            </w:r>
            <w:r w:rsidRPr="007C25A6">
              <w:rPr>
                <w:rFonts w:asciiTheme="majorHAnsi" w:hAnsiTheme="majorHAnsi" w:cstheme="majorHAnsi"/>
                <w:sz w:val="17"/>
                <w:szCs w:val="17"/>
              </w:rPr>
              <w:t>a measure of the contracted capacity for the forward haul pipeline segment remaining after deducting the scheduled priority flow for the pipeline segment for the gas day.</w:t>
            </w:r>
          </w:p>
          <w:p w14:paraId="2F7C9630" w14:textId="18501C9D" w:rsidR="00167483" w:rsidRPr="006B6526" w:rsidRDefault="00023A3E" w:rsidP="00023A3E">
            <w:pPr>
              <w:pStyle w:val="Tabletext"/>
              <w:spacing w:before="20" w:after="40" w:line="247" w:lineRule="auto"/>
              <w:rPr>
                <w:rFonts w:asciiTheme="majorHAnsi" w:hAnsiTheme="majorHAnsi" w:cstheme="majorHAnsi"/>
                <w:sz w:val="17"/>
                <w:szCs w:val="17"/>
              </w:rPr>
            </w:pPr>
            <w:r>
              <w:rPr>
                <w:rFonts w:asciiTheme="majorHAnsi" w:hAnsiTheme="majorHAnsi" w:cstheme="majorHAnsi"/>
                <w:sz w:val="17"/>
                <w:szCs w:val="17"/>
              </w:rPr>
              <w:t>When calculating</w:t>
            </w:r>
            <w:r w:rsidR="00167483" w:rsidRPr="006B6526">
              <w:rPr>
                <w:rFonts w:asciiTheme="majorHAnsi" w:hAnsiTheme="majorHAnsi" w:cstheme="majorHAnsi"/>
                <w:sz w:val="17"/>
                <w:szCs w:val="17"/>
              </w:rPr>
              <w:t xml:space="preserve"> the p</w:t>
            </w:r>
            <w:r>
              <w:rPr>
                <w:rFonts w:asciiTheme="majorHAnsi" w:hAnsiTheme="majorHAnsi" w:cstheme="majorHAnsi"/>
                <w:sz w:val="17"/>
                <w:szCs w:val="17"/>
              </w:rPr>
              <w:t xml:space="preserve">ipeline zone forward haul limit, the contracted capacity at each pipeline service point is to </w:t>
            </w:r>
            <w:r w:rsidR="00167483" w:rsidRPr="006B6526">
              <w:rPr>
                <w:rFonts w:asciiTheme="majorHAnsi" w:hAnsiTheme="majorHAnsi" w:cstheme="majorHAnsi"/>
                <w:sz w:val="17"/>
                <w:szCs w:val="17"/>
              </w:rPr>
              <w:t>be capped by reference to the operational capacit</w:t>
            </w:r>
            <w:r>
              <w:rPr>
                <w:rFonts w:asciiTheme="majorHAnsi" w:hAnsiTheme="majorHAnsi" w:cstheme="majorHAnsi"/>
                <w:sz w:val="17"/>
                <w:szCs w:val="17"/>
              </w:rPr>
              <w:t>y of the pipeline service point</w:t>
            </w:r>
            <w:r w:rsidR="00167483" w:rsidRPr="006B6526">
              <w:rPr>
                <w:rFonts w:asciiTheme="majorHAnsi" w:hAnsiTheme="majorHAnsi" w:cstheme="majorHAnsi"/>
                <w:sz w:val="17"/>
                <w:szCs w:val="17"/>
              </w:rPr>
              <w:t xml:space="preserve"> and the forward haul pipeline segment limit will also be capped by reference to the operational capacity of the segment.</w:t>
            </w:r>
            <w:r w:rsidR="003702EB" w:rsidRPr="006B6526">
              <w:rPr>
                <w:rFonts w:asciiTheme="majorHAnsi" w:hAnsiTheme="majorHAnsi" w:cstheme="majorHAnsi"/>
                <w:sz w:val="17"/>
                <w:szCs w:val="17"/>
              </w:rPr>
              <w:t xml:space="preserve"> </w:t>
            </w:r>
            <w:r w:rsidR="003702EB" w:rsidRPr="009963D5">
              <w:rPr>
                <w:rFonts w:asciiTheme="majorHAnsi" w:hAnsiTheme="majorHAnsi" w:cstheme="majorHAnsi"/>
                <w:sz w:val="17"/>
                <w:szCs w:val="17"/>
              </w:rPr>
              <w:t>The term ‘operational capacity’ is used to refer to the quantity of gas that may be transported, injected, withdrawn or compressed, as applicable, and the Procedures must provide for operational capacity to be determined by the facility operator in accordance with accepted good industry practice.</w:t>
            </w:r>
          </w:p>
          <w:p w14:paraId="599A8E72" w14:textId="77777777" w:rsidR="003702EB" w:rsidRPr="007C25A6" w:rsidRDefault="003702EB" w:rsidP="00023A3E">
            <w:pPr>
              <w:pStyle w:val="Tabletext"/>
              <w:spacing w:before="20" w:after="40" w:line="247" w:lineRule="auto"/>
              <w:rPr>
                <w:rFonts w:asciiTheme="majorHAnsi" w:hAnsiTheme="majorHAnsi" w:cstheme="majorHAnsi"/>
                <w:sz w:val="17"/>
                <w:szCs w:val="17"/>
              </w:rPr>
            </w:pPr>
            <w:r w:rsidRPr="007C25A6">
              <w:rPr>
                <w:rFonts w:asciiTheme="majorHAnsi" w:hAnsiTheme="majorHAnsi" w:cstheme="majorHAnsi"/>
                <w:sz w:val="17"/>
                <w:szCs w:val="17"/>
              </w:rPr>
              <w:t>For a pipeline (or part) that is bi</w:t>
            </w:r>
            <w:r w:rsidR="009963D5">
              <w:rPr>
                <w:rFonts w:asciiTheme="majorHAnsi" w:hAnsiTheme="majorHAnsi" w:cstheme="majorHAnsi"/>
                <w:sz w:val="17"/>
                <w:szCs w:val="17"/>
              </w:rPr>
              <w:t>-</w:t>
            </w:r>
            <w:r w:rsidRPr="007C25A6">
              <w:rPr>
                <w:rFonts w:asciiTheme="majorHAnsi" w:hAnsiTheme="majorHAnsi" w:cstheme="majorHAnsi"/>
                <w:sz w:val="17"/>
                <w:szCs w:val="17"/>
              </w:rPr>
              <w:t>directional, the auction quantity limits for a gas day may be determined separately for each direction.</w:t>
            </w:r>
          </w:p>
        </w:tc>
      </w:tr>
      <w:tr w:rsidR="00BE49D5" w:rsidRPr="005E05DF" w14:paraId="04A0A127" w14:textId="77777777" w:rsidTr="00C831DD">
        <w:trPr>
          <w:cnfStyle w:val="000000010000" w:firstRow="0" w:lastRow="0" w:firstColumn="0" w:lastColumn="0" w:oddVBand="0" w:evenVBand="0" w:oddHBand="0" w:evenHBand="1" w:firstRowFirstColumn="0" w:firstRowLastColumn="0" w:lastRowFirstColumn="0" w:lastRowLastColumn="0"/>
        </w:trPr>
        <w:tc>
          <w:tcPr>
            <w:tcW w:w="1855" w:type="dxa"/>
            <w:vMerge/>
          </w:tcPr>
          <w:p w14:paraId="4F774B13" w14:textId="77777777" w:rsidR="00D80626" w:rsidRPr="005E05DF" w:rsidRDefault="00D80626" w:rsidP="007C25A6">
            <w:pPr>
              <w:pStyle w:val="Tabletext"/>
              <w:spacing w:before="20" w:after="40" w:line="252" w:lineRule="auto"/>
              <w:rPr>
                <w:rFonts w:asciiTheme="majorHAnsi" w:hAnsiTheme="majorHAnsi" w:cstheme="majorHAnsi"/>
                <w:sz w:val="17"/>
                <w:szCs w:val="17"/>
              </w:rPr>
            </w:pPr>
          </w:p>
        </w:tc>
        <w:tc>
          <w:tcPr>
            <w:tcW w:w="1543" w:type="dxa"/>
          </w:tcPr>
          <w:p w14:paraId="2E87FFFB" w14:textId="77777777" w:rsidR="00D80626" w:rsidRPr="007C25A6" w:rsidRDefault="00167483" w:rsidP="00023A3E">
            <w:pPr>
              <w:pStyle w:val="Tabletext"/>
              <w:spacing w:before="20" w:after="40" w:line="247" w:lineRule="auto"/>
              <w:rPr>
                <w:rFonts w:asciiTheme="majorHAnsi" w:hAnsiTheme="majorHAnsi" w:cstheme="majorHAnsi"/>
                <w:sz w:val="17"/>
                <w:szCs w:val="17"/>
              </w:rPr>
            </w:pPr>
            <w:r w:rsidRPr="007C25A6">
              <w:rPr>
                <w:rFonts w:asciiTheme="majorHAnsi" w:hAnsiTheme="majorHAnsi" w:cstheme="majorHAnsi"/>
                <w:sz w:val="17"/>
                <w:szCs w:val="17"/>
              </w:rPr>
              <w:t>Compression facility a</w:t>
            </w:r>
            <w:r w:rsidR="00D80626" w:rsidRPr="007C25A6">
              <w:rPr>
                <w:rFonts w:asciiTheme="majorHAnsi" w:hAnsiTheme="majorHAnsi" w:cstheme="majorHAnsi"/>
                <w:sz w:val="17"/>
                <w:szCs w:val="17"/>
              </w:rPr>
              <w:t xml:space="preserve">uction quantity limits </w:t>
            </w:r>
          </w:p>
        </w:tc>
        <w:tc>
          <w:tcPr>
            <w:tcW w:w="11203" w:type="dxa"/>
          </w:tcPr>
          <w:p w14:paraId="3273FF20" w14:textId="77777777" w:rsidR="00167483" w:rsidRPr="007C25A6" w:rsidRDefault="00167483" w:rsidP="00023A3E">
            <w:pPr>
              <w:pStyle w:val="Tabletext"/>
              <w:spacing w:before="20" w:after="40" w:line="247" w:lineRule="auto"/>
              <w:rPr>
                <w:rFonts w:asciiTheme="majorHAnsi" w:hAnsiTheme="majorHAnsi" w:cstheme="majorHAnsi"/>
                <w:sz w:val="17"/>
                <w:szCs w:val="17"/>
              </w:rPr>
            </w:pPr>
            <w:r w:rsidRPr="007C25A6">
              <w:rPr>
                <w:rFonts w:asciiTheme="majorHAnsi" w:hAnsiTheme="majorHAnsi" w:cstheme="majorHAnsi"/>
                <w:sz w:val="17"/>
                <w:szCs w:val="17"/>
              </w:rPr>
              <w:t xml:space="preserve">The Procedures must provide for the following auction quantity limits to be determined for each gas day </w:t>
            </w:r>
            <w:r w:rsidR="006F3EE9">
              <w:rPr>
                <w:rFonts w:asciiTheme="majorHAnsi" w:hAnsiTheme="majorHAnsi" w:cstheme="majorHAnsi"/>
                <w:sz w:val="17"/>
                <w:szCs w:val="17"/>
              </w:rPr>
              <w:t>on each compression facility subject to the auction</w:t>
            </w:r>
            <w:r w:rsidRPr="007C25A6">
              <w:rPr>
                <w:rFonts w:asciiTheme="majorHAnsi" w:hAnsiTheme="majorHAnsi" w:cstheme="majorHAnsi"/>
                <w:sz w:val="17"/>
                <w:szCs w:val="17"/>
              </w:rPr>
              <w:t>:</w:t>
            </w:r>
          </w:p>
          <w:p w14:paraId="270F3848" w14:textId="77777777" w:rsidR="00D80626" w:rsidRPr="007C25A6" w:rsidRDefault="00D80626" w:rsidP="00023A3E">
            <w:pPr>
              <w:pStyle w:val="TableBullet1"/>
              <w:spacing w:before="20" w:after="40" w:line="247" w:lineRule="auto"/>
              <w:rPr>
                <w:rFonts w:asciiTheme="majorHAnsi" w:hAnsiTheme="majorHAnsi" w:cstheme="majorHAnsi"/>
                <w:sz w:val="17"/>
                <w:szCs w:val="17"/>
              </w:rPr>
            </w:pPr>
            <w:r w:rsidRPr="007C25A6">
              <w:rPr>
                <w:rFonts w:asciiTheme="majorHAnsi" w:hAnsiTheme="majorHAnsi" w:cstheme="majorHAnsi"/>
                <w:b/>
                <w:sz w:val="17"/>
                <w:szCs w:val="17"/>
              </w:rPr>
              <w:t>compression point unused capacity</w:t>
            </w:r>
            <w:r w:rsidR="007C25A6" w:rsidRPr="00C831DD">
              <w:rPr>
                <w:rFonts w:asciiTheme="majorHAnsi" w:hAnsiTheme="majorHAnsi" w:cstheme="majorHAnsi"/>
                <w:sz w:val="17"/>
                <w:szCs w:val="17"/>
              </w:rPr>
              <w:t xml:space="preserve">, </w:t>
            </w:r>
            <w:r w:rsidR="007C25A6" w:rsidRPr="007C25A6">
              <w:rPr>
                <w:rFonts w:asciiTheme="majorHAnsi" w:hAnsiTheme="majorHAnsi" w:cstheme="majorHAnsi"/>
                <w:sz w:val="17"/>
                <w:szCs w:val="17"/>
              </w:rPr>
              <w:t>which</w:t>
            </w:r>
            <w:r w:rsidRPr="007C25A6">
              <w:rPr>
                <w:rFonts w:asciiTheme="majorHAnsi" w:hAnsiTheme="majorHAnsi" w:cstheme="majorHAnsi"/>
                <w:sz w:val="17"/>
                <w:szCs w:val="17"/>
              </w:rPr>
              <w:t xml:space="preserve"> </w:t>
            </w:r>
            <w:r w:rsidR="007C25A6" w:rsidRPr="007C25A6">
              <w:rPr>
                <w:rFonts w:asciiTheme="majorHAnsi" w:hAnsiTheme="majorHAnsi" w:cstheme="majorHAnsi"/>
                <w:sz w:val="17"/>
                <w:szCs w:val="17"/>
              </w:rPr>
              <w:t xml:space="preserve">is to be </w:t>
            </w:r>
            <w:r w:rsidRPr="007C25A6">
              <w:rPr>
                <w:rFonts w:asciiTheme="majorHAnsi" w:hAnsiTheme="majorHAnsi" w:cstheme="majorHAnsi"/>
                <w:sz w:val="17"/>
                <w:szCs w:val="17"/>
              </w:rPr>
              <w:t xml:space="preserve">determined for each compression </w:t>
            </w:r>
            <w:r w:rsidR="007C25A6" w:rsidRPr="007C25A6">
              <w:rPr>
                <w:rFonts w:asciiTheme="majorHAnsi" w:hAnsiTheme="majorHAnsi" w:cstheme="majorHAnsi"/>
                <w:sz w:val="17"/>
                <w:szCs w:val="17"/>
              </w:rPr>
              <w:t xml:space="preserve">service </w:t>
            </w:r>
            <w:r w:rsidRPr="007C25A6">
              <w:rPr>
                <w:rFonts w:asciiTheme="majorHAnsi" w:hAnsiTheme="majorHAnsi" w:cstheme="majorHAnsi"/>
                <w:sz w:val="17"/>
                <w:szCs w:val="17"/>
              </w:rPr>
              <w:t>point</w:t>
            </w:r>
            <w:r w:rsidR="007C25A6" w:rsidRPr="007C25A6">
              <w:rPr>
                <w:rFonts w:asciiTheme="majorHAnsi" w:hAnsiTheme="majorHAnsi" w:cstheme="majorHAnsi"/>
                <w:sz w:val="17"/>
                <w:szCs w:val="17"/>
              </w:rPr>
              <w:t xml:space="preserve"> and is </w:t>
            </w:r>
            <w:r w:rsidRPr="007C25A6">
              <w:rPr>
                <w:rFonts w:asciiTheme="majorHAnsi" w:hAnsiTheme="majorHAnsi" w:cstheme="majorHAnsi"/>
                <w:sz w:val="17"/>
                <w:szCs w:val="17"/>
              </w:rPr>
              <w:t xml:space="preserve">a measure of the physical capacity remaining at the compression service point after deducting the scheduled priority flow at the point for the gas day; </w:t>
            </w:r>
          </w:p>
          <w:p w14:paraId="0DEEEAD7" w14:textId="77777777" w:rsidR="00167483" w:rsidRPr="007C25A6" w:rsidRDefault="00167483" w:rsidP="00023A3E">
            <w:pPr>
              <w:pStyle w:val="TableBullet1"/>
              <w:spacing w:before="20" w:after="40" w:line="247" w:lineRule="auto"/>
              <w:rPr>
                <w:rFonts w:asciiTheme="majorHAnsi" w:hAnsiTheme="majorHAnsi" w:cstheme="majorHAnsi"/>
                <w:sz w:val="17"/>
                <w:szCs w:val="17"/>
              </w:rPr>
            </w:pPr>
            <w:r w:rsidRPr="007C25A6">
              <w:rPr>
                <w:rFonts w:asciiTheme="majorHAnsi" w:hAnsiTheme="majorHAnsi" w:cstheme="majorHAnsi"/>
                <w:b/>
                <w:sz w:val="17"/>
                <w:szCs w:val="17"/>
              </w:rPr>
              <w:t>compression zone limit</w:t>
            </w:r>
            <w:r w:rsidRPr="007C25A6">
              <w:rPr>
                <w:rFonts w:asciiTheme="majorHAnsi" w:hAnsiTheme="majorHAnsi" w:cstheme="majorHAnsi"/>
                <w:sz w:val="17"/>
                <w:szCs w:val="17"/>
              </w:rPr>
              <w:t xml:space="preserve">, which is to be determined for each of compression zone </w:t>
            </w:r>
            <w:r w:rsidR="007C25A6" w:rsidRPr="007C25A6">
              <w:rPr>
                <w:rFonts w:asciiTheme="majorHAnsi" w:hAnsiTheme="majorHAnsi" w:cstheme="majorHAnsi"/>
                <w:sz w:val="17"/>
                <w:szCs w:val="17"/>
              </w:rPr>
              <w:t xml:space="preserve">and is a </w:t>
            </w:r>
            <w:r w:rsidRPr="007C25A6">
              <w:rPr>
                <w:rFonts w:asciiTheme="majorHAnsi" w:hAnsiTheme="majorHAnsi" w:cstheme="majorHAnsi"/>
                <w:sz w:val="17"/>
                <w:szCs w:val="17"/>
              </w:rPr>
              <w:t>measure of the total contracted capacity remaining at compression service points in the zone after deducting the scheduled priority flow for the relevant compression service point for the gas day</w:t>
            </w:r>
            <w:r w:rsidR="007C25A6" w:rsidRPr="007C25A6">
              <w:rPr>
                <w:rFonts w:asciiTheme="majorHAnsi" w:hAnsiTheme="majorHAnsi" w:cstheme="majorHAnsi"/>
                <w:sz w:val="17"/>
                <w:szCs w:val="17"/>
              </w:rPr>
              <w:t>; and</w:t>
            </w:r>
          </w:p>
          <w:p w14:paraId="21B3F4ED" w14:textId="77777777" w:rsidR="00D80626" w:rsidRPr="007C25A6" w:rsidRDefault="00D80626" w:rsidP="00023A3E">
            <w:pPr>
              <w:pStyle w:val="TableBullet1"/>
              <w:spacing w:before="20" w:after="40" w:line="247" w:lineRule="auto"/>
              <w:rPr>
                <w:rFonts w:asciiTheme="majorHAnsi" w:hAnsiTheme="majorHAnsi" w:cstheme="majorHAnsi"/>
                <w:sz w:val="17"/>
                <w:szCs w:val="17"/>
              </w:rPr>
            </w:pPr>
            <w:r w:rsidRPr="007C25A6">
              <w:rPr>
                <w:rFonts w:asciiTheme="majorHAnsi" w:hAnsiTheme="majorHAnsi" w:cstheme="majorHAnsi"/>
                <w:b/>
                <w:sz w:val="17"/>
                <w:szCs w:val="17"/>
              </w:rPr>
              <w:t>compression facility limit</w:t>
            </w:r>
            <w:r w:rsidR="007C25A6" w:rsidRPr="007C25A6">
              <w:rPr>
                <w:rFonts w:asciiTheme="majorHAnsi" w:hAnsiTheme="majorHAnsi" w:cstheme="majorHAnsi"/>
                <w:b/>
                <w:sz w:val="17"/>
                <w:szCs w:val="17"/>
              </w:rPr>
              <w:t xml:space="preserve">, </w:t>
            </w:r>
            <w:r w:rsidR="007C25A6" w:rsidRPr="007C25A6">
              <w:rPr>
                <w:rFonts w:asciiTheme="majorHAnsi" w:hAnsiTheme="majorHAnsi" w:cstheme="majorHAnsi"/>
                <w:sz w:val="17"/>
                <w:szCs w:val="17"/>
              </w:rPr>
              <w:t>which is to be</w:t>
            </w:r>
            <w:r w:rsidRPr="007C25A6">
              <w:rPr>
                <w:rFonts w:asciiTheme="majorHAnsi" w:hAnsiTheme="majorHAnsi" w:cstheme="majorHAnsi"/>
                <w:b/>
                <w:sz w:val="17"/>
                <w:szCs w:val="17"/>
              </w:rPr>
              <w:t xml:space="preserve"> </w:t>
            </w:r>
            <w:r w:rsidRPr="007C25A6">
              <w:rPr>
                <w:rFonts w:asciiTheme="majorHAnsi" w:hAnsiTheme="majorHAnsi" w:cstheme="majorHAnsi"/>
                <w:sz w:val="17"/>
                <w:szCs w:val="17"/>
              </w:rPr>
              <w:t>determined for the compression service facility</w:t>
            </w:r>
            <w:r w:rsidR="007C25A6" w:rsidRPr="007C25A6">
              <w:rPr>
                <w:rFonts w:asciiTheme="majorHAnsi" w:hAnsiTheme="majorHAnsi" w:cstheme="majorHAnsi"/>
                <w:sz w:val="17"/>
                <w:szCs w:val="17"/>
              </w:rPr>
              <w:t xml:space="preserve"> and is </w:t>
            </w:r>
            <w:r w:rsidRPr="007C25A6">
              <w:rPr>
                <w:rFonts w:asciiTheme="majorHAnsi" w:hAnsiTheme="majorHAnsi" w:cstheme="majorHAnsi"/>
                <w:sz w:val="17"/>
                <w:szCs w:val="17"/>
              </w:rPr>
              <w:t>a measure of the contracted capacity for the compression service facility remaining after deducting the scheduled priority flow for the facility for the gas day</w:t>
            </w:r>
            <w:r w:rsidR="007C25A6" w:rsidRPr="007C25A6">
              <w:rPr>
                <w:rFonts w:asciiTheme="majorHAnsi" w:hAnsiTheme="majorHAnsi" w:cstheme="majorHAnsi"/>
                <w:sz w:val="17"/>
                <w:szCs w:val="17"/>
              </w:rPr>
              <w:t>.</w:t>
            </w:r>
          </w:p>
          <w:p w14:paraId="0FC7F221" w14:textId="1B6903EB" w:rsidR="00D80626" w:rsidRPr="007C25A6" w:rsidRDefault="00023A3E" w:rsidP="00023A3E">
            <w:pPr>
              <w:pStyle w:val="Tabletext"/>
              <w:spacing w:before="20" w:after="40" w:line="247" w:lineRule="auto"/>
              <w:rPr>
                <w:rFonts w:asciiTheme="majorHAnsi" w:hAnsiTheme="majorHAnsi" w:cstheme="majorHAnsi"/>
                <w:sz w:val="17"/>
                <w:szCs w:val="17"/>
              </w:rPr>
            </w:pPr>
            <w:r>
              <w:rPr>
                <w:rFonts w:asciiTheme="majorHAnsi" w:hAnsiTheme="majorHAnsi" w:cstheme="majorHAnsi"/>
                <w:sz w:val="17"/>
                <w:szCs w:val="17"/>
              </w:rPr>
              <w:t>When calculating</w:t>
            </w:r>
            <w:r w:rsidR="007C25A6" w:rsidRPr="007C25A6">
              <w:rPr>
                <w:rFonts w:asciiTheme="majorHAnsi" w:hAnsiTheme="majorHAnsi" w:cstheme="majorHAnsi"/>
                <w:sz w:val="17"/>
                <w:szCs w:val="17"/>
              </w:rPr>
              <w:t xml:space="preserve"> the compression zone limit</w:t>
            </w:r>
            <w:r>
              <w:rPr>
                <w:rFonts w:asciiTheme="majorHAnsi" w:hAnsiTheme="majorHAnsi" w:cstheme="majorHAnsi"/>
                <w:sz w:val="17"/>
                <w:szCs w:val="17"/>
              </w:rPr>
              <w:t>, the contracted capacity at each compression service point is to</w:t>
            </w:r>
            <w:r w:rsidR="007C25A6" w:rsidRPr="007C25A6">
              <w:rPr>
                <w:rFonts w:asciiTheme="majorHAnsi" w:hAnsiTheme="majorHAnsi" w:cstheme="majorHAnsi"/>
                <w:sz w:val="17"/>
                <w:szCs w:val="17"/>
              </w:rPr>
              <w:t xml:space="preserve"> be capped by reference to the operational capacity of the </w:t>
            </w:r>
            <w:r>
              <w:rPr>
                <w:rFonts w:asciiTheme="majorHAnsi" w:hAnsiTheme="majorHAnsi" w:cstheme="majorHAnsi"/>
                <w:sz w:val="17"/>
                <w:szCs w:val="17"/>
              </w:rPr>
              <w:t>compression service point</w:t>
            </w:r>
            <w:r w:rsidR="007C25A6" w:rsidRPr="007C25A6">
              <w:rPr>
                <w:rFonts w:asciiTheme="majorHAnsi" w:hAnsiTheme="majorHAnsi" w:cstheme="majorHAnsi"/>
                <w:sz w:val="17"/>
                <w:szCs w:val="17"/>
              </w:rPr>
              <w:t xml:space="preserve"> and the compression facility limit will be capped by reference to the operational capacity of the facility.</w:t>
            </w:r>
          </w:p>
        </w:tc>
      </w:tr>
      <w:tr w:rsidR="00BE49D5" w:rsidRPr="005E05DF" w14:paraId="6FC8DAEE" w14:textId="77777777" w:rsidTr="00C831DD">
        <w:tc>
          <w:tcPr>
            <w:tcW w:w="1855" w:type="dxa"/>
            <w:vMerge/>
            <w:tcBorders>
              <w:bottom w:val="single" w:sz="4" w:space="0" w:color="auto"/>
            </w:tcBorders>
            <w:shd w:val="clear" w:color="auto" w:fill="E1E2E7" w:themeFill="background2"/>
          </w:tcPr>
          <w:p w14:paraId="2152FB62" w14:textId="77777777" w:rsidR="00D80626" w:rsidRPr="005E05DF" w:rsidRDefault="00D80626" w:rsidP="007C25A6">
            <w:pPr>
              <w:pStyle w:val="Tabletext"/>
              <w:spacing w:before="20" w:after="40" w:line="252" w:lineRule="auto"/>
              <w:rPr>
                <w:rFonts w:asciiTheme="majorHAnsi" w:hAnsiTheme="majorHAnsi" w:cstheme="majorHAnsi"/>
                <w:sz w:val="17"/>
                <w:szCs w:val="17"/>
              </w:rPr>
            </w:pPr>
          </w:p>
        </w:tc>
        <w:tc>
          <w:tcPr>
            <w:tcW w:w="1543" w:type="dxa"/>
            <w:tcBorders>
              <w:bottom w:val="single" w:sz="4" w:space="0" w:color="auto"/>
            </w:tcBorders>
            <w:shd w:val="clear" w:color="auto" w:fill="E1E2E7" w:themeFill="background2"/>
          </w:tcPr>
          <w:p w14:paraId="0782AA82" w14:textId="77777777" w:rsidR="00D80626" w:rsidRPr="007C25A6" w:rsidRDefault="007C25A6" w:rsidP="007C25A6">
            <w:pPr>
              <w:pStyle w:val="Tabletext"/>
              <w:spacing w:before="20" w:after="40" w:line="252" w:lineRule="auto"/>
              <w:rPr>
                <w:rFonts w:asciiTheme="majorHAnsi" w:hAnsiTheme="majorHAnsi" w:cstheme="majorHAnsi"/>
                <w:sz w:val="17"/>
                <w:szCs w:val="17"/>
              </w:rPr>
            </w:pPr>
            <w:r w:rsidRPr="007C25A6">
              <w:rPr>
                <w:rFonts w:asciiTheme="majorHAnsi" w:hAnsiTheme="majorHAnsi" w:cstheme="majorHAnsi"/>
                <w:sz w:val="17"/>
                <w:szCs w:val="17"/>
              </w:rPr>
              <w:t>Pipeline backhaul a</w:t>
            </w:r>
            <w:r w:rsidR="00D80626" w:rsidRPr="007C25A6">
              <w:rPr>
                <w:rFonts w:asciiTheme="majorHAnsi" w:hAnsiTheme="majorHAnsi" w:cstheme="majorHAnsi"/>
                <w:sz w:val="17"/>
                <w:szCs w:val="17"/>
              </w:rPr>
              <w:t xml:space="preserve">uction quantity limits </w:t>
            </w:r>
          </w:p>
        </w:tc>
        <w:tc>
          <w:tcPr>
            <w:tcW w:w="11203" w:type="dxa"/>
            <w:tcBorders>
              <w:bottom w:val="single" w:sz="4" w:space="0" w:color="auto"/>
            </w:tcBorders>
            <w:shd w:val="clear" w:color="auto" w:fill="E1E2E7" w:themeFill="background2"/>
          </w:tcPr>
          <w:p w14:paraId="3AD3F0C7" w14:textId="77777777" w:rsidR="00D80626" w:rsidRPr="007C25A6" w:rsidRDefault="00D80626" w:rsidP="007C25A6">
            <w:pPr>
              <w:pStyle w:val="Tabletext"/>
              <w:spacing w:before="20" w:after="40" w:line="252" w:lineRule="auto"/>
              <w:rPr>
                <w:rFonts w:asciiTheme="majorHAnsi" w:hAnsiTheme="majorHAnsi" w:cstheme="majorHAnsi"/>
                <w:sz w:val="17"/>
                <w:szCs w:val="17"/>
              </w:rPr>
            </w:pPr>
            <w:r w:rsidRPr="007C25A6">
              <w:rPr>
                <w:rFonts w:asciiTheme="majorHAnsi" w:hAnsiTheme="majorHAnsi" w:cstheme="majorHAnsi"/>
                <w:sz w:val="17"/>
                <w:szCs w:val="17"/>
              </w:rPr>
              <w:t>The Procedures must provide for the auction quantity limit for pipelines for which auction backhaul services are offered in the auction to be a measure of the maximum quantity of backhaul service it is feasible to provide on the pipeline on the gas day, where applicable limited by the quantity of the scheduled net priority forward haul flow</w:t>
            </w:r>
            <w:r w:rsidR="007C25A6" w:rsidRPr="007C25A6">
              <w:rPr>
                <w:rStyle w:val="FootnoteReference"/>
                <w:rFonts w:asciiTheme="majorHAnsi" w:hAnsiTheme="majorHAnsi" w:cstheme="majorHAnsi"/>
                <w:sz w:val="17"/>
                <w:szCs w:val="17"/>
              </w:rPr>
              <w:footnoteReference w:id="14"/>
            </w:r>
            <w:r w:rsidRPr="007C25A6">
              <w:rPr>
                <w:rFonts w:asciiTheme="majorHAnsi" w:hAnsiTheme="majorHAnsi" w:cstheme="majorHAnsi"/>
                <w:sz w:val="17"/>
                <w:szCs w:val="17"/>
              </w:rPr>
              <w:t xml:space="preserve"> on the gas day.</w:t>
            </w:r>
          </w:p>
        </w:tc>
      </w:tr>
      <w:tr w:rsidR="007C25A6" w:rsidRPr="005E05DF" w14:paraId="28B19CAC" w14:textId="77777777" w:rsidTr="00C831DD">
        <w:trPr>
          <w:cnfStyle w:val="000000010000" w:firstRow="0" w:lastRow="0" w:firstColumn="0" w:lastColumn="0" w:oddVBand="0" w:evenVBand="0" w:oddHBand="0" w:evenHBand="1" w:firstRowFirstColumn="0" w:firstRowLastColumn="0" w:lastRowFirstColumn="0" w:lastRowLastColumn="0"/>
        </w:trPr>
        <w:tc>
          <w:tcPr>
            <w:tcW w:w="1855" w:type="dxa"/>
            <w:vMerge w:val="restart"/>
            <w:shd w:val="clear" w:color="auto" w:fill="FFFFFF" w:themeFill="background1"/>
          </w:tcPr>
          <w:p w14:paraId="0783D819" w14:textId="77777777" w:rsidR="007C25A6" w:rsidRPr="005E05DF" w:rsidRDefault="007C25A6" w:rsidP="007C25A6">
            <w:pPr>
              <w:pStyle w:val="Tabletext"/>
              <w:spacing w:before="20" w:after="40" w:line="252" w:lineRule="auto"/>
              <w:rPr>
                <w:rFonts w:asciiTheme="majorHAnsi" w:hAnsiTheme="majorHAnsi" w:cstheme="majorHAnsi"/>
                <w:sz w:val="17"/>
                <w:szCs w:val="17"/>
              </w:rPr>
            </w:pPr>
            <w:r>
              <w:rPr>
                <w:rFonts w:asciiTheme="majorHAnsi" w:hAnsiTheme="majorHAnsi" w:cstheme="majorHAnsi"/>
                <w:sz w:val="17"/>
                <w:szCs w:val="17"/>
              </w:rPr>
              <w:t>Auction Agreement and conditions of participation in the auction</w:t>
            </w:r>
          </w:p>
        </w:tc>
        <w:tc>
          <w:tcPr>
            <w:tcW w:w="1543" w:type="dxa"/>
            <w:shd w:val="clear" w:color="auto" w:fill="FFFFFF" w:themeFill="background1"/>
          </w:tcPr>
          <w:p w14:paraId="6805DF77" w14:textId="77777777" w:rsidR="007C25A6" w:rsidRPr="005E05DF" w:rsidRDefault="007C25A6" w:rsidP="007C25A6">
            <w:pPr>
              <w:pStyle w:val="TableBullet1"/>
              <w:numPr>
                <w:ilvl w:val="0"/>
                <w:numId w:val="0"/>
              </w:numPr>
              <w:spacing w:before="20" w:after="40" w:line="252" w:lineRule="auto"/>
              <w:ind w:left="85"/>
              <w:rPr>
                <w:rFonts w:asciiTheme="majorHAnsi" w:hAnsiTheme="majorHAnsi" w:cstheme="majorHAnsi"/>
                <w:sz w:val="17"/>
                <w:szCs w:val="17"/>
              </w:rPr>
            </w:pPr>
            <w:r>
              <w:rPr>
                <w:rFonts w:asciiTheme="majorHAnsi" w:hAnsiTheme="majorHAnsi" w:cstheme="majorHAnsi"/>
                <w:sz w:val="17"/>
                <w:szCs w:val="17"/>
              </w:rPr>
              <w:t>Auction Agreement</w:t>
            </w:r>
          </w:p>
        </w:tc>
        <w:tc>
          <w:tcPr>
            <w:tcW w:w="11203" w:type="dxa"/>
            <w:shd w:val="clear" w:color="auto" w:fill="FFFFFF" w:themeFill="background1"/>
          </w:tcPr>
          <w:p w14:paraId="445AD4C3" w14:textId="77777777" w:rsidR="007C25A6" w:rsidRPr="005E05DF" w:rsidRDefault="007C25A6"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Procedures must include</w:t>
            </w:r>
            <w:r>
              <w:rPr>
                <w:rFonts w:asciiTheme="majorHAnsi" w:hAnsiTheme="majorHAnsi" w:cstheme="majorHAnsi"/>
                <w:sz w:val="17"/>
                <w:szCs w:val="17"/>
              </w:rPr>
              <w:t xml:space="preserve"> </w:t>
            </w:r>
            <w:r w:rsidRPr="005E05DF">
              <w:rPr>
                <w:rFonts w:asciiTheme="majorHAnsi" w:hAnsiTheme="majorHAnsi" w:cstheme="majorHAnsi"/>
                <w:sz w:val="17"/>
                <w:szCs w:val="17"/>
              </w:rPr>
              <w:t xml:space="preserve">the </w:t>
            </w:r>
            <w:r w:rsidR="006F3EE9">
              <w:rPr>
                <w:rFonts w:asciiTheme="majorHAnsi" w:hAnsiTheme="majorHAnsi" w:cstheme="majorHAnsi"/>
                <w:sz w:val="17"/>
                <w:szCs w:val="17"/>
              </w:rPr>
              <w:t xml:space="preserve">standard form </w:t>
            </w:r>
            <w:r>
              <w:rPr>
                <w:rFonts w:asciiTheme="majorHAnsi" w:hAnsiTheme="majorHAnsi" w:cstheme="majorHAnsi"/>
                <w:sz w:val="17"/>
                <w:szCs w:val="17"/>
              </w:rPr>
              <w:t>A</w:t>
            </w:r>
            <w:r w:rsidRPr="005E05DF">
              <w:rPr>
                <w:rFonts w:asciiTheme="majorHAnsi" w:hAnsiTheme="majorHAnsi" w:cstheme="majorHAnsi"/>
                <w:sz w:val="17"/>
                <w:szCs w:val="17"/>
              </w:rPr>
              <w:t xml:space="preserve">uction </w:t>
            </w:r>
            <w:r>
              <w:rPr>
                <w:rFonts w:asciiTheme="majorHAnsi" w:hAnsiTheme="majorHAnsi" w:cstheme="majorHAnsi"/>
                <w:sz w:val="17"/>
                <w:szCs w:val="17"/>
              </w:rPr>
              <w:t>A</w:t>
            </w:r>
            <w:r w:rsidRPr="005E05DF">
              <w:rPr>
                <w:rFonts w:asciiTheme="majorHAnsi" w:hAnsiTheme="majorHAnsi" w:cstheme="majorHAnsi"/>
                <w:sz w:val="17"/>
                <w:szCs w:val="17"/>
              </w:rPr>
              <w:t>greement</w:t>
            </w:r>
            <w:r w:rsidR="006F3EE9">
              <w:rPr>
                <w:rFonts w:asciiTheme="majorHAnsi" w:hAnsiTheme="majorHAnsi" w:cstheme="majorHAnsi"/>
                <w:sz w:val="17"/>
                <w:szCs w:val="17"/>
              </w:rPr>
              <w:t xml:space="preserve"> and the eligibility criteria for entering into </w:t>
            </w:r>
            <w:r w:rsidR="005D1657">
              <w:rPr>
                <w:rFonts w:asciiTheme="majorHAnsi" w:hAnsiTheme="majorHAnsi" w:cstheme="majorHAnsi"/>
                <w:sz w:val="17"/>
                <w:szCs w:val="17"/>
              </w:rPr>
              <w:t>A</w:t>
            </w:r>
            <w:r w:rsidR="006F3EE9">
              <w:rPr>
                <w:rFonts w:asciiTheme="majorHAnsi" w:hAnsiTheme="majorHAnsi" w:cstheme="majorHAnsi"/>
                <w:sz w:val="17"/>
                <w:szCs w:val="17"/>
              </w:rPr>
              <w:t xml:space="preserve">uction </w:t>
            </w:r>
            <w:r w:rsidR="005D1657">
              <w:rPr>
                <w:rFonts w:asciiTheme="majorHAnsi" w:hAnsiTheme="majorHAnsi" w:cstheme="majorHAnsi"/>
                <w:sz w:val="17"/>
                <w:szCs w:val="17"/>
              </w:rPr>
              <w:t>A</w:t>
            </w:r>
            <w:r w:rsidR="006F3EE9">
              <w:rPr>
                <w:rFonts w:asciiTheme="majorHAnsi" w:hAnsiTheme="majorHAnsi" w:cstheme="majorHAnsi"/>
                <w:sz w:val="17"/>
                <w:szCs w:val="17"/>
              </w:rPr>
              <w:t xml:space="preserve">greements. The standard form Auction Agreement </w:t>
            </w:r>
            <w:r w:rsidRPr="005E05DF">
              <w:rPr>
                <w:rFonts w:asciiTheme="majorHAnsi" w:hAnsiTheme="majorHAnsi" w:cstheme="majorHAnsi"/>
                <w:sz w:val="17"/>
                <w:szCs w:val="17"/>
              </w:rPr>
              <w:t>must set out:</w:t>
            </w:r>
          </w:p>
          <w:p w14:paraId="6BA11255" w14:textId="77777777" w:rsidR="007C25A6" w:rsidRPr="005E05DF" w:rsidRDefault="007C25A6"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provisions under which the auction participant agrees to comply with and be bound by the Procedures or specified provisions in the Procedures;</w:t>
            </w:r>
          </w:p>
          <w:p w14:paraId="1D492A63" w14:textId="77777777" w:rsidR="007C25A6" w:rsidRPr="005E05DF" w:rsidRDefault="007C25A6"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a requirement to provide payment security including the form and amount of acceptable security and the circumstances in which AEMO may call on security provided;</w:t>
            </w:r>
          </w:p>
          <w:p w14:paraId="1AEBD3D6" w14:textId="77777777" w:rsidR="007C25A6" w:rsidRPr="005E05DF" w:rsidRDefault="007C25A6"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 xml:space="preserve">procedures and timing requirements for </w:t>
            </w:r>
            <w:r w:rsidR="006F3EE9">
              <w:rPr>
                <w:rFonts w:asciiTheme="majorHAnsi" w:hAnsiTheme="majorHAnsi" w:cstheme="majorHAnsi"/>
                <w:sz w:val="17"/>
                <w:szCs w:val="17"/>
              </w:rPr>
              <w:t xml:space="preserve">the </w:t>
            </w:r>
            <w:r w:rsidRPr="005E05DF">
              <w:rPr>
                <w:rFonts w:asciiTheme="majorHAnsi" w:hAnsiTheme="majorHAnsi" w:cstheme="majorHAnsi"/>
                <w:sz w:val="17"/>
                <w:szCs w:val="17"/>
              </w:rPr>
              <w:t>payment and settlement of auction amounts payable by auction participants;</w:t>
            </w:r>
          </w:p>
          <w:p w14:paraId="642A713C" w14:textId="77777777" w:rsidR="007C25A6" w:rsidRDefault="007C25A6"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 xml:space="preserve">obligations of AEMO and the auction participant to maintain </w:t>
            </w:r>
            <w:r w:rsidR="006F3EE9">
              <w:rPr>
                <w:rFonts w:asciiTheme="majorHAnsi" w:hAnsiTheme="majorHAnsi" w:cstheme="majorHAnsi"/>
                <w:sz w:val="17"/>
                <w:szCs w:val="17"/>
              </w:rPr>
              <w:t xml:space="preserve">the </w:t>
            </w:r>
            <w:r w:rsidRPr="005E05DF">
              <w:rPr>
                <w:rFonts w:asciiTheme="majorHAnsi" w:hAnsiTheme="majorHAnsi" w:cstheme="majorHAnsi"/>
                <w:sz w:val="17"/>
                <w:szCs w:val="17"/>
              </w:rPr>
              <w:t>security and integrity of the auction platform;</w:t>
            </w:r>
          </w:p>
          <w:p w14:paraId="4B47095A" w14:textId="77777777" w:rsidR="007C25A6" w:rsidRPr="005E05DF" w:rsidRDefault="007C25A6"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process for the suspension or limitation of access to the auction by an auction participant;</w:t>
            </w:r>
          </w:p>
          <w:p w14:paraId="7F3E9383" w14:textId="77777777" w:rsidR="007C25A6" w:rsidRPr="006F3EE9" w:rsidRDefault="007C25A6" w:rsidP="0097113C">
            <w:pPr>
              <w:pStyle w:val="TableBullet1"/>
              <w:spacing w:before="20" w:after="40" w:line="252" w:lineRule="auto"/>
              <w:rPr>
                <w:rFonts w:asciiTheme="majorHAnsi" w:hAnsiTheme="majorHAnsi" w:cstheme="majorHAnsi"/>
                <w:sz w:val="17"/>
                <w:szCs w:val="17"/>
              </w:rPr>
            </w:pPr>
            <w:r w:rsidRPr="006F3EE9">
              <w:rPr>
                <w:rFonts w:asciiTheme="majorHAnsi" w:hAnsiTheme="majorHAnsi" w:cstheme="majorHAnsi"/>
                <w:sz w:val="17"/>
                <w:szCs w:val="17"/>
              </w:rPr>
              <w:t>the events or circumstances that are</w:t>
            </w:r>
            <w:r w:rsidR="006F3EE9" w:rsidRPr="006F3EE9">
              <w:rPr>
                <w:rFonts w:asciiTheme="majorHAnsi" w:hAnsiTheme="majorHAnsi" w:cstheme="majorHAnsi"/>
                <w:sz w:val="17"/>
                <w:szCs w:val="17"/>
              </w:rPr>
              <w:t xml:space="preserve"> </w:t>
            </w:r>
            <w:r w:rsidRPr="006F3EE9">
              <w:rPr>
                <w:rFonts w:asciiTheme="majorHAnsi" w:hAnsiTheme="majorHAnsi" w:cstheme="majorHAnsi"/>
                <w:sz w:val="17"/>
                <w:szCs w:val="17"/>
              </w:rPr>
              <w:t>default events or suspension events in respect of an auction participant and the steps AEMO may take in respect of any such event;</w:t>
            </w:r>
          </w:p>
          <w:p w14:paraId="1EAE1648" w14:textId="77777777" w:rsidR="007C25A6" w:rsidRDefault="007C25A6"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 xml:space="preserve">the process for termination of an </w:t>
            </w:r>
            <w:r>
              <w:rPr>
                <w:rFonts w:asciiTheme="majorHAnsi" w:hAnsiTheme="majorHAnsi" w:cstheme="majorHAnsi"/>
                <w:sz w:val="17"/>
                <w:szCs w:val="17"/>
              </w:rPr>
              <w:t>A</w:t>
            </w:r>
            <w:r w:rsidRPr="005E05DF">
              <w:rPr>
                <w:rFonts w:asciiTheme="majorHAnsi" w:hAnsiTheme="majorHAnsi" w:cstheme="majorHAnsi"/>
                <w:sz w:val="17"/>
                <w:szCs w:val="17"/>
              </w:rPr>
              <w:t xml:space="preserve">uction </w:t>
            </w:r>
            <w:r>
              <w:rPr>
                <w:rFonts w:asciiTheme="majorHAnsi" w:hAnsiTheme="majorHAnsi" w:cstheme="majorHAnsi"/>
                <w:sz w:val="17"/>
                <w:szCs w:val="17"/>
              </w:rPr>
              <w:t>A</w:t>
            </w:r>
            <w:r w:rsidRPr="005E05DF">
              <w:rPr>
                <w:rFonts w:asciiTheme="majorHAnsi" w:hAnsiTheme="majorHAnsi" w:cstheme="majorHAnsi"/>
                <w:sz w:val="17"/>
                <w:szCs w:val="17"/>
              </w:rPr>
              <w:t>greement; and</w:t>
            </w:r>
          </w:p>
          <w:p w14:paraId="17998E38" w14:textId="77777777" w:rsidR="007C25A6" w:rsidRDefault="007C25A6" w:rsidP="007C25A6">
            <w:pPr>
              <w:pStyle w:val="TableBullet1"/>
              <w:spacing w:before="20" w:after="40" w:line="252" w:lineRule="auto"/>
              <w:rPr>
                <w:rFonts w:asciiTheme="majorHAnsi" w:hAnsiTheme="majorHAnsi" w:cstheme="majorHAnsi"/>
                <w:sz w:val="17"/>
                <w:szCs w:val="17"/>
              </w:rPr>
            </w:pPr>
            <w:r w:rsidRPr="00296232">
              <w:rPr>
                <w:rFonts w:asciiTheme="majorHAnsi" w:hAnsiTheme="majorHAnsi" w:cstheme="majorHAnsi"/>
                <w:sz w:val="17"/>
                <w:szCs w:val="17"/>
              </w:rPr>
              <w:t xml:space="preserve">the incorporation into </w:t>
            </w:r>
            <w:r w:rsidR="00F15504">
              <w:rPr>
                <w:rFonts w:asciiTheme="majorHAnsi" w:hAnsiTheme="majorHAnsi" w:cstheme="majorHAnsi"/>
                <w:sz w:val="17"/>
                <w:szCs w:val="17"/>
              </w:rPr>
              <w:t>a</w:t>
            </w:r>
            <w:r>
              <w:rPr>
                <w:rFonts w:asciiTheme="majorHAnsi" w:hAnsiTheme="majorHAnsi" w:cstheme="majorHAnsi"/>
                <w:sz w:val="17"/>
                <w:szCs w:val="17"/>
              </w:rPr>
              <w:t xml:space="preserve">uction </w:t>
            </w:r>
            <w:r w:rsidR="00F15504">
              <w:rPr>
                <w:rFonts w:asciiTheme="majorHAnsi" w:hAnsiTheme="majorHAnsi" w:cstheme="majorHAnsi"/>
                <w:sz w:val="17"/>
                <w:szCs w:val="17"/>
              </w:rPr>
              <w:t>a</w:t>
            </w:r>
            <w:r>
              <w:rPr>
                <w:rFonts w:asciiTheme="majorHAnsi" w:hAnsiTheme="majorHAnsi" w:cstheme="majorHAnsi"/>
                <w:sz w:val="17"/>
                <w:szCs w:val="17"/>
              </w:rPr>
              <w:t>greement</w:t>
            </w:r>
            <w:r w:rsidRPr="00296232">
              <w:rPr>
                <w:rFonts w:asciiTheme="majorHAnsi" w:hAnsiTheme="majorHAnsi" w:cstheme="majorHAnsi"/>
                <w:sz w:val="17"/>
                <w:szCs w:val="17"/>
              </w:rPr>
              <w:t xml:space="preserve">s of amendments to the standard form of </w:t>
            </w:r>
            <w:r>
              <w:rPr>
                <w:rFonts w:asciiTheme="majorHAnsi" w:hAnsiTheme="majorHAnsi" w:cstheme="majorHAnsi"/>
                <w:sz w:val="17"/>
                <w:szCs w:val="17"/>
              </w:rPr>
              <w:t>Auction Agreement</w:t>
            </w:r>
            <w:r w:rsidRPr="00296232">
              <w:rPr>
                <w:rFonts w:asciiTheme="majorHAnsi" w:hAnsiTheme="majorHAnsi" w:cstheme="majorHAnsi"/>
                <w:sz w:val="17"/>
                <w:szCs w:val="17"/>
              </w:rPr>
              <w:t xml:space="preserve"> in the Procedures.</w:t>
            </w:r>
          </w:p>
          <w:p w14:paraId="78F1A773" w14:textId="77777777" w:rsidR="006F3EE9" w:rsidRPr="005E05DF" w:rsidRDefault="006F3EE9" w:rsidP="006F3EE9">
            <w:pPr>
              <w:pStyle w:val="Tablebullet"/>
              <w:tabs>
                <w:tab w:val="clear" w:pos="357"/>
              </w:tabs>
              <w:spacing w:before="20" w:after="40" w:line="252" w:lineRule="auto"/>
              <w:ind w:left="85" w:firstLine="0"/>
              <w:rPr>
                <w:rFonts w:asciiTheme="majorHAnsi" w:hAnsiTheme="majorHAnsi" w:cstheme="majorHAnsi"/>
                <w:sz w:val="17"/>
                <w:szCs w:val="17"/>
              </w:rPr>
            </w:pPr>
            <w:r>
              <w:rPr>
                <w:rFonts w:asciiTheme="majorHAnsi" w:hAnsiTheme="majorHAnsi" w:cstheme="majorHAnsi"/>
                <w:sz w:val="17"/>
                <w:szCs w:val="17"/>
              </w:rPr>
              <w:t>T</w:t>
            </w:r>
            <w:r w:rsidRPr="005E05DF">
              <w:rPr>
                <w:rFonts w:asciiTheme="majorHAnsi" w:hAnsiTheme="majorHAnsi" w:cstheme="majorHAnsi"/>
                <w:sz w:val="17"/>
                <w:szCs w:val="17"/>
              </w:rPr>
              <w:t xml:space="preserve">he </w:t>
            </w:r>
            <w:r>
              <w:rPr>
                <w:rFonts w:asciiTheme="majorHAnsi" w:hAnsiTheme="majorHAnsi" w:cstheme="majorHAnsi"/>
                <w:sz w:val="17"/>
                <w:szCs w:val="17"/>
              </w:rPr>
              <w:t>standard form Auction Agreement</w:t>
            </w:r>
            <w:r w:rsidRPr="005E05DF">
              <w:rPr>
                <w:rFonts w:asciiTheme="majorHAnsi" w:hAnsiTheme="majorHAnsi" w:cstheme="majorHAnsi"/>
                <w:sz w:val="17"/>
                <w:szCs w:val="17"/>
              </w:rPr>
              <w:t xml:space="preserve"> </w:t>
            </w:r>
            <w:r>
              <w:rPr>
                <w:rFonts w:asciiTheme="majorHAnsi" w:hAnsiTheme="majorHAnsi" w:cstheme="majorHAnsi"/>
                <w:sz w:val="17"/>
                <w:szCs w:val="17"/>
              </w:rPr>
              <w:t xml:space="preserve">must also </w:t>
            </w:r>
            <w:r w:rsidRPr="005E05DF">
              <w:rPr>
                <w:rFonts w:asciiTheme="majorHAnsi" w:hAnsiTheme="majorHAnsi" w:cstheme="majorHAnsi"/>
                <w:sz w:val="17"/>
                <w:szCs w:val="17"/>
              </w:rPr>
              <w:t>provide that where an auction participant is also a gas trading exchange member:</w:t>
            </w:r>
          </w:p>
          <w:p w14:paraId="69B1CDF4" w14:textId="77777777" w:rsidR="006F3EE9" w:rsidRPr="005E05DF" w:rsidRDefault="006F3EE9" w:rsidP="006F3EE9">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payment and settlement of auction amounts and amounts owed in relation to the gas trading exchange in respect of the auction participant to be undertaken as a single process;</w:t>
            </w:r>
          </w:p>
          <w:p w14:paraId="6536E820" w14:textId="77777777" w:rsidR="006F3EE9" w:rsidRDefault="006F3EE9" w:rsidP="006F3EE9">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AEMO will calculate net settlement amounts payable by or to the auction participant taking into account auction amounts and amounts owed in relation to the gas trading exchange in respect of that auction participant; and</w:t>
            </w:r>
          </w:p>
          <w:p w14:paraId="0673EF57" w14:textId="77777777" w:rsidR="006F3EE9" w:rsidRPr="006F3EE9" w:rsidRDefault="006F3EE9" w:rsidP="006F3EE9">
            <w:pPr>
              <w:pStyle w:val="TableBullet1"/>
              <w:spacing w:before="20" w:after="40" w:line="252" w:lineRule="auto"/>
              <w:rPr>
                <w:rFonts w:asciiTheme="majorHAnsi" w:hAnsiTheme="majorHAnsi" w:cstheme="majorHAnsi"/>
                <w:sz w:val="17"/>
                <w:szCs w:val="17"/>
              </w:rPr>
            </w:pPr>
            <w:r w:rsidRPr="006F3EE9">
              <w:rPr>
                <w:rFonts w:asciiTheme="majorHAnsi" w:hAnsiTheme="majorHAnsi" w:cstheme="majorHAnsi"/>
                <w:sz w:val="17"/>
                <w:szCs w:val="17"/>
              </w:rPr>
              <w:t xml:space="preserve">close out will occur under the </w:t>
            </w:r>
            <w:r w:rsidR="006B6526">
              <w:rPr>
                <w:rFonts w:asciiTheme="majorHAnsi" w:hAnsiTheme="majorHAnsi" w:cstheme="majorHAnsi"/>
                <w:sz w:val="17"/>
                <w:szCs w:val="17"/>
              </w:rPr>
              <w:t>a</w:t>
            </w:r>
            <w:r w:rsidRPr="006F3EE9">
              <w:rPr>
                <w:rFonts w:asciiTheme="majorHAnsi" w:hAnsiTheme="majorHAnsi" w:cstheme="majorHAnsi"/>
                <w:sz w:val="17"/>
                <w:szCs w:val="17"/>
              </w:rPr>
              <w:t xml:space="preserve">uction </w:t>
            </w:r>
            <w:r w:rsidR="006B6526">
              <w:rPr>
                <w:rFonts w:asciiTheme="majorHAnsi" w:hAnsiTheme="majorHAnsi" w:cstheme="majorHAnsi"/>
                <w:sz w:val="17"/>
                <w:szCs w:val="17"/>
              </w:rPr>
              <w:t>a</w:t>
            </w:r>
            <w:r w:rsidRPr="006F3EE9">
              <w:rPr>
                <w:rFonts w:asciiTheme="majorHAnsi" w:hAnsiTheme="majorHAnsi" w:cstheme="majorHAnsi"/>
                <w:sz w:val="17"/>
                <w:szCs w:val="17"/>
              </w:rPr>
              <w:t>greement if the auction participant is subject to close out under the exchange agreement.</w:t>
            </w:r>
          </w:p>
        </w:tc>
      </w:tr>
      <w:tr w:rsidR="007C25A6" w:rsidRPr="005E05DF" w14:paraId="25C0F536" w14:textId="77777777" w:rsidTr="00C831DD">
        <w:tc>
          <w:tcPr>
            <w:tcW w:w="1855" w:type="dxa"/>
            <w:vMerge/>
            <w:shd w:val="clear" w:color="auto" w:fill="FFFFFF" w:themeFill="background1"/>
          </w:tcPr>
          <w:p w14:paraId="40D43193" w14:textId="77777777" w:rsidR="007C25A6" w:rsidRDefault="007C25A6" w:rsidP="007C25A6">
            <w:pPr>
              <w:pStyle w:val="Tabletext"/>
              <w:spacing w:before="20" w:after="40" w:line="252" w:lineRule="auto"/>
              <w:rPr>
                <w:rFonts w:asciiTheme="majorHAnsi" w:hAnsiTheme="majorHAnsi" w:cstheme="majorHAnsi"/>
                <w:sz w:val="17"/>
                <w:szCs w:val="17"/>
              </w:rPr>
            </w:pPr>
          </w:p>
        </w:tc>
        <w:tc>
          <w:tcPr>
            <w:tcW w:w="1543" w:type="dxa"/>
            <w:shd w:val="clear" w:color="auto" w:fill="FFFFFF" w:themeFill="background1"/>
          </w:tcPr>
          <w:p w14:paraId="277EABFF" w14:textId="77777777" w:rsidR="007C25A6" w:rsidRPr="005E05DF" w:rsidRDefault="007C25A6"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Conditions of participation</w:t>
            </w:r>
          </w:p>
        </w:tc>
        <w:tc>
          <w:tcPr>
            <w:tcW w:w="11203" w:type="dxa"/>
            <w:shd w:val="clear" w:color="auto" w:fill="FFFFFF" w:themeFill="background1"/>
          </w:tcPr>
          <w:p w14:paraId="41991613" w14:textId="77777777" w:rsidR="007C25A6" w:rsidRPr="005E05DF" w:rsidRDefault="007C25A6"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Procedures may specify conditions for participation in the auction from time to time (including during the course of bidding)</w:t>
            </w:r>
            <w:r>
              <w:rPr>
                <w:rFonts w:asciiTheme="majorHAnsi" w:hAnsiTheme="majorHAnsi" w:cstheme="majorHAnsi"/>
                <w:sz w:val="17"/>
                <w:szCs w:val="17"/>
              </w:rPr>
              <w:t>,</w:t>
            </w:r>
            <w:r w:rsidRPr="005E05DF">
              <w:rPr>
                <w:rFonts w:asciiTheme="majorHAnsi" w:hAnsiTheme="majorHAnsi" w:cstheme="majorHAnsi"/>
                <w:sz w:val="17"/>
                <w:szCs w:val="17"/>
              </w:rPr>
              <w:t xml:space="preserve"> which may include provisions precluding participation by:</w:t>
            </w:r>
          </w:p>
          <w:p w14:paraId="28F0B8D6" w14:textId="77777777" w:rsidR="007C25A6" w:rsidRPr="005E05DF" w:rsidRDefault="007C25A6"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 xml:space="preserve">a person in relation to whom a default event or a suspension event (as provided for in the </w:t>
            </w:r>
            <w:r w:rsidR="006F3EE9">
              <w:rPr>
                <w:rFonts w:asciiTheme="majorHAnsi" w:hAnsiTheme="majorHAnsi" w:cstheme="majorHAnsi"/>
                <w:sz w:val="17"/>
                <w:szCs w:val="17"/>
              </w:rPr>
              <w:t>a</w:t>
            </w:r>
            <w:r>
              <w:rPr>
                <w:rFonts w:asciiTheme="majorHAnsi" w:hAnsiTheme="majorHAnsi" w:cstheme="majorHAnsi"/>
                <w:sz w:val="17"/>
                <w:szCs w:val="17"/>
              </w:rPr>
              <w:t xml:space="preserve">uction </w:t>
            </w:r>
            <w:r w:rsidR="006F3EE9">
              <w:rPr>
                <w:rFonts w:asciiTheme="majorHAnsi" w:hAnsiTheme="majorHAnsi" w:cstheme="majorHAnsi"/>
                <w:sz w:val="17"/>
                <w:szCs w:val="17"/>
              </w:rPr>
              <w:t>a</w:t>
            </w:r>
            <w:r>
              <w:rPr>
                <w:rFonts w:asciiTheme="majorHAnsi" w:hAnsiTheme="majorHAnsi" w:cstheme="majorHAnsi"/>
                <w:sz w:val="17"/>
                <w:szCs w:val="17"/>
              </w:rPr>
              <w:t>greement</w:t>
            </w:r>
            <w:r w:rsidRPr="005E05DF">
              <w:rPr>
                <w:rFonts w:asciiTheme="majorHAnsi" w:hAnsiTheme="majorHAnsi" w:cstheme="majorHAnsi"/>
                <w:sz w:val="17"/>
                <w:szCs w:val="17"/>
              </w:rPr>
              <w:t xml:space="preserve">) has occurred; </w:t>
            </w:r>
          </w:p>
          <w:p w14:paraId="35EFACBB" w14:textId="77777777" w:rsidR="006F3EE9" w:rsidRDefault="007C25A6" w:rsidP="006F3EE9">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a person who has failed to provide sufficient payment security; and</w:t>
            </w:r>
          </w:p>
          <w:p w14:paraId="46C2443F" w14:textId="77777777" w:rsidR="007C25A6" w:rsidRPr="006F3EE9" w:rsidRDefault="007C25A6" w:rsidP="006F3EE9">
            <w:pPr>
              <w:pStyle w:val="TableBullet1"/>
              <w:spacing w:before="20" w:after="40" w:line="252" w:lineRule="auto"/>
              <w:rPr>
                <w:rFonts w:asciiTheme="majorHAnsi" w:hAnsiTheme="majorHAnsi" w:cstheme="majorHAnsi"/>
                <w:sz w:val="17"/>
                <w:szCs w:val="17"/>
              </w:rPr>
            </w:pPr>
            <w:r w:rsidRPr="006F3EE9">
              <w:rPr>
                <w:rFonts w:asciiTheme="majorHAnsi" w:hAnsiTheme="majorHAnsi" w:cstheme="majorHAnsi"/>
                <w:sz w:val="17"/>
                <w:szCs w:val="17"/>
              </w:rPr>
              <w:t xml:space="preserve">a person who has previously defaulted on payment obligations under an </w:t>
            </w:r>
            <w:r w:rsidR="006F3EE9" w:rsidRPr="006F3EE9">
              <w:rPr>
                <w:rFonts w:asciiTheme="majorHAnsi" w:hAnsiTheme="majorHAnsi" w:cstheme="majorHAnsi"/>
                <w:sz w:val="17"/>
                <w:szCs w:val="17"/>
              </w:rPr>
              <w:t>a</w:t>
            </w:r>
            <w:r w:rsidRPr="006F3EE9">
              <w:rPr>
                <w:rFonts w:asciiTheme="majorHAnsi" w:hAnsiTheme="majorHAnsi" w:cstheme="majorHAnsi"/>
                <w:sz w:val="17"/>
                <w:szCs w:val="17"/>
              </w:rPr>
              <w:t xml:space="preserve">uction </w:t>
            </w:r>
            <w:r w:rsidR="006F3EE9" w:rsidRPr="006F3EE9">
              <w:rPr>
                <w:rFonts w:asciiTheme="majorHAnsi" w:hAnsiTheme="majorHAnsi" w:cstheme="majorHAnsi"/>
                <w:sz w:val="17"/>
                <w:szCs w:val="17"/>
              </w:rPr>
              <w:t>a</w:t>
            </w:r>
            <w:r w:rsidRPr="006F3EE9">
              <w:rPr>
                <w:rFonts w:asciiTheme="majorHAnsi" w:hAnsiTheme="majorHAnsi" w:cstheme="majorHAnsi"/>
                <w:sz w:val="17"/>
                <w:szCs w:val="17"/>
              </w:rPr>
              <w:t>greement.</w:t>
            </w:r>
          </w:p>
        </w:tc>
      </w:tr>
      <w:tr w:rsidR="007C25A6" w:rsidRPr="005E05DF" w14:paraId="1ED8BF3E" w14:textId="77777777" w:rsidTr="00C831DD">
        <w:trPr>
          <w:cnfStyle w:val="000000010000" w:firstRow="0" w:lastRow="0" w:firstColumn="0" w:lastColumn="0" w:oddVBand="0" w:evenVBand="0" w:oddHBand="0" w:evenHBand="1" w:firstRowFirstColumn="0" w:firstRowLastColumn="0" w:lastRowFirstColumn="0" w:lastRowLastColumn="0"/>
        </w:trPr>
        <w:tc>
          <w:tcPr>
            <w:tcW w:w="1855" w:type="dxa"/>
            <w:vMerge/>
            <w:shd w:val="clear" w:color="auto" w:fill="FFFFFF" w:themeFill="background1"/>
          </w:tcPr>
          <w:p w14:paraId="768BE7AA" w14:textId="77777777" w:rsidR="007C25A6" w:rsidRDefault="007C25A6" w:rsidP="007C25A6">
            <w:pPr>
              <w:pStyle w:val="Tabletext"/>
              <w:spacing w:before="20" w:after="40" w:line="252" w:lineRule="auto"/>
              <w:rPr>
                <w:rFonts w:asciiTheme="majorHAnsi" w:hAnsiTheme="majorHAnsi" w:cstheme="majorHAnsi"/>
                <w:sz w:val="17"/>
                <w:szCs w:val="17"/>
              </w:rPr>
            </w:pPr>
          </w:p>
        </w:tc>
        <w:tc>
          <w:tcPr>
            <w:tcW w:w="1543" w:type="dxa"/>
            <w:shd w:val="clear" w:color="auto" w:fill="FFFFFF" w:themeFill="background1"/>
          </w:tcPr>
          <w:p w14:paraId="704356CC" w14:textId="77777777" w:rsidR="007C25A6" w:rsidRPr="005E05DF" w:rsidRDefault="007C25A6"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Suspension of access</w:t>
            </w:r>
          </w:p>
        </w:tc>
        <w:tc>
          <w:tcPr>
            <w:tcW w:w="11203" w:type="dxa"/>
            <w:shd w:val="clear" w:color="auto" w:fill="FFFFFF" w:themeFill="background1"/>
          </w:tcPr>
          <w:p w14:paraId="6265BBA1" w14:textId="77777777" w:rsidR="007C25A6" w:rsidRPr="005E05DF" w:rsidRDefault="007C25A6" w:rsidP="007C25A6">
            <w:pPr>
              <w:pStyle w:val="Tablebullet"/>
              <w:tabs>
                <w:tab w:val="clear" w:pos="357"/>
              </w:tabs>
              <w:spacing w:before="20" w:after="40" w:line="252" w:lineRule="auto"/>
              <w:ind w:left="85" w:firstLine="0"/>
              <w:rPr>
                <w:rFonts w:asciiTheme="majorHAnsi" w:hAnsiTheme="majorHAnsi" w:cstheme="majorHAnsi"/>
                <w:sz w:val="17"/>
                <w:szCs w:val="17"/>
              </w:rPr>
            </w:pPr>
            <w:r w:rsidRPr="005E05DF">
              <w:rPr>
                <w:rFonts w:asciiTheme="majorHAnsi" w:hAnsiTheme="majorHAnsi" w:cstheme="majorHAnsi"/>
                <w:sz w:val="17"/>
                <w:szCs w:val="17"/>
              </w:rPr>
              <w:t xml:space="preserve">The Procedures or </w:t>
            </w:r>
            <w:r w:rsidR="00F15504">
              <w:rPr>
                <w:rFonts w:asciiTheme="majorHAnsi" w:hAnsiTheme="majorHAnsi" w:cstheme="majorHAnsi"/>
                <w:sz w:val="17"/>
                <w:szCs w:val="17"/>
              </w:rPr>
              <w:t>A</w:t>
            </w:r>
            <w:r w:rsidRPr="005E05DF">
              <w:rPr>
                <w:rFonts w:asciiTheme="majorHAnsi" w:hAnsiTheme="majorHAnsi" w:cstheme="majorHAnsi"/>
                <w:sz w:val="17"/>
                <w:szCs w:val="17"/>
              </w:rPr>
              <w:t xml:space="preserve">uction </w:t>
            </w:r>
            <w:r>
              <w:rPr>
                <w:rFonts w:asciiTheme="majorHAnsi" w:hAnsiTheme="majorHAnsi" w:cstheme="majorHAnsi"/>
                <w:sz w:val="17"/>
                <w:szCs w:val="17"/>
              </w:rPr>
              <w:t>A</w:t>
            </w:r>
            <w:r w:rsidRPr="005E05DF">
              <w:rPr>
                <w:rFonts w:asciiTheme="majorHAnsi" w:hAnsiTheme="majorHAnsi" w:cstheme="majorHAnsi"/>
                <w:sz w:val="17"/>
                <w:szCs w:val="17"/>
              </w:rPr>
              <w:t>greement may provide for AEMO to suspend or limit an auction participant</w:t>
            </w:r>
            <w:r>
              <w:rPr>
                <w:rFonts w:asciiTheme="majorHAnsi" w:hAnsiTheme="majorHAnsi" w:cstheme="majorHAnsi"/>
                <w:sz w:val="17"/>
                <w:szCs w:val="17"/>
              </w:rPr>
              <w:t>’s access</w:t>
            </w:r>
            <w:r w:rsidRPr="005E05DF">
              <w:rPr>
                <w:rFonts w:asciiTheme="majorHAnsi" w:hAnsiTheme="majorHAnsi" w:cstheme="majorHAnsi"/>
                <w:sz w:val="17"/>
                <w:szCs w:val="17"/>
              </w:rPr>
              <w:t xml:space="preserve"> to the auction including where:</w:t>
            </w:r>
          </w:p>
          <w:p w14:paraId="73DC0280" w14:textId="77777777" w:rsidR="007C25A6" w:rsidRDefault="007C25A6" w:rsidP="007C25A6">
            <w:pPr>
              <w:pStyle w:val="TableBullet1"/>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auction participant ceases to satisfy the applicable criteria for participation in the auction; or</w:t>
            </w:r>
          </w:p>
          <w:p w14:paraId="5A58E1BC" w14:textId="77777777" w:rsidR="007C25A6" w:rsidRPr="00296232" w:rsidRDefault="007C25A6" w:rsidP="007C25A6">
            <w:pPr>
              <w:pStyle w:val="TableBullet1"/>
              <w:spacing w:before="20" w:after="40" w:line="252" w:lineRule="auto"/>
              <w:rPr>
                <w:rFonts w:asciiTheme="majorHAnsi" w:hAnsiTheme="majorHAnsi" w:cstheme="majorHAnsi"/>
                <w:sz w:val="17"/>
                <w:szCs w:val="17"/>
              </w:rPr>
            </w:pPr>
            <w:r w:rsidRPr="00296232">
              <w:rPr>
                <w:rFonts w:asciiTheme="majorHAnsi" w:hAnsiTheme="majorHAnsi" w:cstheme="majorHAnsi"/>
                <w:sz w:val="17"/>
                <w:szCs w:val="17"/>
              </w:rPr>
              <w:t xml:space="preserve">a suspension event, as described in the </w:t>
            </w:r>
            <w:r w:rsidR="00F15504">
              <w:rPr>
                <w:rFonts w:asciiTheme="majorHAnsi" w:hAnsiTheme="majorHAnsi" w:cstheme="majorHAnsi"/>
                <w:sz w:val="17"/>
                <w:szCs w:val="17"/>
              </w:rPr>
              <w:t>a</w:t>
            </w:r>
            <w:r>
              <w:rPr>
                <w:rFonts w:asciiTheme="majorHAnsi" w:hAnsiTheme="majorHAnsi" w:cstheme="majorHAnsi"/>
                <w:sz w:val="17"/>
                <w:szCs w:val="17"/>
              </w:rPr>
              <w:t xml:space="preserve">uction </w:t>
            </w:r>
            <w:r w:rsidR="00F15504">
              <w:rPr>
                <w:rFonts w:asciiTheme="majorHAnsi" w:hAnsiTheme="majorHAnsi" w:cstheme="majorHAnsi"/>
                <w:sz w:val="17"/>
                <w:szCs w:val="17"/>
              </w:rPr>
              <w:t>a</w:t>
            </w:r>
            <w:r>
              <w:rPr>
                <w:rFonts w:asciiTheme="majorHAnsi" w:hAnsiTheme="majorHAnsi" w:cstheme="majorHAnsi"/>
                <w:sz w:val="17"/>
                <w:szCs w:val="17"/>
              </w:rPr>
              <w:t>greement</w:t>
            </w:r>
            <w:r w:rsidRPr="00296232">
              <w:rPr>
                <w:rFonts w:asciiTheme="majorHAnsi" w:hAnsiTheme="majorHAnsi" w:cstheme="majorHAnsi"/>
                <w:sz w:val="17"/>
                <w:szCs w:val="17"/>
              </w:rPr>
              <w:t>, occurs in relation to the auction participant.</w:t>
            </w:r>
          </w:p>
        </w:tc>
      </w:tr>
      <w:tr w:rsidR="007C25A6" w:rsidRPr="005E05DF" w14:paraId="6B05D407" w14:textId="77777777" w:rsidTr="00C831DD">
        <w:tc>
          <w:tcPr>
            <w:tcW w:w="1855" w:type="dxa"/>
            <w:vMerge/>
            <w:tcBorders>
              <w:bottom w:val="single" w:sz="4" w:space="0" w:color="auto"/>
            </w:tcBorders>
            <w:shd w:val="clear" w:color="auto" w:fill="FFFFFF" w:themeFill="background1"/>
          </w:tcPr>
          <w:p w14:paraId="7C2D6E1C" w14:textId="77777777" w:rsidR="007C25A6" w:rsidRDefault="007C25A6" w:rsidP="007C25A6">
            <w:pPr>
              <w:pStyle w:val="Tabletext"/>
              <w:spacing w:before="20" w:after="40" w:line="252" w:lineRule="auto"/>
              <w:rPr>
                <w:rFonts w:asciiTheme="majorHAnsi" w:hAnsiTheme="majorHAnsi" w:cstheme="majorHAnsi"/>
                <w:sz w:val="17"/>
                <w:szCs w:val="17"/>
              </w:rPr>
            </w:pPr>
          </w:p>
        </w:tc>
        <w:tc>
          <w:tcPr>
            <w:tcW w:w="1543" w:type="dxa"/>
            <w:tcBorders>
              <w:bottom w:val="single" w:sz="4" w:space="0" w:color="auto"/>
            </w:tcBorders>
            <w:shd w:val="clear" w:color="auto" w:fill="FFFFFF" w:themeFill="background1"/>
          </w:tcPr>
          <w:p w14:paraId="75E61809" w14:textId="77777777" w:rsidR="007C25A6" w:rsidRPr="005E05DF" w:rsidRDefault="007C25A6"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Default events</w:t>
            </w:r>
          </w:p>
        </w:tc>
        <w:tc>
          <w:tcPr>
            <w:tcW w:w="11203" w:type="dxa"/>
            <w:tcBorders>
              <w:bottom w:val="single" w:sz="4" w:space="0" w:color="auto"/>
            </w:tcBorders>
            <w:shd w:val="clear" w:color="auto" w:fill="FFFFFF" w:themeFill="background1"/>
          </w:tcPr>
          <w:p w14:paraId="173518D1" w14:textId="77777777" w:rsidR="007C25A6" w:rsidRPr="005E05DF" w:rsidRDefault="007C25A6"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 xml:space="preserve">The Procedures or the </w:t>
            </w:r>
            <w:r>
              <w:rPr>
                <w:rFonts w:asciiTheme="majorHAnsi" w:hAnsiTheme="majorHAnsi" w:cstheme="majorHAnsi"/>
                <w:sz w:val="17"/>
                <w:szCs w:val="17"/>
              </w:rPr>
              <w:t>A</w:t>
            </w:r>
            <w:r w:rsidRPr="005E05DF">
              <w:rPr>
                <w:rFonts w:asciiTheme="majorHAnsi" w:hAnsiTheme="majorHAnsi" w:cstheme="majorHAnsi"/>
                <w:sz w:val="17"/>
                <w:szCs w:val="17"/>
              </w:rPr>
              <w:t xml:space="preserve">uction </w:t>
            </w:r>
            <w:r>
              <w:rPr>
                <w:rFonts w:asciiTheme="majorHAnsi" w:hAnsiTheme="majorHAnsi" w:cstheme="majorHAnsi"/>
                <w:sz w:val="17"/>
                <w:szCs w:val="17"/>
              </w:rPr>
              <w:t>A</w:t>
            </w:r>
            <w:r w:rsidRPr="005E05DF">
              <w:rPr>
                <w:rFonts w:asciiTheme="majorHAnsi" w:hAnsiTheme="majorHAnsi" w:cstheme="majorHAnsi"/>
                <w:sz w:val="17"/>
                <w:szCs w:val="17"/>
              </w:rPr>
              <w:t>greement may define the default events</w:t>
            </w:r>
            <w:r w:rsidR="006F3EE9">
              <w:rPr>
                <w:rFonts w:asciiTheme="majorHAnsi" w:hAnsiTheme="majorHAnsi" w:cstheme="majorHAnsi"/>
                <w:sz w:val="17"/>
                <w:szCs w:val="17"/>
              </w:rPr>
              <w:t>, the</w:t>
            </w:r>
            <w:r w:rsidRPr="005E05DF">
              <w:rPr>
                <w:rFonts w:asciiTheme="majorHAnsi" w:hAnsiTheme="majorHAnsi" w:cstheme="majorHAnsi"/>
                <w:sz w:val="17"/>
                <w:szCs w:val="17"/>
              </w:rPr>
              <w:t xml:space="preserve"> occurrence of which may give AEMO the right to terminate </w:t>
            </w:r>
            <w:r w:rsidR="006F3EE9">
              <w:rPr>
                <w:rFonts w:asciiTheme="majorHAnsi" w:hAnsiTheme="majorHAnsi" w:cstheme="majorHAnsi"/>
                <w:sz w:val="17"/>
                <w:szCs w:val="17"/>
              </w:rPr>
              <w:t xml:space="preserve">the </w:t>
            </w:r>
            <w:r w:rsidRPr="005E05DF">
              <w:rPr>
                <w:rFonts w:asciiTheme="majorHAnsi" w:hAnsiTheme="majorHAnsi" w:cstheme="majorHAnsi"/>
                <w:sz w:val="17"/>
                <w:szCs w:val="17"/>
              </w:rPr>
              <w:t>auction participant</w:t>
            </w:r>
            <w:r w:rsidR="006F3EE9">
              <w:rPr>
                <w:rFonts w:asciiTheme="majorHAnsi" w:hAnsiTheme="majorHAnsi" w:cstheme="majorHAnsi"/>
                <w:sz w:val="17"/>
                <w:szCs w:val="17"/>
              </w:rPr>
              <w:t>’s auction agreement</w:t>
            </w:r>
            <w:r w:rsidRPr="005E05DF">
              <w:rPr>
                <w:rFonts w:asciiTheme="majorHAnsi" w:hAnsiTheme="majorHAnsi" w:cstheme="majorHAnsi"/>
                <w:sz w:val="17"/>
                <w:szCs w:val="17"/>
              </w:rPr>
              <w:t>.</w:t>
            </w:r>
          </w:p>
        </w:tc>
      </w:tr>
      <w:tr w:rsidR="00995A74" w:rsidRPr="005E05DF" w14:paraId="7643E5F2" w14:textId="77777777" w:rsidTr="00C831DD">
        <w:trPr>
          <w:cnfStyle w:val="000000010000" w:firstRow="0" w:lastRow="0" w:firstColumn="0" w:lastColumn="0" w:oddVBand="0" w:evenVBand="0" w:oddHBand="0" w:evenHBand="1" w:firstRowFirstColumn="0" w:firstRowLastColumn="0" w:lastRowFirstColumn="0" w:lastRowLastColumn="0"/>
        </w:trPr>
        <w:tc>
          <w:tcPr>
            <w:tcW w:w="1855" w:type="dxa"/>
            <w:tcBorders>
              <w:bottom w:val="single" w:sz="4" w:space="0" w:color="auto"/>
            </w:tcBorders>
          </w:tcPr>
          <w:p w14:paraId="59A40308" w14:textId="77777777" w:rsidR="00995A74" w:rsidRPr="005E05DF" w:rsidRDefault="00995A74" w:rsidP="007C25A6">
            <w:pPr>
              <w:pStyle w:val="Tabletext"/>
              <w:spacing w:before="20" w:after="40" w:line="252" w:lineRule="auto"/>
              <w:rPr>
                <w:rFonts w:asciiTheme="majorHAnsi" w:hAnsiTheme="majorHAnsi" w:cstheme="majorHAnsi"/>
                <w:sz w:val="17"/>
                <w:szCs w:val="17"/>
              </w:rPr>
            </w:pPr>
            <w:r>
              <w:rPr>
                <w:rFonts w:asciiTheme="majorHAnsi" w:hAnsiTheme="majorHAnsi" w:cstheme="majorHAnsi"/>
                <w:sz w:val="17"/>
                <w:szCs w:val="17"/>
              </w:rPr>
              <w:t>Information to be published</w:t>
            </w:r>
          </w:p>
        </w:tc>
        <w:tc>
          <w:tcPr>
            <w:tcW w:w="12746" w:type="dxa"/>
            <w:gridSpan w:val="2"/>
            <w:tcBorders>
              <w:bottom w:val="single" w:sz="4" w:space="0" w:color="auto"/>
            </w:tcBorders>
          </w:tcPr>
          <w:p w14:paraId="041538BB" w14:textId="77777777" w:rsidR="00995A74" w:rsidRDefault="00995A74" w:rsidP="007C25A6">
            <w:pPr>
              <w:pStyle w:val="Tabletext"/>
              <w:spacing w:before="20" w:after="40" w:line="252" w:lineRule="auto"/>
              <w:rPr>
                <w:rFonts w:asciiTheme="majorHAnsi" w:hAnsiTheme="majorHAnsi" w:cstheme="majorHAnsi"/>
                <w:sz w:val="17"/>
                <w:szCs w:val="17"/>
              </w:rPr>
            </w:pPr>
            <w:r>
              <w:rPr>
                <w:rFonts w:asciiTheme="majorHAnsi" w:hAnsiTheme="majorHAnsi" w:cstheme="majorHAnsi"/>
                <w:sz w:val="17"/>
                <w:szCs w:val="17"/>
              </w:rPr>
              <w:t>The Procedures must:</w:t>
            </w:r>
          </w:p>
          <w:p w14:paraId="3D2E03D9" w14:textId="77777777" w:rsidR="00995A74" w:rsidRDefault="00995A74" w:rsidP="006F3EE9">
            <w:pPr>
              <w:pStyle w:val="TableBullet1"/>
              <w:spacing w:before="20" w:after="40" w:line="252" w:lineRule="auto"/>
              <w:rPr>
                <w:rFonts w:asciiTheme="majorHAnsi" w:hAnsiTheme="majorHAnsi" w:cstheme="majorHAnsi"/>
                <w:sz w:val="17"/>
                <w:szCs w:val="17"/>
              </w:rPr>
            </w:pPr>
            <w:r>
              <w:rPr>
                <w:rFonts w:asciiTheme="majorHAnsi" w:hAnsiTheme="majorHAnsi" w:cstheme="majorHAnsi"/>
                <w:sz w:val="17"/>
                <w:szCs w:val="17"/>
              </w:rPr>
              <w:lastRenderedPageBreak/>
              <w:t xml:space="preserve">include </w:t>
            </w:r>
            <w:r w:rsidRPr="005E05DF">
              <w:rPr>
                <w:rFonts w:asciiTheme="majorHAnsi" w:hAnsiTheme="majorHAnsi" w:cstheme="majorHAnsi"/>
                <w:sz w:val="17"/>
                <w:szCs w:val="17"/>
              </w:rPr>
              <w:t xml:space="preserve">a description of the </w:t>
            </w:r>
            <w:r>
              <w:rPr>
                <w:rFonts w:asciiTheme="majorHAnsi" w:hAnsiTheme="majorHAnsi" w:cstheme="majorHAnsi"/>
                <w:sz w:val="17"/>
                <w:szCs w:val="17"/>
              </w:rPr>
              <w:t xml:space="preserve">auction related </w:t>
            </w:r>
            <w:r w:rsidRPr="005E05DF">
              <w:rPr>
                <w:rFonts w:asciiTheme="majorHAnsi" w:hAnsiTheme="majorHAnsi" w:cstheme="majorHAnsi"/>
                <w:sz w:val="17"/>
                <w:szCs w:val="17"/>
              </w:rPr>
              <w:t xml:space="preserve">information to be published by AEMO before and after </w:t>
            </w:r>
            <w:r>
              <w:rPr>
                <w:rFonts w:asciiTheme="majorHAnsi" w:hAnsiTheme="majorHAnsi" w:cstheme="majorHAnsi"/>
                <w:sz w:val="17"/>
                <w:szCs w:val="17"/>
              </w:rPr>
              <w:t xml:space="preserve">the auction </w:t>
            </w:r>
            <w:r w:rsidRPr="005E05DF">
              <w:rPr>
                <w:rFonts w:asciiTheme="majorHAnsi" w:hAnsiTheme="majorHAnsi" w:cstheme="majorHAnsi"/>
                <w:sz w:val="17"/>
                <w:szCs w:val="17"/>
              </w:rPr>
              <w:t>is held each day;</w:t>
            </w:r>
            <w:r>
              <w:rPr>
                <w:rFonts w:asciiTheme="majorHAnsi" w:hAnsiTheme="majorHAnsi" w:cstheme="majorHAnsi"/>
                <w:sz w:val="17"/>
                <w:szCs w:val="17"/>
              </w:rPr>
              <w:t xml:space="preserve"> and</w:t>
            </w:r>
          </w:p>
          <w:p w14:paraId="2956723A" w14:textId="77777777" w:rsidR="00995A74" w:rsidRDefault="00995A74" w:rsidP="006F3EE9">
            <w:pPr>
              <w:pStyle w:val="TableBullet1"/>
              <w:spacing w:before="20" w:after="40" w:line="252" w:lineRule="auto"/>
              <w:rPr>
                <w:rFonts w:asciiTheme="majorHAnsi" w:hAnsiTheme="majorHAnsi" w:cstheme="majorHAnsi"/>
                <w:sz w:val="17"/>
                <w:szCs w:val="17"/>
              </w:rPr>
            </w:pPr>
            <w:r>
              <w:rPr>
                <w:rFonts w:asciiTheme="majorHAnsi" w:hAnsiTheme="majorHAnsi" w:cstheme="majorHAnsi"/>
                <w:sz w:val="17"/>
                <w:szCs w:val="17"/>
              </w:rPr>
              <w:t>specify the time at which facility operators are to provide AEMO with any data or information (including updated data or information).</w:t>
            </w:r>
            <w:r>
              <w:rPr>
                <w:rStyle w:val="FootnoteReference"/>
                <w:rFonts w:asciiTheme="majorHAnsi" w:hAnsiTheme="majorHAnsi" w:cstheme="majorHAnsi"/>
                <w:sz w:val="17"/>
                <w:szCs w:val="17"/>
              </w:rPr>
              <w:footnoteReference w:id="15"/>
            </w:r>
            <w:r>
              <w:rPr>
                <w:rFonts w:asciiTheme="majorHAnsi" w:hAnsiTheme="majorHAnsi" w:cstheme="majorHAnsi"/>
                <w:sz w:val="17"/>
                <w:szCs w:val="17"/>
              </w:rPr>
              <w:t xml:space="preserve"> </w:t>
            </w:r>
          </w:p>
          <w:p w14:paraId="7468DF1A" w14:textId="77777777" w:rsidR="00995A74" w:rsidRPr="005E05DF" w:rsidRDefault="00995A74">
            <w:pPr>
              <w:pStyle w:val="TableBullet1"/>
              <w:numPr>
                <w:ilvl w:val="0"/>
                <w:numId w:val="0"/>
              </w:numPr>
              <w:spacing w:before="20" w:after="40" w:line="252" w:lineRule="auto"/>
              <w:ind w:left="85"/>
              <w:rPr>
                <w:rFonts w:asciiTheme="majorHAnsi" w:hAnsiTheme="majorHAnsi" w:cstheme="majorHAnsi"/>
                <w:sz w:val="17"/>
                <w:szCs w:val="17"/>
              </w:rPr>
            </w:pPr>
            <w:r w:rsidRPr="005E05DF">
              <w:rPr>
                <w:rFonts w:asciiTheme="majorHAnsi" w:hAnsiTheme="majorHAnsi" w:cstheme="majorHAnsi"/>
                <w:sz w:val="17"/>
                <w:szCs w:val="17"/>
              </w:rPr>
              <w:t>The Procedures may provide for access to information published by AEMO in relation to the auction to be restricted, where necessary to protect against directly or indirectly disclosing a nomination in respect of a market generating unit</w:t>
            </w:r>
            <w:r>
              <w:rPr>
                <w:rFonts w:asciiTheme="majorHAnsi" w:hAnsiTheme="majorHAnsi" w:cstheme="majorHAnsi"/>
                <w:sz w:val="17"/>
                <w:szCs w:val="17"/>
              </w:rPr>
              <w:t xml:space="preserve">. </w:t>
            </w:r>
          </w:p>
        </w:tc>
      </w:tr>
      <w:tr w:rsidR="00995A74" w:rsidRPr="005E05DF" w14:paraId="0BD5B52D" w14:textId="77777777" w:rsidTr="00C831DD">
        <w:tc>
          <w:tcPr>
            <w:tcW w:w="1855" w:type="dxa"/>
            <w:tcBorders>
              <w:bottom w:val="single" w:sz="4" w:space="0" w:color="auto"/>
            </w:tcBorders>
          </w:tcPr>
          <w:p w14:paraId="25D97EB6" w14:textId="77777777" w:rsidR="00995A74" w:rsidRPr="005E05DF" w:rsidRDefault="00995A74" w:rsidP="007C25A6">
            <w:pPr>
              <w:pStyle w:val="Tabletext"/>
              <w:spacing w:before="20" w:after="40" w:line="252" w:lineRule="auto"/>
              <w:rPr>
                <w:rFonts w:asciiTheme="majorHAnsi" w:hAnsiTheme="majorHAnsi" w:cstheme="majorHAnsi"/>
                <w:sz w:val="17"/>
                <w:szCs w:val="17"/>
              </w:rPr>
            </w:pPr>
            <w:r>
              <w:rPr>
                <w:rFonts w:asciiTheme="majorHAnsi" w:hAnsiTheme="majorHAnsi" w:cstheme="majorHAnsi"/>
                <w:sz w:val="17"/>
                <w:szCs w:val="17"/>
              </w:rPr>
              <w:lastRenderedPageBreak/>
              <w:t>Interactions with facility operators</w:t>
            </w:r>
          </w:p>
        </w:tc>
        <w:tc>
          <w:tcPr>
            <w:tcW w:w="12746" w:type="dxa"/>
            <w:gridSpan w:val="2"/>
            <w:tcBorders>
              <w:bottom w:val="single" w:sz="4" w:space="0" w:color="auto"/>
            </w:tcBorders>
          </w:tcPr>
          <w:p w14:paraId="23DEC118" w14:textId="77777777" w:rsidR="00995A74" w:rsidRDefault="00995A74" w:rsidP="007C25A6">
            <w:pPr>
              <w:pStyle w:val="Tabletext"/>
              <w:spacing w:before="20" w:after="40" w:line="252" w:lineRule="auto"/>
              <w:rPr>
                <w:rFonts w:asciiTheme="majorHAnsi" w:hAnsiTheme="majorHAnsi" w:cstheme="majorHAnsi"/>
                <w:sz w:val="17"/>
                <w:szCs w:val="17"/>
              </w:rPr>
            </w:pPr>
            <w:r w:rsidRPr="005E05DF">
              <w:rPr>
                <w:rFonts w:asciiTheme="majorHAnsi" w:hAnsiTheme="majorHAnsi" w:cstheme="majorHAnsi"/>
                <w:sz w:val="17"/>
                <w:szCs w:val="17"/>
              </w:rPr>
              <w:t>The Procedures must</w:t>
            </w:r>
            <w:r>
              <w:rPr>
                <w:rFonts w:asciiTheme="majorHAnsi" w:hAnsiTheme="majorHAnsi" w:cstheme="majorHAnsi"/>
                <w:sz w:val="17"/>
                <w:szCs w:val="17"/>
              </w:rPr>
              <w:t xml:space="preserve"> set out:</w:t>
            </w:r>
            <w:r w:rsidRPr="005E05DF">
              <w:rPr>
                <w:rFonts w:asciiTheme="majorHAnsi" w:hAnsiTheme="majorHAnsi" w:cstheme="majorHAnsi"/>
                <w:sz w:val="17"/>
                <w:szCs w:val="17"/>
              </w:rPr>
              <w:t xml:space="preserve"> </w:t>
            </w:r>
          </w:p>
          <w:p w14:paraId="33A2794E" w14:textId="77777777" w:rsidR="00995A74" w:rsidRPr="000E39FD" w:rsidRDefault="00995A74" w:rsidP="007C25A6">
            <w:pPr>
              <w:pStyle w:val="TableBullet1"/>
              <w:spacing w:before="20" w:after="40" w:line="252" w:lineRule="auto"/>
              <w:rPr>
                <w:rFonts w:asciiTheme="majorHAnsi" w:hAnsiTheme="majorHAnsi" w:cstheme="majorHAnsi"/>
                <w:sz w:val="17"/>
                <w:szCs w:val="17"/>
              </w:rPr>
            </w:pPr>
            <w:r w:rsidRPr="000E39FD">
              <w:rPr>
                <w:rFonts w:asciiTheme="majorHAnsi" w:hAnsiTheme="majorHAnsi" w:cstheme="majorHAnsi"/>
                <w:sz w:val="17"/>
                <w:szCs w:val="17"/>
              </w:rPr>
              <w:t xml:space="preserve">the arrangements for AEMO to notify the results of the auction to facility operators; </w:t>
            </w:r>
          </w:p>
          <w:p w14:paraId="7B147907" w14:textId="77777777" w:rsidR="00995A74" w:rsidRDefault="00995A74" w:rsidP="007C25A6">
            <w:pPr>
              <w:pStyle w:val="TableBullet1"/>
              <w:spacing w:before="20" w:after="40" w:line="252" w:lineRule="auto"/>
              <w:rPr>
                <w:rFonts w:asciiTheme="majorHAnsi" w:hAnsiTheme="majorHAnsi" w:cstheme="majorHAnsi"/>
                <w:sz w:val="17"/>
                <w:szCs w:val="17"/>
              </w:rPr>
            </w:pPr>
            <w:r w:rsidRPr="000E39FD">
              <w:rPr>
                <w:rFonts w:asciiTheme="majorHAnsi" w:hAnsiTheme="majorHAnsi" w:cstheme="majorHAnsi"/>
                <w:sz w:val="17"/>
                <w:szCs w:val="17"/>
              </w:rPr>
              <w:t>the arrangements for facility operators to validate and confirm receipt of auction results and any circumstances (in addition to those in the NGR) in which a facility operator is not required to give effect to auction results</w:t>
            </w:r>
            <w:r>
              <w:rPr>
                <w:rFonts w:asciiTheme="majorHAnsi" w:hAnsiTheme="majorHAnsi" w:cstheme="majorHAnsi"/>
                <w:sz w:val="17"/>
                <w:szCs w:val="17"/>
              </w:rPr>
              <w:t>; and</w:t>
            </w:r>
          </w:p>
          <w:p w14:paraId="5B73FD9F" w14:textId="77777777" w:rsidR="00995A74" w:rsidRPr="00296232" w:rsidRDefault="00995A74" w:rsidP="007C25A6">
            <w:pPr>
              <w:pStyle w:val="TableBullet1"/>
              <w:spacing w:before="20" w:after="40" w:line="252" w:lineRule="auto"/>
              <w:rPr>
                <w:rFonts w:asciiTheme="majorHAnsi" w:hAnsiTheme="majorHAnsi" w:cstheme="majorHAnsi"/>
                <w:sz w:val="17"/>
                <w:szCs w:val="17"/>
              </w:rPr>
            </w:pPr>
            <w:r>
              <w:rPr>
                <w:rFonts w:asciiTheme="majorHAnsi" w:hAnsiTheme="majorHAnsi" w:cstheme="majorHAnsi"/>
                <w:sz w:val="17"/>
                <w:szCs w:val="17"/>
              </w:rPr>
              <w:t xml:space="preserve">the information that facility operators must provide to AEMO about whether any transportation services are classified as a ‘transitional firm service’ and the arrangements for a facility operator to provide AEMO with information on the </w:t>
            </w:r>
            <w:r w:rsidRPr="002F4061">
              <w:rPr>
                <w:rFonts w:asciiTheme="majorHAnsi" w:hAnsiTheme="majorHAnsi" w:cstheme="majorHAnsi"/>
                <w:sz w:val="17"/>
                <w:szCs w:val="17"/>
              </w:rPr>
              <w:t>transitional firm quantit</w:t>
            </w:r>
            <w:r>
              <w:rPr>
                <w:rFonts w:asciiTheme="majorHAnsi" w:hAnsiTheme="majorHAnsi" w:cstheme="majorHAnsi"/>
                <w:sz w:val="17"/>
                <w:szCs w:val="17"/>
              </w:rPr>
              <w:t>ies</w:t>
            </w:r>
            <w:r w:rsidRPr="002F4061">
              <w:rPr>
                <w:rFonts w:asciiTheme="majorHAnsi" w:hAnsiTheme="majorHAnsi" w:cstheme="majorHAnsi"/>
                <w:sz w:val="17"/>
                <w:szCs w:val="17"/>
              </w:rPr>
              <w:t xml:space="preserve"> used in the calculation of the auction quantity limits for the gas day </w:t>
            </w:r>
            <w:r>
              <w:rPr>
                <w:rFonts w:asciiTheme="majorHAnsi" w:hAnsiTheme="majorHAnsi" w:cstheme="majorHAnsi"/>
                <w:sz w:val="17"/>
                <w:szCs w:val="17"/>
              </w:rPr>
              <w:t>(</w:t>
            </w:r>
            <w:r w:rsidRPr="002F4061">
              <w:rPr>
                <w:rFonts w:asciiTheme="majorHAnsi" w:hAnsiTheme="majorHAnsi" w:cstheme="majorHAnsi"/>
                <w:sz w:val="17"/>
                <w:szCs w:val="17"/>
              </w:rPr>
              <w:t>aggregated by service point</w:t>
            </w:r>
            <w:r>
              <w:rPr>
                <w:rFonts w:asciiTheme="majorHAnsi" w:hAnsiTheme="majorHAnsi" w:cstheme="majorHAnsi"/>
                <w:sz w:val="17"/>
                <w:szCs w:val="17"/>
              </w:rPr>
              <w:t>)</w:t>
            </w:r>
            <w:r w:rsidRPr="002F4061">
              <w:rPr>
                <w:rFonts w:asciiTheme="majorHAnsi" w:hAnsiTheme="majorHAnsi" w:cstheme="majorHAnsi"/>
                <w:sz w:val="17"/>
                <w:szCs w:val="17"/>
              </w:rPr>
              <w:t xml:space="preserve"> and the service points to which the quantity relates.</w:t>
            </w:r>
          </w:p>
        </w:tc>
      </w:tr>
      <w:tr w:rsidR="00995A74" w:rsidRPr="005E05DF" w14:paraId="4A56BECC" w14:textId="77777777" w:rsidTr="00C831DD">
        <w:trPr>
          <w:cnfStyle w:val="000000010000" w:firstRow="0" w:lastRow="0" w:firstColumn="0" w:lastColumn="0" w:oddVBand="0" w:evenVBand="0" w:oddHBand="0" w:evenHBand="1" w:firstRowFirstColumn="0" w:firstRowLastColumn="0" w:lastRowFirstColumn="0" w:lastRowLastColumn="0"/>
        </w:trPr>
        <w:tc>
          <w:tcPr>
            <w:tcW w:w="1855" w:type="dxa"/>
          </w:tcPr>
          <w:p w14:paraId="20942EDB" w14:textId="77777777" w:rsidR="00995A74" w:rsidRPr="005E05DF" w:rsidRDefault="00995A74" w:rsidP="00023A3E">
            <w:pPr>
              <w:pStyle w:val="Tabletext"/>
              <w:spacing w:before="20" w:after="40" w:line="247" w:lineRule="auto"/>
              <w:rPr>
                <w:rFonts w:asciiTheme="majorHAnsi" w:hAnsiTheme="majorHAnsi" w:cstheme="majorHAnsi"/>
                <w:sz w:val="17"/>
                <w:szCs w:val="17"/>
              </w:rPr>
            </w:pPr>
            <w:r>
              <w:rPr>
                <w:rFonts w:asciiTheme="majorHAnsi" w:hAnsiTheme="majorHAnsi" w:cstheme="majorHAnsi"/>
                <w:sz w:val="17"/>
                <w:szCs w:val="17"/>
              </w:rPr>
              <w:t>Billing and settlement</w:t>
            </w:r>
          </w:p>
        </w:tc>
        <w:tc>
          <w:tcPr>
            <w:tcW w:w="12746" w:type="dxa"/>
            <w:gridSpan w:val="2"/>
          </w:tcPr>
          <w:p w14:paraId="6FD6412D" w14:textId="77777777" w:rsidR="00995A74" w:rsidRDefault="00995A74" w:rsidP="00023A3E">
            <w:pPr>
              <w:spacing w:before="20" w:after="40" w:line="247" w:lineRule="auto"/>
              <w:rPr>
                <w:rFonts w:asciiTheme="majorHAnsi" w:hAnsiTheme="majorHAnsi" w:cstheme="majorHAnsi"/>
                <w:sz w:val="17"/>
                <w:szCs w:val="17"/>
              </w:rPr>
            </w:pPr>
            <w:r>
              <w:rPr>
                <w:rFonts w:asciiTheme="majorHAnsi" w:hAnsiTheme="majorHAnsi" w:cstheme="majorHAnsi"/>
                <w:sz w:val="17"/>
                <w:szCs w:val="17"/>
              </w:rPr>
              <w:t>The Procedures must set out:</w:t>
            </w:r>
          </w:p>
          <w:p w14:paraId="098F4F57" w14:textId="77777777" w:rsidR="00995A74" w:rsidRDefault="00995A74" w:rsidP="00023A3E">
            <w:pPr>
              <w:pStyle w:val="TableBullet1"/>
              <w:spacing w:before="20" w:after="40" w:line="247" w:lineRule="auto"/>
              <w:rPr>
                <w:rFonts w:asciiTheme="majorHAnsi" w:hAnsiTheme="majorHAnsi" w:cstheme="majorHAnsi"/>
                <w:sz w:val="17"/>
                <w:szCs w:val="17"/>
              </w:rPr>
            </w:pPr>
            <w:r w:rsidRPr="00296232">
              <w:rPr>
                <w:rFonts w:asciiTheme="majorHAnsi" w:hAnsiTheme="majorHAnsi" w:cstheme="majorHAnsi"/>
                <w:sz w:val="17"/>
                <w:szCs w:val="17"/>
              </w:rPr>
              <w:t>the arrangements for managing billing and settlement of auction amounts payable by or to auction participants and how AEMO is to calculate the settlement amount for an auction participant</w:t>
            </w:r>
            <w:r>
              <w:rPr>
                <w:rFonts w:asciiTheme="majorHAnsi" w:hAnsiTheme="majorHAnsi" w:cstheme="majorHAnsi"/>
                <w:sz w:val="17"/>
                <w:szCs w:val="17"/>
              </w:rPr>
              <w:t xml:space="preserve">; </w:t>
            </w:r>
          </w:p>
          <w:p w14:paraId="59E376F9" w14:textId="77777777" w:rsidR="00995A74" w:rsidRPr="000E39FD" w:rsidRDefault="00995A74" w:rsidP="00023A3E">
            <w:pPr>
              <w:pStyle w:val="TableBullet1"/>
              <w:spacing w:before="20" w:after="40" w:line="247" w:lineRule="auto"/>
              <w:rPr>
                <w:rFonts w:asciiTheme="majorHAnsi" w:hAnsiTheme="majorHAnsi" w:cstheme="majorHAnsi"/>
                <w:sz w:val="17"/>
                <w:szCs w:val="17"/>
              </w:rPr>
            </w:pPr>
            <w:r>
              <w:rPr>
                <w:rFonts w:asciiTheme="majorHAnsi" w:hAnsiTheme="majorHAnsi" w:cstheme="majorHAnsi"/>
                <w:sz w:val="17"/>
                <w:szCs w:val="17"/>
              </w:rPr>
              <w:t xml:space="preserve">the </w:t>
            </w:r>
            <w:r w:rsidRPr="000E39FD">
              <w:rPr>
                <w:rFonts w:asciiTheme="majorHAnsi" w:hAnsiTheme="majorHAnsi" w:cstheme="majorHAnsi"/>
                <w:sz w:val="17"/>
                <w:szCs w:val="17"/>
              </w:rPr>
              <w:t>information that facility operators must provide to AEMO for auction settlement (including information about nominations, scheduling and curtailment) and must include arrangements for facility operators to provide the information and revisions to the information;</w:t>
            </w:r>
            <w:r>
              <w:rPr>
                <w:rFonts w:asciiTheme="majorHAnsi" w:hAnsiTheme="majorHAnsi" w:cstheme="majorHAnsi"/>
                <w:sz w:val="17"/>
                <w:szCs w:val="17"/>
              </w:rPr>
              <w:t xml:space="preserve"> and</w:t>
            </w:r>
          </w:p>
          <w:p w14:paraId="06581B68" w14:textId="77777777" w:rsidR="00995A74" w:rsidRPr="006F3EE9" w:rsidRDefault="00995A74" w:rsidP="00023A3E">
            <w:pPr>
              <w:pStyle w:val="TableBullet1"/>
              <w:spacing w:before="20" w:after="40" w:line="247" w:lineRule="auto"/>
              <w:rPr>
                <w:rFonts w:asciiTheme="majorHAnsi" w:hAnsiTheme="majorHAnsi" w:cstheme="majorHAnsi"/>
                <w:sz w:val="17"/>
                <w:szCs w:val="17"/>
              </w:rPr>
            </w:pPr>
            <w:r w:rsidRPr="00296232">
              <w:rPr>
                <w:rFonts w:asciiTheme="majorHAnsi" w:hAnsiTheme="majorHAnsi" w:cstheme="majorHAnsi"/>
                <w:sz w:val="17"/>
                <w:szCs w:val="17"/>
              </w:rPr>
              <w:t xml:space="preserve">the arrangements for managing billing and settlement of auction amounts payable by or to </w:t>
            </w:r>
            <w:r>
              <w:rPr>
                <w:rFonts w:asciiTheme="majorHAnsi" w:hAnsiTheme="majorHAnsi" w:cstheme="majorHAnsi"/>
                <w:sz w:val="17"/>
                <w:szCs w:val="17"/>
              </w:rPr>
              <w:t xml:space="preserve">facility operators </w:t>
            </w:r>
            <w:r w:rsidRPr="00296232">
              <w:rPr>
                <w:rFonts w:asciiTheme="majorHAnsi" w:hAnsiTheme="majorHAnsi" w:cstheme="majorHAnsi"/>
                <w:sz w:val="17"/>
                <w:szCs w:val="17"/>
              </w:rPr>
              <w:t xml:space="preserve">and </w:t>
            </w:r>
            <w:r w:rsidRPr="006F3EE9">
              <w:rPr>
                <w:rFonts w:asciiTheme="majorHAnsi" w:hAnsiTheme="majorHAnsi" w:cstheme="majorHAnsi"/>
                <w:sz w:val="17"/>
                <w:szCs w:val="17"/>
              </w:rPr>
              <w:t>the settlement calculations for the allocation of auction revenues to facility operators</w:t>
            </w:r>
            <w:r>
              <w:rPr>
                <w:rFonts w:asciiTheme="majorHAnsi" w:hAnsiTheme="majorHAnsi" w:cstheme="majorHAnsi"/>
                <w:sz w:val="17"/>
                <w:szCs w:val="17"/>
              </w:rPr>
              <w:t>.</w:t>
            </w:r>
          </w:p>
          <w:p w14:paraId="7D201C4D" w14:textId="77777777" w:rsidR="00995A74" w:rsidRPr="005E05DF" w:rsidRDefault="00995A74" w:rsidP="00023A3E">
            <w:pPr>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t xml:space="preserve">The Procedures must </w:t>
            </w:r>
            <w:r>
              <w:rPr>
                <w:rFonts w:asciiTheme="majorHAnsi" w:hAnsiTheme="majorHAnsi" w:cstheme="majorHAnsi"/>
                <w:sz w:val="17"/>
                <w:szCs w:val="17"/>
              </w:rPr>
              <w:t xml:space="preserve">also </w:t>
            </w:r>
            <w:r w:rsidRPr="005E05DF">
              <w:rPr>
                <w:rFonts w:asciiTheme="majorHAnsi" w:hAnsiTheme="majorHAnsi" w:cstheme="majorHAnsi"/>
                <w:sz w:val="17"/>
                <w:szCs w:val="17"/>
              </w:rPr>
              <w:t>specify a methodology for determining:</w:t>
            </w:r>
          </w:p>
          <w:p w14:paraId="53EAA6AA" w14:textId="77777777" w:rsidR="00995A74" w:rsidRPr="005E05DF" w:rsidRDefault="00995A74" w:rsidP="00023A3E">
            <w:pPr>
              <w:pStyle w:val="TableBullet1"/>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t xml:space="preserve">the maximum total payment in respect of a period to facility operators in relation to the auction or under the service continuity obligations in the </w:t>
            </w:r>
            <w:r w:rsidR="003E4973">
              <w:rPr>
                <w:rFonts w:asciiTheme="majorHAnsi" w:hAnsiTheme="majorHAnsi" w:cstheme="majorHAnsi"/>
                <w:sz w:val="17"/>
                <w:szCs w:val="17"/>
              </w:rPr>
              <w:t>NGR</w:t>
            </w:r>
            <w:r w:rsidRPr="005E05DF">
              <w:rPr>
                <w:rFonts w:asciiTheme="majorHAnsi" w:hAnsiTheme="majorHAnsi" w:cstheme="majorHAnsi"/>
                <w:sz w:val="17"/>
                <w:szCs w:val="17"/>
              </w:rPr>
              <w:t xml:space="preserve">, or a party to the </w:t>
            </w:r>
            <w:r>
              <w:rPr>
                <w:rFonts w:asciiTheme="majorHAnsi" w:hAnsiTheme="majorHAnsi" w:cstheme="majorHAnsi"/>
                <w:sz w:val="17"/>
                <w:szCs w:val="17"/>
              </w:rPr>
              <w:t>E</w:t>
            </w:r>
            <w:r w:rsidRPr="005E05DF">
              <w:rPr>
                <w:rFonts w:asciiTheme="majorHAnsi" w:hAnsiTheme="majorHAnsi" w:cstheme="majorHAnsi"/>
                <w:sz w:val="17"/>
                <w:szCs w:val="17"/>
              </w:rPr>
              <w:t xml:space="preserve">xchange </w:t>
            </w:r>
            <w:r>
              <w:rPr>
                <w:rFonts w:asciiTheme="majorHAnsi" w:hAnsiTheme="majorHAnsi" w:cstheme="majorHAnsi"/>
                <w:sz w:val="17"/>
                <w:szCs w:val="17"/>
              </w:rPr>
              <w:t xml:space="preserve">Agreement </w:t>
            </w:r>
            <w:r w:rsidRPr="005E05DF">
              <w:rPr>
                <w:rFonts w:asciiTheme="majorHAnsi" w:hAnsiTheme="majorHAnsi" w:cstheme="majorHAnsi"/>
                <w:sz w:val="17"/>
                <w:szCs w:val="17"/>
              </w:rPr>
              <w:t xml:space="preserve">or an </w:t>
            </w:r>
            <w:r w:rsidR="00F15504">
              <w:rPr>
                <w:rFonts w:asciiTheme="majorHAnsi" w:hAnsiTheme="majorHAnsi" w:cstheme="majorHAnsi"/>
                <w:sz w:val="17"/>
                <w:szCs w:val="17"/>
              </w:rPr>
              <w:t>a</w:t>
            </w:r>
            <w:r>
              <w:rPr>
                <w:rFonts w:asciiTheme="majorHAnsi" w:hAnsiTheme="majorHAnsi" w:cstheme="majorHAnsi"/>
                <w:sz w:val="17"/>
                <w:szCs w:val="17"/>
              </w:rPr>
              <w:t xml:space="preserve">uction </w:t>
            </w:r>
            <w:r w:rsidR="00F15504">
              <w:rPr>
                <w:rFonts w:asciiTheme="majorHAnsi" w:hAnsiTheme="majorHAnsi" w:cstheme="majorHAnsi"/>
                <w:sz w:val="17"/>
                <w:szCs w:val="17"/>
              </w:rPr>
              <w:t>a</w:t>
            </w:r>
            <w:r>
              <w:rPr>
                <w:rFonts w:asciiTheme="majorHAnsi" w:hAnsiTheme="majorHAnsi" w:cstheme="majorHAnsi"/>
                <w:sz w:val="17"/>
                <w:szCs w:val="17"/>
              </w:rPr>
              <w:t>greement</w:t>
            </w:r>
            <w:r w:rsidRPr="005E05DF">
              <w:rPr>
                <w:rFonts w:asciiTheme="majorHAnsi" w:hAnsiTheme="majorHAnsi" w:cstheme="majorHAnsi"/>
                <w:sz w:val="17"/>
                <w:szCs w:val="17"/>
              </w:rPr>
              <w:t xml:space="preserve">; </w:t>
            </w:r>
          </w:p>
          <w:p w14:paraId="6C08A8CA" w14:textId="77777777" w:rsidR="00995A74" w:rsidRDefault="00995A74" w:rsidP="00023A3E">
            <w:pPr>
              <w:pStyle w:val="TableBullet1"/>
              <w:spacing w:before="20" w:after="40" w:line="247" w:lineRule="auto"/>
              <w:rPr>
                <w:rFonts w:asciiTheme="majorHAnsi" w:hAnsiTheme="majorHAnsi" w:cstheme="majorHAnsi"/>
                <w:sz w:val="17"/>
                <w:szCs w:val="17"/>
              </w:rPr>
            </w:pPr>
            <w:r w:rsidRPr="005E05DF">
              <w:rPr>
                <w:rFonts w:asciiTheme="majorHAnsi" w:hAnsiTheme="majorHAnsi" w:cstheme="majorHAnsi"/>
                <w:sz w:val="17"/>
                <w:szCs w:val="17"/>
              </w:rPr>
              <w:t>the reduction to be applied to any of those payments if there is a shortfall between the maximum total payment in respect of a period and the amount that has been paid to AEMO</w:t>
            </w:r>
            <w:r>
              <w:rPr>
                <w:rFonts w:asciiTheme="majorHAnsi" w:hAnsiTheme="majorHAnsi" w:cstheme="majorHAnsi"/>
                <w:sz w:val="17"/>
                <w:szCs w:val="17"/>
              </w:rPr>
              <w:t>,</w:t>
            </w:r>
            <w:r w:rsidRPr="005E05DF">
              <w:rPr>
                <w:rFonts w:asciiTheme="majorHAnsi" w:hAnsiTheme="majorHAnsi" w:cstheme="majorHAnsi"/>
                <w:sz w:val="17"/>
                <w:szCs w:val="17"/>
              </w:rPr>
              <w:t xml:space="preserve"> or which AEMO is able to recover under credit support in respect of the period under the </w:t>
            </w:r>
            <w:r>
              <w:rPr>
                <w:rFonts w:asciiTheme="majorHAnsi" w:hAnsiTheme="majorHAnsi" w:cstheme="majorHAnsi"/>
                <w:sz w:val="17"/>
                <w:szCs w:val="17"/>
              </w:rPr>
              <w:t>E</w:t>
            </w:r>
            <w:r w:rsidRPr="005E05DF">
              <w:rPr>
                <w:rFonts w:asciiTheme="majorHAnsi" w:hAnsiTheme="majorHAnsi" w:cstheme="majorHAnsi"/>
                <w:sz w:val="17"/>
                <w:szCs w:val="17"/>
              </w:rPr>
              <w:t xml:space="preserve">xchange </w:t>
            </w:r>
            <w:r>
              <w:rPr>
                <w:rFonts w:asciiTheme="majorHAnsi" w:hAnsiTheme="majorHAnsi" w:cstheme="majorHAnsi"/>
                <w:sz w:val="17"/>
                <w:szCs w:val="17"/>
              </w:rPr>
              <w:t>A</w:t>
            </w:r>
            <w:r w:rsidRPr="005E05DF">
              <w:rPr>
                <w:rFonts w:asciiTheme="majorHAnsi" w:hAnsiTheme="majorHAnsi" w:cstheme="majorHAnsi"/>
                <w:sz w:val="17"/>
                <w:szCs w:val="17"/>
              </w:rPr>
              <w:t xml:space="preserve">greement or an </w:t>
            </w:r>
            <w:r w:rsidR="00F15504">
              <w:rPr>
                <w:rFonts w:asciiTheme="majorHAnsi" w:hAnsiTheme="majorHAnsi" w:cstheme="majorHAnsi"/>
                <w:sz w:val="17"/>
                <w:szCs w:val="17"/>
              </w:rPr>
              <w:t>a</w:t>
            </w:r>
            <w:r>
              <w:rPr>
                <w:rFonts w:asciiTheme="majorHAnsi" w:hAnsiTheme="majorHAnsi" w:cstheme="majorHAnsi"/>
                <w:sz w:val="17"/>
                <w:szCs w:val="17"/>
              </w:rPr>
              <w:t xml:space="preserve">uction </w:t>
            </w:r>
            <w:r w:rsidR="00F15504">
              <w:rPr>
                <w:rFonts w:asciiTheme="majorHAnsi" w:hAnsiTheme="majorHAnsi" w:cstheme="majorHAnsi"/>
                <w:sz w:val="17"/>
                <w:szCs w:val="17"/>
              </w:rPr>
              <w:t>a</w:t>
            </w:r>
            <w:r>
              <w:rPr>
                <w:rFonts w:asciiTheme="majorHAnsi" w:hAnsiTheme="majorHAnsi" w:cstheme="majorHAnsi"/>
                <w:sz w:val="17"/>
                <w:szCs w:val="17"/>
              </w:rPr>
              <w:t>greement</w:t>
            </w:r>
            <w:r w:rsidRPr="005E05DF">
              <w:rPr>
                <w:rFonts w:asciiTheme="majorHAnsi" w:hAnsiTheme="majorHAnsi" w:cstheme="majorHAnsi"/>
                <w:sz w:val="17"/>
                <w:szCs w:val="17"/>
              </w:rPr>
              <w:t>; an</w:t>
            </w:r>
            <w:r>
              <w:rPr>
                <w:rFonts w:asciiTheme="majorHAnsi" w:hAnsiTheme="majorHAnsi" w:cstheme="majorHAnsi"/>
                <w:sz w:val="17"/>
                <w:szCs w:val="17"/>
              </w:rPr>
              <w:t>d</w:t>
            </w:r>
          </w:p>
          <w:p w14:paraId="23402FD7" w14:textId="77777777" w:rsidR="00995A74" w:rsidRDefault="00995A74" w:rsidP="00023A3E">
            <w:pPr>
              <w:pStyle w:val="TableBullet1"/>
              <w:spacing w:before="20" w:after="40" w:line="247" w:lineRule="auto"/>
              <w:rPr>
                <w:rFonts w:asciiTheme="majorHAnsi" w:hAnsiTheme="majorHAnsi" w:cstheme="majorHAnsi"/>
                <w:sz w:val="17"/>
                <w:szCs w:val="17"/>
              </w:rPr>
            </w:pPr>
            <w:r>
              <w:rPr>
                <w:rFonts w:asciiTheme="majorHAnsi" w:hAnsiTheme="majorHAnsi" w:cstheme="majorHAnsi"/>
                <w:sz w:val="17"/>
                <w:szCs w:val="17"/>
              </w:rPr>
              <w:t>the</w:t>
            </w:r>
            <w:r w:rsidRPr="00296232">
              <w:rPr>
                <w:rFonts w:asciiTheme="majorHAnsi" w:hAnsiTheme="majorHAnsi" w:cstheme="majorHAnsi"/>
                <w:sz w:val="17"/>
                <w:szCs w:val="17"/>
              </w:rPr>
              <w:t xml:space="preserve"> amount to be paid to a person whose payment has been reduced, where AEMO subsequently receives payment in respect of a shortfall amount.</w:t>
            </w:r>
          </w:p>
          <w:p w14:paraId="707818A7" w14:textId="77777777" w:rsidR="00995A74" w:rsidRPr="005E05DF" w:rsidRDefault="00995A74" w:rsidP="00023A3E">
            <w:pPr>
              <w:pStyle w:val="TableBullet1"/>
              <w:numPr>
                <w:ilvl w:val="0"/>
                <w:numId w:val="0"/>
              </w:numPr>
              <w:spacing w:before="20" w:after="40" w:line="247" w:lineRule="auto"/>
              <w:ind w:left="85"/>
              <w:rPr>
                <w:rFonts w:asciiTheme="majorHAnsi" w:hAnsiTheme="majorHAnsi" w:cstheme="majorHAnsi"/>
                <w:sz w:val="17"/>
                <w:szCs w:val="17"/>
              </w:rPr>
            </w:pPr>
            <w:r w:rsidRPr="005E05DF">
              <w:rPr>
                <w:rFonts w:asciiTheme="majorHAnsi" w:hAnsiTheme="majorHAnsi" w:cstheme="majorHAnsi"/>
                <w:sz w:val="17"/>
                <w:szCs w:val="17"/>
              </w:rPr>
              <w:t xml:space="preserve">The Procedures may specify </w:t>
            </w:r>
            <w:r>
              <w:rPr>
                <w:rFonts w:asciiTheme="majorHAnsi" w:hAnsiTheme="majorHAnsi" w:cstheme="majorHAnsi"/>
                <w:sz w:val="17"/>
                <w:szCs w:val="17"/>
              </w:rPr>
              <w:t xml:space="preserve">the </w:t>
            </w:r>
            <w:r w:rsidRPr="005E05DF">
              <w:rPr>
                <w:rFonts w:asciiTheme="majorHAnsi" w:hAnsiTheme="majorHAnsi" w:cstheme="majorHAnsi"/>
                <w:sz w:val="17"/>
                <w:szCs w:val="17"/>
              </w:rPr>
              <w:t xml:space="preserve">arrangements to be complied with and information to be provided to AEMO by an auction participant or facility operator </w:t>
            </w:r>
            <w:r>
              <w:rPr>
                <w:rFonts w:asciiTheme="majorHAnsi" w:hAnsiTheme="majorHAnsi" w:cstheme="majorHAnsi"/>
                <w:sz w:val="17"/>
                <w:szCs w:val="17"/>
              </w:rPr>
              <w:t xml:space="preserve">if </w:t>
            </w:r>
            <w:r w:rsidRPr="005E05DF">
              <w:rPr>
                <w:rFonts w:asciiTheme="majorHAnsi" w:hAnsiTheme="majorHAnsi" w:cstheme="majorHAnsi"/>
                <w:sz w:val="17"/>
                <w:szCs w:val="17"/>
              </w:rPr>
              <w:t>a party to a facility agreement under which the auction service is provided is not the auction participant or facility operator.</w:t>
            </w:r>
          </w:p>
        </w:tc>
      </w:tr>
      <w:tr w:rsidR="00D80626" w:rsidRPr="005E05DF" w14:paraId="13FB62D1" w14:textId="77777777" w:rsidTr="00C831DD">
        <w:tc>
          <w:tcPr>
            <w:tcW w:w="14601" w:type="dxa"/>
            <w:gridSpan w:val="3"/>
            <w:tcBorders>
              <w:bottom w:val="single" w:sz="4" w:space="0" w:color="auto"/>
            </w:tcBorders>
            <w:shd w:val="clear" w:color="auto" w:fill="65697F" w:themeFill="background2" w:themeFillShade="80"/>
          </w:tcPr>
          <w:p w14:paraId="7CE262F6" w14:textId="77777777" w:rsidR="00D80626" w:rsidRPr="005E05DF" w:rsidRDefault="00D80626" w:rsidP="009963D5">
            <w:pPr>
              <w:spacing w:before="20" w:after="40" w:line="252" w:lineRule="auto"/>
              <w:jc w:val="center"/>
              <w:rPr>
                <w:rFonts w:asciiTheme="majorHAnsi" w:hAnsiTheme="majorHAnsi" w:cstheme="majorHAnsi"/>
                <w:sz w:val="17"/>
                <w:szCs w:val="17"/>
              </w:rPr>
            </w:pPr>
            <w:r w:rsidRPr="005E05DF">
              <w:rPr>
                <w:rFonts w:asciiTheme="majorHAnsi" w:hAnsiTheme="majorHAnsi" w:cstheme="majorHAnsi"/>
                <w:b/>
                <w:color w:val="FFFFFF" w:themeColor="background1"/>
                <w:sz w:val="17"/>
                <w:szCs w:val="17"/>
              </w:rPr>
              <w:t>Transitional provisions for the capacity trading reform package</w:t>
            </w:r>
          </w:p>
        </w:tc>
      </w:tr>
      <w:tr w:rsidR="00461116" w:rsidRPr="005E05DF" w14:paraId="2C11B276" w14:textId="77777777" w:rsidTr="00C831DD">
        <w:trPr>
          <w:cnfStyle w:val="000000010000" w:firstRow="0" w:lastRow="0" w:firstColumn="0" w:lastColumn="0" w:oddVBand="0" w:evenVBand="0" w:oddHBand="0" w:evenHBand="1" w:firstRowFirstColumn="0" w:firstRowLastColumn="0" w:lastRowFirstColumn="0" w:lastRowLastColumn="0"/>
        </w:trPr>
        <w:tc>
          <w:tcPr>
            <w:tcW w:w="1855" w:type="dxa"/>
            <w:shd w:val="clear" w:color="auto" w:fill="FFFFFF" w:themeFill="background1"/>
          </w:tcPr>
          <w:p w14:paraId="2E0AB1AF" w14:textId="77777777" w:rsidR="00314DB2" w:rsidRPr="005E05DF" w:rsidRDefault="00314DB2" w:rsidP="00023A3E">
            <w:pPr>
              <w:pStyle w:val="Tabletext"/>
              <w:spacing w:before="20" w:after="20" w:line="247" w:lineRule="auto"/>
              <w:rPr>
                <w:rFonts w:asciiTheme="majorHAnsi" w:hAnsiTheme="majorHAnsi" w:cstheme="majorHAnsi"/>
                <w:sz w:val="17"/>
                <w:szCs w:val="17"/>
              </w:rPr>
            </w:pPr>
            <w:r w:rsidRPr="005E05DF">
              <w:rPr>
                <w:rFonts w:asciiTheme="majorHAnsi" w:hAnsiTheme="majorHAnsi" w:cstheme="majorHAnsi"/>
                <w:sz w:val="17"/>
                <w:szCs w:val="17"/>
              </w:rPr>
              <w:t>Reporting by compression service facility operators</w:t>
            </w:r>
          </w:p>
        </w:tc>
        <w:tc>
          <w:tcPr>
            <w:tcW w:w="12746" w:type="dxa"/>
            <w:gridSpan w:val="2"/>
            <w:shd w:val="clear" w:color="auto" w:fill="FFFFFF" w:themeFill="background1"/>
          </w:tcPr>
          <w:p w14:paraId="6B4F6488" w14:textId="44B3901A" w:rsidR="00314DB2" w:rsidRPr="005E05DF" w:rsidRDefault="00314DB2" w:rsidP="00023A3E">
            <w:pPr>
              <w:pStyle w:val="Tabletext"/>
              <w:spacing w:before="20" w:after="20" w:line="247" w:lineRule="auto"/>
              <w:rPr>
                <w:rFonts w:asciiTheme="majorHAnsi" w:hAnsiTheme="majorHAnsi" w:cstheme="majorHAnsi"/>
                <w:sz w:val="17"/>
                <w:szCs w:val="17"/>
              </w:rPr>
            </w:pPr>
            <w:r w:rsidRPr="005E05DF">
              <w:rPr>
                <w:rFonts w:asciiTheme="majorHAnsi" w:hAnsiTheme="majorHAnsi" w:cstheme="majorHAnsi"/>
                <w:sz w:val="17"/>
                <w:szCs w:val="17"/>
              </w:rPr>
              <w:t xml:space="preserve">Non-exempt compression facility operators subject to the capacity trading reforms will be required to publish a range of information from 1 February 2019 (i.e. nameplate rating, detailed facility information, a 12 month outlook of uncontracted primary capacity, a short-term capacity outlook, a linepack capacity adequacy (LCA) flag, nominated and forecast use of the facility and daily production data). The Procedures will play a similar role to the BB Procedures and may include detail on: </w:t>
            </w:r>
          </w:p>
          <w:p w14:paraId="5FD0AD11" w14:textId="77777777" w:rsidR="00314DB2" w:rsidRPr="005E05DF" w:rsidRDefault="00314DB2" w:rsidP="00023A3E">
            <w:pPr>
              <w:pStyle w:val="TableBullet1"/>
              <w:spacing w:before="20" w:after="20" w:line="247" w:lineRule="auto"/>
              <w:rPr>
                <w:rFonts w:asciiTheme="majorHAnsi" w:hAnsiTheme="majorHAnsi" w:cstheme="majorHAnsi"/>
                <w:sz w:val="17"/>
                <w:szCs w:val="17"/>
              </w:rPr>
            </w:pPr>
            <w:r w:rsidRPr="005E05DF">
              <w:rPr>
                <w:rFonts w:asciiTheme="majorHAnsi" w:hAnsiTheme="majorHAnsi" w:cstheme="majorHAnsi"/>
                <w:sz w:val="17"/>
                <w:szCs w:val="17"/>
              </w:rPr>
              <w:t>the information to be provided;</w:t>
            </w:r>
          </w:p>
          <w:p w14:paraId="638C4229" w14:textId="77777777" w:rsidR="00314DB2" w:rsidRPr="005E05DF" w:rsidRDefault="00314DB2" w:rsidP="00023A3E">
            <w:pPr>
              <w:pStyle w:val="TableBullet1"/>
              <w:spacing w:before="20" w:after="20" w:line="247" w:lineRule="auto"/>
              <w:rPr>
                <w:rFonts w:asciiTheme="majorHAnsi" w:hAnsiTheme="majorHAnsi" w:cstheme="majorHAnsi"/>
                <w:sz w:val="17"/>
                <w:szCs w:val="17"/>
              </w:rPr>
            </w:pPr>
            <w:r w:rsidRPr="005E05DF">
              <w:rPr>
                <w:rFonts w:asciiTheme="majorHAnsi" w:hAnsiTheme="majorHAnsi" w:cstheme="majorHAnsi"/>
                <w:sz w:val="17"/>
                <w:szCs w:val="17"/>
              </w:rPr>
              <w:t xml:space="preserve">the timeframes for the provision of information to AEMO; </w:t>
            </w:r>
          </w:p>
          <w:p w14:paraId="16D308B2" w14:textId="77777777" w:rsidR="00314DB2" w:rsidRPr="005E05DF" w:rsidRDefault="00314DB2" w:rsidP="00023A3E">
            <w:pPr>
              <w:pStyle w:val="TableBullet1"/>
              <w:spacing w:before="20" w:after="20" w:line="247" w:lineRule="auto"/>
              <w:rPr>
                <w:rFonts w:asciiTheme="majorHAnsi" w:hAnsiTheme="majorHAnsi" w:cstheme="majorHAnsi"/>
                <w:sz w:val="17"/>
                <w:szCs w:val="17"/>
              </w:rPr>
            </w:pPr>
            <w:r w:rsidRPr="005E05DF">
              <w:rPr>
                <w:rFonts w:asciiTheme="majorHAnsi" w:hAnsiTheme="majorHAnsi" w:cstheme="majorHAnsi"/>
                <w:sz w:val="17"/>
                <w:szCs w:val="17"/>
              </w:rPr>
              <w:t>the obligations to update information; and</w:t>
            </w:r>
          </w:p>
          <w:p w14:paraId="39015A6C" w14:textId="77777777" w:rsidR="00314DB2" w:rsidRPr="005E05DF" w:rsidRDefault="00314DB2" w:rsidP="00023A3E">
            <w:pPr>
              <w:pStyle w:val="TableBullet1"/>
              <w:spacing w:before="20" w:after="20" w:line="247" w:lineRule="auto"/>
              <w:rPr>
                <w:rFonts w:asciiTheme="majorHAnsi" w:hAnsiTheme="majorHAnsi" w:cstheme="majorHAnsi"/>
                <w:sz w:val="17"/>
                <w:szCs w:val="17"/>
              </w:rPr>
            </w:pPr>
            <w:r w:rsidRPr="005E05DF">
              <w:rPr>
                <w:rFonts w:asciiTheme="majorHAnsi" w:hAnsiTheme="majorHAnsi" w:cstheme="majorHAnsi"/>
                <w:sz w:val="17"/>
                <w:szCs w:val="17"/>
              </w:rPr>
              <w:t xml:space="preserve">the circumstances in which a </w:t>
            </w:r>
            <w:r w:rsidR="0017424B">
              <w:rPr>
                <w:rFonts w:asciiTheme="majorHAnsi" w:hAnsiTheme="majorHAnsi" w:cstheme="majorHAnsi"/>
                <w:sz w:val="17"/>
                <w:szCs w:val="17"/>
              </w:rPr>
              <w:t xml:space="preserve">compression facility operator </w:t>
            </w:r>
            <w:r w:rsidRPr="005E05DF">
              <w:rPr>
                <w:rFonts w:asciiTheme="majorHAnsi" w:hAnsiTheme="majorHAnsi" w:cstheme="majorHAnsi"/>
                <w:sz w:val="17"/>
                <w:szCs w:val="17"/>
              </w:rPr>
              <w:t xml:space="preserve">may be exempt from an obligation to provide information and the default value to be used in place of the relevant item of information. </w:t>
            </w:r>
          </w:p>
          <w:p w14:paraId="03F6BF33" w14:textId="77777777" w:rsidR="00314DB2" w:rsidRPr="005E05DF" w:rsidRDefault="00314DB2" w:rsidP="00023A3E">
            <w:pPr>
              <w:pStyle w:val="Tabletext"/>
              <w:spacing w:before="20" w:after="20" w:line="247" w:lineRule="auto"/>
              <w:rPr>
                <w:rFonts w:asciiTheme="majorHAnsi" w:hAnsiTheme="majorHAnsi" w:cstheme="majorHAnsi"/>
                <w:sz w:val="17"/>
                <w:szCs w:val="17"/>
              </w:rPr>
            </w:pPr>
            <w:r w:rsidRPr="005E05DF">
              <w:rPr>
                <w:rFonts w:asciiTheme="majorHAnsi" w:hAnsiTheme="majorHAnsi" w:cstheme="majorHAnsi"/>
                <w:sz w:val="17"/>
                <w:szCs w:val="17"/>
              </w:rPr>
              <w:t>The Procedures must specify the meaning of a green, amber or red flag for the purpose</w:t>
            </w:r>
            <w:r w:rsidR="005D1657">
              <w:rPr>
                <w:rFonts w:asciiTheme="majorHAnsi" w:hAnsiTheme="majorHAnsi" w:cstheme="majorHAnsi"/>
                <w:sz w:val="17"/>
                <w:szCs w:val="17"/>
              </w:rPr>
              <w:t>s</w:t>
            </w:r>
            <w:r w:rsidRPr="005E05DF">
              <w:rPr>
                <w:rFonts w:asciiTheme="majorHAnsi" w:hAnsiTheme="majorHAnsi" w:cstheme="majorHAnsi"/>
                <w:sz w:val="17"/>
                <w:szCs w:val="17"/>
              </w:rPr>
              <w:t xml:space="preserve"> of the definition of LCA flag.</w:t>
            </w:r>
          </w:p>
        </w:tc>
      </w:tr>
    </w:tbl>
    <w:p w14:paraId="3DF835C7" w14:textId="77777777" w:rsidR="00D80626" w:rsidRPr="0017424B" w:rsidRDefault="00D80626" w:rsidP="0017424B">
      <w:pPr>
        <w:autoSpaceDE w:val="0"/>
        <w:autoSpaceDN w:val="0"/>
        <w:adjustRightInd w:val="0"/>
        <w:rPr>
          <w:rFonts w:asciiTheme="majorHAnsi" w:hAnsiTheme="majorHAnsi" w:cstheme="majorHAnsi"/>
          <w:sz w:val="2"/>
          <w:szCs w:val="2"/>
        </w:rPr>
      </w:pPr>
    </w:p>
    <w:p w14:paraId="7633F61F" w14:textId="77777777" w:rsidR="00D80626" w:rsidRPr="0017424B" w:rsidRDefault="00D80626" w:rsidP="0017424B">
      <w:pPr>
        <w:pStyle w:val="BodyText"/>
        <w:spacing w:before="0" w:after="0"/>
        <w:rPr>
          <w:rFonts w:asciiTheme="majorHAnsi" w:hAnsiTheme="majorHAnsi" w:cstheme="majorHAnsi"/>
          <w:sz w:val="2"/>
          <w:szCs w:val="2"/>
        </w:rPr>
        <w:sectPr w:rsidR="00D80626" w:rsidRPr="0017424B" w:rsidSect="005E05DF">
          <w:footerReference w:type="default" r:id="rId14"/>
          <w:pgSz w:w="16839" w:h="11907" w:orient="landscape" w:code="9"/>
          <w:pgMar w:top="2126" w:right="1418" w:bottom="709" w:left="1701" w:header="709" w:footer="308" w:gutter="0"/>
          <w:cols w:space="708"/>
          <w:docGrid w:linePitch="360"/>
        </w:sectPr>
      </w:pPr>
    </w:p>
    <w:p w14:paraId="4275F381" w14:textId="77777777" w:rsidR="003702EB" w:rsidRDefault="003702EB" w:rsidP="003702EB">
      <w:pPr>
        <w:pStyle w:val="BodyText"/>
        <w:spacing w:line="252" w:lineRule="auto"/>
      </w:pPr>
      <w:r w:rsidRPr="00B331E5">
        <w:lastRenderedPageBreak/>
        <w:t xml:space="preserve">AEMO </w:t>
      </w:r>
      <w:r>
        <w:t xml:space="preserve">will be required to </w:t>
      </w:r>
      <w:r w:rsidRPr="00B331E5">
        <w:t xml:space="preserve">publish the initial </w:t>
      </w:r>
      <w:r>
        <w:t xml:space="preserve">CT&amp;A </w:t>
      </w:r>
      <w:r w:rsidRPr="00B331E5">
        <w:t>Procedures by 1 December 2018</w:t>
      </w:r>
      <w:r>
        <w:t>,</w:t>
      </w:r>
      <w:r w:rsidRPr="00B331E5">
        <w:t xml:space="preserve"> or if the amendments to the NGL are made </w:t>
      </w:r>
      <w:r>
        <w:t xml:space="preserve">after this </w:t>
      </w:r>
      <w:r w:rsidRPr="00B331E5">
        <w:t>date, 20 business days after the amendments</w:t>
      </w:r>
      <w:r>
        <w:t xml:space="preserve"> commence</w:t>
      </w:r>
      <w:r w:rsidRPr="00B331E5">
        <w:t>.</w:t>
      </w:r>
      <w:r>
        <w:rPr>
          <w:rStyle w:val="FootnoteReference"/>
        </w:rPr>
        <w:footnoteReference w:id="16"/>
      </w:r>
      <w:r>
        <w:t xml:space="preserve"> </w:t>
      </w:r>
    </w:p>
    <w:p w14:paraId="420B7999" w14:textId="77777777" w:rsidR="00995A74" w:rsidRDefault="00995A74" w:rsidP="003702EB">
      <w:pPr>
        <w:pStyle w:val="BodyText"/>
        <w:spacing w:line="252" w:lineRule="auto"/>
        <w:rPr>
          <w:rFonts w:asciiTheme="majorHAnsi" w:hAnsiTheme="majorHAnsi" w:cstheme="majorHAnsi"/>
        </w:rPr>
      </w:pPr>
      <w:r>
        <w:rPr>
          <w:rFonts w:asciiTheme="majorHAnsi" w:hAnsiTheme="majorHAnsi" w:cstheme="majorHAnsi"/>
        </w:rPr>
        <w:t>The GMRG understands that AEMO intends to consult on the CT&amp;A Procedures in August-September</w:t>
      </w:r>
      <w:r w:rsidR="00163C9F">
        <w:rPr>
          <w:rFonts w:asciiTheme="majorHAnsi" w:hAnsiTheme="majorHAnsi" w:cstheme="majorHAnsi"/>
        </w:rPr>
        <w:t xml:space="preserve"> 2018</w:t>
      </w:r>
      <w:r>
        <w:rPr>
          <w:rFonts w:asciiTheme="majorHAnsi" w:hAnsiTheme="majorHAnsi" w:cstheme="majorHAnsi"/>
        </w:rPr>
        <w:t>.</w:t>
      </w:r>
    </w:p>
    <w:p w14:paraId="4D44C556" w14:textId="77777777" w:rsidR="00B331E5" w:rsidRPr="00576108" w:rsidRDefault="00B331E5" w:rsidP="00B331E5">
      <w:pPr>
        <w:pStyle w:val="Heading1"/>
        <w:rPr>
          <w:color w:val="0099CC"/>
          <w:sz w:val="26"/>
          <w:szCs w:val="26"/>
        </w:rPr>
      </w:pPr>
      <w:r w:rsidRPr="00576108">
        <w:rPr>
          <w:color w:val="0099CC"/>
          <w:sz w:val="26"/>
          <w:szCs w:val="26"/>
        </w:rPr>
        <w:t xml:space="preserve">Registration </w:t>
      </w:r>
      <w:r w:rsidR="007C4A75">
        <w:rPr>
          <w:color w:val="0099CC"/>
          <w:sz w:val="26"/>
          <w:szCs w:val="26"/>
        </w:rPr>
        <w:t xml:space="preserve">for transaction support arrangements and auction </w:t>
      </w:r>
    </w:p>
    <w:p w14:paraId="62535D84" w14:textId="77777777" w:rsidR="007C4A75" w:rsidRDefault="007D47A3" w:rsidP="00B331E5">
      <w:pPr>
        <w:pStyle w:val="BodyText"/>
        <w:spacing w:before="0"/>
        <w:rPr>
          <w:rFonts w:asciiTheme="majorHAnsi" w:hAnsiTheme="majorHAnsi" w:cstheme="majorHAnsi"/>
        </w:rPr>
      </w:pPr>
      <w:r>
        <w:rPr>
          <w:rFonts w:asciiTheme="majorHAnsi" w:hAnsiTheme="majorHAnsi" w:cstheme="majorHAnsi"/>
        </w:rPr>
        <w:t>S</w:t>
      </w:r>
      <w:r w:rsidR="007C4A75">
        <w:rPr>
          <w:rFonts w:asciiTheme="majorHAnsi" w:hAnsiTheme="majorHAnsi" w:cstheme="majorHAnsi"/>
        </w:rPr>
        <w:t>ervice providers of non-exempt</w:t>
      </w:r>
      <w:r w:rsidR="007C4A75">
        <w:rPr>
          <w:rStyle w:val="FootnoteReference"/>
          <w:rFonts w:asciiTheme="majorHAnsi" w:hAnsiTheme="majorHAnsi" w:cstheme="majorHAnsi"/>
        </w:rPr>
        <w:footnoteReference w:id="17"/>
      </w:r>
      <w:r w:rsidR="007C4A75">
        <w:rPr>
          <w:rFonts w:asciiTheme="majorHAnsi" w:hAnsiTheme="majorHAnsi" w:cstheme="majorHAnsi"/>
        </w:rPr>
        <w:t xml:space="preserve"> transportation facilities will be required to</w:t>
      </w:r>
      <w:r w:rsidR="00193884">
        <w:rPr>
          <w:rFonts w:asciiTheme="majorHAnsi" w:hAnsiTheme="majorHAnsi" w:cstheme="majorHAnsi"/>
        </w:rPr>
        <w:t xml:space="preserve"> </w:t>
      </w:r>
      <w:r w:rsidR="00D05596">
        <w:rPr>
          <w:rFonts w:asciiTheme="majorHAnsi" w:hAnsiTheme="majorHAnsi" w:cstheme="majorHAnsi"/>
        </w:rPr>
        <w:t xml:space="preserve">be registered </w:t>
      </w:r>
      <w:r>
        <w:rPr>
          <w:rFonts w:asciiTheme="majorHAnsi" w:hAnsiTheme="majorHAnsi" w:cstheme="majorHAnsi"/>
        </w:rPr>
        <w:t xml:space="preserve">to </w:t>
      </w:r>
      <w:r w:rsidR="007B1CE7">
        <w:rPr>
          <w:rFonts w:asciiTheme="majorHAnsi" w:hAnsiTheme="majorHAnsi" w:cstheme="majorHAnsi"/>
        </w:rPr>
        <w:t xml:space="preserve">perform </w:t>
      </w:r>
      <w:r>
        <w:rPr>
          <w:rFonts w:asciiTheme="majorHAnsi" w:hAnsiTheme="majorHAnsi" w:cstheme="majorHAnsi"/>
        </w:rPr>
        <w:t xml:space="preserve">the obligations and exercise the rights of a facility operator under the </w:t>
      </w:r>
      <w:r w:rsidR="00D05596">
        <w:rPr>
          <w:rFonts w:asciiTheme="majorHAnsi" w:hAnsiTheme="majorHAnsi" w:cstheme="majorHAnsi"/>
        </w:rPr>
        <w:t>transaction support arrangements and day-ahead auction</w:t>
      </w:r>
      <w:r>
        <w:rPr>
          <w:rFonts w:asciiTheme="majorHAnsi" w:hAnsiTheme="majorHAnsi" w:cstheme="majorHAnsi"/>
        </w:rPr>
        <w:t xml:space="preserve"> provisions in the NGR and CT&amp;A Procedures</w:t>
      </w:r>
      <w:r w:rsidR="00D05596">
        <w:rPr>
          <w:rFonts w:asciiTheme="majorHAnsi" w:hAnsiTheme="majorHAnsi" w:cstheme="majorHAnsi"/>
        </w:rPr>
        <w:t xml:space="preserve">. Service providers </w:t>
      </w:r>
      <w:r w:rsidR="00CD3656">
        <w:rPr>
          <w:rFonts w:asciiTheme="majorHAnsi" w:hAnsiTheme="majorHAnsi" w:cstheme="majorHAnsi"/>
        </w:rPr>
        <w:t>will be required to</w:t>
      </w:r>
      <w:r w:rsidR="00D05596">
        <w:rPr>
          <w:rFonts w:asciiTheme="majorHAnsi" w:hAnsiTheme="majorHAnsi" w:cstheme="majorHAnsi"/>
        </w:rPr>
        <w:t xml:space="preserve"> apply to AEMO to</w:t>
      </w:r>
      <w:r w:rsidR="007C4A75">
        <w:rPr>
          <w:rFonts w:asciiTheme="majorHAnsi" w:hAnsiTheme="majorHAnsi" w:cstheme="majorHAnsi"/>
        </w:rPr>
        <w:t>:</w:t>
      </w:r>
    </w:p>
    <w:p w14:paraId="333772A9" w14:textId="77777777" w:rsidR="007C4A75" w:rsidRDefault="001306DA" w:rsidP="001306DA">
      <w:pPr>
        <w:pStyle w:val="ListBullet"/>
      </w:pPr>
      <w:r>
        <w:t>register t</w:t>
      </w:r>
      <w:r w:rsidR="007C4A75">
        <w:t>he transportation facility; and</w:t>
      </w:r>
    </w:p>
    <w:p w14:paraId="713691D6" w14:textId="77777777" w:rsidR="007C4A75" w:rsidRDefault="001306DA" w:rsidP="001306DA">
      <w:pPr>
        <w:pStyle w:val="ListBullet"/>
      </w:pPr>
      <w:r>
        <w:t>register as the facility operator for that transportation facility</w:t>
      </w:r>
      <w:r w:rsidR="00193884">
        <w:t>.</w:t>
      </w:r>
    </w:p>
    <w:p w14:paraId="5585B3C7" w14:textId="77777777" w:rsidR="00193884" w:rsidRPr="007D47A3" w:rsidRDefault="00B331E5" w:rsidP="00DA778E">
      <w:pPr>
        <w:pStyle w:val="BodyText"/>
      </w:pPr>
      <w:r w:rsidRPr="007D47A3">
        <w:t xml:space="preserve">Where there are multiple service providers for a non-exempt transportation facility, </w:t>
      </w:r>
      <w:r w:rsidR="00193884" w:rsidRPr="007D47A3">
        <w:t xml:space="preserve">each service provider will be taken to be a member of a transportation service </w:t>
      </w:r>
      <w:r w:rsidRPr="007D47A3">
        <w:t>provider group</w:t>
      </w:r>
      <w:r w:rsidR="00193884" w:rsidRPr="007D47A3">
        <w:t>. The members of this group</w:t>
      </w:r>
      <w:r w:rsidRPr="007D47A3">
        <w:t xml:space="preserve"> </w:t>
      </w:r>
      <w:r w:rsidR="00193884" w:rsidRPr="007D47A3">
        <w:t xml:space="preserve">must </w:t>
      </w:r>
      <w:r w:rsidRPr="007D47A3">
        <w:t xml:space="preserve">appoint </w:t>
      </w:r>
      <w:r w:rsidR="009963D5">
        <w:t xml:space="preserve">(in writing) </w:t>
      </w:r>
      <w:r w:rsidRPr="007D47A3">
        <w:t xml:space="preserve">one of </w:t>
      </w:r>
      <w:r w:rsidR="00193884" w:rsidRPr="007D47A3">
        <w:t>their members as the ‘</w:t>
      </w:r>
      <w:r w:rsidRPr="007D47A3">
        <w:t>responsible transportation service provider</w:t>
      </w:r>
      <w:r w:rsidR="00193884" w:rsidRPr="007D47A3">
        <w:t>’</w:t>
      </w:r>
      <w:r w:rsidR="009963D5">
        <w:t xml:space="preserve">, which means that they will </w:t>
      </w:r>
      <w:r w:rsidR="000E33A2" w:rsidRPr="007D47A3">
        <w:t xml:space="preserve">be responsible for carrying out </w:t>
      </w:r>
      <w:r w:rsidR="000E33A2" w:rsidRPr="007D47A3">
        <w:rPr>
          <w:rFonts w:asciiTheme="majorHAnsi" w:eastAsiaTheme="minorEastAsia" w:hAnsiTheme="majorHAnsi" w:cstheme="majorHAnsi"/>
        </w:rPr>
        <w:t xml:space="preserve">the obligations and exercising the rights of a facility operator under the transaction support arrangements and the day-ahead auction </w:t>
      </w:r>
      <w:r w:rsidR="007D47A3" w:rsidRPr="007D47A3">
        <w:rPr>
          <w:rFonts w:asciiTheme="majorHAnsi" w:eastAsiaTheme="minorEastAsia" w:hAnsiTheme="majorHAnsi" w:cstheme="majorHAnsi"/>
        </w:rPr>
        <w:t xml:space="preserve">in the NGR and CT&amp;A Procedures </w:t>
      </w:r>
      <w:r w:rsidR="000E33A2" w:rsidRPr="007D47A3">
        <w:t>(see Box 4.1 for more detail)</w:t>
      </w:r>
      <w:r w:rsidR="00193884" w:rsidRPr="007D47A3">
        <w:t xml:space="preserve">. </w:t>
      </w:r>
      <w:r w:rsidR="009963D5">
        <w:t xml:space="preserve">The responsible transportation service provider must apply to AEMO to: </w:t>
      </w:r>
    </w:p>
    <w:p w14:paraId="054ECF02" w14:textId="77777777" w:rsidR="00193884" w:rsidRDefault="00B331E5" w:rsidP="009963D5">
      <w:pPr>
        <w:pStyle w:val="ListBullet"/>
      </w:pPr>
      <w:r>
        <w:t xml:space="preserve">register </w:t>
      </w:r>
      <w:r w:rsidR="00193884">
        <w:t>the transportation facility; and</w:t>
      </w:r>
    </w:p>
    <w:p w14:paraId="3B6840EA" w14:textId="77777777" w:rsidR="00B331E5" w:rsidRDefault="00193884" w:rsidP="009963D5">
      <w:pPr>
        <w:pStyle w:val="ListBullet"/>
      </w:pPr>
      <w:r>
        <w:t xml:space="preserve">register </w:t>
      </w:r>
      <w:r w:rsidR="00B331E5">
        <w:t xml:space="preserve">as the facility operator for </w:t>
      </w:r>
      <w:r>
        <w:t xml:space="preserve">that </w:t>
      </w:r>
      <w:r w:rsidR="00B331E5">
        <w:t>transportation facility.</w:t>
      </w:r>
    </w:p>
    <w:p w14:paraId="298F2BE6" w14:textId="102235EA" w:rsidR="009963D5" w:rsidRDefault="009963D5" w:rsidP="007325FA">
      <w:pPr>
        <w:pStyle w:val="BodyText"/>
        <w:rPr>
          <w:rFonts w:eastAsiaTheme="minorEastAsia"/>
        </w:rPr>
      </w:pPr>
      <w:r>
        <w:t xml:space="preserve">An </w:t>
      </w:r>
      <w:r w:rsidR="00193884">
        <w:t>application to register must be made no later than 20 business days after the person becomes a service provider for a non-exempt transportation facility.</w:t>
      </w:r>
      <w:r w:rsidR="00193884">
        <w:rPr>
          <w:rStyle w:val="FootnoteReference"/>
        </w:rPr>
        <w:footnoteReference w:id="18"/>
      </w:r>
      <w:r w:rsidR="00193884">
        <w:t xml:space="preserve"> </w:t>
      </w:r>
      <w:r w:rsidR="00FF7976">
        <w:t>The application</w:t>
      </w:r>
      <w:r w:rsidR="000E33A2">
        <w:rPr>
          <w:rStyle w:val="FootnoteReference"/>
          <w:rFonts w:eastAsiaTheme="minorEastAsia"/>
        </w:rPr>
        <w:footnoteReference w:id="19"/>
      </w:r>
      <w:r w:rsidR="00FF7976">
        <w:t xml:space="preserve"> must </w:t>
      </w:r>
      <w:r w:rsidR="00FF7976" w:rsidRPr="00B21E03">
        <w:rPr>
          <w:rFonts w:eastAsiaTheme="minorEastAsia"/>
        </w:rPr>
        <w:t xml:space="preserve">be in the form </w:t>
      </w:r>
      <w:r w:rsidR="00FF7976">
        <w:rPr>
          <w:rFonts w:eastAsiaTheme="minorEastAsia"/>
        </w:rPr>
        <w:t xml:space="preserve">and contain the information </w:t>
      </w:r>
      <w:r w:rsidR="00FF7976" w:rsidRPr="00B21E03">
        <w:rPr>
          <w:rFonts w:eastAsiaTheme="minorEastAsia"/>
        </w:rPr>
        <w:t xml:space="preserve">specified in the </w:t>
      </w:r>
      <w:r w:rsidR="00FF7976">
        <w:rPr>
          <w:rFonts w:eastAsiaTheme="minorEastAsia"/>
        </w:rPr>
        <w:t xml:space="preserve">CT&amp;A </w:t>
      </w:r>
      <w:r w:rsidR="00FF7976" w:rsidRPr="00B21E03">
        <w:rPr>
          <w:rFonts w:eastAsiaTheme="minorEastAsia"/>
        </w:rPr>
        <w:t>Procedures</w:t>
      </w:r>
      <w:r w:rsidR="00FF7976">
        <w:rPr>
          <w:rFonts w:eastAsiaTheme="minorEastAsia"/>
        </w:rPr>
        <w:t xml:space="preserve"> and must also contain </w:t>
      </w:r>
      <w:r w:rsidR="00FF7976" w:rsidRPr="00B21E03">
        <w:rPr>
          <w:rFonts w:eastAsiaTheme="minorEastAsia"/>
        </w:rPr>
        <w:t>a description of the transportation facility and</w:t>
      </w:r>
      <w:r w:rsidR="00FF7976">
        <w:rPr>
          <w:rFonts w:eastAsiaTheme="minorEastAsia"/>
        </w:rPr>
        <w:t xml:space="preserve">, unless the information is already provided under Part 18 of the NGR, </w:t>
      </w:r>
      <w:r w:rsidR="00FF7976" w:rsidRPr="00B21E03">
        <w:rPr>
          <w:rFonts w:eastAsiaTheme="minorEastAsia"/>
        </w:rPr>
        <w:t xml:space="preserve">the </w:t>
      </w:r>
      <w:r w:rsidR="00FF7976">
        <w:rPr>
          <w:rFonts w:eastAsiaTheme="minorEastAsia"/>
        </w:rPr>
        <w:t xml:space="preserve">facility’s </w:t>
      </w:r>
      <w:r w:rsidR="00FF7976" w:rsidRPr="00B21E03">
        <w:rPr>
          <w:rFonts w:eastAsiaTheme="minorEastAsia"/>
        </w:rPr>
        <w:t>nameplate rating.</w:t>
      </w:r>
      <w:r w:rsidR="00FF7976">
        <w:rPr>
          <w:rFonts w:eastAsiaTheme="minorEastAsia"/>
        </w:rPr>
        <w:t xml:space="preserve"> </w:t>
      </w:r>
      <w:r w:rsidR="007325FA">
        <w:rPr>
          <w:rFonts w:eastAsiaTheme="minorEastAsia"/>
        </w:rPr>
        <w:t xml:space="preserve">If the application is being made by a responsible transportation service provider on behalf of a </w:t>
      </w:r>
      <w:r w:rsidR="007325FA">
        <w:rPr>
          <w:rFonts w:eastAsiaTheme="minorEastAsia"/>
        </w:rPr>
        <w:lastRenderedPageBreak/>
        <w:t xml:space="preserve">service provider group, then the application must also contain information about the service provider group specified in the CT&amp;A Procedures. </w:t>
      </w:r>
    </w:p>
    <w:p w14:paraId="7493D6B1" w14:textId="77777777" w:rsidR="00A461D0" w:rsidRPr="009963D5" w:rsidRDefault="00FF7976" w:rsidP="007325FA">
      <w:pPr>
        <w:pStyle w:val="BodyText"/>
        <w:rPr>
          <w:rFonts w:eastAsiaTheme="minorEastAsia"/>
        </w:rPr>
      </w:pPr>
      <w:r>
        <w:rPr>
          <w:rFonts w:eastAsiaTheme="minorEastAsia"/>
        </w:rPr>
        <w:t>Within 10 business days of receiving an application, AEMO may ask the applicant to provide further information or clarification, which the applicant must respond to within 10 business days.</w:t>
      </w:r>
      <w:r>
        <w:rPr>
          <w:rStyle w:val="FootnoteReference"/>
          <w:rFonts w:eastAsiaTheme="minorEastAsia"/>
        </w:rPr>
        <w:footnoteReference w:id="20"/>
      </w:r>
      <w:r w:rsidR="00A461D0">
        <w:rPr>
          <w:rFonts w:eastAsiaTheme="minorEastAsia"/>
          <w:vertAlign w:val="superscript"/>
        </w:rPr>
        <w:t xml:space="preserve"> </w:t>
      </w:r>
      <w:r w:rsidR="00A461D0" w:rsidRPr="009963D5">
        <w:rPr>
          <w:rFonts w:eastAsiaTheme="minorEastAsia"/>
        </w:rPr>
        <w:t>If any of the information provided to AEMO in the original application or in response to a request by AEMO changes or otherwise becomes inaccurate, then the facility operator must update the information as soon as practicable.</w:t>
      </w:r>
    </w:p>
    <w:p w14:paraId="66A030B8" w14:textId="77777777" w:rsidR="007325FA" w:rsidRDefault="007325FA" w:rsidP="007325FA">
      <w:pPr>
        <w:pStyle w:val="BodyText"/>
      </w:pPr>
      <w:r>
        <w:t xml:space="preserve">If the application is made in accordance with the NGR, then </w:t>
      </w:r>
      <w:r w:rsidR="00FF7976">
        <w:t xml:space="preserve">AEMO must register </w:t>
      </w:r>
      <w:r>
        <w:t>the applicant as the facility operator and must also register the transportation facility</w:t>
      </w:r>
      <w:r w:rsidR="00FF7976">
        <w:t>.</w:t>
      </w:r>
      <w:r w:rsidR="00D05596">
        <w:rPr>
          <w:rStyle w:val="FootnoteReference"/>
        </w:rPr>
        <w:footnoteReference w:id="21"/>
      </w:r>
      <w:r>
        <w:t xml:space="preserve"> It is worth noting </w:t>
      </w:r>
      <w:r w:rsidR="00D05596">
        <w:t>in this context</w:t>
      </w:r>
      <w:r w:rsidR="007D47A3">
        <w:t xml:space="preserve"> that</w:t>
      </w:r>
      <w:r>
        <w:t xml:space="preserve">: </w:t>
      </w:r>
    </w:p>
    <w:p w14:paraId="2A79FCC1" w14:textId="77777777" w:rsidR="00FF7976" w:rsidRDefault="00D05596" w:rsidP="00D05596">
      <w:pPr>
        <w:pStyle w:val="ListBullet"/>
        <w:rPr>
          <w:rFonts w:eastAsiaTheme="minorEastAsia"/>
        </w:rPr>
      </w:pPr>
      <w:r>
        <w:t>AEMO may r</w:t>
      </w:r>
      <w:r w:rsidR="007325FA">
        <w:t xml:space="preserve">egister a pipeline that is the subject of multiple pipeline licences as a </w:t>
      </w:r>
      <w:r w:rsidR="00FF7976" w:rsidRPr="00AE6A00">
        <w:rPr>
          <w:rFonts w:eastAsiaTheme="minorEastAsia"/>
        </w:rPr>
        <w:t xml:space="preserve">single </w:t>
      </w:r>
      <w:r w:rsidR="007325FA">
        <w:rPr>
          <w:rFonts w:eastAsiaTheme="minorEastAsia"/>
        </w:rPr>
        <w:t xml:space="preserve">transportation </w:t>
      </w:r>
      <w:r w:rsidR="00FF7976" w:rsidRPr="00AE6A00">
        <w:rPr>
          <w:rFonts w:eastAsiaTheme="minorEastAsia"/>
        </w:rPr>
        <w:t xml:space="preserve">facility and may require </w:t>
      </w:r>
      <w:r w:rsidR="007325FA">
        <w:rPr>
          <w:rFonts w:eastAsiaTheme="minorEastAsia"/>
        </w:rPr>
        <w:t xml:space="preserve">the registration </w:t>
      </w:r>
      <w:r w:rsidR="00FF7976" w:rsidRPr="00AE6A00">
        <w:rPr>
          <w:rFonts w:eastAsiaTheme="minorEastAsia"/>
        </w:rPr>
        <w:t>applications to be consolidated for that purpose</w:t>
      </w:r>
      <w:r>
        <w:rPr>
          <w:rFonts w:eastAsiaTheme="minorEastAsia"/>
        </w:rPr>
        <w:t>; and</w:t>
      </w:r>
    </w:p>
    <w:p w14:paraId="24E23FE6" w14:textId="77777777" w:rsidR="00D05596" w:rsidRDefault="00D05596" w:rsidP="00D05596">
      <w:pPr>
        <w:pStyle w:val="ListBullet"/>
        <w:rPr>
          <w:rFonts w:eastAsiaTheme="minorEastAsia"/>
        </w:rPr>
      </w:pPr>
      <w:r>
        <w:rPr>
          <w:rFonts w:eastAsiaTheme="minorEastAsia"/>
        </w:rPr>
        <w:t>AEMO may, o</w:t>
      </w:r>
      <w:r w:rsidR="007325FA">
        <w:rPr>
          <w:rFonts w:eastAsiaTheme="minorEastAsia"/>
        </w:rPr>
        <w:t>n the application of a facility operator</w:t>
      </w:r>
      <w:r>
        <w:rPr>
          <w:rFonts w:eastAsiaTheme="minorEastAsia"/>
        </w:rPr>
        <w:t>:</w:t>
      </w:r>
      <w:r w:rsidR="007D47A3">
        <w:rPr>
          <w:rStyle w:val="FootnoteReference"/>
          <w:rFonts w:eastAsiaTheme="minorEastAsia"/>
        </w:rPr>
        <w:footnoteReference w:id="22"/>
      </w:r>
      <w:r w:rsidR="007325FA">
        <w:rPr>
          <w:rFonts w:eastAsiaTheme="minorEastAsia"/>
        </w:rPr>
        <w:t xml:space="preserve"> </w:t>
      </w:r>
    </w:p>
    <w:p w14:paraId="16BA0E7C" w14:textId="77777777" w:rsidR="00FF7976" w:rsidRPr="00141498" w:rsidRDefault="00FF7976" w:rsidP="00141498">
      <w:pPr>
        <w:pStyle w:val="ListBullet"/>
        <w:numPr>
          <w:ilvl w:val="0"/>
          <w:numId w:val="33"/>
        </w:numPr>
        <w:spacing w:before="60" w:after="60" w:line="250" w:lineRule="auto"/>
        <w:ind w:left="714" w:hanging="357"/>
        <w:rPr>
          <w:lang w:eastAsia="fr-CA"/>
        </w:rPr>
      </w:pPr>
      <w:r w:rsidRPr="00141498">
        <w:rPr>
          <w:lang w:eastAsia="fr-CA"/>
        </w:rPr>
        <w:t>register the transportation facility, together with one or more other facilities in respect of which an application is made, as a single transportation facility; or</w:t>
      </w:r>
    </w:p>
    <w:p w14:paraId="7ACA59CD" w14:textId="77777777" w:rsidR="00FF7976" w:rsidRPr="00141498" w:rsidRDefault="00FF7976" w:rsidP="00141498">
      <w:pPr>
        <w:pStyle w:val="ListBullet"/>
        <w:numPr>
          <w:ilvl w:val="0"/>
          <w:numId w:val="33"/>
        </w:numPr>
        <w:spacing w:before="60" w:after="60" w:line="250" w:lineRule="auto"/>
        <w:ind w:left="714" w:hanging="357"/>
        <w:rPr>
          <w:lang w:eastAsia="fr-CA"/>
        </w:rPr>
      </w:pPr>
      <w:r w:rsidRPr="00141498">
        <w:rPr>
          <w:lang w:eastAsia="fr-CA"/>
        </w:rPr>
        <w:t>register a part (or parts) of a transportation facility as a separate transportation facility.</w:t>
      </w:r>
    </w:p>
    <w:p w14:paraId="3FE3F480" w14:textId="77777777" w:rsidR="00D05596" w:rsidRDefault="00D05596" w:rsidP="00D05596">
      <w:pPr>
        <w:pStyle w:val="ListBullet"/>
        <w:numPr>
          <w:ilvl w:val="0"/>
          <w:numId w:val="0"/>
        </w:numPr>
        <w:ind w:left="357"/>
        <w:rPr>
          <w:rFonts w:asciiTheme="majorHAnsi" w:eastAsiaTheme="minorEastAsia" w:hAnsiTheme="majorHAnsi" w:cstheme="majorHAnsi"/>
        </w:rPr>
      </w:pPr>
      <w:r>
        <w:t>Before doing so, AEMO must be reasonably satisfied, having regard to the information provided by the facility operator and any other matter it considers appropriate, that such registration is not likely to hinder access to one or more operational transportation services</w:t>
      </w:r>
      <w:r w:rsidR="007D47A3">
        <w:rPr>
          <w:rFonts w:asciiTheme="majorHAnsi" w:eastAsiaTheme="minorEastAsia" w:hAnsiTheme="majorHAnsi" w:cstheme="majorHAnsi"/>
        </w:rPr>
        <w:t>.</w:t>
      </w:r>
    </w:p>
    <w:p w14:paraId="2727A30D" w14:textId="77777777" w:rsidR="000F32BE" w:rsidRDefault="000F32BE" w:rsidP="00DB5F67">
      <w:pPr>
        <w:pStyle w:val="BodyText"/>
      </w:pPr>
      <w:r>
        <w:t>It is also worth noting that:</w:t>
      </w:r>
    </w:p>
    <w:p w14:paraId="36A6E751" w14:textId="77777777" w:rsidR="00312DEF" w:rsidRDefault="00312DEF" w:rsidP="009963D5">
      <w:pPr>
        <w:pStyle w:val="ListBullet"/>
        <w:rPr>
          <w:lang w:eastAsia="fr-CA"/>
        </w:rPr>
      </w:pPr>
      <w:r>
        <w:rPr>
          <w:lang w:eastAsia="fr-CA"/>
        </w:rPr>
        <w:t>I</w:t>
      </w:r>
      <w:r w:rsidR="000F32BE" w:rsidRPr="000F32BE">
        <w:rPr>
          <w:lang w:eastAsia="fr-CA"/>
        </w:rPr>
        <w:t xml:space="preserve">f the identity of the service provider </w:t>
      </w:r>
      <w:r>
        <w:rPr>
          <w:lang w:eastAsia="fr-CA"/>
        </w:rPr>
        <w:t xml:space="preserve">or </w:t>
      </w:r>
      <w:r w:rsidR="000F32BE" w:rsidRPr="000F32BE">
        <w:rPr>
          <w:lang w:eastAsia="fr-CA"/>
        </w:rPr>
        <w:t>responsible transportation service provider changes, the outgoing facility operator must notify AEMO of the change and the new service provider must apply to register as the facility operator</w:t>
      </w:r>
      <w:r>
        <w:rPr>
          <w:lang w:eastAsia="fr-CA"/>
        </w:rPr>
        <w:t xml:space="preserve">. The notification and registration application must be made no later than five business days after the change takes effect. </w:t>
      </w:r>
    </w:p>
    <w:p w14:paraId="3C04CDBE" w14:textId="77777777" w:rsidR="000F32BE" w:rsidRDefault="00312DEF" w:rsidP="009963D5">
      <w:pPr>
        <w:pStyle w:val="ListBullet"/>
        <w:rPr>
          <w:lang w:eastAsia="fr-CA"/>
        </w:rPr>
      </w:pPr>
      <w:r>
        <w:rPr>
          <w:lang w:eastAsia="fr-CA"/>
        </w:rPr>
        <w:t>I</w:t>
      </w:r>
      <w:r w:rsidR="000F32BE">
        <w:rPr>
          <w:lang w:eastAsia="fr-CA"/>
        </w:rPr>
        <w:t xml:space="preserve">f a facility operator </w:t>
      </w:r>
      <w:r>
        <w:rPr>
          <w:lang w:eastAsia="fr-CA"/>
        </w:rPr>
        <w:t xml:space="preserve">and/or </w:t>
      </w:r>
      <w:r w:rsidR="000F32BE">
        <w:rPr>
          <w:lang w:eastAsia="fr-CA"/>
        </w:rPr>
        <w:t>a transportation facility is no longer required to be registered, the facility operator must apply to AEMO to revoke the registration.</w:t>
      </w:r>
      <w:r>
        <w:rPr>
          <w:lang w:eastAsia="fr-CA"/>
        </w:rPr>
        <w:t xml:space="preserve"> The application must be in the form specified in the CT&amp;A Procedures and contain the information specified by AEMO. </w:t>
      </w:r>
    </w:p>
    <w:p w14:paraId="1F55B829" w14:textId="77777777" w:rsidR="00192BBF" w:rsidRPr="005E3AC3" w:rsidRDefault="00192BBF" w:rsidP="007422AD">
      <w:pPr>
        <w:pStyle w:val="Caption"/>
        <w:spacing w:after="0"/>
        <w:rPr>
          <w:rFonts w:asciiTheme="majorHAnsi" w:hAnsiTheme="majorHAnsi" w:cstheme="majorHAnsi"/>
          <w:sz w:val="20"/>
          <w:szCs w:val="20"/>
        </w:rPr>
      </w:pPr>
      <w:bookmarkStart w:id="1" w:name="ReturnHere"/>
      <w:bookmarkEnd w:id="1"/>
      <w:r w:rsidRPr="005E3AC3">
        <w:rPr>
          <w:rFonts w:asciiTheme="majorHAnsi" w:hAnsiTheme="majorHAnsi" w:cstheme="majorHAnsi"/>
          <w:sz w:val="20"/>
          <w:szCs w:val="20"/>
        </w:rPr>
        <w:lastRenderedPageBreak/>
        <w:t xml:space="preserve">Box </w:t>
      </w:r>
      <w:r w:rsidRPr="005E3AC3">
        <w:rPr>
          <w:rFonts w:asciiTheme="majorHAnsi" w:hAnsiTheme="majorHAnsi" w:cstheme="majorHAnsi"/>
          <w:sz w:val="20"/>
          <w:szCs w:val="20"/>
        </w:rPr>
        <w:fldChar w:fldCharType="begin"/>
      </w:r>
      <w:r w:rsidRPr="005E3AC3">
        <w:rPr>
          <w:rFonts w:asciiTheme="majorHAnsi" w:hAnsiTheme="majorHAnsi" w:cstheme="majorHAnsi"/>
          <w:sz w:val="20"/>
          <w:szCs w:val="20"/>
        </w:rPr>
        <w:instrText xml:space="preserve"> STYLEREF 1 \s </w:instrText>
      </w:r>
      <w:r w:rsidRPr="005E3AC3">
        <w:rPr>
          <w:rFonts w:asciiTheme="majorHAnsi" w:hAnsiTheme="majorHAnsi" w:cstheme="majorHAnsi"/>
          <w:sz w:val="20"/>
          <w:szCs w:val="20"/>
        </w:rPr>
        <w:fldChar w:fldCharType="separate"/>
      </w:r>
      <w:r w:rsidR="003C796F">
        <w:rPr>
          <w:rFonts w:asciiTheme="majorHAnsi" w:hAnsiTheme="majorHAnsi" w:cstheme="majorHAnsi"/>
          <w:noProof/>
          <w:sz w:val="20"/>
          <w:szCs w:val="20"/>
        </w:rPr>
        <w:t>4</w:t>
      </w:r>
      <w:r w:rsidRPr="005E3AC3">
        <w:rPr>
          <w:rFonts w:asciiTheme="majorHAnsi" w:hAnsiTheme="majorHAnsi" w:cstheme="majorHAnsi"/>
          <w:sz w:val="20"/>
          <w:szCs w:val="20"/>
        </w:rPr>
        <w:fldChar w:fldCharType="end"/>
      </w:r>
      <w:r w:rsidRPr="005E3AC3">
        <w:rPr>
          <w:rFonts w:asciiTheme="majorHAnsi" w:hAnsiTheme="majorHAnsi" w:cstheme="majorHAnsi"/>
          <w:sz w:val="20"/>
          <w:szCs w:val="20"/>
        </w:rPr>
        <w:t>.</w:t>
      </w:r>
      <w:r w:rsidRPr="005E3AC3">
        <w:rPr>
          <w:rFonts w:asciiTheme="majorHAnsi" w:hAnsiTheme="majorHAnsi" w:cstheme="majorHAnsi"/>
          <w:sz w:val="20"/>
          <w:szCs w:val="20"/>
        </w:rPr>
        <w:fldChar w:fldCharType="begin"/>
      </w:r>
      <w:r w:rsidRPr="005E3AC3">
        <w:rPr>
          <w:rFonts w:asciiTheme="majorHAnsi" w:hAnsiTheme="majorHAnsi" w:cstheme="majorHAnsi"/>
          <w:sz w:val="20"/>
          <w:szCs w:val="20"/>
        </w:rPr>
        <w:instrText xml:space="preserve"> SEQ Box \* ARABIC \s 1 </w:instrText>
      </w:r>
      <w:r w:rsidRPr="005E3AC3">
        <w:rPr>
          <w:rFonts w:asciiTheme="majorHAnsi" w:hAnsiTheme="majorHAnsi" w:cstheme="majorHAnsi"/>
          <w:sz w:val="20"/>
          <w:szCs w:val="20"/>
        </w:rPr>
        <w:fldChar w:fldCharType="separate"/>
      </w:r>
      <w:r w:rsidR="003C796F">
        <w:rPr>
          <w:rFonts w:asciiTheme="majorHAnsi" w:hAnsiTheme="majorHAnsi" w:cstheme="majorHAnsi"/>
          <w:noProof/>
          <w:sz w:val="20"/>
          <w:szCs w:val="20"/>
        </w:rPr>
        <w:t>1</w:t>
      </w:r>
      <w:r w:rsidRPr="005E3AC3">
        <w:rPr>
          <w:rFonts w:asciiTheme="majorHAnsi" w:hAnsiTheme="majorHAnsi" w:cstheme="majorHAnsi"/>
          <w:sz w:val="20"/>
          <w:szCs w:val="20"/>
        </w:rPr>
        <w:fldChar w:fldCharType="end"/>
      </w:r>
      <w:r w:rsidRPr="005E3AC3">
        <w:rPr>
          <w:rFonts w:asciiTheme="majorHAnsi" w:hAnsiTheme="majorHAnsi" w:cstheme="majorHAnsi"/>
          <w:sz w:val="20"/>
          <w:szCs w:val="20"/>
        </w:rPr>
        <w:t xml:space="preserve">: </w:t>
      </w:r>
      <w:r w:rsidR="007422AD">
        <w:rPr>
          <w:rFonts w:asciiTheme="majorHAnsi" w:hAnsiTheme="majorHAnsi" w:cstheme="majorHAnsi"/>
          <w:sz w:val="20"/>
          <w:szCs w:val="20"/>
        </w:rPr>
        <w:t xml:space="preserve">Effect of appointing </w:t>
      </w:r>
      <w:r w:rsidRPr="005E3AC3">
        <w:rPr>
          <w:rFonts w:asciiTheme="majorHAnsi" w:hAnsiTheme="majorHAnsi" w:cstheme="majorHAnsi"/>
          <w:sz w:val="20"/>
          <w:szCs w:val="20"/>
        </w:rPr>
        <w:t>a responsible transportation service provider</w:t>
      </w:r>
    </w:p>
    <w:tbl>
      <w:tblPr>
        <w:tblStyle w:val="PullOutBoxTable"/>
        <w:tblW w:w="5000" w:type="pct"/>
        <w:tblLook w:val="0600" w:firstRow="0" w:lastRow="0" w:firstColumn="0" w:lastColumn="0" w:noHBand="1" w:noVBand="1"/>
      </w:tblPr>
      <w:tblGrid>
        <w:gridCol w:w="8788"/>
      </w:tblGrid>
      <w:tr w:rsidR="00192BBF" w14:paraId="22675D96" w14:textId="77777777" w:rsidTr="00192BBF">
        <w:tc>
          <w:tcPr>
            <w:tcW w:w="5000" w:type="pct"/>
          </w:tcPr>
          <w:p w14:paraId="3686B0F8" w14:textId="77777777" w:rsidR="00312DEF" w:rsidRDefault="007422AD" w:rsidP="007422AD">
            <w:pPr>
              <w:pStyle w:val="BodyText"/>
              <w:keepNext/>
              <w:spacing w:before="0"/>
              <w:rPr>
                <w:rFonts w:asciiTheme="majorHAnsi" w:eastAsiaTheme="minorEastAsia" w:hAnsiTheme="majorHAnsi" w:cstheme="majorHAnsi"/>
                <w:sz w:val="20"/>
                <w:szCs w:val="20"/>
              </w:rPr>
            </w:pPr>
            <w:r>
              <w:rPr>
                <w:sz w:val="20"/>
                <w:szCs w:val="20"/>
              </w:rPr>
              <w:t xml:space="preserve">If </w:t>
            </w:r>
            <w:r w:rsidR="00312DEF">
              <w:rPr>
                <w:sz w:val="20"/>
                <w:szCs w:val="20"/>
              </w:rPr>
              <w:t xml:space="preserve">a </w:t>
            </w:r>
            <w:r w:rsidR="00192BBF" w:rsidRPr="005E3AC3">
              <w:rPr>
                <w:sz w:val="20"/>
                <w:szCs w:val="20"/>
              </w:rPr>
              <w:t xml:space="preserve">service provider </w:t>
            </w:r>
            <w:r w:rsidR="00312DEF">
              <w:rPr>
                <w:sz w:val="20"/>
                <w:szCs w:val="20"/>
              </w:rPr>
              <w:t xml:space="preserve">is appointed by </w:t>
            </w:r>
            <w:r w:rsidR="007D47A3">
              <w:rPr>
                <w:sz w:val="20"/>
                <w:szCs w:val="20"/>
              </w:rPr>
              <w:t xml:space="preserve">a </w:t>
            </w:r>
            <w:r w:rsidR="00312DEF">
              <w:rPr>
                <w:sz w:val="20"/>
                <w:szCs w:val="20"/>
              </w:rPr>
              <w:t>transportation service provider group as the ‘responsible transportation service provider’</w:t>
            </w:r>
            <w:r>
              <w:rPr>
                <w:sz w:val="20"/>
                <w:szCs w:val="20"/>
              </w:rPr>
              <w:t>,</w:t>
            </w:r>
            <w:r w:rsidR="00312DEF">
              <w:rPr>
                <w:sz w:val="20"/>
                <w:szCs w:val="20"/>
              </w:rPr>
              <w:t xml:space="preserve"> then</w:t>
            </w:r>
            <w:r>
              <w:rPr>
                <w:sz w:val="20"/>
                <w:szCs w:val="20"/>
              </w:rPr>
              <w:t xml:space="preserve"> the members of the transportation service provider </w:t>
            </w:r>
            <w:r w:rsidR="00312DEF" w:rsidRPr="005E3AC3">
              <w:rPr>
                <w:rFonts w:asciiTheme="majorHAnsi" w:eastAsiaTheme="minorEastAsia" w:hAnsiTheme="majorHAnsi" w:cstheme="majorHAnsi"/>
                <w:sz w:val="20"/>
                <w:szCs w:val="20"/>
              </w:rPr>
              <w:t xml:space="preserve">group </w:t>
            </w:r>
            <w:r>
              <w:rPr>
                <w:rFonts w:asciiTheme="majorHAnsi" w:eastAsiaTheme="minorEastAsia" w:hAnsiTheme="majorHAnsi" w:cstheme="majorHAnsi"/>
                <w:sz w:val="20"/>
                <w:szCs w:val="20"/>
              </w:rPr>
              <w:t xml:space="preserve">will be taken to have authorised the responsible transportation service provider to </w:t>
            </w:r>
            <w:r w:rsidR="00312DEF" w:rsidRPr="005E3AC3">
              <w:rPr>
                <w:rFonts w:asciiTheme="majorHAnsi" w:eastAsiaTheme="minorEastAsia" w:hAnsiTheme="majorHAnsi" w:cstheme="majorHAnsi"/>
                <w:sz w:val="20"/>
                <w:szCs w:val="20"/>
              </w:rPr>
              <w:t xml:space="preserve">perform the obligations and exercise the rights of a facility operator </w:t>
            </w:r>
            <w:r>
              <w:rPr>
                <w:rFonts w:asciiTheme="majorHAnsi" w:eastAsiaTheme="minorEastAsia" w:hAnsiTheme="majorHAnsi" w:cstheme="majorHAnsi"/>
                <w:sz w:val="20"/>
                <w:szCs w:val="20"/>
              </w:rPr>
              <w:t xml:space="preserve">under the </w:t>
            </w:r>
            <w:r w:rsidR="000E33A2">
              <w:rPr>
                <w:rFonts w:asciiTheme="majorHAnsi" w:eastAsiaTheme="minorEastAsia" w:hAnsiTheme="majorHAnsi" w:cstheme="majorHAnsi"/>
                <w:sz w:val="20"/>
                <w:szCs w:val="20"/>
              </w:rPr>
              <w:t xml:space="preserve">transaction support arrangements and </w:t>
            </w:r>
            <w:r w:rsidR="007D47A3">
              <w:rPr>
                <w:rFonts w:asciiTheme="majorHAnsi" w:eastAsiaTheme="minorEastAsia" w:hAnsiTheme="majorHAnsi" w:cstheme="majorHAnsi"/>
                <w:sz w:val="20"/>
                <w:szCs w:val="20"/>
              </w:rPr>
              <w:t xml:space="preserve">day-ahead auction provisions in </w:t>
            </w:r>
            <w:r>
              <w:rPr>
                <w:rFonts w:asciiTheme="majorHAnsi" w:eastAsiaTheme="minorEastAsia" w:hAnsiTheme="majorHAnsi" w:cstheme="majorHAnsi"/>
                <w:sz w:val="20"/>
                <w:szCs w:val="20"/>
              </w:rPr>
              <w:t xml:space="preserve">the NGR and the CT&amp;A Procedures (including any right to receive payment from AEMO). </w:t>
            </w:r>
          </w:p>
          <w:p w14:paraId="683FFD26" w14:textId="77777777" w:rsidR="007422AD" w:rsidRDefault="007422AD" w:rsidP="007422AD">
            <w:pPr>
              <w:pStyle w:val="BodyText"/>
              <w:keepNext/>
              <w:spacing w:before="0"/>
              <w:rPr>
                <w:sz w:val="20"/>
                <w:szCs w:val="20"/>
              </w:rPr>
            </w:pPr>
            <w:r>
              <w:rPr>
                <w:sz w:val="20"/>
                <w:szCs w:val="20"/>
              </w:rPr>
              <w:t>Once the responsible transportation service provider is registered as the facility operator, then for so long as it remains registered:</w:t>
            </w:r>
          </w:p>
          <w:p w14:paraId="79DF7996" w14:textId="77777777" w:rsidR="00192BBF" w:rsidRPr="005E3AC3" w:rsidRDefault="00312DEF" w:rsidP="007422AD">
            <w:pPr>
              <w:pStyle w:val="ListBullet"/>
              <w:keepNext/>
              <w:numPr>
                <w:ilvl w:val="0"/>
                <w:numId w:val="14"/>
              </w:numPr>
              <w:rPr>
                <w:rFonts w:asciiTheme="majorHAnsi" w:eastAsiaTheme="minorEastAsia" w:hAnsiTheme="majorHAnsi" w:cstheme="majorHAnsi"/>
                <w:sz w:val="20"/>
                <w:szCs w:val="20"/>
              </w:rPr>
            </w:pPr>
            <w:r>
              <w:rPr>
                <w:sz w:val="20"/>
                <w:szCs w:val="20"/>
              </w:rPr>
              <w:t xml:space="preserve">AEMO may fulfil its obligations under the relevant </w:t>
            </w:r>
            <w:r w:rsidR="007422AD">
              <w:rPr>
                <w:sz w:val="20"/>
                <w:szCs w:val="20"/>
              </w:rPr>
              <w:t xml:space="preserve">parts of the </w:t>
            </w:r>
            <w:r>
              <w:rPr>
                <w:sz w:val="20"/>
                <w:szCs w:val="20"/>
              </w:rPr>
              <w:t>NGR and CT&amp;A Procedures</w:t>
            </w:r>
            <w:r w:rsidR="007422AD">
              <w:rPr>
                <w:sz w:val="20"/>
                <w:szCs w:val="20"/>
              </w:rPr>
              <w:t xml:space="preserve"> (</w:t>
            </w:r>
            <w:r>
              <w:rPr>
                <w:sz w:val="20"/>
                <w:szCs w:val="20"/>
              </w:rPr>
              <w:t>including any obligation to make a payment</w:t>
            </w:r>
            <w:r w:rsidR="007422AD">
              <w:rPr>
                <w:sz w:val="20"/>
                <w:szCs w:val="20"/>
              </w:rPr>
              <w:t>)</w:t>
            </w:r>
            <w:r>
              <w:rPr>
                <w:sz w:val="20"/>
                <w:szCs w:val="20"/>
              </w:rPr>
              <w:t xml:space="preserve">, by performing those obligations in relation to the </w:t>
            </w:r>
            <w:r w:rsidR="007422AD">
              <w:rPr>
                <w:sz w:val="20"/>
                <w:szCs w:val="20"/>
              </w:rPr>
              <w:t xml:space="preserve">facility </w:t>
            </w:r>
            <w:r>
              <w:rPr>
                <w:sz w:val="20"/>
                <w:szCs w:val="20"/>
              </w:rPr>
              <w:t>operator</w:t>
            </w:r>
            <w:r w:rsidR="007D47A3">
              <w:rPr>
                <w:sz w:val="20"/>
                <w:szCs w:val="20"/>
              </w:rPr>
              <w:t>;</w:t>
            </w:r>
          </w:p>
          <w:p w14:paraId="0D486715" w14:textId="77777777" w:rsidR="00192BBF" w:rsidRPr="005E3AC3" w:rsidRDefault="005E3AC3" w:rsidP="007422AD">
            <w:pPr>
              <w:pStyle w:val="ListBullet"/>
              <w:keepNext/>
              <w:numPr>
                <w:ilvl w:val="0"/>
                <w:numId w:val="14"/>
              </w:numPr>
              <w:rPr>
                <w:rFonts w:asciiTheme="majorHAnsi" w:eastAsiaTheme="minorEastAsia" w:hAnsiTheme="majorHAnsi" w:cstheme="majorHAnsi"/>
                <w:sz w:val="20"/>
                <w:szCs w:val="20"/>
              </w:rPr>
            </w:pPr>
            <w:r w:rsidRPr="005E3AC3">
              <w:rPr>
                <w:rFonts w:asciiTheme="majorHAnsi" w:eastAsiaTheme="minorEastAsia" w:hAnsiTheme="majorHAnsi" w:cstheme="majorHAnsi"/>
                <w:sz w:val="20"/>
                <w:szCs w:val="20"/>
              </w:rPr>
              <w:t xml:space="preserve">all the </w:t>
            </w:r>
            <w:r w:rsidR="00192BBF" w:rsidRPr="005E3AC3">
              <w:rPr>
                <w:rFonts w:asciiTheme="majorHAnsi" w:eastAsiaTheme="minorEastAsia" w:hAnsiTheme="majorHAnsi" w:cstheme="majorHAnsi"/>
                <w:sz w:val="20"/>
                <w:szCs w:val="20"/>
              </w:rPr>
              <w:t>other member</w:t>
            </w:r>
            <w:r w:rsidRPr="005E3AC3">
              <w:rPr>
                <w:rFonts w:asciiTheme="majorHAnsi" w:eastAsiaTheme="minorEastAsia" w:hAnsiTheme="majorHAnsi" w:cstheme="majorHAnsi"/>
                <w:sz w:val="20"/>
                <w:szCs w:val="20"/>
              </w:rPr>
              <w:t>s</w:t>
            </w:r>
            <w:r w:rsidR="00192BBF" w:rsidRPr="005E3AC3">
              <w:rPr>
                <w:rFonts w:asciiTheme="majorHAnsi" w:eastAsiaTheme="minorEastAsia" w:hAnsiTheme="majorHAnsi" w:cstheme="majorHAnsi"/>
                <w:sz w:val="20"/>
                <w:szCs w:val="20"/>
              </w:rPr>
              <w:t xml:space="preserve"> of the </w:t>
            </w:r>
            <w:r w:rsidR="007422AD">
              <w:rPr>
                <w:rFonts w:asciiTheme="majorHAnsi" w:eastAsiaTheme="minorEastAsia" w:hAnsiTheme="majorHAnsi" w:cstheme="majorHAnsi"/>
                <w:sz w:val="20"/>
                <w:szCs w:val="20"/>
              </w:rPr>
              <w:t xml:space="preserve">transportation </w:t>
            </w:r>
            <w:r w:rsidR="00192BBF" w:rsidRPr="005E3AC3">
              <w:rPr>
                <w:rFonts w:asciiTheme="majorHAnsi" w:eastAsiaTheme="minorEastAsia" w:hAnsiTheme="majorHAnsi" w:cstheme="majorHAnsi"/>
                <w:sz w:val="20"/>
                <w:szCs w:val="20"/>
              </w:rPr>
              <w:t xml:space="preserve">service provider group </w:t>
            </w:r>
            <w:r w:rsidRPr="005E3AC3">
              <w:rPr>
                <w:rFonts w:asciiTheme="majorHAnsi" w:eastAsiaTheme="minorEastAsia" w:hAnsiTheme="majorHAnsi" w:cstheme="majorHAnsi"/>
                <w:sz w:val="20"/>
                <w:szCs w:val="20"/>
              </w:rPr>
              <w:t xml:space="preserve">will be </w:t>
            </w:r>
            <w:r w:rsidR="00192BBF" w:rsidRPr="005E3AC3">
              <w:rPr>
                <w:rFonts w:asciiTheme="majorHAnsi" w:eastAsiaTheme="minorEastAsia" w:hAnsiTheme="majorHAnsi" w:cstheme="majorHAnsi"/>
                <w:sz w:val="20"/>
                <w:szCs w:val="20"/>
              </w:rPr>
              <w:t xml:space="preserve">exempt from the requirement to register the transportation facility and to register </w:t>
            </w:r>
            <w:r w:rsidRPr="005E3AC3">
              <w:rPr>
                <w:rFonts w:asciiTheme="majorHAnsi" w:eastAsiaTheme="minorEastAsia" w:hAnsiTheme="majorHAnsi" w:cstheme="majorHAnsi"/>
                <w:sz w:val="20"/>
                <w:szCs w:val="20"/>
              </w:rPr>
              <w:t xml:space="preserve">themselves </w:t>
            </w:r>
            <w:r w:rsidR="00192BBF" w:rsidRPr="005E3AC3">
              <w:rPr>
                <w:rFonts w:asciiTheme="majorHAnsi" w:eastAsiaTheme="minorEastAsia" w:hAnsiTheme="majorHAnsi" w:cstheme="majorHAnsi"/>
                <w:sz w:val="20"/>
                <w:szCs w:val="20"/>
              </w:rPr>
              <w:t xml:space="preserve">as the facility operator; </w:t>
            </w:r>
          </w:p>
          <w:p w14:paraId="2DA74036" w14:textId="77777777" w:rsidR="00192BBF" w:rsidRPr="005E3AC3" w:rsidRDefault="005E3AC3" w:rsidP="007422AD">
            <w:pPr>
              <w:pStyle w:val="ListBullet"/>
              <w:keepNext/>
              <w:numPr>
                <w:ilvl w:val="0"/>
                <w:numId w:val="14"/>
              </w:numPr>
              <w:rPr>
                <w:rFonts w:asciiTheme="majorHAnsi" w:eastAsiaTheme="minorEastAsia" w:hAnsiTheme="majorHAnsi" w:cstheme="majorHAnsi"/>
                <w:sz w:val="20"/>
                <w:szCs w:val="20"/>
              </w:rPr>
            </w:pPr>
            <w:r w:rsidRPr="005E3AC3">
              <w:rPr>
                <w:rFonts w:asciiTheme="majorHAnsi" w:eastAsiaTheme="minorEastAsia" w:hAnsiTheme="majorHAnsi" w:cstheme="majorHAnsi"/>
                <w:sz w:val="20"/>
                <w:szCs w:val="20"/>
              </w:rPr>
              <w:t xml:space="preserve">all the </w:t>
            </w:r>
            <w:r w:rsidR="00192BBF" w:rsidRPr="005E3AC3">
              <w:rPr>
                <w:rFonts w:asciiTheme="majorHAnsi" w:eastAsiaTheme="minorEastAsia" w:hAnsiTheme="majorHAnsi" w:cstheme="majorHAnsi"/>
                <w:sz w:val="20"/>
                <w:szCs w:val="20"/>
              </w:rPr>
              <w:t>member</w:t>
            </w:r>
            <w:r w:rsidRPr="005E3AC3">
              <w:rPr>
                <w:rFonts w:asciiTheme="majorHAnsi" w:eastAsiaTheme="minorEastAsia" w:hAnsiTheme="majorHAnsi" w:cstheme="majorHAnsi"/>
                <w:sz w:val="20"/>
                <w:szCs w:val="20"/>
              </w:rPr>
              <w:t>s</w:t>
            </w:r>
            <w:r w:rsidR="00192BBF" w:rsidRPr="005E3AC3">
              <w:rPr>
                <w:rFonts w:asciiTheme="majorHAnsi" w:eastAsiaTheme="minorEastAsia" w:hAnsiTheme="majorHAnsi" w:cstheme="majorHAnsi"/>
                <w:sz w:val="20"/>
                <w:szCs w:val="20"/>
              </w:rPr>
              <w:t xml:space="preserve"> of the </w:t>
            </w:r>
            <w:r w:rsidR="007422AD">
              <w:rPr>
                <w:rFonts w:asciiTheme="majorHAnsi" w:eastAsiaTheme="minorEastAsia" w:hAnsiTheme="majorHAnsi" w:cstheme="majorHAnsi"/>
                <w:sz w:val="20"/>
                <w:szCs w:val="20"/>
              </w:rPr>
              <w:t xml:space="preserve">transportation </w:t>
            </w:r>
            <w:r w:rsidR="00192BBF" w:rsidRPr="005E3AC3">
              <w:rPr>
                <w:rFonts w:asciiTheme="majorHAnsi" w:eastAsiaTheme="minorEastAsia" w:hAnsiTheme="majorHAnsi" w:cstheme="majorHAnsi"/>
                <w:sz w:val="20"/>
                <w:szCs w:val="20"/>
              </w:rPr>
              <w:t xml:space="preserve">service provider group must procure and where necessary facilitate the compliance of the </w:t>
            </w:r>
            <w:r w:rsidRPr="005E3AC3">
              <w:rPr>
                <w:rFonts w:asciiTheme="majorHAnsi" w:eastAsiaTheme="minorEastAsia" w:hAnsiTheme="majorHAnsi" w:cstheme="majorHAnsi"/>
                <w:sz w:val="20"/>
                <w:szCs w:val="20"/>
              </w:rPr>
              <w:t xml:space="preserve">responsible </w:t>
            </w:r>
            <w:r w:rsidR="007D47A3">
              <w:rPr>
                <w:rFonts w:asciiTheme="majorHAnsi" w:eastAsiaTheme="minorEastAsia" w:hAnsiTheme="majorHAnsi" w:cstheme="majorHAnsi"/>
                <w:sz w:val="20"/>
                <w:szCs w:val="20"/>
              </w:rPr>
              <w:t xml:space="preserve">transportation </w:t>
            </w:r>
            <w:r w:rsidRPr="005E3AC3">
              <w:rPr>
                <w:rFonts w:asciiTheme="majorHAnsi" w:eastAsiaTheme="minorEastAsia" w:hAnsiTheme="majorHAnsi" w:cstheme="majorHAnsi"/>
                <w:sz w:val="20"/>
                <w:szCs w:val="20"/>
              </w:rPr>
              <w:t xml:space="preserve">service provider </w:t>
            </w:r>
            <w:r w:rsidR="00192BBF" w:rsidRPr="005E3AC3">
              <w:rPr>
                <w:rFonts w:asciiTheme="majorHAnsi" w:eastAsiaTheme="minorEastAsia" w:hAnsiTheme="majorHAnsi" w:cstheme="majorHAnsi"/>
                <w:sz w:val="20"/>
                <w:szCs w:val="20"/>
              </w:rPr>
              <w:t xml:space="preserve">with its obligations </w:t>
            </w:r>
            <w:r w:rsidR="005D1657">
              <w:rPr>
                <w:rFonts w:asciiTheme="majorHAnsi" w:eastAsiaTheme="minorEastAsia" w:hAnsiTheme="majorHAnsi" w:cstheme="majorHAnsi"/>
                <w:sz w:val="20"/>
                <w:szCs w:val="20"/>
              </w:rPr>
              <w:t xml:space="preserve">under the NGR and </w:t>
            </w:r>
            <w:r w:rsidR="001735EC">
              <w:rPr>
                <w:rFonts w:asciiTheme="majorHAnsi" w:eastAsiaTheme="minorEastAsia" w:hAnsiTheme="majorHAnsi" w:cstheme="majorHAnsi"/>
                <w:sz w:val="20"/>
                <w:szCs w:val="20"/>
              </w:rPr>
              <w:t xml:space="preserve">CT&amp;A </w:t>
            </w:r>
            <w:r w:rsidR="005D1657">
              <w:rPr>
                <w:rFonts w:asciiTheme="majorHAnsi" w:eastAsiaTheme="minorEastAsia" w:hAnsiTheme="majorHAnsi" w:cstheme="majorHAnsi"/>
                <w:sz w:val="20"/>
                <w:szCs w:val="20"/>
              </w:rPr>
              <w:t xml:space="preserve">Procedures </w:t>
            </w:r>
            <w:r w:rsidR="00192BBF" w:rsidRPr="005E3AC3">
              <w:rPr>
                <w:rFonts w:asciiTheme="majorHAnsi" w:eastAsiaTheme="minorEastAsia" w:hAnsiTheme="majorHAnsi" w:cstheme="majorHAnsi"/>
                <w:sz w:val="20"/>
                <w:szCs w:val="20"/>
              </w:rPr>
              <w:t xml:space="preserve">as the facility operator; and </w:t>
            </w:r>
          </w:p>
          <w:p w14:paraId="04571836" w14:textId="77777777" w:rsidR="00192BBF" w:rsidRDefault="00192BBF" w:rsidP="007D47A3">
            <w:pPr>
              <w:pStyle w:val="ListBullet"/>
              <w:keepNext/>
              <w:numPr>
                <w:ilvl w:val="0"/>
                <w:numId w:val="14"/>
              </w:numPr>
              <w:rPr>
                <w:rFonts w:asciiTheme="majorHAnsi" w:eastAsiaTheme="minorEastAsia" w:hAnsiTheme="majorHAnsi" w:cstheme="majorHAnsi"/>
                <w:sz w:val="20"/>
                <w:szCs w:val="20"/>
              </w:rPr>
            </w:pPr>
            <w:r w:rsidRPr="005E3AC3">
              <w:rPr>
                <w:rFonts w:asciiTheme="majorHAnsi" w:eastAsiaTheme="minorEastAsia" w:hAnsiTheme="majorHAnsi" w:cstheme="majorHAnsi"/>
                <w:sz w:val="20"/>
                <w:szCs w:val="20"/>
              </w:rPr>
              <w:t xml:space="preserve">the </w:t>
            </w:r>
            <w:r w:rsidR="005E3AC3" w:rsidRPr="005E3AC3">
              <w:rPr>
                <w:rFonts w:asciiTheme="majorHAnsi" w:eastAsiaTheme="minorEastAsia" w:hAnsiTheme="majorHAnsi" w:cstheme="majorHAnsi"/>
                <w:sz w:val="20"/>
                <w:szCs w:val="20"/>
              </w:rPr>
              <w:t xml:space="preserve">responsible </w:t>
            </w:r>
            <w:r w:rsidR="007D47A3">
              <w:rPr>
                <w:rFonts w:asciiTheme="majorHAnsi" w:eastAsiaTheme="minorEastAsia" w:hAnsiTheme="majorHAnsi" w:cstheme="majorHAnsi"/>
                <w:sz w:val="20"/>
                <w:szCs w:val="20"/>
              </w:rPr>
              <w:t xml:space="preserve">transportation </w:t>
            </w:r>
            <w:r w:rsidR="005E3AC3" w:rsidRPr="005E3AC3">
              <w:rPr>
                <w:rFonts w:asciiTheme="majorHAnsi" w:eastAsiaTheme="minorEastAsia" w:hAnsiTheme="majorHAnsi" w:cstheme="majorHAnsi"/>
                <w:sz w:val="20"/>
                <w:szCs w:val="20"/>
              </w:rPr>
              <w:t xml:space="preserve">service provider must </w:t>
            </w:r>
            <w:r w:rsidRPr="005E3AC3">
              <w:rPr>
                <w:rFonts w:asciiTheme="majorHAnsi" w:eastAsiaTheme="minorEastAsia" w:hAnsiTheme="majorHAnsi" w:cstheme="majorHAnsi"/>
                <w:sz w:val="20"/>
                <w:szCs w:val="20"/>
              </w:rPr>
              <w:t xml:space="preserve">procure and where necessary facilitate the compliance of </w:t>
            </w:r>
            <w:r w:rsidR="005E3AC3" w:rsidRPr="005E3AC3">
              <w:rPr>
                <w:rFonts w:asciiTheme="majorHAnsi" w:eastAsiaTheme="minorEastAsia" w:hAnsiTheme="majorHAnsi" w:cstheme="majorHAnsi"/>
                <w:sz w:val="20"/>
                <w:szCs w:val="20"/>
              </w:rPr>
              <w:t xml:space="preserve">all the other members of the </w:t>
            </w:r>
            <w:r w:rsidRPr="005E3AC3">
              <w:rPr>
                <w:rFonts w:asciiTheme="majorHAnsi" w:eastAsiaTheme="minorEastAsia" w:hAnsiTheme="majorHAnsi" w:cstheme="majorHAnsi"/>
                <w:sz w:val="20"/>
                <w:szCs w:val="20"/>
              </w:rPr>
              <w:t xml:space="preserve">service provider </w:t>
            </w:r>
            <w:r w:rsidR="005E3AC3" w:rsidRPr="005E3AC3">
              <w:rPr>
                <w:rFonts w:asciiTheme="majorHAnsi" w:eastAsiaTheme="minorEastAsia" w:hAnsiTheme="majorHAnsi" w:cstheme="majorHAnsi"/>
                <w:sz w:val="20"/>
                <w:szCs w:val="20"/>
              </w:rPr>
              <w:t xml:space="preserve">group </w:t>
            </w:r>
            <w:r w:rsidRPr="005E3AC3">
              <w:rPr>
                <w:rFonts w:asciiTheme="majorHAnsi" w:eastAsiaTheme="minorEastAsia" w:hAnsiTheme="majorHAnsi" w:cstheme="majorHAnsi"/>
                <w:sz w:val="20"/>
                <w:szCs w:val="20"/>
              </w:rPr>
              <w:t xml:space="preserve">with </w:t>
            </w:r>
            <w:r w:rsidR="005E3AC3" w:rsidRPr="005E3AC3">
              <w:rPr>
                <w:rFonts w:asciiTheme="majorHAnsi" w:eastAsiaTheme="minorEastAsia" w:hAnsiTheme="majorHAnsi" w:cstheme="majorHAnsi"/>
                <w:sz w:val="20"/>
                <w:szCs w:val="20"/>
              </w:rPr>
              <w:t xml:space="preserve">the service provider’s </w:t>
            </w:r>
            <w:r w:rsidRPr="005E3AC3">
              <w:rPr>
                <w:rFonts w:asciiTheme="majorHAnsi" w:eastAsiaTheme="minorEastAsia" w:hAnsiTheme="majorHAnsi" w:cstheme="majorHAnsi"/>
                <w:sz w:val="20"/>
                <w:szCs w:val="20"/>
              </w:rPr>
              <w:t xml:space="preserve">obligations </w:t>
            </w:r>
            <w:r w:rsidR="005E3AC3" w:rsidRPr="005E3AC3">
              <w:rPr>
                <w:rFonts w:asciiTheme="majorHAnsi" w:eastAsiaTheme="minorEastAsia" w:hAnsiTheme="majorHAnsi" w:cstheme="majorHAnsi"/>
                <w:sz w:val="20"/>
                <w:szCs w:val="20"/>
              </w:rPr>
              <w:t>under the NGR</w:t>
            </w:r>
            <w:r w:rsidR="00E766AF">
              <w:rPr>
                <w:rFonts w:asciiTheme="majorHAnsi" w:eastAsiaTheme="minorEastAsia" w:hAnsiTheme="majorHAnsi" w:cstheme="majorHAnsi"/>
                <w:sz w:val="20"/>
                <w:szCs w:val="20"/>
              </w:rPr>
              <w:t xml:space="preserve"> and </w:t>
            </w:r>
            <w:r w:rsidR="001735EC">
              <w:rPr>
                <w:rFonts w:asciiTheme="majorHAnsi" w:eastAsiaTheme="minorEastAsia" w:hAnsiTheme="majorHAnsi" w:cstheme="majorHAnsi"/>
                <w:sz w:val="20"/>
                <w:szCs w:val="20"/>
              </w:rPr>
              <w:t xml:space="preserve">CT&amp;A </w:t>
            </w:r>
            <w:r w:rsidR="00E766AF">
              <w:rPr>
                <w:rFonts w:asciiTheme="majorHAnsi" w:eastAsiaTheme="minorEastAsia" w:hAnsiTheme="majorHAnsi" w:cstheme="majorHAnsi"/>
                <w:sz w:val="20"/>
                <w:szCs w:val="20"/>
              </w:rPr>
              <w:t>Procedures</w:t>
            </w:r>
            <w:r w:rsidRPr="005E3AC3">
              <w:rPr>
                <w:rFonts w:asciiTheme="majorHAnsi" w:eastAsiaTheme="minorEastAsia" w:hAnsiTheme="majorHAnsi" w:cstheme="majorHAnsi"/>
                <w:sz w:val="20"/>
                <w:szCs w:val="20"/>
              </w:rPr>
              <w:t>.</w:t>
            </w:r>
          </w:p>
          <w:p w14:paraId="1C4872C3" w14:textId="77777777" w:rsidR="007D47A3" w:rsidRPr="009963D5" w:rsidRDefault="00163C9F">
            <w:pPr>
              <w:pStyle w:val="ListBullet"/>
              <w:numPr>
                <w:ilvl w:val="0"/>
                <w:numId w:val="0"/>
              </w:numPr>
              <w:rPr>
                <w:rFonts w:asciiTheme="majorHAnsi" w:eastAsiaTheme="minorEastAsia" w:hAnsiTheme="majorHAnsi" w:cstheme="majorHAnsi"/>
                <w:sz w:val="20"/>
                <w:szCs w:val="20"/>
              </w:rPr>
            </w:pPr>
            <w:r w:rsidRPr="009963D5">
              <w:rPr>
                <w:sz w:val="20"/>
                <w:szCs w:val="20"/>
                <w:lang w:eastAsia="fr-CA"/>
              </w:rPr>
              <w:t>W</w:t>
            </w:r>
            <w:r w:rsidR="007D47A3" w:rsidRPr="009963D5">
              <w:rPr>
                <w:sz w:val="20"/>
                <w:szCs w:val="20"/>
                <w:lang w:eastAsia="fr-CA"/>
              </w:rPr>
              <w:t xml:space="preserve">hile </w:t>
            </w:r>
            <w:r w:rsidR="007B1CE7" w:rsidRPr="009963D5">
              <w:rPr>
                <w:sz w:val="20"/>
                <w:szCs w:val="20"/>
                <w:lang w:eastAsia="fr-CA"/>
              </w:rPr>
              <w:t xml:space="preserve">the responsible transportation service provider </w:t>
            </w:r>
            <w:r w:rsidR="007D47A3" w:rsidRPr="009963D5">
              <w:rPr>
                <w:sz w:val="20"/>
                <w:szCs w:val="20"/>
                <w:lang w:eastAsia="fr-CA"/>
              </w:rPr>
              <w:t>will be required to perform the obligations and exercise the rights of a facility operator</w:t>
            </w:r>
            <w:r w:rsidR="00E766AF">
              <w:rPr>
                <w:sz w:val="20"/>
                <w:szCs w:val="20"/>
                <w:lang w:eastAsia="fr-CA"/>
              </w:rPr>
              <w:t xml:space="preserve"> under the NGR and </w:t>
            </w:r>
            <w:r w:rsidR="001735EC">
              <w:rPr>
                <w:rFonts w:asciiTheme="majorHAnsi" w:eastAsiaTheme="minorEastAsia" w:hAnsiTheme="majorHAnsi" w:cstheme="majorHAnsi"/>
                <w:sz w:val="20"/>
                <w:szCs w:val="20"/>
              </w:rPr>
              <w:t xml:space="preserve">CT&amp;A </w:t>
            </w:r>
            <w:r w:rsidR="00E766AF">
              <w:rPr>
                <w:sz w:val="20"/>
                <w:szCs w:val="20"/>
                <w:lang w:eastAsia="fr-CA"/>
              </w:rPr>
              <w:t>Procedures</w:t>
            </w:r>
            <w:r w:rsidR="007D47A3" w:rsidRPr="009963D5">
              <w:rPr>
                <w:sz w:val="20"/>
                <w:szCs w:val="20"/>
                <w:lang w:eastAsia="fr-CA"/>
              </w:rPr>
              <w:t xml:space="preserve">, </w:t>
            </w:r>
            <w:r w:rsidR="007B1CE7" w:rsidRPr="009963D5">
              <w:rPr>
                <w:sz w:val="20"/>
                <w:szCs w:val="20"/>
                <w:lang w:eastAsia="fr-CA"/>
              </w:rPr>
              <w:t>another service provider</w:t>
            </w:r>
            <w:r>
              <w:rPr>
                <w:sz w:val="20"/>
                <w:szCs w:val="20"/>
                <w:lang w:eastAsia="fr-CA"/>
              </w:rPr>
              <w:t xml:space="preserve"> </w:t>
            </w:r>
            <w:r w:rsidR="007B1CE7" w:rsidRPr="009963D5">
              <w:rPr>
                <w:sz w:val="20"/>
                <w:szCs w:val="20"/>
                <w:lang w:eastAsia="fr-CA"/>
              </w:rPr>
              <w:t xml:space="preserve">may be responsible for some of the other obligations in the NGR. For example, another service provider may be responsible for </w:t>
            </w:r>
            <w:r w:rsidR="007D47A3" w:rsidRPr="009963D5">
              <w:rPr>
                <w:rFonts w:asciiTheme="majorHAnsi" w:hAnsiTheme="majorHAnsi" w:cstheme="majorHAnsi"/>
                <w:sz w:val="20"/>
                <w:szCs w:val="20"/>
              </w:rPr>
              <w:t>publish</w:t>
            </w:r>
            <w:r w:rsidR="007B1CE7" w:rsidRPr="009963D5">
              <w:rPr>
                <w:rFonts w:asciiTheme="majorHAnsi" w:hAnsiTheme="majorHAnsi" w:cstheme="majorHAnsi"/>
                <w:sz w:val="20"/>
                <w:szCs w:val="20"/>
              </w:rPr>
              <w:t>ing</w:t>
            </w:r>
            <w:r w:rsidR="007D47A3" w:rsidRPr="009963D5">
              <w:rPr>
                <w:rFonts w:asciiTheme="majorHAnsi" w:hAnsiTheme="majorHAnsi" w:cstheme="majorHAnsi"/>
                <w:sz w:val="20"/>
                <w:szCs w:val="20"/>
              </w:rPr>
              <w:t xml:space="preserve"> and offer</w:t>
            </w:r>
            <w:r w:rsidR="007B1CE7" w:rsidRPr="009963D5">
              <w:rPr>
                <w:rFonts w:asciiTheme="majorHAnsi" w:hAnsiTheme="majorHAnsi" w:cstheme="majorHAnsi"/>
                <w:sz w:val="20"/>
                <w:szCs w:val="20"/>
              </w:rPr>
              <w:t>ing</w:t>
            </w:r>
            <w:r w:rsidR="007D47A3" w:rsidRPr="009963D5">
              <w:rPr>
                <w:rFonts w:asciiTheme="majorHAnsi" w:hAnsiTheme="majorHAnsi" w:cstheme="majorHAnsi"/>
                <w:sz w:val="20"/>
                <w:szCs w:val="20"/>
              </w:rPr>
              <w:t xml:space="preserve"> to enter into a standard OTSA, amend</w:t>
            </w:r>
            <w:r w:rsidR="007B1CE7" w:rsidRPr="009963D5">
              <w:rPr>
                <w:rFonts w:asciiTheme="majorHAnsi" w:hAnsiTheme="majorHAnsi" w:cstheme="majorHAnsi"/>
                <w:sz w:val="20"/>
                <w:szCs w:val="20"/>
              </w:rPr>
              <w:t>ing</w:t>
            </w:r>
            <w:r w:rsidR="007D47A3" w:rsidRPr="009963D5">
              <w:rPr>
                <w:rFonts w:asciiTheme="majorHAnsi" w:hAnsiTheme="majorHAnsi" w:cstheme="majorHAnsi"/>
                <w:sz w:val="20"/>
                <w:szCs w:val="20"/>
              </w:rPr>
              <w:t xml:space="preserve"> existing facility agreements in response to a request by a shipper or carry</w:t>
            </w:r>
            <w:r w:rsidR="007B1CE7" w:rsidRPr="009963D5">
              <w:rPr>
                <w:rFonts w:asciiTheme="majorHAnsi" w:hAnsiTheme="majorHAnsi" w:cstheme="majorHAnsi"/>
                <w:sz w:val="20"/>
                <w:szCs w:val="20"/>
              </w:rPr>
              <w:t>ing</w:t>
            </w:r>
            <w:r w:rsidR="007D47A3" w:rsidRPr="009963D5">
              <w:rPr>
                <w:rFonts w:asciiTheme="majorHAnsi" w:hAnsiTheme="majorHAnsi" w:cstheme="majorHAnsi"/>
                <w:sz w:val="20"/>
                <w:szCs w:val="20"/>
              </w:rPr>
              <w:t xml:space="preserve"> out other functions in the NGR or CT&amp;A Procedures that are not related to the </w:t>
            </w:r>
            <w:r w:rsidR="001735EC">
              <w:rPr>
                <w:rFonts w:asciiTheme="majorHAnsi" w:hAnsiTheme="majorHAnsi" w:cstheme="majorHAnsi"/>
                <w:sz w:val="20"/>
                <w:szCs w:val="20"/>
              </w:rPr>
              <w:t>capacity trading platform</w:t>
            </w:r>
            <w:r w:rsidR="007D47A3" w:rsidRPr="009963D5">
              <w:rPr>
                <w:rFonts w:asciiTheme="majorHAnsi" w:hAnsiTheme="majorHAnsi" w:cstheme="majorHAnsi"/>
                <w:sz w:val="20"/>
                <w:szCs w:val="20"/>
              </w:rPr>
              <w:t xml:space="preserve"> or day-ahead auction.</w:t>
            </w:r>
          </w:p>
        </w:tc>
      </w:tr>
    </w:tbl>
    <w:p w14:paraId="727E068D" w14:textId="59600659" w:rsidR="00B331E5" w:rsidRPr="00576108" w:rsidRDefault="00B331E5" w:rsidP="00B331E5">
      <w:pPr>
        <w:pStyle w:val="Heading1"/>
        <w:rPr>
          <w:color w:val="0099CC"/>
          <w:sz w:val="26"/>
          <w:szCs w:val="26"/>
        </w:rPr>
      </w:pPr>
      <w:r w:rsidRPr="00576108">
        <w:rPr>
          <w:color w:val="0099CC"/>
          <w:sz w:val="26"/>
          <w:szCs w:val="26"/>
        </w:rPr>
        <w:t>B</w:t>
      </w:r>
      <w:r w:rsidR="00023A3E">
        <w:rPr>
          <w:color w:val="0099CC"/>
          <w:sz w:val="26"/>
          <w:szCs w:val="26"/>
        </w:rPr>
        <w:t xml:space="preserve">ulletin </w:t>
      </w:r>
      <w:r w:rsidRPr="00576108">
        <w:rPr>
          <w:color w:val="0099CC"/>
          <w:sz w:val="26"/>
          <w:szCs w:val="26"/>
        </w:rPr>
        <w:t>B</w:t>
      </w:r>
      <w:r w:rsidR="00023A3E">
        <w:rPr>
          <w:color w:val="0099CC"/>
          <w:sz w:val="26"/>
          <w:szCs w:val="26"/>
        </w:rPr>
        <w:t>oard</w:t>
      </w:r>
      <w:r w:rsidRPr="00576108">
        <w:rPr>
          <w:color w:val="0099CC"/>
          <w:sz w:val="26"/>
          <w:szCs w:val="26"/>
        </w:rPr>
        <w:t xml:space="preserve"> Procedures </w:t>
      </w:r>
    </w:p>
    <w:p w14:paraId="67CE3EDD" w14:textId="77777777" w:rsidR="00141498" w:rsidRDefault="00B331E5" w:rsidP="00B331E5">
      <w:pPr>
        <w:pStyle w:val="BodyText"/>
        <w:spacing w:before="0"/>
      </w:pPr>
      <w:r>
        <w:t>The capacity trading reform</w:t>
      </w:r>
      <w:r w:rsidR="00F44772">
        <w:t xml:space="preserve"> package provides for</w:t>
      </w:r>
      <w:r w:rsidR="007B1CE7">
        <w:t xml:space="preserve"> a range of transparency measures, including</w:t>
      </w:r>
      <w:r w:rsidR="00141498">
        <w:t>:</w:t>
      </w:r>
      <w:r w:rsidR="00F44772">
        <w:t xml:space="preserve"> </w:t>
      </w:r>
    </w:p>
    <w:p w14:paraId="6E4E96FF" w14:textId="77777777" w:rsidR="00141498" w:rsidRDefault="007B1CE7" w:rsidP="00141498">
      <w:pPr>
        <w:pStyle w:val="ListBullet"/>
      </w:pPr>
      <w:r>
        <w:t xml:space="preserve">A </w:t>
      </w:r>
      <w:r w:rsidR="00141498">
        <w:t xml:space="preserve">reporting framework for secondary capacity trades, which will require </w:t>
      </w:r>
      <w:r w:rsidR="00546313">
        <w:t>a range of capacity transaction information</w:t>
      </w:r>
      <w:r w:rsidR="00546313">
        <w:rPr>
          <w:rStyle w:val="FootnoteReference"/>
        </w:rPr>
        <w:footnoteReference w:id="23"/>
      </w:r>
      <w:r w:rsidR="00546313">
        <w:t xml:space="preserve"> to be reported on the Bulletin Board for </w:t>
      </w:r>
      <w:r w:rsidR="00141498">
        <w:t xml:space="preserve">all </w:t>
      </w:r>
      <w:r w:rsidR="00D90709">
        <w:t xml:space="preserve">exchange-based and bilateral </w:t>
      </w:r>
      <w:r w:rsidR="00141498">
        <w:t>trades involving forward haul, backhaul, park, loan or compression services</w:t>
      </w:r>
      <w:r w:rsidR="004B3284">
        <w:t>.</w:t>
      </w:r>
      <w:r w:rsidR="00141498">
        <w:t xml:space="preserve"> </w:t>
      </w:r>
      <w:r>
        <w:t xml:space="preserve">Trades carried out through the exchange </w:t>
      </w:r>
      <w:r w:rsidR="004B3284">
        <w:t xml:space="preserve">will be </w:t>
      </w:r>
      <w:r>
        <w:t xml:space="preserve">reported by AEMO, while </w:t>
      </w:r>
      <w:r w:rsidR="004B3284">
        <w:t>bilateral trades will be reported by the seller, or a registered capacity transaction reporting agent, if appointed by the seller.</w:t>
      </w:r>
    </w:p>
    <w:p w14:paraId="5803B85C" w14:textId="77777777" w:rsidR="00141498" w:rsidRDefault="004B3284" w:rsidP="00141498">
      <w:pPr>
        <w:pStyle w:val="ListBullet"/>
      </w:pPr>
      <w:r>
        <w:t>A</w:t>
      </w:r>
      <w:r w:rsidR="00141498">
        <w:t xml:space="preserve"> number of other </w:t>
      </w:r>
      <w:r w:rsidR="00D90709">
        <w:t xml:space="preserve">Bulletin Board </w:t>
      </w:r>
      <w:r w:rsidR="00141498">
        <w:t>reporting obligations that are designed to facilitate capacity trading and the day-ahead auction, including:</w:t>
      </w:r>
    </w:p>
    <w:p w14:paraId="21C487DA" w14:textId="77777777" w:rsidR="00141498" w:rsidRDefault="003F02EF" w:rsidP="00141498">
      <w:pPr>
        <w:pStyle w:val="ListBullet"/>
        <w:numPr>
          <w:ilvl w:val="0"/>
          <w:numId w:val="33"/>
        </w:numPr>
        <w:spacing w:before="60" w:after="60" w:line="250" w:lineRule="auto"/>
        <w:ind w:left="714" w:hanging="357"/>
        <w:rPr>
          <w:lang w:eastAsia="fr-CA"/>
        </w:rPr>
      </w:pPr>
      <w:r>
        <w:rPr>
          <w:lang w:eastAsia="fr-CA"/>
        </w:rPr>
        <w:lastRenderedPageBreak/>
        <w:t xml:space="preserve">a requirement for </w:t>
      </w:r>
      <w:r w:rsidR="00141498">
        <w:rPr>
          <w:lang w:eastAsia="fr-CA"/>
        </w:rPr>
        <w:t xml:space="preserve">allocation agents to </w:t>
      </w:r>
      <w:r w:rsidR="00D90709">
        <w:rPr>
          <w:lang w:eastAsia="fr-CA"/>
        </w:rPr>
        <w:t xml:space="preserve">provide AEMO with </w:t>
      </w:r>
      <w:r>
        <w:rPr>
          <w:lang w:eastAsia="fr-CA"/>
        </w:rPr>
        <w:t xml:space="preserve">their contact details and a </w:t>
      </w:r>
      <w:r w:rsidR="00141498">
        <w:rPr>
          <w:lang w:eastAsia="fr-CA"/>
        </w:rPr>
        <w:t>description of the allocation methodology used at allocation point</w:t>
      </w:r>
      <w:r>
        <w:rPr>
          <w:lang w:eastAsia="fr-CA"/>
        </w:rPr>
        <w:t xml:space="preserve">s and </w:t>
      </w:r>
      <w:r w:rsidR="00141498">
        <w:rPr>
          <w:lang w:eastAsia="fr-CA"/>
        </w:rPr>
        <w:t xml:space="preserve">the process for joining and leaving the </w:t>
      </w:r>
      <w:r w:rsidR="00D90709">
        <w:rPr>
          <w:lang w:eastAsia="fr-CA"/>
        </w:rPr>
        <w:t>allocation agreement (including any charges payable)</w:t>
      </w:r>
      <w:r w:rsidR="00141498">
        <w:rPr>
          <w:lang w:eastAsia="fr-CA"/>
        </w:rPr>
        <w:t xml:space="preserve"> for publication on the Bulletin Board;</w:t>
      </w:r>
      <w:r w:rsidRPr="003F02EF">
        <w:rPr>
          <w:rStyle w:val="FootnoteReference"/>
          <w:lang w:eastAsia="fr-CA"/>
        </w:rPr>
        <w:t xml:space="preserve"> </w:t>
      </w:r>
      <w:r>
        <w:rPr>
          <w:rStyle w:val="FootnoteReference"/>
          <w:lang w:eastAsia="fr-CA"/>
        </w:rPr>
        <w:footnoteReference w:id="24"/>
      </w:r>
      <w:r w:rsidR="00141498">
        <w:rPr>
          <w:lang w:eastAsia="fr-CA"/>
        </w:rPr>
        <w:t xml:space="preserve"> </w:t>
      </w:r>
    </w:p>
    <w:p w14:paraId="0B9C754A" w14:textId="77777777" w:rsidR="00D90709" w:rsidRPr="001E0EEB" w:rsidRDefault="003F02EF" w:rsidP="00D90709">
      <w:pPr>
        <w:pStyle w:val="ListBullet"/>
        <w:numPr>
          <w:ilvl w:val="0"/>
          <w:numId w:val="33"/>
        </w:numPr>
        <w:spacing w:before="60" w:after="60" w:line="250" w:lineRule="auto"/>
        <w:ind w:left="714" w:hanging="357"/>
        <w:rPr>
          <w:lang w:eastAsia="fr-CA"/>
        </w:rPr>
      </w:pPr>
      <w:r>
        <w:rPr>
          <w:lang w:eastAsia="fr-CA"/>
        </w:rPr>
        <w:t xml:space="preserve">a requirement for </w:t>
      </w:r>
      <w:r w:rsidR="00D90709">
        <w:rPr>
          <w:lang w:eastAsia="fr-CA"/>
        </w:rPr>
        <w:t xml:space="preserve">transmission pipeline </w:t>
      </w:r>
      <w:r w:rsidR="00D90709" w:rsidRPr="001E0EEB">
        <w:rPr>
          <w:lang w:eastAsia="fr-CA"/>
        </w:rPr>
        <w:t xml:space="preserve">service providers </w:t>
      </w:r>
      <w:r>
        <w:rPr>
          <w:lang w:eastAsia="fr-CA"/>
        </w:rPr>
        <w:t xml:space="preserve">that are </w:t>
      </w:r>
      <w:r w:rsidR="00D90709">
        <w:rPr>
          <w:lang w:eastAsia="fr-CA"/>
        </w:rPr>
        <w:t xml:space="preserve">already subject to Bulletin Board reporting obligations to provide AEMO with information on the nameplate rating of each </w:t>
      </w:r>
      <w:r w:rsidR="00D90709" w:rsidRPr="001E0EEB">
        <w:rPr>
          <w:lang w:eastAsia="fr-CA"/>
        </w:rPr>
        <w:t>receipt and delivery point</w:t>
      </w:r>
      <w:r w:rsidR="00D90709">
        <w:rPr>
          <w:lang w:eastAsia="fr-CA"/>
        </w:rPr>
        <w:t xml:space="preserve"> for publication on the Bulletin Board; and</w:t>
      </w:r>
    </w:p>
    <w:p w14:paraId="0C4C491D" w14:textId="77777777" w:rsidR="00141498" w:rsidRPr="001E0EEB" w:rsidRDefault="00141498" w:rsidP="00141498">
      <w:pPr>
        <w:pStyle w:val="ListBullet"/>
        <w:numPr>
          <w:ilvl w:val="0"/>
          <w:numId w:val="33"/>
        </w:numPr>
        <w:spacing w:before="60" w:after="60" w:line="250" w:lineRule="auto"/>
        <w:ind w:left="714" w:hanging="357"/>
        <w:rPr>
          <w:lang w:eastAsia="fr-CA"/>
        </w:rPr>
      </w:pPr>
      <w:r>
        <w:rPr>
          <w:lang w:eastAsia="fr-CA"/>
        </w:rPr>
        <w:t xml:space="preserve">a requirement for </w:t>
      </w:r>
      <w:r w:rsidRPr="001E0EEB">
        <w:rPr>
          <w:lang w:eastAsia="fr-CA"/>
        </w:rPr>
        <w:t xml:space="preserve">service providers operating remote transportation facilities that are unable to obtain an exemption </w:t>
      </w:r>
      <w:r>
        <w:rPr>
          <w:lang w:eastAsia="fr-CA"/>
        </w:rPr>
        <w:t>from the capacity trading reforms to comply with the Bulletin Board reporting obligations</w:t>
      </w:r>
      <w:r w:rsidR="003F02EF">
        <w:rPr>
          <w:lang w:eastAsia="fr-CA"/>
        </w:rPr>
        <w:t xml:space="preserve"> for that type of facility</w:t>
      </w:r>
      <w:r w:rsidR="00D90709">
        <w:rPr>
          <w:lang w:eastAsia="fr-CA"/>
        </w:rPr>
        <w:t>.</w:t>
      </w:r>
    </w:p>
    <w:p w14:paraId="659D9DF9" w14:textId="77777777" w:rsidR="003F02EF" w:rsidRDefault="003F02EF" w:rsidP="003F02EF">
      <w:pPr>
        <w:pStyle w:val="BodyText"/>
      </w:pPr>
      <w:r>
        <w:t>Further detail on these reporting obligations can be found in the Information Paper.</w:t>
      </w:r>
    </w:p>
    <w:p w14:paraId="6AC23B63" w14:textId="77777777" w:rsidR="00D90709" w:rsidRPr="00D90709" w:rsidRDefault="00D90709" w:rsidP="00D90709">
      <w:pPr>
        <w:pStyle w:val="BodyText"/>
      </w:pPr>
      <w:r w:rsidRPr="00D90709">
        <w:t xml:space="preserve">To provide those parties that will be subject to these reporting requirements with greater clarify about their obligations, the </w:t>
      </w:r>
      <w:r w:rsidR="007B1CE7">
        <w:t xml:space="preserve">BB </w:t>
      </w:r>
      <w:r w:rsidRPr="00D90709">
        <w:t xml:space="preserve">Procedures </w:t>
      </w:r>
      <w:r>
        <w:t>will be amended to</w:t>
      </w:r>
      <w:r w:rsidRPr="00D90709">
        <w:t xml:space="preserve">: </w:t>
      </w:r>
    </w:p>
    <w:p w14:paraId="386D2E51" w14:textId="77777777" w:rsidR="00D90709" w:rsidRDefault="004B3284" w:rsidP="00D90709">
      <w:pPr>
        <w:pStyle w:val="ListBullet"/>
      </w:pPr>
      <w:r>
        <w:t xml:space="preserve">identify </w:t>
      </w:r>
      <w:r w:rsidR="00546313">
        <w:t xml:space="preserve">those items of capacity transaction information that can be reported as a </w:t>
      </w:r>
      <w:r w:rsidR="003F02EF">
        <w:t>reasonable estimate or approximation</w:t>
      </w:r>
      <w:r w:rsidR="00546313">
        <w:t>, where the provision of the information is not otherwise practicable given the nature or terms of the transaction</w:t>
      </w:r>
      <w:r w:rsidR="00D90709" w:rsidRPr="00D90709">
        <w:t>;</w:t>
      </w:r>
    </w:p>
    <w:p w14:paraId="4F969BBD" w14:textId="77777777" w:rsidR="004B3284" w:rsidRPr="003E4973" w:rsidRDefault="004B3284" w:rsidP="004B3284">
      <w:pPr>
        <w:pStyle w:val="ListBullet"/>
        <w:rPr>
          <w:rFonts w:cstheme="majorHAnsi"/>
        </w:rPr>
      </w:pPr>
      <w:r>
        <w:t>specify whether the capacity transaction information must include information on the service points between which transportation services are provided;</w:t>
      </w:r>
    </w:p>
    <w:p w14:paraId="5FE171FB" w14:textId="77777777" w:rsidR="00546313" w:rsidRDefault="004B3284" w:rsidP="00D90709">
      <w:pPr>
        <w:pStyle w:val="ListBullet"/>
      </w:pPr>
      <w:r>
        <w:t xml:space="preserve">set out the registration process for capacity transaction reporting agents and the </w:t>
      </w:r>
      <w:r w:rsidR="007C22F9">
        <w:t xml:space="preserve">notification </w:t>
      </w:r>
      <w:r>
        <w:t xml:space="preserve">process </w:t>
      </w:r>
      <w:r w:rsidR="007C22F9">
        <w:t xml:space="preserve">to be followed by sellers that want to appoint an agent to report secondary capacity trades on their behalf; and </w:t>
      </w:r>
    </w:p>
    <w:p w14:paraId="66DE9F98" w14:textId="77777777" w:rsidR="00546313" w:rsidRDefault="00546313" w:rsidP="00546313">
      <w:pPr>
        <w:pStyle w:val="ListBullet"/>
      </w:pPr>
      <w:r>
        <w:t xml:space="preserve">provide further detail on </w:t>
      </w:r>
      <w:r w:rsidRPr="00D90709">
        <w:t xml:space="preserve">the information to be </w:t>
      </w:r>
      <w:r>
        <w:t>reported by allocation agents</w:t>
      </w:r>
      <w:r w:rsidR="004B3284">
        <w:t xml:space="preserve"> about the allocation methodology, the process for joining allocation arrangements and the charges payable</w:t>
      </w:r>
      <w:r w:rsidR="007C22F9">
        <w:t>.</w:t>
      </w:r>
    </w:p>
    <w:p w14:paraId="059D7C43" w14:textId="77777777" w:rsidR="00D90709" w:rsidRDefault="004B3284" w:rsidP="007B1CE7">
      <w:pPr>
        <w:pStyle w:val="BodyText"/>
      </w:pPr>
      <w:r>
        <w:t xml:space="preserve">The </w:t>
      </w:r>
      <w:r w:rsidR="007B1CE7">
        <w:t xml:space="preserve">BB </w:t>
      </w:r>
      <w:r>
        <w:t xml:space="preserve">Procedures will also set out the </w:t>
      </w:r>
      <w:r w:rsidR="00D90709" w:rsidRPr="00D90709">
        <w:t>timeframes for the provision of information to AEMO</w:t>
      </w:r>
      <w:r>
        <w:t xml:space="preserve"> and the </w:t>
      </w:r>
      <w:r w:rsidR="00D90709" w:rsidRPr="00D90709">
        <w:t xml:space="preserve">obligations </w:t>
      </w:r>
      <w:r w:rsidR="00D90709">
        <w:t xml:space="preserve">that parties will have </w:t>
      </w:r>
      <w:r w:rsidR="00D90709" w:rsidRPr="00D90709">
        <w:t>to update information</w:t>
      </w:r>
      <w:r w:rsidR="00D90709">
        <w:t xml:space="preserve"> (e.g. if the information changes).</w:t>
      </w:r>
    </w:p>
    <w:p w14:paraId="05B4DB5A" w14:textId="77777777" w:rsidR="007B1CE7" w:rsidRDefault="007B1CE7" w:rsidP="007B1CE7">
      <w:pPr>
        <w:pStyle w:val="BodyText"/>
      </w:pPr>
      <w:r>
        <w:t>The GMRG understands that AEMO intends to consult on the amendments to the BB Procedures in October-November</w:t>
      </w:r>
      <w:r w:rsidR="00163C9F">
        <w:t xml:space="preserve"> 2018</w:t>
      </w:r>
      <w:r>
        <w:t>.</w:t>
      </w:r>
    </w:p>
    <w:p w14:paraId="064FCA57" w14:textId="77777777" w:rsidR="00B331E5" w:rsidRPr="00576108" w:rsidRDefault="00C60A69" w:rsidP="00B331E5">
      <w:pPr>
        <w:pStyle w:val="Heading1"/>
        <w:rPr>
          <w:color w:val="0099CC"/>
          <w:sz w:val="26"/>
          <w:szCs w:val="26"/>
        </w:rPr>
      </w:pPr>
      <w:r>
        <w:rPr>
          <w:color w:val="0099CC"/>
          <w:sz w:val="26"/>
          <w:szCs w:val="26"/>
        </w:rPr>
        <w:t xml:space="preserve">Recovery of AEMO’s costs </w:t>
      </w:r>
    </w:p>
    <w:p w14:paraId="3E121963" w14:textId="77777777" w:rsidR="002D664C" w:rsidRDefault="002D664C" w:rsidP="002D664C">
      <w:pPr>
        <w:pStyle w:val="BodyText"/>
        <w:spacing w:after="0" w:line="252" w:lineRule="auto"/>
        <w:rPr>
          <w:lang w:eastAsia="fr-CA"/>
        </w:rPr>
      </w:pPr>
      <w:r>
        <w:rPr>
          <w:lang w:eastAsia="fr-CA"/>
        </w:rPr>
        <w:t xml:space="preserve">As noted in section 2, </w:t>
      </w:r>
      <w:r w:rsidRPr="00C47D2E">
        <w:rPr>
          <w:lang w:eastAsia="fr-CA"/>
        </w:rPr>
        <w:t xml:space="preserve">AEMO will </w:t>
      </w:r>
      <w:r>
        <w:rPr>
          <w:lang w:eastAsia="fr-CA"/>
        </w:rPr>
        <w:t xml:space="preserve">be able to </w:t>
      </w:r>
      <w:r w:rsidRPr="00C47D2E">
        <w:rPr>
          <w:lang w:eastAsia="fr-CA"/>
        </w:rPr>
        <w:t>recover</w:t>
      </w:r>
      <w:r>
        <w:rPr>
          <w:lang w:eastAsia="fr-CA"/>
        </w:rPr>
        <w:t xml:space="preserve"> the following </w:t>
      </w:r>
      <w:r w:rsidR="00C60A69">
        <w:rPr>
          <w:lang w:eastAsia="fr-CA"/>
        </w:rPr>
        <w:t xml:space="preserve">capacity trading and auction </w:t>
      </w:r>
      <w:r w:rsidR="00FF7B8A">
        <w:rPr>
          <w:lang w:eastAsia="fr-CA"/>
        </w:rPr>
        <w:t xml:space="preserve">related </w:t>
      </w:r>
      <w:r w:rsidR="00C60A69">
        <w:rPr>
          <w:lang w:eastAsia="fr-CA"/>
        </w:rPr>
        <w:t>costs</w:t>
      </w:r>
      <w:r>
        <w:rPr>
          <w:lang w:eastAsia="fr-CA"/>
        </w:rPr>
        <w:t>:</w:t>
      </w:r>
      <w:r w:rsidRPr="00C47D2E">
        <w:rPr>
          <w:lang w:eastAsia="fr-CA"/>
        </w:rPr>
        <w:t xml:space="preserve"> </w:t>
      </w:r>
    </w:p>
    <w:p w14:paraId="5764C421" w14:textId="77777777" w:rsidR="00C60A69" w:rsidRDefault="002D664C" w:rsidP="00C60A69">
      <w:pPr>
        <w:pStyle w:val="ListBullet"/>
        <w:rPr>
          <w:lang w:eastAsia="fr-CA"/>
        </w:rPr>
      </w:pPr>
      <w:r>
        <w:rPr>
          <w:lang w:eastAsia="fr-CA"/>
        </w:rPr>
        <w:t xml:space="preserve">the costs of </w:t>
      </w:r>
      <w:r w:rsidRPr="00C47D2E">
        <w:rPr>
          <w:lang w:eastAsia="fr-CA"/>
        </w:rPr>
        <w:t>establishing, operating and administering the day-ahead auction</w:t>
      </w:r>
      <w:r w:rsidR="00C60A69">
        <w:rPr>
          <w:lang w:eastAsia="fr-CA"/>
        </w:rPr>
        <w:t>;</w:t>
      </w:r>
    </w:p>
    <w:p w14:paraId="4FC505AC" w14:textId="77777777" w:rsidR="002D664C" w:rsidRDefault="00C60A69" w:rsidP="00C60A69">
      <w:pPr>
        <w:pStyle w:val="ListBullet"/>
        <w:rPr>
          <w:lang w:eastAsia="fr-CA"/>
        </w:rPr>
      </w:pPr>
      <w:r>
        <w:rPr>
          <w:lang w:eastAsia="fr-CA"/>
        </w:rPr>
        <w:t>the costs of establishing, operating and administering</w:t>
      </w:r>
      <w:r w:rsidR="002D664C">
        <w:rPr>
          <w:lang w:eastAsia="fr-CA"/>
        </w:rPr>
        <w:t xml:space="preserve"> </w:t>
      </w:r>
      <w:r w:rsidR="002D664C" w:rsidRPr="00C47D2E">
        <w:rPr>
          <w:lang w:eastAsia="fr-CA"/>
        </w:rPr>
        <w:t>the CT&amp;A Procedures</w:t>
      </w:r>
      <w:r w:rsidR="002D664C">
        <w:rPr>
          <w:lang w:eastAsia="fr-CA"/>
        </w:rPr>
        <w:t>;</w:t>
      </w:r>
      <w:r w:rsidR="002D664C" w:rsidRPr="00C47D2E">
        <w:rPr>
          <w:lang w:eastAsia="fr-CA"/>
        </w:rPr>
        <w:t xml:space="preserve"> and </w:t>
      </w:r>
    </w:p>
    <w:p w14:paraId="54776F99" w14:textId="77777777" w:rsidR="002D664C" w:rsidRDefault="00C60A69" w:rsidP="00C60A69">
      <w:pPr>
        <w:pStyle w:val="ListBullet"/>
        <w:rPr>
          <w:lang w:eastAsia="fr-CA"/>
        </w:rPr>
      </w:pPr>
      <w:r>
        <w:rPr>
          <w:lang w:eastAsia="fr-CA"/>
        </w:rPr>
        <w:t xml:space="preserve">the </w:t>
      </w:r>
      <w:r w:rsidR="002D664C">
        <w:rPr>
          <w:lang w:eastAsia="fr-CA"/>
        </w:rPr>
        <w:t xml:space="preserve">costs of establishing and operating the </w:t>
      </w:r>
      <w:r>
        <w:rPr>
          <w:lang w:eastAsia="fr-CA"/>
        </w:rPr>
        <w:t xml:space="preserve">Code </w:t>
      </w:r>
      <w:r w:rsidR="002D664C">
        <w:rPr>
          <w:lang w:eastAsia="fr-CA"/>
        </w:rPr>
        <w:t xml:space="preserve">Panel (including the cost of </w:t>
      </w:r>
      <w:r>
        <w:rPr>
          <w:lang w:eastAsia="fr-CA"/>
        </w:rPr>
        <w:t xml:space="preserve">retaining </w:t>
      </w:r>
      <w:r w:rsidR="002D664C">
        <w:rPr>
          <w:lang w:eastAsia="fr-CA"/>
        </w:rPr>
        <w:t xml:space="preserve">specialist advisors), the costs </w:t>
      </w:r>
      <w:r>
        <w:rPr>
          <w:lang w:eastAsia="fr-CA"/>
        </w:rPr>
        <w:t xml:space="preserve">associated with </w:t>
      </w:r>
      <w:r w:rsidR="002D664C">
        <w:rPr>
          <w:lang w:eastAsia="fr-CA"/>
        </w:rPr>
        <w:t xml:space="preserve">AEMO’s participation in the </w:t>
      </w:r>
      <w:r w:rsidR="003E4973">
        <w:rPr>
          <w:lang w:eastAsia="fr-CA"/>
        </w:rPr>
        <w:t xml:space="preserve">Code </w:t>
      </w:r>
      <w:r w:rsidR="002D664C">
        <w:rPr>
          <w:lang w:eastAsia="fr-CA"/>
        </w:rPr>
        <w:t xml:space="preserve">Panel </w:t>
      </w:r>
      <w:r w:rsidR="002D664C">
        <w:rPr>
          <w:lang w:eastAsia="fr-CA"/>
        </w:rPr>
        <w:lastRenderedPageBreak/>
        <w:t xml:space="preserve">and the operational costs associated with any service provided by AEMO to facilitate the functioning of the </w:t>
      </w:r>
      <w:r w:rsidR="000E4565">
        <w:rPr>
          <w:lang w:eastAsia="fr-CA"/>
        </w:rPr>
        <w:t xml:space="preserve">Code </w:t>
      </w:r>
      <w:r w:rsidR="002D664C">
        <w:rPr>
          <w:lang w:eastAsia="fr-CA"/>
        </w:rPr>
        <w:t>Panel</w:t>
      </w:r>
      <w:r w:rsidR="002D664C" w:rsidRPr="00C47D2E">
        <w:rPr>
          <w:lang w:eastAsia="fr-CA"/>
        </w:rPr>
        <w:t>.</w:t>
      </w:r>
    </w:p>
    <w:p w14:paraId="050131CD" w14:textId="77777777" w:rsidR="00C60A69" w:rsidRDefault="00FF7B8A" w:rsidP="00FF7B8A">
      <w:pPr>
        <w:pStyle w:val="BodyText"/>
        <w:rPr>
          <w:lang w:eastAsia="fr-CA"/>
        </w:rPr>
      </w:pPr>
      <w:r>
        <w:rPr>
          <w:lang w:eastAsia="fr-CA"/>
        </w:rPr>
        <w:t xml:space="preserve">AEMO will have the discretion </w:t>
      </w:r>
      <w:r w:rsidR="007B1CE7">
        <w:rPr>
          <w:lang w:eastAsia="fr-CA"/>
        </w:rPr>
        <w:t xml:space="preserve">under the NGR </w:t>
      </w:r>
      <w:r>
        <w:rPr>
          <w:lang w:eastAsia="fr-CA"/>
        </w:rPr>
        <w:t>to determine from time to time, what portion of the costs are to be recovered through</w:t>
      </w:r>
      <w:r w:rsidR="00C60A69">
        <w:rPr>
          <w:lang w:eastAsia="fr-CA"/>
        </w:rPr>
        <w:t xml:space="preserve">: </w:t>
      </w:r>
    </w:p>
    <w:p w14:paraId="19E04A8F" w14:textId="77777777" w:rsidR="00C60A69" w:rsidRDefault="00C60A69" w:rsidP="00C60A69">
      <w:pPr>
        <w:pStyle w:val="ListBullet"/>
        <w:rPr>
          <w:lang w:eastAsia="fr-CA"/>
        </w:rPr>
      </w:pPr>
      <w:r w:rsidRPr="00930DC2">
        <w:rPr>
          <w:b/>
          <w:lang w:eastAsia="fr-CA"/>
        </w:rPr>
        <w:t>exchange fees,</w:t>
      </w:r>
      <w:r>
        <w:rPr>
          <w:lang w:eastAsia="fr-CA"/>
        </w:rPr>
        <w:t xml:space="preserve"> which are the fees payable by </w:t>
      </w:r>
      <w:r w:rsidR="00FF7B8A">
        <w:rPr>
          <w:lang w:eastAsia="fr-CA"/>
        </w:rPr>
        <w:t xml:space="preserve">gas trading exchange members (including users </w:t>
      </w:r>
      <w:r>
        <w:rPr>
          <w:lang w:eastAsia="fr-CA"/>
        </w:rPr>
        <w:t>of the capacity trading platform</w:t>
      </w:r>
      <w:r w:rsidR="00FF7B8A">
        <w:rPr>
          <w:lang w:eastAsia="fr-CA"/>
        </w:rPr>
        <w:t>)</w:t>
      </w:r>
      <w:r>
        <w:rPr>
          <w:lang w:eastAsia="fr-CA"/>
        </w:rPr>
        <w:t>;</w:t>
      </w:r>
    </w:p>
    <w:p w14:paraId="4C99158F" w14:textId="77777777" w:rsidR="00C60A69" w:rsidRDefault="00C60A69" w:rsidP="00C60A69">
      <w:pPr>
        <w:pStyle w:val="ListBullet"/>
        <w:rPr>
          <w:lang w:eastAsia="fr-CA"/>
        </w:rPr>
      </w:pPr>
      <w:r w:rsidRPr="00930DC2">
        <w:rPr>
          <w:b/>
          <w:lang w:eastAsia="fr-CA"/>
        </w:rPr>
        <w:t>auction fees</w:t>
      </w:r>
      <w:r>
        <w:rPr>
          <w:lang w:eastAsia="fr-CA"/>
        </w:rPr>
        <w:t xml:space="preserve">, which are the fees payable by </w:t>
      </w:r>
      <w:r w:rsidR="00FF7B8A">
        <w:rPr>
          <w:lang w:eastAsia="fr-CA"/>
        </w:rPr>
        <w:t>auction participants</w:t>
      </w:r>
      <w:r>
        <w:rPr>
          <w:lang w:eastAsia="fr-CA"/>
        </w:rPr>
        <w:t>; and/or</w:t>
      </w:r>
    </w:p>
    <w:p w14:paraId="27DCDEF9" w14:textId="77777777" w:rsidR="00C60A69" w:rsidRDefault="00C60A69" w:rsidP="00930DC2">
      <w:pPr>
        <w:pStyle w:val="ListBullet"/>
        <w:spacing w:after="240"/>
        <w:rPr>
          <w:lang w:eastAsia="fr-CA"/>
        </w:rPr>
      </w:pPr>
      <w:r w:rsidRPr="00930DC2">
        <w:rPr>
          <w:b/>
          <w:lang w:eastAsia="fr-CA"/>
        </w:rPr>
        <w:t>participant fees</w:t>
      </w:r>
      <w:r>
        <w:rPr>
          <w:lang w:eastAsia="fr-CA"/>
        </w:rPr>
        <w:t xml:space="preserve">, which are the fees payable by </w:t>
      </w:r>
      <w:r w:rsidR="00930DC2">
        <w:rPr>
          <w:lang w:eastAsia="fr-CA"/>
        </w:rPr>
        <w:t xml:space="preserve">persons </w:t>
      </w:r>
      <w:r>
        <w:rPr>
          <w:lang w:eastAsia="fr-CA"/>
        </w:rPr>
        <w:t>registered with AEMO to participate in the DWGM, STTM and regulated retail gas markets</w:t>
      </w:r>
      <w:r w:rsidR="00930DC2">
        <w:rPr>
          <w:lang w:eastAsia="fr-CA"/>
        </w:rPr>
        <w:t xml:space="preserve"> (Registered participants)</w:t>
      </w:r>
      <w:r>
        <w:rPr>
          <w:lang w:eastAsia="fr-CA"/>
        </w:rPr>
        <w:t>.</w:t>
      </w:r>
      <w:r w:rsidR="00FF7B8A">
        <w:rPr>
          <w:rStyle w:val="FootnoteReference"/>
          <w:lang w:eastAsia="fr-CA"/>
        </w:rPr>
        <w:footnoteReference w:id="25"/>
      </w:r>
    </w:p>
    <w:p w14:paraId="5F62CFFF" w14:textId="77777777" w:rsidR="00930DC2" w:rsidRDefault="00930DC2" w:rsidP="00B331E5">
      <w:pPr>
        <w:pStyle w:val="BodyText"/>
        <w:spacing w:before="0"/>
      </w:pPr>
      <w:r>
        <w:t>AEMO will, however, be required to consult with gas trading exchange members, auction participants and Registered Participants on the introduction</w:t>
      </w:r>
      <w:r w:rsidR="007B1CE7">
        <w:t>,</w:t>
      </w:r>
      <w:r>
        <w:t xml:space="preserve"> determination </w:t>
      </w:r>
      <w:r w:rsidR="007B1CE7">
        <w:t xml:space="preserve">and structure </w:t>
      </w:r>
      <w:r>
        <w:t>of these fees, which must be sufficient to recover AEMO’s budgeted expenditure on the capacity trading and auction costs. In determining the structure of fees</w:t>
      </w:r>
      <w:r w:rsidR="00C46B51">
        <w:t xml:space="preserve"> and recovery of costs</w:t>
      </w:r>
      <w:r>
        <w:t>, AEMO must have regard to the National Gas Objective and the following principles:</w:t>
      </w:r>
    </w:p>
    <w:p w14:paraId="6CD245CC" w14:textId="05ED83F5" w:rsidR="00C46B51" w:rsidRDefault="00C46B51" w:rsidP="00C46B51">
      <w:pPr>
        <w:pStyle w:val="ListBullet"/>
      </w:pPr>
      <w:r>
        <w:t xml:space="preserve">The </w:t>
      </w:r>
      <w:r w:rsidR="00080FA8">
        <w:t xml:space="preserve">fee structure should be simple </w:t>
      </w:r>
      <w:r>
        <w:t>and should not discriminate unreasonably against a category or categories of participants.</w:t>
      </w:r>
    </w:p>
    <w:p w14:paraId="59CC8CFB" w14:textId="77777777" w:rsidR="00C46B51" w:rsidRDefault="00C46B51" w:rsidP="00C46B51">
      <w:pPr>
        <w:pStyle w:val="ListBullet"/>
      </w:pPr>
      <w:r>
        <w:t xml:space="preserve">If there is a shortfall in revenue as against expenditure in a financial year then the shortfall may be recovered in a later year(s) and vice versa. AEMO may also take any other action it considers desirable to smooth the impact of actual or anticipated cost variations on participants. </w:t>
      </w:r>
    </w:p>
    <w:p w14:paraId="17496C5A" w14:textId="77777777" w:rsidR="00481944" w:rsidRDefault="00C46B51" w:rsidP="00C46B51">
      <w:pPr>
        <w:pStyle w:val="ListBullet"/>
        <w:rPr>
          <w:rFonts w:asciiTheme="majorHAnsi" w:hAnsiTheme="majorHAnsi" w:cstheme="majorHAnsi"/>
        </w:rPr>
      </w:pPr>
      <w:bookmarkStart w:id="2" w:name="Here"/>
      <w:bookmarkEnd w:id="2"/>
      <w:r>
        <w:rPr>
          <w:rFonts w:asciiTheme="majorHAnsi" w:hAnsiTheme="majorHAnsi" w:cstheme="majorHAnsi"/>
        </w:rPr>
        <w:t>C</w:t>
      </w:r>
      <w:r w:rsidR="00930DC2">
        <w:rPr>
          <w:rFonts w:asciiTheme="majorHAnsi" w:hAnsiTheme="majorHAnsi" w:cstheme="majorHAnsi"/>
        </w:rPr>
        <w:t xml:space="preserve">apital expenditure </w:t>
      </w:r>
      <w:r>
        <w:rPr>
          <w:rFonts w:asciiTheme="majorHAnsi" w:hAnsiTheme="majorHAnsi" w:cstheme="majorHAnsi"/>
        </w:rPr>
        <w:t xml:space="preserve">should </w:t>
      </w:r>
      <w:r w:rsidR="00930DC2">
        <w:rPr>
          <w:rFonts w:asciiTheme="majorHAnsi" w:hAnsiTheme="majorHAnsi" w:cstheme="majorHAnsi"/>
        </w:rPr>
        <w:t>to be recovered through the depreciation or amortisation of the assets in a manner that is consistent with generally accepted accounting principles.</w:t>
      </w:r>
    </w:p>
    <w:p w14:paraId="76CE7323" w14:textId="1F1E60AA" w:rsidR="007B1CE7" w:rsidRDefault="007B1CE7" w:rsidP="007B1CE7">
      <w:pPr>
        <w:pStyle w:val="BodyText"/>
        <w:rPr>
          <w:rFonts w:asciiTheme="majorHAnsi" w:hAnsiTheme="majorHAnsi" w:cstheme="majorHAnsi"/>
        </w:rPr>
      </w:pPr>
      <w:r>
        <w:t xml:space="preserve">The GMRG understands that AEMO intends to consult on exchange fees, auction fees and participant fees in </w:t>
      </w:r>
      <w:r w:rsidR="00080FA8">
        <w:t>late</w:t>
      </w:r>
      <w:r w:rsidR="000E4565">
        <w:t xml:space="preserve"> 2018</w:t>
      </w:r>
      <w:r>
        <w:t xml:space="preserve">. </w:t>
      </w:r>
    </w:p>
    <w:sectPr w:rsidR="007B1CE7" w:rsidSect="00192BBF">
      <w:headerReference w:type="even" r:id="rId15"/>
      <w:footerReference w:type="even" r:id="rId16"/>
      <w:headerReference w:type="first" r:id="rId17"/>
      <w:footerReference w:type="first" r:id="rId18"/>
      <w:pgSz w:w="11907" w:h="16839" w:code="9"/>
      <w:pgMar w:top="2126" w:right="1418" w:bottom="992" w:left="1701" w:header="709" w:footer="6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98523" w14:textId="77777777" w:rsidR="00763156" w:rsidRDefault="00763156" w:rsidP="00256624">
      <w:r>
        <w:separator/>
      </w:r>
    </w:p>
    <w:p w14:paraId="7DB54237" w14:textId="77777777" w:rsidR="00763156" w:rsidRDefault="00763156"/>
  </w:endnote>
  <w:endnote w:type="continuationSeparator" w:id="0">
    <w:p w14:paraId="58BD1AD7" w14:textId="77777777" w:rsidR="00763156" w:rsidRDefault="00763156" w:rsidP="00256624">
      <w:r>
        <w:continuationSeparator/>
      </w:r>
    </w:p>
    <w:p w14:paraId="69BBA0CA" w14:textId="77777777" w:rsidR="00763156" w:rsidRDefault="007631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Gautami">
    <w:panose1 w:val="020B0502040204020203"/>
    <w:charset w:val="00"/>
    <w:family w:val="swiss"/>
    <w:pitch w:val="variable"/>
    <w:sig w:usb0="002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Arial Bold">
    <w:altName w:val="Arial"/>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68658" w14:textId="77777777" w:rsidR="001C02BB" w:rsidRDefault="001C02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cstheme="majorHAnsi"/>
      </w:rPr>
      <w:id w:val="-927344160"/>
      <w:docPartObj>
        <w:docPartGallery w:val="Page Numbers (Bottom of Page)"/>
        <w:docPartUnique/>
      </w:docPartObj>
    </w:sdtPr>
    <w:sdtEndPr>
      <w:rPr>
        <w:noProof/>
      </w:rPr>
    </w:sdtEndPr>
    <w:sdtContent>
      <w:p w14:paraId="752A4786" w14:textId="77777777" w:rsidR="0097113C" w:rsidRPr="00B331E5" w:rsidRDefault="0097113C" w:rsidP="00B331E5">
        <w:pPr>
          <w:pStyle w:val="Footer"/>
          <w:pBdr>
            <w:top w:val="single" w:sz="4" w:space="1" w:color="0099CC"/>
          </w:pBdr>
          <w:rPr>
            <w:rFonts w:asciiTheme="majorHAnsi" w:hAnsiTheme="majorHAnsi" w:cstheme="majorHAnsi"/>
          </w:rPr>
        </w:pPr>
        <w:r w:rsidRPr="00B331E5">
          <w:rPr>
            <w:rFonts w:asciiTheme="majorHAnsi" w:hAnsiTheme="majorHAnsi" w:cstheme="majorHAnsi"/>
          </w:rPr>
          <w:fldChar w:fldCharType="begin"/>
        </w:r>
        <w:r w:rsidRPr="00B331E5">
          <w:rPr>
            <w:rFonts w:asciiTheme="majorHAnsi" w:hAnsiTheme="majorHAnsi" w:cstheme="majorHAnsi"/>
          </w:rPr>
          <w:instrText xml:space="preserve"> PAGE   \* MERGEFORMAT </w:instrText>
        </w:r>
        <w:r w:rsidRPr="00B331E5">
          <w:rPr>
            <w:rFonts w:asciiTheme="majorHAnsi" w:hAnsiTheme="majorHAnsi" w:cstheme="majorHAnsi"/>
          </w:rPr>
          <w:fldChar w:fldCharType="separate"/>
        </w:r>
        <w:r w:rsidR="007F7FE0">
          <w:rPr>
            <w:rFonts w:asciiTheme="majorHAnsi" w:hAnsiTheme="majorHAnsi" w:cstheme="majorHAnsi"/>
            <w:noProof/>
          </w:rPr>
          <w:t>2</w:t>
        </w:r>
        <w:r w:rsidRPr="00B331E5">
          <w:rPr>
            <w:rFonts w:asciiTheme="majorHAnsi" w:hAnsiTheme="majorHAnsi" w:cstheme="majorHAnsi"/>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cstheme="majorHAnsi"/>
      </w:rPr>
      <w:id w:val="-494495227"/>
      <w:docPartObj>
        <w:docPartGallery w:val="Page Numbers (Bottom of Page)"/>
        <w:docPartUnique/>
      </w:docPartObj>
    </w:sdtPr>
    <w:sdtEndPr>
      <w:rPr>
        <w:noProof/>
      </w:rPr>
    </w:sdtEndPr>
    <w:sdtContent>
      <w:p w14:paraId="54BA0914" w14:textId="77777777" w:rsidR="0097113C" w:rsidRPr="00B331E5" w:rsidRDefault="0097113C" w:rsidP="00B331E5">
        <w:pPr>
          <w:pStyle w:val="Footer"/>
          <w:pBdr>
            <w:top w:val="single" w:sz="4" w:space="1" w:color="0099CC"/>
          </w:pBdr>
          <w:rPr>
            <w:rFonts w:asciiTheme="majorHAnsi" w:hAnsiTheme="majorHAnsi" w:cstheme="majorHAnsi"/>
          </w:rPr>
        </w:pPr>
        <w:r w:rsidRPr="00B331E5">
          <w:rPr>
            <w:rFonts w:asciiTheme="majorHAnsi" w:hAnsiTheme="majorHAnsi" w:cstheme="majorHAnsi"/>
          </w:rPr>
          <w:fldChar w:fldCharType="begin"/>
        </w:r>
        <w:r w:rsidRPr="00B331E5">
          <w:rPr>
            <w:rFonts w:asciiTheme="majorHAnsi" w:hAnsiTheme="majorHAnsi" w:cstheme="majorHAnsi"/>
          </w:rPr>
          <w:instrText xml:space="preserve"> PAGE   \* MERGEFORMAT </w:instrText>
        </w:r>
        <w:r w:rsidRPr="00B331E5">
          <w:rPr>
            <w:rFonts w:asciiTheme="majorHAnsi" w:hAnsiTheme="majorHAnsi" w:cstheme="majorHAnsi"/>
          </w:rPr>
          <w:fldChar w:fldCharType="separate"/>
        </w:r>
        <w:r w:rsidR="007F7FE0">
          <w:rPr>
            <w:rFonts w:asciiTheme="majorHAnsi" w:hAnsiTheme="majorHAnsi" w:cstheme="majorHAnsi"/>
            <w:noProof/>
          </w:rPr>
          <w:t>1</w:t>
        </w:r>
        <w:r w:rsidRPr="00B331E5">
          <w:rPr>
            <w:rFonts w:asciiTheme="majorHAnsi" w:hAnsiTheme="majorHAnsi" w:cstheme="majorHAnsi"/>
            <w:noProof/>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cstheme="majorHAnsi"/>
      </w:rPr>
      <w:id w:val="1035847987"/>
      <w:docPartObj>
        <w:docPartGallery w:val="Page Numbers (Bottom of Page)"/>
        <w:docPartUnique/>
      </w:docPartObj>
    </w:sdtPr>
    <w:sdtEndPr>
      <w:rPr>
        <w:noProof/>
      </w:rPr>
    </w:sdtEndPr>
    <w:sdtContent>
      <w:p w14:paraId="6298E2A1" w14:textId="77777777" w:rsidR="0097113C" w:rsidRPr="00B331E5" w:rsidRDefault="0097113C" w:rsidP="00B331E5">
        <w:pPr>
          <w:pStyle w:val="Footer"/>
          <w:pBdr>
            <w:top w:val="single" w:sz="4" w:space="1" w:color="0099CC"/>
          </w:pBdr>
          <w:rPr>
            <w:rFonts w:asciiTheme="majorHAnsi" w:hAnsiTheme="majorHAnsi" w:cstheme="majorHAnsi"/>
          </w:rPr>
        </w:pPr>
        <w:r w:rsidRPr="00B331E5">
          <w:rPr>
            <w:rFonts w:asciiTheme="majorHAnsi" w:hAnsiTheme="majorHAnsi" w:cstheme="majorHAnsi"/>
          </w:rPr>
          <w:fldChar w:fldCharType="begin"/>
        </w:r>
        <w:r w:rsidRPr="00B331E5">
          <w:rPr>
            <w:rFonts w:asciiTheme="majorHAnsi" w:hAnsiTheme="majorHAnsi" w:cstheme="majorHAnsi"/>
          </w:rPr>
          <w:instrText xml:space="preserve"> PAGE   \* MERGEFORMAT </w:instrText>
        </w:r>
        <w:r w:rsidRPr="00B331E5">
          <w:rPr>
            <w:rFonts w:asciiTheme="majorHAnsi" w:hAnsiTheme="majorHAnsi" w:cstheme="majorHAnsi"/>
          </w:rPr>
          <w:fldChar w:fldCharType="separate"/>
        </w:r>
        <w:r w:rsidR="007F7FE0">
          <w:rPr>
            <w:rFonts w:asciiTheme="majorHAnsi" w:hAnsiTheme="majorHAnsi" w:cstheme="majorHAnsi"/>
            <w:noProof/>
          </w:rPr>
          <w:t>14</w:t>
        </w:r>
        <w:r w:rsidRPr="00B331E5">
          <w:rPr>
            <w:rFonts w:asciiTheme="majorHAnsi" w:hAnsiTheme="majorHAnsi" w:cstheme="majorHAnsi"/>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30A3C" w14:textId="77777777" w:rsidR="0097113C" w:rsidRDefault="0097113C">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1937255"/>
      <w:docPartObj>
        <w:docPartGallery w:val="Page Numbers (Bottom of Page)"/>
        <w:docPartUnique/>
      </w:docPartObj>
    </w:sdtPr>
    <w:sdtEndPr>
      <w:rPr>
        <w:rFonts w:asciiTheme="majorHAnsi" w:hAnsiTheme="majorHAnsi" w:cstheme="majorHAnsi"/>
        <w:noProof/>
        <w:sz w:val="16"/>
        <w:szCs w:val="16"/>
      </w:rPr>
    </w:sdtEndPr>
    <w:sdtContent>
      <w:p w14:paraId="3C1FB05B" w14:textId="77777777" w:rsidR="0097113C" w:rsidRPr="00507332" w:rsidRDefault="0097113C" w:rsidP="00507332">
        <w:pPr>
          <w:pStyle w:val="Footer"/>
          <w:pBdr>
            <w:top w:val="single" w:sz="4" w:space="1" w:color="0099CC"/>
          </w:pBdr>
          <w:rPr>
            <w:rFonts w:asciiTheme="majorHAnsi" w:hAnsiTheme="majorHAnsi" w:cstheme="majorHAnsi"/>
            <w:sz w:val="16"/>
            <w:szCs w:val="16"/>
          </w:rPr>
        </w:pPr>
        <w:r w:rsidRPr="00507332">
          <w:rPr>
            <w:rFonts w:asciiTheme="majorHAnsi" w:hAnsiTheme="majorHAnsi" w:cstheme="majorHAnsi"/>
            <w:sz w:val="16"/>
            <w:szCs w:val="16"/>
          </w:rPr>
          <w:fldChar w:fldCharType="begin"/>
        </w:r>
        <w:r w:rsidRPr="00507332">
          <w:rPr>
            <w:rFonts w:asciiTheme="majorHAnsi" w:hAnsiTheme="majorHAnsi" w:cstheme="majorHAnsi"/>
            <w:sz w:val="16"/>
            <w:szCs w:val="16"/>
          </w:rPr>
          <w:instrText xml:space="preserve"> PAGE   \* MERGEFORMAT </w:instrText>
        </w:r>
        <w:r w:rsidRPr="00507332">
          <w:rPr>
            <w:rFonts w:asciiTheme="majorHAnsi" w:hAnsiTheme="majorHAnsi" w:cstheme="majorHAnsi"/>
            <w:sz w:val="16"/>
            <w:szCs w:val="16"/>
          </w:rPr>
          <w:fldChar w:fldCharType="separate"/>
        </w:r>
        <w:r w:rsidR="007F7FE0">
          <w:rPr>
            <w:rFonts w:asciiTheme="majorHAnsi" w:hAnsiTheme="majorHAnsi" w:cstheme="majorHAnsi"/>
            <w:noProof/>
            <w:sz w:val="16"/>
            <w:szCs w:val="16"/>
          </w:rPr>
          <w:t>10</w:t>
        </w:r>
        <w:r w:rsidRPr="00507332">
          <w:rPr>
            <w:rFonts w:asciiTheme="majorHAnsi" w:hAnsiTheme="majorHAnsi" w:cstheme="majorHAnsi"/>
            <w:noProof/>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7BB30" w14:textId="77777777" w:rsidR="00763156" w:rsidRPr="0022372B" w:rsidRDefault="00763156" w:rsidP="0022372B">
      <w:pPr>
        <w:pStyle w:val="Footer"/>
        <w:spacing w:after="80" w:line="240" w:lineRule="auto"/>
        <w:jc w:val="left"/>
        <w:rPr>
          <w:color w:val="A9A8A9" w:themeColor="accent4"/>
          <w:sz w:val="16"/>
          <w:szCs w:val="16"/>
        </w:rPr>
      </w:pPr>
      <w:r w:rsidRPr="0022372B">
        <w:rPr>
          <w:color w:val="A9A8A9" w:themeColor="accent4"/>
          <w:sz w:val="16"/>
          <w:szCs w:val="16"/>
        </w:rPr>
        <w:t>_________________________________</w:t>
      </w:r>
    </w:p>
  </w:footnote>
  <w:footnote w:type="continuationSeparator" w:id="0">
    <w:p w14:paraId="7441083D" w14:textId="77777777" w:rsidR="00763156" w:rsidRPr="0022372B" w:rsidRDefault="00763156" w:rsidP="0022372B">
      <w:pPr>
        <w:pStyle w:val="Footer"/>
        <w:spacing w:after="80" w:line="240" w:lineRule="auto"/>
        <w:jc w:val="left"/>
        <w:rPr>
          <w:color w:val="A9A8A9" w:themeColor="accent4"/>
          <w:sz w:val="16"/>
          <w:szCs w:val="16"/>
        </w:rPr>
      </w:pPr>
      <w:r w:rsidRPr="0022372B">
        <w:rPr>
          <w:color w:val="A9A8A9" w:themeColor="accent4"/>
          <w:sz w:val="16"/>
          <w:szCs w:val="16"/>
        </w:rPr>
        <w:t>_________________________________</w:t>
      </w:r>
    </w:p>
  </w:footnote>
  <w:footnote w:type="continuationNotice" w:id="1">
    <w:p w14:paraId="7B58B5D8" w14:textId="77777777" w:rsidR="00763156" w:rsidRPr="00A176B6" w:rsidRDefault="00763156" w:rsidP="00A176B6">
      <w:pPr>
        <w:spacing w:line="160" w:lineRule="exact"/>
        <w:rPr>
          <w:sz w:val="16"/>
          <w:szCs w:val="16"/>
        </w:rPr>
      </w:pPr>
    </w:p>
  </w:footnote>
  <w:footnote w:id="2">
    <w:p w14:paraId="22D3B8CB" w14:textId="77777777" w:rsidR="0097113C" w:rsidRPr="007422AD" w:rsidRDefault="0097113C" w:rsidP="00080FA8">
      <w:pPr>
        <w:pStyle w:val="FootnoteText"/>
        <w:spacing w:before="40" w:after="40"/>
        <w:rPr>
          <w:rFonts w:asciiTheme="majorHAnsi" w:hAnsiTheme="majorHAnsi" w:cstheme="majorHAnsi"/>
          <w:sz w:val="16"/>
          <w:szCs w:val="16"/>
        </w:rPr>
      </w:pPr>
      <w:r w:rsidRPr="007422AD">
        <w:rPr>
          <w:rStyle w:val="FootnoteReference"/>
          <w:rFonts w:asciiTheme="majorHAnsi" w:hAnsiTheme="majorHAnsi" w:cstheme="majorHAnsi"/>
          <w:sz w:val="16"/>
          <w:szCs w:val="16"/>
        </w:rPr>
        <w:footnoteRef/>
      </w:r>
      <w:r w:rsidRPr="007422AD">
        <w:rPr>
          <w:rFonts w:asciiTheme="majorHAnsi" w:hAnsiTheme="majorHAnsi" w:cstheme="majorHAnsi"/>
          <w:sz w:val="16"/>
          <w:szCs w:val="16"/>
        </w:rPr>
        <w:t xml:space="preserve"> </w:t>
      </w:r>
      <w:r w:rsidRPr="007422AD">
        <w:rPr>
          <w:rFonts w:asciiTheme="majorHAnsi" w:hAnsiTheme="majorHAnsi" w:cstheme="majorHAnsi"/>
          <w:sz w:val="16"/>
          <w:szCs w:val="16"/>
        </w:rPr>
        <w:tab/>
      </w:r>
      <w:r w:rsidR="00A461D0">
        <w:rPr>
          <w:rFonts w:asciiTheme="majorHAnsi" w:hAnsiTheme="majorHAnsi" w:cstheme="majorHAnsi"/>
          <w:sz w:val="16"/>
          <w:szCs w:val="16"/>
        </w:rPr>
        <w:t xml:space="preserve">See </w:t>
      </w:r>
      <w:r w:rsidRPr="007422AD">
        <w:rPr>
          <w:rFonts w:asciiTheme="majorHAnsi" w:hAnsiTheme="majorHAnsi" w:cstheme="majorHAnsi"/>
          <w:sz w:val="16"/>
          <w:szCs w:val="16"/>
        </w:rPr>
        <w:t>http://gmrg.coagenergycouncil.gov.au/publications</w:t>
      </w:r>
      <w:r w:rsidR="00A461D0">
        <w:rPr>
          <w:rFonts w:asciiTheme="majorHAnsi" w:hAnsiTheme="majorHAnsi" w:cstheme="majorHAnsi"/>
          <w:sz w:val="16"/>
          <w:szCs w:val="16"/>
        </w:rPr>
        <w:t>.</w:t>
      </w:r>
    </w:p>
  </w:footnote>
  <w:footnote w:id="3">
    <w:p w14:paraId="2F651100" w14:textId="77777777" w:rsidR="0097113C" w:rsidRPr="007422AD" w:rsidRDefault="0097113C" w:rsidP="00080FA8">
      <w:pPr>
        <w:pStyle w:val="FootnoteText"/>
        <w:spacing w:before="40" w:after="40"/>
        <w:rPr>
          <w:rFonts w:asciiTheme="majorHAnsi" w:hAnsiTheme="majorHAnsi" w:cstheme="majorHAnsi"/>
          <w:sz w:val="16"/>
          <w:szCs w:val="16"/>
        </w:rPr>
      </w:pPr>
      <w:r w:rsidRPr="007422AD">
        <w:rPr>
          <w:rStyle w:val="FootnoteReference"/>
          <w:rFonts w:asciiTheme="majorHAnsi" w:hAnsiTheme="majorHAnsi" w:cstheme="majorHAnsi"/>
          <w:sz w:val="16"/>
          <w:szCs w:val="16"/>
        </w:rPr>
        <w:footnoteRef/>
      </w:r>
      <w:r w:rsidRPr="007422AD">
        <w:rPr>
          <w:rFonts w:asciiTheme="majorHAnsi" w:hAnsiTheme="majorHAnsi" w:cstheme="majorHAnsi"/>
          <w:sz w:val="16"/>
          <w:szCs w:val="16"/>
        </w:rPr>
        <w:t xml:space="preserve"> </w:t>
      </w:r>
      <w:r w:rsidRPr="007422AD">
        <w:rPr>
          <w:rFonts w:asciiTheme="majorHAnsi" w:hAnsiTheme="majorHAnsi" w:cstheme="majorHAnsi"/>
          <w:sz w:val="16"/>
          <w:szCs w:val="16"/>
        </w:rPr>
        <w:tab/>
        <w:t xml:space="preserve">The transaction support arrangements, for example, provide for AEMO to </w:t>
      </w:r>
      <w:r w:rsidRPr="007422AD">
        <w:rPr>
          <w:rFonts w:asciiTheme="majorHAnsi" w:hAnsiTheme="majorHAnsi" w:cstheme="majorHAnsi"/>
          <w:sz w:val="16"/>
          <w:szCs w:val="16"/>
          <w:lang w:eastAsia="fr-CA"/>
        </w:rPr>
        <w:t>notify service providers of trades conducted through the capacity trading platform and the auction and the exchange of other information to aid the transfer of capacity (e.g. the receipt and delivery point information).</w:t>
      </w:r>
    </w:p>
  </w:footnote>
  <w:footnote w:id="4">
    <w:p w14:paraId="5349EAE4" w14:textId="77777777" w:rsidR="0097113C" w:rsidRPr="007422AD" w:rsidRDefault="0097113C" w:rsidP="00080FA8">
      <w:pPr>
        <w:pStyle w:val="FootnoteText"/>
        <w:spacing w:before="40" w:after="40"/>
        <w:rPr>
          <w:rFonts w:asciiTheme="majorHAnsi" w:hAnsiTheme="majorHAnsi" w:cstheme="majorHAnsi"/>
          <w:sz w:val="16"/>
          <w:szCs w:val="16"/>
        </w:rPr>
      </w:pPr>
      <w:r w:rsidRPr="007422AD">
        <w:rPr>
          <w:rStyle w:val="FootnoteReference"/>
          <w:rFonts w:asciiTheme="majorHAnsi" w:hAnsiTheme="majorHAnsi" w:cstheme="majorHAnsi"/>
          <w:sz w:val="16"/>
          <w:szCs w:val="16"/>
        </w:rPr>
        <w:footnoteRef/>
      </w:r>
      <w:r w:rsidRPr="007422AD">
        <w:rPr>
          <w:rFonts w:asciiTheme="majorHAnsi" w:hAnsiTheme="majorHAnsi" w:cstheme="majorHAnsi"/>
          <w:sz w:val="16"/>
          <w:szCs w:val="16"/>
        </w:rPr>
        <w:t xml:space="preserve"> </w:t>
      </w:r>
      <w:r w:rsidRPr="007422AD">
        <w:rPr>
          <w:rFonts w:asciiTheme="majorHAnsi" w:hAnsiTheme="majorHAnsi" w:cstheme="majorHAnsi"/>
          <w:sz w:val="16"/>
          <w:szCs w:val="16"/>
        </w:rPr>
        <w:tab/>
        <w:t>In this capacity, AEMO will be responsible for developing and publishing the election procedures and operating manual for the Panel and maintaining a register of Code Panel members. AEMO will also be responsible for receiving any proposed amendments to the Code and determining in accordance with the NGR whether the amendment should be referred to the Panel for assessment or rejected because it is misconceived or lacking in substance.</w:t>
      </w:r>
    </w:p>
  </w:footnote>
  <w:footnote w:id="5">
    <w:p w14:paraId="02D15D78" w14:textId="6D1CEDE9" w:rsidR="0097113C" w:rsidRPr="00023A3E" w:rsidRDefault="0097113C" w:rsidP="00080FA8">
      <w:pPr>
        <w:pStyle w:val="FootnoteText"/>
        <w:spacing w:before="40" w:after="40"/>
        <w:rPr>
          <w:rFonts w:ascii="Arial" w:hAnsi="Arial" w:cs="Arial"/>
          <w:sz w:val="16"/>
          <w:szCs w:val="16"/>
        </w:rPr>
      </w:pPr>
      <w:r w:rsidRPr="00023A3E">
        <w:rPr>
          <w:rStyle w:val="FootnoteReference"/>
          <w:rFonts w:ascii="Arial" w:hAnsi="Arial" w:cs="Arial"/>
          <w:sz w:val="16"/>
          <w:szCs w:val="16"/>
        </w:rPr>
        <w:footnoteRef/>
      </w:r>
      <w:r w:rsidRPr="00023A3E">
        <w:rPr>
          <w:rFonts w:ascii="Arial" w:hAnsi="Arial" w:cs="Arial"/>
          <w:sz w:val="16"/>
          <w:szCs w:val="16"/>
        </w:rPr>
        <w:t xml:space="preserve"> </w:t>
      </w:r>
      <w:r w:rsidRPr="00023A3E">
        <w:rPr>
          <w:rFonts w:ascii="Arial" w:hAnsi="Arial" w:cs="Arial"/>
          <w:sz w:val="16"/>
          <w:szCs w:val="16"/>
        </w:rPr>
        <w:tab/>
      </w:r>
      <w:r w:rsidR="00023A3E" w:rsidRPr="00023A3E">
        <w:rPr>
          <w:rFonts w:ascii="Arial" w:hAnsi="Arial" w:cs="Arial"/>
          <w:sz w:val="16"/>
          <w:szCs w:val="16"/>
        </w:rPr>
        <w:t>A</w:t>
      </w:r>
      <w:r w:rsidRPr="00023A3E">
        <w:rPr>
          <w:rFonts w:ascii="Arial" w:hAnsi="Arial" w:cs="Arial"/>
          <w:sz w:val="16"/>
          <w:szCs w:val="16"/>
        </w:rPr>
        <w:t xml:space="preserve"> person who provides AEMO with such information will have an immunity from civil monetary liability for an act or omission in preparing or giving that information, unless it is done or made in bad faith or through negligence.</w:t>
      </w:r>
    </w:p>
  </w:footnote>
  <w:footnote w:id="6">
    <w:p w14:paraId="34FB7A2B" w14:textId="7151158A" w:rsidR="0097113C" w:rsidRPr="00023A3E" w:rsidRDefault="0097113C" w:rsidP="00080FA8">
      <w:pPr>
        <w:pStyle w:val="FootnoteText"/>
        <w:spacing w:before="40" w:after="40"/>
        <w:rPr>
          <w:rFonts w:ascii="Arial" w:hAnsi="Arial" w:cs="Arial"/>
          <w:sz w:val="16"/>
          <w:szCs w:val="16"/>
        </w:rPr>
      </w:pPr>
      <w:r w:rsidRPr="00023A3E">
        <w:rPr>
          <w:rStyle w:val="FootnoteReference"/>
          <w:rFonts w:ascii="Arial" w:hAnsi="Arial" w:cs="Arial"/>
          <w:sz w:val="16"/>
          <w:szCs w:val="16"/>
        </w:rPr>
        <w:footnoteRef/>
      </w:r>
      <w:r w:rsidR="00023A3E" w:rsidRPr="00023A3E">
        <w:rPr>
          <w:rFonts w:ascii="Arial" w:hAnsi="Arial" w:cs="Arial"/>
          <w:sz w:val="16"/>
          <w:szCs w:val="16"/>
        </w:rPr>
        <w:t xml:space="preserve"> </w:t>
      </w:r>
      <w:r w:rsidR="00023A3E" w:rsidRPr="00023A3E">
        <w:rPr>
          <w:rFonts w:ascii="Arial" w:hAnsi="Arial" w:cs="Arial"/>
          <w:sz w:val="16"/>
          <w:szCs w:val="16"/>
        </w:rPr>
        <w:tab/>
        <w:t>T</w:t>
      </w:r>
      <w:r w:rsidRPr="00023A3E">
        <w:rPr>
          <w:rFonts w:ascii="Arial" w:hAnsi="Arial" w:cs="Arial"/>
          <w:sz w:val="16"/>
          <w:szCs w:val="16"/>
        </w:rPr>
        <w:t xml:space="preserve">he reporting obligation does not require a </w:t>
      </w:r>
      <w:r w:rsidRPr="00023A3E">
        <w:rPr>
          <w:rFonts w:ascii="Arial" w:eastAsiaTheme="minorEastAsia" w:hAnsi="Arial" w:cs="Arial"/>
          <w:sz w:val="16"/>
          <w:szCs w:val="16"/>
        </w:rPr>
        <w:t xml:space="preserve">person to disclose information that is the subject of legal professional privilege or information that would incriminate the person or make the person liable to a criminal penalty under the law of an Australian jurisdiction. </w:t>
      </w:r>
    </w:p>
  </w:footnote>
  <w:footnote w:id="7">
    <w:p w14:paraId="2E8A9898" w14:textId="77777777" w:rsidR="0097113C" w:rsidRPr="00023A3E" w:rsidRDefault="0097113C" w:rsidP="00080FA8">
      <w:pPr>
        <w:pStyle w:val="FootnoteText"/>
        <w:spacing w:before="40" w:after="40"/>
        <w:rPr>
          <w:rFonts w:ascii="Arial" w:hAnsi="Arial" w:cs="Arial"/>
          <w:sz w:val="16"/>
          <w:szCs w:val="16"/>
        </w:rPr>
      </w:pPr>
      <w:r w:rsidRPr="00023A3E">
        <w:rPr>
          <w:rStyle w:val="FootnoteReference"/>
          <w:rFonts w:ascii="Arial" w:hAnsi="Arial" w:cs="Arial"/>
          <w:sz w:val="16"/>
          <w:szCs w:val="16"/>
        </w:rPr>
        <w:footnoteRef/>
      </w:r>
      <w:r w:rsidRPr="00023A3E">
        <w:rPr>
          <w:rFonts w:ascii="Arial" w:hAnsi="Arial" w:cs="Arial"/>
          <w:sz w:val="16"/>
          <w:szCs w:val="16"/>
        </w:rPr>
        <w:t xml:space="preserve"> </w:t>
      </w:r>
      <w:r w:rsidRPr="00023A3E">
        <w:rPr>
          <w:rFonts w:ascii="Arial" w:hAnsi="Arial" w:cs="Arial"/>
          <w:sz w:val="16"/>
          <w:szCs w:val="16"/>
        </w:rPr>
        <w:tab/>
        <w:t xml:space="preserve">See AEMC, Final rule determination: National Gas Amendment (Improvements to the Natural Gas Bulletin Board) Rule 2017, 26 September 2017, </w:t>
      </w:r>
      <w:hyperlink r:id="rId1" w:history="1">
        <w:r w:rsidRPr="00023A3E">
          <w:rPr>
            <w:rStyle w:val="Hyperlink"/>
            <w:rFonts w:ascii="Arial" w:hAnsi="Arial" w:cs="Arial"/>
            <w:sz w:val="16"/>
            <w:szCs w:val="16"/>
          </w:rPr>
          <w:t>https://www.aemc.gov.au/rule-changes/improvements-to-natural-gas-bulletin-board</w:t>
        </w:r>
      </w:hyperlink>
      <w:r w:rsidRPr="00023A3E">
        <w:rPr>
          <w:rFonts w:ascii="Arial" w:hAnsi="Arial" w:cs="Arial"/>
          <w:sz w:val="16"/>
          <w:szCs w:val="16"/>
        </w:rPr>
        <w:t xml:space="preserve">. </w:t>
      </w:r>
    </w:p>
  </w:footnote>
  <w:footnote w:id="8">
    <w:p w14:paraId="75C78E66" w14:textId="23FF064C" w:rsidR="00023A3E" w:rsidRPr="00023A3E" w:rsidRDefault="00023A3E" w:rsidP="00080FA8">
      <w:pPr>
        <w:pStyle w:val="FootnoteText"/>
        <w:spacing w:before="40" w:after="40"/>
        <w:rPr>
          <w:rFonts w:ascii="Arial" w:hAnsi="Arial" w:cs="Arial"/>
          <w:sz w:val="16"/>
          <w:szCs w:val="16"/>
        </w:rPr>
      </w:pPr>
      <w:r w:rsidRPr="00023A3E">
        <w:rPr>
          <w:rStyle w:val="FootnoteReference"/>
          <w:rFonts w:ascii="Arial" w:hAnsi="Arial" w:cs="Arial"/>
          <w:sz w:val="16"/>
          <w:szCs w:val="16"/>
        </w:rPr>
        <w:footnoteRef/>
      </w:r>
      <w:r w:rsidRPr="00023A3E">
        <w:rPr>
          <w:rFonts w:ascii="Arial" w:hAnsi="Arial" w:cs="Arial"/>
          <w:sz w:val="16"/>
          <w:szCs w:val="16"/>
        </w:rPr>
        <w:t xml:space="preserve"> </w:t>
      </w:r>
      <w:r w:rsidRPr="00023A3E">
        <w:rPr>
          <w:rFonts w:ascii="Arial" w:hAnsi="Arial" w:cs="Arial"/>
          <w:sz w:val="16"/>
          <w:szCs w:val="16"/>
        </w:rPr>
        <w:tab/>
        <w:t>The CT&amp;A Procedures must also provide for any other matters necessary or convenient to deal with in the Procedures.</w:t>
      </w:r>
    </w:p>
  </w:footnote>
  <w:footnote w:id="9">
    <w:p w14:paraId="160CC8F3" w14:textId="77777777" w:rsidR="00DA778E" w:rsidRDefault="00DA778E" w:rsidP="00080FA8">
      <w:pPr>
        <w:pStyle w:val="FootnoteText"/>
        <w:spacing w:before="40" w:after="40"/>
      </w:pPr>
      <w:r w:rsidRPr="00023A3E">
        <w:rPr>
          <w:rStyle w:val="FootnoteReference"/>
          <w:rFonts w:ascii="Arial" w:hAnsi="Arial" w:cs="Arial"/>
          <w:sz w:val="16"/>
          <w:szCs w:val="16"/>
        </w:rPr>
        <w:footnoteRef/>
      </w:r>
      <w:r w:rsidRPr="00023A3E">
        <w:rPr>
          <w:rFonts w:ascii="Arial" w:hAnsi="Arial" w:cs="Arial"/>
          <w:sz w:val="16"/>
          <w:szCs w:val="16"/>
        </w:rPr>
        <w:t xml:space="preserve"> </w:t>
      </w:r>
      <w:r w:rsidRPr="00023A3E">
        <w:rPr>
          <w:rFonts w:ascii="Arial" w:hAnsi="Arial" w:cs="Arial"/>
          <w:sz w:val="16"/>
          <w:szCs w:val="16"/>
        </w:rPr>
        <w:tab/>
      </w:r>
      <w:r w:rsidRPr="00023A3E">
        <w:rPr>
          <w:rFonts w:ascii="Arial" w:eastAsiaTheme="minorEastAsia" w:hAnsi="Arial" w:cs="Arial"/>
          <w:sz w:val="16"/>
          <w:szCs w:val="16"/>
        </w:rPr>
        <w:t xml:space="preserve">A </w:t>
      </w:r>
      <w:r w:rsidR="00EB2655" w:rsidRPr="00023A3E">
        <w:rPr>
          <w:rFonts w:ascii="Arial" w:eastAsiaTheme="minorEastAsia" w:hAnsi="Arial" w:cs="Arial"/>
          <w:sz w:val="16"/>
          <w:szCs w:val="16"/>
        </w:rPr>
        <w:t xml:space="preserve">transportation </w:t>
      </w:r>
      <w:r w:rsidRPr="00023A3E">
        <w:rPr>
          <w:rFonts w:ascii="Arial" w:eastAsiaTheme="minorEastAsia" w:hAnsi="Arial" w:cs="Arial"/>
          <w:sz w:val="16"/>
          <w:szCs w:val="16"/>
        </w:rPr>
        <w:t>service provider is a person who owns, controls or operates a transportation facility.</w:t>
      </w:r>
    </w:p>
  </w:footnote>
  <w:footnote w:id="10">
    <w:p w14:paraId="0385E1EE" w14:textId="77777777" w:rsidR="0097113C" w:rsidRPr="00B46E13" w:rsidRDefault="0097113C" w:rsidP="006F3EE9">
      <w:pPr>
        <w:pStyle w:val="FootnoteText"/>
        <w:spacing w:before="20" w:after="0"/>
        <w:rPr>
          <w:rFonts w:asciiTheme="majorHAnsi" w:hAnsiTheme="majorHAnsi" w:cstheme="majorHAnsi"/>
          <w:sz w:val="16"/>
          <w:szCs w:val="16"/>
        </w:rPr>
      </w:pPr>
      <w:r>
        <w:rPr>
          <w:rStyle w:val="FootnoteReference"/>
        </w:rPr>
        <w:footnoteRef/>
      </w:r>
      <w:r>
        <w:t xml:space="preserve"> </w:t>
      </w:r>
      <w:r>
        <w:tab/>
      </w:r>
      <w:r w:rsidRPr="00534E67">
        <w:rPr>
          <w:rFonts w:asciiTheme="majorHAnsi" w:hAnsiTheme="majorHAnsi" w:cstheme="majorHAnsi"/>
          <w:sz w:val="16"/>
          <w:szCs w:val="16"/>
        </w:rPr>
        <w:t>A pipeline will be classified as bi</w:t>
      </w:r>
      <w:r>
        <w:rPr>
          <w:rFonts w:asciiTheme="majorHAnsi" w:hAnsiTheme="majorHAnsi" w:cstheme="majorHAnsi"/>
          <w:sz w:val="16"/>
          <w:szCs w:val="16"/>
        </w:rPr>
        <w:t>-</w:t>
      </w:r>
      <w:r w:rsidRPr="00534E67">
        <w:rPr>
          <w:rFonts w:asciiTheme="majorHAnsi" w:hAnsiTheme="majorHAnsi" w:cstheme="majorHAnsi"/>
          <w:sz w:val="16"/>
          <w:szCs w:val="16"/>
        </w:rPr>
        <w:t xml:space="preserve">directional if at any time the direction of the physical flow of gas on the pipeline (or part) is capable of being reversed under normal operating conditions and </w:t>
      </w:r>
      <w:r w:rsidRPr="00B46E13">
        <w:rPr>
          <w:rFonts w:asciiTheme="majorHAnsi" w:hAnsiTheme="majorHAnsi" w:cstheme="majorHAnsi"/>
          <w:sz w:val="16"/>
          <w:szCs w:val="16"/>
        </w:rPr>
        <w:t>transportation facility users have transportation capacity for firm forward haul services in both directions (with a service time that includes that time).</w:t>
      </w:r>
    </w:p>
  </w:footnote>
  <w:footnote w:id="11">
    <w:p w14:paraId="42391E29" w14:textId="77777777" w:rsidR="0097113C" w:rsidRPr="007422AD" w:rsidRDefault="0097113C" w:rsidP="007422AD">
      <w:pPr>
        <w:pStyle w:val="FootnoteText"/>
        <w:spacing w:before="0" w:after="0"/>
        <w:rPr>
          <w:rFonts w:asciiTheme="majorHAnsi" w:hAnsiTheme="majorHAnsi" w:cstheme="majorHAnsi"/>
          <w:sz w:val="16"/>
          <w:szCs w:val="16"/>
        </w:rPr>
      </w:pPr>
      <w:r w:rsidRPr="007422AD">
        <w:rPr>
          <w:rStyle w:val="FootnoteReference"/>
          <w:rFonts w:asciiTheme="majorHAnsi" w:hAnsiTheme="majorHAnsi" w:cstheme="majorHAnsi"/>
          <w:sz w:val="16"/>
          <w:szCs w:val="16"/>
        </w:rPr>
        <w:footnoteRef/>
      </w:r>
      <w:r w:rsidRPr="007422AD">
        <w:rPr>
          <w:rFonts w:asciiTheme="majorHAnsi" w:hAnsiTheme="majorHAnsi" w:cstheme="majorHAnsi"/>
          <w:sz w:val="16"/>
          <w:szCs w:val="16"/>
        </w:rPr>
        <w:t xml:space="preserve"> </w:t>
      </w:r>
      <w:r w:rsidRPr="007422AD">
        <w:rPr>
          <w:rFonts w:asciiTheme="majorHAnsi" w:hAnsiTheme="majorHAnsi" w:cstheme="majorHAnsi"/>
          <w:sz w:val="16"/>
          <w:szCs w:val="16"/>
        </w:rPr>
        <w:tab/>
        <w:t>The physical capacity on a day is the lesser of nameplate rating and operational capacity on the day.</w:t>
      </w:r>
    </w:p>
  </w:footnote>
  <w:footnote w:id="12">
    <w:p w14:paraId="2446D54D" w14:textId="77777777" w:rsidR="006B6526" w:rsidRPr="007422AD" w:rsidRDefault="006B6526" w:rsidP="006B6526">
      <w:pPr>
        <w:pStyle w:val="FootnoteText"/>
        <w:spacing w:before="0" w:after="0"/>
        <w:rPr>
          <w:rFonts w:asciiTheme="majorHAnsi" w:hAnsiTheme="majorHAnsi" w:cstheme="majorHAnsi"/>
          <w:sz w:val="16"/>
          <w:szCs w:val="16"/>
        </w:rPr>
      </w:pPr>
      <w:r w:rsidRPr="007422AD">
        <w:rPr>
          <w:rStyle w:val="FootnoteReference"/>
          <w:rFonts w:asciiTheme="majorHAnsi" w:hAnsiTheme="majorHAnsi" w:cstheme="majorHAnsi"/>
          <w:sz w:val="16"/>
          <w:szCs w:val="16"/>
        </w:rPr>
        <w:footnoteRef/>
      </w:r>
      <w:r w:rsidRPr="007422AD">
        <w:rPr>
          <w:rFonts w:asciiTheme="majorHAnsi" w:hAnsiTheme="majorHAnsi" w:cstheme="majorHAnsi"/>
          <w:sz w:val="16"/>
          <w:szCs w:val="16"/>
        </w:rPr>
        <w:t xml:space="preserve"> </w:t>
      </w:r>
      <w:r w:rsidRPr="007422AD">
        <w:rPr>
          <w:rFonts w:asciiTheme="majorHAnsi" w:hAnsiTheme="majorHAnsi" w:cstheme="majorHAnsi"/>
          <w:sz w:val="16"/>
          <w:szCs w:val="16"/>
        </w:rPr>
        <w:tab/>
        <w:t>The term ‘scheduled priority flow’ refers to the quantity scheduled for firm services.</w:t>
      </w:r>
    </w:p>
  </w:footnote>
  <w:footnote w:id="13">
    <w:p w14:paraId="4C71AC9C" w14:textId="77777777" w:rsidR="0097113C" w:rsidRPr="007422AD" w:rsidRDefault="0097113C" w:rsidP="007422AD">
      <w:pPr>
        <w:pStyle w:val="FootnoteText"/>
        <w:spacing w:before="0" w:after="0"/>
        <w:rPr>
          <w:rFonts w:asciiTheme="majorHAnsi" w:hAnsiTheme="majorHAnsi" w:cstheme="majorHAnsi"/>
          <w:sz w:val="16"/>
          <w:szCs w:val="16"/>
        </w:rPr>
      </w:pPr>
      <w:r w:rsidRPr="007422AD">
        <w:rPr>
          <w:rStyle w:val="FootnoteReference"/>
          <w:rFonts w:asciiTheme="majorHAnsi" w:hAnsiTheme="majorHAnsi" w:cstheme="majorHAnsi"/>
          <w:sz w:val="16"/>
          <w:szCs w:val="16"/>
        </w:rPr>
        <w:footnoteRef/>
      </w:r>
      <w:r w:rsidRPr="007422AD">
        <w:rPr>
          <w:rFonts w:asciiTheme="majorHAnsi" w:hAnsiTheme="majorHAnsi" w:cstheme="majorHAnsi"/>
          <w:sz w:val="16"/>
          <w:szCs w:val="16"/>
        </w:rPr>
        <w:t xml:space="preserve"> </w:t>
      </w:r>
      <w:r w:rsidRPr="007422AD">
        <w:rPr>
          <w:rFonts w:asciiTheme="majorHAnsi" w:hAnsiTheme="majorHAnsi" w:cstheme="majorHAnsi"/>
          <w:sz w:val="16"/>
          <w:szCs w:val="16"/>
        </w:rPr>
        <w:tab/>
        <w:t>The term ‘contracted capacity’ refers to capacity reserved for firm services.</w:t>
      </w:r>
    </w:p>
  </w:footnote>
  <w:footnote w:id="14">
    <w:p w14:paraId="3FF7BB02" w14:textId="77777777" w:rsidR="0097113C" w:rsidRPr="007422AD" w:rsidRDefault="0097113C" w:rsidP="007422AD">
      <w:pPr>
        <w:pStyle w:val="FootnoteText"/>
        <w:spacing w:before="0" w:after="0"/>
        <w:rPr>
          <w:rFonts w:asciiTheme="majorHAnsi" w:hAnsiTheme="majorHAnsi" w:cstheme="majorHAnsi"/>
          <w:sz w:val="16"/>
          <w:szCs w:val="16"/>
        </w:rPr>
      </w:pPr>
      <w:r w:rsidRPr="007422AD">
        <w:rPr>
          <w:rStyle w:val="FootnoteReference"/>
          <w:rFonts w:asciiTheme="majorHAnsi" w:hAnsiTheme="majorHAnsi" w:cstheme="majorHAnsi"/>
          <w:sz w:val="16"/>
          <w:szCs w:val="16"/>
        </w:rPr>
        <w:footnoteRef/>
      </w:r>
      <w:r w:rsidRPr="007422AD">
        <w:rPr>
          <w:rFonts w:asciiTheme="majorHAnsi" w:hAnsiTheme="majorHAnsi" w:cstheme="majorHAnsi"/>
          <w:sz w:val="16"/>
          <w:szCs w:val="16"/>
        </w:rPr>
        <w:t xml:space="preserve"> </w:t>
      </w:r>
      <w:r w:rsidRPr="007422AD">
        <w:rPr>
          <w:rFonts w:asciiTheme="majorHAnsi" w:hAnsiTheme="majorHAnsi" w:cstheme="majorHAnsi"/>
          <w:sz w:val="16"/>
          <w:szCs w:val="16"/>
        </w:rPr>
        <w:tab/>
        <w:t xml:space="preserve">The term ‘scheduled net priority forward haul flow’ refers to the actual flow of gas taking into account both firm forward haul and firm backhaul scheduled quantities. </w:t>
      </w:r>
    </w:p>
  </w:footnote>
  <w:footnote w:id="15">
    <w:p w14:paraId="1DCE0981" w14:textId="630CC737" w:rsidR="0097113C" w:rsidRPr="007422AD" w:rsidRDefault="0097113C" w:rsidP="006F3EE9">
      <w:pPr>
        <w:pStyle w:val="FootnoteText"/>
        <w:spacing w:before="0" w:after="0"/>
        <w:rPr>
          <w:rFonts w:asciiTheme="majorHAnsi" w:hAnsiTheme="majorHAnsi" w:cstheme="majorHAnsi"/>
          <w:sz w:val="16"/>
          <w:szCs w:val="16"/>
        </w:rPr>
      </w:pPr>
      <w:r w:rsidRPr="007422AD">
        <w:rPr>
          <w:rStyle w:val="FootnoteReference"/>
          <w:rFonts w:asciiTheme="majorHAnsi" w:hAnsiTheme="majorHAnsi" w:cstheme="majorHAnsi"/>
          <w:sz w:val="16"/>
          <w:szCs w:val="16"/>
        </w:rPr>
        <w:footnoteRef/>
      </w:r>
      <w:r w:rsidR="00023A3E">
        <w:rPr>
          <w:rFonts w:asciiTheme="majorHAnsi" w:hAnsiTheme="majorHAnsi" w:cstheme="majorHAnsi"/>
          <w:sz w:val="16"/>
          <w:szCs w:val="16"/>
        </w:rPr>
        <w:t xml:space="preserve"> </w:t>
      </w:r>
      <w:r w:rsidR="00023A3E">
        <w:rPr>
          <w:rFonts w:asciiTheme="majorHAnsi" w:hAnsiTheme="majorHAnsi" w:cstheme="majorHAnsi"/>
          <w:sz w:val="16"/>
          <w:szCs w:val="16"/>
        </w:rPr>
        <w:tab/>
      </w:r>
      <w:r w:rsidRPr="007422AD">
        <w:rPr>
          <w:rFonts w:asciiTheme="majorHAnsi" w:hAnsiTheme="majorHAnsi" w:cstheme="majorHAnsi"/>
          <w:sz w:val="16"/>
          <w:szCs w:val="16"/>
        </w:rPr>
        <w:t>AEMO is not required to verify the accuracy of information provided to it for the purposes of performing its auction functions, except as expressly provided in the NGR or Procedures.</w:t>
      </w:r>
    </w:p>
  </w:footnote>
  <w:footnote w:id="16">
    <w:p w14:paraId="044F622C" w14:textId="77777777" w:rsidR="0097113C" w:rsidRPr="007422AD" w:rsidRDefault="0097113C" w:rsidP="00080FA8">
      <w:pPr>
        <w:pStyle w:val="FootnoteText"/>
        <w:spacing w:before="40" w:after="40"/>
        <w:rPr>
          <w:rFonts w:asciiTheme="majorHAnsi" w:hAnsiTheme="majorHAnsi" w:cstheme="majorHAnsi"/>
          <w:sz w:val="16"/>
          <w:szCs w:val="16"/>
        </w:rPr>
      </w:pPr>
      <w:r w:rsidRPr="007422AD">
        <w:rPr>
          <w:rStyle w:val="FootnoteReference"/>
          <w:rFonts w:asciiTheme="majorHAnsi" w:hAnsiTheme="majorHAnsi" w:cstheme="majorHAnsi"/>
          <w:sz w:val="16"/>
          <w:szCs w:val="16"/>
        </w:rPr>
        <w:footnoteRef/>
      </w:r>
      <w:r w:rsidRPr="007422AD">
        <w:rPr>
          <w:rFonts w:asciiTheme="majorHAnsi" w:hAnsiTheme="majorHAnsi" w:cstheme="majorHAnsi"/>
          <w:sz w:val="16"/>
          <w:szCs w:val="16"/>
        </w:rPr>
        <w:t xml:space="preserve"> </w:t>
      </w:r>
      <w:r w:rsidRPr="007422AD">
        <w:rPr>
          <w:rFonts w:asciiTheme="majorHAnsi" w:hAnsiTheme="majorHAnsi" w:cstheme="majorHAnsi"/>
          <w:sz w:val="16"/>
          <w:szCs w:val="16"/>
        </w:rPr>
        <w:tab/>
        <w:t>Consultation undertaken by AEMO in relation to proposed CT&amp;A Procedures before the reforms commence will be taken to satisfy the NGR requirements, if and to the extent that publication and consultation would have satisfied those requirements if it had been conducted after the reforms had commenced.</w:t>
      </w:r>
    </w:p>
  </w:footnote>
  <w:footnote w:id="17">
    <w:p w14:paraId="7475F052" w14:textId="77777777" w:rsidR="0097113C" w:rsidRPr="007422AD" w:rsidRDefault="0097113C" w:rsidP="00080FA8">
      <w:pPr>
        <w:pStyle w:val="BodyText"/>
        <w:spacing w:before="40" w:after="40" w:line="240" w:lineRule="auto"/>
        <w:ind w:left="357" w:hanging="357"/>
        <w:rPr>
          <w:rFonts w:asciiTheme="majorHAnsi" w:hAnsiTheme="majorHAnsi" w:cstheme="majorHAnsi"/>
          <w:sz w:val="16"/>
          <w:szCs w:val="16"/>
        </w:rPr>
      </w:pPr>
      <w:r w:rsidRPr="007422AD">
        <w:rPr>
          <w:rStyle w:val="FootnoteReference"/>
          <w:rFonts w:asciiTheme="majorHAnsi" w:hAnsiTheme="majorHAnsi" w:cstheme="majorHAnsi"/>
          <w:sz w:val="16"/>
          <w:szCs w:val="16"/>
        </w:rPr>
        <w:footnoteRef/>
      </w:r>
      <w:r w:rsidRPr="007422AD">
        <w:rPr>
          <w:rFonts w:asciiTheme="majorHAnsi" w:hAnsiTheme="majorHAnsi" w:cstheme="majorHAnsi"/>
          <w:sz w:val="16"/>
          <w:szCs w:val="16"/>
        </w:rPr>
        <w:t xml:space="preserve"> </w:t>
      </w:r>
      <w:r w:rsidRPr="007422AD">
        <w:rPr>
          <w:rFonts w:asciiTheme="majorHAnsi" w:hAnsiTheme="majorHAnsi" w:cstheme="majorHAnsi"/>
          <w:sz w:val="16"/>
          <w:szCs w:val="16"/>
        </w:rPr>
        <w:tab/>
      </w:r>
      <w:r w:rsidRPr="007422AD">
        <w:rPr>
          <w:rFonts w:asciiTheme="majorHAnsi" w:eastAsiaTheme="minorEastAsia" w:hAnsiTheme="majorHAnsi" w:cstheme="majorHAnsi"/>
          <w:sz w:val="16"/>
          <w:szCs w:val="16"/>
        </w:rPr>
        <w:t>Exemptions from all aspects of the capacity trading reform package (excluding the secondary capacity reporting framework)</w:t>
      </w:r>
      <w:r w:rsidRPr="007422AD">
        <w:rPr>
          <w:rStyle w:val="FootnoteReference"/>
          <w:rFonts w:asciiTheme="majorHAnsi" w:hAnsiTheme="majorHAnsi" w:cstheme="majorHAnsi"/>
          <w:iCs/>
          <w:sz w:val="16"/>
          <w:szCs w:val="16"/>
        </w:rPr>
        <w:t xml:space="preserve"> </w:t>
      </w:r>
      <w:r w:rsidRPr="007422AD">
        <w:rPr>
          <w:rFonts w:asciiTheme="majorHAnsi" w:eastAsiaTheme="minorEastAsia" w:hAnsiTheme="majorHAnsi" w:cstheme="majorHAnsi"/>
          <w:sz w:val="16"/>
          <w:szCs w:val="16"/>
        </w:rPr>
        <w:t>will be:</w:t>
      </w:r>
    </w:p>
    <w:p w14:paraId="6B917EC9" w14:textId="77777777" w:rsidR="0097113C" w:rsidRPr="007D47A3" w:rsidRDefault="0097113C" w:rsidP="00080FA8">
      <w:pPr>
        <w:pStyle w:val="ListBullet"/>
        <w:numPr>
          <w:ilvl w:val="0"/>
          <w:numId w:val="14"/>
        </w:numPr>
        <w:autoSpaceDE w:val="0"/>
        <w:autoSpaceDN w:val="0"/>
        <w:adjustRightInd w:val="0"/>
        <w:spacing w:before="40" w:after="40" w:line="240" w:lineRule="auto"/>
        <w:ind w:left="714"/>
        <w:rPr>
          <w:rFonts w:asciiTheme="majorHAnsi" w:eastAsiaTheme="minorEastAsia" w:hAnsiTheme="majorHAnsi" w:cstheme="majorHAnsi"/>
          <w:sz w:val="16"/>
          <w:szCs w:val="16"/>
        </w:rPr>
      </w:pPr>
      <w:r w:rsidRPr="007D47A3">
        <w:rPr>
          <w:rFonts w:asciiTheme="majorHAnsi" w:eastAsiaTheme="minorEastAsia" w:hAnsiTheme="majorHAnsi" w:cstheme="majorHAnsi"/>
          <w:sz w:val="16"/>
          <w:szCs w:val="16"/>
        </w:rPr>
        <w:t>automatically available to distribution pipelines, transportation facilities forming part of the Declared Transmission System and compression facilities that are not designated in the Regulations or are not stand-alone facilities; and</w:t>
      </w:r>
    </w:p>
    <w:p w14:paraId="47B9CEBE" w14:textId="77777777" w:rsidR="0097113C" w:rsidRPr="007D47A3" w:rsidRDefault="0097113C" w:rsidP="00080FA8">
      <w:pPr>
        <w:pStyle w:val="ListBullet"/>
        <w:numPr>
          <w:ilvl w:val="0"/>
          <w:numId w:val="14"/>
        </w:numPr>
        <w:autoSpaceDE w:val="0"/>
        <w:autoSpaceDN w:val="0"/>
        <w:adjustRightInd w:val="0"/>
        <w:spacing w:before="40" w:after="40" w:line="240" w:lineRule="auto"/>
        <w:ind w:left="714"/>
        <w:rPr>
          <w:rFonts w:asciiTheme="majorHAnsi" w:eastAsiaTheme="minorEastAsia" w:hAnsiTheme="majorHAnsi" w:cstheme="majorHAnsi"/>
          <w:sz w:val="16"/>
          <w:szCs w:val="16"/>
        </w:rPr>
      </w:pPr>
      <w:r w:rsidRPr="007D47A3">
        <w:rPr>
          <w:rFonts w:asciiTheme="majorHAnsi" w:eastAsiaTheme="minorEastAsia" w:hAnsiTheme="majorHAnsi" w:cstheme="majorHAnsi"/>
          <w:sz w:val="16"/>
          <w:szCs w:val="16"/>
        </w:rPr>
        <w:t>available on application to the AER, to transportation facilities that are not providing third party access.</w:t>
      </w:r>
    </w:p>
    <w:p w14:paraId="3E3D3441" w14:textId="77777777" w:rsidR="0097113C" w:rsidRPr="007D47A3" w:rsidRDefault="0097113C" w:rsidP="00080FA8">
      <w:pPr>
        <w:pStyle w:val="ListBullet"/>
        <w:numPr>
          <w:ilvl w:val="0"/>
          <w:numId w:val="0"/>
        </w:numPr>
        <w:autoSpaceDE w:val="0"/>
        <w:autoSpaceDN w:val="0"/>
        <w:adjustRightInd w:val="0"/>
        <w:spacing w:before="40" w:after="40" w:line="240" w:lineRule="auto"/>
        <w:ind w:left="357"/>
        <w:rPr>
          <w:rFonts w:asciiTheme="majorHAnsi" w:eastAsiaTheme="minorEastAsia" w:hAnsiTheme="majorHAnsi" w:cstheme="majorHAnsi"/>
          <w:sz w:val="16"/>
          <w:szCs w:val="16"/>
        </w:rPr>
      </w:pPr>
      <w:r w:rsidRPr="007D47A3">
        <w:rPr>
          <w:rFonts w:asciiTheme="majorHAnsi" w:eastAsiaTheme="minorEastAsia" w:hAnsiTheme="majorHAnsi" w:cstheme="majorHAnsi"/>
          <w:sz w:val="16"/>
          <w:szCs w:val="16"/>
        </w:rPr>
        <w:t>Further detail on the exemptions framework</w:t>
      </w:r>
      <w:r w:rsidR="00A461D0">
        <w:rPr>
          <w:rFonts w:asciiTheme="majorHAnsi" w:eastAsiaTheme="minorEastAsia" w:hAnsiTheme="majorHAnsi" w:cstheme="majorHAnsi"/>
          <w:sz w:val="16"/>
          <w:szCs w:val="16"/>
        </w:rPr>
        <w:t>, including on conditional and transitional exemptions,</w:t>
      </w:r>
      <w:r w:rsidRPr="007D47A3">
        <w:rPr>
          <w:rFonts w:asciiTheme="majorHAnsi" w:eastAsiaTheme="minorEastAsia" w:hAnsiTheme="majorHAnsi" w:cstheme="majorHAnsi"/>
          <w:sz w:val="16"/>
          <w:szCs w:val="16"/>
        </w:rPr>
        <w:t xml:space="preserve"> can be found in the Information Paper and </w:t>
      </w:r>
      <w:r w:rsidR="00163C9F">
        <w:rPr>
          <w:rFonts w:asciiTheme="majorHAnsi" w:eastAsiaTheme="minorEastAsia" w:hAnsiTheme="majorHAnsi" w:cstheme="majorHAnsi"/>
          <w:sz w:val="16"/>
          <w:szCs w:val="16"/>
        </w:rPr>
        <w:t xml:space="preserve">AER </w:t>
      </w:r>
      <w:r w:rsidRPr="007D47A3">
        <w:rPr>
          <w:rFonts w:asciiTheme="majorHAnsi" w:eastAsiaTheme="minorEastAsia" w:hAnsiTheme="majorHAnsi" w:cstheme="majorHAnsi"/>
          <w:sz w:val="16"/>
          <w:szCs w:val="16"/>
        </w:rPr>
        <w:t>Guidance Note.</w:t>
      </w:r>
    </w:p>
  </w:footnote>
  <w:footnote w:id="18">
    <w:p w14:paraId="4D0A644D" w14:textId="27DC012F" w:rsidR="0097113C" w:rsidRPr="007D47A3" w:rsidRDefault="0097113C" w:rsidP="00080FA8">
      <w:pPr>
        <w:pStyle w:val="FootnoteText"/>
        <w:spacing w:before="40" w:after="40"/>
        <w:rPr>
          <w:rFonts w:asciiTheme="majorHAnsi" w:hAnsiTheme="majorHAnsi" w:cstheme="majorHAnsi"/>
          <w:sz w:val="16"/>
          <w:szCs w:val="16"/>
          <w:vertAlign w:val="superscript"/>
        </w:rPr>
      </w:pPr>
      <w:r w:rsidRPr="007D47A3">
        <w:rPr>
          <w:rStyle w:val="FootnoteReference"/>
          <w:rFonts w:asciiTheme="majorHAnsi" w:hAnsiTheme="majorHAnsi" w:cstheme="majorHAnsi"/>
          <w:sz w:val="16"/>
          <w:szCs w:val="16"/>
        </w:rPr>
        <w:footnoteRef/>
      </w:r>
      <w:r w:rsidRPr="007D47A3">
        <w:rPr>
          <w:rStyle w:val="FootnoteReference"/>
          <w:rFonts w:asciiTheme="majorHAnsi" w:hAnsiTheme="majorHAnsi" w:cstheme="majorHAnsi"/>
          <w:sz w:val="16"/>
          <w:szCs w:val="16"/>
        </w:rPr>
        <w:t xml:space="preserve"> </w:t>
      </w:r>
      <w:r w:rsidRPr="007D47A3">
        <w:rPr>
          <w:rStyle w:val="FootnoteReference"/>
          <w:rFonts w:asciiTheme="majorHAnsi" w:hAnsiTheme="majorHAnsi" w:cstheme="majorHAnsi"/>
          <w:sz w:val="16"/>
          <w:szCs w:val="16"/>
        </w:rPr>
        <w:tab/>
      </w:r>
      <w:r w:rsidRPr="007D47A3">
        <w:rPr>
          <w:rFonts w:asciiTheme="majorHAnsi" w:hAnsiTheme="majorHAnsi" w:cstheme="majorHAnsi"/>
          <w:sz w:val="16"/>
          <w:szCs w:val="16"/>
        </w:rPr>
        <w:t xml:space="preserve">A person </w:t>
      </w:r>
      <w:r w:rsidR="00023A3E">
        <w:rPr>
          <w:rFonts w:asciiTheme="majorHAnsi" w:hAnsiTheme="majorHAnsi" w:cstheme="majorHAnsi"/>
          <w:sz w:val="16"/>
          <w:szCs w:val="16"/>
        </w:rPr>
        <w:t>that</w:t>
      </w:r>
      <w:r w:rsidRPr="007D47A3">
        <w:rPr>
          <w:rFonts w:asciiTheme="majorHAnsi" w:hAnsiTheme="majorHAnsi" w:cstheme="majorHAnsi"/>
          <w:sz w:val="16"/>
          <w:szCs w:val="16"/>
        </w:rPr>
        <w:t xml:space="preserve"> owns, controls or operates a transportation facility that was commissioned on or before the reforms commence </w:t>
      </w:r>
      <w:r w:rsidR="00023A3E">
        <w:rPr>
          <w:rFonts w:asciiTheme="majorHAnsi" w:hAnsiTheme="majorHAnsi" w:cstheme="majorHAnsi"/>
          <w:sz w:val="16"/>
          <w:szCs w:val="16"/>
        </w:rPr>
        <w:t>will become</w:t>
      </w:r>
      <w:r w:rsidRPr="007D47A3">
        <w:rPr>
          <w:rFonts w:asciiTheme="majorHAnsi" w:hAnsiTheme="majorHAnsi" w:cstheme="majorHAnsi"/>
          <w:sz w:val="16"/>
          <w:szCs w:val="16"/>
        </w:rPr>
        <w:t xml:space="preserve"> a service provider 20 business days after the amendments to the NGR commence.</w:t>
      </w:r>
    </w:p>
  </w:footnote>
  <w:footnote w:id="19">
    <w:p w14:paraId="54C24EBC" w14:textId="77777777" w:rsidR="0097113C" w:rsidRPr="007D47A3" w:rsidRDefault="0097113C" w:rsidP="00080FA8">
      <w:pPr>
        <w:pStyle w:val="ListBullet"/>
        <w:numPr>
          <w:ilvl w:val="0"/>
          <w:numId w:val="0"/>
        </w:numPr>
        <w:spacing w:before="40" w:after="40" w:line="240" w:lineRule="auto"/>
        <w:ind w:left="357" w:hanging="357"/>
        <w:rPr>
          <w:rFonts w:asciiTheme="majorHAnsi" w:eastAsiaTheme="minorEastAsia" w:hAnsiTheme="majorHAnsi" w:cstheme="majorHAnsi"/>
          <w:sz w:val="16"/>
          <w:szCs w:val="16"/>
        </w:rPr>
      </w:pPr>
      <w:r w:rsidRPr="007D47A3">
        <w:rPr>
          <w:rStyle w:val="FootnoteReference"/>
          <w:rFonts w:asciiTheme="majorHAnsi" w:hAnsiTheme="majorHAnsi" w:cstheme="majorHAnsi"/>
          <w:sz w:val="16"/>
          <w:szCs w:val="16"/>
        </w:rPr>
        <w:footnoteRef/>
      </w:r>
      <w:r w:rsidRPr="007D47A3">
        <w:rPr>
          <w:rFonts w:asciiTheme="majorHAnsi" w:hAnsiTheme="majorHAnsi" w:cstheme="majorHAnsi"/>
          <w:sz w:val="16"/>
          <w:szCs w:val="16"/>
        </w:rPr>
        <w:t xml:space="preserve"> </w:t>
      </w:r>
      <w:r w:rsidRPr="007D47A3">
        <w:rPr>
          <w:rFonts w:asciiTheme="majorHAnsi" w:hAnsiTheme="majorHAnsi" w:cstheme="majorHAnsi"/>
          <w:sz w:val="16"/>
          <w:szCs w:val="16"/>
        </w:rPr>
        <w:tab/>
      </w:r>
      <w:r w:rsidRPr="007D47A3">
        <w:rPr>
          <w:rFonts w:asciiTheme="majorHAnsi" w:eastAsiaTheme="minorEastAsia" w:hAnsiTheme="majorHAnsi" w:cstheme="majorHAnsi"/>
          <w:sz w:val="16"/>
          <w:szCs w:val="16"/>
        </w:rPr>
        <w:t>An application may be made:</w:t>
      </w:r>
    </w:p>
    <w:p w14:paraId="3D537636" w14:textId="77777777" w:rsidR="0097113C" w:rsidRPr="007422AD" w:rsidRDefault="0097113C" w:rsidP="00080FA8">
      <w:pPr>
        <w:pStyle w:val="ListBullet"/>
        <w:numPr>
          <w:ilvl w:val="0"/>
          <w:numId w:val="14"/>
        </w:numPr>
        <w:spacing w:before="40" w:after="40" w:line="240" w:lineRule="auto"/>
        <w:ind w:left="714"/>
        <w:rPr>
          <w:rFonts w:asciiTheme="majorHAnsi" w:eastAsiaTheme="minorEastAsia" w:hAnsiTheme="majorHAnsi" w:cstheme="majorHAnsi"/>
          <w:sz w:val="16"/>
          <w:szCs w:val="16"/>
        </w:rPr>
      </w:pPr>
      <w:r w:rsidRPr="007422AD">
        <w:rPr>
          <w:rFonts w:asciiTheme="majorHAnsi" w:eastAsiaTheme="minorEastAsia" w:hAnsiTheme="majorHAnsi" w:cstheme="majorHAnsi"/>
          <w:sz w:val="16"/>
          <w:szCs w:val="16"/>
        </w:rPr>
        <w:t>by a person who intends to become a service provider or a responsible transportation service provider;</w:t>
      </w:r>
    </w:p>
    <w:p w14:paraId="45EACF62" w14:textId="77777777" w:rsidR="0097113C" w:rsidRPr="007422AD" w:rsidRDefault="0097113C" w:rsidP="00080FA8">
      <w:pPr>
        <w:pStyle w:val="ListBullet"/>
        <w:numPr>
          <w:ilvl w:val="0"/>
          <w:numId w:val="14"/>
        </w:numPr>
        <w:spacing w:before="40" w:after="40" w:line="240" w:lineRule="auto"/>
        <w:ind w:left="714"/>
        <w:rPr>
          <w:rFonts w:asciiTheme="majorHAnsi" w:eastAsiaTheme="minorEastAsia" w:hAnsiTheme="majorHAnsi" w:cstheme="majorHAnsi"/>
          <w:sz w:val="16"/>
          <w:szCs w:val="16"/>
        </w:rPr>
      </w:pPr>
      <w:r w:rsidRPr="007422AD">
        <w:rPr>
          <w:rFonts w:asciiTheme="majorHAnsi" w:eastAsiaTheme="minorEastAsia" w:hAnsiTheme="majorHAnsi" w:cstheme="majorHAnsi"/>
          <w:sz w:val="16"/>
          <w:szCs w:val="16"/>
        </w:rPr>
        <w:t>in respect of a proposed transportation facility; or</w:t>
      </w:r>
    </w:p>
    <w:p w14:paraId="5C22AD4E" w14:textId="77777777" w:rsidR="0097113C" w:rsidRPr="007422AD" w:rsidRDefault="0097113C" w:rsidP="00080FA8">
      <w:pPr>
        <w:pStyle w:val="ListBullet"/>
        <w:numPr>
          <w:ilvl w:val="0"/>
          <w:numId w:val="14"/>
        </w:numPr>
        <w:spacing w:before="40" w:after="40" w:line="240" w:lineRule="auto"/>
        <w:ind w:left="714"/>
        <w:rPr>
          <w:rFonts w:asciiTheme="majorHAnsi" w:eastAsiaTheme="minorEastAsia" w:hAnsiTheme="majorHAnsi" w:cstheme="majorHAnsi"/>
          <w:sz w:val="16"/>
          <w:szCs w:val="16"/>
        </w:rPr>
      </w:pPr>
      <w:r w:rsidRPr="007422AD">
        <w:rPr>
          <w:rFonts w:asciiTheme="majorHAnsi" w:eastAsiaTheme="minorEastAsia" w:hAnsiTheme="majorHAnsi" w:cstheme="majorHAnsi"/>
          <w:sz w:val="16"/>
          <w:szCs w:val="16"/>
        </w:rPr>
        <w:t>by a person intending to register with AEMO as a facility operator for a non-exempt transportation facility.</w:t>
      </w:r>
    </w:p>
  </w:footnote>
  <w:footnote w:id="20">
    <w:p w14:paraId="395F66D9" w14:textId="77777777" w:rsidR="0097113C" w:rsidRPr="007D47A3" w:rsidRDefault="0097113C" w:rsidP="007D47A3">
      <w:pPr>
        <w:pStyle w:val="FootnoteText"/>
        <w:spacing w:before="40" w:after="40"/>
        <w:rPr>
          <w:rFonts w:asciiTheme="majorHAnsi" w:hAnsiTheme="majorHAnsi" w:cstheme="majorHAnsi"/>
          <w:sz w:val="16"/>
          <w:szCs w:val="16"/>
        </w:rPr>
      </w:pPr>
      <w:r w:rsidRPr="007422AD">
        <w:rPr>
          <w:rStyle w:val="FootnoteReference"/>
          <w:rFonts w:asciiTheme="majorHAnsi" w:hAnsiTheme="majorHAnsi" w:cstheme="majorHAnsi"/>
          <w:sz w:val="16"/>
          <w:szCs w:val="16"/>
        </w:rPr>
        <w:footnoteRef/>
      </w:r>
      <w:r w:rsidRPr="007422AD">
        <w:rPr>
          <w:rFonts w:asciiTheme="majorHAnsi" w:hAnsiTheme="majorHAnsi" w:cstheme="majorHAnsi"/>
          <w:sz w:val="16"/>
          <w:szCs w:val="16"/>
        </w:rPr>
        <w:t xml:space="preserve"> </w:t>
      </w:r>
      <w:r w:rsidRPr="007422AD">
        <w:rPr>
          <w:rFonts w:asciiTheme="majorHAnsi" w:hAnsiTheme="majorHAnsi" w:cstheme="majorHAnsi"/>
          <w:sz w:val="16"/>
          <w:szCs w:val="16"/>
        </w:rPr>
        <w:tab/>
        <w:t>If the information is not provided in that period, the application will be taken to have been made when the further information o</w:t>
      </w:r>
      <w:r w:rsidRPr="007D47A3">
        <w:rPr>
          <w:rFonts w:asciiTheme="majorHAnsi" w:hAnsiTheme="majorHAnsi" w:cstheme="majorHAnsi"/>
          <w:sz w:val="16"/>
          <w:szCs w:val="16"/>
        </w:rPr>
        <w:t xml:space="preserve">r clarification is provided to AEMO’s satisfaction. </w:t>
      </w:r>
    </w:p>
  </w:footnote>
  <w:footnote w:id="21">
    <w:p w14:paraId="1BF960AF" w14:textId="77777777" w:rsidR="0097113C" w:rsidRPr="007D47A3" w:rsidRDefault="0097113C" w:rsidP="007D47A3">
      <w:pPr>
        <w:pStyle w:val="FootnoteText"/>
        <w:spacing w:before="40" w:after="40"/>
        <w:rPr>
          <w:rFonts w:asciiTheme="majorHAnsi" w:hAnsiTheme="majorHAnsi" w:cstheme="majorHAnsi"/>
          <w:sz w:val="16"/>
          <w:szCs w:val="16"/>
        </w:rPr>
      </w:pPr>
      <w:r w:rsidRPr="007D47A3">
        <w:rPr>
          <w:rStyle w:val="FootnoteReference"/>
          <w:rFonts w:asciiTheme="majorHAnsi" w:hAnsiTheme="majorHAnsi" w:cstheme="majorHAnsi"/>
          <w:sz w:val="16"/>
          <w:szCs w:val="16"/>
        </w:rPr>
        <w:footnoteRef/>
      </w:r>
      <w:r w:rsidRPr="007D47A3">
        <w:rPr>
          <w:rFonts w:asciiTheme="majorHAnsi" w:hAnsiTheme="majorHAnsi" w:cstheme="majorHAnsi"/>
          <w:sz w:val="16"/>
          <w:szCs w:val="16"/>
        </w:rPr>
        <w:t xml:space="preserve"> </w:t>
      </w:r>
      <w:r w:rsidRPr="007D47A3">
        <w:rPr>
          <w:rFonts w:asciiTheme="majorHAnsi" w:hAnsiTheme="majorHAnsi" w:cstheme="majorHAnsi"/>
          <w:sz w:val="16"/>
          <w:szCs w:val="16"/>
        </w:rPr>
        <w:tab/>
        <w:t xml:space="preserve">If an application is made by an intending service provider, intending facility operator or in respect of a proposed facility, the registration takes effect at the time determined by AEMO. </w:t>
      </w:r>
    </w:p>
  </w:footnote>
  <w:footnote w:id="22">
    <w:p w14:paraId="48FEE8D9" w14:textId="77777777" w:rsidR="0097113C" w:rsidRDefault="0097113C" w:rsidP="007D47A3">
      <w:pPr>
        <w:pStyle w:val="FootnoteText"/>
        <w:spacing w:before="40" w:after="40"/>
      </w:pPr>
      <w:r w:rsidRPr="007D47A3">
        <w:rPr>
          <w:rStyle w:val="FootnoteReference"/>
          <w:rFonts w:asciiTheme="majorHAnsi" w:hAnsiTheme="majorHAnsi" w:cstheme="majorHAnsi"/>
          <w:sz w:val="16"/>
          <w:szCs w:val="16"/>
        </w:rPr>
        <w:footnoteRef/>
      </w:r>
      <w:r w:rsidRPr="007D47A3">
        <w:rPr>
          <w:rFonts w:asciiTheme="majorHAnsi" w:hAnsiTheme="majorHAnsi" w:cstheme="majorHAnsi"/>
          <w:sz w:val="16"/>
          <w:szCs w:val="16"/>
        </w:rPr>
        <w:t xml:space="preserve"> </w:t>
      </w:r>
      <w:r w:rsidRPr="007D47A3">
        <w:rPr>
          <w:rFonts w:asciiTheme="majorHAnsi" w:hAnsiTheme="majorHAnsi" w:cstheme="majorHAnsi"/>
          <w:sz w:val="16"/>
          <w:szCs w:val="16"/>
        </w:rPr>
        <w:tab/>
        <w:t>This can also occur if a facility is already registered.</w:t>
      </w:r>
    </w:p>
  </w:footnote>
  <w:footnote w:id="23">
    <w:p w14:paraId="7637AD69" w14:textId="77777777" w:rsidR="0097113C" w:rsidRPr="00546313" w:rsidRDefault="0097113C" w:rsidP="00546313">
      <w:pPr>
        <w:pStyle w:val="FootnoteText"/>
        <w:spacing w:before="40" w:after="40"/>
        <w:rPr>
          <w:rFonts w:asciiTheme="majorHAnsi" w:hAnsiTheme="majorHAnsi" w:cstheme="majorHAnsi"/>
          <w:sz w:val="16"/>
          <w:szCs w:val="16"/>
        </w:rPr>
      </w:pPr>
      <w:r w:rsidRPr="00546313">
        <w:rPr>
          <w:rStyle w:val="FootnoteReference"/>
          <w:rFonts w:asciiTheme="majorHAnsi" w:hAnsiTheme="majorHAnsi" w:cstheme="majorHAnsi"/>
          <w:sz w:val="16"/>
          <w:szCs w:val="16"/>
        </w:rPr>
        <w:footnoteRef/>
      </w:r>
      <w:r w:rsidRPr="00546313">
        <w:rPr>
          <w:rFonts w:asciiTheme="majorHAnsi" w:hAnsiTheme="majorHAnsi" w:cstheme="majorHAnsi"/>
          <w:sz w:val="16"/>
          <w:szCs w:val="16"/>
        </w:rPr>
        <w:t xml:space="preserve"> </w:t>
      </w:r>
      <w:r w:rsidRPr="00546313">
        <w:rPr>
          <w:rFonts w:asciiTheme="majorHAnsi" w:hAnsiTheme="majorHAnsi" w:cstheme="majorHAnsi"/>
          <w:sz w:val="16"/>
          <w:szCs w:val="16"/>
        </w:rPr>
        <w:tab/>
        <w:t xml:space="preserve">The capacity transaction information includes: the identity of the trading parties and who the seller is; the trade date and service term; the transportation facility that the trade relates to; the type of service purchased and the priority of the service (e.g. firm, as available, interruptible); the type of trade and for bilateral trades, whether the trade is on the same or substantially the same terms as those in the facility’s standard OTSA; where relevant, the direction of the service and the points between which gas is transported; the amount of capacity procured (maximum daily quantity (MDQ)) and for bilateral trades the maximum hourly quantity (MHQ); and the price paid (including, where relevant, the price structure and price escalation mechanism). </w:t>
      </w:r>
    </w:p>
  </w:footnote>
  <w:footnote w:id="24">
    <w:p w14:paraId="51049A84" w14:textId="77777777" w:rsidR="0097113C" w:rsidRDefault="0097113C" w:rsidP="00546313">
      <w:pPr>
        <w:pStyle w:val="FootnoteText"/>
        <w:spacing w:before="40" w:after="40"/>
      </w:pPr>
      <w:r w:rsidRPr="00546313">
        <w:rPr>
          <w:rStyle w:val="FootnoteReference"/>
          <w:rFonts w:asciiTheme="majorHAnsi" w:hAnsiTheme="majorHAnsi" w:cstheme="majorHAnsi"/>
          <w:sz w:val="16"/>
          <w:szCs w:val="16"/>
        </w:rPr>
        <w:footnoteRef/>
      </w:r>
      <w:r w:rsidRPr="00546313">
        <w:rPr>
          <w:rFonts w:asciiTheme="majorHAnsi" w:hAnsiTheme="majorHAnsi" w:cstheme="majorHAnsi"/>
          <w:sz w:val="16"/>
          <w:szCs w:val="16"/>
        </w:rPr>
        <w:t xml:space="preserve"> </w:t>
      </w:r>
      <w:r w:rsidRPr="00546313">
        <w:rPr>
          <w:rFonts w:asciiTheme="majorHAnsi" w:hAnsiTheme="majorHAnsi" w:cstheme="majorHAnsi"/>
          <w:sz w:val="16"/>
          <w:szCs w:val="16"/>
        </w:rPr>
        <w:tab/>
      </w:r>
      <w:r w:rsidRPr="00737BDC">
        <w:rPr>
          <w:rFonts w:asciiTheme="majorHAnsi" w:hAnsiTheme="majorHAnsi" w:cstheme="majorHAnsi"/>
          <w:sz w:val="16"/>
          <w:szCs w:val="16"/>
        </w:rPr>
        <w:t>This obligation will be limited to allocation agents that operate at points through which gas is injected into or withdrawn from a transportation facility that is subject to the capacity trading reforms and system</w:t>
      </w:r>
      <w:r w:rsidRPr="009963D5">
        <w:rPr>
          <w:rFonts w:asciiTheme="majorHAnsi" w:hAnsiTheme="majorHAnsi" w:cstheme="majorHAnsi"/>
          <w:sz w:val="16"/>
          <w:szCs w:val="16"/>
        </w:rPr>
        <w:t xml:space="preserve"> injection and system withdrawal points in the DTS for which an allocation agent is appointed under Part 19 of the NGR, excluding, in each case, a point at which the allocation of deliveries and receipts of natural gas is determined under the retail market procedures.</w:t>
      </w:r>
    </w:p>
  </w:footnote>
  <w:footnote w:id="25">
    <w:p w14:paraId="38A8A015" w14:textId="202A53A6" w:rsidR="0097113C" w:rsidRDefault="0097113C" w:rsidP="00080FA8">
      <w:pPr>
        <w:pStyle w:val="FootnoteText"/>
        <w:spacing w:before="40" w:after="40"/>
      </w:pPr>
      <w:r w:rsidRPr="00FF7B8A">
        <w:rPr>
          <w:rStyle w:val="FootnoteReference"/>
          <w:rFonts w:asciiTheme="majorHAnsi" w:hAnsiTheme="majorHAnsi" w:cstheme="majorHAnsi"/>
          <w:sz w:val="16"/>
          <w:szCs w:val="16"/>
        </w:rPr>
        <w:footnoteRef/>
      </w:r>
      <w:r w:rsidR="00080FA8">
        <w:rPr>
          <w:rFonts w:asciiTheme="majorHAnsi" w:hAnsiTheme="majorHAnsi" w:cstheme="majorHAnsi"/>
          <w:sz w:val="16"/>
          <w:szCs w:val="16"/>
        </w:rPr>
        <w:t xml:space="preserve"> </w:t>
      </w:r>
      <w:r w:rsidR="00080FA8">
        <w:rPr>
          <w:rFonts w:asciiTheme="majorHAnsi" w:hAnsiTheme="majorHAnsi" w:cstheme="majorHAnsi"/>
          <w:sz w:val="16"/>
          <w:szCs w:val="16"/>
        </w:rPr>
        <w:tab/>
        <w:t>P</w:t>
      </w:r>
      <w:r w:rsidRPr="00FF7B8A">
        <w:rPr>
          <w:rFonts w:asciiTheme="majorHAnsi" w:hAnsiTheme="majorHAnsi" w:cstheme="majorHAnsi"/>
          <w:sz w:val="16"/>
          <w:szCs w:val="16"/>
        </w:rPr>
        <w:t xml:space="preserve">articipant fees may include a component of the capacity trading and auction costs even if the registered participant does not use the capacity trading platform or auction.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C0FC9" w14:textId="77777777" w:rsidR="001C02BB" w:rsidRDefault="001C02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54A56" w14:textId="77777777" w:rsidR="0097113C" w:rsidRPr="00395A4B" w:rsidRDefault="0097113C" w:rsidP="00F25C7A">
    <w:pPr>
      <w:pStyle w:val="Header"/>
      <w:ind w:left="-623" w:hanging="142"/>
    </w:pPr>
    <w:r>
      <w:rPr>
        <w:b/>
        <w:noProof/>
        <w:sz w:val="24"/>
        <w:szCs w:val="24"/>
        <w:lang w:eastAsia="en-AU"/>
      </w:rPr>
      <w:drawing>
        <wp:inline distT="0" distB="0" distL="0" distR="0" wp14:anchorId="2281363E" wp14:editId="520A9F85">
          <wp:extent cx="504825" cy="857250"/>
          <wp:effectExtent l="0" t="0" r="9525" b="0"/>
          <wp:docPr id="8" name="Picture 8" descr="Gas Marekt Reform Group Logo" title="Gas Marekt Reform Grou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C:\Users\Katherine Lowe\AppData\Local\Microsoft\Windows\INetCacheContent.Word\GMRG-logo-stacked-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85725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CA67B" w14:textId="77777777" w:rsidR="0097113C" w:rsidRDefault="0097113C">
    <w:pPr>
      <w:pStyle w:val="Header"/>
    </w:pPr>
    <w:r>
      <w:rPr>
        <w:b/>
        <w:noProof/>
        <w:sz w:val="24"/>
        <w:szCs w:val="24"/>
        <w:lang w:eastAsia="en-AU"/>
      </w:rPr>
      <w:drawing>
        <wp:inline distT="0" distB="0" distL="0" distR="0" wp14:anchorId="7C969797" wp14:editId="384279BC">
          <wp:extent cx="504825" cy="857250"/>
          <wp:effectExtent l="0" t="0" r="9525" b="0"/>
          <wp:docPr id="9" name="Picture 9" descr="Gas Marekt Reform Group Logo" title="Gas Marekt Reform Grou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C:\Users\Katherine Lowe\AppData\Local\Microsoft\Windows\INetCacheContent.Word\GMRG-logo-stacked-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85725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27DA1" w14:textId="0F9F74D6" w:rsidR="0097113C" w:rsidRDefault="0097113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E18D17" w14:textId="0D04E3AF" w:rsidR="0097113C" w:rsidRDefault="0097113C">
    <w:pPr>
      <w:pStyle w:val="Header"/>
    </w:pPr>
    <w:r>
      <w:rPr>
        <w:b/>
        <w:noProof/>
        <w:sz w:val="24"/>
        <w:szCs w:val="24"/>
        <w:lang w:eastAsia="en-AU"/>
      </w:rPr>
      <w:drawing>
        <wp:inline distT="0" distB="0" distL="0" distR="0" wp14:anchorId="6E84A99B" wp14:editId="726B8B81">
          <wp:extent cx="514350" cy="838200"/>
          <wp:effectExtent l="0" t="0" r="0" b="0"/>
          <wp:docPr id="5" name="Picture 5" descr="Gas Market Reform Group Logo" title="GMR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62E510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32DB9"/>
    <w:multiLevelType w:val="multilevel"/>
    <w:tmpl w:val="E5E89F92"/>
    <w:styleLink w:val="BulletList"/>
    <w:lvl w:ilvl="0">
      <w:start w:val="1"/>
      <w:numFmt w:val="bullet"/>
      <w:lvlText w:val=""/>
      <w:lvlJc w:val="left"/>
      <w:pPr>
        <w:ind w:left="369" w:hanging="369"/>
      </w:pPr>
      <w:rPr>
        <w:rFonts w:ascii="Symbol" w:hAnsi="Symbol" w:hint="default"/>
      </w:rPr>
    </w:lvl>
    <w:lvl w:ilvl="1">
      <w:start w:val="1"/>
      <w:numFmt w:val="none"/>
      <w:lvlText w:val="-"/>
      <w:lvlJc w:val="left"/>
      <w:pPr>
        <w:ind w:left="737" w:hanging="368"/>
      </w:pPr>
    </w:lvl>
    <w:lvl w:ilvl="2">
      <w:start w:val="1"/>
      <w:numFmt w:val="none"/>
      <w:lvlText w:val=":"/>
      <w:lvlJc w:val="left"/>
      <w:pPr>
        <w:ind w:left="1106" w:hanging="369"/>
      </w:pPr>
    </w:lvl>
    <w:lvl w:ilvl="3">
      <w:start w:val="1"/>
      <w:numFmt w:val="none"/>
      <w:lvlText w:val=""/>
      <w:lvlJc w:val="left"/>
      <w:pPr>
        <w:ind w:left="1474" w:hanging="368"/>
      </w:pPr>
      <w:rPr>
        <w:color w:val="auto"/>
      </w:rPr>
    </w:lvl>
    <w:lvl w:ilvl="4">
      <w:start w:val="1"/>
      <w:numFmt w:val="none"/>
      <w:lvlText w:val=""/>
      <w:lvlJc w:val="left"/>
      <w:pPr>
        <w:ind w:left="1800" w:hanging="360"/>
      </w:pPr>
      <w:rPr>
        <w:color w:val="auto"/>
      </w:rPr>
    </w:lvl>
    <w:lvl w:ilvl="5">
      <w:start w:val="1"/>
      <w:numFmt w:val="none"/>
      <w:lvlText w:val=""/>
      <w:lvlJc w:val="left"/>
      <w:pPr>
        <w:ind w:left="2160" w:hanging="360"/>
      </w:pPr>
      <w:rPr>
        <w:color w:val="auto"/>
      </w:rPr>
    </w:lvl>
    <w:lvl w:ilvl="6">
      <w:start w:val="1"/>
      <w:numFmt w:val="none"/>
      <w:lvlText w:val=""/>
      <w:lvlJc w:val="left"/>
      <w:pPr>
        <w:ind w:left="2520" w:hanging="360"/>
      </w:pPr>
      <w:rPr>
        <w:color w:val="auto"/>
      </w:rPr>
    </w:lvl>
    <w:lvl w:ilvl="7">
      <w:start w:val="1"/>
      <w:numFmt w:val="none"/>
      <w:lvlText w:val=""/>
      <w:lvlJc w:val="left"/>
      <w:pPr>
        <w:ind w:left="2880" w:hanging="360"/>
      </w:pPr>
      <w:rPr>
        <w:color w:val="auto"/>
      </w:rPr>
    </w:lvl>
    <w:lvl w:ilvl="8">
      <w:start w:val="1"/>
      <w:numFmt w:val="none"/>
      <w:lvlText w:val=""/>
      <w:lvlJc w:val="left"/>
      <w:pPr>
        <w:ind w:left="3240" w:hanging="360"/>
      </w:pPr>
      <w:rPr>
        <w:color w:val="auto"/>
      </w:rPr>
    </w:lvl>
  </w:abstractNum>
  <w:abstractNum w:abstractNumId="2" w15:restartNumberingAfterBreak="0">
    <w:nsid w:val="00F7340A"/>
    <w:multiLevelType w:val="multilevel"/>
    <w:tmpl w:val="1BC81502"/>
    <w:lvl w:ilvl="0">
      <w:start w:val="1"/>
      <w:numFmt w:val="decimal"/>
      <w:pStyle w:val="TableListNumber"/>
      <w:lvlText w:val="%1."/>
      <w:lvlJc w:val="left"/>
      <w:pPr>
        <w:tabs>
          <w:tab w:val="num" w:pos="-31680"/>
        </w:tabs>
        <w:ind w:left="369" w:hanging="284"/>
      </w:pPr>
      <w:rPr>
        <w:rFonts w:hint="default"/>
      </w:rPr>
    </w:lvl>
    <w:lvl w:ilvl="1">
      <w:start w:val="1"/>
      <w:numFmt w:val="lowerLetter"/>
      <w:pStyle w:val="TableListNumber2"/>
      <w:lvlText w:val="%2."/>
      <w:lvlJc w:val="left"/>
      <w:pPr>
        <w:ind w:left="652" w:hanging="283"/>
      </w:pPr>
      <w:rPr>
        <w:rFonts w:hint="default"/>
      </w:rPr>
    </w:lvl>
    <w:lvl w:ilvl="2">
      <w:start w:val="1"/>
      <w:numFmt w:val="lowerRoman"/>
      <w:pStyle w:val="TableListNumber3"/>
      <w:lvlText w:val="%3."/>
      <w:lvlJc w:val="left"/>
      <w:pPr>
        <w:ind w:left="936"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6F68CE"/>
    <w:multiLevelType w:val="multilevel"/>
    <w:tmpl w:val="9F2A8B76"/>
    <w:styleLink w:val="MyListNumbering"/>
    <w:lvl w:ilvl="0">
      <w:start w:val="1"/>
      <w:numFmt w:val="lowerLetter"/>
      <w:lvlText w:val="(%1)"/>
      <w:lvlJc w:val="left"/>
      <w:pPr>
        <w:tabs>
          <w:tab w:val="num" w:pos="567"/>
        </w:tabs>
        <w:ind w:left="360" w:hanging="360"/>
      </w:pPr>
      <w:rPr>
        <w:rFonts w:hint="default"/>
      </w:rPr>
    </w:lvl>
    <w:lvl w:ilvl="1">
      <w:start w:val="1"/>
      <w:numFmt w:val="lowerRoman"/>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3B57116"/>
    <w:multiLevelType w:val="multilevel"/>
    <w:tmpl w:val="D8C832B8"/>
    <w:name w:val="TableNumbering2"/>
    <w:lvl w:ilvl="0">
      <w:start w:val="1"/>
      <w:numFmt w:val="none"/>
      <w:suff w:val="nothing"/>
      <w:lvlText w:val=""/>
      <w:lvlJc w:val="left"/>
      <w:pPr>
        <w:ind w:left="113" w:firstLine="0"/>
      </w:pPr>
      <w:rPr>
        <w:rFonts w:hint="default"/>
      </w:rPr>
    </w:lvl>
    <w:lvl w:ilvl="1">
      <w:start w:val="1"/>
      <w:numFmt w:val="decimal"/>
      <w:lvlText w:val="(%2)"/>
      <w:lvlJc w:val="left"/>
      <w:pPr>
        <w:tabs>
          <w:tab w:val="num" w:pos="425"/>
        </w:tabs>
        <w:ind w:left="425" w:hanging="425"/>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5" w15:restartNumberingAfterBreak="0">
    <w:nsid w:val="0FB2573F"/>
    <w:multiLevelType w:val="multilevel"/>
    <w:tmpl w:val="DE1A4C60"/>
    <w:name w:val="TableFootnotes"/>
    <w:lvl w:ilvl="0">
      <w:start w:val="1"/>
      <w:numFmt w:val="none"/>
      <w:suff w:val="nothing"/>
      <w:lvlText w:val=""/>
      <w:lvlJc w:val="left"/>
      <w:pPr>
        <w:ind w:left="113" w:firstLine="0"/>
      </w:pPr>
      <w:rPr>
        <w:rFonts w:hint="default"/>
        <w:spacing w:val="-10"/>
      </w:rPr>
    </w:lvl>
    <w:lvl w:ilvl="1">
      <w:start w:val="1"/>
      <w:numFmt w:val="decimal"/>
      <w:lvlText w:val="(%2)"/>
      <w:lvlJc w:val="left"/>
      <w:pPr>
        <w:tabs>
          <w:tab w:val="num" w:pos="425"/>
        </w:tabs>
        <w:ind w:left="425" w:hanging="425"/>
      </w:pPr>
      <w:rPr>
        <w:rFonts w:hint="default"/>
        <w:spacing w:val="0"/>
        <w:w w:val="100"/>
        <w:kern w:val="0"/>
        <w:position w:val="0"/>
      </w:rPr>
    </w:lvl>
    <w:lvl w:ilvl="2">
      <w:start w:val="1"/>
      <w:numFmt w:val="none"/>
      <w:lvlRestart w:val="1"/>
      <w:lvlText w:val=""/>
      <w:lvlJc w:val="left"/>
      <w:pPr>
        <w:tabs>
          <w:tab w:val="num" w:pos="284"/>
        </w:tabs>
        <w:ind w:left="284" w:hanging="284"/>
      </w:pPr>
      <w:rPr>
        <w:rFonts w:hint="default"/>
        <w:color w:val="auto"/>
        <w:spacing w:val="-4"/>
      </w:rPr>
    </w:lvl>
    <w:lvl w:ilvl="3">
      <w:start w:val="1"/>
      <w:numFmt w:val="none"/>
      <w:lvlText w:val=""/>
      <w:lvlJc w:val="left"/>
      <w:pPr>
        <w:tabs>
          <w:tab w:val="num" w:pos="0"/>
        </w:tabs>
        <w:ind w:left="-709" w:firstLine="0"/>
      </w:pPr>
      <w:rPr>
        <w:rFonts w:hint="default"/>
        <w:spacing w:val="-10"/>
        <w:w w:val="10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2160"/>
        </w:tabs>
        <w:ind w:left="2016" w:hanging="936"/>
      </w:pPr>
      <w:rPr>
        <w:rFonts w:hint="default"/>
      </w:rPr>
    </w:lvl>
    <w:lvl w:ilvl="6">
      <w:start w:val="1"/>
      <w:numFmt w:val="lowerRoman"/>
      <w:lvlRestart w:val="1"/>
      <w:lvlText w:val="%7"/>
      <w:lvlJc w:val="left"/>
      <w:pPr>
        <w:tabs>
          <w:tab w:val="num" w:pos="369"/>
        </w:tabs>
        <w:ind w:left="369" w:hanging="369"/>
      </w:pPr>
      <w:rPr>
        <w:rFonts w:hint="default"/>
      </w:rPr>
    </w:lvl>
    <w:lvl w:ilvl="7">
      <w:start w:val="1"/>
      <w:numFmt w:val="lowerLetter"/>
      <w:lvlText w:val="%8."/>
      <w:lvlJc w:val="left"/>
      <w:pPr>
        <w:tabs>
          <w:tab w:val="num" w:pos="737"/>
        </w:tabs>
        <w:ind w:left="737" w:hanging="368"/>
      </w:pPr>
      <w:rPr>
        <w:rFonts w:hint="default"/>
        <w:position w:val="0"/>
      </w:rPr>
    </w:lvl>
    <w:lvl w:ilvl="8">
      <w:start w:val="1"/>
      <w:numFmt w:val="bullet"/>
      <w:lvlText w:val=""/>
      <w:lvlJc w:val="left"/>
      <w:pPr>
        <w:tabs>
          <w:tab w:val="num" w:pos="1106"/>
        </w:tabs>
        <w:ind w:left="1106" w:hanging="369"/>
      </w:pPr>
      <w:rPr>
        <w:rFonts w:ascii="Symbol" w:hAnsi="Symbol" w:hint="default"/>
        <w:position w:val="2"/>
        <w:sz w:val="20"/>
        <w:szCs w:val="20"/>
      </w:rPr>
    </w:lvl>
  </w:abstractNum>
  <w:abstractNum w:abstractNumId="6" w15:restartNumberingAfterBreak="0">
    <w:nsid w:val="14890D1D"/>
    <w:multiLevelType w:val="multilevel"/>
    <w:tmpl w:val="62467878"/>
    <w:name w:val="MyBullets"/>
    <w:lvl w:ilvl="0">
      <w:start w:val="7"/>
      <w:numFmt w:val="bullet"/>
      <w:pStyle w:val="ListBullet"/>
      <w:lvlText w:val=""/>
      <w:lvlJc w:val="left"/>
      <w:pPr>
        <w:tabs>
          <w:tab w:val="num" w:pos="357"/>
        </w:tabs>
        <w:ind w:left="357" w:hanging="357"/>
      </w:pPr>
      <w:rPr>
        <w:rFonts w:ascii="Wingdings" w:hAnsi="Wingdings" w:hint="default"/>
        <w:color w:val="auto"/>
        <w:position w:val="1"/>
        <w:sz w:val="20"/>
      </w:rPr>
    </w:lvl>
    <w:lvl w:ilvl="1">
      <w:start w:val="5"/>
      <w:numFmt w:val="bullet"/>
      <w:lvlText w:val="—"/>
      <w:lvlJc w:val="left"/>
      <w:pPr>
        <w:tabs>
          <w:tab w:val="num" w:pos="714"/>
        </w:tabs>
        <w:ind w:left="714" w:hanging="357"/>
      </w:pPr>
      <w:rPr>
        <w:rFonts w:ascii="Book Antiqua" w:hAnsi="Book Antiqua" w:hint="default"/>
        <w:b w:val="0"/>
        <w:i w:val="0"/>
        <w:color w:val="auto"/>
        <w:position w:val="0"/>
        <w:sz w:val="20"/>
      </w:rPr>
    </w:lvl>
    <w:lvl w:ilvl="2">
      <w:start w:val="1"/>
      <w:numFmt w:val="bullet"/>
      <w:lvlText w:val=""/>
      <w:lvlJc w:val="left"/>
      <w:pPr>
        <w:tabs>
          <w:tab w:val="num" w:pos="1072"/>
        </w:tabs>
        <w:ind w:left="1071" w:hanging="357"/>
      </w:pPr>
      <w:rPr>
        <w:rFonts w:ascii="Wingdings" w:hAnsi="Wingdings" w:hint="default"/>
        <w:b w:val="0"/>
        <w:i w:val="0"/>
        <w:color w:val="auto"/>
        <w:position w:val="0"/>
        <w:sz w:val="22"/>
      </w:rPr>
    </w:lvl>
    <w:lvl w:ilvl="3">
      <w:start w:val="1"/>
      <w:numFmt w:val="bullet"/>
      <w:pStyle w:val="ListBullet4"/>
      <w:lvlText w:val="-"/>
      <w:lvlJc w:val="left"/>
      <w:pPr>
        <w:tabs>
          <w:tab w:val="num" w:pos="1638"/>
        </w:tabs>
        <w:ind w:left="1428" w:hanging="357"/>
      </w:pPr>
      <w:rPr>
        <w:rFonts w:ascii="Arial Rounded MT Bold" w:hAnsi="Arial Rounded MT Bold" w:hint="default"/>
        <w:color w:val="auto"/>
      </w:rPr>
    </w:lvl>
    <w:lvl w:ilvl="4">
      <w:start w:val="1"/>
      <w:numFmt w:val="bullet"/>
      <w:pStyle w:val="ListBullet5"/>
      <w:lvlText w:val="o"/>
      <w:lvlJc w:val="left"/>
      <w:pPr>
        <w:tabs>
          <w:tab w:val="num" w:pos="1995"/>
        </w:tabs>
        <w:ind w:left="1785" w:hanging="357"/>
      </w:pPr>
      <w:rPr>
        <w:rFonts w:ascii="Courier New" w:hAnsi="Courier New" w:hint="default"/>
        <w:color w:val="auto"/>
        <w:sz w:val="16"/>
      </w:rPr>
    </w:lvl>
    <w:lvl w:ilvl="5">
      <w:start w:val="1"/>
      <w:numFmt w:val="none"/>
      <w:lvlText w:val=""/>
      <w:lvlJc w:val="left"/>
      <w:pPr>
        <w:tabs>
          <w:tab w:val="num" w:pos="2352"/>
        </w:tabs>
        <w:ind w:left="2142" w:hanging="357"/>
      </w:pPr>
      <w:rPr>
        <w:rFonts w:hint="default"/>
      </w:rPr>
    </w:lvl>
    <w:lvl w:ilvl="6">
      <w:start w:val="1"/>
      <w:numFmt w:val="none"/>
      <w:lvlText w:val=""/>
      <w:lvlJc w:val="left"/>
      <w:pPr>
        <w:tabs>
          <w:tab w:val="num" w:pos="2709"/>
        </w:tabs>
        <w:ind w:left="2499" w:hanging="357"/>
      </w:pPr>
      <w:rPr>
        <w:rFonts w:hint="default"/>
      </w:rPr>
    </w:lvl>
    <w:lvl w:ilvl="7">
      <w:start w:val="1"/>
      <w:numFmt w:val="none"/>
      <w:lvlText w:val=""/>
      <w:lvlJc w:val="left"/>
      <w:pPr>
        <w:tabs>
          <w:tab w:val="num" w:pos="3066"/>
        </w:tabs>
        <w:ind w:left="2856" w:hanging="357"/>
      </w:pPr>
      <w:rPr>
        <w:rFonts w:hint="default"/>
      </w:rPr>
    </w:lvl>
    <w:lvl w:ilvl="8">
      <w:start w:val="1"/>
      <w:numFmt w:val="none"/>
      <w:lvlText w:val=""/>
      <w:lvlJc w:val="left"/>
      <w:pPr>
        <w:tabs>
          <w:tab w:val="num" w:pos="3423"/>
        </w:tabs>
        <w:ind w:left="3213" w:hanging="357"/>
      </w:pPr>
      <w:rPr>
        <w:rFonts w:hint="default"/>
      </w:rPr>
    </w:lvl>
  </w:abstractNum>
  <w:abstractNum w:abstractNumId="7" w15:restartNumberingAfterBreak="0">
    <w:nsid w:val="1A3A6266"/>
    <w:multiLevelType w:val="multilevel"/>
    <w:tmpl w:val="F6E68370"/>
    <w:lvl w:ilvl="0">
      <w:start w:val="1"/>
      <w:numFmt w:val="bullet"/>
      <w:pStyle w:val="AERbulletlistsecondstyle"/>
      <w:lvlText w:val=""/>
      <w:lvlJc w:val="left"/>
      <w:pPr>
        <w:ind w:left="717" w:hanging="360"/>
      </w:pPr>
      <w:rPr>
        <w:rFonts w:ascii="Wingdings 2" w:hAnsi="Wingdings 2" w:hint="default"/>
        <w:b w:val="0"/>
        <w:bCs w:val="0"/>
        <w:i w:val="0"/>
        <w:iCs w:val="0"/>
        <w:caps w:val="0"/>
        <w:strike w:val="0"/>
        <w:dstrike w:val="0"/>
        <w:outline w:val="0"/>
        <w:shadow w:val="0"/>
        <w:emboss w:val="0"/>
        <w:imprint w:val="0"/>
        <w:vanish w:val="0"/>
        <w:spacing w:val="0"/>
        <w:kern w:val="0"/>
        <w:position w:val="0"/>
        <w:sz w:val="18"/>
        <w:u w:val="none"/>
        <w:vertAlign w:val="baseline"/>
        <w:em w:val="none"/>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sz w:val="20"/>
        <w:szCs w:val="20"/>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F6579C"/>
    <w:multiLevelType w:val="multilevel"/>
    <w:tmpl w:val="CC28B484"/>
    <w:name w:val="MyNumbering2"/>
    <w:lvl w:ilvl="0">
      <w:start w:val="1"/>
      <w:numFmt w:val="decimal"/>
      <w:pStyle w:val="ListNumber"/>
      <w:lvlText w:val="%1."/>
      <w:lvlJc w:val="left"/>
      <w:pPr>
        <w:ind w:left="357" w:hanging="357"/>
      </w:pPr>
      <w:rPr>
        <w:rFonts w:hint="default"/>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ind w:left="1071" w:hanging="357"/>
      </w:pPr>
      <w:rPr>
        <w:rFonts w:hint="default"/>
      </w:rPr>
    </w:lvl>
    <w:lvl w:ilvl="3">
      <w:start w:val="1"/>
      <w:numFmt w:val="upperLetter"/>
      <w:pStyle w:val="ListNumber4"/>
      <w:lvlText w:val="%4."/>
      <w:lvlJc w:val="left"/>
      <w:pPr>
        <w:ind w:left="1428" w:hanging="357"/>
      </w:pPr>
      <w:rPr>
        <w:rFonts w:hint="default"/>
      </w:rPr>
    </w:lvl>
    <w:lvl w:ilvl="4">
      <w:start w:val="1"/>
      <w:numFmt w:val="upperRoman"/>
      <w:pStyle w:val="ListNumber5"/>
      <w:lvlText w:val="%5."/>
      <w:lvlJc w:val="left"/>
      <w:pPr>
        <w:ind w:left="1785" w:hanging="357"/>
      </w:pPr>
      <w:rPr>
        <w:rFonts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9" w15:restartNumberingAfterBreak="0">
    <w:nsid w:val="226A6EE6"/>
    <w:multiLevelType w:val="multilevel"/>
    <w:tmpl w:val="E4FE780E"/>
    <w:lvl w:ilvl="0">
      <w:start w:val="1"/>
      <w:numFmt w:val="bullet"/>
      <w:pStyle w:val="TableBullet1"/>
      <w:lvlText w:val=""/>
      <w:lvlJc w:val="left"/>
      <w:pPr>
        <w:tabs>
          <w:tab w:val="num" w:pos="312"/>
        </w:tabs>
        <w:ind w:left="312" w:hanging="227"/>
      </w:pPr>
      <w:rPr>
        <w:rFonts w:ascii="Wingdings" w:hAnsi="Wingdings" w:hint="default"/>
        <w:color w:val="auto"/>
        <w:position w:val="0"/>
        <w:sz w:val="18"/>
      </w:rPr>
    </w:lvl>
    <w:lvl w:ilvl="1">
      <w:start w:val="1"/>
      <w:numFmt w:val="bullet"/>
      <w:pStyle w:val="TableBullet2"/>
      <w:lvlText w:val="–"/>
      <w:lvlJc w:val="left"/>
      <w:pPr>
        <w:tabs>
          <w:tab w:val="num" w:pos="539"/>
        </w:tabs>
        <w:ind w:left="539" w:hanging="227"/>
      </w:pPr>
      <w:rPr>
        <w:rFonts w:ascii="Arial" w:hAnsi="Arial" w:hint="default"/>
        <w:color w:val="auto"/>
        <w:position w:val="0"/>
        <w:sz w:val="18"/>
      </w:rPr>
    </w:lvl>
    <w:lvl w:ilvl="2">
      <w:start w:val="1"/>
      <w:numFmt w:val="bullet"/>
      <w:pStyle w:val="TableBullet3"/>
      <w:lvlText w:val="•"/>
      <w:lvlJc w:val="left"/>
      <w:pPr>
        <w:tabs>
          <w:tab w:val="num" w:pos="765"/>
        </w:tabs>
        <w:ind w:left="765" w:hanging="226"/>
      </w:pPr>
      <w:rPr>
        <w:rFonts w:ascii="Book Antiqua" w:hAnsi="Book Antiqua" w:hint="default"/>
        <w:color w:val="auto"/>
        <w:position w:val="0"/>
        <w:sz w:val="18"/>
      </w:rPr>
    </w:lvl>
    <w:lvl w:ilvl="3">
      <w:start w:val="1"/>
      <w:numFmt w:val="none"/>
      <w:lvlText w:val=""/>
      <w:lvlJc w:val="left"/>
      <w:pPr>
        <w:tabs>
          <w:tab w:val="num" w:pos="1021"/>
        </w:tabs>
        <w:ind w:left="908" w:hanging="227"/>
      </w:pPr>
      <w:rPr>
        <w:rFonts w:hint="default"/>
        <w:color w:val="214C90" w:themeColor="text2"/>
        <w:sz w:val="16"/>
      </w:rPr>
    </w:lvl>
    <w:lvl w:ilvl="4">
      <w:start w:val="1"/>
      <w:numFmt w:val="none"/>
      <w:lvlText w:val=""/>
      <w:lvlJc w:val="left"/>
      <w:pPr>
        <w:tabs>
          <w:tab w:val="num" w:pos="1248"/>
        </w:tabs>
        <w:ind w:left="1135" w:hanging="227"/>
      </w:pPr>
      <w:rPr>
        <w:rFonts w:hint="default"/>
        <w:color w:val="214C90" w:themeColor="text2"/>
      </w:rPr>
    </w:lvl>
    <w:lvl w:ilvl="5">
      <w:start w:val="1"/>
      <w:numFmt w:val="none"/>
      <w:lvlText w:val=""/>
      <w:lvlJc w:val="left"/>
      <w:pPr>
        <w:tabs>
          <w:tab w:val="num" w:pos="1475"/>
        </w:tabs>
        <w:ind w:left="1362" w:hanging="227"/>
      </w:pPr>
      <w:rPr>
        <w:rFonts w:hint="default"/>
      </w:rPr>
    </w:lvl>
    <w:lvl w:ilvl="6">
      <w:start w:val="1"/>
      <w:numFmt w:val="none"/>
      <w:lvlText w:val=""/>
      <w:lvlJc w:val="left"/>
      <w:pPr>
        <w:tabs>
          <w:tab w:val="num" w:pos="1702"/>
        </w:tabs>
        <w:ind w:left="1589" w:hanging="227"/>
      </w:pPr>
      <w:rPr>
        <w:rFonts w:hint="default"/>
      </w:rPr>
    </w:lvl>
    <w:lvl w:ilvl="7">
      <w:start w:val="1"/>
      <w:numFmt w:val="none"/>
      <w:lvlText w:val=""/>
      <w:lvlJc w:val="left"/>
      <w:pPr>
        <w:tabs>
          <w:tab w:val="num" w:pos="1929"/>
        </w:tabs>
        <w:ind w:left="1816" w:hanging="227"/>
      </w:pPr>
      <w:rPr>
        <w:rFonts w:hint="default"/>
      </w:rPr>
    </w:lvl>
    <w:lvl w:ilvl="8">
      <w:start w:val="1"/>
      <w:numFmt w:val="none"/>
      <w:lvlText w:val=""/>
      <w:lvlJc w:val="left"/>
      <w:pPr>
        <w:tabs>
          <w:tab w:val="num" w:pos="2156"/>
        </w:tabs>
        <w:ind w:left="2043" w:hanging="227"/>
      </w:pPr>
      <w:rPr>
        <w:rFonts w:hint="default"/>
      </w:rPr>
    </w:lvl>
  </w:abstractNum>
  <w:abstractNum w:abstractNumId="10" w15:restartNumberingAfterBreak="0">
    <w:nsid w:val="23594EC4"/>
    <w:multiLevelType w:val="hybridMultilevel"/>
    <w:tmpl w:val="D11474C2"/>
    <w:lvl w:ilvl="0" w:tplc="1F52F16E">
      <w:start w:val="1"/>
      <w:numFmt w:val="decimal"/>
      <w:lvlText w:val="%1."/>
      <w:lvlJc w:val="left"/>
      <w:pPr>
        <w:ind w:left="720" w:hanging="360"/>
      </w:pPr>
      <w:rPr>
        <w:rFonts w:ascii="Arial" w:hAnsi="Arial" w:hint="default"/>
        <w:b w:val="0"/>
        <w:i w:val="0"/>
        <w:sz w:val="22"/>
        <w:szCs w:val="26"/>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54B6A47"/>
    <w:multiLevelType w:val="multilevel"/>
    <w:tmpl w:val="305A6728"/>
    <w:name w:val="AlphaList"/>
    <w:lvl w:ilvl="0">
      <w:start w:val="1"/>
      <w:numFmt w:val="lowerLetter"/>
      <w:lvlText w:val="(%1)"/>
      <w:lvlJc w:val="left"/>
      <w:pPr>
        <w:tabs>
          <w:tab w:val="num" w:pos="397"/>
        </w:tabs>
        <w:ind w:left="397" w:hanging="397"/>
      </w:pPr>
      <w:rPr>
        <w:rFonts w:hint="default"/>
      </w:rPr>
    </w:lvl>
    <w:lvl w:ilvl="1">
      <w:start w:val="1"/>
      <w:numFmt w:val="lowerRoman"/>
      <w:lvlText w:val="(%2)"/>
      <w:lvlJc w:val="left"/>
      <w:pPr>
        <w:tabs>
          <w:tab w:val="num" w:pos="794"/>
        </w:tabs>
        <w:ind w:left="794" w:hanging="397"/>
      </w:pPr>
      <w:rPr>
        <w:rFonts w:hint="default"/>
      </w:rPr>
    </w:lvl>
    <w:lvl w:ilvl="2">
      <w:start w:val="1"/>
      <w:numFmt w:val="upperLetter"/>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none"/>
      <w:lvlText w:val=""/>
      <w:lvlJc w:val="left"/>
      <w:pPr>
        <w:tabs>
          <w:tab w:val="num" w:pos="2013"/>
        </w:tabs>
        <w:ind w:left="1985" w:hanging="397"/>
      </w:pPr>
      <w:rPr>
        <w:rFonts w:hint="default"/>
      </w:rPr>
    </w:lvl>
    <w:lvl w:ilvl="5">
      <w:start w:val="1"/>
      <w:numFmt w:val="none"/>
      <w:lvlText w:val=""/>
      <w:lvlJc w:val="left"/>
      <w:pPr>
        <w:tabs>
          <w:tab w:val="num" w:pos="2410"/>
        </w:tabs>
        <w:ind w:left="2382" w:hanging="397"/>
      </w:pPr>
      <w:rPr>
        <w:rFonts w:hint="default"/>
      </w:rPr>
    </w:lvl>
    <w:lvl w:ilvl="6">
      <w:start w:val="1"/>
      <w:numFmt w:val="none"/>
      <w:lvlText w:val=""/>
      <w:lvlJc w:val="left"/>
      <w:pPr>
        <w:tabs>
          <w:tab w:val="num" w:pos="2807"/>
        </w:tabs>
        <w:ind w:left="2779" w:hanging="397"/>
      </w:pPr>
      <w:rPr>
        <w:rFonts w:hint="default"/>
      </w:rPr>
    </w:lvl>
    <w:lvl w:ilvl="7">
      <w:start w:val="1"/>
      <w:numFmt w:val="none"/>
      <w:lvlText w:val=""/>
      <w:lvlJc w:val="left"/>
      <w:pPr>
        <w:tabs>
          <w:tab w:val="num" w:pos="3204"/>
        </w:tabs>
        <w:ind w:left="3176" w:hanging="397"/>
      </w:pPr>
      <w:rPr>
        <w:rFonts w:hint="default"/>
      </w:rPr>
    </w:lvl>
    <w:lvl w:ilvl="8">
      <w:start w:val="1"/>
      <w:numFmt w:val="none"/>
      <w:lvlText w:val=""/>
      <w:lvlJc w:val="left"/>
      <w:pPr>
        <w:tabs>
          <w:tab w:val="num" w:pos="3601"/>
        </w:tabs>
        <w:ind w:left="3573" w:hanging="397"/>
      </w:pPr>
      <w:rPr>
        <w:rFonts w:hint="default"/>
      </w:rPr>
    </w:lvl>
  </w:abstractNum>
  <w:abstractNum w:abstractNumId="12" w15:restartNumberingAfterBreak="0">
    <w:nsid w:val="27C445F5"/>
    <w:multiLevelType w:val="multilevel"/>
    <w:tmpl w:val="0EDEA0D8"/>
    <w:styleLink w:val="HangingList"/>
    <w:lvl w:ilvl="0">
      <w:start w:val="1"/>
      <w:numFmt w:val="none"/>
      <w:suff w:val="nothing"/>
      <w:lvlText w:val=""/>
      <w:lvlJc w:val="left"/>
      <w:pPr>
        <w:ind w:left="992" w:hanging="992"/>
      </w:pPr>
      <w:rPr>
        <w:rFonts w:hint="default"/>
      </w:rPr>
    </w:lvl>
    <w:lvl w:ilvl="1">
      <w:start w:val="1"/>
      <w:numFmt w:val="none"/>
      <w:suff w:val="nothing"/>
      <w:lvlText w:val=""/>
      <w:lvlJc w:val="left"/>
      <w:pPr>
        <w:ind w:left="1701" w:hanging="709"/>
      </w:pPr>
      <w:rPr>
        <w:rFonts w:hint="default"/>
      </w:rPr>
    </w:lvl>
    <w:lvl w:ilvl="2">
      <w:start w:val="1"/>
      <w:numFmt w:val="none"/>
      <w:suff w:val="nothing"/>
      <w:lvlText w:val=""/>
      <w:lvlJc w:val="left"/>
      <w:pPr>
        <w:ind w:left="2410" w:hanging="709"/>
      </w:pPr>
      <w:rPr>
        <w:rFonts w:hint="default"/>
      </w:rPr>
    </w:lvl>
    <w:lvl w:ilvl="3">
      <w:start w:val="1"/>
      <w:numFmt w:val="none"/>
      <w:suff w:val="nothing"/>
      <w:lvlText w:val=""/>
      <w:lvlJc w:val="left"/>
      <w:pPr>
        <w:ind w:left="3119" w:hanging="709"/>
      </w:pPr>
      <w:rPr>
        <w:rFonts w:hint="default"/>
      </w:rPr>
    </w:lvl>
    <w:lvl w:ilvl="4">
      <w:start w:val="1"/>
      <w:numFmt w:val="none"/>
      <w:suff w:val="nothing"/>
      <w:lvlText w:val=""/>
      <w:lvlJc w:val="left"/>
      <w:pPr>
        <w:ind w:left="3828" w:hanging="709"/>
      </w:pPr>
      <w:rPr>
        <w:rFonts w:hint="default"/>
      </w:rPr>
    </w:lvl>
    <w:lvl w:ilvl="5">
      <w:start w:val="1"/>
      <w:numFmt w:val="none"/>
      <w:suff w:val="nothing"/>
      <w:lvlText w:val=""/>
      <w:lvlJc w:val="left"/>
      <w:pPr>
        <w:ind w:left="4537" w:hanging="710"/>
      </w:pPr>
      <w:rPr>
        <w:rFonts w:hint="default"/>
      </w:rPr>
    </w:lvl>
    <w:lvl w:ilvl="6">
      <w:start w:val="1"/>
      <w:numFmt w:val="none"/>
      <w:suff w:val="nothing"/>
      <w:lvlText w:val=""/>
      <w:lvlJc w:val="left"/>
      <w:pPr>
        <w:ind w:left="5246" w:hanging="710"/>
      </w:pPr>
      <w:rPr>
        <w:rFonts w:hint="default"/>
      </w:rPr>
    </w:lvl>
    <w:lvl w:ilvl="7">
      <w:start w:val="1"/>
      <w:numFmt w:val="none"/>
      <w:suff w:val="nothing"/>
      <w:lvlText w:val=""/>
      <w:lvlJc w:val="left"/>
      <w:pPr>
        <w:ind w:left="5955" w:hanging="992"/>
      </w:pPr>
      <w:rPr>
        <w:rFonts w:hint="default"/>
      </w:rPr>
    </w:lvl>
    <w:lvl w:ilvl="8">
      <w:start w:val="1"/>
      <w:numFmt w:val="none"/>
      <w:suff w:val="nothing"/>
      <w:lvlText w:val=""/>
      <w:lvlJc w:val="left"/>
      <w:pPr>
        <w:ind w:left="6664" w:hanging="992"/>
      </w:pPr>
      <w:rPr>
        <w:rFonts w:hint="default"/>
      </w:rPr>
    </w:lvl>
  </w:abstractNum>
  <w:abstractNum w:abstractNumId="13" w15:restartNumberingAfterBreak="0">
    <w:nsid w:val="2911260D"/>
    <w:multiLevelType w:val="multilevel"/>
    <w:tmpl w:val="1F4E711A"/>
    <w:lvl w:ilvl="0">
      <w:start w:val="1"/>
      <w:numFmt w:val="decimal"/>
      <w:pStyle w:val="NotesNumbered"/>
      <w:lvlText w:val="%1."/>
      <w:lvlJc w:val="left"/>
      <w:pPr>
        <w:tabs>
          <w:tab w:val="num" w:pos="284"/>
        </w:tabs>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C976934"/>
    <w:multiLevelType w:val="multilevel"/>
    <w:tmpl w:val="C9881CB4"/>
    <w:name w:val="TableBullets"/>
    <w:styleLink w:val="TableBullets"/>
    <w:lvl w:ilvl="0">
      <w:start w:val="1"/>
      <w:numFmt w:val="bullet"/>
      <w:suff w:val="nothing"/>
      <w:lvlText w:val=""/>
      <w:lvlJc w:val="left"/>
      <w:pPr>
        <w:ind w:left="284" w:hanging="171"/>
      </w:pPr>
      <w:rPr>
        <w:rFonts w:ascii="Symbol" w:hAnsi="Symbol" w:hint="default"/>
        <w:color w:val="auto"/>
      </w:rPr>
    </w:lvl>
    <w:lvl w:ilvl="1">
      <w:start w:val="1"/>
      <w:numFmt w:val="bullet"/>
      <w:lvlText w:val="–"/>
      <w:lvlJc w:val="left"/>
      <w:pPr>
        <w:ind w:left="454" w:hanging="170"/>
      </w:pPr>
      <w:rPr>
        <w:rFonts w:ascii="Georgia" w:hAnsi="Georgia" w:hint="default"/>
        <w:color w:val="auto"/>
      </w:rPr>
    </w:lvl>
    <w:lvl w:ilvl="2">
      <w:start w:val="1"/>
      <w:numFmt w:val="bullet"/>
      <w:lvlText w:val="o"/>
      <w:lvlJc w:val="left"/>
      <w:pPr>
        <w:tabs>
          <w:tab w:val="num" w:pos="454"/>
        </w:tabs>
        <w:ind w:left="624" w:hanging="170"/>
      </w:pPr>
      <w:rPr>
        <w:rFonts w:ascii="Courier New" w:hAnsi="Courier New"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15" w15:restartNumberingAfterBreak="0">
    <w:nsid w:val="315672CA"/>
    <w:multiLevelType w:val="multilevel"/>
    <w:tmpl w:val="938274C0"/>
    <w:name w:val="Table Numbering"/>
    <w:lvl w:ilvl="0">
      <w:start w:val="1"/>
      <w:numFmt w:val="decimal"/>
      <w:lvlText w:val="%1."/>
      <w:lvlJc w:val="left"/>
      <w:pPr>
        <w:tabs>
          <w:tab w:val="num" w:pos="425"/>
        </w:tabs>
        <w:ind w:left="425" w:hanging="425"/>
      </w:pPr>
      <w:rPr>
        <w:rFonts w:hint="default"/>
        <w:b/>
        <w:i w:val="0"/>
        <w:color w:val="auto"/>
      </w:rPr>
    </w:lvl>
    <w:lvl w:ilvl="1">
      <w:start w:val="1"/>
      <w:numFmt w:val="lowerLetter"/>
      <w:lvlText w:val="%2)"/>
      <w:lvlJc w:val="left"/>
      <w:pPr>
        <w:tabs>
          <w:tab w:val="num" w:pos="851"/>
        </w:tabs>
        <w:ind w:left="850" w:hanging="425"/>
      </w:pPr>
      <w:rPr>
        <w:rFonts w:hint="default"/>
        <w:b/>
        <w:i w:val="0"/>
        <w:color w:val="auto"/>
      </w:rPr>
    </w:lvl>
    <w:lvl w:ilvl="2">
      <w:start w:val="1"/>
      <w:numFmt w:val="lowerRoman"/>
      <w:lvlText w:val="%3)"/>
      <w:lvlJc w:val="left"/>
      <w:pPr>
        <w:tabs>
          <w:tab w:val="num" w:pos="1276"/>
        </w:tabs>
        <w:ind w:left="1275" w:hanging="425"/>
      </w:pPr>
      <w:rPr>
        <w:rFonts w:hint="default"/>
        <w:b/>
        <w:i w:val="0"/>
        <w:color w:val="auto"/>
        <w:sz w:val="18"/>
      </w:rPr>
    </w:lvl>
    <w:lvl w:ilvl="3">
      <w:start w:val="1"/>
      <w:numFmt w:val="none"/>
      <w:lvlText w:val="%4"/>
      <w:lvlJc w:val="left"/>
      <w:pPr>
        <w:tabs>
          <w:tab w:val="num" w:pos="1701"/>
        </w:tabs>
        <w:ind w:left="1700" w:hanging="425"/>
      </w:pPr>
      <w:rPr>
        <w:rFonts w:hint="default"/>
        <w:b/>
        <w:i w:val="0"/>
        <w:color w:val="000000" w:themeColor="text1"/>
      </w:rPr>
    </w:lvl>
    <w:lvl w:ilvl="4">
      <w:start w:val="1"/>
      <w:numFmt w:val="none"/>
      <w:lvlText w:val="%5"/>
      <w:lvlJc w:val="left"/>
      <w:pPr>
        <w:tabs>
          <w:tab w:val="num" w:pos="2126"/>
        </w:tabs>
        <w:ind w:left="2125" w:hanging="425"/>
      </w:pPr>
      <w:rPr>
        <w:rFonts w:hint="default"/>
        <w:b/>
        <w:i w:val="0"/>
        <w:color w:val="000000" w:themeColor="text1"/>
      </w:rPr>
    </w:lvl>
    <w:lvl w:ilvl="5">
      <w:start w:val="1"/>
      <w:numFmt w:val="none"/>
      <w:lvlText w:val=""/>
      <w:lvlJc w:val="left"/>
      <w:pPr>
        <w:tabs>
          <w:tab w:val="num" w:pos="2522"/>
        </w:tabs>
        <w:ind w:left="2550" w:hanging="425"/>
      </w:pPr>
      <w:rPr>
        <w:rFonts w:hint="default"/>
      </w:rPr>
    </w:lvl>
    <w:lvl w:ilvl="6">
      <w:start w:val="1"/>
      <w:numFmt w:val="none"/>
      <w:lvlText w:val=""/>
      <w:lvlJc w:val="left"/>
      <w:pPr>
        <w:tabs>
          <w:tab w:val="num" w:pos="2947"/>
        </w:tabs>
        <w:ind w:left="2975" w:hanging="425"/>
      </w:pPr>
      <w:rPr>
        <w:rFonts w:hint="default"/>
      </w:rPr>
    </w:lvl>
    <w:lvl w:ilvl="7">
      <w:start w:val="1"/>
      <w:numFmt w:val="none"/>
      <w:lvlText w:val=""/>
      <w:lvlJc w:val="left"/>
      <w:pPr>
        <w:tabs>
          <w:tab w:val="num" w:pos="3372"/>
        </w:tabs>
        <w:ind w:left="3400" w:hanging="425"/>
      </w:pPr>
      <w:rPr>
        <w:rFonts w:hint="default"/>
      </w:rPr>
    </w:lvl>
    <w:lvl w:ilvl="8">
      <w:start w:val="1"/>
      <w:numFmt w:val="none"/>
      <w:lvlText w:val=""/>
      <w:lvlJc w:val="left"/>
      <w:pPr>
        <w:tabs>
          <w:tab w:val="num" w:pos="3797"/>
        </w:tabs>
        <w:ind w:left="3825" w:hanging="425"/>
      </w:pPr>
      <w:rPr>
        <w:rFonts w:hint="default"/>
      </w:rPr>
    </w:lvl>
  </w:abstractNum>
  <w:abstractNum w:abstractNumId="16" w15:restartNumberingAfterBreak="0">
    <w:nsid w:val="35972C60"/>
    <w:multiLevelType w:val="hybridMultilevel"/>
    <w:tmpl w:val="B148997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7F61971"/>
    <w:multiLevelType w:val="hybridMultilevel"/>
    <w:tmpl w:val="88FA4BF4"/>
    <w:lvl w:ilvl="0" w:tplc="8F8EC1A6">
      <w:start w:val="1"/>
      <w:numFmt w:val="bullet"/>
      <w:lvlText w:val="-"/>
      <w:lvlJc w:val="left"/>
      <w:pPr>
        <w:ind w:left="720" w:hanging="360"/>
      </w:pPr>
      <w:rPr>
        <w:rFonts w:ascii="Arial" w:hAnsi="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8537C78"/>
    <w:multiLevelType w:val="multilevel"/>
    <w:tmpl w:val="B1664474"/>
    <w:lvl w:ilvl="0">
      <w:start w:val="1"/>
      <w:numFmt w:val="decimal"/>
      <w:lvlText w:val="%1."/>
      <w:lvlJc w:val="left"/>
      <w:pPr>
        <w:tabs>
          <w:tab w:val="num" w:pos="357"/>
        </w:tabs>
        <w:ind w:left="357" w:hanging="357"/>
      </w:pPr>
      <w:rPr>
        <w:rFonts w:hint="default"/>
        <w:color w:val="auto"/>
        <w:position w:val="1"/>
        <w:sz w:val="20"/>
      </w:rPr>
    </w:lvl>
    <w:lvl w:ilvl="1">
      <w:start w:val="5"/>
      <w:numFmt w:val="bullet"/>
      <w:lvlText w:val="—"/>
      <w:lvlJc w:val="left"/>
      <w:pPr>
        <w:tabs>
          <w:tab w:val="num" w:pos="714"/>
        </w:tabs>
        <w:ind w:left="714" w:hanging="357"/>
      </w:pPr>
      <w:rPr>
        <w:rFonts w:ascii="Book Antiqua" w:hAnsi="Book Antiqua" w:hint="default"/>
        <w:b w:val="0"/>
        <w:i w:val="0"/>
        <w:color w:val="auto"/>
        <w:position w:val="0"/>
        <w:sz w:val="20"/>
      </w:rPr>
    </w:lvl>
    <w:lvl w:ilvl="2">
      <w:start w:val="1"/>
      <w:numFmt w:val="bullet"/>
      <w:lvlText w:val=""/>
      <w:lvlJc w:val="left"/>
      <w:pPr>
        <w:tabs>
          <w:tab w:val="num" w:pos="1072"/>
        </w:tabs>
        <w:ind w:left="1071" w:hanging="357"/>
      </w:pPr>
      <w:rPr>
        <w:rFonts w:ascii="Wingdings" w:hAnsi="Wingdings" w:hint="default"/>
        <w:b w:val="0"/>
        <w:i w:val="0"/>
        <w:color w:val="auto"/>
        <w:position w:val="0"/>
        <w:sz w:val="22"/>
      </w:rPr>
    </w:lvl>
    <w:lvl w:ilvl="3">
      <w:start w:val="1"/>
      <w:numFmt w:val="bullet"/>
      <w:lvlText w:val="-"/>
      <w:lvlJc w:val="left"/>
      <w:pPr>
        <w:tabs>
          <w:tab w:val="num" w:pos="1638"/>
        </w:tabs>
        <w:ind w:left="1428" w:hanging="357"/>
      </w:pPr>
      <w:rPr>
        <w:rFonts w:ascii="Arial Rounded MT Bold" w:hAnsi="Arial Rounded MT Bold" w:hint="default"/>
        <w:color w:val="auto"/>
      </w:rPr>
    </w:lvl>
    <w:lvl w:ilvl="4">
      <w:start w:val="1"/>
      <w:numFmt w:val="bullet"/>
      <w:lvlText w:val="o"/>
      <w:lvlJc w:val="left"/>
      <w:pPr>
        <w:tabs>
          <w:tab w:val="num" w:pos="1995"/>
        </w:tabs>
        <w:ind w:left="1785" w:hanging="357"/>
      </w:pPr>
      <w:rPr>
        <w:rFonts w:ascii="Courier New" w:hAnsi="Courier New" w:hint="default"/>
        <w:color w:val="auto"/>
        <w:sz w:val="16"/>
      </w:rPr>
    </w:lvl>
    <w:lvl w:ilvl="5">
      <w:start w:val="1"/>
      <w:numFmt w:val="none"/>
      <w:lvlText w:val=""/>
      <w:lvlJc w:val="left"/>
      <w:pPr>
        <w:tabs>
          <w:tab w:val="num" w:pos="2352"/>
        </w:tabs>
        <w:ind w:left="2142" w:hanging="357"/>
      </w:pPr>
      <w:rPr>
        <w:rFonts w:hint="default"/>
      </w:rPr>
    </w:lvl>
    <w:lvl w:ilvl="6">
      <w:start w:val="1"/>
      <w:numFmt w:val="none"/>
      <w:lvlText w:val=""/>
      <w:lvlJc w:val="left"/>
      <w:pPr>
        <w:tabs>
          <w:tab w:val="num" w:pos="2709"/>
        </w:tabs>
        <w:ind w:left="2499" w:hanging="357"/>
      </w:pPr>
      <w:rPr>
        <w:rFonts w:hint="default"/>
      </w:rPr>
    </w:lvl>
    <w:lvl w:ilvl="7">
      <w:start w:val="1"/>
      <w:numFmt w:val="none"/>
      <w:lvlText w:val=""/>
      <w:lvlJc w:val="left"/>
      <w:pPr>
        <w:tabs>
          <w:tab w:val="num" w:pos="3066"/>
        </w:tabs>
        <w:ind w:left="2856" w:hanging="357"/>
      </w:pPr>
      <w:rPr>
        <w:rFonts w:hint="default"/>
      </w:rPr>
    </w:lvl>
    <w:lvl w:ilvl="8">
      <w:start w:val="1"/>
      <w:numFmt w:val="none"/>
      <w:lvlText w:val=""/>
      <w:lvlJc w:val="left"/>
      <w:pPr>
        <w:tabs>
          <w:tab w:val="num" w:pos="3423"/>
        </w:tabs>
        <w:ind w:left="3213" w:hanging="357"/>
      </w:pPr>
      <w:rPr>
        <w:rFonts w:hint="default"/>
      </w:rPr>
    </w:lvl>
  </w:abstractNum>
  <w:abstractNum w:abstractNumId="19" w15:restartNumberingAfterBreak="0">
    <w:nsid w:val="3EDB238B"/>
    <w:multiLevelType w:val="multilevel"/>
    <w:tmpl w:val="D110F2AC"/>
    <w:lvl w:ilvl="0">
      <w:start w:val="1"/>
      <w:numFmt w:val="decimal"/>
      <w:pStyle w:val="Heading1"/>
      <w:lvlText w:val="%1."/>
      <w:lvlJc w:val="left"/>
      <w:pPr>
        <w:ind w:left="624" w:hanging="624"/>
      </w:pPr>
      <w:rPr>
        <w:rFonts w:hint="default"/>
      </w:rPr>
    </w:lvl>
    <w:lvl w:ilvl="1">
      <w:start w:val="1"/>
      <w:numFmt w:val="decimal"/>
      <w:pStyle w:val="Heading2"/>
      <w:lvlText w:val="%1.%2"/>
      <w:lvlJc w:val="left"/>
      <w:pPr>
        <w:ind w:left="624" w:hanging="624"/>
      </w:pPr>
      <w:rPr>
        <w:rFonts w:hint="default"/>
      </w:rPr>
    </w:lvl>
    <w:lvl w:ilvl="2">
      <w:start w:val="1"/>
      <w:numFmt w:val="decimal"/>
      <w:pStyle w:val="Heading3"/>
      <w:lvlText w:val="%1.%2.%3"/>
      <w:lvlJc w:val="left"/>
      <w:pPr>
        <w:ind w:left="624" w:hanging="624"/>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0" w15:restartNumberingAfterBreak="0">
    <w:nsid w:val="443F74CB"/>
    <w:multiLevelType w:val="hybridMultilevel"/>
    <w:tmpl w:val="550AFBE6"/>
    <w:lvl w:ilvl="0" w:tplc="D4F0A01E">
      <w:start w:val="1"/>
      <w:numFmt w:val="decimal"/>
      <w:pStyle w:val="AERnumberedlistfirststyle"/>
      <w:lvlText w:val="%1."/>
      <w:lvlJc w:val="left"/>
      <w:pPr>
        <w:tabs>
          <w:tab w:val="num" w:pos="357"/>
        </w:tabs>
        <w:ind w:left="357" w:hanging="357"/>
      </w:pPr>
      <w:rPr>
        <w:rFonts w:ascii="Gautami" w:hAnsi="Gautami" w:hint="default"/>
        <w:b w:val="0"/>
        <w:i w:val="0"/>
        <w:sz w:val="22"/>
      </w:rPr>
    </w:lvl>
    <w:lvl w:ilvl="1" w:tplc="32F652EA">
      <w:start w:val="1"/>
      <w:numFmt w:val="bullet"/>
      <w:lvlText w:val=""/>
      <w:lvlJc w:val="left"/>
      <w:pPr>
        <w:tabs>
          <w:tab w:val="num" w:pos="4498"/>
        </w:tabs>
        <w:ind w:left="4498" w:hanging="358"/>
      </w:pPr>
      <w:rPr>
        <w:rFonts w:ascii="Wingdings" w:hAnsi="Wingdings" w:hint="default"/>
        <w:b w:val="0"/>
        <w:i w:val="0"/>
        <w:sz w:val="22"/>
      </w:rPr>
    </w:lvl>
    <w:lvl w:ilvl="2" w:tplc="5ABC4262" w:tentative="1">
      <w:start w:val="1"/>
      <w:numFmt w:val="lowerRoman"/>
      <w:lvlText w:val="%3."/>
      <w:lvlJc w:val="right"/>
      <w:pPr>
        <w:tabs>
          <w:tab w:val="num" w:pos="5220"/>
        </w:tabs>
        <w:ind w:left="5220" w:hanging="180"/>
      </w:pPr>
    </w:lvl>
    <w:lvl w:ilvl="3" w:tplc="268C5056" w:tentative="1">
      <w:start w:val="1"/>
      <w:numFmt w:val="decimal"/>
      <w:lvlText w:val="%4."/>
      <w:lvlJc w:val="left"/>
      <w:pPr>
        <w:tabs>
          <w:tab w:val="num" w:pos="5940"/>
        </w:tabs>
        <w:ind w:left="5940" w:hanging="360"/>
      </w:pPr>
    </w:lvl>
    <w:lvl w:ilvl="4" w:tplc="42CAC7D0">
      <w:start w:val="1"/>
      <w:numFmt w:val="lowerLetter"/>
      <w:lvlText w:val="%5."/>
      <w:lvlJc w:val="left"/>
      <w:pPr>
        <w:tabs>
          <w:tab w:val="num" w:pos="6660"/>
        </w:tabs>
        <w:ind w:left="6660" w:hanging="360"/>
      </w:pPr>
    </w:lvl>
    <w:lvl w:ilvl="5" w:tplc="EB7EE31A">
      <w:start w:val="1"/>
      <w:numFmt w:val="lowerRoman"/>
      <w:lvlText w:val="%6."/>
      <w:lvlJc w:val="right"/>
      <w:pPr>
        <w:tabs>
          <w:tab w:val="num" w:pos="7380"/>
        </w:tabs>
        <w:ind w:left="7380" w:hanging="180"/>
      </w:pPr>
    </w:lvl>
    <w:lvl w:ilvl="6" w:tplc="E6D86F90" w:tentative="1">
      <w:start w:val="1"/>
      <w:numFmt w:val="decimal"/>
      <w:lvlText w:val="%7."/>
      <w:lvlJc w:val="left"/>
      <w:pPr>
        <w:tabs>
          <w:tab w:val="num" w:pos="8100"/>
        </w:tabs>
        <w:ind w:left="8100" w:hanging="360"/>
      </w:pPr>
    </w:lvl>
    <w:lvl w:ilvl="7" w:tplc="882C84EC" w:tentative="1">
      <w:start w:val="1"/>
      <w:numFmt w:val="lowerLetter"/>
      <w:lvlText w:val="%8."/>
      <w:lvlJc w:val="left"/>
      <w:pPr>
        <w:tabs>
          <w:tab w:val="num" w:pos="8820"/>
        </w:tabs>
        <w:ind w:left="8820" w:hanging="360"/>
      </w:pPr>
    </w:lvl>
    <w:lvl w:ilvl="8" w:tplc="DD3E2D30" w:tentative="1">
      <w:start w:val="1"/>
      <w:numFmt w:val="lowerRoman"/>
      <w:lvlText w:val="%9."/>
      <w:lvlJc w:val="right"/>
      <w:pPr>
        <w:tabs>
          <w:tab w:val="num" w:pos="9540"/>
        </w:tabs>
        <w:ind w:left="9540" w:hanging="180"/>
      </w:pPr>
    </w:lvl>
  </w:abstractNum>
  <w:abstractNum w:abstractNumId="21" w15:restartNumberingAfterBreak="0">
    <w:nsid w:val="4BB40629"/>
    <w:multiLevelType w:val="hybridMultilevel"/>
    <w:tmpl w:val="EC841D10"/>
    <w:lvl w:ilvl="0" w:tplc="8F8EC1A6">
      <w:start w:val="1"/>
      <w:numFmt w:val="bullet"/>
      <w:lvlText w:val="-"/>
      <w:lvlJc w:val="left"/>
      <w:pPr>
        <w:ind w:left="720" w:hanging="360"/>
      </w:pPr>
      <w:rPr>
        <w:rFonts w:ascii="Arial" w:hAnsi="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EF67232"/>
    <w:multiLevelType w:val="multilevel"/>
    <w:tmpl w:val="965CF50A"/>
    <w:lvl w:ilvl="0">
      <w:start w:val="1"/>
      <w:numFmt w:val="upperLetter"/>
      <w:lvlRestart w:val="0"/>
      <w:pStyle w:val="Heading9"/>
      <w:lvlText w:val="Appendix %1"/>
      <w:lvlJc w:val="left"/>
      <w:pPr>
        <w:ind w:left="1588" w:hanging="1588"/>
      </w:pPr>
      <w:rPr>
        <w:rFonts w:hint="default"/>
      </w:rPr>
    </w:lvl>
    <w:lvl w:ilvl="1">
      <w:start w:val="1"/>
      <w:numFmt w:val="decimal"/>
      <w:pStyle w:val="AppendixHeading2"/>
      <w:lvlText w:val="%1.%2"/>
      <w:lvlJc w:val="left"/>
      <w:pPr>
        <w:ind w:left="624" w:hanging="624"/>
      </w:pPr>
      <w:rPr>
        <w:rFonts w:hint="default"/>
      </w:rPr>
    </w:lvl>
    <w:lvl w:ilvl="2">
      <w:start w:val="1"/>
      <w:numFmt w:val="decimal"/>
      <w:pStyle w:val="AppendixHeading3"/>
      <w:lvlText w:val="%1.%2.%3"/>
      <w:lvlJc w:val="left"/>
      <w:pPr>
        <w:ind w:left="624" w:hanging="624"/>
      </w:pPr>
      <w:rPr>
        <w:rFonts w:hint="default"/>
      </w:rPr>
    </w:lvl>
    <w:lvl w:ilvl="3">
      <w:start w:val="1"/>
      <w:numFmt w:val="decimal"/>
      <w:pStyle w:val="AppendixHeading4"/>
      <w:lvlText w:val="%1.%2.%3.%4"/>
      <w:lvlJc w:val="left"/>
      <w:pPr>
        <w:ind w:left="907" w:hanging="907"/>
      </w:pPr>
      <w:rPr>
        <w:rFonts w:hint="default"/>
        <w:b/>
        <w:i/>
      </w:rPr>
    </w:lvl>
    <w:lvl w:ilvl="4">
      <w:start w:val="1"/>
      <w:numFmt w:val="none"/>
      <w:suff w:val="spac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23" w15:restartNumberingAfterBreak="0">
    <w:nsid w:val="516027D0"/>
    <w:multiLevelType w:val="hybridMultilevel"/>
    <w:tmpl w:val="23B2D8F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2456C28"/>
    <w:multiLevelType w:val="multilevel"/>
    <w:tmpl w:val="472A8ED0"/>
    <w:name w:val="U1_Legal Numbering"/>
    <w:lvl w:ilvl="0">
      <w:start w:val="1"/>
      <w:numFmt w:val="decimal"/>
      <w:lvlText w:val="%1."/>
      <w:lvlJc w:val="left"/>
      <w:pPr>
        <w:ind w:left="567" w:hanging="567"/>
      </w:pPr>
      <w:rPr>
        <w:rFonts w:hint="default"/>
      </w:rPr>
    </w:lvl>
    <w:lvl w:ilvl="1">
      <w:start w:val="1"/>
      <w:numFmt w:val="decimal"/>
      <w:lvlText w:val="%1.%2"/>
      <w:lvlJc w:val="left"/>
      <w:pPr>
        <w:ind w:left="1134" w:hanging="567"/>
      </w:pPr>
      <w:rPr>
        <w:rFonts w:hint="default"/>
      </w:rPr>
    </w:lvl>
    <w:lvl w:ilvl="2">
      <w:start w:val="1"/>
      <w:numFmt w:val="decimal"/>
      <w:lvlText w:val="%1.%2.%3"/>
      <w:lvlJc w:val="left"/>
      <w:pPr>
        <w:tabs>
          <w:tab w:val="num" w:pos="1134"/>
        </w:tabs>
        <w:ind w:left="1814" w:hanging="680"/>
      </w:pPr>
      <w:rPr>
        <w:rFonts w:hint="default"/>
      </w:rPr>
    </w:lvl>
    <w:lvl w:ilvl="3">
      <w:start w:val="1"/>
      <w:numFmt w:val="decimal"/>
      <w:suff w:val="space"/>
      <w:lvlText w:val="%1.%2.%3.%4  "/>
      <w:lvlJc w:val="left"/>
      <w:pPr>
        <w:ind w:left="2268" w:hanging="454"/>
      </w:pPr>
      <w:rPr>
        <w:rFonts w:hint="default"/>
      </w:rPr>
    </w:lvl>
    <w:lvl w:ilvl="4">
      <w:start w:val="1"/>
      <w:numFmt w:val="none"/>
      <w:suff w:val="space"/>
      <w:lvlText w:val=""/>
      <w:lvlJc w:val="left"/>
      <w:pPr>
        <w:ind w:left="2835" w:hanging="567"/>
      </w:pPr>
      <w:rPr>
        <w:rFonts w:hint="default"/>
      </w:rPr>
    </w:lvl>
    <w:lvl w:ilvl="5">
      <w:start w:val="1"/>
      <w:numFmt w:val="none"/>
      <w:suff w:val="space"/>
      <w:lvlText w:val=""/>
      <w:lvlJc w:val="left"/>
      <w:pPr>
        <w:ind w:left="3402" w:hanging="567"/>
      </w:pPr>
      <w:rPr>
        <w:rFonts w:hint="default"/>
      </w:rPr>
    </w:lvl>
    <w:lvl w:ilvl="6">
      <w:start w:val="1"/>
      <w:numFmt w:val="none"/>
      <w:suff w:val="space"/>
      <w:lvlText w:val=""/>
      <w:lvlJc w:val="left"/>
      <w:pPr>
        <w:ind w:left="3969" w:hanging="567"/>
      </w:pPr>
      <w:rPr>
        <w:rFonts w:hint="default"/>
      </w:rPr>
    </w:lvl>
    <w:lvl w:ilvl="7">
      <w:start w:val="1"/>
      <w:numFmt w:val="none"/>
      <w:suff w:val="space"/>
      <w:lvlText w:val=""/>
      <w:lvlJc w:val="left"/>
      <w:pPr>
        <w:ind w:left="4536" w:hanging="567"/>
      </w:pPr>
      <w:rPr>
        <w:rFonts w:hint="default"/>
      </w:rPr>
    </w:lvl>
    <w:lvl w:ilvl="8">
      <w:start w:val="1"/>
      <w:numFmt w:val="none"/>
      <w:suff w:val="space"/>
      <w:lvlText w:val=""/>
      <w:lvlJc w:val="left"/>
      <w:pPr>
        <w:ind w:left="5103" w:hanging="567"/>
      </w:pPr>
      <w:rPr>
        <w:rFonts w:hint="default"/>
      </w:rPr>
    </w:lvl>
  </w:abstractNum>
  <w:abstractNum w:abstractNumId="25" w15:restartNumberingAfterBreak="0">
    <w:nsid w:val="52890B29"/>
    <w:multiLevelType w:val="hybridMultilevel"/>
    <w:tmpl w:val="067CFC18"/>
    <w:name w:val="MyHeadings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8741D25"/>
    <w:multiLevelType w:val="multilevel"/>
    <w:tmpl w:val="10107B4A"/>
    <w:name w:val="TableNumbering"/>
    <w:styleLink w:val="TableFootnotes"/>
    <w:lvl w:ilvl="0">
      <w:start w:val="1"/>
      <w:numFmt w:val="none"/>
      <w:suff w:val="nothing"/>
      <w:lvlText w:val=""/>
      <w:lvlJc w:val="left"/>
      <w:pPr>
        <w:ind w:left="0" w:firstLine="0"/>
      </w:pPr>
      <w:rPr>
        <w:rFonts w:hint="default"/>
      </w:rPr>
    </w:lvl>
    <w:lvl w:ilvl="1">
      <w:start w:val="1"/>
      <w:numFmt w:val="decimal"/>
      <w:lvlText w:val="(%2)"/>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27" w15:restartNumberingAfterBreak="0">
    <w:nsid w:val="5AE6625A"/>
    <w:multiLevelType w:val="multilevel"/>
    <w:tmpl w:val="FF203CF0"/>
    <w:name w:val="MyHeadings"/>
    <w:lvl w:ilvl="0">
      <w:start w:val="1"/>
      <w:numFmt w:val="decimal"/>
      <w:suff w:val="space"/>
      <w:lvlText w:val="%1."/>
      <w:lvlJc w:val="left"/>
      <w:pPr>
        <w:ind w:left="0" w:firstLine="0"/>
      </w:pPr>
      <w:rPr>
        <w:rFonts w:asciiTheme="majorHAnsi" w:hAnsiTheme="majorHAnsi" w:hint="default"/>
        <w:b/>
        <w:i w:val="0"/>
        <w:color w:val="E1E2E7" w:themeColor="background2"/>
        <w:sz w:val="40"/>
      </w:rPr>
    </w:lvl>
    <w:lvl w:ilvl="1">
      <w:start w:val="1"/>
      <w:numFmt w:val="decimal"/>
      <w:suff w:val="space"/>
      <w:lvlText w:val="%1.%2"/>
      <w:lvlJc w:val="left"/>
      <w:pPr>
        <w:ind w:left="0" w:firstLine="0"/>
      </w:pPr>
      <w:rPr>
        <w:rFonts w:asciiTheme="majorHAnsi" w:hAnsiTheme="majorHAnsi" w:hint="default"/>
        <w:b/>
        <w:i w:val="0"/>
        <w:color w:val="214C90" w:themeColor="text2"/>
        <w:spacing w:val="-6"/>
        <w:sz w:val="32"/>
      </w:rPr>
    </w:lvl>
    <w:lvl w:ilvl="2">
      <w:start w:val="1"/>
      <w:numFmt w:val="decimal"/>
      <w:suff w:val="space"/>
      <w:lvlText w:val="%1.%2.%3"/>
      <w:lvlJc w:val="left"/>
      <w:pPr>
        <w:ind w:left="0" w:firstLine="0"/>
      </w:pPr>
      <w:rPr>
        <w:rFonts w:asciiTheme="majorHAnsi" w:hAnsiTheme="majorHAnsi" w:hint="default"/>
        <w:b/>
        <w:i w:val="0"/>
        <w:color w:val="46A6A9" w:themeColor="accent2"/>
        <w:spacing w:val="-4"/>
        <w:sz w:val="24"/>
      </w:rPr>
    </w:lvl>
    <w:lvl w:ilvl="3">
      <w:start w:val="1"/>
      <w:numFmt w:val="decimal"/>
      <w:suff w:val="space"/>
      <w:lvlText w:val="%1.%2.%3.%4"/>
      <w:lvlJc w:val="left"/>
      <w:pPr>
        <w:ind w:left="0" w:firstLine="0"/>
      </w:pPr>
      <w:rPr>
        <w:rFonts w:asciiTheme="majorHAnsi" w:hAnsiTheme="majorHAnsi" w:hint="default"/>
        <w:b/>
        <w:i w:val="0"/>
        <w:color w:val="auto"/>
        <w:sz w:val="20"/>
      </w:rPr>
    </w:lvl>
    <w:lvl w:ilvl="4">
      <w:start w:val="1"/>
      <w:numFmt w:val="none"/>
      <w:suff w:val="space"/>
      <w:lvlText w:val=""/>
      <w:lvlJc w:val="left"/>
      <w:pPr>
        <w:ind w:left="0" w:firstLine="0"/>
      </w:pPr>
      <w:rPr>
        <w:rFonts w:hint="default"/>
      </w:rPr>
    </w:lvl>
    <w:lvl w:ilvl="5">
      <w:start w:val="1"/>
      <w:numFmt w:val="none"/>
      <w:lvlText w:val=""/>
      <w:lvlJc w:val="left"/>
      <w:pPr>
        <w:tabs>
          <w:tab w:val="num" w:pos="-31680"/>
        </w:tabs>
        <w:ind w:left="0" w:firstLine="0"/>
      </w:pPr>
      <w:rPr>
        <w:rFonts w:hint="default"/>
      </w:rPr>
    </w:lvl>
    <w:lvl w:ilvl="6">
      <w:start w:val="1"/>
      <w:numFmt w:val="none"/>
      <w:lvlText w:val=""/>
      <w:lvlJc w:val="left"/>
      <w:pPr>
        <w:tabs>
          <w:tab w:val="num" w:pos="-31680"/>
        </w:tabs>
        <w:ind w:left="0" w:firstLine="0"/>
      </w:pPr>
      <w:rPr>
        <w:rFonts w:hint="default"/>
      </w:rPr>
    </w:lvl>
    <w:lvl w:ilvl="7">
      <w:start w:val="1"/>
      <w:numFmt w:val="none"/>
      <w:lvlText w:val=""/>
      <w:lvlJc w:val="left"/>
      <w:pPr>
        <w:tabs>
          <w:tab w:val="num" w:pos="-31680"/>
        </w:tabs>
        <w:ind w:left="0" w:firstLine="0"/>
      </w:pPr>
      <w:rPr>
        <w:rFonts w:hint="default"/>
      </w:rPr>
    </w:lvl>
    <w:lvl w:ilvl="8">
      <w:start w:val="1"/>
      <w:numFmt w:val="none"/>
      <w:lvlText w:val=""/>
      <w:lvlJc w:val="left"/>
      <w:pPr>
        <w:tabs>
          <w:tab w:val="num" w:pos="-31680"/>
        </w:tabs>
        <w:ind w:left="0" w:firstLine="0"/>
      </w:pPr>
      <w:rPr>
        <w:rFonts w:hint="default"/>
      </w:rPr>
    </w:lvl>
  </w:abstractNum>
  <w:abstractNum w:abstractNumId="28" w15:restartNumberingAfterBreak="0">
    <w:nsid w:val="5D0540A9"/>
    <w:multiLevelType w:val="multilevel"/>
    <w:tmpl w:val="DBC00818"/>
    <w:name w:val="MyAppendicesNumbering"/>
    <w:lvl w:ilvl="0">
      <w:start w:val="1"/>
      <w:numFmt w:val="upperLetter"/>
      <w:suff w:val="space"/>
      <w:lvlText w:val="Appendix %1."/>
      <w:lvlJc w:val="left"/>
      <w:pPr>
        <w:ind w:left="0" w:firstLine="0"/>
      </w:pPr>
      <w:rPr>
        <w:rFonts w:asciiTheme="majorHAnsi" w:hAnsiTheme="majorHAnsi" w:hint="default"/>
        <w:b/>
        <w:i w:val="0"/>
        <w:sz w:val="40"/>
      </w:rPr>
    </w:lvl>
    <w:lvl w:ilvl="1">
      <w:start w:val="1"/>
      <w:numFmt w:val="decimal"/>
      <w:suff w:val="space"/>
      <w:lvlText w:val="%1.%2"/>
      <w:lvlJc w:val="left"/>
      <w:pPr>
        <w:ind w:left="0" w:firstLine="0"/>
      </w:pPr>
      <w:rPr>
        <w:rFonts w:hint="default"/>
        <w:sz w:val="32"/>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none"/>
      <w:lvlText w:val=""/>
      <w:lvlJc w:val="right"/>
      <w:pPr>
        <w:tabs>
          <w:tab w:val="num" w:pos="2268"/>
        </w:tabs>
        <w:ind w:left="0" w:firstLine="0"/>
      </w:pPr>
      <w:rPr>
        <w:rFonts w:hint="default"/>
      </w:rPr>
    </w:lvl>
    <w:lvl w:ilvl="6">
      <w:start w:val="1"/>
      <w:numFmt w:val="none"/>
      <w:lvlText w:val=""/>
      <w:lvlJc w:val="left"/>
      <w:pPr>
        <w:tabs>
          <w:tab w:val="num" w:pos="2268"/>
        </w:tabs>
        <w:ind w:left="0" w:firstLine="0"/>
      </w:pPr>
      <w:rPr>
        <w:rFonts w:hint="default"/>
      </w:rPr>
    </w:lvl>
    <w:lvl w:ilvl="7">
      <w:start w:val="1"/>
      <w:numFmt w:val="none"/>
      <w:lvlText w:val=""/>
      <w:lvlJc w:val="left"/>
      <w:pPr>
        <w:tabs>
          <w:tab w:val="num" w:pos="2268"/>
        </w:tabs>
        <w:ind w:left="0" w:firstLine="0"/>
      </w:pPr>
      <w:rPr>
        <w:rFonts w:hint="default"/>
      </w:rPr>
    </w:lvl>
    <w:lvl w:ilvl="8">
      <w:start w:val="1"/>
      <w:numFmt w:val="none"/>
      <w:lvlText w:val=""/>
      <w:lvlJc w:val="right"/>
      <w:pPr>
        <w:tabs>
          <w:tab w:val="num" w:pos="2268"/>
        </w:tabs>
        <w:ind w:left="0" w:firstLine="0"/>
      </w:pPr>
      <w:rPr>
        <w:rFonts w:hint="default"/>
      </w:rPr>
    </w:lvl>
  </w:abstractNum>
  <w:abstractNum w:abstractNumId="29" w15:restartNumberingAfterBreak="0">
    <w:nsid w:val="694E1CB0"/>
    <w:multiLevelType w:val="hybridMultilevel"/>
    <w:tmpl w:val="AB3CA95C"/>
    <w:lvl w:ilvl="0" w:tplc="8F8EC1A6">
      <w:start w:val="1"/>
      <w:numFmt w:val="bullet"/>
      <w:lvlText w:val="-"/>
      <w:lvlJc w:val="left"/>
      <w:pPr>
        <w:ind w:left="720" w:hanging="360"/>
      </w:pPr>
      <w:rPr>
        <w:rFonts w:ascii="Arial" w:hAnsi="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CDB4AAD"/>
    <w:multiLevelType w:val="multilevel"/>
    <w:tmpl w:val="015CA19A"/>
    <w:lvl w:ilvl="0">
      <w:start w:val="1"/>
      <w:numFmt w:val="bullet"/>
      <w:pStyle w:val="BulletsL1"/>
      <w:lvlText w:val=""/>
      <w:lvlJc w:val="left"/>
      <w:pPr>
        <w:tabs>
          <w:tab w:val="num" w:pos="851"/>
        </w:tabs>
        <w:ind w:left="851" w:hanging="851"/>
      </w:pPr>
      <w:rPr>
        <w:rFonts w:ascii="Symbol" w:hAnsi="Symbol" w:hint="default"/>
        <w:b w:val="0"/>
        <w:i w:val="0"/>
        <w:sz w:val="22"/>
        <w:szCs w:val="16"/>
      </w:rPr>
    </w:lvl>
    <w:lvl w:ilvl="1">
      <w:start w:val="1"/>
      <w:numFmt w:val="bullet"/>
      <w:pStyle w:val="BulletsL2"/>
      <w:lvlText w:val=""/>
      <w:lvlJc w:val="left"/>
      <w:pPr>
        <w:tabs>
          <w:tab w:val="num" w:pos="1701"/>
        </w:tabs>
        <w:ind w:left="1701" w:hanging="850"/>
      </w:pPr>
      <w:rPr>
        <w:rFonts w:ascii="Symbol" w:hAnsi="Symbol" w:hint="default"/>
        <w:sz w:val="22"/>
        <w:szCs w:val="18"/>
      </w:rPr>
    </w:lvl>
    <w:lvl w:ilvl="2">
      <w:start w:val="1"/>
      <w:numFmt w:val="bullet"/>
      <w:pStyle w:val="BulletsL3"/>
      <w:lvlText w:val=""/>
      <w:lvlJc w:val="left"/>
      <w:pPr>
        <w:tabs>
          <w:tab w:val="num" w:pos="2552"/>
        </w:tabs>
        <w:ind w:left="2552" w:hanging="851"/>
      </w:pPr>
      <w:rPr>
        <w:rFonts w:ascii="Symbol" w:hAnsi="Symbol" w:hint="default"/>
        <w:color w:val="auto"/>
        <w:sz w:val="22"/>
      </w:rPr>
    </w:lvl>
    <w:lvl w:ilvl="3">
      <w:start w:val="1"/>
      <w:numFmt w:val="bullet"/>
      <w:lvlText w:val="o"/>
      <w:lvlJc w:val="left"/>
      <w:pPr>
        <w:tabs>
          <w:tab w:val="num" w:pos="2948"/>
        </w:tabs>
        <w:ind w:left="737" w:firstLine="1474"/>
      </w:pPr>
      <w:rPr>
        <w:rFonts w:ascii="Courier" w:hAnsi="Courier" w:hint="default"/>
      </w:rPr>
    </w:lvl>
    <w:lvl w:ilvl="4">
      <w:start w:val="1"/>
      <w:numFmt w:val="bullet"/>
      <w:lvlText w:val=""/>
      <w:lvlJc w:val="left"/>
      <w:pPr>
        <w:tabs>
          <w:tab w:val="num" w:pos="2948"/>
        </w:tabs>
        <w:ind w:left="737" w:firstLine="2211"/>
      </w:pPr>
      <w:rPr>
        <w:rFonts w:ascii="Symbol" w:hAnsi="Symbol" w:hint="default"/>
        <w:color w:val="auto"/>
      </w:rPr>
    </w:lvl>
    <w:lvl w:ilvl="5">
      <w:start w:val="1"/>
      <w:numFmt w:val="bullet"/>
      <w:lvlText w:val="o"/>
      <w:lvlJc w:val="left"/>
      <w:pPr>
        <w:tabs>
          <w:tab w:val="num" w:pos="3686"/>
        </w:tabs>
        <w:ind w:left="737" w:firstLine="2949"/>
      </w:pPr>
      <w:rPr>
        <w:rFonts w:ascii="Courier" w:hAnsi="Courier" w:hint="default"/>
      </w:rPr>
    </w:lvl>
    <w:lvl w:ilvl="6">
      <w:start w:val="1"/>
      <w:numFmt w:val="none"/>
      <w:suff w:val="nothing"/>
      <w:lvlText w:val=""/>
      <w:lvlJc w:val="left"/>
      <w:pPr>
        <w:ind w:left="0" w:firstLine="0"/>
      </w:pPr>
    </w:lvl>
    <w:lvl w:ilvl="7">
      <w:start w:val="1"/>
      <w:numFmt w:val="none"/>
      <w:lvlText w:val=""/>
      <w:lvlJc w:val="left"/>
      <w:pPr>
        <w:tabs>
          <w:tab w:val="num" w:pos="737"/>
        </w:tabs>
        <w:ind w:left="0" w:firstLine="0"/>
      </w:pPr>
      <w:rPr>
        <w:rFonts w:ascii="Tms Rmn" w:hAnsi="Tms Rmn" w:hint="default"/>
      </w:rPr>
    </w:lvl>
    <w:lvl w:ilvl="8">
      <w:start w:val="1"/>
      <w:numFmt w:val="none"/>
      <w:lvlText w:val=""/>
      <w:lvlJc w:val="left"/>
      <w:pPr>
        <w:tabs>
          <w:tab w:val="num" w:pos="737"/>
        </w:tabs>
        <w:ind w:left="0" w:firstLine="0"/>
      </w:pPr>
      <w:rPr>
        <w:rFonts w:ascii="Tms Rmn" w:hAnsi="Tms Rmn" w:hint="default"/>
      </w:rPr>
    </w:lvl>
  </w:abstractNum>
  <w:abstractNum w:abstractNumId="31" w15:restartNumberingAfterBreak="0">
    <w:nsid w:val="72224F0A"/>
    <w:multiLevelType w:val="multilevel"/>
    <w:tmpl w:val="4F5E492C"/>
    <w:name w:val="Bullets"/>
    <w:lvl w:ilvl="0">
      <w:start w:val="1"/>
      <w:numFmt w:val="bullet"/>
      <w:lvlText w:val=""/>
      <w:lvlJc w:val="left"/>
      <w:pPr>
        <w:tabs>
          <w:tab w:val="num" w:pos="425"/>
        </w:tabs>
        <w:ind w:left="425" w:hanging="425"/>
      </w:pPr>
      <w:rPr>
        <w:rFonts w:ascii="Wingdings" w:hAnsi="Wingdings" w:hint="default"/>
        <w:color w:val="214C90" w:themeColor="text2"/>
        <w:position w:val="0"/>
        <w:sz w:val="20"/>
      </w:rPr>
    </w:lvl>
    <w:lvl w:ilvl="1">
      <w:start w:val="1"/>
      <w:numFmt w:val="bullet"/>
      <w:lvlText w:val=""/>
      <w:lvlJc w:val="left"/>
      <w:pPr>
        <w:tabs>
          <w:tab w:val="num" w:pos="851"/>
        </w:tabs>
        <w:ind w:left="850" w:hanging="425"/>
      </w:pPr>
      <w:rPr>
        <w:rFonts w:ascii="Wingdings" w:hAnsi="Wingdings" w:hint="default"/>
        <w:color w:val="214C90" w:themeColor="text2"/>
      </w:rPr>
    </w:lvl>
    <w:lvl w:ilvl="2">
      <w:start w:val="1"/>
      <w:numFmt w:val="bullet"/>
      <w:lvlText w:val=""/>
      <w:lvlJc w:val="left"/>
      <w:pPr>
        <w:tabs>
          <w:tab w:val="num" w:pos="1276"/>
        </w:tabs>
        <w:ind w:left="1275" w:hanging="425"/>
      </w:pPr>
      <w:rPr>
        <w:rFonts w:ascii="Symbol" w:hAnsi="Symbol" w:hint="default"/>
        <w:color w:val="214C90" w:themeColor="text2"/>
      </w:rPr>
    </w:lvl>
    <w:lvl w:ilvl="3">
      <w:start w:val="1"/>
      <w:numFmt w:val="bullet"/>
      <w:lvlText w:val=""/>
      <w:lvlJc w:val="left"/>
      <w:pPr>
        <w:tabs>
          <w:tab w:val="num" w:pos="1701"/>
        </w:tabs>
        <w:ind w:left="1700" w:hanging="425"/>
      </w:pPr>
      <w:rPr>
        <w:rFonts w:ascii="Symbol" w:hAnsi="Symbol" w:hint="default"/>
        <w:color w:val="214C90" w:themeColor="text2"/>
        <w:sz w:val="20"/>
      </w:rPr>
    </w:lvl>
    <w:lvl w:ilvl="4">
      <w:start w:val="1"/>
      <w:numFmt w:val="bullet"/>
      <w:lvlText w:val=""/>
      <w:lvlJc w:val="left"/>
      <w:pPr>
        <w:tabs>
          <w:tab w:val="num" w:pos="2126"/>
        </w:tabs>
        <w:ind w:left="2125" w:hanging="425"/>
      </w:pPr>
      <w:rPr>
        <w:rFonts w:ascii="Wingdings" w:hAnsi="Wingdings" w:hint="default"/>
        <w:color w:val="214C90" w:themeColor="text2"/>
      </w:rPr>
    </w:lvl>
    <w:lvl w:ilvl="5">
      <w:start w:val="1"/>
      <w:numFmt w:val="lowerRoman"/>
      <w:lvlText w:val="(%6)"/>
      <w:lvlJc w:val="left"/>
      <w:pPr>
        <w:tabs>
          <w:tab w:val="num" w:pos="3630"/>
        </w:tabs>
        <w:ind w:left="2550" w:hanging="425"/>
      </w:pPr>
      <w:rPr>
        <w:rFonts w:hint="default"/>
      </w:rPr>
    </w:lvl>
    <w:lvl w:ilvl="6">
      <w:start w:val="1"/>
      <w:numFmt w:val="decimal"/>
      <w:lvlText w:val="%7."/>
      <w:lvlJc w:val="left"/>
      <w:pPr>
        <w:tabs>
          <w:tab w:val="num" w:pos="4055"/>
        </w:tabs>
        <w:ind w:left="2975" w:hanging="425"/>
      </w:pPr>
      <w:rPr>
        <w:rFonts w:hint="default"/>
      </w:rPr>
    </w:lvl>
    <w:lvl w:ilvl="7">
      <w:start w:val="1"/>
      <w:numFmt w:val="lowerLetter"/>
      <w:lvlText w:val="%8."/>
      <w:lvlJc w:val="left"/>
      <w:pPr>
        <w:tabs>
          <w:tab w:val="num" w:pos="4480"/>
        </w:tabs>
        <w:ind w:left="3400" w:hanging="425"/>
      </w:pPr>
      <w:rPr>
        <w:rFonts w:hint="default"/>
      </w:rPr>
    </w:lvl>
    <w:lvl w:ilvl="8">
      <w:start w:val="1"/>
      <w:numFmt w:val="lowerRoman"/>
      <w:lvlText w:val="%9."/>
      <w:lvlJc w:val="left"/>
      <w:pPr>
        <w:tabs>
          <w:tab w:val="num" w:pos="4905"/>
        </w:tabs>
        <w:ind w:left="3825" w:hanging="425"/>
      </w:pPr>
      <w:rPr>
        <w:rFonts w:hint="default"/>
      </w:rPr>
    </w:lvl>
  </w:abstractNum>
  <w:abstractNum w:abstractNumId="32" w15:restartNumberingAfterBreak="0">
    <w:nsid w:val="73166C2E"/>
    <w:multiLevelType w:val="hybridMultilevel"/>
    <w:tmpl w:val="01848930"/>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31E1525"/>
    <w:multiLevelType w:val="multilevel"/>
    <w:tmpl w:val="BBCC0276"/>
    <w:lvl w:ilvl="0">
      <w:start w:val="7"/>
      <w:numFmt w:val="bullet"/>
      <w:lvlText w:val=""/>
      <w:lvlJc w:val="left"/>
      <w:pPr>
        <w:tabs>
          <w:tab w:val="num" w:pos="357"/>
        </w:tabs>
        <w:ind w:left="357" w:hanging="357"/>
      </w:pPr>
      <w:rPr>
        <w:rFonts w:ascii="Wingdings" w:hAnsi="Wingdings" w:hint="default"/>
        <w:color w:val="auto"/>
        <w:position w:val="1"/>
        <w:sz w:val="20"/>
      </w:rPr>
    </w:lvl>
    <w:lvl w:ilvl="1">
      <w:start w:val="5"/>
      <w:numFmt w:val="bullet"/>
      <w:lvlText w:val="—"/>
      <w:lvlJc w:val="left"/>
      <w:pPr>
        <w:tabs>
          <w:tab w:val="num" w:pos="714"/>
        </w:tabs>
        <w:ind w:left="714" w:hanging="357"/>
      </w:pPr>
      <w:rPr>
        <w:rFonts w:ascii="Book Antiqua" w:hAnsi="Book Antiqua" w:hint="default"/>
        <w:b w:val="0"/>
        <w:i w:val="0"/>
        <w:color w:val="auto"/>
        <w:position w:val="0"/>
        <w:sz w:val="20"/>
      </w:rPr>
    </w:lvl>
    <w:lvl w:ilvl="2">
      <w:start w:val="1"/>
      <w:numFmt w:val="bullet"/>
      <w:lvlText w:val=""/>
      <w:lvlJc w:val="left"/>
      <w:pPr>
        <w:tabs>
          <w:tab w:val="num" w:pos="1072"/>
        </w:tabs>
        <w:ind w:left="1071" w:hanging="357"/>
      </w:pPr>
      <w:rPr>
        <w:rFonts w:ascii="Symbol" w:hAnsi="Symbol" w:hint="default"/>
        <w:b w:val="0"/>
        <w:i w:val="0"/>
        <w:color w:val="auto"/>
        <w:position w:val="0"/>
        <w:sz w:val="22"/>
      </w:rPr>
    </w:lvl>
    <w:lvl w:ilvl="3">
      <w:start w:val="1"/>
      <w:numFmt w:val="bullet"/>
      <w:lvlText w:val="-"/>
      <w:lvlJc w:val="left"/>
      <w:pPr>
        <w:tabs>
          <w:tab w:val="num" w:pos="1638"/>
        </w:tabs>
        <w:ind w:left="1428" w:hanging="357"/>
      </w:pPr>
      <w:rPr>
        <w:rFonts w:ascii="Arial Rounded MT Bold" w:hAnsi="Arial Rounded MT Bold" w:hint="default"/>
        <w:color w:val="auto"/>
      </w:rPr>
    </w:lvl>
    <w:lvl w:ilvl="4">
      <w:start w:val="1"/>
      <w:numFmt w:val="bullet"/>
      <w:lvlText w:val="o"/>
      <w:lvlJc w:val="left"/>
      <w:pPr>
        <w:tabs>
          <w:tab w:val="num" w:pos="1995"/>
        </w:tabs>
        <w:ind w:left="1785" w:hanging="357"/>
      </w:pPr>
      <w:rPr>
        <w:rFonts w:ascii="Courier New" w:hAnsi="Courier New" w:hint="default"/>
        <w:color w:val="auto"/>
        <w:sz w:val="16"/>
      </w:rPr>
    </w:lvl>
    <w:lvl w:ilvl="5">
      <w:start w:val="1"/>
      <w:numFmt w:val="none"/>
      <w:lvlText w:val=""/>
      <w:lvlJc w:val="left"/>
      <w:pPr>
        <w:tabs>
          <w:tab w:val="num" w:pos="2352"/>
        </w:tabs>
        <w:ind w:left="2142" w:hanging="357"/>
      </w:pPr>
      <w:rPr>
        <w:rFonts w:hint="default"/>
      </w:rPr>
    </w:lvl>
    <w:lvl w:ilvl="6">
      <w:start w:val="1"/>
      <w:numFmt w:val="none"/>
      <w:lvlText w:val=""/>
      <w:lvlJc w:val="left"/>
      <w:pPr>
        <w:tabs>
          <w:tab w:val="num" w:pos="2709"/>
        </w:tabs>
        <w:ind w:left="2499" w:hanging="357"/>
      </w:pPr>
      <w:rPr>
        <w:rFonts w:hint="default"/>
      </w:rPr>
    </w:lvl>
    <w:lvl w:ilvl="7">
      <w:start w:val="1"/>
      <w:numFmt w:val="none"/>
      <w:lvlText w:val=""/>
      <w:lvlJc w:val="left"/>
      <w:pPr>
        <w:tabs>
          <w:tab w:val="num" w:pos="3066"/>
        </w:tabs>
        <w:ind w:left="2856" w:hanging="357"/>
      </w:pPr>
      <w:rPr>
        <w:rFonts w:hint="default"/>
      </w:rPr>
    </w:lvl>
    <w:lvl w:ilvl="8">
      <w:start w:val="1"/>
      <w:numFmt w:val="none"/>
      <w:lvlText w:val=""/>
      <w:lvlJc w:val="left"/>
      <w:pPr>
        <w:tabs>
          <w:tab w:val="num" w:pos="3423"/>
        </w:tabs>
        <w:ind w:left="3213" w:hanging="357"/>
      </w:pPr>
      <w:rPr>
        <w:rFonts w:hint="default"/>
      </w:rPr>
    </w:lvl>
  </w:abstractNum>
  <w:abstractNum w:abstractNumId="34" w15:restartNumberingAfterBreak="0">
    <w:nsid w:val="7332277A"/>
    <w:multiLevelType w:val="multilevel"/>
    <w:tmpl w:val="581475EC"/>
    <w:lvl w:ilvl="0">
      <w:start w:val="1"/>
      <w:numFmt w:val="bullet"/>
      <w:lvlText w:val=""/>
      <w:lvlJc w:val="left"/>
      <w:pPr>
        <w:tabs>
          <w:tab w:val="num" w:pos="312"/>
        </w:tabs>
        <w:ind w:left="312" w:hanging="227"/>
      </w:pPr>
      <w:rPr>
        <w:rFonts w:ascii="Symbol" w:hAnsi="Symbol" w:hint="default"/>
        <w:color w:val="auto"/>
        <w:position w:val="0"/>
        <w:sz w:val="18"/>
      </w:rPr>
    </w:lvl>
    <w:lvl w:ilvl="1">
      <w:start w:val="1"/>
      <w:numFmt w:val="bullet"/>
      <w:lvlText w:val="–"/>
      <w:lvlJc w:val="left"/>
      <w:pPr>
        <w:tabs>
          <w:tab w:val="num" w:pos="539"/>
        </w:tabs>
        <w:ind w:left="539" w:hanging="227"/>
      </w:pPr>
      <w:rPr>
        <w:rFonts w:ascii="Arial" w:hAnsi="Arial" w:hint="default"/>
        <w:color w:val="auto"/>
        <w:position w:val="0"/>
        <w:sz w:val="18"/>
      </w:rPr>
    </w:lvl>
    <w:lvl w:ilvl="2">
      <w:start w:val="1"/>
      <w:numFmt w:val="bullet"/>
      <w:lvlText w:val="•"/>
      <w:lvlJc w:val="left"/>
      <w:pPr>
        <w:tabs>
          <w:tab w:val="num" w:pos="765"/>
        </w:tabs>
        <w:ind w:left="765" w:hanging="226"/>
      </w:pPr>
      <w:rPr>
        <w:rFonts w:ascii="Book Antiqua" w:hAnsi="Book Antiqua" w:hint="default"/>
        <w:color w:val="auto"/>
        <w:position w:val="0"/>
        <w:sz w:val="18"/>
      </w:rPr>
    </w:lvl>
    <w:lvl w:ilvl="3">
      <w:start w:val="1"/>
      <w:numFmt w:val="none"/>
      <w:lvlText w:val=""/>
      <w:lvlJc w:val="left"/>
      <w:pPr>
        <w:tabs>
          <w:tab w:val="num" w:pos="1021"/>
        </w:tabs>
        <w:ind w:left="908" w:hanging="227"/>
      </w:pPr>
      <w:rPr>
        <w:rFonts w:hint="default"/>
        <w:color w:val="214C90" w:themeColor="text2"/>
        <w:sz w:val="16"/>
      </w:rPr>
    </w:lvl>
    <w:lvl w:ilvl="4">
      <w:start w:val="1"/>
      <w:numFmt w:val="none"/>
      <w:lvlText w:val=""/>
      <w:lvlJc w:val="left"/>
      <w:pPr>
        <w:tabs>
          <w:tab w:val="num" w:pos="1248"/>
        </w:tabs>
        <w:ind w:left="1135" w:hanging="227"/>
      </w:pPr>
      <w:rPr>
        <w:rFonts w:hint="default"/>
        <w:color w:val="214C90" w:themeColor="text2"/>
      </w:rPr>
    </w:lvl>
    <w:lvl w:ilvl="5">
      <w:start w:val="1"/>
      <w:numFmt w:val="none"/>
      <w:lvlText w:val=""/>
      <w:lvlJc w:val="left"/>
      <w:pPr>
        <w:tabs>
          <w:tab w:val="num" w:pos="1475"/>
        </w:tabs>
        <w:ind w:left="1362" w:hanging="227"/>
      </w:pPr>
      <w:rPr>
        <w:rFonts w:hint="default"/>
      </w:rPr>
    </w:lvl>
    <w:lvl w:ilvl="6">
      <w:start w:val="1"/>
      <w:numFmt w:val="none"/>
      <w:lvlText w:val=""/>
      <w:lvlJc w:val="left"/>
      <w:pPr>
        <w:tabs>
          <w:tab w:val="num" w:pos="1702"/>
        </w:tabs>
        <w:ind w:left="1589" w:hanging="227"/>
      </w:pPr>
      <w:rPr>
        <w:rFonts w:hint="default"/>
      </w:rPr>
    </w:lvl>
    <w:lvl w:ilvl="7">
      <w:start w:val="1"/>
      <w:numFmt w:val="none"/>
      <w:lvlText w:val=""/>
      <w:lvlJc w:val="left"/>
      <w:pPr>
        <w:tabs>
          <w:tab w:val="num" w:pos="1929"/>
        </w:tabs>
        <w:ind w:left="1816" w:hanging="227"/>
      </w:pPr>
      <w:rPr>
        <w:rFonts w:hint="default"/>
      </w:rPr>
    </w:lvl>
    <w:lvl w:ilvl="8">
      <w:start w:val="1"/>
      <w:numFmt w:val="none"/>
      <w:lvlText w:val=""/>
      <w:lvlJc w:val="left"/>
      <w:pPr>
        <w:tabs>
          <w:tab w:val="num" w:pos="2156"/>
        </w:tabs>
        <w:ind w:left="2043" w:hanging="227"/>
      </w:pPr>
      <w:rPr>
        <w:rFonts w:hint="default"/>
      </w:rPr>
    </w:lvl>
  </w:abstractNum>
  <w:abstractNum w:abstractNumId="35" w15:restartNumberingAfterBreak="0">
    <w:nsid w:val="7E030DAE"/>
    <w:multiLevelType w:val="multilevel"/>
    <w:tmpl w:val="0C09001D"/>
    <w:name w:val="MyNumbering"/>
    <w:lvl w:ilvl="0">
      <w:start w:val="1"/>
      <w:numFmt w:val="decimal"/>
      <w:lvlText w:val="%1)"/>
      <w:lvlJc w:val="left"/>
      <w:pPr>
        <w:ind w:left="1779" w:hanging="360"/>
      </w:pPr>
      <w:rPr>
        <w:rFonts w:hint="default"/>
        <w:b w:val="0"/>
        <w:i w:val="0"/>
        <w:color w:val="auto"/>
        <w:sz w:val="22"/>
      </w:rPr>
    </w:lvl>
    <w:lvl w:ilvl="1">
      <w:start w:val="1"/>
      <w:numFmt w:val="lowerLetter"/>
      <w:lvlText w:val="%2)"/>
      <w:lvlJc w:val="left"/>
      <w:pPr>
        <w:ind w:left="2139" w:hanging="360"/>
      </w:pPr>
      <w:rPr>
        <w:rFonts w:hint="default"/>
        <w:b w:val="0"/>
        <w:i w:val="0"/>
        <w:color w:val="auto"/>
        <w:sz w:val="22"/>
      </w:rPr>
    </w:lvl>
    <w:lvl w:ilvl="2">
      <w:start w:val="1"/>
      <w:numFmt w:val="lowerRoman"/>
      <w:lvlText w:val="%3)"/>
      <w:lvlJc w:val="left"/>
      <w:pPr>
        <w:ind w:left="2499" w:hanging="36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2859" w:hanging="360"/>
      </w:pPr>
      <w:rPr>
        <w:rFonts w:hint="default"/>
        <w:b w:val="0"/>
        <w:i w:val="0"/>
        <w:color w:val="auto"/>
      </w:rPr>
    </w:lvl>
    <w:lvl w:ilvl="4">
      <w:start w:val="1"/>
      <w:numFmt w:val="lowerLetter"/>
      <w:lvlText w:val="(%5)"/>
      <w:lvlJc w:val="left"/>
      <w:pPr>
        <w:ind w:left="3219" w:hanging="360"/>
      </w:pPr>
      <w:rPr>
        <w:rFonts w:hint="default"/>
        <w:b w:val="0"/>
        <w:i w:val="0"/>
        <w:color w:val="auto"/>
      </w:rPr>
    </w:lvl>
    <w:lvl w:ilvl="5">
      <w:start w:val="1"/>
      <w:numFmt w:val="lowerRoman"/>
      <w:lvlText w:val="(%6)"/>
      <w:lvlJc w:val="left"/>
      <w:pPr>
        <w:ind w:left="3579" w:hanging="360"/>
      </w:pPr>
      <w:rPr>
        <w:rFonts w:hint="default"/>
      </w:rPr>
    </w:lvl>
    <w:lvl w:ilvl="6">
      <w:start w:val="1"/>
      <w:numFmt w:val="decimal"/>
      <w:lvlText w:val="%7."/>
      <w:lvlJc w:val="left"/>
      <w:pPr>
        <w:ind w:left="3939" w:hanging="360"/>
      </w:pPr>
      <w:rPr>
        <w:rFonts w:hint="default"/>
      </w:rPr>
    </w:lvl>
    <w:lvl w:ilvl="7">
      <w:start w:val="1"/>
      <w:numFmt w:val="lowerLetter"/>
      <w:lvlText w:val="%8."/>
      <w:lvlJc w:val="left"/>
      <w:pPr>
        <w:ind w:left="4299" w:hanging="360"/>
      </w:pPr>
      <w:rPr>
        <w:rFonts w:hint="default"/>
      </w:rPr>
    </w:lvl>
    <w:lvl w:ilvl="8">
      <w:start w:val="1"/>
      <w:numFmt w:val="lowerRoman"/>
      <w:lvlText w:val="%9."/>
      <w:lvlJc w:val="left"/>
      <w:pPr>
        <w:ind w:left="4659" w:hanging="360"/>
      </w:pPr>
      <w:rPr>
        <w:rFonts w:hint="default"/>
      </w:rPr>
    </w:lvl>
  </w:abstractNum>
  <w:num w:numId="1">
    <w:abstractNumId w:val="12"/>
  </w:num>
  <w:num w:numId="2">
    <w:abstractNumId w:val="3"/>
  </w:num>
  <w:num w:numId="3">
    <w:abstractNumId w:val="14"/>
  </w:num>
  <w:num w:numId="4">
    <w:abstractNumId w:val="26"/>
  </w:num>
  <w:num w:numId="5">
    <w:abstractNumId w:val="6"/>
  </w:num>
  <w:num w:numId="6">
    <w:abstractNumId w:val="13"/>
  </w:num>
  <w:num w:numId="7">
    <w:abstractNumId w:val="8"/>
  </w:num>
  <w:num w:numId="8">
    <w:abstractNumId w:val="9"/>
  </w:num>
  <w:num w:numId="9">
    <w:abstractNumId w:val="2"/>
  </w:num>
  <w:num w:numId="10">
    <w:abstractNumId w:val="22"/>
  </w:num>
  <w:num w:numId="11">
    <w:abstractNumId w:val="19"/>
  </w:num>
  <w:num w:numId="12">
    <w:abstractNumId w:val="1"/>
  </w:num>
  <w:num w:numId="13">
    <w:abstractNumId w:val="10"/>
  </w:num>
  <w:num w:numId="1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30"/>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6">
    <w:abstractNumId w:val="7"/>
  </w:num>
  <w:num w:numId="17">
    <w:abstractNumId w:val="20"/>
  </w:num>
  <w:num w:numId="18">
    <w:abstractNumId w:val="6"/>
  </w:num>
  <w:num w:numId="19">
    <w:abstractNumId w:val="0"/>
  </w:num>
  <w:num w:numId="20">
    <w:abstractNumId w:val="25"/>
  </w:num>
  <w:num w:numId="21">
    <w:abstractNumId w:val="33"/>
  </w:num>
  <w:num w:numId="22">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3"/>
  </w:num>
  <w:num w:numId="25">
    <w:abstractNumId w:val="21"/>
  </w:num>
  <w:num w:numId="26">
    <w:abstractNumId w:val="9"/>
  </w:num>
  <w:num w:numId="27">
    <w:abstractNumId w:val="9"/>
  </w:num>
  <w:num w:numId="28">
    <w:abstractNumId w:val="9"/>
  </w:num>
  <w:num w:numId="29">
    <w:abstractNumId w:val="16"/>
  </w:num>
  <w:num w:numId="30">
    <w:abstractNumId w:val="30"/>
  </w:num>
  <w:num w:numId="31">
    <w:abstractNumId w:val="30"/>
    <w:lvlOverride w:ilvl="0">
      <w:lvl w:ilvl="0">
        <w:start w:val="1"/>
        <w:numFmt w:val="bullet"/>
        <w:pStyle w:val="BulletsL1"/>
        <w:lvlText w:val=""/>
        <w:lvlJc w:val="left"/>
        <w:pPr>
          <w:tabs>
            <w:tab w:val="num" w:pos="851"/>
          </w:tabs>
          <w:ind w:left="567" w:hanging="454"/>
        </w:pPr>
        <w:rPr>
          <w:rFonts w:ascii="Symbol" w:hAnsi="Symbol" w:hint="default"/>
          <w:b w:val="0"/>
          <w:i w:val="0"/>
          <w:sz w:val="22"/>
          <w:szCs w:val="16"/>
        </w:rPr>
      </w:lvl>
    </w:lvlOverride>
    <w:lvlOverride w:ilvl="1">
      <w:lvl w:ilvl="1">
        <w:start w:val="1"/>
        <w:numFmt w:val="bullet"/>
        <w:pStyle w:val="BulletsL2"/>
        <w:lvlText w:val=""/>
        <w:lvlJc w:val="left"/>
        <w:pPr>
          <w:tabs>
            <w:tab w:val="num" w:pos="1701"/>
          </w:tabs>
          <w:ind w:left="1134" w:hanging="283"/>
        </w:pPr>
        <w:rPr>
          <w:rFonts w:ascii="Symbol" w:hAnsi="Symbol" w:hint="default"/>
          <w:sz w:val="22"/>
        </w:rPr>
      </w:lvl>
    </w:lvlOverride>
    <w:lvlOverride w:ilvl="2">
      <w:lvl w:ilvl="2">
        <w:start w:val="1"/>
        <w:numFmt w:val="bullet"/>
        <w:pStyle w:val="BulletsL3"/>
        <w:lvlText w:val=""/>
        <w:lvlJc w:val="left"/>
        <w:pPr>
          <w:tabs>
            <w:tab w:val="num" w:pos="2552"/>
          </w:tabs>
          <w:ind w:left="2552" w:hanging="851"/>
        </w:pPr>
        <w:rPr>
          <w:rFonts w:ascii="Symbol" w:hAnsi="Symbol" w:hint="default"/>
          <w:color w:val="auto"/>
          <w:sz w:val="22"/>
        </w:rPr>
      </w:lvl>
    </w:lvlOverride>
    <w:lvlOverride w:ilvl="3">
      <w:lvl w:ilvl="3">
        <w:start w:val="1"/>
        <w:numFmt w:val="bullet"/>
        <w:lvlText w:val="o"/>
        <w:lvlJc w:val="left"/>
        <w:pPr>
          <w:tabs>
            <w:tab w:val="num" w:pos="2948"/>
          </w:tabs>
          <w:ind w:left="737" w:firstLine="1474"/>
        </w:pPr>
        <w:rPr>
          <w:rFonts w:ascii="Courier" w:hAnsi="Courier" w:hint="default"/>
        </w:rPr>
      </w:lvl>
    </w:lvlOverride>
    <w:lvlOverride w:ilvl="4">
      <w:lvl w:ilvl="4">
        <w:start w:val="1"/>
        <w:numFmt w:val="bullet"/>
        <w:lvlText w:val=""/>
        <w:lvlJc w:val="left"/>
        <w:pPr>
          <w:tabs>
            <w:tab w:val="num" w:pos="2948"/>
          </w:tabs>
          <w:ind w:left="737" w:firstLine="2211"/>
        </w:pPr>
        <w:rPr>
          <w:rFonts w:ascii="Symbol" w:hAnsi="Symbol" w:hint="default"/>
          <w:color w:val="auto"/>
        </w:rPr>
      </w:lvl>
    </w:lvlOverride>
    <w:lvlOverride w:ilvl="5">
      <w:lvl w:ilvl="5">
        <w:start w:val="1"/>
        <w:numFmt w:val="bullet"/>
        <w:lvlText w:val="o"/>
        <w:lvlJc w:val="left"/>
        <w:pPr>
          <w:tabs>
            <w:tab w:val="num" w:pos="3686"/>
          </w:tabs>
          <w:ind w:left="737" w:firstLine="2949"/>
        </w:pPr>
        <w:rPr>
          <w:rFonts w:ascii="Courier" w:hAnsi="Courier"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lvlText w:val=""/>
        <w:lvlJc w:val="left"/>
        <w:pPr>
          <w:tabs>
            <w:tab w:val="num" w:pos="737"/>
          </w:tabs>
          <w:ind w:left="0" w:firstLine="0"/>
        </w:pPr>
        <w:rPr>
          <w:rFonts w:ascii="Tms Rmn" w:hAnsi="Tms Rmn" w:hint="default"/>
        </w:rPr>
      </w:lvl>
    </w:lvlOverride>
    <w:lvlOverride w:ilvl="8">
      <w:lvl w:ilvl="8">
        <w:start w:val="1"/>
        <w:numFmt w:val="none"/>
        <w:lvlText w:val=""/>
        <w:lvlJc w:val="left"/>
        <w:pPr>
          <w:tabs>
            <w:tab w:val="num" w:pos="737"/>
          </w:tabs>
          <w:ind w:left="0" w:firstLine="0"/>
        </w:pPr>
        <w:rPr>
          <w:rFonts w:ascii="Tms Rmn" w:hAnsi="Tms Rmn" w:hint="default"/>
        </w:rPr>
      </w:lvl>
    </w:lvlOverride>
  </w:num>
  <w:num w:numId="32">
    <w:abstractNumId w:val="18"/>
  </w:num>
  <w:num w:numId="33">
    <w:abstractNumId w:val="32"/>
  </w:num>
  <w:num w:numId="34">
    <w:abstractNumId w:val="9"/>
  </w:num>
  <w:num w:numId="35">
    <w:abstractNumId w:val="9"/>
  </w:num>
  <w:num w:numId="36">
    <w:abstractNumId w:val="6"/>
  </w:num>
  <w:num w:numId="37">
    <w:abstractNumId w:val="6"/>
  </w:num>
  <w:num w:numId="38">
    <w:abstractNumId w:val="17"/>
  </w:num>
  <w:num w:numId="39">
    <w:abstractNumId w:val="29"/>
  </w:num>
  <w:num w:numId="40">
    <w:abstractNumId w:val="6"/>
  </w:num>
  <w:num w:numId="41">
    <w:abstractNumId w:val="6"/>
  </w:num>
  <w:num w:numId="42">
    <w:abstractNumId w:val="6"/>
  </w:num>
  <w:num w:numId="43">
    <w:abstractNumId w:val="9"/>
  </w:num>
  <w:num w:numId="44">
    <w:abstractNumId w:val="9"/>
  </w:num>
  <w:num w:numId="45">
    <w:abstractNumId w:val="9"/>
  </w:num>
  <w:num w:numId="46">
    <w:abstractNumId w:val="9"/>
  </w:num>
  <w:num w:numId="4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ID" w:val="73997143"/>
    <w:docVar w:name="VERSIONLABEL" w:val="2"/>
    <w:docVar w:name="xAppendixName" w:val="Appendix"/>
  </w:docVars>
  <w:rsids>
    <w:rsidRoot w:val="000B0A4E"/>
    <w:rsid w:val="00000194"/>
    <w:rsid w:val="00000333"/>
    <w:rsid w:val="0000085B"/>
    <w:rsid w:val="00000E4C"/>
    <w:rsid w:val="00001322"/>
    <w:rsid w:val="0000290E"/>
    <w:rsid w:val="00002B57"/>
    <w:rsid w:val="000035F6"/>
    <w:rsid w:val="00004219"/>
    <w:rsid w:val="00004810"/>
    <w:rsid w:val="00004A68"/>
    <w:rsid w:val="00004B0D"/>
    <w:rsid w:val="00004E4F"/>
    <w:rsid w:val="00004E54"/>
    <w:rsid w:val="00005355"/>
    <w:rsid w:val="000058AC"/>
    <w:rsid w:val="0000598E"/>
    <w:rsid w:val="000068B5"/>
    <w:rsid w:val="00006DD3"/>
    <w:rsid w:val="0000736D"/>
    <w:rsid w:val="000105A9"/>
    <w:rsid w:val="00010983"/>
    <w:rsid w:val="00011772"/>
    <w:rsid w:val="00011F39"/>
    <w:rsid w:val="000125A5"/>
    <w:rsid w:val="00013FB3"/>
    <w:rsid w:val="00014648"/>
    <w:rsid w:val="00015CD4"/>
    <w:rsid w:val="00016FCB"/>
    <w:rsid w:val="00016FD9"/>
    <w:rsid w:val="0001718D"/>
    <w:rsid w:val="000171D8"/>
    <w:rsid w:val="000173A1"/>
    <w:rsid w:val="000175C2"/>
    <w:rsid w:val="00017E18"/>
    <w:rsid w:val="00020425"/>
    <w:rsid w:val="00020F11"/>
    <w:rsid w:val="00021DDD"/>
    <w:rsid w:val="00021F13"/>
    <w:rsid w:val="00022D9F"/>
    <w:rsid w:val="0002318A"/>
    <w:rsid w:val="00023518"/>
    <w:rsid w:val="00023619"/>
    <w:rsid w:val="00023862"/>
    <w:rsid w:val="00023A3E"/>
    <w:rsid w:val="00024FBE"/>
    <w:rsid w:val="000253C1"/>
    <w:rsid w:val="0002642C"/>
    <w:rsid w:val="0002668E"/>
    <w:rsid w:val="00027450"/>
    <w:rsid w:val="00027933"/>
    <w:rsid w:val="00027C6C"/>
    <w:rsid w:val="00030EA5"/>
    <w:rsid w:val="000313F4"/>
    <w:rsid w:val="00031503"/>
    <w:rsid w:val="00031E24"/>
    <w:rsid w:val="000324A1"/>
    <w:rsid w:val="00032A32"/>
    <w:rsid w:val="00032A91"/>
    <w:rsid w:val="00033348"/>
    <w:rsid w:val="00033625"/>
    <w:rsid w:val="000343D3"/>
    <w:rsid w:val="00035165"/>
    <w:rsid w:val="00036027"/>
    <w:rsid w:val="000362CA"/>
    <w:rsid w:val="00036D45"/>
    <w:rsid w:val="00036DA4"/>
    <w:rsid w:val="000374E9"/>
    <w:rsid w:val="000376B7"/>
    <w:rsid w:val="00040011"/>
    <w:rsid w:val="0004046E"/>
    <w:rsid w:val="00040FD1"/>
    <w:rsid w:val="00041613"/>
    <w:rsid w:val="00041B06"/>
    <w:rsid w:val="00041CE0"/>
    <w:rsid w:val="00041D53"/>
    <w:rsid w:val="00042BA9"/>
    <w:rsid w:val="00042C9F"/>
    <w:rsid w:val="00043B16"/>
    <w:rsid w:val="00043B69"/>
    <w:rsid w:val="00044E09"/>
    <w:rsid w:val="00044F8F"/>
    <w:rsid w:val="00044FDB"/>
    <w:rsid w:val="00045706"/>
    <w:rsid w:val="000459C6"/>
    <w:rsid w:val="00045A2E"/>
    <w:rsid w:val="00050692"/>
    <w:rsid w:val="00050713"/>
    <w:rsid w:val="00050AF3"/>
    <w:rsid w:val="00050D60"/>
    <w:rsid w:val="0005109B"/>
    <w:rsid w:val="00051D5C"/>
    <w:rsid w:val="00052454"/>
    <w:rsid w:val="0005252A"/>
    <w:rsid w:val="00052756"/>
    <w:rsid w:val="00052A4B"/>
    <w:rsid w:val="00052CE3"/>
    <w:rsid w:val="0005301E"/>
    <w:rsid w:val="00053701"/>
    <w:rsid w:val="00054DFC"/>
    <w:rsid w:val="000550B9"/>
    <w:rsid w:val="00056D42"/>
    <w:rsid w:val="000574CC"/>
    <w:rsid w:val="00057ACD"/>
    <w:rsid w:val="000608DD"/>
    <w:rsid w:val="00060B55"/>
    <w:rsid w:val="00060B9F"/>
    <w:rsid w:val="00061C90"/>
    <w:rsid w:val="00061E0A"/>
    <w:rsid w:val="0006236E"/>
    <w:rsid w:val="00062F76"/>
    <w:rsid w:val="000634B5"/>
    <w:rsid w:val="000635DA"/>
    <w:rsid w:val="000642D2"/>
    <w:rsid w:val="00064683"/>
    <w:rsid w:val="00064E78"/>
    <w:rsid w:val="000659A9"/>
    <w:rsid w:val="00065A61"/>
    <w:rsid w:val="00065B1F"/>
    <w:rsid w:val="000665B5"/>
    <w:rsid w:val="00066707"/>
    <w:rsid w:val="00066710"/>
    <w:rsid w:val="00066A4B"/>
    <w:rsid w:val="00067645"/>
    <w:rsid w:val="000679A1"/>
    <w:rsid w:val="00067A55"/>
    <w:rsid w:val="00067E0F"/>
    <w:rsid w:val="00070500"/>
    <w:rsid w:val="000709D4"/>
    <w:rsid w:val="00071A2F"/>
    <w:rsid w:val="00071F31"/>
    <w:rsid w:val="000747C4"/>
    <w:rsid w:val="00074EF6"/>
    <w:rsid w:val="000764DD"/>
    <w:rsid w:val="00076CEC"/>
    <w:rsid w:val="000776FA"/>
    <w:rsid w:val="00077CD3"/>
    <w:rsid w:val="00080E96"/>
    <w:rsid w:val="00080FA8"/>
    <w:rsid w:val="00082C02"/>
    <w:rsid w:val="00082CAC"/>
    <w:rsid w:val="00083854"/>
    <w:rsid w:val="0008387D"/>
    <w:rsid w:val="00083D3A"/>
    <w:rsid w:val="00084AC1"/>
    <w:rsid w:val="00085196"/>
    <w:rsid w:val="00085314"/>
    <w:rsid w:val="00085393"/>
    <w:rsid w:val="000856D3"/>
    <w:rsid w:val="00086400"/>
    <w:rsid w:val="00086C5B"/>
    <w:rsid w:val="0008789E"/>
    <w:rsid w:val="000905D6"/>
    <w:rsid w:val="0009093C"/>
    <w:rsid w:val="00090D68"/>
    <w:rsid w:val="00090E4D"/>
    <w:rsid w:val="00090E6C"/>
    <w:rsid w:val="00091113"/>
    <w:rsid w:val="0009129D"/>
    <w:rsid w:val="00091378"/>
    <w:rsid w:val="00091630"/>
    <w:rsid w:val="00091E67"/>
    <w:rsid w:val="00091FE2"/>
    <w:rsid w:val="00092080"/>
    <w:rsid w:val="00092A3C"/>
    <w:rsid w:val="00092EBC"/>
    <w:rsid w:val="000935BE"/>
    <w:rsid w:val="000948CB"/>
    <w:rsid w:val="00094AE6"/>
    <w:rsid w:val="00095314"/>
    <w:rsid w:val="00095A3A"/>
    <w:rsid w:val="000962C0"/>
    <w:rsid w:val="000968BE"/>
    <w:rsid w:val="000969DE"/>
    <w:rsid w:val="00097FC2"/>
    <w:rsid w:val="000A043A"/>
    <w:rsid w:val="000A055A"/>
    <w:rsid w:val="000A0D39"/>
    <w:rsid w:val="000A16D5"/>
    <w:rsid w:val="000A1998"/>
    <w:rsid w:val="000A1A10"/>
    <w:rsid w:val="000A1D36"/>
    <w:rsid w:val="000A1F48"/>
    <w:rsid w:val="000A2792"/>
    <w:rsid w:val="000A2A5F"/>
    <w:rsid w:val="000A3069"/>
    <w:rsid w:val="000A4DDA"/>
    <w:rsid w:val="000A50F3"/>
    <w:rsid w:val="000A561E"/>
    <w:rsid w:val="000A64D2"/>
    <w:rsid w:val="000A712A"/>
    <w:rsid w:val="000B0A4E"/>
    <w:rsid w:val="000B1E14"/>
    <w:rsid w:val="000B2413"/>
    <w:rsid w:val="000B26A4"/>
    <w:rsid w:val="000B35F1"/>
    <w:rsid w:val="000B36A7"/>
    <w:rsid w:val="000B492A"/>
    <w:rsid w:val="000B49AE"/>
    <w:rsid w:val="000B4AC7"/>
    <w:rsid w:val="000B5663"/>
    <w:rsid w:val="000B59CB"/>
    <w:rsid w:val="000B6475"/>
    <w:rsid w:val="000B65EE"/>
    <w:rsid w:val="000B6907"/>
    <w:rsid w:val="000B74F4"/>
    <w:rsid w:val="000B7A66"/>
    <w:rsid w:val="000C036C"/>
    <w:rsid w:val="000C043D"/>
    <w:rsid w:val="000C269E"/>
    <w:rsid w:val="000C28DF"/>
    <w:rsid w:val="000C2BCB"/>
    <w:rsid w:val="000C3390"/>
    <w:rsid w:val="000C3AA0"/>
    <w:rsid w:val="000C3DB5"/>
    <w:rsid w:val="000C48D6"/>
    <w:rsid w:val="000C48E8"/>
    <w:rsid w:val="000C4ED6"/>
    <w:rsid w:val="000C53D3"/>
    <w:rsid w:val="000C62D3"/>
    <w:rsid w:val="000C6942"/>
    <w:rsid w:val="000C7418"/>
    <w:rsid w:val="000C76B8"/>
    <w:rsid w:val="000C7BB4"/>
    <w:rsid w:val="000C7D7D"/>
    <w:rsid w:val="000D01DB"/>
    <w:rsid w:val="000D0232"/>
    <w:rsid w:val="000D024E"/>
    <w:rsid w:val="000D1DA0"/>
    <w:rsid w:val="000D34B6"/>
    <w:rsid w:val="000D36FC"/>
    <w:rsid w:val="000D3881"/>
    <w:rsid w:val="000D3AAE"/>
    <w:rsid w:val="000D3E4A"/>
    <w:rsid w:val="000D4049"/>
    <w:rsid w:val="000D42F2"/>
    <w:rsid w:val="000D4681"/>
    <w:rsid w:val="000D48F8"/>
    <w:rsid w:val="000D5967"/>
    <w:rsid w:val="000D5E74"/>
    <w:rsid w:val="000D66AF"/>
    <w:rsid w:val="000D7072"/>
    <w:rsid w:val="000D73BF"/>
    <w:rsid w:val="000D77B1"/>
    <w:rsid w:val="000E0068"/>
    <w:rsid w:val="000E0497"/>
    <w:rsid w:val="000E0775"/>
    <w:rsid w:val="000E0CB5"/>
    <w:rsid w:val="000E12BD"/>
    <w:rsid w:val="000E1770"/>
    <w:rsid w:val="000E1A47"/>
    <w:rsid w:val="000E2156"/>
    <w:rsid w:val="000E2CDC"/>
    <w:rsid w:val="000E2E35"/>
    <w:rsid w:val="000E2F22"/>
    <w:rsid w:val="000E32D8"/>
    <w:rsid w:val="000E33A2"/>
    <w:rsid w:val="000E39FD"/>
    <w:rsid w:val="000E3C49"/>
    <w:rsid w:val="000E4043"/>
    <w:rsid w:val="000E4565"/>
    <w:rsid w:val="000E4B5B"/>
    <w:rsid w:val="000E4C86"/>
    <w:rsid w:val="000E53B5"/>
    <w:rsid w:val="000E5431"/>
    <w:rsid w:val="000E5739"/>
    <w:rsid w:val="000E5885"/>
    <w:rsid w:val="000E58F2"/>
    <w:rsid w:val="000E5A00"/>
    <w:rsid w:val="000E64A9"/>
    <w:rsid w:val="000E6DF0"/>
    <w:rsid w:val="000E752F"/>
    <w:rsid w:val="000E76D9"/>
    <w:rsid w:val="000F0B18"/>
    <w:rsid w:val="000F0DAC"/>
    <w:rsid w:val="000F0FCE"/>
    <w:rsid w:val="000F1017"/>
    <w:rsid w:val="000F15C6"/>
    <w:rsid w:val="000F17C0"/>
    <w:rsid w:val="000F1B74"/>
    <w:rsid w:val="000F32BE"/>
    <w:rsid w:val="000F3362"/>
    <w:rsid w:val="000F36C5"/>
    <w:rsid w:val="000F46BC"/>
    <w:rsid w:val="000F47F5"/>
    <w:rsid w:val="000F4910"/>
    <w:rsid w:val="000F4B3D"/>
    <w:rsid w:val="000F4BCB"/>
    <w:rsid w:val="000F4D26"/>
    <w:rsid w:val="000F59FB"/>
    <w:rsid w:val="000F5E55"/>
    <w:rsid w:val="000F5EA7"/>
    <w:rsid w:val="000F62C7"/>
    <w:rsid w:val="000F631C"/>
    <w:rsid w:val="000F6433"/>
    <w:rsid w:val="000F6CF6"/>
    <w:rsid w:val="000F73A9"/>
    <w:rsid w:val="000F7430"/>
    <w:rsid w:val="000F7466"/>
    <w:rsid w:val="000F7619"/>
    <w:rsid w:val="000F7E0E"/>
    <w:rsid w:val="001016DA"/>
    <w:rsid w:val="00101883"/>
    <w:rsid w:val="001027B2"/>
    <w:rsid w:val="0010323E"/>
    <w:rsid w:val="001032AB"/>
    <w:rsid w:val="00103449"/>
    <w:rsid w:val="00103B3A"/>
    <w:rsid w:val="001042E1"/>
    <w:rsid w:val="00105B37"/>
    <w:rsid w:val="001065C1"/>
    <w:rsid w:val="001075A2"/>
    <w:rsid w:val="001075E7"/>
    <w:rsid w:val="00107742"/>
    <w:rsid w:val="00107A04"/>
    <w:rsid w:val="00110744"/>
    <w:rsid w:val="0011087C"/>
    <w:rsid w:val="001109A0"/>
    <w:rsid w:val="00111B94"/>
    <w:rsid w:val="00111BE5"/>
    <w:rsid w:val="00111CAD"/>
    <w:rsid w:val="00111D52"/>
    <w:rsid w:val="001122BF"/>
    <w:rsid w:val="001136AD"/>
    <w:rsid w:val="0011371C"/>
    <w:rsid w:val="00113D59"/>
    <w:rsid w:val="001141EF"/>
    <w:rsid w:val="00114377"/>
    <w:rsid w:val="001147D6"/>
    <w:rsid w:val="00115AD1"/>
    <w:rsid w:val="00115C53"/>
    <w:rsid w:val="00115DD5"/>
    <w:rsid w:val="00116264"/>
    <w:rsid w:val="001162AF"/>
    <w:rsid w:val="001165BB"/>
    <w:rsid w:val="00116683"/>
    <w:rsid w:val="00116B5E"/>
    <w:rsid w:val="00116D89"/>
    <w:rsid w:val="001176AC"/>
    <w:rsid w:val="0011772E"/>
    <w:rsid w:val="001206DB"/>
    <w:rsid w:val="00120706"/>
    <w:rsid w:val="001225B3"/>
    <w:rsid w:val="001230A0"/>
    <w:rsid w:val="00124191"/>
    <w:rsid w:val="00124CCE"/>
    <w:rsid w:val="00124D6D"/>
    <w:rsid w:val="001254E7"/>
    <w:rsid w:val="001255AA"/>
    <w:rsid w:val="001256E6"/>
    <w:rsid w:val="00125D09"/>
    <w:rsid w:val="001272A0"/>
    <w:rsid w:val="00127514"/>
    <w:rsid w:val="0013044E"/>
    <w:rsid w:val="00130604"/>
    <w:rsid w:val="001306DA"/>
    <w:rsid w:val="00130BED"/>
    <w:rsid w:val="00131307"/>
    <w:rsid w:val="0013164E"/>
    <w:rsid w:val="001320DB"/>
    <w:rsid w:val="0013250D"/>
    <w:rsid w:val="001325B7"/>
    <w:rsid w:val="00133CEB"/>
    <w:rsid w:val="00135442"/>
    <w:rsid w:val="00135FD6"/>
    <w:rsid w:val="0013632A"/>
    <w:rsid w:val="0013672C"/>
    <w:rsid w:val="00137A08"/>
    <w:rsid w:val="00137A24"/>
    <w:rsid w:val="00137FAA"/>
    <w:rsid w:val="00140819"/>
    <w:rsid w:val="0014097B"/>
    <w:rsid w:val="00141498"/>
    <w:rsid w:val="00142351"/>
    <w:rsid w:val="00143946"/>
    <w:rsid w:val="00143D79"/>
    <w:rsid w:val="0014403A"/>
    <w:rsid w:val="00146277"/>
    <w:rsid w:val="001466B3"/>
    <w:rsid w:val="0014683D"/>
    <w:rsid w:val="0014693E"/>
    <w:rsid w:val="00146947"/>
    <w:rsid w:val="00147079"/>
    <w:rsid w:val="0014710F"/>
    <w:rsid w:val="0014722D"/>
    <w:rsid w:val="00147AC8"/>
    <w:rsid w:val="001500D7"/>
    <w:rsid w:val="00150164"/>
    <w:rsid w:val="00150368"/>
    <w:rsid w:val="00150656"/>
    <w:rsid w:val="00150DF5"/>
    <w:rsid w:val="00151633"/>
    <w:rsid w:val="001516A1"/>
    <w:rsid w:val="001516EC"/>
    <w:rsid w:val="001518FB"/>
    <w:rsid w:val="00151DA3"/>
    <w:rsid w:val="001522F8"/>
    <w:rsid w:val="001536B2"/>
    <w:rsid w:val="00153B23"/>
    <w:rsid w:val="00154B54"/>
    <w:rsid w:val="00155B41"/>
    <w:rsid w:val="00155D28"/>
    <w:rsid w:val="001571C1"/>
    <w:rsid w:val="001574A5"/>
    <w:rsid w:val="00157D57"/>
    <w:rsid w:val="00157D72"/>
    <w:rsid w:val="00157F04"/>
    <w:rsid w:val="001620E2"/>
    <w:rsid w:val="00162508"/>
    <w:rsid w:val="00162678"/>
    <w:rsid w:val="0016271B"/>
    <w:rsid w:val="00162997"/>
    <w:rsid w:val="00163259"/>
    <w:rsid w:val="0016371D"/>
    <w:rsid w:val="00163A32"/>
    <w:rsid w:val="00163C9F"/>
    <w:rsid w:val="00164716"/>
    <w:rsid w:val="00164C47"/>
    <w:rsid w:val="00164D13"/>
    <w:rsid w:val="00164E25"/>
    <w:rsid w:val="00164E55"/>
    <w:rsid w:val="00165E30"/>
    <w:rsid w:val="00166097"/>
    <w:rsid w:val="00166229"/>
    <w:rsid w:val="0016645E"/>
    <w:rsid w:val="001664D3"/>
    <w:rsid w:val="00166E6D"/>
    <w:rsid w:val="00167483"/>
    <w:rsid w:val="00170B5F"/>
    <w:rsid w:val="00171552"/>
    <w:rsid w:val="00171873"/>
    <w:rsid w:val="00171D16"/>
    <w:rsid w:val="0017251D"/>
    <w:rsid w:val="001726D4"/>
    <w:rsid w:val="00172B6D"/>
    <w:rsid w:val="00173326"/>
    <w:rsid w:val="001735EC"/>
    <w:rsid w:val="0017370E"/>
    <w:rsid w:val="00173F1F"/>
    <w:rsid w:val="0017424B"/>
    <w:rsid w:val="001750A0"/>
    <w:rsid w:val="001769C9"/>
    <w:rsid w:val="0018007A"/>
    <w:rsid w:val="00181EA9"/>
    <w:rsid w:val="001827CC"/>
    <w:rsid w:val="00182E10"/>
    <w:rsid w:val="0018347E"/>
    <w:rsid w:val="0018366A"/>
    <w:rsid w:val="00183780"/>
    <w:rsid w:val="0018426D"/>
    <w:rsid w:val="00184490"/>
    <w:rsid w:val="001844C6"/>
    <w:rsid w:val="001845EF"/>
    <w:rsid w:val="00184AA3"/>
    <w:rsid w:val="00184B22"/>
    <w:rsid w:val="00184C7E"/>
    <w:rsid w:val="001852F4"/>
    <w:rsid w:val="00185303"/>
    <w:rsid w:val="00185868"/>
    <w:rsid w:val="0018651F"/>
    <w:rsid w:val="00186661"/>
    <w:rsid w:val="001874D7"/>
    <w:rsid w:val="001879CF"/>
    <w:rsid w:val="00187EBF"/>
    <w:rsid w:val="001903F1"/>
    <w:rsid w:val="0019042B"/>
    <w:rsid w:val="00190B97"/>
    <w:rsid w:val="0019286D"/>
    <w:rsid w:val="00192BBF"/>
    <w:rsid w:val="00192BFC"/>
    <w:rsid w:val="001933E1"/>
    <w:rsid w:val="00193884"/>
    <w:rsid w:val="0019490A"/>
    <w:rsid w:val="00194B60"/>
    <w:rsid w:val="00194D51"/>
    <w:rsid w:val="0019530F"/>
    <w:rsid w:val="00195D19"/>
    <w:rsid w:val="001961B6"/>
    <w:rsid w:val="001970F0"/>
    <w:rsid w:val="00197B79"/>
    <w:rsid w:val="001A01A2"/>
    <w:rsid w:val="001A0A05"/>
    <w:rsid w:val="001A0BA7"/>
    <w:rsid w:val="001A0F9C"/>
    <w:rsid w:val="001A229B"/>
    <w:rsid w:val="001A22B7"/>
    <w:rsid w:val="001A2DE8"/>
    <w:rsid w:val="001A3352"/>
    <w:rsid w:val="001A3420"/>
    <w:rsid w:val="001A3570"/>
    <w:rsid w:val="001A3695"/>
    <w:rsid w:val="001A41F2"/>
    <w:rsid w:val="001A443F"/>
    <w:rsid w:val="001A4EBF"/>
    <w:rsid w:val="001A5D57"/>
    <w:rsid w:val="001A6384"/>
    <w:rsid w:val="001A6640"/>
    <w:rsid w:val="001A6E48"/>
    <w:rsid w:val="001A75BA"/>
    <w:rsid w:val="001B07A7"/>
    <w:rsid w:val="001B07E8"/>
    <w:rsid w:val="001B0E44"/>
    <w:rsid w:val="001B10E7"/>
    <w:rsid w:val="001B17B0"/>
    <w:rsid w:val="001B1992"/>
    <w:rsid w:val="001B1B2B"/>
    <w:rsid w:val="001B2323"/>
    <w:rsid w:val="001B2F9F"/>
    <w:rsid w:val="001B31DC"/>
    <w:rsid w:val="001B32B4"/>
    <w:rsid w:val="001B3C66"/>
    <w:rsid w:val="001B3FE6"/>
    <w:rsid w:val="001B40A3"/>
    <w:rsid w:val="001B41FC"/>
    <w:rsid w:val="001B453A"/>
    <w:rsid w:val="001B53D2"/>
    <w:rsid w:val="001B5836"/>
    <w:rsid w:val="001B5D15"/>
    <w:rsid w:val="001B5F84"/>
    <w:rsid w:val="001B6919"/>
    <w:rsid w:val="001B6D41"/>
    <w:rsid w:val="001B6E81"/>
    <w:rsid w:val="001B7DD8"/>
    <w:rsid w:val="001C02BB"/>
    <w:rsid w:val="001C145F"/>
    <w:rsid w:val="001C1CFF"/>
    <w:rsid w:val="001C248B"/>
    <w:rsid w:val="001C3916"/>
    <w:rsid w:val="001C3B0B"/>
    <w:rsid w:val="001C48E5"/>
    <w:rsid w:val="001C4EAC"/>
    <w:rsid w:val="001C53BB"/>
    <w:rsid w:val="001C6C42"/>
    <w:rsid w:val="001C77CB"/>
    <w:rsid w:val="001C7FC3"/>
    <w:rsid w:val="001D01A9"/>
    <w:rsid w:val="001D0C43"/>
    <w:rsid w:val="001D299E"/>
    <w:rsid w:val="001D3169"/>
    <w:rsid w:val="001D3500"/>
    <w:rsid w:val="001D39F8"/>
    <w:rsid w:val="001D3B02"/>
    <w:rsid w:val="001D3CB8"/>
    <w:rsid w:val="001D45BC"/>
    <w:rsid w:val="001D4B7A"/>
    <w:rsid w:val="001D4F12"/>
    <w:rsid w:val="001D57E1"/>
    <w:rsid w:val="001D5B01"/>
    <w:rsid w:val="001D6234"/>
    <w:rsid w:val="001D63D0"/>
    <w:rsid w:val="001D6E4A"/>
    <w:rsid w:val="001D7362"/>
    <w:rsid w:val="001D73C3"/>
    <w:rsid w:val="001D7831"/>
    <w:rsid w:val="001D79C1"/>
    <w:rsid w:val="001D7B5F"/>
    <w:rsid w:val="001D7D07"/>
    <w:rsid w:val="001E04BC"/>
    <w:rsid w:val="001E0C23"/>
    <w:rsid w:val="001E2259"/>
    <w:rsid w:val="001E2412"/>
    <w:rsid w:val="001E243D"/>
    <w:rsid w:val="001E2E95"/>
    <w:rsid w:val="001E3E6C"/>
    <w:rsid w:val="001E477D"/>
    <w:rsid w:val="001E524C"/>
    <w:rsid w:val="001E5BD6"/>
    <w:rsid w:val="001E6421"/>
    <w:rsid w:val="001E6674"/>
    <w:rsid w:val="001E6D82"/>
    <w:rsid w:val="001F0810"/>
    <w:rsid w:val="001F0E3C"/>
    <w:rsid w:val="001F186D"/>
    <w:rsid w:val="001F1C13"/>
    <w:rsid w:val="001F204F"/>
    <w:rsid w:val="001F28F7"/>
    <w:rsid w:val="001F2D5B"/>
    <w:rsid w:val="001F3AE9"/>
    <w:rsid w:val="001F44D3"/>
    <w:rsid w:val="001F5040"/>
    <w:rsid w:val="001F63C2"/>
    <w:rsid w:val="001F6A93"/>
    <w:rsid w:val="001F7290"/>
    <w:rsid w:val="001F797E"/>
    <w:rsid w:val="001F79F3"/>
    <w:rsid w:val="002004FD"/>
    <w:rsid w:val="00201DE9"/>
    <w:rsid w:val="00202C1A"/>
    <w:rsid w:val="00202D57"/>
    <w:rsid w:val="0020374C"/>
    <w:rsid w:val="00204594"/>
    <w:rsid w:val="00204710"/>
    <w:rsid w:val="002048E2"/>
    <w:rsid w:val="00204C97"/>
    <w:rsid w:val="00205969"/>
    <w:rsid w:val="00205D13"/>
    <w:rsid w:val="0020602F"/>
    <w:rsid w:val="00206B1D"/>
    <w:rsid w:val="002070C8"/>
    <w:rsid w:val="002071C2"/>
    <w:rsid w:val="00207596"/>
    <w:rsid w:val="002077EF"/>
    <w:rsid w:val="00210064"/>
    <w:rsid w:val="00211215"/>
    <w:rsid w:val="002119EB"/>
    <w:rsid w:val="00211B79"/>
    <w:rsid w:val="0021323E"/>
    <w:rsid w:val="00213319"/>
    <w:rsid w:val="0021348B"/>
    <w:rsid w:val="0021443A"/>
    <w:rsid w:val="002146AD"/>
    <w:rsid w:val="00214B0D"/>
    <w:rsid w:val="00214F01"/>
    <w:rsid w:val="00215440"/>
    <w:rsid w:val="00215567"/>
    <w:rsid w:val="00215C18"/>
    <w:rsid w:val="00216136"/>
    <w:rsid w:val="00216298"/>
    <w:rsid w:val="00216466"/>
    <w:rsid w:val="00216CEE"/>
    <w:rsid w:val="002171E0"/>
    <w:rsid w:val="00217ACA"/>
    <w:rsid w:val="00220698"/>
    <w:rsid w:val="00220A07"/>
    <w:rsid w:val="00221952"/>
    <w:rsid w:val="00222C12"/>
    <w:rsid w:val="00223245"/>
    <w:rsid w:val="0022372B"/>
    <w:rsid w:val="002239CD"/>
    <w:rsid w:val="00223CA0"/>
    <w:rsid w:val="002245BF"/>
    <w:rsid w:val="00224671"/>
    <w:rsid w:val="00224A4D"/>
    <w:rsid w:val="00224DF7"/>
    <w:rsid w:val="00225089"/>
    <w:rsid w:val="0022620F"/>
    <w:rsid w:val="00226225"/>
    <w:rsid w:val="0022637A"/>
    <w:rsid w:val="002263B7"/>
    <w:rsid w:val="00226459"/>
    <w:rsid w:val="002305EC"/>
    <w:rsid w:val="00230925"/>
    <w:rsid w:val="002319CF"/>
    <w:rsid w:val="00231DC5"/>
    <w:rsid w:val="00232D3E"/>
    <w:rsid w:val="00232FA5"/>
    <w:rsid w:val="00233125"/>
    <w:rsid w:val="002331AE"/>
    <w:rsid w:val="00233319"/>
    <w:rsid w:val="00233571"/>
    <w:rsid w:val="002337E8"/>
    <w:rsid w:val="00235593"/>
    <w:rsid w:val="00235BC7"/>
    <w:rsid w:val="00235C4B"/>
    <w:rsid w:val="002360FC"/>
    <w:rsid w:val="0023622D"/>
    <w:rsid w:val="0023624D"/>
    <w:rsid w:val="002363CC"/>
    <w:rsid w:val="00237486"/>
    <w:rsid w:val="00237875"/>
    <w:rsid w:val="00237BF1"/>
    <w:rsid w:val="00240965"/>
    <w:rsid w:val="00240AF3"/>
    <w:rsid w:val="00240D37"/>
    <w:rsid w:val="00241092"/>
    <w:rsid w:val="00241729"/>
    <w:rsid w:val="00241D64"/>
    <w:rsid w:val="00242040"/>
    <w:rsid w:val="00242B42"/>
    <w:rsid w:val="00242C9A"/>
    <w:rsid w:val="00243399"/>
    <w:rsid w:val="002436F7"/>
    <w:rsid w:val="00243EE2"/>
    <w:rsid w:val="0024465D"/>
    <w:rsid w:val="0024484B"/>
    <w:rsid w:val="002448CB"/>
    <w:rsid w:val="00244AE8"/>
    <w:rsid w:val="0024643C"/>
    <w:rsid w:val="002464C4"/>
    <w:rsid w:val="002471B4"/>
    <w:rsid w:val="00247DAF"/>
    <w:rsid w:val="00247DB2"/>
    <w:rsid w:val="00251830"/>
    <w:rsid w:val="00251BAB"/>
    <w:rsid w:val="00252DBE"/>
    <w:rsid w:val="0025340F"/>
    <w:rsid w:val="002541C8"/>
    <w:rsid w:val="002545D2"/>
    <w:rsid w:val="00255443"/>
    <w:rsid w:val="00255E9A"/>
    <w:rsid w:val="0025626D"/>
    <w:rsid w:val="00256560"/>
    <w:rsid w:val="00256624"/>
    <w:rsid w:val="00256DDA"/>
    <w:rsid w:val="00257B24"/>
    <w:rsid w:val="00257F30"/>
    <w:rsid w:val="002600AD"/>
    <w:rsid w:val="00260896"/>
    <w:rsid w:val="00260CB3"/>
    <w:rsid w:val="00260FF7"/>
    <w:rsid w:val="002620C0"/>
    <w:rsid w:val="00262ACE"/>
    <w:rsid w:val="00263F0F"/>
    <w:rsid w:val="002647C1"/>
    <w:rsid w:val="00264E21"/>
    <w:rsid w:val="00265270"/>
    <w:rsid w:val="00265A7A"/>
    <w:rsid w:val="00265B4D"/>
    <w:rsid w:val="00265BC4"/>
    <w:rsid w:val="00265C0D"/>
    <w:rsid w:val="00266019"/>
    <w:rsid w:val="0026655E"/>
    <w:rsid w:val="00266ACC"/>
    <w:rsid w:val="00266D7C"/>
    <w:rsid w:val="0027144D"/>
    <w:rsid w:val="002714C2"/>
    <w:rsid w:val="0027173C"/>
    <w:rsid w:val="00271DE1"/>
    <w:rsid w:val="0027240B"/>
    <w:rsid w:val="002746B4"/>
    <w:rsid w:val="00274DED"/>
    <w:rsid w:val="0027536C"/>
    <w:rsid w:val="0027593C"/>
    <w:rsid w:val="00276040"/>
    <w:rsid w:val="002760EF"/>
    <w:rsid w:val="00276A82"/>
    <w:rsid w:val="0027759D"/>
    <w:rsid w:val="002778AD"/>
    <w:rsid w:val="00280745"/>
    <w:rsid w:val="0028076D"/>
    <w:rsid w:val="002823A6"/>
    <w:rsid w:val="00283444"/>
    <w:rsid w:val="00283518"/>
    <w:rsid w:val="0028351E"/>
    <w:rsid w:val="002839D3"/>
    <w:rsid w:val="00283A30"/>
    <w:rsid w:val="00283EA9"/>
    <w:rsid w:val="0028403A"/>
    <w:rsid w:val="00284A0E"/>
    <w:rsid w:val="00285129"/>
    <w:rsid w:val="002857D1"/>
    <w:rsid w:val="00285BBB"/>
    <w:rsid w:val="00287018"/>
    <w:rsid w:val="00290957"/>
    <w:rsid w:val="00290C34"/>
    <w:rsid w:val="00292826"/>
    <w:rsid w:val="00292E8C"/>
    <w:rsid w:val="0029372A"/>
    <w:rsid w:val="00293CCF"/>
    <w:rsid w:val="0029403A"/>
    <w:rsid w:val="00294804"/>
    <w:rsid w:val="00294DCA"/>
    <w:rsid w:val="00295115"/>
    <w:rsid w:val="002953E2"/>
    <w:rsid w:val="00295E80"/>
    <w:rsid w:val="00296232"/>
    <w:rsid w:val="00296A7A"/>
    <w:rsid w:val="00296D8F"/>
    <w:rsid w:val="00297C2D"/>
    <w:rsid w:val="002A0A44"/>
    <w:rsid w:val="002A0C1C"/>
    <w:rsid w:val="002A0CD6"/>
    <w:rsid w:val="002A11B8"/>
    <w:rsid w:val="002A120F"/>
    <w:rsid w:val="002A1613"/>
    <w:rsid w:val="002A175E"/>
    <w:rsid w:val="002A311D"/>
    <w:rsid w:val="002A34B7"/>
    <w:rsid w:val="002A3B81"/>
    <w:rsid w:val="002A440A"/>
    <w:rsid w:val="002A466D"/>
    <w:rsid w:val="002A5514"/>
    <w:rsid w:val="002A57C6"/>
    <w:rsid w:val="002A6205"/>
    <w:rsid w:val="002A662F"/>
    <w:rsid w:val="002A70F0"/>
    <w:rsid w:val="002A7D81"/>
    <w:rsid w:val="002B118F"/>
    <w:rsid w:val="002B1D6A"/>
    <w:rsid w:val="002B1DBC"/>
    <w:rsid w:val="002B1EC5"/>
    <w:rsid w:val="002B23F8"/>
    <w:rsid w:val="002B2EB4"/>
    <w:rsid w:val="002B373F"/>
    <w:rsid w:val="002B3E5D"/>
    <w:rsid w:val="002B4A7C"/>
    <w:rsid w:val="002B4D58"/>
    <w:rsid w:val="002B4F61"/>
    <w:rsid w:val="002B4F97"/>
    <w:rsid w:val="002B5140"/>
    <w:rsid w:val="002B5F0A"/>
    <w:rsid w:val="002B60CE"/>
    <w:rsid w:val="002B64C9"/>
    <w:rsid w:val="002B6B22"/>
    <w:rsid w:val="002B6D00"/>
    <w:rsid w:val="002B71E0"/>
    <w:rsid w:val="002B742D"/>
    <w:rsid w:val="002B74CA"/>
    <w:rsid w:val="002B7B5A"/>
    <w:rsid w:val="002B7D2E"/>
    <w:rsid w:val="002B7F78"/>
    <w:rsid w:val="002C02B3"/>
    <w:rsid w:val="002C0D03"/>
    <w:rsid w:val="002C0EDF"/>
    <w:rsid w:val="002C1DC3"/>
    <w:rsid w:val="002C1F66"/>
    <w:rsid w:val="002C2821"/>
    <w:rsid w:val="002C37A5"/>
    <w:rsid w:val="002C3AB1"/>
    <w:rsid w:val="002C3B36"/>
    <w:rsid w:val="002C40E2"/>
    <w:rsid w:val="002C4185"/>
    <w:rsid w:val="002C4B01"/>
    <w:rsid w:val="002C4EE5"/>
    <w:rsid w:val="002C4F15"/>
    <w:rsid w:val="002C6BC8"/>
    <w:rsid w:val="002C6C45"/>
    <w:rsid w:val="002C6CA2"/>
    <w:rsid w:val="002C7466"/>
    <w:rsid w:val="002C78DD"/>
    <w:rsid w:val="002C7E26"/>
    <w:rsid w:val="002D040A"/>
    <w:rsid w:val="002D079E"/>
    <w:rsid w:val="002D12E0"/>
    <w:rsid w:val="002D21C9"/>
    <w:rsid w:val="002D2577"/>
    <w:rsid w:val="002D2A80"/>
    <w:rsid w:val="002D2CBE"/>
    <w:rsid w:val="002D2D1D"/>
    <w:rsid w:val="002D2D90"/>
    <w:rsid w:val="002D2F00"/>
    <w:rsid w:val="002D3177"/>
    <w:rsid w:val="002D385B"/>
    <w:rsid w:val="002D38A2"/>
    <w:rsid w:val="002D4010"/>
    <w:rsid w:val="002D5425"/>
    <w:rsid w:val="002D55B1"/>
    <w:rsid w:val="002D664C"/>
    <w:rsid w:val="002D678C"/>
    <w:rsid w:val="002D697F"/>
    <w:rsid w:val="002D6A7C"/>
    <w:rsid w:val="002D6AAE"/>
    <w:rsid w:val="002D6B21"/>
    <w:rsid w:val="002D72B3"/>
    <w:rsid w:val="002D7AA5"/>
    <w:rsid w:val="002D7E94"/>
    <w:rsid w:val="002E00DA"/>
    <w:rsid w:val="002E0889"/>
    <w:rsid w:val="002E0ED2"/>
    <w:rsid w:val="002E1949"/>
    <w:rsid w:val="002E1DF4"/>
    <w:rsid w:val="002E22C2"/>
    <w:rsid w:val="002E2C77"/>
    <w:rsid w:val="002E2EA6"/>
    <w:rsid w:val="002E3000"/>
    <w:rsid w:val="002E32BD"/>
    <w:rsid w:val="002E34C5"/>
    <w:rsid w:val="002E368F"/>
    <w:rsid w:val="002E3829"/>
    <w:rsid w:val="002E3DA4"/>
    <w:rsid w:val="002E3F4B"/>
    <w:rsid w:val="002E4491"/>
    <w:rsid w:val="002E44C4"/>
    <w:rsid w:val="002E4E4D"/>
    <w:rsid w:val="002E5D90"/>
    <w:rsid w:val="002E5E0C"/>
    <w:rsid w:val="002E60A8"/>
    <w:rsid w:val="002E6506"/>
    <w:rsid w:val="002E6528"/>
    <w:rsid w:val="002E6550"/>
    <w:rsid w:val="002E70BF"/>
    <w:rsid w:val="002E716F"/>
    <w:rsid w:val="002E72DB"/>
    <w:rsid w:val="002E739D"/>
    <w:rsid w:val="002E75A8"/>
    <w:rsid w:val="002E7AA3"/>
    <w:rsid w:val="002E7CD2"/>
    <w:rsid w:val="002F01F1"/>
    <w:rsid w:val="002F0F9F"/>
    <w:rsid w:val="002F2D2E"/>
    <w:rsid w:val="002F2ECF"/>
    <w:rsid w:val="002F3731"/>
    <w:rsid w:val="002F38DA"/>
    <w:rsid w:val="002F495B"/>
    <w:rsid w:val="002F4E15"/>
    <w:rsid w:val="002F5BC8"/>
    <w:rsid w:val="002F680A"/>
    <w:rsid w:val="002F74EF"/>
    <w:rsid w:val="00300022"/>
    <w:rsid w:val="0030139E"/>
    <w:rsid w:val="00301484"/>
    <w:rsid w:val="00301647"/>
    <w:rsid w:val="003016AF"/>
    <w:rsid w:val="003019FB"/>
    <w:rsid w:val="00302105"/>
    <w:rsid w:val="0030259D"/>
    <w:rsid w:val="0030427C"/>
    <w:rsid w:val="00305BB8"/>
    <w:rsid w:val="003062EF"/>
    <w:rsid w:val="00306892"/>
    <w:rsid w:val="00306A47"/>
    <w:rsid w:val="00306BBB"/>
    <w:rsid w:val="00306F48"/>
    <w:rsid w:val="00307143"/>
    <w:rsid w:val="00307477"/>
    <w:rsid w:val="00307881"/>
    <w:rsid w:val="00310890"/>
    <w:rsid w:val="00310968"/>
    <w:rsid w:val="00310B00"/>
    <w:rsid w:val="00310B88"/>
    <w:rsid w:val="00310B91"/>
    <w:rsid w:val="00311788"/>
    <w:rsid w:val="0031211F"/>
    <w:rsid w:val="00312DEF"/>
    <w:rsid w:val="00313209"/>
    <w:rsid w:val="0031429A"/>
    <w:rsid w:val="0031470D"/>
    <w:rsid w:val="00314DB2"/>
    <w:rsid w:val="00315198"/>
    <w:rsid w:val="003154DB"/>
    <w:rsid w:val="003165F4"/>
    <w:rsid w:val="00316883"/>
    <w:rsid w:val="003172A7"/>
    <w:rsid w:val="00317348"/>
    <w:rsid w:val="00317665"/>
    <w:rsid w:val="00317857"/>
    <w:rsid w:val="00317B7C"/>
    <w:rsid w:val="00317D2D"/>
    <w:rsid w:val="003201BC"/>
    <w:rsid w:val="00321B2F"/>
    <w:rsid w:val="00323279"/>
    <w:rsid w:val="003233DC"/>
    <w:rsid w:val="003237B6"/>
    <w:rsid w:val="00323CC0"/>
    <w:rsid w:val="00323F19"/>
    <w:rsid w:val="003241BE"/>
    <w:rsid w:val="00325018"/>
    <w:rsid w:val="00325069"/>
    <w:rsid w:val="00325136"/>
    <w:rsid w:val="003255DA"/>
    <w:rsid w:val="00325E0A"/>
    <w:rsid w:val="00326432"/>
    <w:rsid w:val="00326B30"/>
    <w:rsid w:val="00326E64"/>
    <w:rsid w:val="003277C5"/>
    <w:rsid w:val="00327C8E"/>
    <w:rsid w:val="003301EC"/>
    <w:rsid w:val="003304E1"/>
    <w:rsid w:val="003312AE"/>
    <w:rsid w:val="00331625"/>
    <w:rsid w:val="00331922"/>
    <w:rsid w:val="00331931"/>
    <w:rsid w:val="00331DB4"/>
    <w:rsid w:val="00332132"/>
    <w:rsid w:val="00332B93"/>
    <w:rsid w:val="003337C6"/>
    <w:rsid w:val="00333A7B"/>
    <w:rsid w:val="00333DA0"/>
    <w:rsid w:val="003347F7"/>
    <w:rsid w:val="00334D2D"/>
    <w:rsid w:val="003355A5"/>
    <w:rsid w:val="00335F33"/>
    <w:rsid w:val="00336596"/>
    <w:rsid w:val="003366D7"/>
    <w:rsid w:val="00336D45"/>
    <w:rsid w:val="00337017"/>
    <w:rsid w:val="0033761F"/>
    <w:rsid w:val="00337DDB"/>
    <w:rsid w:val="00340488"/>
    <w:rsid w:val="00340CE6"/>
    <w:rsid w:val="00340E07"/>
    <w:rsid w:val="00340F88"/>
    <w:rsid w:val="00341D4C"/>
    <w:rsid w:val="003425C3"/>
    <w:rsid w:val="00343100"/>
    <w:rsid w:val="00343D29"/>
    <w:rsid w:val="00343F93"/>
    <w:rsid w:val="0034455C"/>
    <w:rsid w:val="00344707"/>
    <w:rsid w:val="00344DAB"/>
    <w:rsid w:val="003457C5"/>
    <w:rsid w:val="003467B5"/>
    <w:rsid w:val="00346ADF"/>
    <w:rsid w:val="00347812"/>
    <w:rsid w:val="00347E5F"/>
    <w:rsid w:val="003501BE"/>
    <w:rsid w:val="003505C4"/>
    <w:rsid w:val="00350E40"/>
    <w:rsid w:val="003511E3"/>
    <w:rsid w:val="0035206E"/>
    <w:rsid w:val="00352841"/>
    <w:rsid w:val="00353FA1"/>
    <w:rsid w:val="003544A7"/>
    <w:rsid w:val="003547A1"/>
    <w:rsid w:val="0035563B"/>
    <w:rsid w:val="00356162"/>
    <w:rsid w:val="00356A63"/>
    <w:rsid w:val="003576A1"/>
    <w:rsid w:val="00357BD3"/>
    <w:rsid w:val="00360B2B"/>
    <w:rsid w:val="00361ECA"/>
    <w:rsid w:val="00362583"/>
    <w:rsid w:val="0036258B"/>
    <w:rsid w:val="00362B0F"/>
    <w:rsid w:val="00362BEA"/>
    <w:rsid w:val="00362D62"/>
    <w:rsid w:val="00363B33"/>
    <w:rsid w:val="00365367"/>
    <w:rsid w:val="003657BB"/>
    <w:rsid w:val="00365C71"/>
    <w:rsid w:val="00366E1B"/>
    <w:rsid w:val="00370000"/>
    <w:rsid w:val="003702EB"/>
    <w:rsid w:val="00370341"/>
    <w:rsid w:val="00370A18"/>
    <w:rsid w:val="00371E13"/>
    <w:rsid w:val="003720F7"/>
    <w:rsid w:val="003721CD"/>
    <w:rsid w:val="0037233C"/>
    <w:rsid w:val="00372CAF"/>
    <w:rsid w:val="00373BED"/>
    <w:rsid w:val="00373C41"/>
    <w:rsid w:val="003756A1"/>
    <w:rsid w:val="003756C4"/>
    <w:rsid w:val="00375CCA"/>
    <w:rsid w:val="00375D48"/>
    <w:rsid w:val="003763C4"/>
    <w:rsid w:val="00376458"/>
    <w:rsid w:val="0037738A"/>
    <w:rsid w:val="003775A9"/>
    <w:rsid w:val="003777C0"/>
    <w:rsid w:val="00380138"/>
    <w:rsid w:val="003803CA"/>
    <w:rsid w:val="00380B3B"/>
    <w:rsid w:val="0038160D"/>
    <w:rsid w:val="00382121"/>
    <w:rsid w:val="003824AA"/>
    <w:rsid w:val="003837E3"/>
    <w:rsid w:val="00383E80"/>
    <w:rsid w:val="003842C5"/>
    <w:rsid w:val="00384E82"/>
    <w:rsid w:val="003853A3"/>
    <w:rsid w:val="00386110"/>
    <w:rsid w:val="003863CD"/>
    <w:rsid w:val="00386AAD"/>
    <w:rsid w:val="0038770D"/>
    <w:rsid w:val="00387811"/>
    <w:rsid w:val="003879E7"/>
    <w:rsid w:val="00391071"/>
    <w:rsid w:val="003913A4"/>
    <w:rsid w:val="003917B2"/>
    <w:rsid w:val="00391E23"/>
    <w:rsid w:val="003920BA"/>
    <w:rsid w:val="00392534"/>
    <w:rsid w:val="00394641"/>
    <w:rsid w:val="0039477E"/>
    <w:rsid w:val="0039484E"/>
    <w:rsid w:val="00395439"/>
    <w:rsid w:val="00395A7F"/>
    <w:rsid w:val="003960ED"/>
    <w:rsid w:val="003972DF"/>
    <w:rsid w:val="003976B4"/>
    <w:rsid w:val="00397B30"/>
    <w:rsid w:val="00397FA2"/>
    <w:rsid w:val="003A0279"/>
    <w:rsid w:val="003A03C3"/>
    <w:rsid w:val="003A076D"/>
    <w:rsid w:val="003A0C77"/>
    <w:rsid w:val="003A0C9F"/>
    <w:rsid w:val="003A1806"/>
    <w:rsid w:val="003A270F"/>
    <w:rsid w:val="003A3A56"/>
    <w:rsid w:val="003A416A"/>
    <w:rsid w:val="003A4633"/>
    <w:rsid w:val="003A4666"/>
    <w:rsid w:val="003A4FE8"/>
    <w:rsid w:val="003A59A6"/>
    <w:rsid w:val="003A5D86"/>
    <w:rsid w:val="003A615C"/>
    <w:rsid w:val="003A690E"/>
    <w:rsid w:val="003A6993"/>
    <w:rsid w:val="003A6B52"/>
    <w:rsid w:val="003A7785"/>
    <w:rsid w:val="003A7E6D"/>
    <w:rsid w:val="003B06D8"/>
    <w:rsid w:val="003B10F6"/>
    <w:rsid w:val="003B159D"/>
    <w:rsid w:val="003B18A0"/>
    <w:rsid w:val="003B1932"/>
    <w:rsid w:val="003B1D62"/>
    <w:rsid w:val="003B2C65"/>
    <w:rsid w:val="003B2E0D"/>
    <w:rsid w:val="003B32D3"/>
    <w:rsid w:val="003B3812"/>
    <w:rsid w:val="003B3BAA"/>
    <w:rsid w:val="003B3DAA"/>
    <w:rsid w:val="003B442D"/>
    <w:rsid w:val="003B46F8"/>
    <w:rsid w:val="003B4729"/>
    <w:rsid w:val="003B5342"/>
    <w:rsid w:val="003B53BD"/>
    <w:rsid w:val="003B6692"/>
    <w:rsid w:val="003B6B57"/>
    <w:rsid w:val="003B6C0C"/>
    <w:rsid w:val="003B6CE2"/>
    <w:rsid w:val="003B74BE"/>
    <w:rsid w:val="003C0BC8"/>
    <w:rsid w:val="003C25F9"/>
    <w:rsid w:val="003C2C0D"/>
    <w:rsid w:val="003C2C66"/>
    <w:rsid w:val="003C300B"/>
    <w:rsid w:val="003C3B57"/>
    <w:rsid w:val="003C3C7D"/>
    <w:rsid w:val="003C3FC9"/>
    <w:rsid w:val="003C40B1"/>
    <w:rsid w:val="003C567D"/>
    <w:rsid w:val="003C58D9"/>
    <w:rsid w:val="003C61B6"/>
    <w:rsid w:val="003C6939"/>
    <w:rsid w:val="003C6C8E"/>
    <w:rsid w:val="003C757A"/>
    <w:rsid w:val="003C796F"/>
    <w:rsid w:val="003C7DAD"/>
    <w:rsid w:val="003D03E3"/>
    <w:rsid w:val="003D0F60"/>
    <w:rsid w:val="003D13D0"/>
    <w:rsid w:val="003D1B61"/>
    <w:rsid w:val="003D1B6E"/>
    <w:rsid w:val="003D1B95"/>
    <w:rsid w:val="003D2562"/>
    <w:rsid w:val="003D2AD2"/>
    <w:rsid w:val="003D2B02"/>
    <w:rsid w:val="003D306C"/>
    <w:rsid w:val="003D3CF5"/>
    <w:rsid w:val="003D4747"/>
    <w:rsid w:val="003D48B7"/>
    <w:rsid w:val="003D48F3"/>
    <w:rsid w:val="003D4DAC"/>
    <w:rsid w:val="003D4E10"/>
    <w:rsid w:val="003D55E4"/>
    <w:rsid w:val="003D62AC"/>
    <w:rsid w:val="003D70B4"/>
    <w:rsid w:val="003D70C8"/>
    <w:rsid w:val="003D74F7"/>
    <w:rsid w:val="003D759B"/>
    <w:rsid w:val="003D784C"/>
    <w:rsid w:val="003E1BAD"/>
    <w:rsid w:val="003E1D34"/>
    <w:rsid w:val="003E27BA"/>
    <w:rsid w:val="003E329B"/>
    <w:rsid w:val="003E376A"/>
    <w:rsid w:val="003E41DD"/>
    <w:rsid w:val="003E44DF"/>
    <w:rsid w:val="003E4616"/>
    <w:rsid w:val="003E46F0"/>
    <w:rsid w:val="003E4715"/>
    <w:rsid w:val="003E4809"/>
    <w:rsid w:val="003E4973"/>
    <w:rsid w:val="003E5011"/>
    <w:rsid w:val="003E51CD"/>
    <w:rsid w:val="003E549F"/>
    <w:rsid w:val="003E55A4"/>
    <w:rsid w:val="003E578E"/>
    <w:rsid w:val="003E5F52"/>
    <w:rsid w:val="003E629A"/>
    <w:rsid w:val="003E667A"/>
    <w:rsid w:val="003F02EF"/>
    <w:rsid w:val="003F0473"/>
    <w:rsid w:val="003F04C9"/>
    <w:rsid w:val="003F0C6C"/>
    <w:rsid w:val="003F0D00"/>
    <w:rsid w:val="003F1271"/>
    <w:rsid w:val="003F176B"/>
    <w:rsid w:val="003F1A32"/>
    <w:rsid w:val="003F1B96"/>
    <w:rsid w:val="003F1FE5"/>
    <w:rsid w:val="003F38A2"/>
    <w:rsid w:val="003F49AD"/>
    <w:rsid w:val="003F4E97"/>
    <w:rsid w:val="003F5238"/>
    <w:rsid w:val="003F56D8"/>
    <w:rsid w:val="003F63ED"/>
    <w:rsid w:val="003F6F63"/>
    <w:rsid w:val="003F705B"/>
    <w:rsid w:val="003F73A2"/>
    <w:rsid w:val="003F782D"/>
    <w:rsid w:val="003F7DDE"/>
    <w:rsid w:val="004002BF"/>
    <w:rsid w:val="00400AC3"/>
    <w:rsid w:val="00400B30"/>
    <w:rsid w:val="004012F5"/>
    <w:rsid w:val="00402105"/>
    <w:rsid w:val="0040292D"/>
    <w:rsid w:val="00402F91"/>
    <w:rsid w:val="00403099"/>
    <w:rsid w:val="004033CE"/>
    <w:rsid w:val="00404230"/>
    <w:rsid w:val="00404DB2"/>
    <w:rsid w:val="00405202"/>
    <w:rsid w:val="00405F8A"/>
    <w:rsid w:val="00406AA0"/>
    <w:rsid w:val="0040743E"/>
    <w:rsid w:val="004076E7"/>
    <w:rsid w:val="00407885"/>
    <w:rsid w:val="00407AFB"/>
    <w:rsid w:val="00410077"/>
    <w:rsid w:val="004100F3"/>
    <w:rsid w:val="0041023F"/>
    <w:rsid w:val="00410766"/>
    <w:rsid w:val="00411440"/>
    <w:rsid w:val="004127D5"/>
    <w:rsid w:val="00412820"/>
    <w:rsid w:val="00412ABA"/>
    <w:rsid w:val="00412C9E"/>
    <w:rsid w:val="00412CD3"/>
    <w:rsid w:val="004130F7"/>
    <w:rsid w:val="0041357C"/>
    <w:rsid w:val="004141F0"/>
    <w:rsid w:val="00414809"/>
    <w:rsid w:val="00414878"/>
    <w:rsid w:val="00414C7D"/>
    <w:rsid w:val="00414F10"/>
    <w:rsid w:val="004158D2"/>
    <w:rsid w:val="00415BD4"/>
    <w:rsid w:val="00415D38"/>
    <w:rsid w:val="00415DDD"/>
    <w:rsid w:val="004168F9"/>
    <w:rsid w:val="00416EF3"/>
    <w:rsid w:val="00417333"/>
    <w:rsid w:val="004178B0"/>
    <w:rsid w:val="004178C7"/>
    <w:rsid w:val="00417AB7"/>
    <w:rsid w:val="00417EBE"/>
    <w:rsid w:val="00417FBC"/>
    <w:rsid w:val="00422E70"/>
    <w:rsid w:val="00423DE7"/>
    <w:rsid w:val="00424EB0"/>
    <w:rsid w:val="00424FD2"/>
    <w:rsid w:val="00425553"/>
    <w:rsid w:val="0042566E"/>
    <w:rsid w:val="0042567A"/>
    <w:rsid w:val="0042583F"/>
    <w:rsid w:val="00425A7C"/>
    <w:rsid w:val="004270D3"/>
    <w:rsid w:val="00427784"/>
    <w:rsid w:val="004302DE"/>
    <w:rsid w:val="00430AF0"/>
    <w:rsid w:val="00430B7C"/>
    <w:rsid w:val="004311DB"/>
    <w:rsid w:val="00431A80"/>
    <w:rsid w:val="004325C6"/>
    <w:rsid w:val="00432617"/>
    <w:rsid w:val="004328FB"/>
    <w:rsid w:val="00433266"/>
    <w:rsid w:val="00433528"/>
    <w:rsid w:val="004335DB"/>
    <w:rsid w:val="00433CB2"/>
    <w:rsid w:val="00433F43"/>
    <w:rsid w:val="004340F6"/>
    <w:rsid w:val="00434606"/>
    <w:rsid w:val="004348BF"/>
    <w:rsid w:val="00435176"/>
    <w:rsid w:val="004356B5"/>
    <w:rsid w:val="00435B02"/>
    <w:rsid w:val="00436175"/>
    <w:rsid w:val="004361A8"/>
    <w:rsid w:val="004363EC"/>
    <w:rsid w:val="004371BD"/>
    <w:rsid w:val="00437468"/>
    <w:rsid w:val="00437842"/>
    <w:rsid w:val="00437EA6"/>
    <w:rsid w:val="00440AEA"/>
    <w:rsid w:val="004410F1"/>
    <w:rsid w:val="0044145F"/>
    <w:rsid w:val="004421F1"/>
    <w:rsid w:val="004423A6"/>
    <w:rsid w:val="00442495"/>
    <w:rsid w:val="0044315F"/>
    <w:rsid w:val="00443305"/>
    <w:rsid w:val="004435BE"/>
    <w:rsid w:val="00443753"/>
    <w:rsid w:val="00443D56"/>
    <w:rsid w:val="00444185"/>
    <w:rsid w:val="0044492F"/>
    <w:rsid w:val="00444E5D"/>
    <w:rsid w:val="0044504D"/>
    <w:rsid w:val="0044582B"/>
    <w:rsid w:val="00445B59"/>
    <w:rsid w:val="004460A8"/>
    <w:rsid w:val="00446745"/>
    <w:rsid w:val="0044693C"/>
    <w:rsid w:val="00446E25"/>
    <w:rsid w:val="00446F34"/>
    <w:rsid w:val="00447256"/>
    <w:rsid w:val="0044784E"/>
    <w:rsid w:val="004478E0"/>
    <w:rsid w:val="00447BDB"/>
    <w:rsid w:val="00447FE6"/>
    <w:rsid w:val="0045025E"/>
    <w:rsid w:val="004503C9"/>
    <w:rsid w:val="00450486"/>
    <w:rsid w:val="00450A19"/>
    <w:rsid w:val="00450DBA"/>
    <w:rsid w:val="0045129C"/>
    <w:rsid w:val="00451E05"/>
    <w:rsid w:val="00452294"/>
    <w:rsid w:val="00452568"/>
    <w:rsid w:val="004537ED"/>
    <w:rsid w:val="004540F0"/>
    <w:rsid w:val="004543BE"/>
    <w:rsid w:val="004547DD"/>
    <w:rsid w:val="004548A6"/>
    <w:rsid w:val="00454A8F"/>
    <w:rsid w:val="004556C8"/>
    <w:rsid w:val="004556FE"/>
    <w:rsid w:val="00455994"/>
    <w:rsid w:val="00457412"/>
    <w:rsid w:val="0045743E"/>
    <w:rsid w:val="0045796F"/>
    <w:rsid w:val="00457E48"/>
    <w:rsid w:val="00457F6F"/>
    <w:rsid w:val="004601F3"/>
    <w:rsid w:val="00460472"/>
    <w:rsid w:val="00460495"/>
    <w:rsid w:val="00460763"/>
    <w:rsid w:val="00460B70"/>
    <w:rsid w:val="00461116"/>
    <w:rsid w:val="00461991"/>
    <w:rsid w:val="004620C7"/>
    <w:rsid w:val="00462353"/>
    <w:rsid w:val="00462464"/>
    <w:rsid w:val="00462AF0"/>
    <w:rsid w:val="00463BBC"/>
    <w:rsid w:val="00463E1E"/>
    <w:rsid w:val="00464013"/>
    <w:rsid w:val="00464273"/>
    <w:rsid w:val="0046529F"/>
    <w:rsid w:val="004652B7"/>
    <w:rsid w:val="00466199"/>
    <w:rsid w:val="0046621E"/>
    <w:rsid w:val="004664F8"/>
    <w:rsid w:val="00467742"/>
    <w:rsid w:val="00467BAC"/>
    <w:rsid w:val="00470069"/>
    <w:rsid w:val="00470736"/>
    <w:rsid w:val="004726B7"/>
    <w:rsid w:val="004726CE"/>
    <w:rsid w:val="004735EC"/>
    <w:rsid w:val="00473D89"/>
    <w:rsid w:val="0047410F"/>
    <w:rsid w:val="004744DC"/>
    <w:rsid w:val="00474793"/>
    <w:rsid w:val="00474A0B"/>
    <w:rsid w:val="00474C5F"/>
    <w:rsid w:val="00475145"/>
    <w:rsid w:val="00475624"/>
    <w:rsid w:val="00475670"/>
    <w:rsid w:val="0047727F"/>
    <w:rsid w:val="00480149"/>
    <w:rsid w:val="0048036E"/>
    <w:rsid w:val="004804A6"/>
    <w:rsid w:val="00481819"/>
    <w:rsid w:val="00481855"/>
    <w:rsid w:val="00481944"/>
    <w:rsid w:val="00481A08"/>
    <w:rsid w:val="00482072"/>
    <w:rsid w:val="0048263F"/>
    <w:rsid w:val="00483651"/>
    <w:rsid w:val="0048370C"/>
    <w:rsid w:val="00483CE2"/>
    <w:rsid w:val="00483D17"/>
    <w:rsid w:val="00484F7A"/>
    <w:rsid w:val="00485C23"/>
    <w:rsid w:val="004865D6"/>
    <w:rsid w:val="0048667B"/>
    <w:rsid w:val="00486789"/>
    <w:rsid w:val="00487817"/>
    <w:rsid w:val="0048783D"/>
    <w:rsid w:val="00487DF7"/>
    <w:rsid w:val="00487DFB"/>
    <w:rsid w:val="004900DF"/>
    <w:rsid w:val="00490510"/>
    <w:rsid w:val="004908FE"/>
    <w:rsid w:val="00490AEC"/>
    <w:rsid w:val="00491BD0"/>
    <w:rsid w:val="0049219A"/>
    <w:rsid w:val="0049294B"/>
    <w:rsid w:val="004929C1"/>
    <w:rsid w:val="0049336C"/>
    <w:rsid w:val="00493712"/>
    <w:rsid w:val="0049389F"/>
    <w:rsid w:val="0049425D"/>
    <w:rsid w:val="00494330"/>
    <w:rsid w:val="0049484B"/>
    <w:rsid w:val="00494D37"/>
    <w:rsid w:val="0049574E"/>
    <w:rsid w:val="00495EE8"/>
    <w:rsid w:val="00496200"/>
    <w:rsid w:val="00496481"/>
    <w:rsid w:val="004964D5"/>
    <w:rsid w:val="004A0789"/>
    <w:rsid w:val="004A0E3E"/>
    <w:rsid w:val="004A12A0"/>
    <w:rsid w:val="004A1C00"/>
    <w:rsid w:val="004A2220"/>
    <w:rsid w:val="004A25B5"/>
    <w:rsid w:val="004A2F0F"/>
    <w:rsid w:val="004A395E"/>
    <w:rsid w:val="004A3C61"/>
    <w:rsid w:val="004A3CBE"/>
    <w:rsid w:val="004A40B7"/>
    <w:rsid w:val="004A4B11"/>
    <w:rsid w:val="004A669D"/>
    <w:rsid w:val="004A7033"/>
    <w:rsid w:val="004A752F"/>
    <w:rsid w:val="004A7844"/>
    <w:rsid w:val="004A7F3E"/>
    <w:rsid w:val="004B0722"/>
    <w:rsid w:val="004B1854"/>
    <w:rsid w:val="004B1F0E"/>
    <w:rsid w:val="004B229C"/>
    <w:rsid w:val="004B2721"/>
    <w:rsid w:val="004B2AA3"/>
    <w:rsid w:val="004B3284"/>
    <w:rsid w:val="004B335F"/>
    <w:rsid w:val="004B3D51"/>
    <w:rsid w:val="004B3D6E"/>
    <w:rsid w:val="004B3F0E"/>
    <w:rsid w:val="004B40AB"/>
    <w:rsid w:val="004B4486"/>
    <w:rsid w:val="004B4640"/>
    <w:rsid w:val="004B46F1"/>
    <w:rsid w:val="004B581B"/>
    <w:rsid w:val="004B5875"/>
    <w:rsid w:val="004B5C8D"/>
    <w:rsid w:val="004B668D"/>
    <w:rsid w:val="004B6F19"/>
    <w:rsid w:val="004B6F45"/>
    <w:rsid w:val="004B77B6"/>
    <w:rsid w:val="004B7C73"/>
    <w:rsid w:val="004C00BE"/>
    <w:rsid w:val="004C08A2"/>
    <w:rsid w:val="004C095F"/>
    <w:rsid w:val="004C14A6"/>
    <w:rsid w:val="004C2263"/>
    <w:rsid w:val="004C23C4"/>
    <w:rsid w:val="004C3117"/>
    <w:rsid w:val="004C313A"/>
    <w:rsid w:val="004C3A25"/>
    <w:rsid w:val="004C4381"/>
    <w:rsid w:val="004C490A"/>
    <w:rsid w:val="004C4A5D"/>
    <w:rsid w:val="004C5A70"/>
    <w:rsid w:val="004C6049"/>
    <w:rsid w:val="004C62AE"/>
    <w:rsid w:val="004C6B7E"/>
    <w:rsid w:val="004C6E0D"/>
    <w:rsid w:val="004D018C"/>
    <w:rsid w:val="004D074B"/>
    <w:rsid w:val="004D085E"/>
    <w:rsid w:val="004D24CD"/>
    <w:rsid w:val="004D2852"/>
    <w:rsid w:val="004D2DAF"/>
    <w:rsid w:val="004D2F50"/>
    <w:rsid w:val="004D4FAB"/>
    <w:rsid w:val="004D5708"/>
    <w:rsid w:val="004D5882"/>
    <w:rsid w:val="004D5A8C"/>
    <w:rsid w:val="004D5AA8"/>
    <w:rsid w:val="004D7494"/>
    <w:rsid w:val="004D7661"/>
    <w:rsid w:val="004E0166"/>
    <w:rsid w:val="004E11E5"/>
    <w:rsid w:val="004E17C4"/>
    <w:rsid w:val="004E1FBF"/>
    <w:rsid w:val="004E22A0"/>
    <w:rsid w:val="004E25AF"/>
    <w:rsid w:val="004E2684"/>
    <w:rsid w:val="004E3015"/>
    <w:rsid w:val="004E3310"/>
    <w:rsid w:val="004E36D4"/>
    <w:rsid w:val="004E522A"/>
    <w:rsid w:val="004E53F9"/>
    <w:rsid w:val="004E60F4"/>
    <w:rsid w:val="004E61FB"/>
    <w:rsid w:val="004E663A"/>
    <w:rsid w:val="004E68E7"/>
    <w:rsid w:val="004E6D67"/>
    <w:rsid w:val="004E6DF8"/>
    <w:rsid w:val="004E7714"/>
    <w:rsid w:val="004E78B5"/>
    <w:rsid w:val="004F003E"/>
    <w:rsid w:val="004F0137"/>
    <w:rsid w:val="004F03F3"/>
    <w:rsid w:val="004F06F2"/>
    <w:rsid w:val="004F0C09"/>
    <w:rsid w:val="004F1BB7"/>
    <w:rsid w:val="004F310F"/>
    <w:rsid w:val="004F374B"/>
    <w:rsid w:val="004F37D8"/>
    <w:rsid w:val="004F3D20"/>
    <w:rsid w:val="004F3EAF"/>
    <w:rsid w:val="004F408D"/>
    <w:rsid w:val="004F54C9"/>
    <w:rsid w:val="004F550E"/>
    <w:rsid w:val="004F575B"/>
    <w:rsid w:val="004F5D37"/>
    <w:rsid w:val="004F7C08"/>
    <w:rsid w:val="00500192"/>
    <w:rsid w:val="00500318"/>
    <w:rsid w:val="00500589"/>
    <w:rsid w:val="005008CD"/>
    <w:rsid w:val="00500C6B"/>
    <w:rsid w:val="005019B4"/>
    <w:rsid w:val="00501E14"/>
    <w:rsid w:val="00501EF4"/>
    <w:rsid w:val="005021BD"/>
    <w:rsid w:val="00502382"/>
    <w:rsid w:val="00503592"/>
    <w:rsid w:val="00503A1B"/>
    <w:rsid w:val="00503F8E"/>
    <w:rsid w:val="00504037"/>
    <w:rsid w:val="005040D3"/>
    <w:rsid w:val="00504364"/>
    <w:rsid w:val="00504664"/>
    <w:rsid w:val="005047D7"/>
    <w:rsid w:val="00505A9A"/>
    <w:rsid w:val="00506ECB"/>
    <w:rsid w:val="005070A9"/>
    <w:rsid w:val="00507332"/>
    <w:rsid w:val="005074FD"/>
    <w:rsid w:val="00507966"/>
    <w:rsid w:val="00507FA9"/>
    <w:rsid w:val="005105F5"/>
    <w:rsid w:val="0051132A"/>
    <w:rsid w:val="00511349"/>
    <w:rsid w:val="005116B3"/>
    <w:rsid w:val="0051273F"/>
    <w:rsid w:val="00512CB3"/>
    <w:rsid w:val="00513013"/>
    <w:rsid w:val="0051306A"/>
    <w:rsid w:val="00513214"/>
    <w:rsid w:val="00513B6A"/>
    <w:rsid w:val="00513D22"/>
    <w:rsid w:val="00514861"/>
    <w:rsid w:val="00514900"/>
    <w:rsid w:val="0051528D"/>
    <w:rsid w:val="00515548"/>
    <w:rsid w:val="00516AC3"/>
    <w:rsid w:val="00516B48"/>
    <w:rsid w:val="005175A0"/>
    <w:rsid w:val="00517FDF"/>
    <w:rsid w:val="0052020C"/>
    <w:rsid w:val="005215A0"/>
    <w:rsid w:val="00521875"/>
    <w:rsid w:val="00521AEA"/>
    <w:rsid w:val="0052256A"/>
    <w:rsid w:val="005225E6"/>
    <w:rsid w:val="005234B7"/>
    <w:rsid w:val="00524800"/>
    <w:rsid w:val="005257FF"/>
    <w:rsid w:val="0052587E"/>
    <w:rsid w:val="00526CA4"/>
    <w:rsid w:val="005276A9"/>
    <w:rsid w:val="00531BE4"/>
    <w:rsid w:val="00532004"/>
    <w:rsid w:val="005327B9"/>
    <w:rsid w:val="00533C2E"/>
    <w:rsid w:val="00534E67"/>
    <w:rsid w:val="00535A2E"/>
    <w:rsid w:val="00535A55"/>
    <w:rsid w:val="005366E7"/>
    <w:rsid w:val="00536878"/>
    <w:rsid w:val="00536921"/>
    <w:rsid w:val="005369AC"/>
    <w:rsid w:val="005369E0"/>
    <w:rsid w:val="00536AD2"/>
    <w:rsid w:val="00536B92"/>
    <w:rsid w:val="0053703D"/>
    <w:rsid w:val="0053722A"/>
    <w:rsid w:val="0053773E"/>
    <w:rsid w:val="00537910"/>
    <w:rsid w:val="0054054C"/>
    <w:rsid w:val="00540929"/>
    <w:rsid w:val="00540A8B"/>
    <w:rsid w:val="00540EE4"/>
    <w:rsid w:val="005418BA"/>
    <w:rsid w:val="00541973"/>
    <w:rsid w:val="00541E16"/>
    <w:rsid w:val="00542301"/>
    <w:rsid w:val="005423F5"/>
    <w:rsid w:val="0054259E"/>
    <w:rsid w:val="005439D6"/>
    <w:rsid w:val="00543B11"/>
    <w:rsid w:val="00543C20"/>
    <w:rsid w:val="00544349"/>
    <w:rsid w:val="00544D97"/>
    <w:rsid w:val="00545FEE"/>
    <w:rsid w:val="00546313"/>
    <w:rsid w:val="00546933"/>
    <w:rsid w:val="0054701B"/>
    <w:rsid w:val="00547998"/>
    <w:rsid w:val="00547FF4"/>
    <w:rsid w:val="00550005"/>
    <w:rsid w:val="0055034B"/>
    <w:rsid w:val="00550D70"/>
    <w:rsid w:val="005516A4"/>
    <w:rsid w:val="005524B8"/>
    <w:rsid w:val="00552F3A"/>
    <w:rsid w:val="00553057"/>
    <w:rsid w:val="005535AA"/>
    <w:rsid w:val="00553891"/>
    <w:rsid w:val="005542F9"/>
    <w:rsid w:val="00554A12"/>
    <w:rsid w:val="00554D69"/>
    <w:rsid w:val="005568FF"/>
    <w:rsid w:val="00556D96"/>
    <w:rsid w:val="00560199"/>
    <w:rsid w:val="0056070C"/>
    <w:rsid w:val="005608C3"/>
    <w:rsid w:val="00560B95"/>
    <w:rsid w:val="00561337"/>
    <w:rsid w:val="00561B2B"/>
    <w:rsid w:val="00561C3A"/>
    <w:rsid w:val="00561D4B"/>
    <w:rsid w:val="00563040"/>
    <w:rsid w:val="00563325"/>
    <w:rsid w:val="00563779"/>
    <w:rsid w:val="00563AA1"/>
    <w:rsid w:val="00563C7C"/>
    <w:rsid w:val="005641FC"/>
    <w:rsid w:val="00564AA6"/>
    <w:rsid w:val="00565168"/>
    <w:rsid w:val="00565462"/>
    <w:rsid w:val="005654D6"/>
    <w:rsid w:val="005664B7"/>
    <w:rsid w:val="00566E04"/>
    <w:rsid w:val="00566EED"/>
    <w:rsid w:val="005706A6"/>
    <w:rsid w:val="00570A1A"/>
    <w:rsid w:val="00570A9D"/>
    <w:rsid w:val="0057113C"/>
    <w:rsid w:val="0057171E"/>
    <w:rsid w:val="0057191E"/>
    <w:rsid w:val="00572133"/>
    <w:rsid w:val="005724BE"/>
    <w:rsid w:val="00572F4C"/>
    <w:rsid w:val="00573BD1"/>
    <w:rsid w:val="00573E71"/>
    <w:rsid w:val="00574F1B"/>
    <w:rsid w:val="005752C5"/>
    <w:rsid w:val="00575663"/>
    <w:rsid w:val="00575C54"/>
    <w:rsid w:val="00576068"/>
    <w:rsid w:val="00576108"/>
    <w:rsid w:val="005767AE"/>
    <w:rsid w:val="00576D2D"/>
    <w:rsid w:val="00577A6A"/>
    <w:rsid w:val="005808C1"/>
    <w:rsid w:val="00580A62"/>
    <w:rsid w:val="00580F4E"/>
    <w:rsid w:val="00581033"/>
    <w:rsid w:val="005817B4"/>
    <w:rsid w:val="00581807"/>
    <w:rsid w:val="0058237E"/>
    <w:rsid w:val="00582406"/>
    <w:rsid w:val="00582B69"/>
    <w:rsid w:val="005832F2"/>
    <w:rsid w:val="0058379D"/>
    <w:rsid w:val="0058385F"/>
    <w:rsid w:val="005845E6"/>
    <w:rsid w:val="0058460E"/>
    <w:rsid w:val="0058503F"/>
    <w:rsid w:val="00585131"/>
    <w:rsid w:val="005854E5"/>
    <w:rsid w:val="00586DB2"/>
    <w:rsid w:val="00586F4D"/>
    <w:rsid w:val="0058705F"/>
    <w:rsid w:val="00587167"/>
    <w:rsid w:val="0058786F"/>
    <w:rsid w:val="00590444"/>
    <w:rsid w:val="005904A1"/>
    <w:rsid w:val="005918D9"/>
    <w:rsid w:val="005918EC"/>
    <w:rsid w:val="00591BAF"/>
    <w:rsid w:val="00592C13"/>
    <w:rsid w:val="00592D23"/>
    <w:rsid w:val="005931D2"/>
    <w:rsid w:val="00593334"/>
    <w:rsid w:val="0059378B"/>
    <w:rsid w:val="00593DC6"/>
    <w:rsid w:val="00593EF8"/>
    <w:rsid w:val="00594822"/>
    <w:rsid w:val="00595C8A"/>
    <w:rsid w:val="0059600E"/>
    <w:rsid w:val="00596FEE"/>
    <w:rsid w:val="00596FF9"/>
    <w:rsid w:val="005978C0"/>
    <w:rsid w:val="005A03FB"/>
    <w:rsid w:val="005A047A"/>
    <w:rsid w:val="005A05FC"/>
    <w:rsid w:val="005A0847"/>
    <w:rsid w:val="005A09FD"/>
    <w:rsid w:val="005A0A0D"/>
    <w:rsid w:val="005A1C45"/>
    <w:rsid w:val="005A20E0"/>
    <w:rsid w:val="005A2B15"/>
    <w:rsid w:val="005A406D"/>
    <w:rsid w:val="005A46E2"/>
    <w:rsid w:val="005A4966"/>
    <w:rsid w:val="005A49EC"/>
    <w:rsid w:val="005A580B"/>
    <w:rsid w:val="005A61F0"/>
    <w:rsid w:val="005A62F9"/>
    <w:rsid w:val="005A69F2"/>
    <w:rsid w:val="005A7544"/>
    <w:rsid w:val="005A799E"/>
    <w:rsid w:val="005B040B"/>
    <w:rsid w:val="005B04F6"/>
    <w:rsid w:val="005B10A6"/>
    <w:rsid w:val="005B1749"/>
    <w:rsid w:val="005B1FB7"/>
    <w:rsid w:val="005B212A"/>
    <w:rsid w:val="005B3F6B"/>
    <w:rsid w:val="005B4860"/>
    <w:rsid w:val="005B538F"/>
    <w:rsid w:val="005B595C"/>
    <w:rsid w:val="005B5EA5"/>
    <w:rsid w:val="005B5F7F"/>
    <w:rsid w:val="005B6B04"/>
    <w:rsid w:val="005B6B22"/>
    <w:rsid w:val="005C087F"/>
    <w:rsid w:val="005C0DAF"/>
    <w:rsid w:val="005C1E38"/>
    <w:rsid w:val="005C237E"/>
    <w:rsid w:val="005C26E2"/>
    <w:rsid w:val="005C3386"/>
    <w:rsid w:val="005C3EF5"/>
    <w:rsid w:val="005C3F9D"/>
    <w:rsid w:val="005C437A"/>
    <w:rsid w:val="005C43D5"/>
    <w:rsid w:val="005C4602"/>
    <w:rsid w:val="005C542F"/>
    <w:rsid w:val="005C639B"/>
    <w:rsid w:val="005C66D0"/>
    <w:rsid w:val="005C6CB1"/>
    <w:rsid w:val="005D0D40"/>
    <w:rsid w:val="005D12CC"/>
    <w:rsid w:val="005D1657"/>
    <w:rsid w:val="005D21B8"/>
    <w:rsid w:val="005D24E9"/>
    <w:rsid w:val="005D2700"/>
    <w:rsid w:val="005D28DD"/>
    <w:rsid w:val="005D2B32"/>
    <w:rsid w:val="005D2E74"/>
    <w:rsid w:val="005D3322"/>
    <w:rsid w:val="005D35DA"/>
    <w:rsid w:val="005D3BC1"/>
    <w:rsid w:val="005D3BC3"/>
    <w:rsid w:val="005D3C93"/>
    <w:rsid w:val="005D3D13"/>
    <w:rsid w:val="005D3E6F"/>
    <w:rsid w:val="005D44D5"/>
    <w:rsid w:val="005D6218"/>
    <w:rsid w:val="005E05DF"/>
    <w:rsid w:val="005E2173"/>
    <w:rsid w:val="005E2AA8"/>
    <w:rsid w:val="005E304F"/>
    <w:rsid w:val="005E3AC3"/>
    <w:rsid w:val="005E46F8"/>
    <w:rsid w:val="005E4923"/>
    <w:rsid w:val="005E4AD3"/>
    <w:rsid w:val="005E625E"/>
    <w:rsid w:val="005E652D"/>
    <w:rsid w:val="005E69D4"/>
    <w:rsid w:val="005E71CD"/>
    <w:rsid w:val="005E77ED"/>
    <w:rsid w:val="005E7992"/>
    <w:rsid w:val="005F0030"/>
    <w:rsid w:val="005F04BD"/>
    <w:rsid w:val="005F0649"/>
    <w:rsid w:val="005F1263"/>
    <w:rsid w:val="005F1675"/>
    <w:rsid w:val="005F1C89"/>
    <w:rsid w:val="005F20F6"/>
    <w:rsid w:val="005F224B"/>
    <w:rsid w:val="005F242A"/>
    <w:rsid w:val="005F2D06"/>
    <w:rsid w:val="005F2FD2"/>
    <w:rsid w:val="005F30C1"/>
    <w:rsid w:val="005F3BFD"/>
    <w:rsid w:val="005F4284"/>
    <w:rsid w:val="005F455E"/>
    <w:rsid w:val="005F4A5C"/>
    <w:rsid w:val="005F4B8E"/>
    <w:rsid w:val="005F4F76"/>
    <w:rsid w:val="005F4FE9"/>
    <w:rsid w:val="005F545F"/>
    <w:rsid w:val="005F62F2"/>
    <w:rsid w:val="005F672A"/>
    <w:rsid w:val="005F6924"/>
    <w:rsid w:val="006007EC"/>
    <w:rsid w:val="0060081E"/>
    <w:rsid w:val="006008BD"/>
    <w:rsid w:val="00600E41"/>
    <w:rsid w:val="00600F0D"/>
    <w:rsid w:val="00601411"/>
    <w:rsid w:val="00602106"/>
    <w:rsid w:val="006022E5"/>
    <w:rsid w:val="006026E0"/>
    <w:rsid w:val="006039AA"/>
    <w:rsid w:val="006039DD"/>
    <w:rsid w:val="00603CE8"/>
    <w:rsid w:val="00603F52"/>
    <w:rsid w:val="00604B4C"/>
    <w:rsid w:val="00605ECF"/>
    <w:rsid w:val="0060670F"/>
    <w:rsid w:val="00606A7D"/>
    <w:rsid w:val="00606F9A"/>
    <w:rsid w:val="00607178"/>
    <w:rsid w:val="00607B66"/>
    <w:rsid w:val="00607C37"/>
    <w:rsid w:val="00607CFE"/>
    <w:rsid w:val="00607DAC"/>
    <w:rsid w:val="00610636"/>
    <w:rsid w:val="00610646"/>
    <w:rsid w:val="00610E40"/>
    <w:rsid w:val="0061169F"/>
    <w:rsid w:val="00611D35"/>
    <w:rsid w:val="00612169"/>
    <w:rsid w:val="006135E3"/>
    <w:rsid w:val="0061394B"/>
    <w:rsid w:val="006141A3"/>
    <w:rsid w:val="006142DD"/>
    <w:rsid w:val="00615B73"/>
    <w:rsid w:val="00616561"/>
    <w:rsid w:val="00616D97"/>
    <w:rsid w:val="006177D0"/>
    <w:rsid w:val="00617CFB"/>
    <w:rsid w:val="00620B5C"/>
    <w:rsid w:val="00620F20"/>
    <w:rsid w:val="0062191D"/>
    <w:rsid w:val="00621E6D"/>
    <w:rsid w:val="00622747"/>
    <w:rsid w:val="00622A6A"/>
    <w:rsid w:val="00622C6D"/>
    <w:rsid w:val="00622CE8"/>
    <w:rsid w:val="00622F73"/>
    <w:rsid w:val="006231E2"/>
    <w:rsid w:val="00623492"/>
    <w:rsid w:val="00623A50"/>
    <w:rsid w:val="00623BA8"/>
    <w:rsid w:val="0062445F"/>
    <w:rsid w:val="006255B2"/>
    <w:rsid w:val="00625E40"/>
    <w:rsid w:val="0062674A"/>
    <w:rsid w:val="00626A54"/>
    <w:rsid w:val="00626FFB"/>
    <w:rsid w:val="00630A96"/>
    <w:rsid w:val="006317E4"/>
    <w:rsid w:val="006318B4"/>
    <w:rsid w:val="00632211"/>
    <w:rsid w:val="006327D2"/>
    <w:rsid w:val="00632F36"/>
    <w:rsid w:val="006349B3"/>
    <w:rsid w:val="00635742"/>
    <w:rsid w:val="00635A49"/>
    <w:rsid w:val="00636043"/>
    <w:rsid w:val="006364F7"/>
    <w:rsid w:val="00636BED"/>
    <w:rsid w:val="0063726A"/>
    <w:rsid w:val="00637609"/>
    <w:rsid w:val="00637B2A"/>
    <w:rsid w:val="00637D7C"/>
    <w:rsid w:val="00637D83"/>
    <w:rsid w:val="00637E93"/>
    <w:rsid w:val="006407EF"/>
    <w:rsid w:val="00641511"/>
    <w:rsid w:val="0064191E"/>
    <w:rsid w:val="006419C0"/>
    <w:rsid w:val="00641ED0"/>
    <w:rsid w:val="0064242F"/>
    <w:rsid w:val="00642811"/>
    <w:rsid w:val="006443E1"/>
    <w:rsid w:val="006448F4"/>
    <w:rsid w:val="006451D0"/>
    <w:rsid w:val="006505A6"/>
    <w:rsid w:val="00650CDB"/>
    <w:rsid w:val="00650F8A"/>
    <w:rsid w:val="00651FA5"/>
    <w:rsid w:val="00651FE4"/>
    <w:rsid w:val="006522EB"/>
    <w:rsid w:val="00653B1B"/>
    <w:rsid w:val="0065460F"/>
    <w:rsid w:val="00655E96"/>
    <w:rsid w:val="006568DC"/>
    <w:rsid w:val="00657E9B"/>
    <w:rsid w:val="0066034F"/>
    <w:rsid w:val="0066072A"/>
    <w:rsid w:val="0066136E"/>
    <w:rsid w:val="006620F9"/>
    <w:rsid w:val="0066236C"/>
    <w:rsid w:val="00662B04"/>
    <w:rsid w:val="00662B32"/>
    <w:rsid w:val="00662CF9"/>
    <w:rsid w:val="00662DCB"/>
    <w:rsid w:val="00664075"/>
    <w:rsid w:val="006656D7"/>
    <w:rsid w:val="006657CA"/>
    <w:rsid w:val="006658F8"/>
    <w:rsid w:val="00665B44"/>
    <w:rsid w:val="00665C8E"/>
    <w:rsid w:val="006662CC"/>
    <w:rsid w:val="00666E6B"/>
    <w:rsid w:val="00667C65"/>
    <w:rsid w:val="00667E68"/>
    <w:rsid w:val="00670115"/>
    <w:rsid w:val="00670295"/>
    <w:rsid w:val="00670EBB"/>
    <w:rsid w:val="0067129B"/>
    <w:rsid w:val="00671BE5"/>
    <w:rsid w:val="00672B5F"/>
    <w:rsid w:val="00672F1B"/>
    <w:rsid w:val="006730D3"/>
    <w:rsid w:val="006740CC"/>
    <w:rsid w:val="00674584"/>
    <w:rsid w:val="0067478C"/>
    <w:rsid w:val="006749B7"/>
    <w:rsid w:val="006757AD"/>
    <w:rsid w:val="0067582F"/>
    <w:rsid w:val="006762A6"/>
    <w:rsid w:val="006763CF"/>
    <w:rsid w:val="00677476"/>
    <w:rsid w:val="00677CF9"/>
    <w:rsid w:val="00680A54"/>
    <w:rsid w:val="00680DF3"/>
    <w:rsid w:val="006813DB"/>
    <w:rsid w:val="00681EC1"/>
    <w:rsid w:val="00682009"/>
    <w:rsid w:val="00682A1C"/>
    <w:rsid w:val="00682B0F"/>
    <w:rsid w:val="00682CDC"/>
    <w:rsid w:val="00682DED"/>
    <w:rsid w:val="006838F2"/>
    <w:rsid w:val="00684B88"/>
    <w:rsid w:val="00684FB8"/>
    <w:rsid w:val="00685CEE"/>
    <w:rsid w:val="00686324"/>
    <w:rsid w:val="00686476"/>
    <w:rsid w:val="00686BD6"/>
    <w:rsid w:val="00686CD1"/>
    <w:rsid w:val="00687B5E"/>
    <w:rsid w:val="0069016E"/>
    <w:rsid w:val="0069039B"/>
    <w:rsid w:val="00690990"/>
    <w:rsid w:val="00690A83"/>
    <w:rsid w:val="00691348"/>
    <w:rsid w:val="00691F19"/>
    <w:rsid w:val="006920FF"/>
    <w:rsid w:val="00692A2E"/>
    <w:rsid w:val="00693D35"/>
    <w:rsid w:val="00693E7D"/>
    <w:rsid w:val="00695B88"/>
    <w:rsid w:val="006962C8"/>
    <w:rsid w:val="00697192"/>
    <w:rsid w:val="0069763A"/>
    <w:rsid w:val="00697923"/>
    <w:rsid w:val="006A0A53"/>
    <w:rsid w:val="006A0D0D"/>
    <w:rsid w:val="006A0EE1"/>
    <w:rsid w:val="006A14B0"/>
    <w:rsid w:val="006A1504"/>
    <w:rsid w:val="006A1974"/>
    <w:rsid w:val="006A1BCD"/>
    <w:rsid w:val="006A2453"/>
    <w:rsid w:val="006A2592"/>
    <w:rsid w:val="006A2F67"/>
    <w:rsid w:val="006A3600"/>
    <w:rsid w:val="006A384C"/>
    <w:rsid w:val="006A457C"/>
    <w:rsid w:val="006A487D"/>
    <w:rsid w:val="006A5094"/>
    <w:rsid w:val="006A6D18"/>
    <w:rsid w:val="006A70C2"/>
    <w:rsid w:val="006B0408"/>
    <w:rsid w:val="006B0A1D"/>
    <w:rsid w:val="006B0AFA"/>
    <w:rsid w:val="006B286A"/>
    <w:rsid w:val="006B36BE"/>
    <w:rsid w:val="006B37D9"/>
    <w:rsid w:val="006B424D"/>
    <w:rsid w:val="006B4337"/>
    <w:rsid w:val="006B45FE"/>
    <w:rsid w:val="006B488E"/>
    <w:rsid w:val="006B4CED"/>
    <w:rsid w:val="006B5022"/>
    <w:rsid w:val="006B511E"/>
    <w:rsid w:val="006B57A7"/>
    <w:rsid w:val="006B5D0D"/>
    <w:rsid w:val="006B5F5F"/>
    <w:rsid w:val="006B6526"/>
    <w:rsid w:val="006B69DC"/>
    <w:rsid w:val="006B6A6F"/>
    <w:rsid w:val="006B7008"/>
    <w:rsid w:val="006B772C"/>
    <w:rsid w:val="006B7764"/>
    <w:rsid w:val="006B7F71"/>
    <w:rsid w:val="006B7FB7"/>
    <w:rsid w:val="006B7FE3"/>
    <w:rsid w:val="006C0989"/>
    <w:rsid w:val="006C0B33"/>
    <w:rsid w:val="006C197E"/>
    <w:rsid w:val="006C208E"/>
    <w:rsid w:val="006C20B6"/>
    <w:rsid w:val="006C265D"/>
    <w:rsid w:val="006C287F"/>
    <w:rsid w:val="006C35A0"/>
    <w:rsid w:val="006C3AA3"/>
    <w:rsid w:val="006C3D43"/>
    <w:rsid w:val="006C3F38"/>
    <w:rsid w:val="006C4464"/>
    <w:rsid w:val="006C4547"/>
    <w:rsid w:val="006C5030"/>
    <w:rsid w:val="006C5FC0"/>
    <w:rsid w:val="006C6082"/>
    <w:rsid w:val="006C6F24"/>
    <w:rsid w:val="006C76DD"/>
    <w:rsid w:val="006D0193"/>
    <w:rsid w:val="006D0973"/>
    <w:rsid w:val="006D1319"/>
    <w:rsid w:val="006D147C"/>
    <w:rsid w:val="006D155E"/>
    <w:rsid w:val="006D170D"/>
    <w:rsid w:val="006D1AE2"/>
    <w:rsid w:val="006D2456"/>
    <w:rsid w:val="006D2896"/>
    <w:rsid w:val="006D28B1"/>
    <w:rsid w:val="006D35DB"/>
    <w:rsid w:val="006D44AB"/>
    <w:rsid w:val="006D51BE"/>
    <w:rsid w:val="006D52EA"/>
    <w:rsid w:val="006D613F"/>
    <w:rsid w:val="006D6823"/>
    <w:rsid w:val="006D698F"/>
    <w:rsid w:val="006D6CCB"/>
    <w:rsid w:val="006D6F9A"/>
    <w:rsid w:val="006E0FAB"/>
    <w:rsid w:val="006E11DF"/>
    <w:rsid w:val="006E1708"/>
    <w:rsid w:val="006E1972"/>
    <w:rsid w:val="006E1B78"/>
    <w:rsid w:val="006E1CCE"/>
    <w:rsid w:val="006E1EA3"/>
    <w:rsid w:val="006E2604"/>
    <w:rsid w:val="006E2988"/>
    <w:rsid w:val="006E2B0D"/>
    <w:rsid w:val="006E2F4F"/>
    <w:rsid w:val="006E37AA"/>
    <w:rsid w:val="006E468E"/>
    <w:rsid w:val="006E5BD3"/>
    <w:rsid w:val="006E624D"/>
    <w:rsid w:val="006E6C03"/>
    <w:rsid w:val="006E6D63"/>
    <w:rsid w:val="006E6FF1"/>
    <w:rsid w:val="006E72AB"/>
    <w:rsid w:val="006E774A"/>
    <w:rsid w:val="006F04BD"/>
    <w:rsid w:val="006F122B"/>
    <w:rsid w:val="006F1656"/>
    <w:rsid w:val="006F1DED"/>
    <w:rsid w:val="006F20CC"/>
    <w:rsid w:val="006F27DA"/>
    <w:rsid w:val="006F28BA"/>
    <w:rsid w:val="006F2C84"/>
    <w:rsid w:val="006F329C"/>
    <w:rsid w:val="006F351E"/>
    <w:rsid w:val="006F3EE9"/>
    <w:rsid w:val="006F4220"/>
    <w:rsid w:val="006F46E0"/>
    <w:rsid w:val="006F4EC2"/>
    <w:rsid w:val="006F5054"/>
    <w:rsid w:val="006F5319"/>
    <w:rsid w:val="006F5B92"/>
    <w:rsid w:val="006F6E65"/>
    <w:rsid w:val="006F7104"/>
    <w:rsid w:val="006F7674"/>
    <w:rsid w:val="006F7B71"/>
    <w:rsid w:val="00701020"/>
    <w:rsid w:val="007011CA"/>
    <w:rsid w:val="007027E1"/>
    <w:rsid w:val="00702F99"/>
    <w:rsid w:val="00703455"/>
    <w:rsid w:val="00703CB5"/>
    <w:rsid w:val="007043C0"/>
    <w:rsid w:val="00704956"/>
    <w:rsid w:val="00704BD1"/>
    <w:rsid w:val="00704C1B"/>
    <w:rsid w:val="00704F98"/>
    <w:rsid w:val="007052FB"/>
    <w:rsid w:val="007058A5"/>
    <w:rsid w:val="00706656"/>
    <w:rsid w:val="00706D14"/>
    <w:rsid w:val="007077EA"/>
    <w:rsid w:val="00707AAB"/>
    <w:rsid w:val="00707DBC"/>
    <w:rsid w:val="007113ED"/>
    <w:rsid w:val="00712234"/>
    <w:rsid w:val="0071228A"/>
    <w:rsid w:val="00712433"/>
    <w:rsid w:val="00712852"/>
    <w:rsid w:val="007128BF"/>
    <w:rsid w:val="00712B34"/>
    <w:rsid w:val="00712FDF"/>
    <w:rsid w:val="007130EE"/>
    <w:rsid w:val="007131BA"/>
    <w:rsid w:val="00714635"/>
    <w:rsid w:val="00714715"/>
    <w:rsid w:val="00715037"/>
    <w:rsid w:val="00715639"/>
    <w:rsid w:val="00715904"/>
    <w:rsid w:val="00715DF2"/>
    <w:rsid w:val="00716B9E"/>
    <w:rsid w:val="007173B3"/>
    <w:rsid w:val="00717478"/>
    <w:rsid w:val="0071798A"/>
    <w:rsid w:val="0072135E"/>
    <w:rsid w:val="0072228E"/>
    <w:rsid w:val="00722328"/>
    <w:rsid w:val="007226E6"/>
    <w:rsid w:val="00722BDB"/>
    <w:rsid w:val="00723635"/>
    <w:rsid w:val="00723AC6"/>
    <w:rsid w:val="00723CA8"/>
    <w:rsid w:val="00724623"/>
    <w:rsid w:val="0072483E"/>
    <w:rsid w:val="00724D9D"/>
    <w:rsid w:val="00724E16"/>
    <w:rsid w:val="007255F7"/>
    <w:rsid w:val="007257E3"/>
    <w:rsid w:val="0072597A"/>
    <w:rsid w:val="0072597D"/>
    <w:rsid w:val="00725A9A"/>
    <w:rsid w:val="00727446"/>
    <w:rsid w:val="00727681"/>
    <w:rsid w:val="00727F09"/>
    <w:rsid w:val="00730828"/>
    <w:rsid w:val="007308CC"/>
    <w:rsid w:val="0073144F"/>
    <w:rsid w:val="00731776"/>
    <w:rsid w:val="00731DF4"/>
    <w:rsid w:val="00731F7D"/>
    <w:rsid w:val="00732488"/>
    <w:rsid w:val="007325FA"/>
    <w:rsid w:val="00732912"/>
    <w:rsid w:val="007336AA"/>
    <w:rsid w:val="00734391"/>
    <w:rsid w:val="0073533A"/>
    <w:rsid w:val="00735520"/>
    <w:rsid w:val="00735607"/>
    <w:rsid w:val="0073629D"/>
    <w:rsid w:val="0073663C"/>
    <w:rsid w:val="00736713"/>
    <w:rsid w:val="00736989"/>
    <w:rsid w:val="00737138"/>
    <w:rsid w:val="00737BDC"/>
    <w:rsid w:val="00737F14"/>
    <w:rsid w:val="0074001F"/>
    <w:rsid w:val="00740AE3"/>
    <w:rsid w:val="007413AC"/>
    <w:rsid w:val="00741E10"/>
    <w:rsid w:val="007421C1"/>
    <w:rsid w:val="007422AD"/>
    <w:rsid w:val="0074248E"/>
    <w:rsid w:val="00743042"/>
    <w:rsid w:val="00744138"/>
    <w:rsid w:val="00745781"/>
    <w:rsid w:val="00745894"/>
    <w:rsid w:val="00746AD2"/>
    <w:rsid w:val="00746BBD"/>
    <w:rsid w:val="00747095"/>
    <w:rsid w:val="007474FC"/>
    <w:rsid w:val="007475B7"/>
    <w:rsid w:val="00747643"/>
    <w:rsid w:val="007477EF"/>
    <w:rsid w:val="00747E21"/>
    <w:rsid w:val="00747E43"/>
    <w:rsid w:val="00750067"/>
    <w:rsid w:val="00750254"/>
    <w:rsid w:val="0075029C"/>
    <w:rsid w:val="007508B8"/>
    <w:rsid w:val="00751956"/>
    <w:rsid w:val="00751F02"/>
    <w:rsid w:val="007534D5"/>
    <w:rsid w:val="00753CBF"/>
    <w:rsid w:val="00753D27"/>
    <w:rsid w:val="007543DC"/>
    <w:rsid w:val="00754D80"/>
    <w:rsid w:val="00755053"/>
    <w:rsid w:val="00755800"/>
    <w:rsid w:val="0075649A"/>
    <w:rsid w:val="00756864"/>
    <w:rsid w:val="007573D4"/>
    <w:rsid w:val="00757AFC"/>
    <w:rsid w:val="007601A9"/>
    <w:rsid w:val="007602F1"/>
    <w:rsid w:val="00760D0A"/>
    <w:rsid w:val="00761BD3"/>
    <w:rsid w:val="00762020"/>
    <w:rsid w:val="00762184"/>
    <w:rsid w:val="007624C2"/>
    <w:rsid w:val="00762550"/>
    <w:rsid w:val="007626FC"/>
    <w:rsid w:val="00762921"/>
    <w:rsid w:val="00763156"/>
    <w:rsid w:val="00763314"/>
    <w:rsid w:val="00763900"/>
    <w:rsid w:val="00764BC6"/>
    <w:rsid w:val="00764D97"/>
    <w:rsid w:val="007655E5"/>
    <w:rsid w:val="007661B9"/>
    <w:rsid w:val="007663EC"/>
    <w:rsid w:val="00766410"/>
    <w:rsid w:val="00766446"/>
    <w:rsid w:val="00766D74"/>
    <w:rsid w:val="00766E5F"/>
    <w:rsid w:val="00767614"/>
    <w:rsid w:val="00767FF2"/>
    <w:rsid w:val="007702B4"/>
    <w:rsid w:val="007706BC"/>
    <w:rsid w:val="007709F0"/>
    <w:rsid w:val="00770AC6"/>
    <w:rsid w:val="00770F17"/>
    <w:rsid w:val="00771558"/>
    <w:rsid w:val="00771584"/>
    <w:rsid w:val="00774105"/>
    <w:rsid w:val="00774803"/>
    <w:rsid w:val="00775245"/>
    <w:rsid w:val="00775688"/>
    <w:rsid w:val="00777014"/>
    <w:rsid w:val="0078053C"/>
    <w:rsid w:val="00780A83"/>
    <w:rsid w:val="00781783"/>
    <w:rsid w:val="00781974"/>
    <w:rsid w:val="00781B08"/>
    <w:rsid w:val="00781C55"/>
    <w:rsid w:val="00782A2E"/>
    <w:rsid w:val="00782D54"/>
    <w:rsid w:val="007834DB"/>
    <w:rsid w:val="007837DE"/>
    <w:rsid w:val="00783A4B"/>
    <w:rsid w:val="00783A6A"/>
    <w:rsid w:val="00784B6A"/>
    <w:rsid w:val="00785AF5"/>
    <w:rsid w:val="00786068"/>
    <w:rsid w:val="00786869"/>
    <w:rsid w:val="00787561"/>
    <w:rsid w:val="00787BEB"/>
    <w:rsid w:val="007907CC"/>
    <w:rsid w:val="00790876"/>
    <w:rsid w:val="007908AC"/>
    <w:rsid w:val="007909A5"/>
    <w:rsid w:val="007909BF"/>
    <w:rsid w:val="00790ADF"/>
    <w:rsid w:val="007910C1"/>
    <w:rsid w:val="007918B6"/>
    <w:rsid w:val="007921AF"/>
    <w:rsid w:val="007925C8"/>
    <w:rsid w:val="00792D28"/>
    <w:rsid w:val="00793149"/>
    <w:rsid w:val="00793DAC"/>
    <w:rsid w:val="007945B4"/>
    <w:rsid w:val="0079481F"/>
    <w:rsid w:val="007950E2"/>
    <w:rsid w:val="007960BA"/>
    <w:rsid w:val="007961FD"/>
    <w:rsid w:val="00796FB4"/>
    <w:rsid w:val="00797CE1"/>
    <w:rsid w:val="00797DBF"/>
    <w:rsid w:val="007A018D"/>
    <w:rsid w:val="007A07EA"/>
    <w:rsid w:val="007A17DE"/>
    <w:rsid w:val="007A1C19"/>
    <w:rsid w:val="007A2527"/>
    <w:rsid w:val="007A368A"/>
    <w:rsid w:val="007A3AAE"/>
    <w:rsid w:val="007A45EF"/>
    <w:rsid w:val="007A5009"/>
    <w:rsid w:val="007A5171"/>
    <w:rsid w:val="007A51FA"/>
    <w:rsid w:val="007A5E90"/>
    <w:rsid w:val="007A5FAA"/>
    <w:rsid w:val="007A6E62"/>
    <w:rsid w:val="007A78DE"/>
    <w:rsid w:val="007A7944"/>
    <w:rsid w:val="007A7E72"/>
    <w:rsid w:val="007B026E"/>
    <w:rsid w:val="007B0A4E"/>
    <w:rsid w:val="007B0DE6"/>
    <w:rsid w:val="007B1032"/>
    <w:rsid w:val="007B19CD"/>
    <w:rsid w:val="007B1BF9"/>
    <w:rsid w:val="007B1CE7"/>
    <w:rsid w:val="007B4C34"/>
    <w:rsid w:val="007B4E32"/>
    <w:rsid w:val="007B51D7"/>
    <w:rsid w:val="007B5624"/>
    <w:rsid w:val="007B5789"/>
    <w:rsid w:val="007B5DA9"/>
    <w:rsid w:val="007B63AA"/>
    <w:rsid w:val="007B6808"/>
    <w:rsid w:val="007B6906"/>
    <w:rsid w:val="007B6929"/>
    <w:rsid w:val="007B6990"/>
    <w:rsid w:val="007B6CCE"/>
    <w:rsid w:val="007B71B3"/>
    <w:rsid w:val="007B720C"/>
    <w:rsid w:val="007B724E"/>
    <w:rsid w:val="007B7E75"/>
    <w:rsid w:val="007C0465"/>
    <w:rsid w:val="007C136F"/>
    <w:rsid w:val="007C13ED"/>
    <w:rsid w:val="007C1951"/>
    <w:rsid w:val="007C1A66"/>
    <w:rsid w:val="007C1D14"/>
    <w:rsid w:val="007C22E7"/>
    <w:rsid w:val="007C22F9"/>
    <w:rsid w:val="007C25A6"/>
    <w:rsid w:val="007C27E1"/>
    <w:rsid w:val="007C2F9D"/>
    <w:rsid w:val="007C36D3"/>
    <w:rsid w:val="007C36EB"/>
    <w:rsid w:val="007C42C1"/>
    <w:rsid w:val="007C4A75"/>
    <w:rsid w:val="007C6D10"/>
    <w:rsid w:val="007C7F12"/>
    <w:rsid w:val="007D0738"/>
    <w:rsid w:val="007D1150"/>
    <w:rsid w:val="007D12BE"/>
    <w:rsid w:val="007D1F27"/>
    <w:rsid w:val="007D2498"/>
    <w:rsid w:val="007D296C"/>
    <w:rsid w:val="007D30E1"/>
    <w:rsid w:val="007D3270"/>
    <w:rsid w:val="007D33B3"/>
    <w:rsid w:val="007D47A3"/>
    <w:rsid w:val="007D51EF"/>
    <w:rsid w:val="007D5653"/>
    <w:rsid w:val="007D59C9"/>
    <w:rsid w:val="007D59F2"/>
    <w:rsid w:val="007D6B92"/>
    <w:rsid w:val="007D70EA"/>
    <w:rsid w:val="007D76DB"/>
    <w:rsid w:val="007E04AA"/>
    <w:rsid w:val="007E16E5"/>
    <w:rsid w:val="007E2484"/>
    <w:rsid w:val="007E2632"/>
    <w:rsid w:val="007E399B"/>
    <w:rsid w:val="007E47BE"/>
    <w:rsid w:val="007E4B1B"/>
    <w:rsid w:val="007E4BE8"/>
    <w:rsid w:val="007E5C38"/>
    <w:rsid w:val="007E5C89"/>
    <w:rsid w:val="007E5DD3"/>
    <w:rsid w:val="007E6584"/>
    <w:rsid w:val="007E66E9"/>
    <w:rsid w:val="007F1526"/>
    <w:rsid w:val="007F17D1"/>
    <w:rsid w:val="007F1A74"/>
    <w:rsid w:val="007F1C50"/>
    <w:rsid w:val="007F20DB"/>
    <w:rsid w:val="007F2736"/>
    <w:rsid w:val="007F2AD9"/>
    <w:rsid w:val="007F2BAE"/>
    <w:rsid w:val="007F360E"/>
    <w:rsid w:val="007F4776"/>
    <w:rsid w:val="007F4B53"/>
    <w:rsid w:val="007F4BB3"/>
    <w:rsid w:val="007F5502"/>
    <w:rsid w:val="007F5A22"/>
    <w:rsid w:val="007F62CF"/>
    <w:rsid w:val="007F6354"/>
    <w:rsid w:val="007F6490"/>
    <w:rsid w:val="007F65C0"/>
    <w:rsid w:val="007F663B"/>
    <w:rsid w:val="007F77A0"/>
    <w:rsid w:val="007F7FE0"/>
    <w:rsid w:val="00800D8B"/>
    <w:rsid w:val="00800F6D"/>
    <w:rsid w:val="00801064"/>
    <w:rsid w:val="00801D6C"/>
    <w:rsid w:val="00801D97"/>
    <w:rsid w:val="00801DBE"/>
    <w:rsid w:val="008026F0"/>
    <w:rsid w:val="00802F43"/>
    <w:rsid w:val="00803169"/>
    <w:rsid w:val="00803466"/>
    <w:rsid w:val="00803778"/>
    <w:rsid w:val="00803C87"/>
    <w:rsid w:val="00804507"/>
    <w:rsid w:val="00804525"/>
    <w:rsid w:val="00804B41"/>
    <w:rsid w:val="00804C3E"/>
    <w:rsid w:val="00804FC0"/>
    <w:rsid w:val="00805BCE"/>
    <w:rsid w:val="0080657B"/>
    <w:rsid w:val="008065F9"/>
    <w:rsid w:val="008075DA"/>
    <w:rsid w:val="008078A9"/>
    <w:rsid w:val="0081044C"/>
    <w:rsid w:val="00810B75"/>
    <w:rsid w:val="00810FB0"/>
    <w:rsid w:val="00811423"/>
    <w:rsid w:val="0081324A"/>
    <w:rsid w:val="0081400D"/>
    <w:rsid w:val="008145A3"/>
    <w:rsid w:val="008145DD"/>
    <w:rsid w:val="008147A4"/>
    <w:rsid w:val="00814DED"/>
    <w:rsid w:val="008157CE"/>
    <w:rsid w:val="008168FB"/>
    <w:rsid w:val="00816A14"/>
    <w:rsid w:val="00816C04"/>
    <w:rsid w:val="008177C6"/>
    <w:rsid w:val="00817B01"/>
    <w:rsid w:val="00820342"/>
    <w:rsid w:val="00820B05"/>
    <w:rsid w:val="00821612"/>
    <w:rsid w:val="008218FB"/>
    <w:rsid w:val="00822ECE"/>
    <w:rsid w:val="00823223"/>
    <w:rsid w:val="0082323C"/>
    <w:rsid w:val="00823D50"/>
    <w:rsid w:val="00824915"/>
    <w:rsid w:val="00824C66"/>
    <w:rsid w:val="008250A6"/>
    <w:rsid w:val="00825266"/>
    <w:rsid w:val="00825A3E"/>
    <w:rsid w:val="008261C9"/>
    <w:rsid w:val="00826F77"/>
    <w:rsid w:val="008307FE"/>
    <w:rsid w:val="00830DD9"/>
    <w:rsid w:val="0083163B"/>
    <w:rsid w:val="0083197C"/>
    <w:rsid w:val="00831C65"/>
    <w:rsid w:val="00834167"/>
    <w:rsid w:val="008346EA"/>
    <w:rsid w:val="0083516E"/>
    <w:rsid w:val="008352A6"/>
    <w:rsid w:val="00835367"/>
    <w:rsid w:val="008353A8"/>
    <w:rsid w:val="00835C6A"/>
    <w:rsid w:val="0083723C"/>
    <w:rsid w:val="00837BBE"/>
    <w:rsid w:val="00837F6A"/>
    <w:rsid w:val="00840261"/>
    <w:rsid w:val="008408FB"/>
    <w:rsid w:val="00840ED1"/>
    <w:rsid w:val="00840F2D"/>
    <w:rsid w:val="00840F7F"/>
    <w:rsid w:val="0084254A"/>
    <w:rsid w:val="00843DAC"/>
    <w:rsid w:val="008442C3"/>
    <w:rsid w:val="008449E5"/>
    <w:rsid w:val="00844AB7"/>
    <w:rsid w:val="00844BB9"/>
    <w:rsid w:val="00844F6E"/>
    <w:rsid w:val="0084576B"/>
    <w:rsid w:val="008457A7"/>
    <w:rsid w:val="00845C91"/>
    <w:rsid w:val="00845E41"/>
    <w:rsid w:val="00845EE5"/>
    <w:rsid w:val="0084626D"/>
    <w:rsid w:val="008473E4"/>
    <w:rsid w:val="008475F3"/>
    <w:rsid w:val="008475F4"/>
    <w:rsid w:val="00850007"/>
    <w:rsid w:val="00850BF8"/>
    <w:rsid w:val="00850D70"/>
    <w:rsid w:val="00851301"/>
    <w:rsid w:val="0085145C"/>
    <w:rsid w:val="00851B83"/>
    <w:rsid w:val="00852D2C"/>
    <w:rsid w:val="008532A5"/>
    <w:rsid w:val="00853475"/>
    <w:rsid w:val="00853AD6"/>
    <w:rsid w:val="008544B8"/>
    <w:rsid w:val="00855F77"/>
    <w:rsid w:val="00856C4E"/>
    <w:rsid w:val="008601EE"/>
    <w:rsid w:val="0086086E"/>
    <w:rsid w:val="00860EAD"/>
    <w:rsid w:val="00861FF4"/>
    <w:rsid w:val="008625C9"/>
    <w:rsid w:val="00862A50"/>
    <w:rsid w:val="00862D31"/>
    <w:rsid w:val="00862EEB"/>
    <w:rsid w:val="008638DD"/>
    <w:rsid w:val="00864874"/>
    <w:rsid w:val="00864900"/>
    <w:rsid w:val="0086499C"/>
    <w:rsid w:val="00864D16"/>
    <w:rsid w:val="00865653"/>
    <w:rsid w:val="00865BF6"/>
    <w:rsid w:val="00865C7B"/>
    <w:rsid w:val="00865C94"/>
    <w:rsid w:val="00865E5C"/>
    <w:rsid w:val="0086623A"/>
    <w:rsid w:val="00867C88"/>
    <w:rsid w:val="00867D73"/>
    <w:rsid w:val="008709AD"/>
    <w:rsid w:val="00870A00"/>
    <w:rsid w:val="00870E47"/>
    <w:rsid w:val="008717E0"/>
    <w:rsid w:val="0087183B"/>
    <w:rsid w:val="008719A5"/>
    <w:rsid w:val="00872555"/>
    <w:rsid w:val="0087261E"/>
    <w:rsid w:val="00872C37"/>
    <w:rsid w:val="00873796"/>
    <w:rsid w:val="00873815"/>
    <w:rsid w:val="0087382A"/>
    <w:rsid w:val="0087411A"/>
    <w:rsid w:val="008742B5"/>
    <w:rsid w:val="0087433D"/>
    <w:rsid w:val="00874ACC"/>
    <w:rsid w:val="008751C6"/>
    <w:rsid w:val="00875986"/>
    <w:rsid w:val="00875FDF"/>
    <w:rsid w:val="0087751E"/>
    <w:rsid w:val="008802BE"/>
    <w:rsid w:val="00880E76"/>
    <w:rsid w:val="00881922"/>
    <w:rsid w:val="00881B58"/>
    <w:rsid w:val="008820EE"/>
    <w:rsid w:val="008826FF"/>
    <w:rsid w:val="00882D81"/>
    <w:rsid w:val="00882ED1"/>
    <w:rsid w:val="00883217"/>
    <w:rsid w:val="0088443D"/>
    <w:rsid w:val="00885038"/>
    <w:rsid w:val="00885579"/>
    <w:rsid w:val="00885586"/>
    <w:rsid w:val="008857B7"/>
    <w:rsid w:val="00885D54"/>
    <w:rsid w:val="00885E50"/>
    <w:rsid w:val="00886434"/>
    <w:rsid w:val="00887329"/>
    <w:rsid w:val="0088787A"/>
    <w:rsid w:val="00887B46"/>
    <w:rsid w:val="00890263"/>
    <w:rsid w:val="00890814"/>
    <w:rsid w:val="00891758"/>
    <w:rsid w:val="008918BF"/>
    <w:rsid w:val="00891FE0"/>
    <w:rsid w:val="00892A05"/>
    <w:rsid w:val="00892DE9"/>
    <w:rsid w:val="00892F5D"/>
    <w:rsid w:val="008937DE"/>
    <w:rsid w:val="00893EC2"/>
    <w:rsid w:val="00894679"/>
    <w:rsid w:val="00894DB9"/>
    <w:rsid w:val="00894E61"/>
    <w:rsid w:val="0089568B"/>
    <w:rsid w:val="008956E9"/>
    <w:rsid w:val="00895D15"/>
    <w:rsid w:val="0089608D"/>
    <w:rsid w:val="0089691D"/>
    <w:rsid w:val="008970CC"/>
    <w:rsid w:val="00897519"/>
    <w:rsid w:val="0089760C"/>
    <w:rsid w:val="00897621"/>
    <w:rsid w:val="008A0187"/>
    <w:rsid w:val="008A01EE"/>
    <w:rsid w:val="008A04EC"/>
    <w:rsid w:val="008A0940"/>
    <w:rsid w:val="008A0F6E"/>
    <w:rsid w:val="008A1045"/>
    <w:rsid w:val="008A14A4"/>
    <w:rsid w:val="008A2279"/>
    <w:rsid w:val="008A2445"/>
    <w:rsid w:val="008A25BD"/>
    <w:rsid w:val="008A2AB5"/>
    <w:rsid w:val="008A2D24"/>
    <w:rsid w:val="008A3FF3"/>
    <w:rsid w:val="008A4B37"/>
    <w:rsid w:val="008A4CED"/>
    <w:rsid w:val="008A5124"/>
    <w:rsid w:val="008A6083"/>
    <w:rsid w:val="008A67A7"/>
    <w:rsid w:val="008A68AA"/>
    <w:rsid w:val="008A6DD8"/>
    <w:rsid w:val="008A7EC1"/>
    <w:rsid w:val="008B04CC"/>
    <w:rsid w:val="008B0627"/>
    <w:rsid w:val="008B06F6"/>
    <w:rsid w:val="008B10A3"/>
    <w:rsid w:val="008B1247"/>
    <w:rsid w:val="008B1F1B"/>
    <w:rsid w:val="008B2E8E"/>
    <w:rsid w:val="008B34DD"/>
    <w:rsid w:val="008B4508"/>
    <w:rsid w:val="008B56FC"/>
    <w:rsid w:val="008B5897"/>
    <w:rsid w:val="008B5A88"/>
    <w:rsid w:val="008B5F9D"/>
    <w:rsid w:val="008B6155"/>
    <w:rsid w:val="008B6D8D"/>
    <w:rsid w:val="008B7C85"/>
    <w:rsid w:val="008C04BE"/>
    <w:rsid w:val="008C0606"/>
    <w:rsid w:val="008C2002"/>
    <w:rsid w:val="008C2659"/>
    <w:rsid w:val="008C3627"/>
    <w:rsid w:val="008C3B14"/>
    <w:rsid w:val="008C4AEE"/>
    <w:rsid w:val="008C4EDA"/>
    <w:rsid w:val="008C4FA6"/>
    <w:rsid w:val="008C6C93"/>
    <w:rsid w:val="008C7855"/>
    <w:rsid w:val="008C7D8D"/>
    <w:rsid w:val="008D118E"/>
    <w:rsid w:val="008D2A7D"/>
    <w:rsid w:val="008D2B75"/>
    <w:rsid w:val="008D2D7B"/>
    <w:rsid w:val="008D311E"/>
    <w:rsid w:val="008D4375"/>
    <w:rsid w:val="008D53CB"/>
    <w:rsid w:val="008D5739"/>
    <w:rsid w:val="008D6CEE"/>
    <w:rsid w:val="008D7458"/>
    <w:rsid w:val="008D781C"/>
    <w:rsid w:val="008E0065"/>
    <w:rsid w:val="008E0AAD"/>
    <w:rsid w:val="008E0C94"/>
    <w:rsid w:val="008E0E58"/>
    <w:rsid w:val="008E141E"/>
    <w:rsid w:val="008E1714"/>
    <w:rsid w:val="008E1A05"/>
    <w:rsid w:val="008E2261"/>
    <w:rsid w:val="008E38BA"/>
    <w:rsid w:val="008E3B77"/>
    <w:rsid w:val="008E3F88"/>
    <w:rsid w:val="008E42C9"/>
    <w:rsid w:val="008E4978"/>
    <w:rsid w:val="008E4B5F"/>
    <w:rsid w:val="008E4F32"/>
    <w:rsid w:val="008E4F7C"/>
    <w:rsid w:val="008E5B72"/>
    <w:rsid w:val="008E5D49"/>
    <w:rsid w:val="008E624D"/>
    <w:rsid w:val="008E6505"/>
    <w:rsid w:val="008E6956"/>
    <w:rsid w:val="008E6DB5"/>
    <w:rsid w:val="008E726C"/>
    <w:rsid w:val="008E75A8"/>
    <w:rsid w:val="008E7A78"/>
    <w:rsid w:val="008E7E66"/>
    <w:rsid w:val="008F02F2"/>
    <w:rsid w:val="008F03DB"/>
    <w:rsid w:val="008F1B21"/>
    <w:rsid w:val="008F1BD6"/>
    <w:rsid w:val="008F2377"/>
    <w:rsid w:val="008F26AE"/>
    <w:rsid w:val="008F2B26"/>
    <w:rsid w:val="008F2FF0"/>
    <w:rsid w:val="008F43C7"/>
    <w:rsid w:val="008F5D39"/>
    <w:rsid w:val="008F5E63"/>
    <w:rsid w:val="008F69BF"/>
    <w:rsid w:val="008F7BF2"/>
    <w:rsid w:val="009005C0"/>
    <w:rsid w:val="00900B23"/>
    <w:rsid w:val="00900C0C"/>
    <w:rsid w:val="00901A3A"/>
    <w:rsid w:val="009024F2"/>
    <w:rsid w:val="00902C6B"/>
    <w:rsid w:val="0090364D"/>
    <w:rsid w:val="00904115"/>
    <w:rsid w:val="00904AF0"/>
    <w:rsid w:val="00905EC4"/>
    <w:rsid w:val="00906B58"/>
    <w:rsid w:val="00906C40"/>
    <w:rsid w:val="00907F21"/>
    <w:rsid w:val="0091073A"/>
    <w:rsid w:val="00910879"/>
    <w:rsid w:val="00910DE4"/>
    <w:rsid w:val="0091181D"/>
    <w:rsid w:val="00912521"/>
    <w:rsid w:val="009126A1"/>
    <w:rsid w:val="00912875"/>
    <w:rsid w:val="00914F1D"/>
    <w:rsid w:val="00915CD4"/>
    <w:rsid w:val="009164FB"/>
    <w:rsid w:val="00916674"/>
    <w:rsid w:val="009166C2"/>
    <w:rsid w:val="00917AD4"/>
    <w:rsid w:val="00917FC4"/>
    <w:rsid w:val="00920029"/>
    <w:rsid w:val="00920056"/>
    <w:rsid w:val="0092092F"/>
    <w:rsid w:val="0092118D"/>
    <w:rsid w:val="00921282"/>
    <w:rsid w:val="00921846"/>
    <w:rsid w:val="00922BC8"/>
    <w:rsid w:val="009232A6"/>
    <w:rsid w:val="00923608"/>
    <w:rsid w:val="009236FB"/>
    <w:rsid w:val="0092410A"/>
    <w:rsid w:val="009243AD"/>
    <w:rsid w:val="0092562A"/>
    <w:rsid w:val="00925C53"/>
    <w:rsid w:val="00925EFD"/>
    <w:rsid w:val="0092696A"/>
    <w:rsid w:val="00927ACA"/>
    <w:rsid w:val="00927E9A"/>
    <w:rsid w:val="00930C22"/>
    <w:rsid w:val="00930DC2"/>
    <w:rsid w:val="00931227"/>
    <w:rsid w:val="009314CD"/>
    <w:rsid w:val="00931DEF"/>
    <w:rsid w:val="00932645"/>
    <w:rsid w:val="009326E7"/>
    <w:rsid w:val="0093292E"/>
    <w:rsid w:val="00932CD7"/>
    <w:rsid w:val="00932DA4"/>
    <w:rsid w:val="0093313E"/>
    <w:rsid w:val="009337AC"/>
    <w:rsid w:val="00933967"/>
    <w:rsid w:val="0093454C"/>
    <w:rsid w:val="00934885"/>
    <w:rsid w:val="009351CA"/>
    <w:rsid w:val="0093576A"/>
    <w:rsid w:val="00935DA7"/>
    <w:rsid w:val="009367F7"/>
    <w:rsid w:val="00936C9E"/>
    <w:rsid w:val="009377A2"/>
    <w:rsid w:val="00937AB0"/>
    <w:rsid w:val="00937CFC"/>
    <w:rsid w:val="00937DD6"/>
    <w:rsid w:val="009400CE"/>
    <w:rsid w:val="00940261"/>
    <w:rsid w:val="009403A4"/>
    <w:rsid w:val="00940A90"/>
    <w:rsid w:val="00940B1D"/>
    <w:rsid w:val="009411EA"/>
    <w:rsid w:val="00942051"/>
    <w:rsid w:val="00942131"/>
    <w:rsid w:val="009427F0"/>
    <w:rsid w:val="009435EC"/>
    <w:rsid w:val="00943D1A"/>
    <w:rsid w:val="00944DEA"/>
    <w:rsid w:val="0094550E"/>
    <w:rsid w:val="00946277"/>
    <w:rsid w:val="0094658C"/>
    <w:rsid w:val="00946694"/>
    <w:rsid w:val="009475B2"/>
    <w:rsid w:val="00947707"/>
    <w:rsid w:val="009504EA"/>
    <w:rsid w:val="00950682"/>
    <w:rsid w:val="0095088C"/>
    <w:rsid w:val="00950955"/>
    <w:rsid w:val="00951124"/>
    <w:rsid w:val="00951648"/>
    <w:rsid w:val="009516CE"/>
    <w:rsid w:val="00951C06"/>
    <w:rsid w:val="00952061"/>
    <w:rsid w:val="00952478"/>
    <w:rsid w:val="009528AC"/>
    <w:rsid w:val="00952E11"/>
    <w:rsid w:val="00952E73"/>
    <w:rsid w:val="00952FC1"/>
    <w:rsid w:val="00953333"/>
    <w:rsid w:val="00953D57"/>
    <w:rsid w:val="00954163"/>
    <w:rsid w:val="00955E58"/>
    <w:rsid w:val="00956430"/>
    <w:rsid w:val="00956D18"/>
    <w:rsid w:val="00956EE2"/>
    <w:rsid w:val="0095719A"/>
    <w:rsid w:val="0095777D"/>
    <w:rsid w:val="00957D95"/>
    <w:rsid w:val="00960473"/>
    <w:rsid w:val="00960AF9"/>
    <w:rsid w:val="009612B6"/>
    <w:rsid w:val="00962464"/>
    <w:rsid w:val="00962F87"/>
    <w:rsid w:val="0096305E"/>
    <w:rsid w:val="00963A83"/>
    <w:rsid w:val="00964840"/>
    <w:rsid w:val="00964BBF"/>
    <w:rsid w:val="00964E76"/>
    <w:rsid w:val="00965A70"/>
    <w:rsid w:val="009665F7"/>
    <w:rsid w:val="009665FA"/>
    <w:rsid w:val="009666A8"/>
    <w:rsid w:val="00967069"/>
    <w:rsid w:val="00967962"/>
    <w:rsid w:val="00970331"/>
    <w:rsid w:val="00970AD9"/>
    <w:rsid w:val="0097113C"/>
    <w:rsid w:val="00971624"/>
    <w:rsid w:val="00971945"/>
    <w:rsid w:val="0097248E"/>
    <w:rsid w:val="009734B7"/>
    <w:rsid w:val="0097369A"/>
    <w:rsid w:val="00973701"/>
    <w:rsid w:val="00973EB7"/>
    <w:rsid w:val="0097401B"/>
    <w:rsid w:val="0097473E"/>
    <w:rsid w:val="00974879"/>
    <w:rsid w:val="009749F0"/>
    <w:rsid w:val="00974B09"/>
    <w:rsid w:val="00975B1E"/>
    <w:rsid w:val="00975EE7"/>
    <w:rsid w:val="0097651A"/>
    <w:rsid w:val="00976EBE"/>
    <w:rsid w:val="00977293"/>
    <w:rsid w:val="009773C9"/>
    <w:rsid w:val="00977AB7"/>
    <w:rsid w:val="00977B76"/>
    <w:rsid w:val="009804E0"/>
    <w:rsid w:val="00980559"/>
    <w:rsid w:val="009816BA"/>
    <w:rsid w:val="00982785"/>
    <w:rsid w:val="00982CAD"/>
    <w:rsid w:val="009832DC"/>
    <w:rsid w:val="009840C0"/>
    <w:rsid w:val="00984118"/>
    <w:rsid w:val="00984322"/>
    <w:rsid w:val="009848DE"/>
    <w:rsid w:val="00984F99"/>
    <w:rsid w:val="009851B1"/>
    <w:rsid w:val="0098537C"/>
    <w:rsid w:val="00985D85"/>
    <w:rsid w:val="0098678C"/>
    <w:rsid w:val="00986BD9"/>
    <w:rsid w:val="00987412"/>
    <w:rsid w:val="009878B8"/>
    <w:rsid w:val="0099056D"/>
    <w:rsid w:val="00990AAF"/>
    <w:rsid w:val="00990B18"/>
    <w:rsid w:val="00990EE2"/>
    <w:rsid w:val="009919C9"/>
    <w:rsid w:val="00991C36"/>
    <w:rsid w:val="00991D70"/>
    <w:rsid w:val="009932F0"/>
    <w:rsid w:val="00993BCF"/>
    <w:rsid w:val="00993EF6"/>
    <w:rsid w:val="0099409A"/>
    <w:rsid w:val="0099437F"/>
    <w:rsid w:val="00994806"/>
    <w:rsid w:val="00994BE2"/>
    <w:rsid w:val="009956BE"/>
    <w:rsid w:val="00995A74"/>
    <w:rsid w:val="00995F5D"/>
    <w:rsid w:val="009963D5"/>
    <w:rsid w:val="009966C3"/>
    <w:rsid w:val="0099747D"/>
    <w:rsid w:val="00997D1D"/>
    <w:rsid w:val="00997FF3"/>
    <w:rsid w:val="009A047A"/>
    <w:rsid w:val="009A065A"/>
    <w:rsid w:val="009A0750"/>
    <w:rsid w:val="009A1D3E"/>
    <w:rsid w:val="009A2569"/>
    <w:rsid w:val="009A271D"/>
    <w:rsid w:val="009A2C7E"/>
    <w:rsid w:val="009A34C1"/>
    <w:rsid w:val="009A3A01"/>
    <w:rsid w:val="009A3C1D"/>
    <w:rsid w:val="009A4954"/>
    <w:rsid w:val="009A5630"/>
    <w:rsid w:val="009A5A0E"/>
    <w:rsid w:val="009A661A"/>
    <w:rsid w:val="009A6D1E"/>
    <w:rsid w:val="009A7007"/>
    <w:rsid w:val="009A718E"/>
    <w:rsid w:val="009A7701"/>
    <w:rsid w:val="009A78D4"/>
    <w:rsid w:val="009A7C1B"/>
    <w:rsid w:val="009B0898"/>
    <w:rsid w:val="009B0FBD"/>
    <w:rsid w:val="009B1685"/>
    <w:rsid w:val="009B18E7"/>
    <w:rsid w:val="009B1DCC"/>
    <w:rsid w:val="009B244F"/>
    <w:rsid w:val="009B2ECE"/>
    <w:rsid w:val="009B3A3A"/>
    <w:rsid w:val="009B3B6E"/>
    <w:rsid w:val="009B3D56"/>
    <w:rsid w:val="009B5207"/>
    <w:rsid w:val="009B577D"/>
    <w:rsid w:val="009B62F0"/>
    <w:rsid w:val="009B64CE"/>
    <w:rsid w:val="009B6723"/>
    <w:rsid w:val="009B681E"/>
    <w:rsid w:val="009B797E"/>
    <w:rsid w:val="009B7BAA"/>
    <w:rsid w:val="009C0469"/>
    <w:rsid w:val="009C058E"/>
    <w:rsid w:val="009C1305"/>
    <w:rsid w:val="009C1699"/>
    <w:rsid w:val="009C207D"/>
    <w:rsid w:val="009C27D3"/>
    <w:rsid w:val="009C2BA2"/>
    <w:rsid w:val="009C2D26"/>
    <w:rsid w:val="009C32AE"/>
    <w:rsid w:val="009C3A08"/>
    <w:rsid w:val="009C3E54"/>
    <w:rsid w:val="009C45E4"/>
    <w:rsid w:val="009C4967"/>
    <w:rsid w:val="009C6625"/>
    <w:rsid w:val="009C71D8"/>
    <w:rsid w:val="009C76BC"/>
    <w:rsid w:val="009C7A56"/>
    <w:rsid w:val="009D01DD"/>
    <w:rsid w:val="009D02E6"/>
    <w:rsid w:val="009D0FDC"/>
    <w:rsid w:val="009D2202"/>
    <w:rsid w:val="009D246B"/>
    <w:rsid w:val="009D260B"/>
    <w:rsid w:val="009D27EE"/>
    <w:rsid w:val="009D2819"/>
    <w:rsid w:val="009D2878"/>
    <w:rsid w:val="009D355F"/>
    <w:rsid w:val="009D436F"/>
    <w:rsid w:val="009D4706"/>
    <w:rsid w:val="009D4F77"/>
    <w:rsid w:val="009D50D2"/>
    <w:rsid w:val="009D51D5"/>
    <w:rsid w:val="009D5366"/>
    <w:rsid w:val="009D56E8"/>
    <w:rsid w:val="009D5A93"/>
    <w:rsid w:val="009D5B36"/>
    <w:rsid w:val="009D67FA"/>
    <w:rsid w:val="009D723E"/>
    <w:rsid w:val="009D7324"/>
    <w:rsid w:val="009D75DC"/>
    <w:rsid w:val="009E033E"/>
    <w:rsid w:val="009E0460"/>
    <w:rsid w:val="009E0CA4"/>
    <w:rsid w:val="009E1874"/>
    <w:rsid w:val="009E1AD0"/>
    <w:rsid w:val="009E25D8"/>
    <w:rsid w:val="009E2D91"/>
    <w:rsid w:val="009E2EA2"/>
    <w:rsid w:val="009E2F92"/>
    <w:rsid w:val="009E401F"/>
    <w:rsid w:val="009E4433"/>
    <w:rsid w:val="009E4838"/>
    <w:rsid w:val="009E48D2"/>
    <w:rsid w:val="009E4DF3"/>
    <w:rsid w:val="009E51E9"/>
    <w:rsid w:val="009E53D3"/>
    <w:rsid w:val="009E54D9"/>
    <w:rsid w:val="009E6310"/>
    <w:rsid w:val="009E6B22"/>
    <w:rsid w:val="009E6E7B"/>
    <w:rsid w:val="009E6F06"/>
    <w:rsid w:val="009E7348"/>
    <w:rsid w:val="009E7587"/>
    <w:rsid w:val="009E75D2"/>
    <w:rsid w:val="009F1D8A"/>
    <w:rsid w:val="009F1EBB"/>
    <w:rsid w:val="009F24E4"/>
    <w:rsid w:val="009F28C7"/>
    <w:rsid w:val="009F2909"/>
    <w:rsid w:val="009F2EFC"/>
    <w:rsid w:val="009F3366"/>
    <w:rsid w:val="009F56B2"/>
    <w:rsid w:val="009F57E0"/>
    <w:rsid w:val="009F5ED7"/>
    <w:rsid w:val="009F624B"/>
    <w:rsid w:val="009F6AD5"/>
    <w:rsid w:val="009F705E"/>
    <w:rsid w:val="009F7843"/>
    <w:rsid w:val="009F7F58"/>
    <w:rsid w:val="00A00AA6"/>
    <w:rsid w:val="00A00F74"/>
    <w:rsid w:val="00A01009"/>
    <w:rsid w:val="00A015FE"/>
    <w:rsid w:val="00A01C8C"/>
    <w:rsid w:val="00A037E2"/>
    <w:rsid w:val="00A040D9"/>
    <w:rsid w:val="00A049A7"/>
    <w:rsid w:val="00A04CEF"/>
    <w:rsid w:val="00A05270"/>
    <w:rsid w:val="00A053C9"/>
    <w:rsid w:val="00A05B0B"/>
    <w:rsid w:val="00A05DA9"/>
    <w:rsid w:val="00A05E59"/>
    <w:rsid w:val="00A05FDC"/>
    <w:rsid w:val="00A06A8A"/>
    <w:rsid w:val="00A06DBE"/>
    <w:rsid w:val="00A07BD1"/>
    <w:rsid w:val="00A07F05"/>
    <w:rsid w:val="00A11014"/>
    <w:rsid w:val="00A11046"/>
    <w:rsid w:val="00A1138E"/>
    <w:rsid w:val="00A11B64"/>
    <w:rsid w:val="00A11BDB"/>
    <w:rsid w:val="00A12B6E"/>
    <w:rsid w:val="00A12D53"/>
    <w:rsid w:val="00A12FB8"/>
    <w:rsid w:val="00A132FD"/>
    <w:rsid w:val="00A1391C"/>
    <w:rsid w:val="00A1398C"/>
    <w:rsid w:val="00A13A74"/>
    <w:rsid w:val="00A13BA1"/>
    <w:rsid w:val="00A14916"/>
    <w:rsid w:val="00A14C0D"/>
    <w:rsid w:val="00A158EC"/>
    <w:rsid w:val="00A15978"/>
    <w:rsid w:val="00A15B9F"/>
    <w:rsid w:val="00A1680C"/>
    <w:rsid w:val="00A16D2E"/>
    <w:rsid w:val="00A176B6"/>
    <w:rsid w:val="00A20266"/>
    <w:rsid w:val="00A20C70"/>
    <w:rsid w:val="00A20D7A"/>
    <w:rsid w:val="00A21E94"/>
    <w:rsid w:val="00A2213E"/>
    <w:rsid w:val="00A22B67"/>
    <w:rsid w:val="00A22D3C"/>
    <w:rsid w:val="00A23A5B"/>
    <w:rsid w:val="00A2489A"/>
    <w:rsid w:val="00A24BA4"/>
    <w:rsid w:val="00A24C5F"/>
    <w:rsid w:val="00A2568B"/>
    <w:rsid w:val="00A257F9"/>
    <w:rsid w:val="00A2587F"/>
    <w:rsid w:val="00A25E4B"/>
    <w:rsid w:val="00A25FD2"/>
    <w:rsid w:val="00A265B5"/>
    <w:rsid w:val="00A2661A"/>
    <w:rsid w:val="00A26AD8"/>
    <w:rsid w:val="00A26E47"/>
    <w:rsid w:val="00A272A7"/>
    <w:rsid w:val="00A273E8"/>
    <w:rsid w:val="00A27851"/>
    <w:rsid w:val="00A27ED1"/>
    <w:rsid w:val="00A303B9"/>
    <w:rsid w:val="00A304C8"/>
    <w:rsid w:val="00A30C5B"/>
    <w:rsid w:val="00A31879"/>
    <w:rsid w:val="00A3191F"/>
    <w:rsid w:val="00A31C0F"/>
    <w:rsid w:val="00A32392"/>
    <w:rsid w:val="00A32C09"/>
    <w:rsid w:val="00A33520"/>
    <w:rsid w:val="00A33ECF"/>
    <w:rsid w:val="00A35392"/>
    <w:rsid w:val="00A35D0A"/>
    <w:rsid w:val="00A3604A"/>
    <w:rsid w:val="00A3606E"/>
    <w:rsid w:val="00A36966"/>
    <w:rsid w:val="00A379B6"/>
    <w:rsid w:val="00A37B56"/>
    <w:rsid w:val="00A37B98"/>
    <w:rsid w:val="00A37E39"/>
    <w:rsid w:val="00A4080F"/>
    <w:rsid w:val="00A40C5A"/>
    <w:rsid w:val="00A418B0"/>
    <w:rsid w:val="00A42043"/>
    <w:rsid w:val="00A42181"/>
    <w:rsid w:val="00A4218A"/>
    <w:rsid w:val="00A422BD"/>
    <w:rsid w:val="00A42481"/>
    <w:rsid w:val="00A42651"/>
    <w:rsid w:val="00A42B29"/>
    <w:rsid w:val="00A42CEA"/>
    <w:rsid w:val="00A43259"/>
    <w:rsid w:val="00A44132"/>
    <w:rsid w:val="00A451A2"/>
    <w:rsid w:val="00A45571"/>
    <w:rsid w:val="00A45803"/>
    <w:rsid w:val="00A45B93"/>
    <w:rsid w:val="00A461D0"/>
    <w:rsid w:val="00A46307"/>
    <w:rsid w:val="00A4652F"/>
    <w:rsid w:val="00A46ADD"/>
    <w:rsid w:val="00A46F6D"/>
    <w:rsid w:val="00A50B8E"/>
    <w:rsid w:val="00A50E00"/>
    <w:rsid w:val="00A51A13"/>
    <w:rsid w:val="00A51E51"/>
    <w:rsid w:val="00A52DBD"/>
    <w:rsid w:val="00A5376B"/>
    <w:rsid w:val="00A53818"/>
    <w:rsid w:val="00A5392E"/>
    <w:rsid w:val="00A547B3"/>
    <w:rsid w:val="00A54990"/>
    <w:rsid w:val="00A54D64"/>
    <w:rsid w:val="00A5575A"/>
    <w:rsid w:val="00A55970"/>
    <w:rsid w:val="00A55AB3"/>
    <w:rsid w:val="00A55D1B"/>
    <w:rsid w:val="00A579CA"/>
    <w:rsid w:val="00A57CF2"/>
    <w:rsid w:val="00A60414"/>
    <w:rsid w:val="00A60BE2"/>
    <w:rsid w:val="00A61A2B"/>
    <w:rsid w:val="00A61AA8"/>
    <w:rsid w:val="00A62983"/>
    <w:rsid w:val="00A62989"/>
    <w:rsid w:val="00A62B9A"/>
    <w:rsid w:val="00A63094"/>
    <w:rsid w:val="00A6324E"/>
    <w:rsid w:val="00A6371A"/>
    <w:rsid w:val="00A63D6D"/>
    <w:rsid w:val="00A648A0"/>
    <w:rsid w:val="00A64A28"/>
    <w:rsid w:val="00A64E52"/>
    <w:rsid w:val="00A66404"/>
    <w:rsid w:val="00A6660D"/>
    <w:rsid w:val="00A66DEF"/>
    <w:rsid w:val="00A677D1"/>
    <w:rsid w:val="00A679FF"/>
    <w:rsid w:val="00A67A2C"/>
    <w:rsid w:val="00A67EB1"/>
    <w:rsid w:val="00A70024"/>
    <w:rsid w:val="00A71973"/>
    <w:rsid w:val="00A71D1D"/>
    <w:rsid w:val="00A72BAC"/>
    <w:rsid w:val="00A72CF2"/>
    <w:rsid w:val="00A72F04"/>
    <w:rsid w:val="00A734A4"/>
    <w:rsid w:val="00A7351D"/>
    <w:rsid w:val="00A735E6"/>
    <w:rsid w:val="00A736A5"/>
    <w:rsid w:val="00A73AA4"/>
    <w:rsid w:val="00A73B37"/>
    <w:rsid w:val="00A74A3C"/>
    <w:rsid w:val="00A74ACD"/>
    <w:rsid w:val="00A75122"/>
    <w:rsid w:val="00A76776"/>
    <w:rsid w:val="00A769E9"/>
    <w:rsid w:val="00A77788"/>
    <w:rsid w:val="00A80509"/>
    <w:rsid w:val="00A813D0"/>
    <w:rsid w:val="00A81A99"/>
    <w:rsid w:val="00A81D5F"/>
    <w:rsid w:val="00A81E4E"/>
    <w:rsid w:val="00A81F09"/>
    <w:rsid w:val="00A82DC0"/>
    <w:rsid w:val="00A83DDB"/>
    <w:rsid w:val="00A849AE"/>
    <w:rsid w:val="00A84B22"/>
    <w:rsid w:val="00A84EEB"/>
    <w:rsid w:val="00A854A1"/>
    <w:rsid w:val="00A85619"/>
    <w:rsid w:val="00A85F7C"/>
    <w:rsid w:val="00A8699D"/>
    <w:rsid w:val="00A869A6"/>
    <w:rsid w:val="00A86D5D"/>
    <w:rsid w:val="00A8719E"/>
    <w:rsid w:val="00A87C9D"/>
    <w:rsid w:val="00A90982"/>
    <w:rsid w:val="00A910F1"/>
    <w:rsid w:val="00A91763"/>
    <w:rsid w:val="00A9302C"/>
    <w:rsid w:val="00A93552"/>
    <w:rsid w:val="00A951DF"/>
    <w:rsid w:val="00A95648"/>
    <w:rsid w:val="00A963FA"/>
    <w:rsid w:val="00A96555"/>
    <w:rsid w:val="00A967D4"/>
    <w:rsid w:val="00A97491"/>
    <w:rsid w:val="00A97ABA"/>
    <w:rsid w:val="00AA02F9"/>
    <w:rsid w:val="00AA2000"/>
    <w:rsid w:val="00AA3026"/>
    <w:rsid w:val="00AA318A"/>
    <w:rsid w:val="00AA3F07"/>
    <w:rsid w:val="00AA411B"/>
    <w:rsid w:val="00AA44E6"/>
    <w:rsid w:val="00AA4598"/>
    <w:rsid w:val="00AA48D4"/>
    <w:rsid w:val="00AA4D61"/>
    <w:rsid w:val="00AA52D1"/>
    <w:rsid w:val="00AA54E2"/>
    <w:rsid w:val="00AA582B"/>
    <w:rsid w:val="00AA5BA7"/>
    <w:rsid w:val="00AA636E"/>
    <w:rsid w:val="00AA6D3D"/>
    <w:rsid w:val="00AB36A1"/>
    <w:rsid w:val="00AB3D21"/>
    <w:rsid w:val="00AB420F"/>
    <w:rsid w:val="00AB4830"/>
    <w:rsid w:val="00AB4EC0"/>
    <w:rsid w:val="00AB4FB9"/>
    <w:rsid w:val="00AB5A6B"/>
    <w:rsid w:val="00AB5C4C"/>
    <w:rsid w:val="00AB6FF9"/>
    <w:rsid w:val="00AB70A6"/>
    <w:rsid w:val="00AB716D"/>
    <w:rsid w:val="00AB764D"/>
    <w:rsid w:val="00AB7F3E"/>
    <w:rsid w:val="00AC001C"/>
    <w:rsid w:val="00AC0585"/>
    <w:rsid w:val="00AC1FFC"/>
    <w:rsid w:val="00AC277F"/>
    <w:rsid w:val="00AC2917"/>
    <w:rsid w:val="00AC2C62"/>
    <w:rsid w:val="00AC394F"/>
    <w:rsid w:val="00AC3B9D"/>
    <w:rsid w:val="00AC3E42"/>
    <w:rsid w:val="00AC3EBE"/>
    <w:rsid w:val="00AC40A1"/>
    <w:rsid w:val="00AC4245"/>
    <w:rsid w:val="00AC459D"/>
    <w:rsid w:val="00AC5A29"/>
    <w:rsid w:val="00AC5F92"/>
    <w:rsid w:val="00AC6489"/>
    <w:rsid w:val="00AC6A9B"/>
    <w:rsid w:val="00AC6B20"/>
    <w:rsid w:val="00AC6CB0"/>
    <w:rsid w:val="00AC6ED5"/>
    <w:rsid w:val="00AC72D6"/>
    <w:rsid w:val="00AD09AB"/>
    <w:rsid w:val="00AD0BF2"/>
    <w:rsid w:val="00AD1B5F"/>
    <w:rsid w:val="00AD1F35"/>
    <w:rsid w:val="00AD2483"/>
    <w:rsid w:val="00AD275A"/>
    <w:rsid w:val="00AD28F7"/>
    <w:rsid w:val="00AD2E53"/>
    <w:rsid w:val="00AD3168"/>
    <w:rsid w:val="00AD3E50"/>
    <w:rsid w:val="00AD4021"/>
    <w:rsid w:val="00AD4843"/>
    <w:rsid w:val="00AD4BBB"/>
    <w:rsid w:val="00AD4C1A"/>
    <w:rsid w:val="00AD52E2"/>
    <w:rsid w:val="00AD5316"/>
    <w:rsid w:val="00AD57A8"/>
    <w:rsid w:val="00AD59D1"/>
    <w:rsid w:val="00AD5DA4"/>
    <w:rsid w:val="00AD617B"/>
    <w:rsid w:val="00AD62A7"/>
    <w:rsid w:val="00AD62B4"/>
    <w:rsid w:val="00AD69E1"/>
    <w:rsid w:val="00AD7BFF"/>
    <w:rsid w:val="00AE0102"/>
    <w:rsid w:val="00AE09BF"/>
    <w:rsid w:val="00AE0EA3"/>
    <w:rsid w:val="00AE1158"/>
    <w:rsid w:val="00AE11FA"/>
    <w:rsid w:val="00AE1642"/>
    <w:rsid w:val="00AE1838"/>
    <w:rsid w:val="00AE4ABE"/>
    <w:rsid w:val="00AE4D23"/>
    <w:rsid w:val="00AE55A3"/>
    <w:rsid w:val="00AE5749"/>
    <w:rsid w:val="00AE58A2"/>
    <w:rsid w:val="00AE5B8B"/>
    <w:rsid w:val="00AE5D71"/>
    <w:rsid w:val="00AE60A1"/>
    <w:rsid w:val="00AE6682"/>
    <w:rsid w:val="00AE6AA3"/>
    <w:rsid w:val="00AE6FD4"/>
    <w:rsid w:val="00AE752E"/>
    <w:rsid w:val="00AE7943"/>
    <w:rsid w:val="00AE7AC6"/>
    <w:rsid w:val="00AF01FE"/>
    <w:rsid w:val="00AF0236"/>
    <w:rsid w:val="00AF0888"/>
    <w:rsid w:val="00AF1064"/>
    <w:rsid w:val="00AF154C"/>
    <w:rsid w:val="00AF1E3A"/>
    <w:rsid w:val="00AF1F43"/>
    <w:rsid w:val="00AF21E8"/>
    <w:rsid w:val="00AF275C"/>
    <w:rsid w:val="00AF28CA"/>
    <w:rsid w:val="00AF2BDD"/>
    <w:rsid w:val="00AF3501"/>
    <w:rsid w:val="00AF35E2"/>
    <w:rsid w:val="00AF3A52"/>
    <w:rsid w:val="00AF3ED6"/>
    <w:rsid w:val="00AF4AE9"/>
    <w:rsid w:val="00AF55A5"/>
    <w:rsid w:val="00AF7687"/>
    <w:rsid w:val="00AF7D27"/>
    <w:rsid w:val="00AF7E27"/>
    <w:rsid w:val="00B00BAC"/>
    <w:rsid w:val="00B0138D"/>
    <w:rsid w:val="00B01604"/>
    <w:rsid w:val="00B01999"/>
    <w:rsid w:val="00B01BA9"/>
    <w:rsid w:val="00B01BE0"/>
    <w:rsid w:val="00B01D36"/>
    <w:rsid w:val="00B01D66"/>
    <w:rsid w:val="00B027C1"/>
    <w:rsid w:val="00B027CE"/>
    <w:rsid w:val="00B0288F"/>
    <w:rsid w:val="00B03019"/>
    <w:rsid w:val="00B0317A"/>
    <w:rsid w:val="00B03AF7"/>
    <w:rsid w:val="00B04224"/>
    <w:rsid w:val="00B05725"/>
    <w:rsid w:val="00B057F0"/>
    <w:rsid w:val="00B05879"/>
    <w:rsid w:val="00B06ACB"/>
    <w:rsid w:val="00B07309"/>
    <w:rsid w:val="00B07469"/>
    <w:rsid w:val="00B10ED1"/>
    <w:rsid w:val="00B115B2"/>
    <w:rsid w:val="00B11874"/>
    <w:rsid w:val="00B119D0"/>
    <w:rsid w:val="00B119D7"/>
    <w:rsid w:val="00B11F0D"/>
    <w:rsid w:val="00B11FDD"/>
    <w:rsid w:val="00B12B89"/>
    <w:rsid w:val="00B13C64"/>
    <w:rsid w:val="00B145C7"/>
    <w:rsid w:val="00B149D2"/>
    <w:rsid w:val="00B15630"/>
    <w:rsid w:val="00B15919"/>
    <w:rsid w:val="00B15C15"/>
    <w:rsid w:val="00B16D88"/>
    <w:rsid w:val="00B16E6E"/>
    <w:rsid w:val="00B16E92"/>
    <w:rsid w:val="00B16F16"/>
    <w:rsid w:val="00B1750A"/>
    <w:rsid w:val="00B17E68"/>
    <w:rsid w:val="00B17ED4"/>
    <w:rsid w:val="00B202A1"/>
    <w:rsid w:val="00B202C6"/>
    <w:rsid w:val="00B20487"/>
    <w:rsid w:val="00B213F2"/>
    <w:rsid w:val="00B2153F"/>
    <w:rsid w:val="00B219B9"/>
    <w:rsid w:val="00B21A14"/>
    <w:rsid w:val="00B2208D"/>
    <w:rsid w:val="00B22B64"/>
    <w:rsid w:val="00B2307F"/>
    <w:rsid w:val="00B24728"/>
    <w:rsid w:val="00B24AD0"/>
    <w:rsid w:val="00B24EEF"/>
    <w:rsid w:val="00B25684"/>
    <w:rsid w:val="00B25A6A"/>
    <w:rsid w:val="00B25B13"/>
    <w:rsid w:val="00B25E56"/>
    <w:rsid w:val="00B26540"/>
    <w:rsid w:val="00B268F7"/>
    <w:rsid w:val="00B26AFE"/>
    <w:rsid w:val="00B26D3A"/>
    <w:rsid w:val="00B2704D"/>
    <w:rsid w:val="00B2734B"/>
    <w:rsid w:val="00B27546"/>
    <w:rsid w:val="00B303CD"/>
    <w:rsid w:val="00B30B56"/>
    <w:rsid w:val="00B316A1"/>
    <w:rsid w:val="00B31CCA"/>
    <w:rsid w:val="00B32458"/>
    <w:rsid w:val="00B331E5"/>
    <w:rsid w:val="00B337D3"/>
    <w:rsid w:val="00B339F1"/>
    <w:rsid w:val="00B33B65"/>
    <w:rsid w:val="00B34327"/>
    <w:rsid w:val="00B34F72"/>
    <w:rsid w:val="00B35790"/>
    <w:rsid w:val="00B35B06"/>
    <w:rsid w:val="00B36308"/>
    <w:rsid w:val="00B36966"/>
    <w:rsid w:val="00B36FC9"/>
    <w:rsid w:val="00B37056"/>
    <w:rsid w:val="00B37969"/>
    <w:rsid w:val="00B40860"/>
    <w:rsid w:val="00B4269D"/>
    <w:rsid w:val="00B4280D"/>
    <w:rsid w:val="00B43659"/>
    <w:rsid w:val="00B43B1A"/>
    <w:rsid w:val="00B43CAD"/>
    <w:rsid w:val="00B44220"/>
    <w:rsid w:val="00B44AF1"/>
    <w:rsid w:val="00B46020"/>
    <w:rsid w:val="00B46483"/>
    <w:rsid w:val="00B46E13"/>
    <w:rsid w:val="00B46E82"/>
    <w:rsid w:val="00B4714D"/>
    <w:rsid w:val="00B47508"/>
    <w:rsid w:val="00B47D6F"/>
    <w:rsid w:val="00B47DEE"/>
    <w:rsid w:val="00B508CD"/>
    <w:rsid w:val="00B50B42"/>
    <w:rsid w:val="00B51236"/>
    <w:rsid w:val="00B51789"/>
    <w:rsid w:val="00B518D4"/>
    <w:rsid w:val="00B51DB1"/>
    <w:rsid w:val="00B51E7B"/>
    <w:rsid w:val="00B52A44"/>
    <w:rsid w:val="00B531EB"/>
    <w:rsid w:val="00B53B47"/>
    <w:rsid w:val="00B54DEE"/>
    <w:rsid w:val="00B557E1"/>
    <w:rsid w:val="00B5597E"/>
    <w:rsid w:val="00B56A58"/>
    <w:rsid w:val="00B57880"/>
    <w:rsid w:val="00B57ACE"/>
    <w:rsid w:val="00B60235"/>
    <w:rsid w:val="00B60C9E"/>
    <w:rsid w:val="00B60D6C"/>
    <w:rsid w:val="00B612D2"/>
    <w:rsid w:val="00B6147C"/>
    <w:rsid w:val="00B616BC"/>
    <w:rsid w:val="00B616CD"/>
    <w:rsid w:val="00B617FF"/>
    <w:rsid w:val="00B61AF0"/>
    <w:rsid w:val="00B61CF5"/>
    <w:rsid w:val="00B620F0"/>
    <w:rsid w:val="00B62876"/>
    <w:rsid w:val="00B62B01"/>
    <w:rsid w:val="00B62FD5"/>
    <w:rsid w:val="00B630C0"/>
    <w:rsid w:val="00B63C05"/>
    <w:rsid w:val="00B63EF2"/>
    <w:rsid w:val="00B63F5E"/>
    <w:rsid w:val="00B647AF"/>
    <w:rsid w:val="00B64F42"/>
    <w:rsid w:val="00B651D5"/>
    <w:rsid w:val="00B655D6"/>
    <w:rsid w:val="00B655EF"/>
    <w:rsid w:val="00B65B86"/>
    <w:rsid w:val="00B664A7"/>
    <w:rsid w:val="00B66B79"/>
    <w:rsid w:val="00B66FF4"/>
    <w:rsid w:val="00B671EA"/>
    <w:rsid w:val="00B6768B"/>
    <w:rsid w:val="00B6778A"/>
    <w:rsid w:val="00B679A2"/>
    <w:rsid w:val="00B70B77"/>
    <w:rsid w:val="00B713CB"/>
    <w:rsid w:val="00B71861"/>
    <w:rsid w:val="00B71976"/>
    <w:rsid w:val="00B71AA3"/>
    <w:rsid w:val="00B7215D"/>
    <w:rsid w:val="00B727FC"/>
    <w:rsid w:val="00B72882"/>
    <w:rsid w:val="00B747CF"/>
    <w:rsid w:val="00B74889"/>
    <w:rsid w:val="00B74959"/>
    <w:rsid w:val="00B74F4D"/>
    <w:rsid w:val="00B74FD9"/>
    <w:rsid w:val="00B7543E"/>
    <w:rsid w:val="00B75890"/>
    <w:rsid w:val="00B75E4F"/>
    <w:rsid w:val="00B7647A"/>
    <w:rsid w:val="00B7721F"/>
    <w:rsid w:val="00B77897"/>
    <w:rsid w:val="00B77F47"/>
    <w:rsid w:val="00B80249"/>
    <w:rsid w:val="00B803CA"/>
    <w:rsid w:val="00B81BF2"/>
    <w:rsid w:val="00B81F26"/>
    <w:rsid w:val="00B82A97"/>
    <w:rsid w:val="00B82DC2"/>
    <w:rsid w:val="00B83F3A"/>
    <w:rsid w:val="00B84BDB"/>
    <w:rsid w:val="00B84FDB"/>
    <w:rsid w:val="00B85707"/>
    <w:rsid w:val="00B85A44"/>
    <w:rsid w:val="00B85B75"/>
    <w:rsid w:val="00B85F57"/>
    <w:rsid w:val="00B86E7A"/>
    <w:rsid w:val="00B86E85"/>
    <w:rsid w:val="00B906D3"/>
    <w:rsid w:val="00B9204D"/>
    <w:rsid w:val="00B923C2"/>
    <w:rsid w:val="00B92E5F"/>
    <w:rsid w:val="00B93130"/>
    <w:rsid w:val="00B931D1"/>
    <w:rsid w:val="00B93653"/>
    <w:rsid w:val="00B936B4"/>
    <w:rsid w:val="00B93ADF"/>
    <w:rsid w:val="00B93DAB"/>
    <w:rsid w:val="00B93DE3"/>
    <w:rsid w:val="00B94298"/>
    <w:rsid w:val="00B95A65"/>
    <w:rsid w:val="00B9613F"/>
    <w:rsid w:val="00B96973"/>
    <w:rsid w:val="00B96986"/>
    <w:rsid w:val="00BA0431"/>
    <w:rsid w:val="00BA10EC"/>
    <w:rsid w:val="00BA1296"/>
    <w:rsid w:val="00BA1355"/>
    <w:rsid w:val="00BA14CB"/>
    <w:rsid w:val="00BA2073"/>
    <w:rsid w:val="00BA2220"/>
    <w:rsid w:val="00BA2314"/>
    <w:rsid w:val="00BA2926"/>
    <w:rsid w:val="00BA37F1"/>
    <w:rsid w:val="00BA396F"/>
    <w:rsid w:val="00BA40D4"/>
    <w:rsid w:val="00BA4ED5"/>
    <w:rsid w:val="00BA5386"/>
    <w:rsid w:val="00BA5833"/>
    <w:rsid w:val="00BA6525"/>
    <w:rsid w:val="00BA6CF1"/>
    <w:rsid w:val="00BA70B3"/>
    <w:rsid w:val="00BB1294"/>
    <w:rsid w:val="00BB1B3A"/>
    <w:rsid w:val="00BB241E"/>
    <w:rsid w:val="00BB2B03"/>
    <w:rsid w:val="00BB3969"/>
    <w:rsid w:val="00BB47AD"/>
    <w:rsid w:val="00BB51B9"/>
    <w:rsid w:val="00BB5D49"/>
    <w:rsid w:val="00BB75D1"/>
    <w:rsid w:val="00BB78B1"/>
    <w:rsid w:val="00BC10DC"/>
    <w:rsid w:val="00BC1209"/>
    <w:rsid w:val="00BC148D"/>
    <w:rsid w:val="00BC1595"/>
    <w:rsid w:val="00BC1B43"/>
    <w:rsid w:val="00BC1F16"/>
    <w:rsid w:val="00BC2751"/>
    <w:rsid w:val="00BC276F"/>
    <w:rsid w:val="00BC31DF"/>
    <w:rsid w:val="00BC3459"/>
    <w:rsid w:val="00BC3466"/>
    <w:rsid w:val="00BC3A68"/>
    <w:rsid w:val="00BC3C14"/>
    <w:rsid w:val="00BC3D85"/>
    <w:rsid w:val="00BC4409"/>
    <w:rsid w:val="00BC488F"/>
    <w:rsid w:val="00BC4B04"/>
    <w:rsid w:val="00BC5275"/>
    <w:rsid w:val="00BC5397"/>
    <w:rsid w:val="00BC674F"/>
    <w:rsid w:val="00BC69FC"/>
    <w:rsid w:val="00BC6D65"/>
    <w:rsid w:val="00BC6D91"/>
    <w:rsid w:val="00BC7417"/>
    <w:rsid w:val="00BC75DC"/>
    <w:rsid w:val="00BC76A0"/>
    <w:rsid w:val="00BC7D09"/>
    <w:rsid w:val="00BD0BA1"/>
    <w:rsid w:val="00BD17E8"/>
    <w:rsid w:val="00BD18E4"/>
    <w:rsid w:val="00BD1CDF"/>
    <w:rsid w:val="00BD2BE9"/>
    <w:rsid w:val="00BD348A"/>
    <w:rsid w:val="00BD3E0D"/>
    <w:rsid w:val="00BD4379"/>
    <w:rsid w:val="00BD4B25"/>
    <w:rsid w:val="00BD51B5"/>
    <w:rsid w:val="00BD5F23"/>
    <w:rsid w:val="00BD62BB"/>
    <w:rsid w:val="00BD6394"/>
    <w:rsid w:val="00BD64BE"/>
    <w:rsid w:val="00BD67DB"/>
    <w:rsid w:val="00BD6E7B"/>
    <w:rsid w:val="00BD7311"/>
    <w:rsid w:val="00BD74FE"/>
    <w:rsid w:val="00BD76DA"/>
    <w:rsid w:val="00BD77E8"/>
    <w:rsid w:val="00BD79DE"/>
    <w:rsid w:val="00BE1193"/>
    <w:rsid w:val="00BE174A"/>
    <w:rsid w:val="00BE2275"/>
    <w:rsid w:val="00BE2300"/>
    <w:rsid w:val="00BE265A"/>
    <w:rsid w:val="00BE2BB9"/>
    <w:rsid w:val="00BE3426"/>
    <w:rsid w:val="00BE489A"/>
    <w:rsid w:val="00BE49D5"/>
    <w:rsid w:val="00BE4DBD"/>
    <w:rsid w:val="00BE516F"/>
    <w:rsid w:val="00BE5933"/>
    <w:rsid w:val="00BE61DF"/>
    <w:rsid w:val="00BE69FC"/>
    <w:rsid w:val="00BE73FF"/>
    <w:rsid w:val="00BE7753"/>
    <w:rsid w:val="00BE7822"/>
    <w:rsid w:val="00BF0301"/>
    <w:rsid w:val="00BF0BFA"/>
    <w:rsid w:val="00BF1DF3"/>
    <w:rsid w:val="00BF1E50"/>
    <w:rsid w:val="00BF1F6B"/>
    <w:rsid w:val="00BF2799"/>
    <w:rsid w:val="00BF315D"/>
    <w:rsid w:val="00BF3908"/>
    <w:rsid w:val="00BF4427"/>
    <w:rsid w:val="00BF478A"/>
    <w:rsid w:val="00BF4EC1"/>
    <w:rsid w:val="00BF51D7"/>
    <w:rsid w:val="00BF56F0"/>
    <w:rsid w:val="00BF5962"/>
    <w:rsid w:val="00BF6B7F"/>
    <w:rsid w:val="00BF7673"/>
    <w:rsid w:val="00BF775B"/>
    <w:rsid w:val="00BF7A91"/>
    <w:rsid w:val="00BF7E14"/>
    <w:rsid w:val="00C02F28"/>
    <w:rsid w:val="00C03DFD"/>
    <w:rsid w:val="00C04BBA"/>
    <w:rsid w:val="00C04F4F"/>
    <w:rsid w:val="00C05478"/>
    <w:rsid w:val="00C058EB"/>
    <w:rsid w:val="00C05F50"/>
    <w:rsid w:val="00C063E1"/>
    <w:rsid w:val="00C06464"/>
    <w:rsid w:val="00C06848"/>
    <w:rsid w:val="00C06AAF"/>
    <w:rsid w:val="00C07040"/>
    <w:rsid w:val="00C10140"/>
    <w:rsid w:val="00C103BC"/>
    <w:rsid w:val="00C119D3"/>
    <w:rsid w:val="00C11F23"/>
    <w:rsid w:val="00C12DDA"/>
    <w:rsid w:val="00C138B4"/>
    <w:rsid w:val="00C13EFF"/>
    <w:rsid w:val="00C144B1"/>
    <w:rsid w:val="00C14DF9"/>
    <w:rsid w:val="00C15C6A"/>
    <w:rsid w:val="00C162DB"/>
    <w:rsid w:val="00C1654B"/>
    <w:rsid w:val="00C16896"/>
    <w:rsid w:val="00C16ACF"/>
    <w:rsid w:val="00C1706C"/>
    <w:rsid w:val="00C1762F"/>
    <w:rsid w:val="00C179BA"/>
    <w:rsid w:val="00C2070B"/>
    <w:rsid w:val="00C2098C"/>
    <w:rsid w:val="00C20DFF"/>
    <w:rsid w:val="00C21467"/>
    <w:rsid w:val="00C23299"/>
    <w:rsid w:val="00C23881"/>
    <w:rsid w:val="00C248A0"/>
    <w:rsid w:val="00C2594F"/>
    <w:rsid w:val="00C25EC4"/>
    <w:rsid w:val="00C26A04"/>
    <w:rsid w:val="00C26BA5"/>
    <w:rsid w:val="00C26D22"/>
    <w:rsid w:val="00C26D60"/>
    <w:rsid w:val="00C26EDB"/>
    <w:rsid w:val="00C27679"/>
    <w:rsid w:val="00C27E35"/>
    <w:rsid w:val="00C30827"/>
    <w:rsid w:val="00C30AD4"/>
    <w:rsid w:val="00C30B6D"/>
    <w:rsid w:val="00C317C6"/>
    <w:rsid w:val="00C32F65"/>
    <w:rsid w:val="00C33139"/>
    <w:rsid w:val="00C33620"/>
    <w:rsid w:val="00C339C7"/>
    <w:rsid w:val="00C35029"/>
    <w:rsid w:val="00C354B1"/>
    <w:rsid w:val="00C36166"/>
    <w:rsid w:val="00C3642D"/>
    <w:rsid w:val="00C367D9"/>
    <w:rsid w:val="00C37A09"/>
    <w:rsid w:val="00C37B2A"/>
    <w:rsid w:val="00C37D44"/>
    <w:rsid w:val="00C37DCF"/>
    <w:rsid w:val="00C42A26"/>
    <w:rsid w:val="00C43706"/>
    <w:rsid w:val="00C44559"/>
    <w:rsid w:val="00C446FD"/>
    <w:rsid w:val="00C44908"/>
    <w:rsid w:val="00C44F84"/>
    <w:rsid w:val="00C4552A"/>
    <w:rsid w:val="00C4597D"/>
    <w:rsid w:val="00C45B15"/>
    <w:rsid w:val="00C46147"/>
    <w:rsid w:val="00C464A3"/>
    <w:rsid w:val="00C464F4"/>
    <w:rsid w:val="00C46B51"/>
    <w:rsid w:val="00C47974"/>
    <w:rsid w:val="00C47D2E"/>
    <w:rsid w:val="00C50355"/>
    <w:rsid w:val="00C51111"/>
    <w:rsid w:val="00C5138C"/>
    <w:rsid w:val="00C51824"/>
    <w:rsid w:val="00C52376"/>
    <w:rsid w:val="00C5262E"/>
    <w:rsid w:val="00C52E77"/>
    <w:rsid w:val="00C53872"/>
    <w:rsid w:val="00C549B8"/>
    <w:rsid w:val="00C55251"/>
    <w:rsid w:val="00C55340"/>
    <w:rsid w:val="00C5547B"/>
    <w:rsid w:val="00C554B5"/>
    <w:rsid w:val="00C556FA"/>
    <w:rsid w:val="00C56195"/>
    <w:rsid w:val="00C56432"/>
    <w:rsid w:val="00C56DE7"/>
    <w:rsid w:val="00C5718B"/>
    <w:rsid w:val="00C57964"/>
    <w:rsid w:val="00C57A78"/>
    <w:rsid w:val="00C57ED0"/>
    <w:rsid w:val="00C601D0"/>
    <w:rsid w:val="00C60330"/>
    <w:rsid w:val="00C60783"/>
    <w:rsid w:val="00C60822"/>
    <w:rsid w:val="00C6084A"/>
    <w:rsid w:val="00C60A69"/>
    <w:rsid w:val="00C60D29"/>
    <w:rsid w:val="00C6118F"/>
    <w:rsid w:val="00C61A13"/>
    <w:rsid w:val="00C62227"/>
    <w:rsid w:val="00C62FE7"/>
    <w:rsid w:val="00C646D3"/>
    <w:rsid w:val="00C64890"/>
    <w:rsid w:val="00C65275"/>
    <w:rsid w:val="00C6535E"/>
    <w:rsid w:val="00C6552F"/>
    <w:rsid w:val="00C65A09"/>
    <w:rsid w:val="00C66C37"/>
    <w:rsid w:val="00C70886"/>
    <w:rsid w:val="00C70F76"/>
    <w:rsid w:val="00C71C9E"/>
    <w:rsid w:val="00C725CF"/>
    <w:rsid w:val="00C72E08"/>
    <w:rsid w:val="00C733BC"/>
    <w:rsid w:val="00C73FC6"/>
    <w:rsid w:val="00C740B3"/>
    <w:rsid w:val="00C74214"/>
    <w:rsid w:val="00C74225"/>
    <w:rsid w:val="00C743EE"/>
    <w:rsid w:val="00C74888"/>
    <w:rsid w:val="00C74954"/>
    <w:rsid w:val="00C74C47"/>
    <w:rsid w:val="00C751A7"/>
    <w:rsid w:val="00C764BE"/>
    <w:rsid w:val="00C76C09"/>
    <w:rsid w:val="00C76D90"/>
    <w:rsid w:val="00C77D42"/>
    <w:rsid w:val="00C8014A"/>
    <w:rsid w:val="00C8043D"/>
    <w:rsid w:val="00C80953"/>
    <w:rsid w:val="00C80B1A"/>
    <w:rsid w:val="00C81BD4"/>
    <w:rsid w:val="00C82B99"/>
    <w:rsid w:val="00C82D8F"/>
    <w:rsid w:val="00C831DD"/>
    <w:rsid w:val="00C84519"/>
    <w:rsid w:val="00C847FA"/>
    <w:rsid w:val="00C85847"/>
    <w:rsid w:val="00C85B74"/>
    <w:rsid w:val="00C8647A"/>
    <w:rsid w:val="00C86516"/>
    <w:rsid w:val="00C872D8"/>
    <w:rsid w:val="00C87977"/>
    <w:rsid w:val="00C91510"/>
    <w:rsid w:val="00C9198F"/>
    <w:rsid w:val="00C93C07"/>
    <w:rsid w:val="00C94492"/>
    <w:rsid w:val="00C94844"/>
    <w:rsid w:val="00C95035"/>
    <w:rsid w:val="00C95503"/>
    <w:rsid w:val="00C95B18"/>
    <w:rsid w:val="00C95D31"/>
    <w:rsid w:val="00C96170"/>
    <w:rsid w:val="00C969FE"/>
    <w:rsid w:val="00C96B45"/>
    <w:rsid w:val="00C96D79"/>
    <w:rsid w:val="00C96FF1"/>
    <w:rsid w:val="00C97076"/>
    <w:rsid w:val="00C973BE"/>
    <w:rsid w:val="00C977BB"/>
    <w:rsid w:val="00C978DE"/>
    <w:rsid w:val="00C97FB3"/>
    <w:rsid w:val="00CA0885"/>
    <w:rsid w:val="00CA0A50"/>
    <w:rsid w:val="00CA1244"/>
    <w:rsid w:val="00CA128A"/>
    <w:rsid w:val="00CA12F4"/>
    <w:rsid w:val="00CA22C3"/>
    <w:rsid w:val="00CA2515"/>
    <w:rsid w:val="00CA25CF"/>
    <w:rsid w:val="00CA2A58"/>
    <w:rsid w:val="00CA2FD4"/>
    <w:rsid w:val="00CA359A"/>
    <w:rsid w:val="00CA44E4"/>
    <w:rsid w:val="00CA4B34"/>
    <w:rsid w:val="00CA6044"/>
    <w:rsid w:val="00CA6D11"/>
    <w:rsid w:val="00CA74E0"/>
    <w:rsid w:val="00CA7B39"/>
    <w:rsid w:val="00CB0DE0"/>
    <w:rsid w:val="00CB10E1"/>
    <w:rsid w:val="00CB1B6C"/>
    <w:rsid w:val="00CB1F28"/>
    <w:rsid w:val="00CB2F0A"/>
    <w:rsid w:val="00CB3F43"/>
    <w:rsid w:val="00CB430F"/>
    <w:rsid w:val="00CB5047"/>
    <w:rsid w:val="00CB57B5"/>
    <w:rsid w:val="00CB63E8"/>
    <w:rsid w:val="00CB7E92"/>
    <w:rsid w:val="00CC0235"/>
    <w:rsid w:val="00CC045A"/>
    <w:rsid w:val="00CC0B68"/>
    <w:rsid w:val="00CC16A4"/>
    <w:rsid w:val="00CC1D8B"/>
    <w:rsid w:val="00CC2746"/>
    <w:rsid w:val="00CC3E26"/>
    <w:rsid w:val="00CC4175"/>
    <w:rsid w:val="00CC47F7"/>
    <w:rsid w:val="00CC51C0"/>
    <w:rsid w:val="00CC5633"/>
    <w:rsid w:val="00CC5E04"/>
    <w:rsid w:val="00CC65DE"/>
    <w:rsid w:val="00CC6662"/>
    <w:rsid w:val="00CC6734"/>
    <w:rsid w:val="00CC730B"/>
    <w:rsid w:val="00CC77AF"/>
    <w:rsid w:val="00CD097E"/>
    <w:rsid w:val="00CD0980"/>
    <w:rsid w:val="00CD1FA7"/>
    <w:rsid w:val="00CD2BF8"/>
    <w:rsid w:val="00CD2E5A"/>
    <w:rsid w:val="00CD33EC"/>
    <w:rsid w:val="00CD3656"/>
    <w:rsid w:val="00CD3F5C"/>
    <w:rsid w:val="00CD4402"/>
    <w:rsid w:val="00CD53F9"/>
    <w:rsid w:val="00CD6538"/>
    <w:rsid w:val="00CD65B4"/>
    <w:rsid w:val="00CD708C"/>
    <w:rsid w:val="00CD7E51"/>
    <w:rsid w:val="00CE0268"/>
    <w:rsid w:val="00CE0671"/>
    <w:rsid w:val="00CE06DF"/>
    <w:rsid w:val="00CE0C16"/>
    <w:rsid w:val="00CE156E"/>
    <w:rsid w:val="00CE17F8"/>
    <w:rsid w:val="00CE18CC"/>
    <w:rsid w:val="00CE2BB8"/>
    <w:rsid w:val="00CE2CBA"/>
    <w:rsid w:val="00CE2E86"/>
    <w:rsid w:val="00CE418B"/>
    <w:rsid w:val="00CE4C6C"/>
    <w:rsid w:val="00CE4DD7"/>
    <w:rsid w:val="00CE74C1"/>
    <w:rsid w:val="00CF00EB"/>
    <w:rsid w:val="00CF28EE"/>
    <w:rsid w:val="00CF2AF1"/>
    <w:rsid w:val="00CF2EDC"/>
    <w:rsid w:val="00CF466F"/>
    <w:rsid w:val="00CF46AF"/>
    <w:rsid w:val="00CF56FA"/>
    <w:rsid w:val="00CF58FE"/>
    <w:rsid w:val="00CF5C6E"/>
    <w:rsid w:val="00CF6281"/>
    <w:rsid w:val="00CF6373"/>
    <w:rsid w:val="00CF67C6"/>
    <w:rsid w:val="00CF6A86"/>
    <w:rsid w:val="00CF6CC7"/>
    <w:rsid w:val="00CF6D69"/>
    <w:rsid w:val="00CF776C"/>
    <w:rsid w:val="00CF785C"/>
    <w:rsid w:val="00D0038F"/>
    <w:rsid w:val="00D00560"/>
    <w:rsid w:val="00D01584"/>
    <w:rsid w:val="00D01BE0"/>
    <w:rsid w:val="00D01C38"/>
    <w:rsid w:val="00D0206E"/>
    <w:rsid w:val="00D02203"/>
    <w:rsid w:val="00D03926"/>
    <w:rsid w:val="00D04112"/>
    <w:rsid w:val="00D048F6"/>
    <w:rsid w:val="00D04B65"/>
    <w:rsid w:val="00D05169"/>
    <w:rsid w:val="00D05596"/>
    <w:rsid w:val="00D06726"/>
    <w:rsid w:val="00D06D1A"/>
    <w:rsid w:val="00D06EA8"/>
    <w:rsid w:val="00D06F6C"/>
    <w:rsid w:val="00D1071D"/>
    <w:rsid w:val="00D10CCF"/>
    <w:rsid w:val="00D11297"/>
    <w:rsid w:val="00D1145F"/>
    <w:rsid w:val="00D126AE"/>
    <w:rsid w:val="00D13148"/>
    <w:rsid w:val="00D1318A"/>
    <w:rsid w:val="00D13B54"/>
    <w:rsid w:val="00D140E6"/>
    <w:rsid w:val="00D1420F"/>
    <w:rsid w:val="00D15798"/>
    <w:rsid w:val="00D15927"/>
    <w:rsid w:val="00D16526"/>
    <w:rsid w:val="00D16994"/>
    <w:rsid w:val="00D16F53"/>
    <w:rsid w:val="00D17349"/>
    <w:rsid w:val="00D17564"/>
    <w:rsid w:val="00D1782E"/>
    <w:rsid w:val="00D20F1B"/>
    <w:rsid w:val="00D21231"/>
    <w:rsid w:val="00D213A5"/>
    <w:rsid w:val="00D21666"/>
    <w:rsid w:val="00D2185F"/>
    <w:rsid w:val="00D22581"/>
    <w:rsid w:val="00D22B9D"/>
    <w:rsid w:val="00D22BDD"/>
    <w:rsid w:val="00D22C63"/>
    <w:rsid w:val="00D22D37"/>
    <w:rsid w:val="00D22E4F"/>
    <w:rsid w:val="00D2321D"/>
    <w:rsid w:val="00D2427A"/>
    <w:rsid w:val="00D25858"/>
    <w:rsid w:val="00D258B6"/>
    <w:rsid w:val="00D2687A"/>
    <w:rsid w:val="00D2694F"/>
    <w:rsid w:val="00D26C3C"/>
    <w:rsid w:val="00D27718"/>
    <w:rsid w:val="00D27831"/>
    <w:rsid w:val="00D30678"/>
    <w:rsid w:val="00D30E18"/>
    <w:rsid w:val="00D31696"/>
    <w:rsid w:val="00D31742"/>
    <w:rsid w:val="00D32095"/>
    <w:rsid w:val="00D327FA"/>
    <w:rsid w:val="00D32833"/>
    <w:rsid w:val="00D3295B"/>
    <w:rsid w:val="00D329B4"/>
    <w:rsid w:val="00D329F3"/>
    <w:rsid w:val="00D333B0"/>
    <w:rsid w:val="00D33449"/>
    <w:rsid w:val="00D33937"/>
    <w:rsid w:val="00D340CA"/>
    <w:rsid w:val="00D345BA"/>
    <w:rsid w:val="00D34ADF"/>
    <w:rsid w:val="00D36644"/>
    <w:rsid w:val="00D3669C"/>
    <w:rsid w:val="00D36924"/>
    <w:rsid w:val="00D37DD6"/>
    <w:rsid w:val="00D40174"/>
    <w:rsid w:val="00D40826"/>
    <w:rsid w:val="00D40EE7"/>
    <w:rsid w:val="00D41767"/>
    <w:rsid w:val="00D43639"/>
    <w:rsid w:val="00D4364B"/>
    <w:rsid w:val="00D437EF"/>
    <w:rsid w:val="00D43B4B"/>
    <w:rsid w:val="00D43D10"/>
    <w:rsid w:val="00D43D78"/>
    <w:rsid w:val="00D43DEC"/>
    <w:rsid w:val="00D44164"/>
    <w:rsid w:val="00D44758"/>
    <w:rsid w:val="00D449C3"/>
    <w:rsid w:val="00D4516F"/>
    <w:rsid w:val="00D4578A"/>
    <w:rsid w:val="00D458F5"/>
    <w:rsid w:val="00D46AAA"/>
    <w:rsid w:val="00D4707E"/>
    <w:rsid w:val="00D4710B"/>
    <w:rsid w:val="00D474C0"/>
    <w:rsid w:val="00D47BDF"/>
    <w:rsid w:val="00D47DF3"/>
    <w:rsid w:val="00D50145"/>
    <w:rsid w:val="00D50DBB"/>
    <w:rsid w:val="00D51123"/>
    <w:rsid w:val="00D5184A"/>
    <w:rsid w:val="00D5189E"/>
    <w:rsid w:val="00D51E2C"/>
    <w:rsid w:val="00D530D8"/>
    <w:rsid w:val="00D53A61"/>
    <w:rsid w:val="00D5425B"/>
    <w:rsid w:val="00D54A9E"/>
    <w:rsid w:val="00D5552D"/>
    <w:rsid w:val="00D55721"/>
    <w:rsid w:val="00D55F3E"/>
    <w:rsid w:val="00D56491"/>
    <w:rsid w:val="00D56EBA"/>
    <w:rsid w:val="00D570AD"/>
    <w:rsid w:val="00D572CC"/>
    <w:rsid w:val="00D5772F"/>
    <w:rsid w:val="00D57DDF"/>
    <w:rsid w:val="00D57F97"/>
    <w:rsid w:val="00D603A3"/>
    <w:rsid w:val="00D6042D"/>
    <w:rsid w:val="00D60DDC"/>
    <w:rsid w:val="00D60F2E"/>
    <w:rsid w:val="00D61979"/>
    <w:rsid w:val="00D61B03"/>
    <w:rsid w:val="00D62144"/>
    <w:rsid w:val="00D6248A"/>
    <w:rsid w:val="00D62EC2"/>
    <w:rsid w:val="00D62F7A"/>
    <w:rsid w:val="00D63DB2"/>
    <w:rsid w:val="00D6459E"/>
    <w:rsid w:val="00D64759"/>
    <w:rsid w:val="00D64B6E"/>
    <w:rsid w:val="00D64F7C"/>
    <w:rsid w:val="00D65BBF"/>
    <w:rsid w:val="00D66028"/>
    <w:rsid w:val="00D672F5"/>
    <w:rsid w:val="00D6757B"/>
    <w:rsid w:val="00D701C3"/>
    <w:rsid w:val="00D70D88"/>
    <w:rsid w:val="00D70EDD"/>
    <w:rsid w:val="00D712CE"/>
    <w:rsid w:val="00D71EDB"/>
    <w:rsid w:val="00D7283A"/>
    <w:rsid w:val="00D72DAB"/>
    <w:rsid w:val="00D72F4B"/>
    <w:rsid w:val="00D73180"/>
    <w:rsid w:val="00D73503"/>
    <w:rsid w:val="00D73BBB"/>
    <w:rsid w:val="00D741BC"/>
    <w:rsid w:val="00D74522"/>
    <w:rsid w:val="00D74FC3"/>
    <w:rsid w:val="00D7527F"/>
    <w:rsid w:val="00D758B1"/>
    <w:rsid w:val="00D8005D"/>
    <w:rsid w:val="00D80626"/>
    <w:rsid w:val="00D80CB1"/>
    <w:rsid w:val="00D80D4B"/>
    <w:rsid w:val="00D80EF3"/>
    <w:rsid w:val="00D8133B"/>
    <w:rsid w:val="00D8195F"/>
    <w:rsid w:val="00D81C1E"/>
    <w:rsid w:val="00D822BE"/>
    <w:rsid w:val="00D8256C"/>
    <w:rsid w:val="00D827FA"/>
    <w:rsid w:val="00D82F4D"/>
    <w:rsid w:val="00D8387E"/>
    <w:rsid w:val="00D83FA3"/>
    <w:rsid w:val="00D84290"/>
    <w:rsid w:val="00D84BC5"/>
    <w:rsid w:val="00D84EE9"/>
    <w:rsid w:val="00D85895"/>
    <w:rsid w:val="00D85B09"/>
    <w:rsid w:val="00D870B7"/>
    <w:rsid w:val="00D90709"/>
    <w:rsid w:val="00D9145B"/>
    <w:rsid w:val="00D917B5"/>
    <w:rsid w:val="00D91A9D"/>
    <w:rsid w:val="00D924E4"/>
    <w:rsid w:val="00D92963"/>
    <w:rsid w:val="00D93A6B"/>
    <w:rsid w:val="00D93B53"/>
    <w:rsid w:val="00D94370"/>
    <w:rsid w:val="00D94560"/>
    <w:rsid w:val="00D95BF2"/>
    <w:rsid w:val="00D95CE3"/>
    <w:rsid w:val="00D95EA5"/>
    <w:rsid w:val="00D96B71"/>
    <w:rsid w:val="00D97103"/>
    <w:rsid w:val="00D9750B"/>
    <w:rsid w:val="00D97BBC"/>
    <w:rsid w:val="00D97F67"/>
    <w:rsid w:val="00DA0443"/>
    <w:rsid w:val="00DA0B8F"/>
    <w:rsid w:val="00DA0C39"/>
    <w:rsid w:val="00DA12BB"/>
    <w:rsid w:val="00DA25AE"/>
    <w:rsid w:val="00DA2736"/>
    <w:rsid w:val="00DA2E37"/>
    <w:rsid w:val="00DA37E0"/>
    <w:rsid w:val="00DA3EF1"/>
    <w:rsid w:val="00DA4061"/>
    <w:rsid w:val="00DA50A3"/>
    <w:rsid w:val="00DA5180"/>
    <w:rsid w:val="00DA527A"/>
    <w:rsid w:val="00DA58F6"/>
    <w:rsid w:val="00DA5918"/>
    <w:rsid w:val="00DA5957"/>
    <w:rsid w:val="00DA778E"/>
    <w:rsid w:val="00DA779A"/>
    <w:rsid w:val="00DA77FB"/>
    <w:rsid w:val="00DA7A8C"/>
    <w:rsid w:val="00DA7C31"/>
    <w:rsid w:val="00DB01CA"/>
    <w:rsid w:val="00DB02F7"/>
    <w:rsid w:val="00DB0D71"/>
    <w:rsid w:val="00DB0EEF"/>
    <w:rsid w:val="00DB1377"/>
    <w:rsid w:val="00DB2048"/>
    <w:rsid w:val="00DB2519"/>
    <w:rsid w:val="00DB3F7E"/>
    <w:rsid w:val="00DB4E21"/>
    <w:rsid w:val="00DB506A"/>
    <w:rsid w:val="00DB58E2"/>
    <w:rsid w:val="00DB5E38"/>
    <w:rsid w:val="00DB5F67"/>
    <w:rsid w:val="00DB65BF"/>
    <w:rsid w:val="00DB7655"/>
    <w:rsid w:val="00DB7BC2"/>
    <w:rsid w:val="00DB7D15"/>
    <w:rsid w:val="00DC0AB7"/>
    <w:rsid w:val="00DC0F43"/>
    <w:rsid w:val="00DC11B2"/>
    <w:rsid w:val="00DC1223"/>
    <w:rsid w:val="00DC2DAE"/>
    <w:rsid w:val="00DC417D"/>
    <w:rsid w:val="00DC44BF"/>
    <w:rsid w:val="00DC44FB"/>
    <w:rsid w:val="00DC4592"/>
    <w:rsid w:val="00DC540E"/>
    <w:rsid w:val="00DC55ED"/>
    <w:rsid w:val="00DC72AE"/>
    <w:rsid w:val="00DC78DC"/>
    <w:rsid w:val="00DD0C61"/>
    <w:rsid w:val="00DD1153"/>
    <w:rsid w:val="00DD1354"/>
    <w:rsid w:val="00DD17EA"/>
    <w:rsid w:val="00DD187E"/>
    <w:rsid w:val="00DD19F5"/>
    <w:rsid w:val="00DD22F7"/>
    <w:rsid w:val="00DD24B7"/>
    <w:rsid w:val="00DD24C5"/>
    <w:rsid w:val="00DD2C71"/>
    <w:rsid w:val="00DD33C4"/>
    <w:rsid w:val="00DD42C6"/>
    <w:rsid w:val="00DD444B"/>
    <w:rsid w:val="00DD44A4"/>
    <w:rsid w:val="00DD5611"/>
    <w:rsid w:val="00DD5779"/>
    <w:rsid w:val="00DD7045"/>
    <w:rsid w:val="00DD7311"/>
    <w:rsid w:val="00DD74BB"/>
    <w:rsid w:val="00DD791E"/>
    <w:rsid w:val="00DD7CBF"/>
    <w:rsid w:val="00DD7FB5"/>
    <w:rsid w:val="00DE015B"/>
    <w:rsid w:val="00DE0A87"/>
    <w:rsid w:val="00DE1880"/>
    <w:rsid w:val="00DE284B"/>
    <w:rsid w:val="00DE29F9"/>
    <w:rsid w:val="00DE3403"/>
    <w:rsid w:val="00DE36AB"/>
    <w:rsid w:val="00DE3C95"/>
    <w:rsid w:val="00DE3CA7"/>
    <w:rsid w:val="00DE3E27"/>
    <w:rsid w:val="00DE4070"/>
    <w:rsid w:val="00DE4A10"/>
    <w:rsid w:val="00DE54BE"/>
    <w:rsid w:val="00DE6210"/>
    <w:rsid w:val="00DE76CB"/>
    <w:rsid w:val="00DE76F5"/>
    <w:rsid w:val="00DE778B"/>
    <w:rsid w:val="00DF05D7"/>
    <w:rsid w:val="00DF091A"/>
    <w:rsid w:val="00DF1080"/>
    <w:rsid w:val="00DF13EF"/>
    <w:rsid w:val="00DF18C9"/>
    <w:rsid w:val="00DF1AF1"/>
    <w:rsid w:val="00DF1B61"/>
    <w:rsid w:val="00DF2654"/>
    <w:rsid w:val="00DF2704"/>
    <w:rsid w:val="00DF279E"/>
    <w:rsid w:val="00DF2FCE"/>
    <w:rsid w:val="00DF313A"/>
    <w:rsid w:val="00DF39C3"/>
    <w:rsid w:val="00DF4F52"/>
    <w:rsid w:val="00DF5422"/>
    <w:rsid w:val="00DF57E8"/>
    <w:rsid w:val="00DF5913"/>
    <w:rsid w:val="00DF5D61"/>
    <w:rsid w:val="00DF5FC4"/>
    <w:rsid w:val="00DF66AD"/>
    <w:rsid w:val="00DF6A62"/>
    <w:rsid w:val="00DF7888"/>
    <w:rsid w:val="00E009CB"/>
    <w:rsid w:val="00E00BF2"/>
    <w:rsid w:val="00E00D3E"/>
    <w:rsid w:val="00E01564"/>
    <w:rsid w:val="00E015B6"/>
    <w:rsid w:val="00E0189F"/>
    <w:rsid w:val="00E01950"/>
    <w:rsid w:val="00E01B8C"/>
    <w:rsid w:val="00E02553"/>
    <w:rsid w:val="00E02DCA"/>
    <w:rsid w:val="00E0334E"/>
    <w:rsid w:val="00E03561"/>
    <w:rsid w:val="00E036D7"/>
    <w:rsid w:val="00E05CB2"/>
    <w:rsid w:val="00E064E0"/>
    <w:rsid w:val="00E06A34"/>
    <w:rsid w:val="00E06BFB"/>
    <w:rsid w:val="00E06F56"/>
    <w:rsid w:val="00E12577"/>
    <w:rsid w:val="00E1268A"/>
    <w:rsid w:val="00E13A68"/>
    <w:rsid w:val="00E13E0A"/>
    <w:rsid w:val="00E13E43"/>
    <w:rsid w:val="00E13EB5"/>
    <w:rsid w:val="00E140EA"/>
    <w:rsid w:val="00E14297"/>
    <w:rsid w:val="00E14B4D"/>
    <w:rsid w:val="00E1545B"/>
    <w:rsid w:val="00E15611"/>
    <w:rsid w:val="00E15BED"/>
    <w:rsid w:val="00E163BD"/>
    <w:rsid w:val="00E165CF"/>
    <w:rsid w:val="00E17BA5"/>
    <w:rsid w:val="00E17C11"/>
    <w:rsid w:val="00E2000F"/>
    <w:rsid w:val="00E20745"/>
    <w:rsid w:val="00E21889"/>
    <w:rsid w:val="00E237DC"/>
    <w:rsid w:val="00E246AB"/>
    <w:rsid w:val="00E247E1"/>
    <w:rsid w:val="00E24EC8"/>
    <w:rsid w:val="00E25C62"/>
    <w:rsid w:val="00E26215"/>
    <w:rsid w:val="00E26C20"/>
    <w:rsid w:val="00E26D52"/>
    <w:rsid w:val="00E26DDF"/>
    <w:rsid w:val="00E271ED"/>
    <w:rsid w:val="00E30D1A"/>
    <w:rsid w:val="00E3101D"/>
    <w:rsid w:val="00E31051"/>
    <w:rsid w:val="00E31097"/>
    <w:rsid w:val="00E316D8"/>
    <w:rsid w:val="00E3198A"/>
    <w:rsid w:val="00E32190"/>
    <w:rsid w:val="00E322CB"/>
    <w:rsid w:val="00E32428"/>
    <w:rsid w:val="00E32738"/>
    <w:rsid w:val="00E328BC"/>
    <w:rsid w:val="00E32E84"/>
    <w:rsid w:val="00E33233"/>
    <w:rsid w:val="00E337D3"/>
    <w:rsid w:val="00E33ACA"/>
    <w:rsid w:val="00E33E6A"/>
    <w:rsid w:val="00E3461E"/>
    <w:rsid w:val="00E34D78"/>
    <w:rsid w:val="00E356FC"/>
    <w:rsid w:val="00E358CF"/>
    <w:rsid w:val="00E35BAD"/>
    <w:rsid w:val="00E36C27"/>
    <w:rsid w:val="00E37172"/>
    <w:rsid w:val="00E37F87"/>
    <w:rsid w:val="00E40341"/>
    <w:rsid w:val="00E425BB"/>
    <w:rsid w:val="00E444FB"/>
    <w:rsid w:val="00E44670"/>
    <w:rsid w:val="00E44D87"/>
    <w:rsid w:val="00E44E11"/>
    <w:rsid w:val="00E4509C"/>
    <w:rsid w:val="00E45866"/>
    <w:rsid w:val="00E45DDA"/>
    <w:rsid w:val="00E45DDD"/>
    <w:rsid w:val="00E4675C"/>
    <w:rsid w:val="00E50846"/>
    <w:rsid w:val="00E51942"/>
    <w:rsid w:val="00E5268E"/>
    <w:rsid w:val="00E52EDC"/>
    <w:rsid w:val="00E53466"/>
    <w:rsid w:val="00E53795"/>
    <w:rsid w:val="00E53BDE"/>
    <w:rsid w:val="00E53DBE"/>
    <w:rsid w:val="00E53F75"/>
    <w:rsid w:val="00E54038"/>
    <w:rsid w:val="00E5409A"/>
    <w:rsid w:val="00E547A4"/>
    <w:rsid w:val="00E55287"/>
    <w:rsid w:val="00E552DB"/>
    <w:rsid w:val="00E564B4"/>
    <w:rsid w:val="00E568F2"/>
    <w:rsid w:val="00E5691D"/>
    <w:rsid w:val="00E56D1B"/>
    <w:rsid w:val="00E56E21"/>
    <w:rsid w:val="00E57450"/>
    <w:rsid w:val="00E609F8"/>
    <w:rsid w:val="00E61173"/>
    <w:rsid w:val="00E61AEC"/>
    <w:rsid w:val="00E62777"/>
    <w:rsid w:val="00E63865"/>
    <w:rsid w:val="00E63D14"/>
    <w:rsid w:val="00E64A11"/>
    <w:rsid w:val="00E651AB"/>
    <w:rsid w:val="00E656CC"/>
    <w:rsid w:val="00E65977"/>
    <w:rsid w:val="00E65D1E"/>
    <w:rsid w:val="00E660DB"/>
    <w:rsid w:val="00E6612E"/>
    <w:rsid w:val="00E66A4B"/>
    <w:rsid w:val="00E66C34"/>
    <w:rsid w:val="00E66DDE"/>
    <w:rsid w:val="00E67750"/>
    <w:rsid w:val="00E678ED"/>
    <w:rsid w:val="00E679B9"/>
    <w:rsid w:val="00E7013C"/>
    <w:rsid w:val="00E705CC"/>
    <w:rsid w:val="00E70870"/>
    <w:rsid w:val="00E709BC"/>
    <w:rsid w:val="00E70A51"/>
    <w:rsid w:val="00E710BE"/>
    <w:rsid w:val="00E711C6"/>
    <w:rsid w:val="00E717C4"/>
    <w:rsid w:val="00E71A4A"/>
    <w:rsid w:val="00E72516"/>
    <w:rsid w:val="00E732BA"/>
    <w:rsid w:val="00E73F96"/>
    <w:rsid w:val="00E74A99"/>
    <w:rsid w:val="00E7502E"/>
    <w:rsid w:val="00E75319"/>
    <w:rsid w:val="00E76492"/>
    <w:rsid w:val="00E766AF"/>
    <w:rsid w:val="00E76E63"/>
    <w:rsid w:val="00E776BA"/>
    <w:rsid w:val="00E77B6C"/>
    <w:rsid w:val="00E77ED7"/>
    <w:rsid w:val="00E800AA"/>
    <w:rsid w:val="00E80982"/>
    <w:rsid w:val="00E8183F"/>
    <w:rsid w:val="00E81E5F"/>
    <w:rsid w:val="00E82662"/>
    <w:rsid w:val="00E82F1C"/>
    <w:rsid w:val="00E833A2"/>
    <w:rsid w:val="00E84157"/>
    <w:rsid w:val="00E841AD"/>
    <w:rsid w:val="00E843E2"/>
    <w:rsid w:val="00E8468E"/>
    <w:rsid w:val="00E84AAD"/>
    <w:rsid w:val="00E84EC7"/>
    <w:rsid w:val="00E85B24"/>
    <w:rsid w:val="00E86DC7"/>
    <w:rsid w:val="00E875A3"/>
    <w:rsid w:val="00E90437"/>
    <w:rsid w:val="00E9063B"/>
    <w:rsid w:val="00E90BA4"/>
    <w:rsid w:val="00E91CE7"/>
    <w:rsid w:val="00E92118"/>
    <w:rsid w:val="00E926FF"/>
    <w:rsid w:val="00E92F0D"/>
    <w:rsid w:val="00E92F96"/>
    <w:rsid w:val="00E9369B"/>
    <w:rsid w:val="00E93A25"/>
    <w:rsid w:val="00E949A5"/>
    <w:rsid w:val="00E95850"/>
    <w:rsid w:val="00E95AB5"/>
    <w:rsid w:val="00E95F44"/>
    <w:rsid w:val="00E96066"/>
    <w:rsid w:val="00E9640B"/>
    <w:rsid w:val="00E96AF8"/>
    <w:rsid w:val="00E97A72"/>
    <w:rsid w:val="00EA001C"/>
    <w:rsid w:val="00EA0725"/>
    <w:rsid w:val="00EA0737"/>
    <w:rsid w:val="00EA0D2C"/>
    <w:rsid w:val="00EA116F"/>
    <w:rsid w:val="00EA2529"/>
    <w:rsid w:val="00EA2CA8"/>
    <w:rsid w:val="00EA4549"/>
    <w:rsid w:val="00EA4E8F"/>
    <w:rsid w:val="00EA506F"/>
    <w:rsid w:val="00EA618A"/>
    <w:rsid w:val="00EA63EF"/>
    <w:rsid w:val="00EA6CBC"/>
    <w:rsid w:val="00EA7404"/>
    <w:rsid w:val="00EA7979"/>
    <w:rsid w:val="00EA7EC5"/>
    <w:rsid w:val="00EA7F16"/>
    <w:rsid w:val="00EB049D"/>
    <w:rsid w:val="00EB141A"/>
    <w:rsid w:val="00EB149F"/>
    <w:rsid w:val="00EB1DEF"/>
    <w:rsid w:val="00EB2037"/>
    <w:rsid w:val="00EB2655"/>
    <w:rsid w:val="00EB2716"/>
    <w:rsid w:val="00EB2759"/>
    <w:rsid w:val="00EB28EA"/>
    <w:rsid w:val="00EB323B"/>
    <w:rsid w:val="00EB3928"/>
    <w:rsid w:val="00EB3F14"/>
    <w:rsid w:val="00EB4739"/>
    <w:rsid w:val="00EB4BCE"/>
    <w:rsid w:val="00EB547C"/>
    <w:rsid w:val="00EB55A7"/>
    <w:rsid w:val="00EB5C43"/>
    <w:rsid w:val="00EB5DB2"/>
    <w:rsid w:val="00EB5ECF"/>
    <w:rsid w:val="00EB6716"/>
    <w:rsid w:val="00EB7203"/>
    <w:rsid w:val="00EB75D1"/>
    <w:rsid w:val="00EB77E0"/>
    <w:rsid w:val="00EC0954"/>
    <w:rsid w:val="00EC0CA7"/>
    <w:rsid w:val="00EC0D65"/>
    <w:rsid w:val="00EC2E68"/>
    <w:rsid w:val="00EC2F5D"/>
    <w:rsid w:val="00EC439D"/>
    <w:rsid w:val="00EC49A0"/>
    <w:rsid w:val="00EC4C64"/>
    <w:rsid w:val="00EC57F9"/>
    <w:rsid w:val="00EC591E"/>
    <w:rsid w:val="00EC773B"/>
    <w:rsid w:val="00EC7853"/>
    <w:rsid w:val="00EC7DFE"/>
    <w:rsid w:val="00ED04AE"/>
    <w:rsid w:val="00ED071F"/>
    <w:rsid w:val="00ED077C"/>
    <w:rsid w:val="00ED0905"/>
    <w:rsid w:val="00ED1D17"/>
    <w:rsid w:val="00ED28E6"/>
    <w:rsid w:val="00ED2C8F"/>
    <w:rsid w:val="00ED326C"/>
    <w:rsid w:val="00ED33C0"/>
    <w:rsid w:val="00ED399F"/>
    <w:rsid w:val="00ED437E"/>
    <w:rsid w:val="00ED4464"/>
    <w:rsid w:val="00ED480A"/>
    <w:rsid w:val="00ED5244"/>
    <w:rsid w:val="00ED54CA"/>
    <w:rsid w:val="00ED55AD"/>
    <w:rsid w:val="00ED5F63"/>
    <w:rsid w:val="00ED6179"/>
    <w:rsid w:val="00ED6610"/>
    <w:rsid w:val="00ED6A32"/>
    <w:rsid w:val="00ED7B8A"/>
    <w:rsid w:val="00EE05CC"/>
    <w:rsid w:val="00EE1142"/>
    <w:rsid w:val="00EE1489"/>
    <w:rsid w:val="00EE24D3"/>
    <w:rsid w:val="00EE25BE"/>
    <w:rsid w:val="00EE323A"/>
    <w:rsid w:val="00EE36AE"/>
    <w:rsid w:val="00EE36C6"/>
    <w:rsid w:val="00EE4329"/>
    <w:rsid w:val="00EE47B3"/>
    <w:rsid w:val="00EE4CF0"/>
    <w:rsid w:val="00EE50A4"/>
    <w:rsid w:val="00EE521D"/>
    <w:rsid w:val="00EE55EE"/>
    <w:rsid w:val="00EE567C"/>
    <w:rsid w:val="00EE6048"/>
    <w:rsid w:val="00EE61CA"/>
    <w:rsid w:val="00EE6274"/>
    <w:rsid w:val="00EE6632"/>
    <w:rsid w:val="00EE6784"/>
    <w:rsid w:val="00EE678B"/>
    <w:rsid w:val="00EE6AA1"/>
    <w:rsid w:val="00EE708C"/>
    <w:rsid w:val="00EE70D9"/>
    <w:rsid w:val="00EF028F"/>
    <w:rsid w:val="00EF04C4"/>
    <w:rsid w:val="00EF1072"/>
    <w:rsid w:val="00EF146E"/>
    <w:rsid w:val="00EF1621"/>
    <w:rsid w:val="00EF199D"/>
    <w:rsid w:val="00EF1B03"/>
    <w:rsid w:val="00EF203E"/>
    <w:rsid w:val="00EF2DB4"/>
    <w:rsid w:val="00EF2E4C"/>
    <w:rsid w:val="00EF3082"/>
    <w:rsid w:val="00EF32DC"/>
    <w:rsid w:val="00EF3AA0"/>
    <w:rsid w:val="00EF3D89"/>
    <w:rsid w:val="00EF3F0B"/>
    <w:rsid w:val="00EF47B2"/>
    <w:rsid w:val="00EF4A68"/>
    <w:rsid w:val="00EF4E6A"/>
    <w:rsid w:val="00EF51E7"/>
    <w:rsid w:val="00EF5221"/>
    <w:rsid w:val="00EF6221"/>
    <w:rsid w:val="00EF635B"/>
    <w:rsid w:val="00EF66D7"/>
    <w:rsid w:val="00EF6BDA"/>
    <w:rsid w:val="00EF6CEE"/>
    <w:rsid w:val="00EF7900"/>
    <w:rsid w:val="00EF7932"/>
    <w:rsid w:val="00EF7B63"/>
    <w:rsid w:val="00EF7C1C"/>
    <w:rsid w:val="00EF7CCD"/>
    <w:rsid w:val="00EF7F55"/>
    <w:rsid w:val="00F006CD"/>
    <w:rsid w:val="00F00C2C"/>
    <w:rsid w:val="00F0142A"/>
    <w:rsid w:val="00F01B06"/>
    <w:rsid w:val="00F01E48"/>
    <w:rsid w:val="00F029CD"/>
    <w:rsid w:val="00F03016"/>
    <w:rsid w:val="00F03250"/>
    <w:rsid w:val="00F03746"/>
    <w:rsid w:val="00F03BEE"/>
    <w:rsid w:val="00F03C8C"/>
    <w:rsid w:val="00F0450A"/>
    <w:rsid w:val="00F04A8E"/>
    <w:rsid w:val="00F05068"/>
    <w:rsid w:val="00F05D0E"/>
    <w:rsid w:val="00F06659"/>
    <w:rsid w:val="00F0671C"/>
    <w:rsid w:val="00F0680F"/>
    <w:rsid w:val="00F074C1"/>
    <w:rsid w:val="00F07991"/>
    <w:rsid w:val="00F10146"/>
    <w:rsid w:val="00F1044D"/>
    <w:rsid w:val="00F107E9"/>
    <w:rsid w:val="00F11057"/>
    <w:rsid w:val="00F1169B"/>
    <w:rsid w:val="00F119EF"/>
    <w:rsid w:val="00F12536"/>
    <w:rsid w:val="00F12D1A"/>
    <w:rsid w:val="00F14B21"/>
    <w:rsid w:val="00F14F09"/>
    <w:rsid w:val="00F150B3"/>
    <w:rsid w:val="00F15207"/>
    <w:rsid w:val="00F15504"/>
    <w:rsid w:val="00F15751"/>
    <w:rsid w:val="00F15A3A"/>
    <w:rsid w:val="00F164C9"/>
    <w:rsid w:val="00F16871"/>
    <w:rsid w:val="00F16F23"/>
    <w:rsid w:val="00F1774F"/>
    <w:rsid w:val="00F17AD0"/>
    <w:rsid w:val="00F17B19"/>
    <w:rsid w:val="00F17FD4"/>
    <w:rsid w:val="00F21272"/>
    <w:rsid w:val="00F22F9F"/>
    <w:rsid w:val="00F23690"/>
    <w:rsid w:val="00F243E5"/>
    <w:rsid w:val="00F24A44"/>
    <w:rsid w:val="00F2503E"/>
    <w:rsid w:val="00F25C7A"/>
    <w:rsid w:val="00F25EA4"/>
    <w:rsid w:val="00F263F0"/>
    <w:rsid w:val="00F26890"/>
    <w:rsid w:val="00F26D78"/>
    <w:rsid w:val="00F26DAA"/>
    <w:rsid w:val="00F272F8"/>
    <w:rsid w:val="00F27ECA"/>
    <w:rsid w:val="00F30C47"/>
    <w:rsid w:val="00F31664"/>
    <w:rsid w:val="00F31DF3"/>
    <w:rsid w:val="00F32319"/>
    <w:rsid w:val="00F33891"/>
    <w:rsid w:val="00F33F12"/>
    <w:rsid w:val="00F342D9"/>
    <w:rsid w:val="00F3573D"/>
    <w:rsid w:val="00F367C2"/>
    <w:rsid w:val="00F36881"/>
    <w:rsid w:val="00F36B67"/>
    <w:rsid w:val="00F402F5"/>
    <w:rsid w:val="00F4057A"/>
    <w:rsid w:val="00F41AE7"/>
    <w:rsid w:val="00F42509"/>
    <w:rsid w:val="00F425AB"/>
    <w:rsid w:val="00F43119"/>
    <w:rsid w:val="00F44772"/>
    <w:rsid w:val="00F45C2B"/>
    <w:rsid w:val="00F46494"/>
    <w:rsid w:val="00F46779"/>
    <w:rsid w:val="00F46E1E"/>
    <w:rsid w:val="00F47116"/>
    <w:rsid w:val="00F477F0"/>
    <w:rsid w:val="00F47870"/>
    <w:rsid w:val="00F47F85"/>
    <w:rsid w:val="00F50197"/>
    <w:rsid w:val="00F51C1E"/>
    <w:rsid w:val="00F522DF"/>
    <w:rsid w:val="00F52474"/>
    <w:rsid w:val="00F52A3F"/>
    <w:rsid w:val="00F52E57"/>
    <w:rsid w:val="00F533FF"/>
    <w:rsid w:val="00F538A3"/>
    <w:rsid w:val="00F53904"/>
    <w:rsid w:val="00F53A8B"/>
    <w:rsid w:val="00F53FF2"/>
    <w:rsid w:val="00F54135"/>
    <w:rsid w:val="00F54178"/>
    <w:rsid w:val="00F549BC"/>
    <w:rsid w:val="00F55BA1"/>
    <w:rsid w:val="00F55D76"/>
    <w:rsid w:val="00F56540"/>
    <w:rsid w:val="00F6060C"/>
    <w:rsid w:val="00F609CC"/>
    <w:rsid w:val="00F61246"/>
    <w:rsid w:val="00F613AF"/>
    <w:rsid w:val="00F618EF"/>
    <w:rsid w:val="00F62699"/>
    <w:rsid w:val="00F632FE"/>
    <w:rsid w:val="00F637EB"/>
    <w:rsid w:val="00F638F1"/>
    <w:rsid w:val="00F64279"/>
    <w:rsid w:val="00F650CB"/>
    <w:rsid w:val="00F65823"/>
    <w:rsid w:val="00F659E7"/>
    <w:rsid w:val="00F660E3"/>
    <w:rsid w:val="00F66402"/>
    <w:rsid w:val="00F673B1"/>
    <w:rsid w:val="00F67797"/>
    <w:rsid w:val="00F67FA3"/>
    <w:rsid w:val="00F702E4"/>
    <w:rsid w:val="00F70312"/>
    <w:rsid w:val="00F7059A"/>
    <w:rsid w:val="00F7148A"/>
    <w:rsid w:val="00F720DA"/>
    <w:rsid w:val="00F7221A"/>
    <w:rsid w:val="00F72F17"/>
    <w:rsid w:val="00F73485"/>
    <w:rsid w:val="00F736BC"/>
    <w:rsid w:val="00F74C44"/>
    <w:rsid w:val="00F7572C"/>
    <w:rsid w:val="00F75F29"/>
    <w:rsid w:val="00F76313"/>
    <w:rsid w:val="00F76A30"/>
    <w:rsid w:val="00F77A77"/>
    <w:rsid w:val="00F80759"/>
    <w:rsid w:val="00F80A43"/>
    <w:rsid w:val="00F80E39"/>
    <w:rsid w:val="00F80FA8"/>
    <w:rsid w:val="00F816A5"/>
    <w:rsid w:val="00F81789"/>
    <w:rsid w:val="00F81B4E"/>
    <w:rsid w:val="00F82130"/>
    <w:rsid w:val="00F822C5"/>
    <w:rsid w:val="00F83668"/>
    <w:rsid w:val="00F836E2"/>
    <w:rsid w:val="00F83CF7"/>
    <w:rsid w:val="00F84030"/>
    <w:rsid w:val="00F84039"/>
    <w:rsid w:val="00F851EF"/>
    <w:rsid w:val="00F86123"/>
    <w:rsid w:val="00F86A88"/>
    <w:rsid w:val="00F874B4"/>
    <w:rsid w:val="00F87B9F"/>
    <w:rsid w:val="00F90378"/>
    <w:rsid w:val="00F907FB"/>
    <w:rsid w:val="00F90BAA"/>
    <w:rsid w:val="00F91B9A"/>
    <w:rsid w:val="00F92490"/>
    <w:rsid w:val="00F92D35"/>
    <w:rsid w:val="00F939F8"/>
    <w:rsid w:val="00F94A51"/>
    <w:rsid w:val="00F94D63"/>
    <w:rsid w:val="00F9687A"/>
    <w:rsid w:val="00F96A4D"/>
    <w:rsid w:val="00F97509"/>
    <w:rsid w:val="00F9754E"/>
    <w:rsid w:val="00F97C6B"/>
    <w:rsid w:val="00F97FBB"/>
    <w:rsid w:val="00FA0B4F"/>
    <w:rsid w:val="00FA0C6A"/>
    <w:rsid w:val="00FA10C8"/>
    <w:rsid w:val="00FA1276"/>
    <w:rsid w:val="00FA1277"/>
    <w:rsid w:val="00FA1C78"/>
    <w:rsid w:val="00FA26E1"/>
    <w:rsid w:val="00FA27A8"/>
    <w:rsid w:val="00FA354A"/>
    <w:rsid w:val="00FA3667"/>
    <w:rsid w:val="00FA3F60"/>
    <w:rsid w:val="00FA4029"/>
    <w:rsid w:val="00FA460F"/>
    <w:rsid w:val="00FA4E7E"/>
    <w:rsid w:val="00FA5ADB"/>
    <w:rsid w:val="00FA7296"/>
    <w:rsid w:val="00FA7801"/>
    <w:rsid w:val="00FA7EAB"/>
    <w:rsid w:val="00FB0586"/>
    <w:rsid w:val="00FB0D9F"/>
    <w:rsid w:val="00FB10A0"/>
    <w:rsid w:val="00FB1AE1"/>
    <w:rsid w:val="00FB1B64"/>
    <w:rsid w:val="00FB2155"/>
    <w:rsid w:val="00FB3224"/>
    <w:rsid w:val="00FB41C7"/>
    <w:rsid w:val="00FB47E3"/>
    <w:rsid w:val="00FB495D"/>
    <w:rsid w:val="00FB4ACC"/>
    <w:rsid w:val="00FB4B75"/>
    <w:rsid w:val="00FB4BA3"/>
    <w:rsid w:val="00FB4DC6"/>
    <w:rsid w:val="00FB4FDC"/>
    <w:rsid w:val="00FB62B9"/>
    <w:rsid w:val="00FB637A"/>
    <w:rsid w:val="00FB6C63"/>
    <w:rsid w:val="00FB6CC5"/>
    <w:rsid w:val="00FB7131"/>
    <w:rsid w:val="00FB72AC"/>
    <w:rsid w:val="00FB7307"/>
    <w:rsid w:val="00FB7ECE"/>
    <w:rsid w:val="00FC0BC0"/>
    <w:rsid w:val="00FC1EC1"/>
    <w:rsid w:val="00FC2A3A"/>
    <w:rsid w:val="00FC3DFA"/>
    <w:rsid w:val="00FC46A3"/>
    <w:rsid w:val="00FC476E"/>
    <w:rsid w:val="00FC4FD9"/>
    <w:rsid w:val="00FC551B"/>
    <w:rsid w:val="00FC5D46"/>
    <w:rsid w:val="00FC65E9"/>
    <w:rsid w:val="00FC661B"/>
    <w:rsid w:val="00FC6E97"/>
    <w:rsid w:val="00FC7298"/>
    <w:rsid w:val="00FD0C62"/>
    <w:rsid w:val="00FD1011"/>
    <w:rsid w:val="00FD127D"/>
    <w:rsid w:val="00FD1757"/>
    <w:rsid w:val="00FD1BD4"/>
    <w:rsid w:val="00FD2044"/>
    <w:rsid w:val="00FD2D66"/>
    <w:rsid w:val="00FD30A3"/>
    <w:rsid w:val="00FD32C6"/>
    <w:rsid w:val="00FD32DB"/>
    <w:rsid w:val="00FD33FF"/>
    <w:rsid w:val="00FD3567"/>
    <w:rsid w:val="00FD4CF8"/>
    <w:rsid w:val="00FD5146"/>
    <w:rsid w:val="00FD52A0"/>
    <w:rsid w:val="00FD583D"/>
    <w:rsid w:val="00FD5997"/>
    <w:rsid w:val="00FD6AD9"/>
    <w:rsid w:val="00FD7C9E"/>
    <w:rsid w:val="00FE0128"/>
    <w:rsid w:val="00FE07FC"/>
    <w:rsid w:val="00FE0C9C"/>
    <w:rsid w:val="00FE1500"/>
    <w:rsid w:val="00FE161B"/>
    <w:rsid w:val="00FE19EE"/>
    <w:rsid w:val="00FE1B03"/>
    <w:rsid w:val="00FE1BFD"/>
    <w:rsid w:val="00FE21C1"/>
    <w:rsid w:val="00FE257E"/>
    <w:rsid w:val="00FE2900"/>
    <w:rsid w:val="00FE2F05"/>
    <w:rsid w:val="00FE37A9"/>
    <w:rsid w:val="00FE3F2D"/>
    <w:rsid w:val="00FE44B8"/>
    <w:rsid w:val="00FE47C2"/>
    <w:rsid w:val="00FE49EF"/>
    <w:rsid w:val="00FE49F9"/>
    <w:rsid w:val="00FE4B7D"/>
    <w:rsid w:val="00FE5121"/>
    <w:rsid w:val="00FE52E8"/>
    <w:rsid w:val="00FE5AA3"/>
    <w:rsid w:val="00FE67E3"/>
    <w:rsid w:val="00FE6A61"/>
    <w:rsid w:val="00FE6D52"/>
    <w:rsid w:val="00FE74B3"/>
    <w:rsid w:val="00FE74C7"/>
    <w:rsid w:val="00FE7768"/>
    <w:rsid w:val="00FF0761"/>
    <w:rsid w:val="00FF07B0"/>
    <w:rsid w:val="00FF09C3"/>
    <w:rsid w:val="00FF0CF6"/>
    <w:rsid w:val="00FF1804"/>
    <w:rsid w:val="00FF1A2D"/>
    <w:rsid w:val="00FF1B38"/>
    <w:rsid w:val="00FF1CEF"/>
    <w:rsid w:val="00FF24BF"/>
    <w:rsid w:val="00FF3814"/>
    <w:rsid w:val="00FF3963"/>
    <w:rsid w:val="00FF3AFF"/>
    <w:rsid w:val="00FF3C13"/>
    <w:rsid w:val="00FF3C32"/>
    <w:rsid w:val="00FF3F26"/>
    <w:rsid w:val="00FF4667"/>
    <w:rsid w:val="00FF4D75"/>
    <w:rsid w:val="00FF5445"/>
    <w:rsid w:val="00FF55C1"/>
    <w:rsid w:val="00FF6357"/>
    <w:rsid w:val="00FF6644"/>
    <w:rsid w:val="00FF7534"/>
    <w:rsid w:val="00FF76AD"/>
    <w:rsid w:val="00FF7976"/>
    <w:rsid w:val="00FF7B8A"/>
    <w:rsid w:val="00FF7D1F"/>
    <w:rsid w:val="00FF7D5A"/>
    <w:rsid w:val="00FF7D96"/>
    <w:rsid w:val="022D9212"/>
    <w:rsid w:val="063BDBF3"/>
    <w:rsid w:val="077FEC0F"/>
    <w:rsid w:val="083CC6A4"/>
    <w:rsid w:val="08E064A7"/>
    <w:rsid w:val="0B563826"/>
    <w:rsid w:val="0E1B1F46"/>
    <w:rsid w:val="0E2EF983"/>
    <w:rsid w:val="1071DB33"/>
    <w:rsid w:val="11F81682"/>
    <w:rsid w:val="1447DCEB"/>
    <w:rsid w:val="1486746B"/>
    <w:rsid w:val="14ECCEBE"/>
    <w:rsid w:val="15C2C09D"/>
    <w:rsid w:val="15E6326A"/>
    <w:rsid w:val="17741CDB"/>
    <w:rsid w:val="185A9A8B"/>
    <w:rsid w:val="19FC1B55"/>
    <w:rsid w:val="1B2FBB4B"/>
    <w:rsid w:val="1B836D0B"/>
    <w:rsid w:val="1D5F21E5"/>
    <w:rsid w:val="22316A93"/>
    <w:rsid w:val="2384FDD3"/>
    <w:rsid w:val="262E894D"/>
    <w:rsid w:val="27E31D64"/>
    <w:rsid w:val="27F31EB3"/>
    <w:rsid w:val="29C5D15F"/>
    <w:rsid w:val="2B33C4C5"/>
    <w:rsid w:val="334484B8"/>
    <w:rsid w:val="367EDEC9"/>
    <w:rsid w:val="37EF2899"/>
    <w:rsid w:val="397D8ED7"/>
    <w:rsid w:val="3C6ED6E9"/>
    <w:rsid w:val="3ECC0B2A"/>
    <w:rsid w:val="42961498"/>
    <w:rsid w:val="435ADDAE"/>
    <w:rsid w:val="47726F60"/>
    <w:rsid w:val="4C601C8D"/>
    <w:rsid w:val="4FE97834"/>
    <w:rsid w:val="502EC2B7"/>
    <w:rsid w:val="56BC2B41"/>
    <w:rsid w:val="5803DC62"/>
    <w:rsid w:val="5825A46D"/>
    <w:rsid w:val="5A1467D8"/>
    <w:rsid w:val="5BF4C569"/>
    <w:rsid w:val="5C7F0D56"/>
    <w:rsid w:val="5ED8B983"/>
    <w:rsid w:val="5F2EFAF9"/>
    <w:rsid w:val="5F3A9CF5"/>
    <w:rsid w:val="6089DD70"/>
    <w:rsid w:val="645BBFF8"/>
    <w:rsid w:val="66F9B66C"/>
    <w:rsid w:val="67AE76BD"/>
    <w:rsid w:val="68921BBB"/>
    <w:rsid w:val="691E899F"/>
    <w:rsid w:val="6A468E14"/>
    <w:rsid w:val="71D27758"/>
    <w:rsid w:val="7320C7AF"/>
    <w:rsid w:val="750FD996"/>
    <w:rsid w:val="75C7299D"/>
    <w:rsid w:val="766FC3EB"/>
    <w:rsid w:val="7E18C1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231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sz w:val="22"/>
        <w:szCs w:val="22"/>
        <w:lang w:val="en-AU" w:eastAsia="en-AU" w:bidi="ar-SA"/>
      </w:rPr>
    </w:rPrDefault>
    <w:pPrDefault>
      <w:pPr>
        <w:spacing w:line="264"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lsdException w:name="heading 7" w:semiHidden="1" w:unhideWhenUsed="1"/>
    <w:lsdException w:name="heading 8" w:semiHidden="1" w:uiPriority="3"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lsdException w:name="Emphasis" w:uiPriority="14"/>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60E3"/>
  </w:style>
  <w:style w:type="paragraph" w:styleId="Heading1">
    <w:name w:val="heading 1"/>
    <w:basedOn w:val="Normal"/>
    <w:next w:val="BodyText"/>
    <w:link w:val="Heading1Char"/>
    <w:qFormat/>
    <w:rsid w:val="007E6584"/>
    <w:pPr>
      <w:keepNext/>
      <w:keepLines/>
      <w:numPr>
        <w:numId w:val="11"/>
      </w:numPr>
      <w:spacing w:before="240" w:after="240"/>
      <w:outlineLvl w:val="0"/>
    </w:pPr>
    <w:rPr>
      <w:rFonts w:asciiTheme="majorHAnsi" w:eastAsiaTheme="minorEastAsia" w:hAnsiTheme="majorHAnsi" w:cstheme="majorBidi"/>
      <w:b/>
      <w:bCs/>
      <w:color w:val="214C90" w:themeColor="text2"/>
      <w:sz w:val="24"/>
      <w:szCs w:val="32"/>
    </w:rPr>
  </w:style>
  <w:style w:type="paragraph" w:styleId="Heading2">
    <w:name w:val="heading 2"/>
    <w:basedOn w:val="Normal"/>
    <w:next w:val="BodyText"/>
    <w:link w:val="Heading2Char"/>
    <w:qFormat/>
    <w:rsid w:val="007E6584"/>
    <w:pPr>
      <w:keepNext/>
      <w:keepLines/>
      <w:numPr>
        <w:ilvl w:val="1"/>
        <w:numId w:val="11"/>
      </w:numPr>
      <w:spacing w:before="360" w:after="240"/>
      <w:outlineLvl w:val="1"/>
    </w:pPr>
    <w:rPr>
      <w:rFonts w:asciiTheme="majorHAnsi" w:eastAsiaTheme="majorEastAsia" w:hAnsiTheme="majorHAnsi" w:cstheme="majorBidi"/>
      <w:b/>
      <w:bCs/>
      <w:color w:val="214C90" w:themeColor="accent1"/>
      <w:szCs w:val="26"/>
    </w:rPr>
  </w:style>
  <w:style w:type="paragraph" w:styleId="Heading3">
    <w:name w:val="heading 3"/>
    <w:basedOn w:val="Normal"/>
    <w:next w:val="BodyText"/>
    <w:link w:val="Heading3Char"/>
    <w:qFormat/>
    <w:rsid w:val="007E6584"/>
    <w:pPr>
      <w:keepNext/>
      <w:keepLines/>
      <w:numPr>
        <w:ilvl w:val="2"/>
        <w:numId w:val="11"/>
      </w:numPr>
      <w:spacing w:before="360" w:after="240"/>
      <w:contextualSpacing/>
      <w:outlineLvl w:val="2"/>
    </w:pPr>
    <w:rPr>
      <w:rFonts w:asciiTheme="majorHAnsi" w:eastAsiaTheme="majorEastAsia" w:hAnsiTheme="majorHAnsi" w:cstheme="majorBidi"/>
      <w:b/>
      <w:bCs/>
      <w:color w:val="214C90" w:themeColor="accent1"/>
    </w:rPr>
  </w:style>
  <w:style w:type="paragraph" w:styleId="Heading4">
    <w:name w:val="heading 4"/>
    <w:basedOn w:val="Normal"/>
    <w:next w:val="BodyText"/>
    <w:link w:val="Heading4Char"/>
    <w:qFormat/>
    <w:rsid w:val="007E6584"/>
    <w:pPr>
      <w:keepNext/>
      <w:keepLines/>
      <w:numPr>
        <w:ilvl w:val="3"/>
        <w:numId w:val="11"/>
      </w:numPr>
      <w:spacing w:before="360" w:after="240"/>
      <w:outlineLvl w:val="3"/>
    </w:pPr>
    <w:rPr>
      <w:rFonts w:asciiTheme="majorHAnsi" w:eastAsiaTheme="majorEastAsia" w:hAnsiTheme="majorHAnsi" w:cstheme="majorBidi"/>
      <w:b/>
      <w:bCs/>
      <w:i/>
      <w:iCs/>
      <w:color w:val="214C90" w:themeColor="text2"/>
    </w:rPr>
  </w:style>
  <w:style w:type="paragraph" w:styleId="Heading5">
    <w:name w:val="heading 5"/>
    <w:basedOn w:val="Normal"/>
    <w:next w:val="Normal"/>
    <w:link w:val="Heading5Char"/>
    <w:semiHidden/>
    <w:qFormat/>
    <w:rsid w:val="00BD348A"/>
    <w:pPr>
      <w:keepNext/>
      <w:keepLines/>
      <w:numPr>
        <w:ilvl w:val="4"/>
        <w:numId w:val="11"/>
      </w:numPr>
      <w:spacing w:before="360" w:after="240"/>
      <w:outlineLvl w:val="4"/>
    </w:pPr>
    <w:rPr>
      <w:rFonts w:asciiTheme="majorHAnsi" w:eastAsiaTheme="majorEastAsia" w:hAnsiTheme="majorHAnsi" w:cstheme="majorBidi"/>
      <w:i/>
      <w:color w:val="214C90" w:themeColor="text2"/>
    </w:rPr>
  </w:style>
  <w:style w:type="paragraph" w:styleId="Heading6">
    <w:name w:val="heading 6"/>
    <w:basedOn w:val="Normal"/>
    <w:next w:val="BodyText"/>
    <w:link w:val="Heading6Char"/>
    <w:semiHidden/>
    <w:rsid w:val="00BD348A"/>
    <w:pPr>
      <w:keepNext/>
      <w:keepLines/>
      <w:spacing w:before="240" w:after="120"/>
      <w:outlineLvl w:val="5"/>
    </w:pPr>
    <w:rPr>
      <w:rFonts w:asciiTheme="majorHAnsi" w:eastAsiaTheme="majorEastAsia" w:hAnsiTheme="majorHAnsi" w:cstheme="majorBidi"/>
      <w:b/>
      <w:iCs/>
      <w:color w:val="214C90" w:themeColor="text2"/>
      <w:lang w:eastAsia="en-US"/>
    </w:rPr>
  </w:style>
  <w:style w:type="paragraph" w:styleId="Heading7">
    <w:name w:val="heading 7"/>
    <w:basedOn w:val="Normal"/>
    <w:next w:val="BodyText"/>
    <w:link w:val="Heading7Char"/>
    <w:semiHidden/>
    <w:rsid w:val="007E6584"/>
    <w:pPr>
      <w:keepNext/>
      <w:keepLines/>
      <w:pageBreakBefore/>
      <w:spacing w:before="120" w:after="120"/>
      <w:outlineLvl w:val="6"/>
    </w:pPr>
    <w:rPr>
      <w:rFonts w:asciiTheme="majorHAnsi" w:eastAsiaTheme="majorEastAsia" w:hAnsiTheme="majorHAnsi" w:cstheme="majorBidi"/>
      <w:b/>
      <w:iCs/>
      <w:color w:val="214C90" w:themeColor="text2"/>
    </w:rPr>
  </w:style>
  <w:style w:type="paragraph" w:styleId="Heading8">
    <w:name w:val="heading 8"/>
    <w:basedOn w:val="Normal"/>
    <w:next w:val="BodyText"/>
    <w:link w:val="Heading8Char"/>
    <w:uiPriority w:val="3"/>
    <w:semiHidden/>
    <w:qFormat/>
    <w:rsid w:val="007E6584"/>
    <w:pPr>
      <w:keepNext/>
      <w:keepLines/>
      <w:pageBreakBefore/>
      <w:tabs>
        <w:tab w:val="right" w:pos="9639"/>
      </w:tabs>
      <w:spacing w:after="120"/>
      <w:outlineLvl w:val="7"/>
    </w:pPr>
    <w:rPr>
      <w:rFonts w:asciiTheme="majorHAnsi" w:eastAsiaTheme="majorEastAsia" w:hAnsiTheme="majorHAnsi" w:cstheme="majorBidi"/>
      <w:caps/>
      <w:color w:val="214C90" w:themeColor="text2"/>
      <w:sz w:val="28"/>
      <w:lang w:eastAsia="en-US"/>
    </w:rPr>
  </w:style>
  <w:style w:type="paragraph" w:styleId="Heading9">
    <w:name w:val="heading 9"/>
    <w:aliases w:val="Appendix Heading 1"/>
    <w:basedOn w:val="Normal"/>
    <w:next w:val="BodyText"/>
    <w:link w:val="Heading9Char"/>
    <w:rsid w:val="007E6584"/>
    <w:pPr>
      <w:keepNext/>
      <w:keepLines/>
      <w:pageBreakBefore/>
      <w:numPr>
        <w:numId w:val="10"/>
      </w:numPr>
      <w:spacing w:before="240" w:after="240"/>
      <w:outlineLvl w:val="8"/>
    </w:pPr>
    <w:rPr>
      <w:rFonts w:asciiTheme="majorHAnsi" w:eastAsiaTheme="minorEastAsia" w:hAnsiTheme="majorHAnsi" w:cs="Arial"/>
      <w:b/>
      <w:color w:val="214C90" w:themeColor="text2"/>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ldHeading">
    <w:name w:val="Bold Heading"/>
    <w:basedOn w:val="Normal"/>
    <w:rsid w:val="00A67EB1"/>
    <w:pPr>
      <w:spacing w:before="240" w:after="120"/>
    </w:pPr>
    <w:rPr>
      <w:b/>
    </w:rPr>
  </w:style>
  <w:style w:type="paragraph" w:customStyle="1" w:styleId="Image">
    <w:name w:val="Image"/>
    <w:basedOn w:val="Normal"/>
    <w:next w:val="BodyText"/>
    <w:rsid w:val="00965A70"/>
    <w:pPr>
      <w:keepNext/>
    </w:pPr>
  </w:style>
  <w:style w:type="paragraph" w:styleId="BodyText">
    <w:name w:val="Body Text"/>
    <w:basedOn w:val="Normal"/>
    <w:link w:val="BodyTextChar"/>
    <w:qFormat/>
    <w:rsid w:val="0087183B"/>
    <w:pPr>
      <w:tabs>
        <w:tab w:val="left" w:pos="2268"/>
        <w:tab w:val="left" w:pos="4536"/>
        <w:tab w:val="left" w:pos="6804"/>
        <w:tab w:val="right" w:pos="9638"/>
      </w:tabs>
      <w:spacing w:before="240" w:after="120"/>
    </w:pPr>
    <w:rPr>
      <w:rFonts w:ascii="Arial" w:hAnsi="Arial"/>
    </w:rPr>
  </w:style>
  <w:style w:type="character" w:customStyle="1" w:styleId="BodyTextChar">
    <w:name w:val="Body Text Char"/>
    <w:basedOn w:val="DefaultParagraphFont"/>
    <w:link w:val="BodyText"/>
    <w:rsid w:val="0087183B"/>
    <w:rPr>
      <w:rFonts w:ascii="Arial" w:hAnsi="Arial"/>
    </w:rPr>
  </w:style>
  <w:style w:type="paragraph" w:styleId="BlockText">
    <w:name w:val="Block Text"/>
    <w:basedOn w:val="BodyText"/>
    <w:semiHidden/>
    <w:unhideWhenUsed/>
    <w:rsid w:val="00EF3AA0"/>
    <w:rPr>
      <w:rFonts w:eastAsiaTheme="minorEastAsia" w:cstheme="minorBidi"/>
      <w:iCs/>
    </w:rPr>
  </w:style>
  <w:style w:type="paragraph" w:styleId="Caption">
    <w:name w:val="caption"/>
    <w:basedOn w:val="Normal"/>
    <w:next w:val="BodyText"/>
    <w:link w:val="CaptionChar"/>
    <w:qFormat/>
    <w:rsid w:val="00C93C07"/>
    <w:pPr>
      <w:keepNext/>
      <w:keepLines/>
      <w:spacing w:before="240" w:after="120"/>
    </w:pPr>
    <w:rPr>
      <w:rFonts w:eastAsiaTheme="minorHAnsi" w:cstheme="minorBidi"/>
      <w:b/>
      <w:bCs/>
      <w:lang w:eastAsia="fr-CA"/>
    </w:rPr>
  </w:style>
  <w:style w:type="paragraph" w:styleId="BalloonText">
    <w:name w:val="Balloon Text"/>
    <w:basedOn w:val="Normal"/>
    <w:link w:val="BalloonTextChar"/>
    <w:uiPriority w:val="99"/>
    <w:semiHidden/>
    <w:unhideWhenUsed/>
    <w:rsid w:val="005542F9"/>
    <w:rPr>
      <w:rFonts w:ascii="Tahoma" w:hAnsi="Tahoma" w:cs="Tahoma"/>
      <w:sz w:val="16"/>
      <w:szCs w:val="16"/>
    </w:rPr>
  </w:style>
  <w:style w:type="paragraph" w:styleId="TOCHeading">
    <w:name w:val="TOC Heading"/>
    <w:next w:val="Normal"/>
    <w:uiPriority w:val="39"/>
    <w:unhideWhenUsed/>
    <w:qFormat/>
    <w:rsid w:val="0044504D"/>
    <w:pPr>
      <w:pageBreakBefore/>
      <w:spacing w:after="600" w:line="240" w:lineRule="auto"/>
    </w:pPr>
    <w:rPr>
      <w:rFonts w:asciiTheme="majorHAnsi" w:eastAsiaTheme="minorEastAsia" w:hAnsiTheme="majorHAnsi" w:cstheme="majorBidi"/>
      <w:b/>
      <w:bCs/>
      <w:color w:val="214C90" w:themeColor="text2"/>
      <w:sz w:val="32"/>
      <w:szCs w:val="28"/>
    </w:rPr>
  </w:style>
  <w:style w:type="character" w:customStyle="1" w:styleId="BalloonTextChar">
    <w:name w:val="Balloon Text Char"/>
    <w:basedOn w:val="DefaultParagraphFont"/>
    <w:link w:val="BalloonText"/>
    <w:uiPriority w:val="99"/>
    <w:semiHidden/>
    <w:rsid w:val="00475145"/>
    <w:rPr>
      <w:rFonts w:ascii="Tahoma" w:hAnsi="Tahoma" w:cs="Tahoma"/>
      <w:color w:val="000000" w:themeColor="text1"/>
      <w:sz w:val="16"/>
      <w:szCs w:val="16"/>
    </w:rPr>
  </w:style>
  <w:style w:type="paragraph" w:styleId="Footer">
    <w:name w:val="footer"/>
    <w:basedOn w:val="Normal"/>
    <w:link w:val="FooterChar"/>
    <w:uiPriority w:val="99"/>
    <w:rsid w:val="003E578E"/>
    <w:pPr>
      <w:tabs>
        <w:tab w:val="left" w:pos="1077"/>
        <w:tab w:val="center" w:pos="4320"/>
        <w:tab w:val="right" w:pos="8640"/>
      </w:tabs>
      <w:jc w:val="center"/>
    </w:pPr>
    <w:rPr>
      <w:rFonts w:eastAsia="Cambria" w:cstheme="minorBidi"/>
      <w:sz w:val="18"/>
      <w:lang w:eastAsia="en-US"/>
    </w:rPr>
  </w:style>
  <w:style w:type="character" w:customStyle="1" w:styleId="FooterChar">
    <w:name w:val="Footer Char"/>
    <w:basedOn w:val="DefaultParagraphFont"/>
    <w:link w:val="Footer"/>
    <w:uiPriority w:val="99"/>
    <w:rsid w:val="003E578E"/>
    <w:rPr>
      <w:rFonts w:eastAsia="Cambria" w:cstheme="minorBidi"/>
      <w:sz w:val="18"/>
      <w:lang w:eastAsia="en-US"/>
    </w:rPr>
  </w:style>
  <w:style w:type="numbering" w:customStyle="1" w:styleId="HangingList">
    <w:name w:val="HangingList"/>
    <w:uiPriority w:val="99"/>
    <w:rsid w:val="00DD7311"/>
    <w:pPr>
      <w:numPr>
        <w:numId w:val="1"/>
      </w:numPr>
    </w:pPr>
  </w:style>
  <w:style w:type="paragraph" w:styleId="Header">
    <w:name w:val="header"/>
    <w:basedOn w:val="Normal"/>
    <w:link w:val="HeaderChar"/>
    <w:uiPriority w:val="99"/>
    <w:rsid w:val="00294804"/>
    <w:pPr>
      <w:tabs>
        <w:tab w:val="left" w:pos="7796"/>
      </w:tabs>
    </w:pPr>
    <w:rPr>
      <w:rFonts w:eastAsiaTheme="minorHAnsi" w:cstheme="minorBidi"/>
      <w:sz w:val="18"/>
      <w:lang w:eastAsia="fr-CA"/>
    </w:rPr>
  </w:style>
  <w:style w:type="character" w:customStyle="1" w:styleId="HeaderChar">
    <w:name w:val="Header Char"/>
    <w:basedOn w:val="DefaultParagraphFont"/>
    <w:link w:val="Header"/>
    <w:uiPriority w:val="99"/>
    <w:rsid w:val="00294804"/>
    <w:rPr>
      <w:rFonts w:eastAsiaTheme="minorHAnsi" w:cstheme="minorBidi"/>
      <w:sz w:val="18"/>
      <w:lang w:eastAsia="fr-CA"/>
    </w:rPr>
  </w:style>
  <w:style w:type="paragraph" w:customStyle="1" w:styleId="AppendixHeading2">
    <w:name w:val="Appendix Heading 2"/>
    <w:basedOn w:val="Normal"/>
    <w:next w:val="BodyText"/>
    <w:uiPriority w:val="4"/>
    <w:rsid w:val="007E6584"/>
    <w:pPr>
      <w:keepNext/>
      <w:numPr>
        <w:ilvl w:val="1"/>
        <w:numId w:val="10"/>
      </w:numPr>
      <w:spacing w:before="360" w:after="240"/>
    </w:pPr>
    <w:rPr>
      <w:rFonts w:asciiTheme="majorHAnsi" w:eastAsiaTheme="minorEastAsia" w:hAnsiTheme="majorHAnsi"/>
      <w:b/>
      <w:color w:val="214C90" w:themeColor="text2"/>
      <w:lang w:eastAsia="en-US"/>
    </w:rPr>
  </w:style>
  <w:style w:type="paragraph" w:customStyle="1" w:styleId="AppendixHeading3">
    <w:name w:val="Appendix Heading 3"/>
    <w:basedOn w:val="Normal"/>
    <w:next w:val="BodyText"/>
    <w:uiPriority w:val="4"/>
    <w:rsid w:val="007E6584"/>
    <w:pPr>
      <w:keepNext/>
      <w:numPr>
        <w:ilvl w:val="2"/>
        <w:numId w:val="10"/>
      </w:numPr>
      <w:tabs>
        <w:tab w:val="left" w:pos="1559"/>
        <w:tab w:val="left" w:pos="1843"/>
        <w:tab w:val="left" w:pos="2126"/>
        <w:tab w:val="left" w:pos="2410"/>
        <w:tab w:val="left" w:pos="6804"/>
        <w:tab w:val="right" w:pos="9639"/>
      </w:tabs>
      <w:spacing w:before="360" w:after="240"/>
    </w:pPr>
    <w:rPr>
      <w:rFonts w:asciiTheme="majorHAnsi" w:hAnsiTheme="majorHAnsi"/>
      <w:b/>
      <w:color w:val="214C90" w:themeColor="text2"/>
      <w:lang w:eastAsia="en-US"/>
    </w:rPr>
  </w:style>
  <w:style w:type="character" w:customStyle="1" w:styleId="Italics">
    <w:name w:val="Italics"/>
    <w:uiPriority w:val="1"/>
    <w:rsid w:val="00566E04"/>
    <w:rPr>
      <w:i/>
      <w:lang w:eastAsia="en-US"/>
    </w:rPr>
  </w:style>
  <w:style w:type="character" w:customStyle="1" w:styleId="Heading1Char">
    <w:name w:val="Heading 1 Char"/>
    <w:basedOn w:val="DefaultParagraphFont"/>
    <w:link w:val="Heading1"/>
    <w:rsid w:val="007E6584"/>
    <w:rPr>
      <w:rFonts w:asciiTheme="majorHAnsi" w:eastAsiaTheme="minorEastAsia" w:hAnsiTheme="majorHAnsi" w:cstheme="majorBidi"/>
      <w:b/>
      <w:bCs/>
      <w:color w:val="214C90" w:themeColor="text2"/>
      <w:sz w:val="24"/>
      <w:szCs w:val="32"/>
    </w:rPr>
  </w:style>
  <w:style w:type="character" w:customStyle="1" w:styleId="Heading2Char">
    <w:name w:val="Heading 2 Char"/>
    <w:basedOn w:val="DefaultParagraphFont"/>
    <w:link w:val="Heading2"/>
    <w:rsid w:val="007E6584"/>
    <w:rPr>
      <w:rFonts w:asciiTheme="majorHAnsi" w:eastAsiaTheme="majorEastAsia" w:hAnsiTheme="majorHAnsi" w:cstheme="majorBidi"/>
      <w:b/>
      <w:bCs/>
      <w:color w:val="214C90" w:themeColor="accent1"/>
      <w:szCs w:val="26"/>
    </w:rPr>
  </w:style>
  <w:style w:type="character" w:customStyle="1" w:styleId="Heading3Char">
    <w:name w:val="Heading 3 Char"/>
    <w:basedOn w:val="DefaultParagraphFont"/>
    <w:link w:val="Heading3"/>
    <w:rsid w:val="007E6584"/>
    <w:rPr>
      <w:rFonts w:asciiTheme="majorHAnsi" w:eastAsiaTheme="majorEastAsia" w:hAnsiTheme="majorHAnsi" w:cstheme="majorBidi"/>
      <w:b/>
      <w:bCs/>
      <w:color w:val="214C90" w:themeColor="accent1"/>
    </w:rPr>
  </w:style>
  <w:style w:type="character" w:customStyle="1" w:styleId="Heading4Char">
    <w:name w:val="Heading 4 Char"/>
    <w:basedOn w:val="DefaultParagraphFont"/>
    <w:link w:val="Heading4"/>
    <w:rsid w:val="007E6584"/>
    <w:rPr>
      <w:rFonts w:asciiTheme="majorHAnsi" w:eastAsiaTheme="majorEastAsia" w:hAnsiTheme="majorHAnsi" w:cstheme="majorBidi"/>
      <w:b/>
      <w:bCs/>
      <w:i/>
      <w:iCs/>
      <w:color w:val="214C90" w:themeColor="text2"/>
    </w:rPr>
  </w:style>
  <w:style w:type="character" w:customStyle="1" w:styleId="Heading7Char">
    <w:name w:val="Heading 7 Char"/>
    <w:basedOn w:val="DefaultParagraphFont"/>
    <w:link w:val="Heading7"/>
    <w:semiHidden/>
    <w:rsid w:val="007E6584"/>
    <w:rPr>
      <w:rFonts w:asciiTheme="majorHAnsi" w:eastAsiaTheme="majorEastAsia" w:hAnsiTheme="majorHAnsi" w:cstheme="majorBidi"/>
      <w:b/>
      <w:iCs/>
      <w:color w:val="214C90" w:themeColor="text2"/>
    </w:rPr>
  </w:style>
  <w:style w:type="character" w:customStyle="1" w:styleId="Heading8Char">
    <w:name w:val="Heading 8 Char"/>
    <w:basedOn w:val="DefaultParagraphFont"/>
    <w:link w:val="Heading8"/>
    <w:uiPriority w:val="3"/>
    <w:semiHidden/>
    <w:rsid w:val="007E6584"/>
    <w:rPr>
      <w:rFonts w:asciiTheme="majorHAnsi" w:eastAsiaTheme="majorEastAsia" w:hAnsiTheme="majorHAnsi" w:cstheme="majorBidi"/>
      <w:caps/>
      <w:color w:val="214C90" w:themeColor="text2"/>
      <w:sz w:val="28"/>
      <w:lang w:eastAsia="en-US"/>
    </w:rPr>
  </w:style>
  <w:style w:type="character" w:customStyle="1" w:styleId="Heading9Char">
    <w:name w:val="Heading 9 Char"/>
    <w:aliases w:val="Appendix Heading 1 Char"/>
    <w:basedOn w:val="DefaultParagraphFont"/>
    <w:link w:val="Heading9"/>
    <w:rsid w:val="007E6584"/>
    <w:rPr>
      <w:rFonts w:asciiTheme="majorHAnsi" w:eastAsiaTheme="minorEastAsia" w:hAnsiTheme="majorHAnsi" w:cs="Arial"/>
      <w:b/>
      <w:color w:val="214C90" w:themeColor="text2"/>
      <w:sz w:val="24"/>
      <w:lang w:eastAsia="en-US"/>
    </w:rPr>
  </w:style>
  <w:style w:type="character" w:styleId="Hyperlink">
    <w:name w:val="Hyperlink"/>
    <w:basedOn w:val="DefaultParagraphFont"/>
    <w:uiPriority w:val="99"/>
    <w:unhideWhenUsed/>
    <w:rsid w:val="002778AD"/>
    <w:rPr>
      <w:color w:val="000000" w:themeColor="text1"/>
      <w:u w:val="single"/>
    </w:rPr>
  </w:style>
  <w:style w:type="character" w:styleId="FollowedHyperlink">
    <w:name w:val="FollowedHyperlink"/>
    <w:basedOn w:val="DefaultParagraphFont"/>
    <w:uiPriority w:val="99"/>
    <w:rsid w:val="002778AD"/>
    <w:rPr>
      <w:color w:val="000000" w:themeColor="text1"/>
      <w:u w:val="single"/>
    </w:rPr>
  </w:style>
  <w:style w:type="paragraph" w:styleId="ListBullet">
    <w:name w:val="List Bullet"/>
    <w:basedOn w:val="BodyText"/>
    <w:link w:val="ListBulletChar"/>
    <w:qFormat/>
    <w:rsid w:val="000709D4"/>
    <w:pPr>
      <w:numPr>
        <w:numId w:val="5"/>
      </w:numPr>
      <w:tabs>
        <w:tab w:val="clear" w:pos="2268"/>
        <w:tab w:val="clear" w:pos="4536"/>
        <w:tab w:val="clear" w:pos="6804"/>
        <w:tab w:val="clear" w:pos="9638"/>
      </w:tabs>
      <w:spacing w:before="120"/>
    </w:pPr>
  </w:style>
  <w:style w:type="paragraph" w:styleId="ListBullet2">
    <w:name w:val="List Bullet 2"/>
    <w:basedOn w:val="ListBullet"/>
    <w:rsid w:val="000709D4"/>
    <w:pPr>
      <w:numPr>
        <w:ilvl w:val="1"/>
        <w:numId w:val="0"/>
      </w:numPr>
    </w:pPr>
  </w:style>
  <w:style w:type="paragraph" w:styleId="ListBullet3">
    <w:name w:val="List Bullet 3"/>
    <w:basedOn w:val="ListBullet2"/>
    <w:rsid w:val="000709D4"/>
    <w:pPr>
      <w:numPr>
        <w:ilvl w:val="2"/>
      </w:numPr>
    </w:pPr>
  </w:style>
  <w:style w:type="paragraph" w:styleId="ListContinue">
    <w:name w:val="List Continue"/>
    <w:basedOn w:val="Normal"/>
    <w:rsid w:val="00C93C07"/>
    <w:pPr>
      <w:spacing w:before="120" w:after="120"/>
      <w:ind w:left="357"/>
    </w:pPr>
    <w:rPr>
      <w:rFonts w:eastAsiaTheme="minorEastAsia"/>
    </w:rPr>
  </w:style>
  <w:style w:type="paragraph" w:styleId="ListNumber">
    <w:name w:val="List Number"/>
    <w:basedOn w:val="BodyText"/>
    <w:unhideWhenUsed/>
    <w:qFormat/>
    <w:rsid w:val="00210064"/>
    <w:pPr>
      <w:numPr>
        <w:numId w:val="7"/>
      </w:numPr>
      <w:tabs>
        <w:tab w:val="clear" w:pos="2268"/>
        <w:tab w:val="clear" w:pos="4536"/>
        <w:tab w:val="clear" w:pos="6804"/>
        <w:tab w:val="clear" w:pos="9638"/>
      </w:tabs>
      <w:spacing w:before="120"/>
    </w:pPr>
  </w:style>
  <w:style w:type="paragraph" w:styleId="ListNumber2">
    <w:name w:val="List Number 2"/>
    <w:basedOn w:val="ListNumber"/>
    <w:unhideWhenUsed/>
    <w:rsid w:val="002E0889"/>
    <w:pPr>
      <w:numPr>
        <w:ilvl w:val="1"/>
      </w:numPr>
    </w:pPr>
  </w:style>
  <w:style w:type="paragraph" w:styleId="ListNumber3">
    <w:name w:val="List Number 3"/>
    <w:basedOn w:val="ListNumber2"/>
    <w:unhideWhenUsed/>
    <w:rsid w:val="00EF51E7"/>
    <w:pPr>
      <w:numPr>
        <w:ilvl w:val="2"/>
      </w:numPr>
    </w:pPr>
  </w:style>
  <w:style w:type="numbering" w:customStyle="1" w:styleId="MyListNumbering">
    <w:name w:val="MyListNumbering"/>
    <w:uiPriority w:val="99"/>
    <w:rsid w:val="00DD7311"/>
    <w:pPr>
      <w:numPr>
        <w:numId w:val="2"/>
      </w:numPr>
    </w:pPr>
  </w:style>
  <w:style w:type="character" w:styleId="PlaceholderText">
    <w:name w:val="Placeholder Text"/>
    <w:basedOn w:val="DefaultParagraphFont"/>
    <w:uiPriority w:val="99"/>
    <w:semiHidden/>
    <w:rsid w:val="00DD7311"/>
    <w:rPr>
      <w:color w:val="808080"/>
    </w:rPr>
  </w:style>
  <w:style w:type="paragraph" w:customStyle="1" w:styleId="TableBodyText">
    <w:name w:val="Table Body Text"/>
    <w:basedOn w:val="Normal"/>
    <w:qFormat/>
    <w:rsid w:val="00C93C07"/>
    <w:pPr>
      <w:spacing w:before="60" w:after="60"/>
      <w:ind w:left="85" w:right="85"/>
    </w:pPr>
    <w:rPr>
      <w:rFonts w:ascii="Book Antiqua" w:hAnsi="Book Antiqua" w:cs="Arial"/>
      <w:sz w:val="18"/>
    </w:rPr>
  </w:style>
  <w:style w:type="paragraph" w:styleId="ListContinue4">
    <w:name w:val="List Continue 4"/>
    <w:basedOn w:val="Normal"/>
    <w:semiHidden/>
    <w:unhideWhenUsed/>
    <w:rsid w:val="00C93C07"/>
    <w:pPr>
      <w:spacing w:before="120" w:after="120"/>
      <w:ind w:left="1429"/>
    </w:pPr>
  </w:style>
  <w:style w:type="table" w:styleId="TableGrid">
    <w:name w:val="Table Grid"/>
    <w:basedOn w:val="TableNormal"/>
    <w:rsid w:val="004B4486"/>
    <w:pPr>
      <w:spacing w:before="60" w:after="60"/>
      <w:ind w:left="85" w:right="85"/>
    </w:pPr>
    <w:rPr>
      <w:sz w:val="18"/>
    </w:rPr>
    <w:tblPr>
      <w:tblStyleRowBandSize w:val="1"/>
      <w:tblBorders>
        <w:top w:val="single" w:sz="4" w:space="0" w:color="auto"/>
        <w:bottom w:val="single" w:sz="4" w:space="0" w:color="auto"/>
        <w:insideH w:val="single" w:sz="4" w:space="0" w:color="auto"/>
        <w:insideV w:val="single" w:sz="4" w:space="0" w:color="auto"/>
      </w:tblBorders>
      <w:tblCellMar>
        <w:left w:w="0" w:type="dxa"/>
        <w:right w:w="0" w:type="dxa"/>
      </w:tblCellMar>
    </w:tblPr>
    <w:tblStylePr w:type="firstRow">
      <w:rPr>
        <w:b/>
        <w:color w:val="FFFFFF"/>
      </w:rPr>
      <w:tblPr/>
      <w:tcPr>
        <w:shd w:val="clear" w:color="auto" w:fill="214C90" w:themeFill="text2"/>
      </w:tcPr>
    </w:tblStylePr>
    <w:tblStylePr w:type="band2Horz">
      <w:tblPr/>
      <w:tcPr>
        <w:shd w:val="clear" w:color="auto" w:fill="E1E2E7" w:themeFill="background2"/>
      </w:tcPr>
    </w:tblStylePr>
  </w:style>
  <w:style w:type="paragraph" w:customStyle="1" w:styleId="TableHeading">
    <w:name w:val="Table Heading"/>
    <w:basedOn w:val="TableBodyText"/>
    <w:uiPriority w:val="99"/>
    <w:qFormat/>
    <w:rsid w:val="00C93C07"/>
    <w:rPr>
      <w:color w:val="FFFFFF"/>
    </w:rPr>
  </w:style>
  <w:style w:type="paragraph" w:customStyle="1" w:styleId="TableBullet1">
    <w:name w:val="Table Bullet 1"/>
    <w:basedOn w:val="TableBodyText"/>
    <w:qFormat/>
    <w:rsid w:val="00C93C07"/>
    <w:pPr>
      <w:numPr>
        <w:numId w:val="8"/>
      </w:numPr>
    </w:pPr>
  </w:style>
  <w:style w:type="paragraph" w:customStyle="1" w:styleId="TableBullet2">
    <w:name w:val="Table Bullet 2"/>
    <w:basedOn w:val="TableBullet1"/>
    <w:qFormat/>
    <w:rsid w:val="00C93C07"/>
    <w:pPr>
      <w:numPr>
        <w:ilvl w:val="1"/>
      </w:numPr>
    </w:pPr>
  </w:style>
  <w:style w:type="paragraph" w:customStyle="1" w:styleId="TableBullet3">
    <w:name w:val="Table Bullet 3"/>
    <w:basedOn w:val="TableBullet2"/>
    <w:qFormat/>
    <w:rsid w:val="00C93C07"/>
    <w:pPr>
      <w:numPr>
        <w:ilvl w:val="2"/>
      </w:numPr>
    </w:pPr>
  </w:style>
  <w:style w:type="paragraph" w:customStyle="1" w:styleId="TableListNumber">
    <w:name w:val="Table List Number"/>
    <w:basedOn w:val="TableBodyText"/>
    <w:qFormat/>
    <w:rsid w:val="00C93C07"/>
    <w:pPr>
      <w:numPr>
        <w:numId w:val="9"/>
      </w:numPr>
    </w:pPr>
    <w:rPr>
      <w:rFonts w:eastAsiaTheme="minorEastAsia"/>
    </w:rPr>
  </w:style>
  <w:style w:type="paragraph" w:customStyle="1" w:styleId="TableListNumber2">
    <w:name w:val="Table List Number 2"/>
    <w:basedOn w:val="TableListNumber"/>
    <w:qFormat/>
    <w:rsid w:val="00C93C07"/>
    <w:pPr>
      <w:numPr>
        <w:ilvl w:val="1"/>
      </w:numPr>
    </w:pPr>
  </w:style>
  <w:style w:type="paragraph" w:customStyle="1" w:styleId="TableListNumber3">
    <w:name w:val="Table List Number 3"/>
    <w:basedOn w:val="TableListNumber2"/>
    <w:qFormat/>
    <w:rsid w:val="00C93C07"/>
    <w:pPr>
      <w:numPr>
        <w:ilvl w:val="2"/>
      </w:numPr>
    </w:pPr>
  </w:style>
  <w:style w:type="paragraph" w:styleId="TableofFigures">
    <w:name w:val="table of figures"/>
    <w:basedOn w:val="Normal"/>
    <w:next w:val="Normal"/>
    <w:uiPriority w:val="99"/>
    <w:rsid w:val="008A1045"/>
    <w:pPr>
      <w:tabs>
        <w:tab w:val="right" w:leader="dot" w:pos="9015"/>
      </w:tabs>
      <w:spacing w:before="120" w:after="60"/>
      <w:ind w:left="1134" w:right="737" w:hanging="1134"/>
    </w:pPr>
    <w:rPr>
      <w:rFonts w:eastAsiaTheme="minorHAnsi" w:cstheme="minorBidi"/>
      <w:lang w:eastAsia="fr-CA"/>
    </w:rPr>
  </w:style>
  <w:style w:type="paragraph" w:customStyle="1" w:styleId="Source">
    <w:name w:val="Source"/>
    <w:basedOn w:val="Normal"/>
    <w:next w:val="BodyText"/>
    <w:rsid w:val="00C93C07"/>
    <w:pPr>
      <w:spacing w:before="60" w:after="120" w:line="180" w:lineRule="atLeast"/>
    </w:pPr>
    <w:rPr>
      <w:rFonts w:ascii="Book Antiqua" w:hAnsi="Book Antiqua" w:cs="Arial"/>
      <w:sz w:val="18"/>
      <w:szCs w:val="18"/>
      <w:lang w:eastAsia="fr-CA"/>
    </w:rPr>
  </w:style>
  <w:style w:type="numbering" w:customStyle="1" w:styleId="TableBullets">
    <w:name w:val="TableBullets"/>
    <w:uiPriority w:val="99"/>
    <w:rsid w:val="00DD7311"/>
    <w:pPr>
      <w:numPr>
        <w:numId w:val="3"/>
      </w:numPr>
    </w:pPr>
  </w:style>
  <w:style w:type="numbering" w:customStyle="1" w:styleId="TableFootnotes">
    <w:name w:val="TableFootnotes"/>
    <w:uiPriority w:val="99"/>
    <w:rsid w:val="00DD7311"/>
    <w:pPr>
      <w:numPr>
        <w:numId w:val="4"/>
      </w:numPr>
    </w:pPr>
  </w:style>
  <w:style w:type="paragraph" w:styleId="Title">
    <w:name w:val="Title"/>
    <w:basedOn w:val="Normal"/>
    <w:next w:val="Normal"/>
    <w:link w:val="TitleChar"/>
    <w:qFormat/>
    <w:rsid w:val="00D32095"/>
    <w:pPr>
      <w:spacing w:before="120" w:after="360" w:line="700" w:lineRule="exact"/>
    </w:pPr>
    <w:rPr>
      <w:rFonts w:asciiTheme="majorHAnsi" w:eastAsiaTheme="minorEastAsia" w:hAnsiTheme="majorHAnsi"/>
      <w:color w:val="214C90" w:themeColor="text2"/>
      <w:sz w:val="48"/>
      <w:szCs w:val="48"/>
    </w:rPr>
  </w:style>
  <w:style w:type="character" w:customStyle="1" w:styleId="TitleChar">
    <w:name w:val="Title Char"/>
    <w:basedOn w:val="DefaultParagraphFont"/>
    <w:link w:val="Title"/>
    <w:rsid w:val="00D32095"/>
    <w:rPr>
      <w:rFonts w:asciiTheme="majorHAnsi" w:eastAsiaTheme="minorEastAsia" w:hAnsiTheme="majorHAnsi"/>
      <w:color w:val="214C90" w:themeColor="text2"/>
      <w:sz w:val="48"/>
      <w:szCs w:val="48"/>
    </w:rPr>
  </w:style>
  <w:style w:type="paragraph" w:styleId="Subtitle">
    <w:name w:val="Subtitle"/>
    <w:basedOn w:val="Title"/>
    <w:next w:val="Normal"/>
    <w:link w:val="SubtitleChar"/>
    <w:uiPriority w:val="1"/>
    <w:rsid w:val="005E304F"/>
    <w:pPr>
      <w:spacing w:before="0" w:after="720" w:line="320" w:lineRule="exact"/>
      <w:contextualSpacing/>
    </w:pPr>
    <w:rPr>
      <w:b/>
      <w:color w:val="5D89B4" w:themeColor="accent3"/>
      <w:spacing w:val="4"/>
      <w:sz w:val="30"/>
    </w:rPr>
  </w:style>
  <w:style w:type="paragraph" w:styleId="TOC1">
    <w:name w:val="toc 1"/>
    <w:basedOn w:val="Normal"/>
    <w:next w:val="Normal"/>
    <w:autoRedefine/>
    <w:uiPriority w:val="39"/>
    <w:rsid w:val="008A1045"/>
    <w:pPr>
      <w:tabs>
        <w:tab w:val="right" w:leader="dot" w:pos="9015"/>
      </w:tabs>
      <w:spacing w:before="240" w:after="60"/>
      <w:ind w:right="737"/>
    </w:pPr>
    <w:rPr>
      <w:rFonts w:eastAsiaTheme="minorHAnsi" w:cstheme="minorBidi"/>
      <w:b/>
      <w:noProof/>
      <w:lang w:eastAsia="en-US"/>
    </w:rPr>
  </w:style>
  <w:style w:type="paragraph" w:styleId="TOC2">
    <w:name w:val="toc 2"/>
    <w:basedOn w:val="Normal"/>
    <w:next w:val="Normal"/>
    <w:autoRedefine/>
    <w:uiPriority w:val="39"/>
    <w:rsid w:val="008A1045"/>
    <w:pPr>
      <w:tabs>
        <w:tab w:val="right" w:leader="dot" w:pos="9015"/>
      </w:tabs>
      <w:spacing w:before="120" w:after="60"/>
      <w:ind w:right="737"/>
    </w:pPr>
    <w:rPr>
      <w:rFonts w:eastAsiaTheme="minorHAnsi" w:cstheme="minorBidi"/>
      <w:noProof/>
      <w:lang w:eastAsia="fr-CA"/>
    </w:rPr>
  </w:style>
  <w:style w:type="paragraph" w:styleId="TOC3">
    <w:name w:val="toc 3"/>
    <w:basedOn w:val="Normal"/>
    <w:next w:val="Normal"/>
    <w:autoRedefine/>
    <w:uiPriority w:val="39"/>
    <w:rsid w:val="008A1045"/>
    <w:pPr>
      <w:tabs>
        <w:tab w:val="right" w:leader="dot" w:pos="9015"/>
      </w:tabs>
      <w:spacing w:before="120" w:after="60"/>
      <w:ind w:left="340" w:right="737"/>
    </w:pPr>
    <w:rPr>
      <w:rFonts w:eastAsiaTheme="minorHAnsi" w:cstheme="minorBidi"/>
      <w:noProof/>
      <w:szCs w:val="18"/>
      <w:lang w:eastAsia="fr-CA"/>
    </w:rPr>
  </w:style>
  <w:style w:type="character" w:customStyle="1" w:styleId="SubtitleChar">
    <w:name w:val="Subtitle Char"/>
    <w:basedOn w:val="DefaultParagraphFont"/>
    <w:link w:val="Subtitle"/>
    <w:uiPriority w:val="1"/>
    <w:rsid w:val="005E304F"/>
    <w:rPr>
      <w:rFonts w:eastAsiaTheme="minorEastAsia"/>
      <w:color w:val="5D89B4" w:themeColor="accent3"/>
      <w:spacing w:val="4"/>
      <w:sz w:val="30"/>
      <w:szCs w:val="48"/>
    </w:rPr>
  </w:style>
  <w:style w:type="paragraph" w:styleId="NormalWeb">
    <w:name w:val="Normal (Web)"/>
    <w:basedOn w:val="Normal"/>
    <w:uiPriority w:val="99"/>
    <w:semiHidden/>
    <w:rsid w:val="003255DA"/>
    <w:rPr>
      <w:szCs w:val="24"/>
    </w:rPr>
  </w:style>
  <w:style w:type="paragraph" w:styleId="ListContinue2">
    <w:name w:val="List Continue 2"/>
    <w:basedOn w:val="Normal"/>
    <w:rsid w:val="00C93C07"/>
    <w:pPr>
      <w:spacing w:before="120" w:after="120"/>
      <w:ind w:left="714"/>
    </w:pPr>
    <w:rPr>
      <w:rFonts w:eastAsiaTheme="minorEastAsia"/>
    </w:rPr>
  </w:style>
  <w:style w:type="paragraph" w:styleId="ListContinue3">
    <w:name w:val="List Continue 3"/>
    <w:basedOn w:val="Normal"/>
    <w:rsid w:val="00C93C07"/>
    <w:pPr>
      <w:spacing w:before="120" w:after="120"/>
      <w:ind w:left="1072"/>
    </w:pPr>
    <w:rPr>
      <w:rFonts w:eastAsiaTheme="minorEastAsia"/>
    </w:rPr>
  </w:style>
  <w:style w:type="paragraph" w:styleId="NoSpacing">
    <w:name w:val="No Spacing"/>
    <w:next w:val="BodyText"/>
    <w:rsid w:val="00B85B75"/>
    <w:pPr>
      <w:spacing w:line="240" w:lineRule="auto"/>
    </w:pPr>
  </w:style>
  <w:style w:type="paragraph" w:styleId="ListContinue5">
    <w:name w:val="List Continue 5"/>
    <w:basedOn w:val="Normal"/>
    <w:semiHidden/>
    <w:unhideWhenUsed/>
    <w:rsid w:val="00C93C07"/>
    <w:pPr>
      <w:spacing w:before="120" w:after="120"/>
      <w:ind w:left="1786"/>
    </w:pPr>
  </w:style>
  <w:style w:type="paragraph" w:customStyle="1" w:styleId="TableofFiguresHeading">
    <w:name w:val="Table of Figures Heading"/>
    <w:basedOn w:val="Normal"/>
    <w:rsid w:val="008A1045"/>
    <w:pPr>
      <w:spacing w:before="120" w:after="120"/>
      <w:outlineLvl w:val="3"/>
    </w:pPr>
    <w:rPr>
      <w:b/>
      <w:bCs/>
      <w:color w:val="214C90" w:themeColor="text2"/>
    </w:rPr>
  </w:style>
  <w:style w:type="paragraph" w:customStyle="1" w:styleId="SideNote">
    <w:name w:val="Side Note"/>
    <w:basedOn w:val="BodyText"/>
    <w:qFormat/>
    <w:rsid w:val="00C93C07"/>
    <w:pPr>
      <w:framePr w:w="794" w:h="397" w:wrap="around" w:vAnchor="text" w:hAnchor="page" w:x="285" w:y="143"/>
      <w:spacing w:before="0" w:line="247" w:lineRule="auto"/>
    </w:pPr>
    <w:rPr>
      <w:i/>
      <w:sz w:val="20"/>
    </w:rPr>
  </w:style>
  <w:style w:type="paragraph" w:customStyle="1" w:styleId="Address">
    <w:name w:val="Address"/>
    <w:basedOn w:val="Normal"/>
    <w:rsid w:val="00D43B4B"/>
    <w:pPr>
      <w:tabs>
        <w:tab w:val="left" w:pos="2722"/>
      </w:tabs>
      <w:spacing w:before="480" w:after="120" w:line="170" w:lineRule="exact"/>
      <w:contextualSpacing/>
      <w:jc w:val="center"/>
    </w:pPr>
    <w:rPr>
      <w:rFonts w:asciiTheme="majorHAnsi" w:hAnsiTheme="majorHAnsi"/>
      <w:noProof/>
      <w:color w:val="32343F" w:themeColor="background2" w:themeShade="40"/>
      <w:sz w:val="16"/>
    </w:rPr>
  </w:style>
  <w:style w:type="character" w:customStyle="1" w:styleId="Heading5Char">
    <w:name w:val="Heading 5 Char"/>
    <w:basedOn w:val="DefaultParagraphFont"/>
    <w:link w:val="Heading5"/>
    <w:semiHidden/>
    <w:rsid w:val="00BD348A"/>
    <w:rPr>
      <w:rFonts w:asciiTheme="majorHAnsi" w:eastAsiaTheme="majorEastAsia" w:hAnsiTheme="majorHAnsi" w:cstheme="majorBidi"/>
      <w:i/>
      <w:color w:val="214C90" w:themeColor="text2"/>
    </w:rPr>
  </w:style>
  <w:style w:type="character" w:customStyle="1" w:styleId="Heading6Char">
    <w:name w:val="Heading 6 Char"/>
    <w:basedOn w:val="DefaultParagraphFont"/>
    <w:link w:val="Heading6"/>
    <w:semiHidden/>
    <w:rsid w:val="00BD348A"/>
    <w:rPr>
      <w:rFonts w:asciiTheme="majorHAnsi" w:eastAsiaTheme="majorEastAsia" w:hAnsiTheme="majorHAnsi" w:cstheme="majorBidi"/>
      <w:b/>
      <w:iCs/>
      <w:color w:val="214C90" w:themeColor="text2"/>
      <w:lang w:eastAsia="en-US"/>
    </w:rPr>
  </w:style>
  <w:style w:type="paragraph" w:styleId="Revision">
    <w:name w:val="Revision"/>
    <w:hidden/>
    <w:uiPriority w:val="99"/>
    <w:semiHidden/>
    <w:rsid w:val="009E7348"/>
    <w:rPr>
      <w:rFonts w:ascii="Calibri" w:eastAsia="Calibri" w:hAnsi="Calibri"/>
      <w:lang w:eastAsia="en-US"/>
    </w:rPr>
  </w:style>
  <w:style w:type="paragraph" w:customStyle="1" w:styleId="TableBodyTextBold">
    <w:name w:val="Table Body Text Bold"/>
    <w:basedOn w:val="TableBodyText"/>
    <w:rsid w:val="00C93C07"/>
    <w:rPr>
      <w:b/>
    </w:rPr>
  </w:style>
  <w:style w:type="table" w:customStyle="1" w:styleId="TablePlaceholder">
    <w:name w:val="Table Placeholder"/>
    <w:basedOn w:val="TableNormal"/>
    <w:uiPriority w:val="99"/>
    <w:rsid w:val="00480149"/>
    <w:pPr>
      <w:spacing w:line="240" w:lineRule="auto"/>
    </w:pPr>
    <w:tblPr>
      <w:tblCellMar>
        <w:left w:w="45" w:type="dxa"/>
        <w:right w:w="45" w:type="dxa"/>
      </w:tblCellMar>
    </w:tblPr>
  </w:style>
  <w:style w:type="paragraph" w:styleId="Quote">
    <w:name w:val="Quote"/>
    <w:basedOn w:val="Normal"/>
    <w:next w:val="Normal"/>
    <w:link w:val="QuoteChar"/>
    <w:rsid w:val="002778AD"/>
    <w:pPr>
      <w:spacing w:before="200" w:after="160"/>
      <w:ind w:left="357" w:right="357"/>
    </w:pPr>
    <w:rPr>
      <w:i/>
      <w:iCs/>
      <w:sz w:val="20"/>
    </w:rPr>
  </w:style>
  <w:style w:type="character" w:customStyle="1" w:styleId="QuoteChar">
    <w:name w:val="Quote Char"/>
    <w:basedOn w:val="DefaultParagraphFont"/>
    <w:link w:val="Quote"/>
    <w:rsid w:val="002778AD"/>
    <w:rPr>
      <w:i/>
      <w:iCs/>
      <w:sz w:val="20"/>
    </w:rPr>
  </w:style>
  <w:style w:type="paragraph" w:customStyle="1" w:styleId="PullOutBoxBodyText">
    <w:name w:val="Pull Out Box Body Text"/>
    <w:basedOn w:val="Normal"/>
    <w:rsid w:val="00A67EB1"/>
    <w:pPr>
      <w:spacing w:before="120"/>
    </w:pPr>
    <w:rPr>
      <w:rFonts w:eastAsiaTheme="minorEastAsia" w:cstheme="minorBidi"/>
      <w:lang w:eastAsia="fr-CA"/>
    </w:rPr>
  </w:style>
  <w:style w:type="paragraph" w:customStyle="1" w:styleId="PullOutBoxHeading">
    <w:name w:val="Pull Out Box Heading"/>
    <w:basedOn w:val="Normal"/>
    <w:next w:val="PullOutBoxBodyText"/>
    <w:rsid w:val="00A67EB1"/>
    <w:pPr>
      <w:spacing w:before="120"/>
    </w:pPr>
    <w:rPr>
      <w:rFonts w:eastAsiaTheme="minorHAnsi" w:cstheme="minorBidi"/>
      <w:b/>
      <w:color w:val="214C90" w:themeColor="text2"/>
      <w:szCs w:val="24"/>
      <w:lang w:eastAsia="fr-CA"/>
    </w:rPr>
  </w:style>
  <w:style w:type="table" w:customStyle="1" w:styleId="PullOutBoxTable">
    <w:name w:val="Pull Out Box Table"/>
    <w:basedOn w:val="TableNormal"/>
    <w:uiPriority w:val="99"/>
    <w:rsid w:val="004B3F0E"/>
    <w:pPr>
      <w:spacing w:line="240" w:lineRule="auto"/>
    </w:pPr>
    <w:tblPr>
      <w:tblCellMar>
        <w:top w:w="142" w:type="dxa"/>
        <w:left w:w="170" w:type="dxa"/>
        <w:bottom w:w="142" w:type="dxa"/>
        <w:right w:w="170" w:type="dxa"/>
      </w:tblCellMar>
    </w:tblPr>
    <w:tcPr>
      <w:shd w:val="clear" w:color="auto" w:fill="E1E2E7" w:themeFill="background2"/>
    </w:tcPr>
  </w:style>
  <w:style w:type="character" w:customStyle="1" w:styleId="Bold">
    <w:name w:val="Bold"/>
    <w:uiPriority w:val="99"/>
    <w:semiHidden/>
    <w:rsid w:val="00446E25"/>
    <w:rPr>
      <w:rFonts w:eastAsiaTheme="minorEastAsia"/>
      <w:b/>
      <w:i w:val="0"/>
      <w:strike w:val="0"/>
      <w:vertAlign w:val="baseline"/>
    </w:rPr>
  </w:style>
  <w:style w:type="character" w:customStyle="1" w:styleId="BoldAndItalics">
    <w:name w:val="Bold And Italics"/>
    <w:uiPriority w:val="99"/>
    <w:semiHidden/>
    <w:rsid w:val="00446E25"/>
    <w:rPr>
      <w:rFonts w:eastAsiaTheme="minorEastAsia"/>
      <w:b/>
      <w:i/>
      <w:strike w:val="0"/>
      <w:vertAlign w:val="baseline"/>
    </w:rPr>
  </w:style>
  <w:style w:type="paragraph" w:customStyle="1" w:styleId="TableHeadingBold">
    <w:name w:val="Table Heading Bold"/>
    <w:basedOn w:val="TableHeading"/>
    <w:rsid w:val="00C93C07"/>
    <w:rPr>
      <w:b/>
    </w:rPr>
  </w:style>
  <w:style w:type="paragraph" w:customStyle="1" w:styleId="AppendixHeading4">
    <w:name w:val="Appendix Heading 4"/>
    <w:basedOn w:val="Normal"/>
    <w:next w:val="BodyText"/>
    <w:uiPriority w:val="4"/>
    <w:rsid w:val="007E6584"/>
    <w:pPr>
      <w:keepNext/>
      <w:numPr>
        <w:ilvl w:val="3"/>
        <w:numId w:val="10"/>
      </w:numPr>
      <w:spacing w:before="360" w:after="240"/>
    </w:pPr>
    <w:rPr>
      <w:rFonts w:asciiTheme="majorHAnsi" w:eastAsiaTheme="minorEastAsia" w:hAnsiTheme="majorHAnsi"/>
      <w:b/>
      <w:i/>
      <w:color w:val="214C90" w:themeColor="text2"/>
      <w:lang w:eastAsia="en-US"/>
    </w:rPr>
  </w:style>
  <w:style w:type="paragraph" w:customStyle="1" w:styleId="xPageNumberHeading">
    <w:name w:val="xPage Number Heading"/>
    <w:basedOn w:val="Normal"/>
    <w:next w:val="BodyText"/>
    <w:rsid w:val="002778AD"/>
    <w:pPr>
      <w:keepNext/>
      <w:keepLines/>
      <w:tabs>
        <w:tab w:val="right" w:pos="9639"/>
      </w:tabs>
      <w:spacing w:after="360"/>
      <w:jc w:val="right"/>
    </w:pPr>
    <w:rPr>
      <w:lang w:eastAsia="en-US"/>
    </w:rPr>
  </w:style>
  <w:style w:type="paragraph" w:customStyle="1" w:styleId="Notes">
    <w:name w:val="Notes"/>
    <w:basedOn w:val="Normal"/>
    <w:rsid w:val="00A67EB1"/>
    <w:pPr>
      <w:spacing w:before="120" w:after="120"/>
    </w:pPr>
    <w:rPr>
      <w:rFonts w:ascii="Book Antiqua" w:hAnsi="Book Antiqua" w:cs="Arial"/>
      <w:sz w:val="18"/>
    </w:rPr>
  </w:style>
  <w:style w:type="paragraph" w:styleId="Date">
    <w:name w:val="Date"/>
    <w:basedOn w:val="Normal"/>
    <w:next w:val="Normal"/>
    <w:link w:val="DateChar"/>
    <w:rsid w:val="003E578E"/>
    <w:pPr>
      <w:spacing w:before="600" w:after="600"/>
    </w:pPr>
    <w:rPr>
      <w:rFonts w:eastAsiaTheme="minorEastAsia"/>
    </w:rPr>
  </w:style>
  <w:style w:type="character" w:customStyle="1" w:styleId="DateChar">
    <w:name w:val="Date Char"/>
    <w:basedOn w:val="DefaultParagraphFont"/>
    <w:link w:val="Date"/>
    <w:rsid w:val="003E578E"/>
    <w:rPr>
      <w:rFonts w:eastAsiaTheme="minorEastAsia"/>
    </w:rPr>
  </w:style>
  <w:style w:type="paragraph" w:customStyle="1" w:styleId="NotesNumbered">
    <w:name w:val="Notes Numbered"/>
    <w:basedOn w:val="Normal"/>
    <w:qFormat/>
    <w:rsid w:val="00323279"/>
    <w:pPr>
      <w:numPr>
        <w:numId w:val="6"/>
      </w:numPr>
      <w:spacing w:before="120" w:after="240" w:line="240" w:lineRule="auto"/>
      <w:contextualSpacing/>
    </w:pPr>
    <w:rPr>
      <w:rFonts w:ascii="Book Antiqua" w:hAnsi="Book Antiqua"/>
      <w:sz w:val="18"/>
      <w:szCs w:val="20"/>
      <w:lang w:eastAsia="fr-CA"/>
    </w:rPr>
  </w:style>
  <w:style w:type="paragraph" w:styleId="FootnoteText">
    <w:name w:val="footnote text"/>
    <w:aliases w:val="BG Footnote Text,TBG Style,ALTS FOOTNOTE,(NECG) Footnote Text,Footnote text,AR Footnote Text,AR Footnote Text Char Char Char Char Char,ALTS FOOTNOTE Char1,Footnote Text Char1 Char,Footnote Text Char Char Char,fn,Footnote Text1,f"/>
    <w:basedOn w:val="Normal"/>
    <w:link w:val="FootnoteTextChar"/>
    <w:qFormat/>
    <w:rsid w:val="00F660E3"/>
    <w:pPr>
      <w:spacing w:before="120" w:after="120" w:line="240" w:lineRule="auto"/>
      <w:ind w:left="357" w:hanging="357"/>
    </w:pPr>
    <w:rPr>
      <w:sz w:val="18"/>
      <w:szCs w:val="20"/>
    </w:rPr>
  </w:style>
  <w:style w:type="character" w:customStyle="1" w:styleId="FootnoteTextChar">
    <w:name w:val="Footnote Text Char"/>
    <w:aliases w:val="BG Footnote Text Char,TBG Style Char,ALTS FOOTNOTE Char,(NECG) Footnote Text Char,Footnote text Char,AR Footnote Text Char,AR Footnote Text Char Char Char Char Char Char,ALTS FOOTNOTE Char1 Char,Footnote Text Char1 Char Char,fn Char"/>
    <w:basedOn w:val="DefaultParagraphFont"/>
    <w:link w:val="FootnoteText"/>
    <w:rsid w:val="00F660E3"/>
    <w:rPr>
      <w:sz w:val="18"/>
      <w:szCs w:val="20"/>
    </w:rPr>
  </w:style>
  <w:style w:type="character" w:styleId="FootnoteReference">
    <w:name w:val="footnote reference"/>
    <w:aliases w:val="(NECG) Footnote Reference,fr,o,Style 6 + 12 pt,(NECG) Footnote Reference1,(NECG) Footnote Reference2,(NECG) Footnote Reference3,(NECG) Footnote Reference4,(NECG) Footnote Reference5,(NECG) Footnote Reference6"/>
    <w:basedOn w:val="DefaultParagraphFont"/>
    <w:unhideWhenUsed/>
    <w:rsid w:val="00A176B6"/>
    <w:rPr>
      <w:vertAlign w:val="superscript"/>
    </w:rPr>
  </w:style>
  <w:style w:type="paragraph" w:styleId="ListNumber4">
    <w:name w:val="List Number 4"/>
    <w:basedOn w:val="Normal"/>
    <w:unhideWhenUsed/>
    <w:rsid w:val="00A176B6"/>
    <w:pPr>
      <w:numPr>
        <w:ilvl w:val="3"/>
        <w:numId w:val="7"/>
      </w:numPr>
      <w:contextualSpacing/>
    </w:pPr>
  </w:style>
  <w:style w:type="paragraph" w:styleId="ListNumber5">
    <w:name w:val="List Number 5"/>
    <w:basedOn w:val="Normal"/>
    <w:unhideWhenUsed/>
    <w:rsid w:val="00A176B6"/>
    <w:pPr>
      <w:numPr>
        <w:ilvl w:val="4"/>
        <w:numId w:val="7"/>
      </w:numPr>
      <w:contextualSpacing/>
    </w:pPr>
  </w:style>
  <w:style w:type="paragraph" w:styleId="ListBullet4">
    <w:name w:val="List Bullet 4"/>
    <w:basedOn w:val="Normal"/>
    <w:unhideWhenUsed/>
    <w:rsid w:val="001122BF"/>
    <w:pPr>
      <w:numPr>
        <w:ilvl w:val="3"/>
        <w:numId w:val="5"/>
      </w:numPr>
      <w:spacing w:before="120" w:after="120"/>
    </w:pPr>
  </w:style>
  <w:style w:type="paragraph" w:styleId="ListBullet5">
    <w:name w:val="List Bullet 5"/>
    <w:basedOn w:val="Normal"/>
    <w:unhideWhenUsed/>
    <w:rsid w:val="001122BF"/>
    <w:pPr>
      <w:numPr>
        <w:ilvl w:val="4"/>
        <w:numId w:val="5"/>
      </w:numPr>
      <w:contextualSpacing/>
    </w:pPr>
  </w:style>
  <w:style w:type="paragraph" w:customStyle="1" w:styleId="PageNumberinFrame">
    <w:name w:val="Page Number in Frame"/>
    <w:basedOn w:val="Normal"/>
    <w:uiPriority w:val="99"/>
    <w:qFormat/>
    <w:rsid w:val="00A13A74"/>
    <w:pPr>
      <w:framePr w:w="1701" w:h="1701" w:hRule="exact" w:wrap="around" w:vAnchor="text" w:hAnchor="margin" w:xAlign="right" w:y="1"/>
      <w:jc w:val="center"/>
    </w:pPr>
    <w:rPr>
      <w:sz w:val="18"/>
    </w:rPr>
  </w:style>
  <w:style w:type="paragraph" w:customStyle="1" w:styleId="BodyTextSmall">
    <w:name w:val="Body Text Small"/>
    <w:basedOn w:val="Normal"/>
    <w:qFormat/>
    <w:rsid w:val="00A67EB1"/>
    <w:pPr>
      <w:spacing w:before="240" w:after="120"/>
    </w:pPr>
    <w:rPr>
      <w:sz w:val="18"/>
    </w:rPr>
  </w:style>
  <w:style w:type="paragraph" w:styleId="TOC4">
    <w:name w:val="toc 4"/>
    <w:basedOn w:val="Normal"/>
    <w:next w:val="Normal"/>
    <w:autoRedefine/>
    <w:uiPriority w:val="39"/>
    <w:unhideWhenUsed/>
    <w:rsid w:val="00975B1E"/>
    <w:pPr>
      <w:tabs>
        <w:tab w:val="right" w:leader="dot" w:pos="8165"/>
      </w:tabs>
      <w:spacing w:before="120" w:after="60"/>
      <w:ind w:right="737"/>
    </w:pPr>
  </w:style>
  <w:style w:type="paragraph" w:styleId="TOC5">
    <w:name w:val="toc 5"/>
    <w:basedOn w:val="Normal"/>
    <w:next w:val="Normal"/>
    <w:autoRedefine/>
    <w:uiPriority w:val="39"/>
    <w:semiHidden/>
    <w:unhideWhenUsed/>
    <w:rsid w:val="008A1045"/>
    <w:pPr>
      <w:tabs>
        <w:tab w:val="right" w:leader="dot" w:pos="9015"/>
      </w:tabs>
      <w:spacing w:before="120" w:after="80"/>
    </w:pPr>
  </w:style>
  <w:style w:type="character" w:styleId="CommentReference">
    <w:name w:val="annotation reference"/>
    <w:basedOn w:val="DefaultParagraphFont"/>
    <w:semiHidden/>
    <w:unhideWhenUsed/>
    <w:rsid w:val="00E356FC"/>
    <w:rPr>
      <w:sz w:val="16"/>
      <w:szCs w:val="16"/>
    </w:rPr>
  </w:style>
  <w:style w:type="paragraph" w:styleId="CommentText">
    <w:name w:val="annotation text"/>
    <w:basedOn w:val="Normal"/>
    <w:link w:val="CommentTextChar"/>
    <w:unhideWhenUsed/>
    <w:rsid w:val="00E356FC"/>
    <w:pPr>
      <w:spacing w:line="240" w:lineRule="auto"/>
    </w:pPr>
    <w:rPr>
      <w:sz w:val="20"/>
      <w:szCs w:val="20"/>
    </w:rPr>
  </w:style>
  <w:style w:type="character" w:customStyle="1" w:styleId="CommentTextChar">
    <w:name w:val="Comment Text Char"/>
    <w:basedOn w:val="DefaultParagraphFont"/>
    <w:link w:val="CommentText"/>
    <w:rsid w:val="00E356FC"/>
    <w:rPr>
      <w:sz w:val="20"/>
      <w:szCs w:val="20"/>
    </w:rPr>
  </w:style>
  <w:style w:type="paragraph" w:styleId="CommentSubject">
    <w:name w:val="annotation subject"/>
    <w:basedOn w:val="CommentText"/>
    <w:next w:val="CommentText"/>
    <w:link w:val="CommentSubjectChar"/>
    <w:uiPriority w:val="99"/>
    <w:semiHidden/>
    <w:unhideWhenUsed/>
    <w:rsid w:val="00E356FC"/>
    <w:rPr>
      <w:b/>
      <w:bCs/>
    </w:rPr>
  </w:style>
  <w:style w:type="character" w:customStyle="1" w:styleId="CommentSubjectChar">
    <w:name w:val="Comment Subject Char"/>
    <w:basedOn w:val="CommentTextChar"/>
    <w:link w:val="CommentSubject"/>
    <w:uiPriority w:val="99"/>
    <w:semiHidden/>
    <w:rsid w:val="00E356FC"/>
    <w:rPr>
      <w:b/>
      <w:bCs/>
      <w:sz w:val="20"/>
      <w:szCs w:val="20"/>
    </w:rPr>
  </w:style>
  <w:style w:type="table" w:customStyle="1" w:styleId="TableGridLight1">
    <w:name w:val="Table Grid Light1"/>
    <w:basedOn w:val="TableNormal"/>
    <w:uiPriority w:val="40"/>
    <w:rsid w:val="005A03FB"/>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phy">
    <w:name w:val="Bibliography"/>
    <w:basedOn w:val="Normal"/>
    <w:next w:val="Normal"/>
    <w:uiPriority w:val="37"/>
    <w:semiHidden/>
    <w:unhideWhenUsed/>
    <w:rsid w:val="006D2456"/>
  </w:style>
  <w:style w:type="paragraph" w:styleId="BodyText2">
    <w:name w:val="Body Text 2"/>
    <w:basedOn w:val="Normal"/>
    <w:link w:val="BodyText2Char"/>
    <w:semiHidden/>
    <w:unhideWhenUsed/>
    <w:rsid w:val="006D2456"/>
    <w:pPr>
      <w:spacing w:after="120" w:line="480" w:lineRule="auto"/>
    </w:pPr>
  </w:style>
  <w:style w:type="character" w:customStyle="1" w:styleId="BodyText2Char">
    <w:name w:val="Body Text 2 Char"/>
    <w:basedOn w:val="DefaultParagraphFont"/>
    <w:link w:val="BodyText2"/>
    <w:semiHidden/>
    <w:rsid w:val="006D2456"/>
  </w:style>
  <w:style w:type="paragraph" w:styleId="BodyText3">
    <w:name w:val="Body Text 3"/>
    <w:basedOn w:val="Normal"/>
    <w:link w:val="BodyText3Char"/>
    <w:semiHidden/>
    <w:unhideWhenUsed/>
    <w:rsid w:val="006D2456"/>
    <w:pPr>
      <w:spacing w:after="120"/>
    </w:pPr>
    <w:rPr>
      <w:sz w:val="16"/>
      <w:szCs w:val="16"/>
    </w:rPr>
  </w:style>
  <w:style w:type="character" w:customStyle="1" w:styleId="BodyText3Char">
    <w:name w:val="Body Text 3 Char"/>
    <w:basedOn w:val="DefaultParagraphFont"/>
    <w:link w:val="BodyText3"/>
    <w:semiHidden/>
    <w:rsid w:val="006D2456"/>
    <w:rPr>
      <w:sz w:val="16"/>
      <w:szCs w:val="16"/>
    </w:rPr>
  </w:style>
  <w:style w:type="paragraph" w:styleId="BodyTextFirstIndent">
    <w:name w:val="Body Text First Indent"/>
    <w:basedOn w:val="BodyText"/>
    <w:link w:val="BodyTextFirstIndentChar"/>
    <w:rsid w:val="006D2456"/>
    <w:pPr>
      <w:tabs>
        <w:tab w:val="clear" w:pos="2268"/>
        <w:tab w:val="clear" w:pos="4536"/>
        <w:tab w:val="clear" w:pos="6804"/>
        <w:tab w:val="clear" w:pos="9638"/>
      </w:tabs>
      <w:spacing w:before="0" w:after="0"/>
      <w:ind w:firstLine="360"/>
    </w:pPr>
  </w:style>
  <w:style w:type="character" w:customStyle="1" w:styleId="BodyTextFirstIndentChar">
    <w:name w:val="Body Text First Indent Char"/>
    <w:basedOn w:val="BodyTextChar"/>
    <w:link w:val="BodyTextFirstIndent"/>
    <w:rsid w:val="006D2456"/>
    <w:rPr>
      <w:rFonts w:ascii="Arial" w:hAnsi="Arial"/>
    </w:rPr>
  </w:style>
  <w:style w:type="paragraph" w:styleId="BodyTextIndent">
    <w:name w:val="Body Text Indent"/>
    <w:basedOn w:val="Normal"/>
    <w:link w:val="BodyTextIndentChar"/>
    <w:semiHidden/>
    <w:unhideWhenUsed/>
    <w:rsid w:val="006D2456"/>
    <w:pPr>
      <w:spacing w:after="120"/>
      <w:ind w:left="283"/>
    </w:pPr>
  </w:style>
  <w:style w:type="character" w:customStyle="1" w:styleId="BodyTextIndentChar">
    <w:name w:val="Body Text Indent Char"/>
    <w:basedOn w:val="DefaultParagraphFont"/>
    <w:link w:val="BodyTextIndent"/>
    <w:semiHidden/>
    <w:rsid w:val="006D2456"/>
  </w:style>
  <w:style w:type="paragraph" w:styleId="BodyTextFirstIndent2">
    <w:name w:val="Body Text First Indent 2"/>
    <w:basedOn w:val="BodyTextIndent"/>
    <w:link w:val="BodyTextFirstIndent2Char"/>
    <w:semiHidden/>
    <w:unhideWhenUsed/>
    <w:rsid w:val="006D2456"/>
    <w:pPr>
      <w:spacing w:after="0"/>
      <w:ind w:left="360" w:firstLine="360"/>
    </w:pPr>
  </w:style>
  <w:style w:type="character" w:customStyle="1" w:styleId="BodyTextFirstIndent2Char">
    <w:name w:val="Body Text First Indent 2 Char"/>
    <w:basedOn w:val="BodyTextIndentChar"/>
    <w:link w:val="BodyTextFirstIndent2"/>
    <w:semiHidden/>
    <w:rsid w:val="006D2456"/>
  </w:style>
  <w:style w:type="paragraph" w:styleId="BodyTextIndent2">
    <w:name w:val="Body Text Indent 2"/>
    <w:basedOn w:val="Normal"/>
    <w:link w:val="BodyTextIndent2Char"/>
    <w:semiHidden/>
    <w:unhideWhenUsed/>
    <w:rsid w:val="006D2456"/>
    <w:pPr>
      <w:spacing w:after="120" w:line="480" w:lineRule="auto"/>
      <w:ind w:left="283"/>
    </w:pPr>
  </w:style>
  <w:style w:type="character" w:customStyle="1" w:styleId="BodyTextIndent2Char">
    <w:name w:val="Body Text Indent 2 Char"/>
    <w:basedOn w:val="DefaultParagraphFont"/>
    <w:link w:val="BodyTextIndent2"/>
    <w:semiHidden/>
    <w:rsid w:val="006D2456"/>
  </w:style>
  <w:style w:type="paragraph" w:styleId="BodyTextIndent3">
    <w:name w:val="Body Text Indent 3"/>
    <w:basedOn w:val="Normal"/>
    <w:link w:val="BodyTextIndent3Char"/>
    <w:semiHidden/>
    <w:unhideWhenUsed/>
    <w:rsid w:val="006D2456"/>
    <w:pPr>
      <w:spacing w:after="120"/>
      <w:ind w:left="283"/>
    </w:pPr>
    <w:rPr>
      <w:sz w:val="16"/>
      <w:szCs w:val="16"/>
    </w:rPr>
  </w:style>
  <w:style w:type="character" w:customStyle="1" w:styleId="BodyTextIndent3Char">
    <w:name w:val="Body Text Indent 3 Char"/>
    <w:basedOn w:val="DefaultParagraphFont"/>
    <w:link w:val="BodyTextIndent3"/>
    <w:semiHidden/>
    <w:rsid w:val="006D2456"/>
    <w:rPr>
      <w:sz w:val="16"/>
      <w:szCs w:val="16"/>
    </w:rPr>
  </w:style>
  <w:style w:type="paragraph" w:styleId="Closing">
    <w:name w:val="Closing"/>
    <w:basedOn w:val="Normal"/>
    <w:link w:val="ClosingChar"/>
    <w:semiHidden/>
    <w:unhideWhenUsed/>
    <w:rsid w:val="006D2456"/>
    <w:pPr>
      <w:spacing w:line="240" w:lineRule="auto"/>
      <w:ind w:left="4252"/>
    </w:pPr>
  </w:style>
  <w:style w:type="character" w:customStyle="1" w:styleId="ClosingChar">
    <w:name w:val="Closing Char"/>
    <w:basedOn w:val="DefaultParagraphFont"/>
    <w:link w:val="Closing"/>
    <w:semiHidden/>
    <w:rsid w:val="006D2456"/>
  </w:style>
  <w:style w:type="paragraph" w:styleId="DocumentMap">
    <w:name w:val="Document Map"/>
    <w:basedOn w:val="Normal"/>
    <w:link w:val="DocumentMapChar"/>
    <w:semiHidden/>
    <w:unhideWhenUsed/>
    <w:rsid w:val="006D2456"/>
    <w:pPr>
      <w:spacing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6D2456"/>
    <w:rPr>
      <w:rFonts w:ascii="Segoe UI" w:hAnsi="Segoe UI" w:cs="Segoe UI"/>
      <w:sz w:val="16"/>
      <w:szCs w:val="16"/>
    </w:rPr>
  </w:style>
  <w:style w:type="paragraph" w:styleId="E-mailSignature">
    <w:name w:val="E-mail Signature"/>
    <w:basedOn w:val="Normal"/>
    <w:link w:val="E-mailSignatureChar"/>
    <w:semiHidden/>
    <w:unhideWhenUsed/>
    <w:rsid w:val="006D2456"/>
    <w:pPr>
      <w:spacing w:line="240" w:lineRule="auto"/>
    </w:pPr>
  </w:style>
  <w:style w:type="character" w:customStyle="1" w:styleId="E-mailSignatureChar">
    <w:name w:val="E-mail Signature Char"/>
    <w:basedOn w:val="DefaultParagraphFont"/>
    <w:link w:val="E-mailSignature"/>
    <w:semiHidden/>
    <w:rsid w:val="006D2456"/>
  </w:style>
  <w:style w:type="paragraph" w:styleId="EndnoteText">
    <w:name w:val="endnote text"/>
    <w:basedOn w:val="Normal"/>
    <w:link w:val="EndnoteTextChar"/>
    <w:semiHidden/>
    <w:unhideWhenUsed/>
    <w:rsid w:val="006D2456"/>
    <w:pPr>
      <w:spacing w:line="240" w:lineRule="auto"/>
    </w:pPr>
    <w:rPr>
      <w:sz w:val="20"/>
      <w:szCs w:val="20"/>
    </w:rPr>
  </w:style>
  <w:style w:type="character" w:customStyle="1" w:styleId="EndnoteTextChar">
    <w:name w:val="Endnote Text Char"/>
    <w:basedOn w:val="DefaultParagraphFont"/>
    <w:link w:val="EndnoteText"/>
    <w:semiHidden/>
    <w:rsid w:val="006D2456"/>
    <w:rPr>
      <w:sz w:val="20"/>
      <w:szCs w:val="20"/>
    </w:rPr>
  </w:style>
  <w:style w:type="paragraph" w:styleId="EnvelopeAddress">
    <w:name w:val="envelope address"/>
    <w:basedOn w:val="Normal"/>
    <w:semiHidden/>
    <w:unhideWhenUsed/>
    <w:rsid w:val="006D2456"/>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D2456"/>
    <w:pPr>
      <w:spacing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6D2456"/>
    <w:pPr>
      <w:spacing w:line="240" w:lineRule="auto"/>
    </w:pPr>
    <w:rPr>
      <w:i/>
      <w:iCs/>
    </w:rPr>
  </w:style>
  <w:style w:type="character" w:customStyle="1" w:styleId="HTMLAddressChar">
    <w:name w:val="HTML Address Char"/>
    <w:basedOn w:val="DefaultParagraphFont"/>
    <w:link w:val="HTMLAddress"/>
    <w:semiHidden/>
    <w:rsid w:val="006D2456"/>
    <w:rPr>
      <w:i/>
      <w:iCs/>
    </w:rPr>
  </w:style>
  <w:style w:type="paragraph" w:styleId="HTMLPreformatted">
    <w:name w:val="HTML Preformatted"/>
    <w:basedOn w:val="Normal"/>
    <w:link w:val="HTMLPreformattedChar"/>
    <w:semiHidden/>
    <w:unhideWhenUsed/>
    <w:rsid w:val="006D2456"/>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6D2456"/>
    <w:rPr>
      <w:rFonts w:ascii="Consolas" w:hAnsi="Consolas"/>
      <w:sz w:val="20"/>
      <w:szCs w:val="20"/>
    </w:rPr>
  </w:style>
  <w:style w:type="paragraph" w:styleId="Index1">
    <w:name w:val="index 1"/>
    <w:basedOn w:val="Normal"/>
    <w:next w:val="Normal"/>
    <w:autoRedefine/>
    <w:semiHidden/>
    <w:unhideWhenUsed/>
    <w:rsid w:val="006D2456"/>
    <w:pPr>
      <w:spacing w:line="240" w:lineRule="auto"/>
      <w:ind w:left="220" w:hanging="220"/>
    </w:pPr>
  </w:style>
  <w:style w:type="paragraph" w:styleId="Index2">
    <w:name w:val="index 2"/>
    <w:basedOn w:val="Normal"/>
    <w:next w:val="Normal"/>
    <w:autoRedefine/>
    <w:semiHidden/>
    <w:unhideWhenUsed/>
    <w:rsid w:val="006D2456"/>
    <w:pPr>
      <w:spacing w:line="240" w:lineRule="auto"/>
      <w:ind w:left="440" w:hanging="220"/>
    </w:pPr>
  </w:style>
  <w:style w:type="paragraph" w:styleId="Index3">
    <w:name w:val="index 3"/>
    <w:basedOn w:val="Normal"/>
    <w:next w:val="Normal"/>
    <w:autoRedefine/>
    <w:semiHidden/>
    <w:unhideWhenUsed/>
    <w:rsid w:val="006D2456"/>
    <w:pPr>
      <w:spacing w:line="240" w:lineRule="auto"/>
      <w:ind w:left="660" w:hanging="220"/>
    </w:pPr>
  </w:style>
  <w:style w:type="paragraph" w:styleId="Index4">
    <w:name w:val="index 4"/>
    <w:basedOn w:val="Normal"/>
    <w:next w:val="Normal"/>
    <w:autoRedefine/>
    <w:semiHidden/>
    <w:unhideWhenUsed/>
    <w:rsid w:val="006D2456"/>
    <w:pPr>
      <w:spacing w:line="240" w:lineRule="auto"/>
      <w:ind w:left="880" w:hanging="220"/>
    </w:pPr>
  </w:style>
  <w:style w:type="paragraph" w:styleId="Index5">
    <w:name w:val="index 5"/>
    <w:basedOn w:val="Normal"/>
    <w:next w:val="Normal"/>
    <w:autoRedefine/>
    <w:semiHidden/>
    <w:unhideWhenUsed/>
    <w:rsid w:val="006D2456"/>
    <w:pPr>
      <w:spacing w:line="240" w:lineRule="auto"/>
      <w:ind w:left="1100" w:hanging="220"/>
    </w:pPr>
  </w:style>
  <w:style w:type="paragraph" w:styleId="Index6">
    <w:name w:val="index 6"/>
    <w:basedOn w:val="Normal"/>
    <w:next w:val="Normal"/>
    <w:autoRedefine/>
    <w:semiHidden/>
    <w:unhideWhenUsed/>
    <w:rsid w:val="006D2456"/>
    <w:pPr>
      <w:spacing w:line="240" w:lineRule="auto"/>
      <w:ind w:left="1320" w:hanging="220"/>
    </w:pPr>
  </w:style>
  <w:style w:type="paragraph" w:styleId="Index7">
    <w:name w:val="index 7"/>
    <w:basedOn w:val="Normal"/>
    <w:next w:val="Normal"/>
    <w:autoRedefine/>
    <w:semiHidden/>
    <w:unhideWhenUsed/>
    <w:rsid w:val="006D2456"/>
    <w:pPr>
      <w:spacing w:line="240" w:lineRule="auto"/>
      <w:ind w:left="1540" w:hanging="220"/>
    </w:pPr>
  </w:style>
  <w:style w:type="paragraph" w:styleId="Index8">
    <w:name w:val="index 8"/>
    <w:basedOn w:val="Normal"/>
    <w:next w:val="Normal"/>
    <w:autoRedefine/>
    <w:semiHidden/>
    <w:unhideWhenUsed/>
    <w:rsid w:val="006D2456"/>
    <w:pPr>
      <w:spacing w:line="240" w:lineRule="auto"/>
      <w:ind w:left="1760" w:hanging="220"/>
    </w:pPr>
  </w:style>
  <w:style w:type="paragraph" w:styleId="Index9">
    <w:name w:val="index 9"/>
    <w:basedOn w:val="Normal"/>
    <w:next w:val="Normal"/>
    <w:autoRedefine/>
    <w:semiHidden/>
    <w:unhideWhenUsed/>
    <w:rsid w:val="006D2456"/>
    <w:pPr>
      <w:spacing w:line="240" w:lineRule="auto"/>
      <w:ind w:left="1980" w:hanging="220"/>
    </w:pPr>
  </w:style>
  <w:style w:type="paragraph" w:styleId="IndexHeading">
    <w:name w:val="index heading"/>
    <w:basedOn w:val="Normal"/>
    <w:next w:val="Index1"/>
    <w:semiHidden/>
    <w:unhideWhenUsed/>
    <w:rsid w:val="006D245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6D2456"/>
    <w:pPr>
      <w:pBdr>
        <w:top w:val="single" w:sz="4" w:space="10" w:color="214C90" w:themeColor="accent1"/>
        <w:bottom w:val="single" w:sz="4" w:space="10" w:color="214C90" w:themeColor="accent1"/>
      </w:pBdr>
      <w:spacing w:before="360" w:after="360"/>
      <w:ind w:left="864" w:right="864"/>
      <w:jc w:val="center"/>
    </w:pPr>
    <w:rPr>
      <w:i/>
      <w:iCs/>
      <w:color w:val="214C90" w:themeColor="accent1"/>
    </w:rPr>
  </w:style>
  <w:style w:type="character" w:customStyle="1" w:styleId="IntenseQuoteChar">
    <w:name w:val="Intense Quote Char"/>
    <w:basedOn w:val="DefaultParagraphFont"/>
    <w:link w:val="IntenseQuote"/>
    <w:uiPriority w:val="30"/>
    <w:rsid w:val="006D2456"/>
    <w:rPr>
      <w:i/>
      <w:iCs/>
      <w:color w:val="214C90" w:themeColor="accent1"/>
    </w:rPr>
  </w:style>
  <w:style w:type="paragraph" w:styleId="List">
    <w:name w:val="List"/>
    <w:basedOn w:val="Normal"/>
    <w:semiHidden/>
    <w:unhideWhenUsed/>
    <w:rsid w:val="006D2456"/>
    <w:pPr>
      <w:ind w:left="283" w:hanging="283"/>
      <w:contextualSpacing/>
    </w:pPr>
  </w:style>
  <w:style w:type="paragraph" w:styleId="List2">
    <w:name w:val="List 2"/>
    <w:basedOn w:val="Normal"/>
    <w:semiHidden/>
    <w:unhideWhenUsed/>
    <w:rsid w:val="006D2456"/>
    <w:pPr>
      <w:ind w:left="566" w:hanging="283"/>
      <w:contextualSpacing/>
    </w:pPr>
  </w:style>
  <w:style w:type="paragraph" w:styleId="List3">
    <w:name w:val="List 3"/>
    <w:basedOn w:val="Normal"/>
    <w:semiHidden/>
    <w:unhideWhenUsed/>
    <w:rsid w:val="006D2456"/>
    <w:pPr>
      <w:ind w:left="849" w:hanging="283"/>
      <w:contextualSpacing/>
    </w:pPr>
  </w:style>
  <w:style w:type="paragraph" w:styleId="List4">
    <w:name w:val="List 4"/>
    <w:basedOn w:val="Normal"/>
    <w:rsid w:val="006D2456"/>
    <w:pPr>
      <w:ind w:left="1132" w:hanging="283"/>
      <w:contextualSpacing/>
    </w:pPr>
  </w:style>
  <w:style w:type="paragraph" w:styleId="List5">
    <w:name w:val="List 5"/>
    <w:basedOn w:val="Normal"/>
    <w:rsid w:val="006D2456"/>
    <w:pPr>
      <w:ind w:left="1415" w:hanging="283"/>
      <w:contextualSpacing/>
    </w:pPr>
  </w:style>
  <w:style w:type="paragraph" w:styleId="ListParagraph">
    <w:name w:val="List Paragraph"/>
    <w:aliases w:val="List Paragraph11,Recommendation,List Paragraph1,Bullet point,1 heading,Dot point 1.5 line spacing,L,List Paragraph - bullets,NFP GP Bulleted List,bullet point list,LP-DO NOT USE,Bulleted Para,CV text,Dot pt,F5 List Paragraph,FooterText"/>
    <w:basedOn w:val="Normal"/>
    <w:link w:val="ListParagraphChar"/>
    <w:uiPriority w:val="34"/>
    <w:qFormat/>
    <w:rsid w:val="006D2456"/>
    <w:pPr>
      <w:ind w:left="720"/>
      <w:contextualSpacing/>
    </w:pPr>
  </w:style>
  <w:style w:type="paragraph" w:styleId="MacroText">
    <w:name w:val="macro"/>
    <w:link w:val="MacroTextChar"/>
    <w:semiHidden/>
    <w:unhideWhenUsed/>
    <w:rsid w:val="006D245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semiHidden/>
    <w:rsid w:val="006D2456"/>
    <w:rPr>
      <w:rFonts w:ascii="Consolas" w:hAnsi="Consolas"/>
      <w:sz w:val="20"/>
      <w:szCs w:val="20"/>
    </w:rPr>
  </w:style>
  <w:style w:type="paragraph" w:styleId="MessageHeader">
    <w:name w:val="Message Header"/>
    <w:basedOn w:val="Normal"/>
    <w:link w:val="MessageHeaderChar"/>
    <w:semiHidden/>
    <w:unhideWhenUsed/>
    <w:rsid w:val="006D245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D2456"/>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6D2456"/>
    <w:pPr>
      <w:ind w:left="720"/>
    </w:pPr>
  </w:style>
  <w:style w:type="paragraph" w:styleId="NoteHeading">
    <w:name w:val="Note Heading"/>
    <w:basedOn w:val="Normal"/>
    <w:next w:val="Normal"/>
    <w:link w:val="NoteHeadingChar"/>
    <w:semiHidden/>
    <w:unhideWhenUsed/>
    <w:rsid w:val="006D2456"/>
    <w:pPr>
      <w:spacing w:line="240" w:lineRule="auto"/>
    </w:pPr>
  </w:style>
  <w:style w:type="character" w:customStyle="1" w:styleId="NoteHeadingChar">
    <w:name w:val="Note Heading Char"/>
    <w:basedOn w:val="DefaultParagraphFont"/>
    <w:link w:val="NoteHeading"/>
    <w:semiHidden/>
    <w:rsid w:val="006D2456"/>
  </w:style>
  <w:style w:type="paragraph" w:styleId="PlainText">
    <w:name w:val="Plain Text"/>
    <w:basedOn w:val="Normal"/>
    <w:link w:val="PlainTextChar"/>
    <w:semiHidden/>
    <w:unhideWhenUsed/>
    <w:rsid w:val="006D2456"/>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6D2456"/>
    <w:rPr>
      <w:rFonts w:ascii="Consolas" w:hAnsi="Consolas"/>
      <w:sz w:val="21"/>
      <w:szCs w:val="21"/>
    </w:rPr>
  </w:style>
  <w:style w:type="paragraph" w:styleId="Salutation">
    <w:name w:val="Salutation"/>
    <w:basedOn w:val="Normal"/>
    <w:next w:val="Normal"/>
    <w:link w:val="SalutationChar"/>
    <w:rsid w:val="006D2456"/>
  </w:style>
  <w:style w:type="character" w:customStyle="1" w:styleId="SalutationChar">
    <w:name w:val="Salutation Char"/>
    <w:basedOn w:val="DefaultParagraphFont"/>
    <w:link w:val="Salutation"/>
    <w:rsid w:val="006D2456"/>
  </w:style>
  <w:style w:type="paragraph" w:styleId="Signature">
    <w:name w:val="Signature"/>
    <w:basedOn w:val="Normal"/>
    <w:link w:val="SignatureChar"/>
    <w:semiHidden/>
    <w:unhideWhenUsed/>
    <w:rsid w:val="006D2456"/>
    <w:pPr>
      <w:spacing w:line="240" w:lineRule="auto"/>
      <w:ind w:left="4252"/>
    </w:pPr>
  </w:style>
  <w:style w:type="character" w:customStyle="1" w:styleId="SignatureChar">
    <w:name w:val="Signature Char"/>
    <w:basedOn w:val="DefaultParagraphFont"/>
    <w:link w:val="Signature"/>
    <w:semiHidden/>
    <w:rsid w:val="006D2456"/>
  </w:style>
  <w:style w:type="paragraph" w:styleId="TableofAuthorities">
    <w:name w:val="table of authorities"/>
    <w:basedOn w:val="Normal"/>
    <w:next w:val="Normal"/>
    <w:semiHidden/>
    <w:unhideWhenUsed/>
    <w:rsid w:val="006D2456"/>
    <w:pPr>
      <w:ind w:left="220" w:hanging="220"/>
    </w:pPr>
  </w:style>
  <w:style w:type="paragraph" w:styleId="TOAHeading">
    <w:name w:val="toa heading"/>
    <w:basedOn w:val="Normal"/>
    <w:next w:val="Normal"/>
    <w:semiHidden/>
    <w:unhideWhenUsed/>
    <w:rsid w:val="006D2456"/>
    <w:pPr>
      <w:spacing w:before="120"/>
    </w:pPr>
    <w:rPr>
      <w:rFonts w:asciiTheme="majorHAnsi" w:eastAsiaTheme="majorEastAsia" w:hAnsiTheme="majorHAnsi" w:cstheme="majorBidi"/>
      <w:b/>
      <w:bCs/>
      <w:sz w:val="24"/>
      <w:szCs w:val="24"/>
    </w:rPr>
  </w:style>
  <w:style w:type="paragraph" w:styleId="TOC6">
    <w:name w:val="toc 6"/>
    <w:basedOn w:val="Normal"/>
    <w:next w:val="Normal"/>
    <w:autoRedefine/>
    <w:uiPriority w:val="39"/>
    <w:semiHidden/>
    <w:unhideWhenUsed/>
    <w:rsid w:val="006D2456"/>
    <w:pPr>
      <w:spacing w:after="100"/>
      <w:ind w:left="1100"/>
    </w:pPr>
  </w:style>
  <w:style w:type="paragraph" w:styleId="TOC7">
    <w:name w:val="toc 7"/>
    <w:basedOn w:val="Normal"/>
    <w:next w:val="Normal"/>
    <w:autoRedefine/>
    <w:uiPriority w:val="39"/>
    <w:semiHidden/>
    <w:unhideWhenUsed/>
    <w:rsid w:val="006D2456"/>
    <w:pPr>
      <w:spacing w:after="100"/>
      <w:ind w:left="1320"/>
    </w:pPr>
  </w:style>
  <w:style w:type="paragraph" w:styleId="TOC8">
    <w:name w:val="toc 8"/>
    <w:basedOn w:val="Normal"/>
    <w:next w:val="Normal"/>
    <w:autoRedefine/>
    <w:uiPriority w:val="39"/>
    <w:semiHidden/>
    <w:unhideWhenUsed/>
    <w:rsid w:val="006D2456"/>
    <w:pPr>
      <w:spacing w:after="100"/>
      <w:ind w:left="1540"/>
    </w:pPr>
  </w:style>
  <w:style w:type="paragraph" w:styleId="TOC9">
    <w:name w:val="toc 9"/>
    <w:basedOn w:val="Normal"/>
    <w:next w:val="Normal"/>
    <w:autoRedefine/>
    <w:uiPriority w:val="39"/>
    <w:semiHidden/>
    <w:unhideWhenUsed/>
    <w:rsid w:val="006D2456"/>
    <w:pPr>
      <w:spacing w:after="100"/>
      <w:ind w:left="1760"/>
    </w:pPr>
  </w:style>
  <w:style w:type="paragraph" w:customStyle="1" w:styleId="text">
    <w:name w:val="text"/>
    <w:basedOn w:val="Normal"/>
    <w:uiPriority w:val="99"/>
    <w:rsid w:val="00B43CAD"/>
    <w:pPr>
      <w:widowControl w:val="0"/>
      <w:suppressAutoHyphens/>
      <w:autoSpaceDE w:val="0"/>
      <w:autoSpaceDN w:val="0"/>
      <w:adjustRightInd w:val="0"/>
      <w:spacing w:after="170" w:line="210" w:lineRule="atLeast"/>
      <w:textAlignment w:val="center"/>
    </w:pPr>
    <w:rPr>
      <w:rFonts w:ascii="ArialMT" w:eastAsia="Cambria" w:hAnsi="ArialMT" w:cs="ArialMT"/>
      <w:color w:val="000000"/>
      <w:sz w:val="17"/>
      <w:szCs w:val="17"/>
      <w:lang w:val="en-GB" w:eastAsia="en-US"/>
    </w:rPr>
  </w:style>
  <w:style w:type="paragraph" w:customStyle="1" w:styleId="ExecSummHeading2">
    <w:name w:val="Exec Summ Heading 2"/>
    <w:basedOn w:val="Normal"/>
    <w:next w:val="BodyText"/>
    <w:qFormat/>
    <w:rsid w:val="00B43CAD"/>
    <w:pPr>
      <w:spacing w:before="360" w:after="240"/>
      <w:ind w:left="851" w:hanging="851"/>
    </w:pPr>
    <w:rPr>
      <w:rFonts w:asciiTheme="majorHAnsi" w:hAnsiTheme="majorHAnsi"/>
      <w:b/>
      <w:color w:val="007BC1"/>
      <w:sz w:val="28"/>
    </w:rPr>
  </w:style>
  <w:style w:type="paragraph" w:customStyle="1" w:styleId="ExecSummBodyText">
    <w:name w:val="Exec Summ Body Text"/>
    <w:basedOn w:val="Normal"/>
    <w:qFormat/>
    <w:rsid w:val="00B43CAD"/>
    <w:pPr>
      <w:spacing w:before="240" w:after="120"/>
    </w:pPr>
    <w:rPr>
      <w:rFonts w:ascii="Arial" w:hAnsi="Arial"/>
    </w:rPr>
  </w:style>
  <w:style w:type="paragraph" w:customStyle="1" w:styleId="Tabletext">
    <w:name w:val="Table text"/>
    <w:basedOn w:val="Normal"/>
    <w:qFormat/>
    <w:rsid w:val="006F7674"/>
    <w:pPr>
      <w:spacing w:line="276" w:lineRule="auto"/>
    </w:pPr>
    <w:rPr>
      <w:rFonts w:ascii="Arial" w:eastAsia="Calibri" w:hAnsi="Arial"/>
      <w:lang w:eastAsia="en-US"/>
    </w:rPr>
  </w:style>
  <w:style w:type="numbering" w:customStyle="1" w:styleId="BulletList">
    <w:name w:val="Bullet List"/>
    <w:uiPriority w:val="99"/>
    <w:rsid w:val="00DD7CBF"/>
    <w:pPr>
      <w:numPr>
        <w:numId w:val="12"/>
      </w:numPr>
    </w:pPr>
  </w:style>
  <w:style w:type="table" w:customStyle="1" w:styleId="AxiomAgendaMinutes">
    <w:name w:val="Axiom Agenda/Minutes"/>
    <w:basedOn w:val="TableNormal"/>
    <w:uiPriority w:val="99"/>
    <w:rsid w:val="0096305E"/>
    <w:pPr>
      <w:spacing w:line="240" w:lineRule="auto"/>
    </w:pPr>
    <w:tblPr>
      <w:tblBorders>
        <w:top w:val="single" w:sz="4" w:space="0" w:color="auto"/>
        <w:bottom w:val="single" w:sz="4" w:space="0" w:color="auto"/>
        <w:insideV w:val="single" w:sz="4" w:space="0" w:color="auto"/>
      </w:tblBorders>
      <w:tblCellMar>
        <w:top w:w="57" w:type="dxa"/>
        <w:left w:w="45" w:type="dxa"/>
        <w:bottom w:w="57" w:type="dxa"/>
        <w:right w:w="45" w:type="dxa"/>
      </w:tblCellMar>
    </w:tblPr>
    <w:tblStylePr w:type="firstRow">
      <w:tblPr/>
      <w:trPr>
        <w:cantSplit/>
        <w:tblHeader/>
      </w:trPr>
      <w:tcPr>
        <w:tcBorders>
          <w:top w:val="single" w:sz="4" w:space="0" w:color="auto"/>
          <w:left w:val="nil"/>
          <w:bottom w:val="single" w:sz="4" w:space="0" w:color="auto"/>
          <w:right w:val="nil"/>
          <w:insideH w:val="nil"/>
          <w:insideV w:val="single" w:sz="4" w:space="0" w:color="auto"/>
          <w:tl2br w:val="nil"/>
          <w:tr2bl w:val="nil"/>
        </w:tcBorders>
      </w:tcPr>
    </w:tblStylePr>
  </w:style>
  <w:style w:type="character" w:customStyle="1" w:styleId="ListBulletChar">
    <w:name w:val="List Bullet Char"/>
    <w:basedOn w:val="BodyTextChar"/>
    <w:link w:val="ListBullet"/>
    <w:rsid w:val="009A3A01"/>
    <w:rPr>
      <w:rFonts w:ascii="Arial" w:hAnsi="Arial"/>
    </w:rPr>
  </w:style>
  <w:style w:type="character" w:customStyle="1" w:styleId="ListParagraphChar">
    <w:name w:val="List Paragraph Char"/>
    <w:aliases w:val="List Paragraph11 Char,Recommendation Char,List Paragraph1 Char,Bullet point Char,1 heading Char,Dot point 1.5 line spacing Char,L Char,List Paragraph - bullets Char,NFP GP Bulleted List Char,bullet point list Char,LP-DO NOT USE Char"/>
    <w:basedOn w:val="DefaultParagraphFont"/>
    <w:link w:val="ListParagraph"/>
    <w:uiPriority w:val="34"/>
    <w:locked/>
    <w:rsid w:val="00762921"/>
  </w:style>
  <w:style w:type="character" w:customStyle="1" w:styleId="UnresolvedMention1">
    <w:name w:val="Unresolved Mention1"/>
    <w:basedOn w:val="DefaultParagraphFont"/>
    <w:uiPriority w:val="99"/>
    <w:semiHidden/>
    <w:unhideWhenUsed/>
    <w:rsid w:val="00095A3A"/>
    <w:rPr>
      <w:color w:val="808080"/>
      <w:shd w:val="clear" w:color="auto" w:fill="E6E6E6"/>
    </w:rPr>
  </w:style>
  <w:style w:type="character" w:customStyle="1" w:styleId="CaptionChar">
    <w:name w:val="Caption Char"/>
    <w:basedOn w:val="DefaultParagraphFont"/>
    <w:link w:val="Caption"/>
    <w:rsid w:val="00437468"/>
    <w:rPr>
      <w:rFonts w:eastAsiaTheme="minorHAnsi" w:cstheme="minorBidi"/>
      <w:b/>
      <w:bCs/>
      <w:lang w:eastAsia="fr-CA"/>
    </w:rPr>
  </w:style>
  <w:style w:type="paragraph" w:customStyle="1" w:styleId="Default">
    <w:name w:val="Default"/>
    <w:rsid w:val="008449E5"/>
    <w:pPr>
      <w:autoSpaceDE w:val="0"/>
      <w:autoSpaceDN w:val="0"/>
      <w:adjustRightInd w:val="0"/>
      <w:spacing w:line="240" w:lineRule="auto"/>
    </w:pPr>
    <w:rPr>
      <w:rFonts w:ascii="Arial" w:hAnsi="Arial" w:cs="Arial"/>
      <w:color w:val="000000"/>
      <w:sz w:val="24"/>
      <w:szCs w:val="24"/>
    </w:rPr>
  </w:style>
  <w:style w:type="paragraph" w:customStyle="1" w:styleId="Am-EMR-Body-List-1-MNum">
    <w:name w:val="Am-EMR-Body-List-1-MNum"/>
    <w:basedOn w:val="Normal"/>
    <w:uiPriority w:val="99"/>
    <w:rsid w:val="009403A4"/>
    <w:pPr>
      <w:tabs>
        <w:tab w:val="left" w:pos="1134"/>
      </w:tabs>
      <w:autoSpaceDE w:val="0"/>
      <w:autoSpaceDN w:val="0"/>
      <w:adjustRightInd w:val="0"/>
      <w:spacing w:before="120" w:after="120" w:line="240" w:lineRule="auto"/>
      <w:ind w:left="1134" w:hanging="567"/>
    </w:pPr>
    <w:rPr>
      <w:rFonts w:ascii="Times New Roman" w:hAnsi="Times New Roman"/>
      <w:color w:val="000000"/>
      <w:sz w:val="24"/>
      <w:szCs w:val="24"/>
    </w:rPr>
  </w:style>
  <w:style w:type="paragraph" w:customStyle="1" w:styleId="BulletsL1">
    <w:name w:val="Bullets L1"/>
    <w:basedOn w:val="Normal"/>
    <w:uiPriority w:val="4"/>
    <w:qFormat/>
    <w:locked/>
    <w:rsid w:val="00DA5180"/>
    <w:pPr>
      <w:numPr>
        <w:numId w:val="15"/>
      </w:numPr>
      <w:spacing w:before="180" w:line="268" w:lineRule="auto"/>
      <w:jc w:val="both"/>
    </w:pPr>
    <w:rPr>
      <w:rFonts w:ascii="Arial" w:hAnsi="Arial"/>
      <w:sz w:val="20"/>
      <w:lang w:eastAsia="en-US"/>
    </w:rPr>
  </w:style>
  <w:style w:type="paragraph" w:customStyle="1" w:styleId="BulletsL2">
    <w:name w:val="Bullets L2"/>
    <w:basedOn w:val="BulletsL1"/>
    <w:uiPriority w:val="4"/>
    <w:qFormat/>
    <w:locked/>
    <w:rsid w:val="00DA5180"/>
    <w:pPr>
      <w:numPr>
        <w:ilvl w:val="1"/>
      </w:numPr>
    </w:pPr>
  </w:style>
  <w:style w:type="paragraph" w:customStyle="1" w:styleId="BulletsL3">
    <w:name w:val="Bullets L3"/>
    <w:basedOn w:val="BulletsL2"/>
    <w:uiPriority w:val="4"/>
    <w:qFormat/>
    <w:rsid w:val="00DA5180"/>
    <w:pPr>
      <w:numPr>
        <w:ilvl w:val="2"/>
      </w:numPr>
    </w:pPr>
  </w:style>
  <w:style w:type="paragraph" w:customStyle="1" w:styleId="EMR-Rule-Title-Lvl-3">
    <w:name w:val="EMR-Rule-Title-Lvl-3"/>
    <w:basedOn w:val="Normal"/>
    <w:uiPriority w:val="99"/>
    <w:rsid w:val="008638DD"/>
    <w:pPr>
      <w:keepNext/>
      <w:keepLines/>
      <w:tabs>
        <w:tab w:val="left" w:pos="1134"/>
      </w:tabs>
      <w:autoSpaceDE w:val="0"/>
      <w:autoSpaceDN w:val="0"/>
      <w:adjustRightInd w:val="0"/>
      <w:spacing w:before="240" w:after="60" w:line="240" w:lineRule="auto"/>
      <w:ind w:left="1134" w:hanging="1134"/>
      <w:outlineLvl w:val="2"/>
    </w:pPr>
    <w:rPr>
      <w:rFonts w:ascii="Arial Bold" w:hAnsi="Arial Bold" w:cs="Arial Bold"/>
      <w:b/>
      <w:bCs/>
      <w:color w:val="000000"/>
      <w:sz w:val="26"/>
      <w:szCs w:val="26"/>
    </w:rPr>
  </w:style>
  <w:style w:type="paragraph" w:customStyle="1" w:styleId="Am-EMR-Body-List-2-MNum">
    <w:name w:val="Am-EMR-Body-List-2-MNum"/>
    <w:basedOn w:val="Normal"/>
    <w:uiPriority w:val="99"/>
    <w:rsid w:val="008638DD"/>
    <w:pPr>
      <w:tabs>
        <w:tab w:val="left" w:pos="1701"/>
      </w:tabs>
      <w:autoSpaceDE w:val="0"/>
      <w:autoSpaceDN w:val="0"/>
      <w:adjustRightInd w:val="0"/>
      <w:spacing w:before="120" w:after="120" w:line="240" w:lineRule="auto"/>
      <w:ind w:left="1701" w:hanging="567"/>
    </w:pPr>
    <w:rPr>
      <w:rFonts w:ascii="Times New Roman" w:hAnsi="Times New Roman"/>
      <w:color w:val="000000"/>
      <w:sz w:val="24"/>
      <w:szCs w:val="24"/>
    </w:rPr>
  </w:style>
  <w:style w:type="paragraph" w:customStyle="1" w:styleId="AERbodytext">
    <w:name w:val="AER body text"/>
    <w:link w:val="AERbodytextChar"/>
    <w:qFormat/>
    <w:rsid w:val="001879CF"/>
    <w:pPr>
      <w:spacing w:after="240" w:line="288" w:lineRule="auto"/>
      <w:jc w:val="both"/>
    </w:pPr>
    <w:rPr>
      <w:rFonts w:ascii="Gautami" w:hAnsi="Gautami"/>
      <w:sz w:val="20"/>
      <w:szCs w:val="24"/>
      <w:lang w:eastAsia="en-US"/>
    </w:rPr>
  </w:style>
  <w:style w:type="paragraph" w:customStyle="1" w:styleId="AERbulletlistsecondstyle">
    <w:name w:val="AER bullet list (second style)"/>
    <w:basedOn w:val="AERbodytext"/>
    <w:qFormat/>
    <w:rsid w:val="001879CF"/>
    <w:pPr>
      <w:numPr>
        <w:numId w:val="16"/>
      </w:numPr>
      <w:spacing w:after="200"/>
      <w:ind w:left="992" w:hanging="992"/>
    </w:pPr>
  </w:style>
  <w:style w:type="paragraph" w:customStyle="1" w:styleId="AERnumberedlistfirststyle">
    <w:name w:val="AER numbered list (first style)"/>
    <w:basedOn w:val="AERbodytext"/>
    <w:qFormat/>
    <w:rsid w:val="001879CF"/>
    <w:pPr>
      <w:numPr>
        <w:numId w:val="17"/>
      </w:numPr>
      <w:tabs>
        <w:tab w:val="clear" w:pos="357"/>
      </w:tabs>
      <w:spacing w:after="200" w:line="200" w:lineRule="atLeast"/>
      <w:ind w:left="0" w:firstLine="0"/>
    </w:pPr>
  </w:style>
  <w:style w:type="character" w:customStyle="1" w:styleId="AERbodytextChar">
    <w:name w:val="AER body text Char"/>
    <w:basedOn w:val="DefaultParagraphFont"/>
    <w:link w:val="AERbodytext"/>
    <w:rsid w:val="001879CF"/>
    <w:rPr>
      <w:rFonts w:ascii="Gautami" w:hAnsi="Gautami"/>
      <w:sz w:val="20"/>
      <w:szCs w:val="24"/>
      <w:lang w:eastAsia="en-US"/>
    </w:rPr>
  </w:style>
  <w:style w:type="paragraph" w:customStyle="1" w:styleId="Tablebullet">
    <w:name w:val="Table bullet"/>
    <w:basedOn w:val="BulletsL1"/>
    <w:qFormat/>
    <w:rsid w:val="00B331E5"/>
    <w:pPr>
      <w:numPr>
        <w:numId w:val="0"/>
      </w:numPr>
      <w:tabs>
        <w:tab w:val="num" w:pos="357"/>
      </w:tabs>
      <w:spacing w:before="60" w:line="269" w:lineRule="auto"/>
      <w:ind w:left="567"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29077">
      <w:bodyDiv w:val="1"/>
      <w:marLeft w:val="0"/>
      <w:marRight w:val="0"/>
      <w:marTop w:val="0"/>
      <w:marBottom w:val="0"/>
      <w:divBdr>
        <w:top w:val="none" w:sz="0" w:space="0" w:color="auto"/>
        <w:left w:val="none" w:sz="0" w:space="0" w:color="auto"/>
        <w:bottom w:val="none" w:sz="0" w:space="0" w:color="auto"/>
        <w:right w:val="none" w:sz="0" w:space="0" w:color="auto"/>
      </w:divBdr>
    </w:div>
    <w:div w:id="158271094">
      <w:bodyDiv w:val="1"/>
      <w:marLeft w:val="0"/>
      <w:marRight w:val="0"/>
      <w:marTop w:val="0"/>
      <w:marBottom w:val="0"/>
      <w:divBdr>
        <w:top w:val="none" w:sz="0" w:space="0" w:color="auto"/>
        <w:left w:val="none" w:sz="0" w:space="0" w:color="auto"/>
        <w:bottom w:val="none" w:sz="0" w:space="0" w:color="auto"/>
        <w:right w:val="none" w:sz="0" w:space="0" w:color="auto"/>
      </w:divBdr>
    </w:div>
    <w:div w:id="214395428">
      <w:bodyDiv w:val="1"/>
      <w:marLeft w:val="0"/>
      <w:marRight w:val="0"/>
      <w:marTop w:val="0"/>
      <w:marBottom w:val="0"/>
      <w:divBdr>
        <w:top w:val="none" w:sz="0" w:space="0" w:color="auto"/>
        <w:left w:val="none" w:sz="0" w:space="0" w:color="auto"/>
        <w:bottom w:val="none" w:sz="0" w:space="0" w:color="auto"/>
        <w:right w:val="none" w:sz="0" w:space="0" w:color="auto"/>
      </w:divBdr>
    </w:div>
    <w:div w:id="288363768">
      <w:bodyDiv w:val="1"/>
      <w:marLeft w:val="0"/>
      <w:marRight w:val="0"/>
      <w:marTop w:val="0"/>
      <w:marBottom w:val="0"/>
      <w:divBdr>
        <w:top w:val="none" w:sz="0" w:space="0" w:color="auto"/>
        <w:left w:val="none" w:sz="0" w:space="0" w:color="auto"/>
        <w:bottom w:val="none" w:sz="0" w:space="0" w:color="auto"/>
        <w:right w:val="none" w:sz="0" w:space="0" w:color="auto"/>
      </w:divBdr>
    </w:div>
    <w:div w:id="294725872">
      <w:bodyDiv w:val="1"/>
      <w:marLeft w:val="0"/>
      <w:marRight w:val="0"/>
      <w:marTop w:val="0"/>
      <w:marBottom w:val="0"/>
      <w:divBdr>
        <w:top w:val="none" w:sz="0" w:space="0" w:color="auto"/>
        <w:left w:val="none" w:sz="0" w:space="0" w:color="auto"/>
        <w:bottom w:val="none" w:sz="0" w:space="0" w:color="auto"/>
        <w:right w:val="none" w:sz="0" w:space="0" w:color="auto"/>
      </w:divBdr>
    </w:div>
    <w:div w:id="322588373">
      <w:bodyDiv w:val="1"/>
      <w:marLeft w:val="0"/>
      <w:marRight w:val="0"/>
      <w:marTop w:val="0"/>
      <w:marBottom w:val="0"/>
      <w:divBdr>
        <w:top w:val="none" w:sz="0" w:space="0" w:color="auto"/>
        <w:left w:val="none" w:sz="0" w:space="0" w:color="auto"/>
        <w:bottom w:val="none" w:sz="0" w:space="0" w:color="auto"/>
        <w:right w:val="none" w:sz="0" w:space="0" w:color="auto"/>
      </w:divBdr>
    </w:div>
    <w:div w:id="421492480">
      <w:bodyDiv w:val="1"/>
      <w:marLeft w:val="0"/>
      <w:marRight w:val="0"/>
      <w:marTop w:val="0"/>
      <w:marBottom w:val="0"/>
      <w:divBdr>
        <w:top w:val="none" w:sz="0" w:space="0" w:color="auto"/>
        <w:left w:val="none" w:sz="0" w:space="0" w:color="auto"/>
        <w:bottom w:val="none" w:sz="0" w:space="0" w:color="auto"/>
        <w:right w:val="none" w:sz="0" w:space="0" w:color="auto"/>
      </w:divBdr>
    </w:div>
    <w:div w:id="488981284">
      <w:bodyDiv w:val="1"/>
      <w:marLeft w:val="0"/>
      <w:marRight w:val="0"/>
      <w:marTop w:val="0"/>
      <w:marBottom w:val="0"/>
      <w:divBdr>
        <w:top w:val="none" w:sz="0" w:space="0" w:color="auto"/>
        <w:left w:val="none" w:sz="0" w:space="0" w:color="auto"/>
        <w:bottom w:val="none" w:sz="0" w:space="0" w:color="auto"/>
        <w:right w:val="none" w:sz="0" w:space="0" w:color="auto"/>
      </w:divBdr>
    </w:div>
    <w:div w:id="568734595">
      <w:bodyDiv w:val="1"/>
      <w:marLeft w:val="0"/>
      <w:marRight w:val="0"/>
      <w:marTop w:val="0"/>
      <w:marBottom w:val="0"/>
      <w:divBdr>
        <w:top w:val="none" w:sz="0" w:space="0" w:color="auto"/>
        <w:left w:val="none" w:sz="0" w:space="0" w:color="auto"/>
        <w:bottom w:val="none" w:sz="0" w:space="0" w:color="auto"/>
        <w:right w:val="none" w:sz="0" w:space="0" w:color="auto"/>
      </w:divBdr>
    </w:div>
    <w:div w:id="790126893">
      <w:bodyDiv w:val="1"/>
      <w:marLeft w:val="0"/>
      <w:marRight w:val="0"/>
      <w:marTop w:val="0"/>
      <w:marBottom w:val="0"/>
      <w:divBdr>
        <w:top w:val="none" w:sz="0" w:space="0" w:color="auto"/>
        <w:left w:val="none" w:sz="0" w:space="0" w:color="auto"/>
        <w:bottom w:val="none" w:sz="0" w:space="0" w:color="auto"/>
        <w:right w:val="none" w:sz="0" w:space="0" w:color="auto"/>
      </w:divBdr>
    </w:div>
    <w:div w:id="797259483">
      <w:bodyDiv w:val="1"/>
      <w:marLeft w:val="0"/>
      <w:marRight w:val="0"/>
      <w:marTop w:val="0"/>
      <w:marBottom w:val="0"/>
      <w:divBdr>
        <w:top w:val="none" w:sz="0" w:space="0" w:color="auto"/>
        <w:left w:val="none" w:sz="0" w:space="0" w:color="auto"/>
        <w:bottom w:val="none" w:sz="0" w:space="0" w:color="auto"/>
        <w:right w:val="none" w:sz="0" w:space="0" w:color="auto"/>
      </w:divBdr>
    </w:div>
    <w:div w:id="853882585">
      <w:bodyDiv w:val="1"/>
      <w:marLeft w:val="0"/>
      <w:marRight w:val="0"/>
      <w:marTop w:val="0"/>
      <w:marBottom w:val="0"/>
      <w:divBdr>
        <w:top w:val="none" w:sz="0" w:space="0" w:color="auto"/>
        <w:left w:val="none" w:sz="0" w:space="0" w:color="auto"/>
        <w:bottom w:val="none" w:sz="0" w:space="0" w:color="auto"/>
        <w:right w:val="none" w:sz="0" w:space="0" w:color="auto"/>
      </w:divBdr>
    </w:div>
    <w:div w:id="873427532">
      <w:bodyDiv w:val="1"/>
      <w:marLeft w:val="0"/>
      <w:marRight w:val="0"/>
      <w:marTop w:val="0"/>
      <w:marBottom w:val="0"/>
      <w:divBdr>
        <w:top w:val="none" w:sz="0" w:space="0" w:color="auto"/>
        <w:left w:val="none" w:sz="0" w:space="0" w:color="auto"/>
        <w:bottom w:val="none" w:sz="0" w:space="0" w:color="auto"/>
        <w:right w:val="none" w:sz="0" w:space="0" w:color="auto"/>
      </w:divBdr>
    </w:div>
    <w:div w:id="895091650">
      <w:bodyDiv w:val="1"/>
      <w:marLeft w:val="0"/>
      <w:marRight w:val="0"/>
      <w:marTop w:val="0"/>
      <w:marBottom w:val="0"/>
      <w:divBdr>
        <w:top w:val="none" w:sz="0" w:space="0" w:color="auto"/>
        <w:left w:val="none" w:sz="0" w:space="0" w:color="auto"/>
        <w:bottom w:val="none" w:sz="0" w:space="0" w:color="auto"/>
        <w:right w:val="none" w:sz="0" w:space="0" w:color="auto"/>
      </w:divBdr>
    </w:div>
    <w:div w:id="945694869">
      <w:bodyDiv w:val="1"/>
      <w:marLeft w:val="0"/>
      <w:marRight w:val="0"/>
      <w:marTop w:val="0"/>
      <w:marBottom w:val="0"/>
      <w:divBdr>
        <w:top w:val="none" w:sz="0" w:space="0" w:color="auto"/>
        <w:left w:val="none" w:sz="0" w:space="0" w:color="auto"/>
        <w:bottom w:val="none" w:sz="0" w:space="0" w:color="auto"/>
        <w:right w:val="none" w:sz="0" w:space="0" w:color="auto"/>
      </w:divBdr>
    </w:div>
    <w:div w:id="952518963">
      <w:bodyDiv w:val="1"/>
      <w:marLeft w:val="0"/>
      <w:marRight w:val="0"/>
      <w:marTop w:val="0"/>
      <w:marBottom w:val="0"/>
      <w:divBdr>
        <w:top w:val="none" w:sz="0" w:space="0" w:color="auto"/>
        <w:left w:val="none" w:sz="0" w:space="0" w:color="auto"/>
        <w:bottom w:val="none" w:sz="0" w:space="0" w:color="auto"/>
        <w:right w:val="none" w:sz="0" w:space="0" w:color="auto"/>
      </w:divBdr>
    </w:div>
    <w:div w:id="1006979234">
      <w:bodyDiv w:val="1"/>
      <w:marLeft w:val="0"/>
      <w:marRight w:val="0"/>
      <w:marTop w:val="0"/>
      <w:marBottom w:val="0"/>
      <w:divBdr>
        <w:top w:val="none" w:sz="0" w:space="0" w:color="auto"/>
        <w:left w:val="none" w:sz="0" w:space="0" w:color="auto"/>
        <w:bottom w:val="none" w:sz="0" w:space="0" w:color="auto"/>
        <w:right w:val="none" w:sz="0" w:space="0" w:color="auto"/>
      </w:divBdr>
    </w:div>
    <w:div w:id="1055280690">
      <w:bodyDiv w:val="1"/>
      <w:marLeft w:val="0"/>
      <w:marRight w:val="0"/>
      <w:marTop w:val="0"/>
      <w:marBottom w:val="0"/>
      <w:divBdr>
        <w:top w:val="none" w:sz="0" w:space="0" w:color="auto"/>
        <w:left w:val="none" w:sz="0" w:space="0" w:color="auto"/>
        <w:bottom w:val="none" w:sz="0" w:space="0" w:color="auto"/>
        <w:right w:val="none" w:sz="0" w:space="0" w:color="auto"/>
      </w:divBdr>
    </w:div>
    <w:div w:id="1135949092">
      <w:bodyDiv w:val="1"/>
      <w:marLeft w:val="0"/>
      <w:marRight w:val="0"/>
      <w:marTop w:val="0"/>
      <w:marBottom w:val="0"/>
      <w:divBdr>
        <w:top w:val="none" w:sz="0" w:space="0" w:color="auto"/>
        <w:left w:val="none" w:sz="0" w:space="0" w:color="auto"/>
        <w:bottom w:val="none" w:sz="0" w:space="0" w:color="auto"/>
        <w:right w:val="none" w:sz="0" w:space="0" w:color="auto"/>
      </w:divBdr>
    </w:div>
    <w:div w:id="1150362342">
      <w:bodyDiv w:val="1"/>
      <w:marLeft w:val="0"/>
      <w:marRight w:val="0"/>
      <w:marTop w:val="0"/>
      <w:marBottom w:val="0"/>
      <w:divBdr>
        <w:top w:val="none" w:sz="0" w:space="0" w:color="auto"/>
        <w:left w:val="none" w:sz="0" w:space="0" w:color="auto"/>
        <w:bottom w:val="none" w:sz="0" w:space="0" w:color="auto"/>
        <w:right w:val="none" w:sz="0" w:space="0" w:color="auto"/>
      </w:divBdr>
    </w:div>
    <w:div w:id="1203636145">
      <w:bodyDiv w:val="1"/>
      <w:marLeft w:val="0"/>
      <w:marRight w:val="0"/>
      <w:marTop w:val="0"/>
      <w:marBottom w:val="0"/>
      <w:divBdr>
        <w:top w:val="none" w:sz="0" w:space="0" w:color="auto"/>
        <w:left w:val="none" w:sz="0" w:space="0" w:color="auto"/>
        <w:bottom w:val="none" w:sz="0" w:space="0" w:color="auto"/>
        <w:right w:val="none" w:sz="0" w:space="0" w:color="auto"/>
      </w:divBdr>
    </w:div>
    <w:div w:id="1242711693">
      <w:bodyDiv w:val="1"/>
      <w:marLeft w:val="0"/>
      <w:marRight w:val="0"/>
      <w:marTop w:val="0"/>
      <w:marBottom w:val="0"/>
      <w:divBdr>
        <w:top w:val="none" w:sz="0" w:space="0" w:color="auto"/>
        <w:left w:val="none" w:sz="0" w:space="0" w:color="auto"/>
        <w:bottom w:val="none" w:sz="0" w:space="0" w:color="auto"/>
        <w:right w:val="none" w:sz="0" w:space="0" w:color="auto"/>
      </w:divBdr>
    </w:div>
    <w:div w:id="1280450594">
      <w:bodyDiv w:val="1"/>
      <w:marLeft w:val="0"/>
      <w:marRight w:val="0"/>
      <w:marTop w:val="0"/>
      <w:marBottom w:val="0"/>
      <w:divBdr>
        <w:top w:val="none" w:sz="0" w:space="0" w:color="auto"/>
        <w:left w:val="none" w:sz="0" w:space="0" w:color="auto"/>
        <w:bottom w:val="none" w:sz="0" w:space="0" w:color="auto"/>
        <w:right w:val="none" w:sz="0" w:space="0" w:color="auto"/>
      </w:divBdr>
    </w:div>
    <w:div w:id="1353341842">
      <w:bodyDiv w:val="1"/>
      <w:marLeft w:val="0"/>
      <w:marRight w:val="0"/>
      <w:marTop w:val="0"/>
      <w:marBottom w:val="0"/>
      <w:divBdr>
        <w:top w:val="none" w:sz="0" w:space="0" w:color="auto"/>
        <w:left w:val="none" w:sz="0" w:space="0" w:color="auto"/>
        <w:bottom w:val="none" w:sz="0" w:space="0" w:color="auto"/>
        <w:right w:val="none" w:sz="0" w:space="0" w:color="auto"/>
      </w:divBdr>
    </w:div>
    <w:div w:id="1359313697">
      <w:bodyDiv w:val="1"/>
      <w:marLeft w:val="0"/>
      <w:marRight w:val="0"/>
      <w:marTop w:val="0"/>
      <w:marBottom w:val="0"/>
      <w:divBdr>
        <w:top w:val="none" w:sz="0" w:space="0" w:color="auto"/>
        <w:left w:val="none" w:sz="0" w:space="0" w:color="auto"/>
        <w:bottom w:val="none" w:sz="0" w:space="0" w:color="auto"/>
        <w:right w:val="none" w:sz="0" w:space="0" w:color="auto"/>
      </w:divBdr>
    </w:div>
    <w:div w:id="1425107381">
      <w:bodyDiv w:val="1"/>
      <w:marLeft w:val="0"/>
      <w:marRight w:val="0"/>
      <w:marTop w:val="0"/>
      <w:marBottom w:val="0"/>
      <w:divBdr>
        <w:top w:val="none" w:sz="0" w:space="0" w:color="auto"/>
        <w:left w:val="none" w:sz="0" w:space="0" w:color="auto"/>
        <w:bottom w:val="none" w:sz="0" w:space="0" w:color="auto"/>
        <w:right w:val="none" w:sz="0" w:space="0" w:color="auto"/>
      </w:divBdr>
    </w:div>
    <w:div w:id="1431583484">
      <w:bodyDiv w:val="1"/>
      <w:marLeft w:val="0"/>
      <w:marRight w:val="0"/>
      <w:marTop w:val="0"/>
      <w:marBottom w:val="0"/>
      <w:divBdr>
        <w:top w:val="none" w:sz="0" w:space="0" w:color="auto"/>
        <w:left w:val="none" w:sz="0" w:space="0" w:color="auto"/>
        <w:bottom w:val="none" w:sz="0" w:space="0" w:color="auto"/>
        <w:right w:val="none" w:sz="0" w:space="0" w:color="auto"/>
      </w:divBdr>
    </w:div>
    <w:div w:id="1436485293">
      <w:bodyDiv w:val="1"/>
      <w:marLeft w:val="0"/>
      <w:marRight w:val="0"/>
      <w:marTop w:val="0"/>
      <w:marBottom w:val="0"/>
      <w:divBdr>
        <w:top w:val="none" w:sz="0" w:space="0" w:color="auto"/>
        <w:left w:val="none" w:sz="0" w:space="0" w:color="auto"/>
        <w:bottom w:val="none" w:sz="0" w:space="0" w:color="auto"/>
        <w:right w:val="none" w:sz="0" w:space="0" w:color="auto"/>
      </w:divBdr>
    </w:div>
    <w:div w:id="1462530251">
      <w:bodyDiv w:val="1"/>
      <w:marLeft w:val="0"/>
      <w:marRight w:val="0"/>
      <w:marTop w:val="0"/>
      <w:marBottom w:val="0"/>
      <w:divBdr>
        <w:top w:val="none" w:sz="0" w:space="0" w:color="auto"/>
        <w:left w:val="none" w:sz="0" w:space="0" w:color="auto"/>
        <w:bottom w:val="none" w:sz="0" w:space="0" w:color="auto"/>
        <w:right w:val="none" w:sz="0" w:space="0" w:color="auto"/>
      </w:divBdr>
    </w:div>
    <w:div w:id="1540893721">
      <w:bodyDiv w:val="1"/>
      <w:marLeft w:val="0"/>
      <w:marRight w:val="0"/>
      <w:marTop w:val="0"/>
      <w:marBottom w:val="0"/>
      <w:divBdr>
        <w:top w:val="none" w:sz="0" w:space="0" w:color="auto"/>
        <w:left w:val="none" w:sz="0" w:space="0" w:color="auto"/>
        <w:bottom w:val="none" w:sz="0" w:space="0" w:color="auto"/>
        <w:right w:val="none" w:sz="0" w:space="0" w:color="auto"/>
      </w:divBdr>
    </w:div>
    <w:div w:id="1550989381">
      <w:bodyDiv w:val="1"/>
      <w:marLeft w:val="0"/>
      <w:marRight w:val="0"/>
      <w:marTop w:val="0"/>
      <w:marBottom w:val="0"/>
      <w:divBdr>
        <w:top w:val="none" w:sz="0" w:space="0" w:color="auto"/>
        <w:left w:val="none" w:sz="0" w:space="0" w:color="auto"/>
        <w:bottom w:val="none" w:sz="0" w:space="0" w:color="auto"/>
        <w:right w:val="none" w:sz="0" w:space="0" w:color="auto"/>
      </w:divBdr>
    </w:div>
    <w:div w:id="1574465411">
      <w:bodyDiv w:val="1"/>
      <w:marLeft w:val="0"/>
      <w:marRight w:val="0"/>
      <w:marTop w:val="0"/>
      <w:marBottom w:val="0"/>
      <w:divBdr>
        <w:top w:val="none" w:sz="0" w:space="0" w:color="auto"/>
        <w:left w:val="none" w:sz="0" w:space="0" w:color="auto"/>
        <w:bottom w:val="none" w:sz="0" w:space="0" w:color="auto"/>
        <w:right w:val="none" w:sz="0" w:space="0" w:color="auto"/>
      </w:divBdr>
    </w:div>
    <w:div w:id="1577664254">
      <w:bodyDiv w:val="1"/>
      <w:marLeft w:val="0"/>
      <w:marRight w:val="0"/>
      <w:marTop w:val="0"/>
      <w:marBottom w:val="0"/>
      <w:divBdr>
        <w:top w:val="none" w:sz="0" w:space="0" w:color="auto"/>
        <w:left w:val="none" w:sz="0" w:space="0" w:color="auto"/>
        <w:bottom w:val="none" w:sz="0" w:space="0" w:color="auto"/>
        <w:right w:val="none" w:sz="0" w:space="0" w:color="auto"/>
      </w:divBdr>
    </w:div>
    <w:div w:id="1588422897">
      <w:bodyDiv w:val="1"/>
      <w:marLeft w:val="0"/>
      <w:marRight w:val="0"/>
      <w:marTop w:val="0"/>
      <w:marBottom w:val="0"/>
      <w:divBdr>
        <w:top w:val="none" w:sz="0" w:space="0" w:color="auto"/>
        <w:left w:val="none" w:sz="0" w:space="0" w:color="auto"/>
        <w:bottom w:val="none" w:sz="0" w:space="0" w:color="auto"/>
        <w:right w:val="none" w:sz="0" w:space="0" w:color="auto"/>
      </w:divBdr>
    </w:div>
    <w:div w:id="1836804270">
      <w:bodyDiv w:val="1"/>
      <w:marLeft w:val="0"/>
      <w:marRight w:val="0"/>
      <w:marTop w:val="0"/>
      <w:marBottom w:val="0"/>
      <w:divBdr>
        <w:top w:val="none" w:sz="0" w:space="0" w:color="auto"/>
        <w:left w:val="none" w:sz="0" w:space="0" w:color="auto"/>
        <w:bottom w:val="none" w:sz="0" w:space="0" w:color="auto"/>
        <w:right w:val="none" w:sz="0" w:space="0" w:color="auto"/>
      </w:divBdr>
    </w:div>
    <w:div w:id="1857882537">
      <w:bodyDiv w:val="1"/>
      <w:marLeft w:val="0"/>
      <w:marRight w:val="0"/>
      <w:marTop w:val="0"/>
      <w:marBottom w:val="0"/>
      <w:divBdr>
        <w:top w:val="none" w:sz="0" w:space="0" w:color="auto"/>
        <w:left w:val="none" w:sz="0" w:space="0" w:color="auto"/>
        <w:bottom w:val="none" w:sz="0" w:space="0" w:color="auto"/>
        <w:right w:val="none" w:sz="0" w:space="0" w:color="auto"/>
      </w:divBdr>
    </w:div>
    <w:div w:id="1916936080">
      <w:bodyDiv w:val="1"/>
      <w:marLeft w:val="0"/>
      <w:marRight w:val="0"/>
      <w:marTop w:val="0"/>
      <w:marBottom w:val="0"/>
      <w:divBdr>
        <w:top w:val="none" w:sz="0" w:space="0" w:color="auto"/>
        <w:left w:val="none" w:sz="0" w:space="0" w:color="auto"/>
        <w:bottom w:val="none" w:sz="0" w:space="0" w:color="auto"/>
        <w:right w:val="none" w:sz="0" w:space="0" w:color="auto"/>
      </w:divBdr>
    </w:div>
    <w:div w:id="1928222074">
      <w:bodyDiv w:val="1"/>
      <w:marLeft w:val="0"/>
      <w:marRight w:val="0"/>
      <w:marTop w:val="0"/>
      <w:marBottom w:val="0"/>
      <w:divBdr>
        <w:top w:val="none" w:sz="0" w:space="0" w:color="auto"/>
        <w:left w:val="none" w:sz="0" w:space="0" w:color="auto"/>
        <w:bottom w:val="none" w:sz="0" w:space="0" w:color="auto"/>
        <w:right w:val="none" w:sz="0" w:space="0" w:color="auto"/>
      </w:divBdr>
    </w:div>
    <w:div w:id="2001276489">
      <w:bodyDiv w:val="1"/>
      <w:marLeft w:val="0"/>
      <w:marRight w:val="0"/>
      <w:marTop w:val="0"/>
      <w:marBottom w:val="0"/>
      <w:divBdr>
        <w:top w:val="none" w:sz="0" w:space="0" w:color="auto"/>
        <w:left w:val="none" w:sz="0" w:space="0" w:color="auto"/>
        <w:bottom w:val="none" w:sz="0" w:space="0" w:color="auto"/>
        <w:right w:val="none" w:sz="0" w:space="0" w:color="auto"/>
      </w:divBdr>
    </w:div>
    <w:div w:id="2014646020">
      <w:bodyDiv w:val="1"/>
      <w:marLeft w:val="0"/>
      <w:marRight w:val="0"/>
      <w:marTop w:val="0"/>
      <w:marBottom w:val="0"/>
      <w:divBdr>
        <w:top w:val="none" w:sz="0" w:space="0" w:color="auto"/>
        <w:left w:val="none" w:sz="0" w:space="0" w:color="auto"/>
        <w:bottom w:val="none" w:sz="0" w:space="0" w:color="auto"/>
        <w:right w:val="none" w:sz="0" w:space="0" w:color="auto"/>
      </w:divBdr>
    </w:div>
    <w:div w:id="2034264183">
      <w:bodyDiv w:val="1"/>
      <w:marLeft w:val="0"/>
      <w:marRight w:val="0"/>
      <w:marTop w:val="0"/>
      <w:marBottom w:val="0"/>
      <w:divBdr>
        <w:top w:val="none" w:sz="0" w:space="0" w:color="auto"/>
        <w:left w:val="none" w:sz="0" w:space="0" w:color="auto"/>
        <w:bottom w:val="none" w:sz="0" w:space="0" w:color="auto"/>
        <w:right w:val="none" w:sz="0" w:space="0" w:color="auto"/>
      </w:divBdr>
    </w:div>
    <w:div w:id="2045591460">
      <w:bodyDiv w:val="1"/>
      <w:marLeft w:val="0"/>
      <w:marRight w:val="0"/>
      <w:marTop w:val="0"/>
      <w:marBottom w:val="0"/>
      <w:divBdr>
        <w:top w:val="none" w:sz="0" w:space="0" w:color="auto"/>
        <w:left w:val="none" w:sz="0" w:space="0" w:color="auto"/>
        <w:bottom w:val="none" w:sz="0" w:space="0" w:color="auto"/>
        <w:right w:val="none" w:sz="0" w:space="0" w:color="auto"/>
      </w:divBdr>
    </w:div>
    <w:div w:id="2102872708">
      <w:bodyDiv w:val="1"/>
      <w:marLeft w:val="0"/>
      <w:marRight w:val="0"/>
      <w:marTop w:val="0"/>
      <w:marBottom w:val="0"/>
      <w:divBdr>
        <w:top w:val="none" w:sz="0" w:space="0" w:color="auto"/>
        <w:left w:val="none" w:sz="0" w:space="0" w:color="auto"/>
        <w:bottom w:val="none" w:sz="0" w:space="0" w:color="auto"/>
        <w:right w:val="none" w:sz="0" w:space="0" w:color="auto"/>
      </w:divBdr>
      <w:divsChild>
        <w:div w:id="1024400155">
          <w:marLeft w:val="0"/>
          <w:marRight w:val="0"/>
          <w:marTop w:val="300"/>
          <w:marBottom w:val="0"/>
          <w:divBdr>
            <w:top w:val="none" w:sz="0" w:space="0" w:color="auto"/>
            <w:left w:val="none" w:sz="0" w:space="0" w:color="auto"/>
            <w:bottom w:val="none" w:sz="0" w:space="0" w:color="auto"/>
            <w:right w:val="none" w:sz="0" w:space="0" w:color="auto"/>
          </w:divBdr>
          <w:divsChild>
            <w:div w:id="1542553524">
              <w:marLeft w:val="0"/>
              <w:marRight w:val="0"/>
              <w:marTop w:val="0"/>
              <w:marBottom w:val="0"/>
              <w:divBdr>
                <w:top w:val="none" w:sz="0" w:space="0" w:color="auto"/>
                <w:left w:val="none" w:sz="0" w:space="0" w:color="auto"/>
                <w:bottom w:val="none" w:sz="0" w:space="0" w:color="auto"/>
                <w:right w:val="none" w:sz="0" w:space="0" w:color="auto"/>
              </w:divBdr>
              <w:divsChild>
                <w:div w:id="306671763">
                  <w:marLeft w:val="0"/>
                  <w:marRight w:val="0"/>
                  <w:marTop w:val="0"/>
                  <w:marBottom w:val="0"/>
                  <w:divBdr>
                    <w:top w:val="none" w:sz="0" w:space="0" w:color="auto"/>
                    <w:left w:val="none" w:sz="0" w:space="0" w:color="auto"/>
                    <w:bottom w:val="none" w:sz="0" w:space="0" w:color="auto"/>
                    <w:right w:val="none" w:sz="0" w:space="0" w:color="auto"/>
                  </w:divBdr>
                  <w:divsChild>
                    <w:div w:id="478152475">
                      <w:marLeft w:val="0"/>
                      <w:marRight w:val="0"/>
                      <w:marTop w:val="0"/>
                      <w:marBottom w:val="0"/>
                      <w:divBdr>
                        <w:top w:val="none" w:sz="0" w:space="0" w:color="auto"/>
                        <w:left w:val="none" w:sz="0" w:space="0" w:color="auto"/>
                        <w:bottom w:val="none" w:sz="0" w:space="0" w:color="auto"/>
                        <w:right w:val="none" w:sz="0" w:space="0" w:color="auto"/>
                      </w:divBdr>
                      <w:divsChild>
                        <w:div w:id="663048095">
                          <w:marLeft w:val="0"/>
                          <w:marRight w:val="0"/>
                          <w:marTop w:val="0"/>
                          <w:marBottom w:val="0"/>
                          <w:divBdr>
                            <w:top w:val="none" w:sz="0" w:space="0" w:color="auto"/>
                            <w:left w:val="none" w:sz="0" w:space="0" w:color="auto"/>
                            <w:bottom w:val="none" w:sz="0" w:space="0" w:color="auto"/>
                            <w:right w:val="none" w:sz="0" w:space="0" w:color="auto"/>
                          </w:divBdr>
                          <w:divsChild>
                            <w:div w:id="393087548">
                              <w:marLeft w:val="0"/>
                              <w:marRight w:val="0"/>
                              <w:marTop w:val="0"/>
                              <w:marBottom w:val="0"/>
                              <w:divBdr>
                                <w:top w:val="none" w:sz="0" w:space="0" w:color="auto"/>
                                <w:left w:val="none" w:sz="0" w:space="0" w:color="auto"/>
                                <w:bottom w:val="none" w:sz="0" w:space="0" w:color="auto"/>
                                <w:right w:val="none" w:sz="0" w:space="0" w:color="auto"/>
                              </w:divBdr>
                              <w:divsChild>
                                <w:div w:id="2106533971">
                                  <w:marLeft w:val="0"/>
                                  <w:marRight w:val="0"/>
                                  <w:marTop w:val="0"/>
                                  <w:marBottom w:val="0"/>
                                  <w:divBdr>
                                    <w:top w:val="none" w:sz="0" w:space="0" w:color="auto"/>
                                    <w:left w:val="none" w:sz="0" w:space="0" w:color="auto"/>
                                    <w:bottom w:val="none" w:sz="0" w:space="0" w:color="auto"/>
                                    <w:right w:val="none" w:sz="0" w:space="0" w:color="auto"/>
                                  </w:divBdr>
                                  <w:divsChild>
                                    <w:div w:id="46597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www.aemc.gov.au/rule-changes/improvements-to-natural-gas-bulletin-boar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SFS">
  <a:themeElements>
    <a:clrScheme name="Axiom With Burgundy">
      <a:dk1>
        <a:sysClr val="windowText" lastClr="000000"/>
      </a:dk1>
      <a:lt1>
        <a:srgbClr val="FFFFFF"/>
      </a:lt1>
      <a:dk2>
        <a:srgbClr val="214C90"/>
      </a:dk2>
      <a:lt2>
        <a:srgbClr val="E1E2E7"/>
      </a:lt2>
      <a:accent1>
        <a:srgbClr val="214C90"/>
      </a:accent1>
      <a:accent2>
        <a:srgbClr val="46A6A9"/>
      </a:accent2>
      <a:accent3>
        <a:srgbClr val="5D89B4"/>
      </a:accent3>
      <a:accent4>
        <a:srgbClr val="A9A8A9"/>
      </a:accent4>
      <a:accent5>
        <a:srgbClr val="990033"/>
      </a:accent5>
      <a:accent6>
        <a:srgbClr val="800080"/>
      </a:accent6>
      <a:hlink>
        <a:srgbClr val="214C90"/>
      </a:hlink>
      <a:folHlink>
        <a:srgbClr val="46A6A9"/>
      </a:folHlink>
    </a:clrScheme>
    <a:fontScheme name="Axiom Arial and Book Antiqua">
      <a:majorFont>
        <a:latin typeface="Arial"/>
        <a:ea typeface=""/>
        <a:cs typeface=""/>
      </a:majorFont>
      <a:minorFont>
        <a:latin typeface="Book Antiqu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C8C40-B45E-4855-B789-1A4E28A84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A52BB279.dotm</Template>
  <TotalTime>0</TotalTime>
  <Pages>14</Pages>
  <Words>6732</Words>
  <Characters>35822</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Guidance Note: AEMO’s role under the capacity trading reform package</vt:lpstr>
    </vt:vector>
  </TitlesOfParts>
  <Company/>
  <LinksUpToDate>false</LinksUpToDate>
  <CharactersWithSpaces>42470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Guidance Note: AEMO’s role under the capacity trading reform package</dc:title>
  <dc:creator/>
  <cp:lastModifiedBy/>
  <cp:revision>1</cp:revision>
  <dcterms:created xsi:type="dcterms:W3CDTF">2018-08-03T04:21:00Z</dcterms:created>
  <dcterms:modified xsi:type="dcterms:W3CDTF">2018-08-03T04:21:00Z</dcterms:modified>
</cp:coreProperties>
</file>