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36A5" w:rsidRPr="00A736A5" w:rsidRDefault="007910C1" w:rsidP="00A736A5">
      <w:pPr>
        <w:pStyle w:val="Title"/>
        <w:spacing w:before="0" w:after="0" w:line="264" w:lineRule="auto"/>
        <w:jc w:val="right"/>
        <w:rPr>
          <w:rFonts w:cstheme="majorHAnsi"/>
          <w:b/>
          <w:color w:val="auto"/>
          <w:sz w:val="10"/>
          <w:szCs w:val="10"/>
        </w:rPr>
      </w:pPr>
      <w:bookmarkStart w:id="0" w:name="_GoBack"/>
      <w:bookmarkEnd w:id="0"/>
      <w:r w:rsidRPr="007874A1">
        <w:rPr>
          <w:rFonts w:cstheme="majorHAnsi"/>
          <w:b/>
          <w:color w:val="auto"/>
          <w:sz w:val="28"/>
          <w:szCs w:val="28"/>
        </w:rPr>
        <w:t>3 August 2018</w:t>
      </w:r>
      <w:r w:rsidR="00A736A5">
        <w:rPr>
          <w:rFonts w:cstheme="majorHAnsi"/>
          <w:b/>
          <w:color w:val="auto"/>
          <w:sz w:val="28"/>
          <w:szCs w:val="28"/>
        </w:rPr>
        <w:br/>
      </w:r>
    </w:p>
    <w:p w:rsidR="00A54990" w:rsidRPr="00FF1CEF" w:rsidRDefault="00231DC5" w:rsidP="00A736A5">
      <w:pPr>
        <w:pStyle w:val="Title"/>
        <w:spacing w:before="0" w:after="0" w:line="264" w:lineRule="auto"/>
        <w:jc w:val="both"/>
        <w:rPr>
          <w:rFonts w:cstheme="majorHAnsi"/>
          <w:b/>
          <w:color w:val="0099CC"/>
          <w:sz w:val="40"/>
          <w:szCs w:val="40"/>
        </w:rPr>
      </w:pPr>
      <w:r>
        <w:rPr>
          <w:rFonts w:cstheme="majorHAnsi"/>
          <w:b/>
          <w:color w:val="0099CC"/>
          <w:sz w:val="40"/>
          <w:szCs w:val="40"/>
        </w:rPr>
        <w:t xml:space="preserve">Guidance </w:t>
      </w:r>
      <w:r w:rsidR="009A34C1">
        <w:rPr>
          <w:rFonts w:cstheme="majorHAnsi"/>
          <w:b/>
          <w:color w:val="0099CC"/>
          <w:sz w:val="40"/>
          <w:szCs w:val="40"/>
        </w:rPr>
        <w:t>N</w:t>
      </w:r>
      <w:r>
        <w:rPr>
          <w:rFonts w:cstheme="majorHAnsi"/>
          <w:b/>
          <w:color w:val="0099CC"/>
          <w:sz w:val="40"/>
          <w:szCs w:val="40"/>
        </w:rPr>
        <w:t>ote</w:t>
      </w:r>
      <w:r w:rsidR="00A74A3C" w:rsidRPr="00FF1CEF">
        <w:rPr>
          <w:rFonts w:cstheme="majorHAnsi"/>
          <w:b/>
          <w:color w:val="0099CC"/>
          <w:sz w:val="40"/>
          <w:szCs w:val="40"/>
        </w:rPr>
        <w:t xml:space="preserve">: </w:t>
      </w:r>
      <w:r>
        <w:rPr>
          <w:rFonts w:cstheme="majorHAnsi"/>
          <w:b/>
          <w:color w:val="0099CC"/>
          <w:sz w:val="40"/>
          <w:szCs w:val="40"/>
        </w:rPr>
        <w:t xml:space="preserve">AER’s </w:t>
      </w:r>
      <w:r w:rsidR="003D6E8F">
        <w:rPr>
          <w:rFonts w:cstheme="majorHAnsi"/>
          <w:b/>
          <w:color w:val="0099CC"/>
          <w:sz w:val="40"/>
          <w:szCs w:val="40"/>
        </w:rPr>
        <w:t xml:space="preserve">role </w:t>
      </w:r>
      <w:r>
        <w:rPr>
          <w:rFonts w:cstheme="majorHAnsi"/>
          <w:b/>
          <w:color w:val="0099CC"/>
          <w:sz w:val="40"/>
          <w:szCs w:val="40"/>
        </w:rPr>
        <w:t>under the c</w:t>
      </w:r>
      <w:r w:rsidR="003D62AC" w:rsidRPr="00FF1CEF">
        <w:rPr>
          <w:rFonts w:cstheme="majorHAnsi"/>
          <w:b/>
          <w:color w:val="0099CC"/>
          <w:sz w:val="40"/>
          <w:szCs w:val="40"/>
        </w:rPr>
        <w:t xml:space="preserve">apacity trading reform package </w:t>
      </w:r>
    </w:p>
    <w:p w:rsidR="00482072" w:rsidRPr="00757AFC" w:rsidRDefault="00482072" w:rsidP="00482072">
      <w:pPr>
        <w:rPr>
          <w:rFonts w:asciiTheme="majorHAnsi" w:hAnsiTheme="majorHAnsi" w:cstheme="majorHAnsi"/>
          <w:sz w:val="2"/>
          <w:szCs w:val="2"/>
        </w:rPr>
      </w:pPr>
    </w:p>
    <w:p w:rsidR="001C7FC3" w:rsidRPr="003D6E8F" w:rsidRDefault="00231DC5" w:rsidP="00481944">
      <w:pPr>
        <w:pStyle w:val="Heading1"/>
        <w:rPr>
          <w:color w:val="0099CC"/>
          <w:sz w:val="26"/>
          <w:szCs w:val="26"/>
        </w:rPr>
      </w:pPr>
      <w:r w:rsidRPr="003D6E8F">
        <w:rPr>
          <w:color w:val="0099CC"/>
          <w:sz w:val="26"/>
          <w:szCs w:val="26"/>
        </w:rPr>
        <w:t>Introduction</w:t>
      </w:r>
    </w:p>
    <w:p w:rsidR="009A34C1" w:rsidRPr="009A34C1" w:rsidRDefault="009A34C1" w:rsidP="00231DC5">
      <w:pPr>
        <w:tabs>
          <w:tab w:val="left" w:pos="2268"/>
          <w:tab w:val="left" w:pos="4536"/>
          <w:tab w:val="left" w:pos="6804"/>
          <w:tab w:val="right" w:pos="9638"/>
        </w:tabs>
        <w:spacing w:after="120" w:line="252" w:lineRule="auto"/>
        <w:rPr>
          <w:rFonts w:asciiTheme="majorHAnsi" w:hAnsiTheme="majorHAnsi" w:cstheme="majorHAnsi"/>
        </w:rPr>
      </w:pPr>
      <w:r w:rsidRPr="009A34C1">
        <w:rPr>
          <w:rFonts w:asciiTheme="majorHAnsi" w:hAnsiTheme="majorHAnsi" w:cstheme="majorHAnsi"/>
        </w:rPr>
        <w:t xml:space="preserve">On 29 June 2018, the Council of Australian Governments (COAG) Energy Council (Energy Council) agreed to implement the legal and regulatory </w:t>
      </w:r>
      <w:r w:rsidR="007910C1">
        <w:rPr>
          <w:rFonts w:asciiTheme="majorHAnsi" w:hAnsiTheme="majorHAnsi" w:cstheme="majorHAnsi"/>
        </w:rPr>
        <w:t xml:space="preserve">framework </w:t>
      </w:r>
      <w:r w:rsidRPr="009A34C1">
        <w:rPr>
          <w:rFonts w:asciiTheme="majorHAnsi" w:hAnsiTheme="majorHAnsi" w:cstheme="majorHAnsi"/>
        </w:rPr>
        <w:t xml:space="preserve">required to give effect to the </w:t>
      </w:r>
      <w:r w:rsidR="00481944">
        <w:rPr>
          <w:rFonts w:asciiTheme="majorHAnsi" w:hAnsiTheme="majorHAnsi" w:cstheme="majorHAnsi"/>
        </w:rPr>
        <w:t xml:space="preserve">final design of the </w:t>
      </w:r>
      <w:r w:rsidRPr="009A34C1">
        <w:rPr>
          <w:rFonts w:asciiTheme="majorHAnsi" w:hAnsiTheme="majorHAnsi" w:cstheme="majorHAnsi"/>
        </w:rPr>
        <w:t>capacity trading reform package</w:t>
      </w:r>
      <w:r w:rsidR="00110744">
        <w:rPr>
          <w:rFonts w:asciiTheme="majorHAnsi" w:hAnsiTheme="majorHAnsi" w:cstheme="majorHAnsi"/>
        </w:rPr>
        <w:t xml:space="preserve">. </w:t>
      </w:r>
      <w:r w:rsidR="00481944">
        <w:rPr>
          <w:rFonts w:asciiTheme="majorHAnsi" w:hAnsiTheme="majorHAnsi" w:cstheme="majorHAnsi"/>
        </w:rPr>
        <w:t xml:space="preserve">This </w:t>
      </w:r>
      <w:r w:rsidR="00110744">
        <w:rPr>
          <w:rFonts w:asciiTheme="majorHAnsi" w:hAnsiTheme="majorHAnsi" w:cstheme="majorHAnsi"/>
        </w:rPr>
        <w:t xml:space="preserve">legal and regulatory framework </w:t>
      </w:r>
      <w:r w:rsidR="00481944">
        <w:rPr>
          <w:rFonts w:asciiTheme="majorHAnsi" w:hAnsiTheme="majorHAnsi" w:cstheme="majorHAnsi"/>
        </w:rPr>
        <w:t>comprises</w:t>
      </w:r>
      <w:r>
        <w:rPr>
          <w:rFonts w:asciiTheme="majorHAnsi" w:hAnsiTheme="majorHAnsi" w:cstheme="majorHAnsi"/>
        </w:rPr>
        <w:t xml:space="preserve">: </w:t>
      </w:r>
    </w:p>
    <w:p w:rsidR="00231DC5" w:rsidRPr="00231DC5" w:rsidRDefault="00231DC5" w:rsidP="00DF5FC4">
      <w:pPr>
        <w:pStyle w:val="ListBullet"/>
        <w:numPr>
          <w:ilvl w:val="0"/>
          <w:numId w:val="14"/>
        </w:numPr>
        <w:rPr>
          <w:rFonts w:asciiTheme="majorHAnsi" w:eastAsiaTheme="minorEastAsia" w:hAnsiTheme="majorHAnsi" w:cstheme="majorHAnsi"/>
        </w:rPr>
      </w:pPr>
      <w:r w:rsidRPr="00231DC5">
        <w:rPr>
          <w:rFonts w:asciiTheme="majorHAnsi" w:eastAsiaTheme="minorEastAsia" w:hAnsiTheme="majorHAnsi" w:cstheme="majorHAnsi"/>
        </w:rPr>
        <w:t>amendments to the National Gas Law (NGL), the regulations made under the NGL (Regulations) and the National Gas Rules (</w:t>
      </w:r>
      <w:r w:rsidR="00F768A5">
        <w:rPr>
          <w:rFonts w:asciiTheme="majorHAnsi" w:eastAsiaTheme="minorEastAsia" w:hAnsiTheme="majorHAnsi" w:cstheme="majorHAnsi"/>
        </w:rPr>
        <w:t>NGR</w:t>
      </w:r>
      <w:r w:rsidRPr="00231DC5">
        <w:rPr>
          <w:rFonts w:asciiTheme="majorHAnsi" w:eastAsiaTheme="minorEastAsia" w:hAnsiTheme="majorHAnsi" w:cstheme="majorHAnsi"/>
        </w:rPr>
        <w:t>); and</w:t>
      </w:r>
    </w:p>
    <w:p w:rsidR="00231DC5" w:rsidRPr="00231DC5" w:rsidRDefault="00231DC5" w:rsidP="00DF5FC4">
      <w:pPr>
        <w:pStyle w:val="ListBullet"/>
        <w:numPr>
          <w:ilvl w:val="0"/>
          <w:numId w:val="14"/>
        </w:numPr>
        <w:rPr>
          <w:rFonts w:asciiTheme="majorHAnsi" w:eastAsiaTheme="minorEastAsia" w:hAnsiTheme="majorHAnsi" w:cstheme="majorHAnsi"/>
        </w:rPr>
      </w:pPr>
      <w:r w:rsidRPr="00231DC5">
        <w:rPr>
          <w:rFonts w:asciiTheme="majorHAnsi" w:eastAsiaTheme="minorEastAsia" w:hAnsiTheme="majorHAnsi" w:cstheme="majorHAnsi"/>
        </w:rPr>
        <w:t>the introduction of a new regulatory instrument, the Operational Transportation Service Code (Code).</w:t>
      </w:r>
    </w:p>
    <w:p w:rsidR="00507332" w:rsidRDefault="009411EA" w:rsidP="00507332">
      <w:pPr>
        <w:pStyle w:val="BodyText"/>
        <w:rPr>
          <w:rFonts w:asciiTheme="majorHAnsi" w:hAnsiTheme="majorHAnsi" w:cstheme="majorHAnsi"/>
        </w:rPr>
      </w:pPr>
      <w:r w:rsidRPr="009411EA">
        <w:rPr>
          <w:rFonts w:asciiTheme="majorHAnsi" w:hAnsiTheme="majorHAnsi" w:cstheme="majorHAnsi"/>
        </w:rPr>
        <w:t xml:space="preserve">Consistent with the approach that is usually employed when changes of this nature </w:t>
      </w:r>
      <w:r w:rsidR="00E55287">
        <w:rPr>
          <w:rFonts w:asciiTheme="majorHAnsi" w:hAnsiTheme="majorHAnsi" w:cstheme="majorHAnsi"/>
        </w:rPr>
        <w:t>are</w:t>
      </w:r>
      <w:r w:rsidRPr="009411EA">
        <w:rPr>
          <w:rFonts w:asciiTheme="majorHAnsi" w:hAnsiTheme="majorHAnsi" w:cstheme="majorHAnsi"/>
        </w:rPr>
        <w:t xml:space="preserve"> made to the legal and regulatory framework, the final version</w:t>
      </w:r>
      <w:r w:rsidR="00E55287">
        <w:rPr>
          <w:rFonts w:asciiTheme="majorHAnsi" w:hAnsiTheme="majorHAnsi" w:cstheme="majorHAnsi"/>
        </w:rPr>
        <w:t>s</w:t>
      </w:r>
      <w:r w:rsidRPr="009411EA">
        <w:rPr>
          <w:rFonts w:asciiTheme="majorHAnsi" w:hAnsiTheme="majorHAnsi" w:cstheme="majorHAnsi"/>
        </w:rPr>
        <w:t xml:space="preserve"> of the NGL, Regulations</w:t>
      </w:r>
      <w:r w:rsidR="00D96CFE">
        <w:rPr>
          <w:rFonts w:asciiTheme="majorHAnsi" w:hAnsiTheme="majorHAnsi" w:cstheme="majorHAnsi"/>
        </w:rPr>
        <w:t>, NGR</w:t>
      </w:r>
      <w:r w:rsidRPr="009411EA">
        <w:rPr>
          <w:rFonts w:asciiTheme="majorHAnsi" w:hAnsiTheme="majorHAnsi" w:cstheme="majorHAnsi"/>
        </w:rPr>
        <w:t xml:space="preserve"> and Code will only be published </w:t>
      </w:r>
      <w:r w:rsidR="00481944">
        <w:rPr>
          <w:rFonts w:asciiTheme="majorHAnsi" w:hAnsiTheme="majorHAnsi" w:cstheme="majorHAnsi"/>
        </w:rPr>
        <w:t>once</w:t>
      </w:r>
      <w:r w:rsidRPr="009411EA">
        <w:rPr>
          <w:rFonts w:asciiTheme="majorHAnsi" w:hAnsiTheme="majorHAnsi" w:cstheme="majorHAnsi"/>
        </w:rPr>
        <w:t xml:space="preserve"> they are made</w:t>
      </w:r>
      <w:r w:rsidR="00632F7E">
        <w:rPr>
          <w:rFonts w:asciiTheme="majorHAnsi" w:hAnsiTheme="majorHAnsi" w:cstheme="majorHAnsi"/>
        </w:rPr>
        <w:t>, which is currently expected to occur in November</w:t>
      </w:r>
      <w:r w:rsidR="00D96CFE">
        <w:rPr>
          <w:rFonts w:asciiTheme="majorHAnsi" w:hAnsiTheme="majorHAnsi" w:cstheme="majorHAnsi"/>
        </w:rPr>
        <w:t xml:space="preserve"> 2018</w:t>
      </w:r>
      <w:r w:rsidRPr="009411EA">
        <w:rPr>
          <w:rFonts w:asciiTheme="majorHAnsi" w:hAnsiTheme="majorHAnsi" w:cstheme="majorHAnsi"/>
        </w:rPr>
        <w:t xml:space="preserve">. </w:t>
      </w:r>
      <w:r w:rsidR="00507332" w:rsidRPr="00507332">
        <w:rPr>
          <w:rFonts w:asciiTheme="majorHAnsi" w:hAnsiTheme="majorHAnsi" w:cstheme="majorHAnsi"/>
        </w:rPr>
        <w:t xml:space="preserve">To provide stakeholders with some guidance in the intervening period, the </w:t>
      </w:r>
      <w:r w:rsidR="00507332">
        <w:rPr>
          <w:rFonts w:asciiTheme="majorHAnsi" w:hAnsiTheme="majorHAnsi" w:cstheme="majorHAnsi"/>
        </w:rPr>
        <w:t xml:space="preserve">Gas Market Reform Group (GMRG) </w:t>
      </w:r>
      <w:r w:rsidR="0088787A">
        <w:rPr>
          <w:rFonts w:asciiTheme="majorHAnsi" w:hAnsiTheme="majorHAnsi" w:cstheme="majorHAnsi"/>
        </w:rPr>
        <w:t xml:space="preserve">has </w:t>
      </w:r>
      <w:r w:rsidR="00507332" w:rsidRPr="00507332">
        <w:rPr>
          <w:rFonts w:asciiTheme="majorHAnsi" w:hAnsiTheme="majorHAnsi" w:cstheme="majorHAnsi"/>
        </w:rPr>
        <w:t>published</w:t>
      </w:r>
      <w:r w:rsidR="00481944">
        <w:rPr>
          <w:rFonts w:asciiTheme="majorHAnsi" w:hAnsiTheme="majorHAnsi" w:cstheme="majorHAnsi"/>
        </w:rPr>
        <w:t xml:space="preserve"> the following</w:t>
      </w:r>
      <w:r w:rsidR="00507332">
        <w:rPr>
          <w:rFonts w:asciiTheme="majorHAnsi" w:hAnsiTheme="majorHAnsi" w:cstheme="majorHAnsi"/>
        </w:rPr>
        <w:t>:</w:t>
      </w:r>
      <w:r w:rsidR="00507332">
        <w:rPr>
          <w:rStyle w:val="FootnoteReference"/>
          <w:rFonts w:asciiTheme="majorHAnsi" w:hAnsiTheme="majorHAnsi" w:cstheme="majorHAnsi"/>
        </w:rPr>
        <w:footnoteReference w:id="2"/>
      </w:r>
      <w:r w:rsidR="00507332" w:rsidRPr="00507332">
        <w:rPr>
          <w:rFonts w:asciiTheme="majorHAnsi" w:hAnsiTheme="majorHAnsi" w:cstheme="majorHAnsi"/>
        </w:rPr>
        <w:t xml:space="preserve"> </w:t>
      </w:r>
    </w:p>
    <w:p w:rsidR="00507332" w:rsidRDefault="00507332" w:rsidP="00507332">
      <w:pPr>
        <w:pStyle w:val="ListBullet"/>
      </w:pPr>
      <w:r w:rsidRPr="00481944">
        <w:rPr>
          <w:b/>
        </w:rPr>
        <w:t>Information Paper</w:t>
      </w:r>
      <w:r w:rsidR="00481944" w:rsidRPr="00481944">
        <w:rPr>
          <w:b/>
        </w:rPr>
        <w:t>: Capacity trading reform package legal and regulatory instruments,</w:t>
      </w:r>
      <w:r w:rsidR="00481944">
        <w:t xml:space="preserve"> which </w:t>
      </w:r>
      <w:r w:rsidR="003D6E8F">
        <w:t xml:space="preserve">sets out </w:t>
      </w:r>
      <w:r w:rsidR="00481944">
        <w:t xml:space="preserve">the </w:t>
      </w:r>
      <w:r w:rsidRPr="00507332">
        <w:t xml:space="preserve">final design of the reform package and key dates for various obligations </w:t>
      </w:r>
      <w:r w:rsidR="006746FF">
        <w:t xml:space="preserve">that </w:t>
      </w:r>
      <w:r w:rsidR="00AA73CE">
        <w:t xml:space="preserve">the Australian Energy Market Operator (AEMO), the Australian Energy Regulator (AER) and </w:t>
      </w:r>
      <w:r w:rsidRPr="00507332">
        <w:t>market participants will be subject to</w:t>
      </w:r>
      <w:r>
        <w:t>; and</w:t>
      </w:r>
    </w:p>
    <w:p w:rsidR="00507332" w:rsidRDefault="00507332" w:rsidP="003D6E8F">
      <w:pPr>
        <w:pStyle w:val="ListBullet"/>
      </w:pPr>
      <w:r w:rsidRPr="00481944">
        <w:rPr>
          <w:b/>
        </w:rPr>
        <w:t>Guidance Note</w:t>
      </w:r>
      <w:r w:rsidR="00481944" w:rsidRPr="00481944">
        <w:rPr>
          <w:b/>
        </w:rPr>
        <w:t xml:space="preserve">: </w:t>
      </w:r>
      <w:r w:rsidR="003D6E8F" w:rsidRPr="003D6E8F">
        <w:rPr>
          <w:b/>
        </w:rPr>
        <w:t>AEMO</w:t>
      </w:r>
      <w:r w:rsidR="00AA73CE">
        <w:rPr>
          <w:b/>
        </w:rPr>
        <w:t>’s</w:t>
      </w:r>
      <w:r w:rsidR="003D6E8F">
        <w:rPr>
          <w:b/>
        </w:rPr>
        <w:t xml:space="preserve"> role under the capacity trading reform package</w:t>
      </w:r>
      <w:r w:rsidR="003D6E8F" w:rsidRPr="003D6E8F">
        <w:rPr>
          <w:b/>
        </w:rPr>
        <w:t xml:space="preserve">, </w:t>
      </w:r>
      <w:r w:rsidR="00481944">
        <w:t xml:space="preserve">which provides further detail on </w:t>
      </w:r>
      <w:r w:rsidR="003D6E8F">
        <w:t xml:space="preserve">a number of the functions and powers that AEMO will have </w:t>
      </w:r>
      <w:r>
        <w:t>under the reform package</w:t>
      </w:r>
      <w:r w:rsidR="00632F7E">
        <w:t>, the registration framework, participation fees</w:t>
      </w:r>
      <w:r w:rsidR="003D6E8F">
        <w:t xml:space="preserve"> and the </w:t>
      </w:r>
      <w:r>
        <w:t>matters to be dealt with in the procedures</w:t>
      </w:r>
      <w:r w:rsidR="003D6E8F">
        <w:t xml:space="preserve"> AEMO is required to </w:t>
      </w:r>
      <w:r w:rsidR="00131F8C">
        <w:t>prepare</w:t>
      </w:r>
      <w:r>
        <w:t>.</w:t>
      </w:r>
    </w:p>
    <w:p w:rsidR="0088787A" w:rsidRDefault="00507332" w:rsidP="00507332">
      <w:pPr>
        <w:pStyle w:val="BodyText"/>
        <w:rPr>
          <w:rFonts w:asciiTheme="majorHAnsi" w:hAnsiTheme="majorHAnsi" w:cstheme="majorHAnsi"/>
        </w:rPr>
      </w:pPr>
      <w:r>
        <w:rPr>
          <w:rFonts w:asciiTheme="majorHAnsi" w:hAnsiTheme="majorHAnsi" w:cstheme="majorHAnsi"/>
        </w:rPr>
        <w:t xml:space="preserve">The purpose of this Guidance Note is to </w:t>
      </w:r>
      <w:r w:rsidR="00A854A1">
        <w:rPr>
          <w:rFonts w:asciiTheme="majorHAnsi" w:hAnsiTheme="majorHAnsi" w:cstheme="majorHAnsi"/>
        </w:rPr>
        <w:t xml:space="preserve">outline </w:t>
      </w:r>
      <w:r>
        <w:rPr>
          <w:rFonts w:asciiTheme="majorHAnsi" w:hAnsiTheme="majorHAnsi" w:cstheme="majorHAnsi"/>
        </w:rPr>
        <w:t xml:space="preserve">the functions and powers </w:t>
      </w:r>
      <w:r w:rsidR="0088787A">
        <w:rPr>
          <w:rFonts w:asciiTheme="majorHAnsi" w:hAnsiTheme="majorHAnsi" w:cstheme="majorHAnsi"/>
        </w:rPr>
        <w:t xml:space="preserve">that the AER will have </w:t>
      </w:r>
      <w:r>
        <w:rPr>
          <w:rFonts w:asciiTheme="majorHAnsi" w:hAnsiTheme="majorHAnsi" w:cstheme="majorHAnsi"/>
        </w:rPr>
        <w:t>under the reform package</w:t>
      </w:r>
      <w:r w:rsidR="0088787A">
        <w:rPr>
          <w:rFonts w:asciiTheme="majorHAnsi" w:hAnsiTheme="majorHAnsi" w:cstheme="majorHAnsi"/>
        </w:rPr>
        <w:t xml:space="preserve"> and to provide further detail on:</w:t>
      </w:r>
    </w:p>
    <w:p w:rsidR="00481944" w:rsidRDefault="00481944" w:rsidP="00481944">
      <w:pPr>
        <w:pStyle w:val="ListBullet"/>
        <w:rPr>
          <w:rFonts w:eastAsiaTheme="minorEastAsia"/>
        </w:rPr>
      </w:pPr>
      <w:r>
        <w:t xml:space="preserve">the </w:t>
      </w:r>
      <w:r>
        <w:rPr>
          <w:rFonts w:eastAsiaTheme="minorEastAsia"/>
        </w:rPr>
        <w:t>exemptions framework</w:t>
      </w:r>
      <w:r w:rsidR="00AA73CE">
        <w:rPr>
          <w:rFonts w:eastAsiaTheme="minorEastAsia"/>
        </w:rPr>
        <w:t>, which the AER will be responsible for administering</w:t>
      </w:r>
      <w:r>
        <w:rPr>
          <w:rFonts w:eastAsiaTheme="minorEastAsia"/>
        </w:rPr>
        <w:t xml:space="preserve">; </w:t>
      </w:r>
    </w:p>
    <w:p w:rsidR="00481944" w:rsidRPr="000F7E0E" w:rsidRDefault="00481944" w:rsidP="00481944">
      <w:pPr>
        <w:pStyle w:val="ListBullet"/>
        <w:rPr>
          <w:rFonts w:eastAsiaTheme="minorEastAsia"/>
        </w:rPr>
      </w:pPr>
      <w:r>
        <w:rPr>
          <w:rFonts w:eastAsiaTheme="minorEastAsia"/>
        </w:rPr>
        <w:t>the classification of transitional firm services by auction facility operators</w:t>
      </w:r>
      <w:r w:rsidR="00AA73CE">
        <w:rPr>
          <w:rFonts w:eastAsiaTheme="minorEastAsia"/>
        </w:rPr>
        <w:t>, which the AER will be responsible for overseeing</w:t>
      </w:r>
      <w:r>
        <w:rPr>
          <w:rFonts w:eastAsiaTheme="minorEastAsia"/>
        </w:rPr>
        <w:t>; and</w:t>
      </w:r>
    </w:p>
    <w:p w:rsidR="0088787A" w:rsidRDefault="00507332" w:rsidP="0088787A">
      <w:pPr>
        <w:pStyle w:val="ListBullet"/>
      </w:pPr>
      <w:r>
        <w:t xml:space="preserve">the </w:t>
      </w:r>
      <w:r w:rsidR="00481944">
        <w:t xml:space="preserve">record keeping </w:t>
      </w:r>
      <w:r>
        <w:t>guidelines</w:t>
      </w:r>
      <w:r w:rsidR="00AA73CE">
        <w:t>, which the AER will be responsible for developing</w:t>
      </w:r>
      <w:r w:rsidR="00481944">
        <w:t>.</w:t>
      </w:r>
    </w:p>
    <w:p w:rsidR="0088787A" w:rsidRDefault="0088787A" w:rsidP="00481944">
      <w:pPr>
        <w:pStyle w:val="BodyText"/>
      </w:pPr>
      <w:r>
        <w:t xml:space="preserve">The publication of this </w:t>
      </w:r>
      <w:r w:rsidR="00632F7E">
        <w:t xml:space="preserve">Guidance Note </w:t>
      </w:r>
      <w:r w:rsidR="00A854A1">
        <w:t xml:space="preserve">is </w:t>
      </w:r>
      <w:r>
        <w:t>intended to assist market participants</w:t>
      </w:r>
      <w:r w:rsidR="00632F7E">
        <w:t xml:space="preserve"> and </w:t>
      </w:r>
      <w:r>
        <w:t>the AER with market readiness activities</w:t>
      </w:r>
      <w:r w:rsidR="00632F7E">
        <w:t xml:space="preserve"> that are </w:t>
      </w:r>
      <w:r w:rsidR="00A854A1">
        <w:t xml:space="preserve">expected to be carried out before </w:t>
      </w:r>
      <w:r w:rsidR="000F46BC">
        <w:t xml:space="preserve">or shortly after </w:t>
      </w:r>
      <w:r w:rsidR="00A854A1">
        <w:t xml:space="preserve">the </w:t>
      </w:r>
      <w:r>
        <w:t xml:space="preserve">final </w:t>
      </w:r>
      <w:r w:rsidR="00A854A1">
        <w:t xml:space="preserve">legal and regulatory instruments will be published. </w:t>
      </w:r>
    </w:p>
    <w:p w:rsidR="00231DC5" w:rsidRPr="003D6E8F" w:rsidRDefault="000F7E0E" w:rsidP="00481944">
      <w:pPr>
        <w:pStyle w:val="Heading1"/>
        <w:rPr>
          <w:color w:val="0099CC"/>
          <w:sz w:val="26"/>
          <w:szCs w:val="26"/>
        </w:rPr>
      </w:pPr>
      <w:r w:rsidRPr="003D6E8F">
        <w:rPr>
          <w:color w:val="0099CC"/>
          <w:sz w:val="26"/>
          <w:szCs w:val="26"/>
        </w:rPr>
        <w:lastRenderedPageBreak/>
        <w:t xml:space="preserve">AER’s </w:t>
      </w:r>
      <w:r w:rsidR="001879CF" w:rsidRPr="003D6E8F">
        <w:rPr>
          <w:color w:val="0099CC"/>
          <w:sz w:val="26"/>
          <w:szCs w:val="26"/>
        </w:rPr>
        <w:t xml:space="preserve">functions </w:t>
      </w:r>
      <w:r w:rsidR="007910C1" w:rsidRPr="003D6E8F">
        <w:rPr>
          <w:color w:val="0099CC"/>
          <w:sz w:val="26"/>
          <w:szCs w:val="26"/>
        </w:rPr>
        <w:t xml:space="preserve">and powers </w:t>
      </w:r>
      <w:r w:rsidR="001879CF" w:rsidRPr="003D6E8F">
        <w:rPr>
          <w:color w:val="0099CC"/>
          <w:sz w:val="26"/>
          <w:szCs w:val="26"/>
        </w:rPr>
        <w:t xml:space="preserve">under the NGL and </w:t>
      </w:r>
      <w:r w:rsidR="004033CE" w:rsidRPr="003D6E8F">
        <w:rPr>
          <w:color w:val="0099CC"/>
          <w:sz w:val="26"/>
          <w:szCs w:val="26"/>
        </w:rPr>
        <w:t xml:space="preserve">the </w:t>
      </w:r>
      <w:r w:rsidR="007910C1" w:rsidRPr="003D6E8F">
        <w:rPr>
          <w:color w:val="0099CC"/>
          <w:sz w:val="26"/>
          <w:szCs w:val="26"/>
        </w:rPr>
        <w:t>NGR</w:t>
      </w:r>
    </w:p>
    <w:p w:rsidR="007910C1" w:rsidRDefault="007910C1" w:rsidP="009B1685">
      <w:pPr>
        <w:pStyle w:val="ListBullet"/>
        <w:numPr>
          <w:ilvl w:val="0"/>
          <w:numId w:val="0"/>
        </w:numPr>
        <w:rPr>
          <w:rFonts w:asciiTheme="majorHAnsi" w:eastAsiaTheme="minorEastAsia" w:hAnsiTheme="majorHAnsi" w:cstheme="majorHAnsi"/>
        </w:rPr>
      </w:pPr>
      <w:r>
        <w:rPr>
          <w:rFonts w:asciiTheme="majorHAnsi" w:eastAsiaTheme="minorEastAsia" w:hAnsiTheme="majorHAnsi" w:cstheme="majorHAnsi"/>
        </w:rPr>
        <w:t>Under the legal and regulatory framework that the Energy Council has agreed to implement, the AER will be responsible for:</w:t>
      </w:r>
    </w:p>
    <w:p w:rsidR="007910C1" w:rsidRDefault="007910C1" w:rsidP="00205969">
      <w:pPr>
        <w:pStyle w:val="ListBullet"/>
        <w:rPr>
          <w:rFonts w:eastAsiaTheme="minorEastAsia"/>
        </w:rPr>
      </w:pPr>
      <w:r>
        <w:rPr>
          <w:rFonts w:eastAsiaTheme="minorEastAsia"/>
        </w:rPr>
        <w:t xml:space="preserve">granting </w:t>
      </w:r>
      <w:r w:rsidR="00E86DC7">
        <w:rPr>
          <w:rFonts w:eastAsiaTheme="minorEastAsia"/>
        </w:rPr>
        <w:t xml:space="preserve">transportation facilities </w:t>
      </w:r>
      <w:r w:rsidR="000F46BC">
        <w:rPr>
          <w:rFonts w:eastAsiaTheme="minorEastAsia"/>
        </w:rPr>
        <w:t xml:space="preserve">(or parts thereof) </w:t>
      </w:r>
      <w:r w:rsidR="00E86DC7">
        <w:rPr>
          <w:rFonts w:eastAsiaTheme="minorEastAsia"/>
        </w:rPr>
        <w:t xml:space="preserve">that meet the relevant criteria in the NGR </w:t>
      </w:r>
      <w:r w:rsidR="007077EA">
        <w:rPr>
          <w:rFonts w:eastAsiaTheme="minorEastAsia"/>
        </w:rPr>
        <w:t xml:space="preserve">an </w:t>
      </w:r>
      <w:r>
        <w:rPr>
          <w:rFonts w:eastAsiaTheme="minorEastAsia"/>
        </w:rPr>
        <w:t>exemption from the capacity trading reform</w:t>
      </w:r>
      <w:r w:rsidR="000659A9">
        <w:rPr>
          <w:rFonts w:eastAsiaTheme="minorEastAsia"/>
        </w:rPr>
        <w:t>s</w:t>
      </w:r>
      <w:r>
        <w:rPr>
          <w:rFonts w:eastAsiaTheme="minorEastAsia"/>
        </w:rPr>
        <w:t xml:space="preserve"> </w:t>
      </w:r>
      <w:r w:rsidR="007077EA">
        <w:rPr>
          <w:rFonts w:eastAsiaTheme="minorEastAsia"/>
        </w:rPr>
        <w:t xml:space="preserve">and revoking exemptions if the facility ceases to quality for an exemption </w:t>
      </w:r>
      <w:r w:rsidR="00E86DC7">
        <w:rPr>
          <w:rFonts w:eastAsiaTheme="minorEastAsia"/>
        </w:rPr>
        <w:t xml:space="preserve">(see </w:t>
      </w:r>
      <w:r w:rsidR="005225E6">
        <w:rPr>
          <w:rFonts w:eastAsiaTheme="minorEastAsia"/>
        </w:rPr>
        <w:t xml:space="preserve">section </w:t>
      </w:r>
      <w:r w:rsidR="000F46BC">
        <w:rPr>
          <w:rFonts w:eastAsiaTheme="minorEastAsia"/>
        </w:rPr>
        <w:t>3</w:t>
      </w:r>
      <w:r w:rsidR="005225E6">
        <w:rPr>
          <w:rFonts w:eastAsiaTheme="minorEastAsia"/>
        </w:rPr>
        <w:t xml:space="preserve"> </w:t>
      </w:r>
      <w:r w:rsidR="00E86DC7">
        <w:rPr>
          <w:rFonts w:eastAsiaTheme="minorEastAsia"/>
        </w:rPr>
        <w:t>for more detail)</w:t>
      </w:r>
      <w:r>
        <w:rPr>
          <w:rFonts w:eastAsiaTheme="minorEastAsia"/>
        </w:rPr>
        <w:t>;</w:t>
      </w:r>
    </w:p>
    <w:p w:rsidR="000F46BC" w:rsidRDefault="000F46BC" w:rsidP="000F46BC">
      <w:pPr>
        <w:pStyle w:val="ListBullet"/>
        <w:rPr>
          <w:rFonts w:eastAsiaTheme="minorEastAsia"/>
        </w:rPr>
      </w:pPr>
      <w:r>
        <w:rPr>
          <w:rFonts w:eastAsiaTheme="minorEastAsia"/>
        </w:rPr>
        <w:t>overseeing the classification of transitional firm services by service providers and monitoring compliance with the conditions of use of these services (see section 4 for more detail);</w:t>
      </w:r>
    </w:p>
    <w:p w:rsidR="005225E6" w:rsidRPr="00757AFC" w:rsidRDefault="005225E6" w:rsidP="005225E6">
      <w:pPr>
        <w:pStyle w:val="ListBullet"/>
        <w:rPr>
          <w:lang w:eastAsia="fr-CA"/>
        </w:rPr>
      </w:pPr>
      <w:r>
        <w:rPr>
          <w:lang w:eastAsia="fr-CA"/>
        </w:rPr>
        <w:t xml:space="preserve">developing and publishing </w:t>
      </w:r>
      <w:r w:rsidR="000F46BC">
        <w:rPr>
          <w:lang w:eastAsia="fr-CA"/>
        </w:rPr>
        <w:t xml:space="preserve">record keeping </w:t>
      </w:r>
      <w:r>
        <w:rPr>
          <w:lang w:eastAsia="fr-CA"/>
        </w:rPr>
        <w:t xml:space="preserve">guidelines </w:t>
      </w:r>
      <w:r w:rsidR="000F46BC">
        <w:rPr>
          <w:lang w:eastAsia="fr-CA"/>
        </w:rPr>
        <w:t xml:space="preserve">(see section 5 for more detail), which </w:t>
      </w:r>
      <w:r w:rsidR="00632F7E">
        <w:rPr>
          <w:lang w:eastAsia="fr-CA"/>
        </w:rPr>
        <w:t xml:space="preserve">will </w:t>
      </w:r>
      <w:r>
        <w:rPr>
          <w:rFonts w:asciiTheme="majorHAnsi" w:hAnsiTheme="majorHAnsi" w:cstheme="majorHAnsi"/>
        </w:rPr>
        <w:t xml:space="preserve">set </w:t>
      </w:r>
      <w:r w:rsidRPr="00DA5180">
        <w:rPr>
          <w:rFonts w:asciiTheme="majorHAnsi" w:hAnsiTheme="majorHAnsi" w:cstheme="majorHAnsi"/>
        </w:rPr>
        <w:t xml:space="preserve">out the </w:t>
      </w:r>
      <w:r>
        <w:rPr>
          <w:rFonts w:asciiTheme="majorHAnsi" w:hAnsiTheme="majorHAnsi" w:cstheme="majorHAnsi"/>
        </w:rPr>
        <w:t xml:space="preserve">matters to be included in: </w:t>
      </w:r>
    </w:p>
    <w:p w:rsidR="005225E6" w:rsidRPr="005225E6" w:rsidRDefault="005225E6" w:rsidP="005225E6">
      <w:pPr>
        <w:pStyle w:val="ListBullet2"/>
        <w:numPr>
          <w:ilvl w:val="0"/>
          <w:numId w:val="24"/>
        </w:numPr>
        <w:rPr>
          <w:rFonts w:asciiTheme="majorHAnsi" w:hAnsiTheme="majorHAnsi" w:cstheme="majorHAnsi"/>
          <w:lang w:eastAsia="fr-CA"/>
        </w:rPr>
      </w:pPr>
      <w:r w:rsidRPr="005225E6">
        <w:rPr>
          <w:rFonts w:asciiTheme="majorHAnsi" w:hAnsiTheme="majorHAnsi" w:cstheme="majorHAnsi"/>
          <w:lang w:eastAsia="fr-CA"/>
        </w:rPr>
        <w:t>the nomination</w:t>
      </w:r>
      <w:r w:rsidR="004127D5">
        <w:rPr>
          <w:rFonts w:asciiTheme="majorHAnsi" w:hAnsiTheme="majorHAnsi" w:cstheme="majorHAnsi"/>
          <w:lang w:eastAsia="fr-CA"/>
        </w:rPr>
        <w:t>, renomination</w:t>
      </w:r>
      <w:r w:rsidRPr="005225E6">
        <w:rPr>
          <w:rFonts w:asciiTheme="majorHAnsi" w:hAnsiTheme="majorHAnsi" w:cstheme="majorHAnsi"/>
          <w:lang w:eastAsia="fr-CA"/>
        </w:rPr>
        <w:t xml:space="preserve"> and scheduling records to be maintained by </w:t>
      </w:r>
      <w:r w:rsidR="004127D5">
        <w:rPr>
          <w:rFonts w:asciiTheme="majorHAnsi" w:hAnsiTheme="majorHAnsi" w:cstheme="majorHAnsi"/>
          <w:lang w:eastAsia="fr-CA"/>
        </w:rPr>
        <w:t xml:space="preserve">the </w:t>
      </w:r>
      <w:r w:rsidRPr="005225E6">
        <w:rPr>
          <w:rFonts w:asciiTheme="majorHAnsi" w:hAnsiTheme="majorHAnsi" w:cstheme="majorHAnsi"/>
          <w:lang w:eastAsia="fr-CA"/>
        </w:rPr>
        <w:t xml:space="preserve">operators </w:t>
      </w:r>
      <w:r w:rsidR="004127D5">
        <w:rPr>
          <w:rFonts w:asciiTheme="majorHAnsi" w:hAnsiTheme="majorHAnsi" w:cstheme="majorHAnsi"/>
          <w:lang w:eastAsia="fr-CA"/>
        </w:rPr>
        <w:t>of auction facilities (</w:t>
      </w:r>
      <w:r w:rsidR="00D96CFE">
        <w:rPr>
          <w:rFonts w:asciiTheme="majorHAnsi" w:hAnsiTheme="majorHAnsi" w:cstheme="majorHAnsi"/>
          <w:lang w:eastAsia="fr-CA"/>
        </w:rPr>
        <w:t>‘</w:t>
      </w:r>
      <w:r w:rsidR="004127D5">
        <w:rPr>
          <w:rFonts w:asciiTheme="majorHAnsi" w:hAnsiTheme="majorHAnsi" w:cstheme="majorHAnsi"/>
          <w:lang w:eastAsia="fr-CA"/>
        </w:rPr>
        <w:t>auction facility operators</w:t>
      </w:r>
      <w:r w:rsidR="00D96CFE">
        <w:rPr>
          <w:rFonts w:asciiTheme="majorHAnsi" w:hAnsiTheme="majorHAnsi" w:cstheme="majorHAnsi"/>
          <w:lang w:eastAsia="fr-CA"/>
        </w:rPr>
        <w:t>’</w:t>
      </w:r>
      <w:r w:rsidR="004127D5">
        <w:rPr>
          <w:rFonts w:asciiTheme="majorHAnsi" w:hAnsiTheme="majorHAnsi" w:cstheme="majorHAnsi"/>
          <w:lang w:eastAsia="fr-CA"/>
        </w:rPr>
        <w:t xml:space="preserve">) </w:t>
      </w:r>
      <w:r w:rsidRPr="005225E6">
        <w:rPr>
          <w:rFonts w:asciiTheme="majorHAnsi" w:hAnsiTheme="majorHAnsi" w:cstheme="majorHAnsi"/>
          <w:lang w:eastAsia="fr-CA"/>
        </w:rPr>
        <w:t>and the manner in which the records are to be made and kept; and</w:t>
      </w:r>
    </w:p>
    <w:p w:rsidR="005225E6" w:rsidRPr="005225E6" w:rsidRDefault="005225E6" w:rsidP="005225E6">
      <w:pPr>
        <w:pStyle w:val="ListBullet2"/>
        <w:numPr>
          <w:ilvl w:val="0"/>
          <w:numId w:val="24"/>
        </w:numPr>
        <w:rPr>
          <w:rFonts w:asciiTheme="majorHAnsi" w:hAnsiTheme="majorHAnsi" w:cstheme="majorHAnsi"/>
          <w:lang w:eastAsia="fr-CA"/>
        </w:rPr>
      </w:pPr>
      <w:r w:rsidRPr="005225E6">
        <w:rPr>
          <w:rFonts w:asciiTheme="majorHAnsi" w:hAnsiTheme="majorHAnsi" w:cstheme="majorHAnsi"/>
          <w:lang w:eastAsia="fr-CA"/>
        </w:rPr>
        <w:t xml:space="preserve">the renomination records to be maintained by shippers </w:t>
      </w:r>
      <w:r w:rsidR="004127D5">
        <w:rPr>
          <w:rFonts w:asciiTheme="majorHAnsi" w:hAnsiTheme="majorHAnsi" w:cstheme="majorHAnsi"/>
          <w:lang w:eastAsia="fr-CA"/>
        </w:rPr>
        <w:t>using auction facilities</w:t>
      </w:r>
      <w:r>
        <w:rPr>
          <w:rFonts w:asciiTheme="majorHAnsi" w:hAnsiTheme="majorHAnsi" w:cstheme="majorHAnsi"/>
          <w:lang w:eastAsia="fr-CA"/>
        </w:rPr>
        <w:t xml:space="preserve">; </w:t>
      </w:r>
    </w:p>
    <w:p w:rsidR="000F46BC" w:rsidRDefault="000F46BC" w:rsidP="000F46BC">
      <w:pPr>
        <w:pStyle w:val="ListBullet"/>
        <w:rPr>
          <w:rFonts w:eastAsiaTheme="minorEastAsia"/>
        </w:rPr>
      </w:pPr>
      <w:r>
        <w:rPr>
          <w:rFonts w:eastAsiaTheme="minorEastAsia"/>
        </w:rPr>
        <w:t>making and amending the Code in accordance with the NGL and NGR;</w:t>
      </w:r>
      <w:r>
        <w:rPr>
          <w:rStyle w:val="FootnoteReference"/>
          <w:rFonts w:asciiTheme="majorHAnsi" w:eastAsiaTheme="minorEastAsia" w:hAnsiTheme="majorHAnsi" w:cstheme="majorHAnsi"/>
        </w:rPr>
        <w:footnoteReference w:id="3"/>
      </w:r>
    </w:p>
    <w:p w:rsidR="007910C1" w:rsidRPr="00E86DC7" w:rsidRDefault="00AD52E2" w:rsidP="00205969">
      <w:pPr>
        <w:pStyle w:val="ListBullet"/>
        <w:rPr>
          <w:rFonts w:asciiTheme="majorHAnsi" w:eastAsiaTheme="minorEastAsia" w:hAnsiTheme="majorHAnsi" w:cstheme="majorHAnsi"/>
        </w:rPr>
      </w:pPr>
      <w:r w:rsidRPr="00E86DC7">
        <w:rPr>
          <w:rFonts w:asciiTheme="majorHAnsi" w:eastAsiaTheme="minorEastAsia" w:hAnsiTheme="majorHAnsi" w:cstheme="majorHAnsi"/>
        </w:rPr>
        <w:t>monitoring and enforcing</w:t>
      </w:r>
      <w:r w:rsidR="00237875">
        <w:rPr>
          <w:rStyle w:val="FootnoteReference"/>
          <w:rFonts w:asciiTheme="majorHAnsi" w:eastAsiaTheme="minorEastAsia" w:hAnsiTheme="majorHAnsi" w:cstheme="majorHAnsi"/>
        </w:rPr>
        <w:footnoteReference w:id="4"/>
      </w:r>
      <w:r w:rsidRPr="00E86DC7">
        <w:rPr>
          <w:rFonts w:asciiTheme="majorHAnsi" w:eastAsiaTheme="minorEastAsia" w:hAnsiTheme="majorHAnsi" w:cstheme="majorHAnsi"/>
        </w:rPr>
        <w:t xml:space="preserve"> compliance with </w:t>
      </w:r>
      <w:r w:rsidR="00E86DC7">
        <w:rPr>
          <w:rFonts w:asciiTheme="majorHAnsi" w:eastAsiaTheme="minorEastAsia" w:hAnsiTheme="majorHAnsi" w:cstheme="majorHAnsi"/>
        </w:rPr>
        <w:t xml:space="preserve">various obligations in the </w:t>
      </w:r>
      <w:r w:rsidRPr="00E86DC7">
        <w:rPr>
          <w:rFonts w:asciiTheme="majorHAnsi" w:eastAsiaTheme="minorEastAsia" w:hAnsiTheme="majorHAnsi" w:cstheme="majorHAnsi"/>
        </w:rPr>
        <w:t>NGL, NGR and procedures, including, amongst others</w:t>
      </w:r>
      <w:r w:rsidR="007910C1" w:rsidRPr="00E86DC7">
        <w:rPr>
          <w:rFonts w:asciiTheme="majorHAnsi" w:hAnsiTheme="majorHAnsi" w:cstheme="majorHAnsi"/>
        </w:rPr>
        <w:t>:</w:t>
      </w:r>
    </w:p>
    <w:p w:rsidR="00AD52E2" w:rsidRPr="00E86DC7" w:rsidRDefault="00AD52E2" w:rsidP="00205969">
      <w:pPr>
        <w:pStyle w:val="ListBullet2"/>
        <w:numPr>
          <w:ilvl w:val="0"/>
          <w:numId w:val="24"/>
        </w:numPr>
        <w:rPr>
          <w:rFonts w:asciiTheme="majorHAnsi" w:hAnsiTheme="majorHAnsi" w:cstheme="majorHAnsi"/>
          <w:lang w:eastAsia="fr-CA"/>
        </w:rPr>
      </w:pPr>
      <w:r w:rsidRPr="00E86DC7">
        <w:rPr>
          <w:rFonts w:asciiTheme="majorHAnsi" w:hAnsiTheme="majorHAnsi" w:cstheme="majorHAnsi"/>
          <w:lang w:eastAsia="fr-CA"/>
        </w:rPr>
        <w:t>the new reporting obligations</w:t>
      </w:r>
      <w:r w:rsidR="00205969" w:rsidRPr="00E86DC7">
        <w:rPr>
          <w:rFonts w:asciiTheme="majorHAnsi" w:hAnsiTheme="majorHAnsi" w:cstheme="majorHAnsi"/>
          <w:lang w:eastAsia="fr-CA"/>
        </w:rPr>
        <w:t xml:space="preserve"> </w:t>
      </w:r>
      <w:r w:rsidR="00E86DC7">
        <w:rPr>
          <w:rFonts w:asciiTheme="majorHAnsi" w:hAnsiTheme="majorHAnsi" w:cstheme="majorHAnsi"/>
          <w:lang w:eastAsia="fr-CA"/>
        </w:rPr>
        <w:t xml:space="preserve">for the Bulletin Board </w:t>
      </w:r>
      <w:r w:rsidR="00205969" w:rsidRPr="00E86DC7">
        <w:rPr>
          <w:rFonts w:asciiTheme="majorHAnsi" w:hAnsiTheme="majorHAnsi" w:cstheme="majorHAnsi"/>
          <w:lang w:eastAsia="fr-CA"/>
        </w:rPr>
        <w:t>and day-ahead auction</w:t>
      </w:r>
      <w:r w:rsidRPr="00E86DC7">
        <w:rPr>
          <w:rFonts w:asciiTheme="majorHAnsi" w:hAnsiTheme="majorHAnsi" w:cstheme="majorHAnsi"/>
          <w:lang w:eastAsia="fr-CA"/>
        </w:rPr>
        <w:t>;</w:t>
      </w:r>
    </w:p>
    <w:p w:rsidR="007077EA" w:rsidRDefault="00205969" w:rsidP="00205969">
      <w:pPr>
        <w:pStyle w:val="ListBullet2"/>
        <w:numPr>
          <w:ilvl w:val="0"/>
          <w:numId w:val="24"/>
        </w:numPr>
        <w:rPr>
          <w:rFonts w:asciiTheme="majorHAnsi" w:hAnsiTheme="majorHAnsi" w:cstheme="majorHAnsi"/>
          <w:lang w:eastAsia="fr-CA"/>
        </w:rPr>
      </w:pPr>
      <w:r w:rsidRPr="00E86DC7">
        <w:rPr>
          <w:rFonts w:asciiTheme="majorHAnsi" w:hAnsiTheme="majorHAnsi" w:cstheme="majorHAnsi"/>
          <w:lang w:eastAsia="fr-CA"/>
        </w:rPr>
        <w:t xml:space="preserve">the obligation that service providers </w:t>
      </w:r>
      <w:r w:rsidR="00F768A5">
        <w:rPr>
          <w:rFonts w:asciiTheme="majorHAnsi" w:hAnsiTheme="majorHAnsi" w:cstheme="majorHAnsi"/>
          <w:lang w:eastAsia="fr-CA"/>
        </w:rPr>
        <w:t xml:space="preserve">for non-exempt facilities </w:t>
      </w:r>
      <w:r w:rsidRPr="00E86DC7">
        <w:rPr>
          <w:rFonts w:asciiTheme="majorHAnsi" w:hAnsiTheme="majorHAnsi" w:cstheme="majorHAnsi"/>
          <w:lang w:eastAsia="fr-CA"/>
        </w:rPr>
        <w:t>will have to</w:t>
      </w:r>
      <w:r w:rsidR="007077EA">
        <w:rPr>
          <w:rFonts w:asciiTheme="majorHAnsi" w:hAnsiTheme="majorHAnsi" w:cstheme="majorHAnsi"/>
          <w:lang w:eastAsia="fr-CA"/>
        </w:rPr>
        <w:t>:</w:t>
      </w:r>
      <w:r w:rsidRPr="00E86DC7">
        <w:rPr>
          <w:rFonts w:asciiTheme="majorHAnsi" w:hAnsiTheme="majorHAnsi" w:cstheme="majorHAnsi"/>
          <w:lang w:eastAsia="fr-CA"/>
        </w:rPr>
        <w:t xml:space="preserve"> </w:t>
      </w:r>
    </w:p>
    <w:p w:rsidR="007077EA" w:rsidRDefault="00205969" w:rsidP="007077EA">
      <w:pPr>
        <w:pStyle w:val="TableBullet1"/>
        <w:numPr>
          <w:ilvl w:val="0"/>
          <w:numId w:val="25"/>
        </w:numPr>
        <w:spacing w:after="80"/>
        <w:ind w:left="1077" w:hanging="357"/>
        <w:rPr>
          <w:rFonts w:asciiTheme="majorHAnsi" w:hAnsiTheme="majorHAnsi" w:cstheme="majorHAnsi"/>
          <w:sz w:val="22"/>
          <w:lang w:eastAsia="fr-CA"/>
        </w:rPr>
      </w:pPr>
      <w:r w:rsidRPr="00E86DC7">
        <w:rPr>
          <w:rFonts w:asciiTheme="majorHAnsi" w:hAnsiTheme="majorHAnsi" w:cstheme="majorHAnsi"/>
          <w:sz w:val="22"/>
          <w:lang w:eastAsia="fr-CA"/>
        </w:rPr>
        <w:t>publish standard operational transportation agreements (OTSA) that comply with the principles set out in the NGR and the Code</w:t>
      </w:r>
      <w:r w:rsidR="007077EA" w:rsidRPr="007077EA">
        <w:rPr>
          <w:rFonts w:asciiTheme="majorHAnsi" w:hAnsiTheme="majorHAnsi" w:cstheme="majorHAnsi"/>
          <w:sz w:val="22"/>
          <w:lang w:eastAsia="fr-CA"/>
        </w:rPr>
        <w:t xml:space="preserve"> (including the principles relating to the recovery of standardisation costs);</w:t>
      </w:r>
      <w:r w:rsidRPr="00E86DC7">
        <w:rPr>
          <w:rFonts w:asciiTheme="majorHAnsi" w:hAnsiTheme="majorHAnsi" w:cstheme="majorHAnsi"/>
          <w:sz w:val="22"/>
          <w:lang w:eastAsia="fr-CA"/>
        </w:rPr>
        <w:t xml:space="preserve"> and/or </w:t>
      </w:r>
    </w:p>
    <w:p w:rsidR="00205969" w:rsidRDefault="00205969" w:rsidP="007077EA">
      <w:pPr>
        <w:pStyle w:val="TableBullet1"/>
        <w:numPr>
          <w:ilvl w:val="0"/>
          <w:numId w:val="25"/>
        </w:numPr>
        <w:spacing w:after="80"/>
        <w:ind w:left="1077" w:hanging="357"/>
        <w:rPr>
          <w:rFonts w:asciiTheme="majorHAnsi" w:hAnsiTheme="majorHAnsi" w:cstheme="majorHAnsi"/>
          <w:sz w:val="22"/>
          <w:lang w:eastAsia="fr-CA"/>
        </w:rPr>
      </w:pPr>
      <w:r w:rsidRPr="00E86DC7">
        <w:rPr>
          <w:rFonts w:asciiTheme="majorHAnsi" w:hAnsiTheme="majorHAnsi" w:cstheme="majorHAnsi"/>
          <w:sz w:val="22"/>
          <w:lang w:eastAsia="fr-CA"/>
        </w:rPr>
        <w:t>offer to enter into such agreements</w:t>
      </w:r>
      <w:r w:rsidR="000F46BC">
        <w:rPr>
          <w:rFonts w:asciiTheme="majorHAnsi" w:hAnsiTheme="majorHAnsi" w:cstheme="majorHAnsi"/>
          <w:sz w:val="22"/>
          <w:lang w:eastAsia="fr-CA"/>
        </w:rPr>
        <w:t xml:space="preserve"> if requested to do so by a prospective shipper</w:t>
      </w:r>
      <w:r w:rsidRPr="00E86DC7">
        <w:rPr>
          <w:rFonts w:asciiTheme="majorHAnsi" w:hAnsiTheme="majorHAnsi" w:cstheme="majorHAnsi"/>
          <w:sz w:val="22"/>
          <w:lang w:eastAsia="fr-CA"/>
        </w:rPr>
        <w:t>;</w:t>
      </w:r>
    </w:p>
    <w:p w:rsidR="00E86DC7" w:rsidRDefault="00E86DC7" w:rsidP="00E86DC7">
      <w:pPr>
        <w:pStyle w:val="TableBullet1"/>
        <w:numPr>
          <w:ilvl w:val="0"/>
          <w:numId w:val="24"/>
        </w:numPr>
        <w:spacing w:after="80"/>
        <w:rPr>
          <w:rFonts w:asciiTheme="majorHAnsi" w:hAnsiTheme="majorHAnsi" w:cstheme="majorHAnsi"/>
          <w:sz w:val="22"/>
          <w:lang w:eastAsia="fr-CA"/>
        </w:rPr>
      </w:pPr>
      <w:r w:rsidRPr="00E86DC7">
        <w:rPr>
          <w:rFonts w:asciiTheme="majorHAnsi" w:hAnsiTheme="majorHAnsi" w:cstheme="majorHAnsi"/>
          <w:sz w:val="22"/>
          <w:lang w:eastAsia="fr-CA"/>
        </w:rPr>
        <w:t>the obligation that sellers of secondary capacity in bilateral trades will have to</w:t>
      </w:r>
      <w:r>
        <w:rPr>
          <w:rFonts w:asciiTheme="majorHAnsi" w:hAnsiTheme="majorHAnsi" w:cstheme="majorHAnsi"/>
          <w:sz w:val="22"/>
          <w:lang w:eastAsia="fr-CA"/>
        </w:rPr>
        <w:t>:</w:t>
      </w:r>
      <w:r w:rsidRPr="00E86DC7">
        <w:rPr>
          <w:rFonts w:asciiTheme="majorHAnsi" w:hAnsiTheme="majorHAnsi" w:cstheme="majorHAnsi"/>
          <w:sz w:val="22"/>
          <w:lang w:eastAsia="fr-CA"/>
        </w:rPr>
        <w:t xml:space="preserve"> </w:t>
      </w:r>
    </w:p>
    <w:p w:rsidR="00E86DC7" w:rsidRDefault="00E86DC7" w:rsidP="00E86DC7">
      <w:pPr>
        <w:pStyle w:val="TableBullet1"/>
        <w:numPr>
          <w:ilvl w:val="0"/>
          <w:numId w:val="25"/>
        </w:numPr>
        <w:spacing w:after="80"/>
        <w:ind w:left="1077" w:hanging="357"/>
        <w:rPr>
          <w:rFonts w:asciiTheme="majorHAnsi" w:hAnsiTheme="majorHAnsi" w:cstheme="majorHAnsi"/>
          <w:sz w:val="22"/>
          <w:lang w:eastAsia="fr-CA"/>
        </w:rPr>
      </w:pPr>
      <w:r w:rsidRPr="00E86DC7">
        <w:rPr>
          <w:rFonts w:asciiTheme="majorHAnsi" w:hAnsiTheme="majorHAnsi" w:cstheme="majorHAnsi"/>
          <w:sz w:val="22"/>
          <w:lang w:eastAsia="fr-CA"/>
        </w:rPr>
        <w:t>offer buyers the option of using an operational transfer</w:t>
      </w:r>
      <w:r>
        <w:rPr>
          <w:rFonts w:asciiTheme="majorHAnsi" w:hAnsiTheme="majorHAnsi" w:cstheme="majorHAnsi"/>
          <w:sz w:val="22"/>
          <w:lang w:eastAsia="fr-CA"/>
        </w:rPr>
        <w:t>;</w:t>
      </w:r>
      <w:r w:rsidRPr="00E86DC7">
        <w:rPr>
          <w:rFonts w:asciiTheme="majorHAnsi" w:hAnsiTheme="majorHAnsi" w:cstheme="majorHAnsi"/>
          <w:sz w:val="22"/>
          <w:lang w:eastAsia="fr-CA"/>
        </w:rPr>
        <w:t xml:space="preserve"> and </w:t>
      </w:r>
    </w:p>
    <w:p w:rsidR="00E86DC7" w:rsidRPr="00E86DC7" w:rsidRDefault="00E86DC7" w:rsidP="00E86DC7">
      <w:pPr>
        <w:pStyle w:val="TableBullet1"/>
        <w:numPr>
          <w:ilvl w:val="0"/>
          <w:numId w:val="25"/>
        </w:numPr>
        <w:spacing w:after="80"/>
        <w:ind w:left="1077" w:hanging="357"/>
        <w:rPr>
          <w:rFonts w:asciiTheme="majorHAnsi" w:hAnsiTheme="majorHAnsi" w:cstheme="majorHAnsi"/>
          <w:sz w:val="22"/>
          <w:lang w:eastAsia="fr-CA"/>
        </w:rPr>
      </w:pPr>
      <w:r w:rsidRPr="00E86DC7">
        <w:rPr>
          <w:rFonts w:asciiTheme="majorHAnsi" w:hAnsiTheme="majorHAnsi" w:cstheme="majorHAnsi"/>
          <w:sz w:val="22"/>
          <w:lang w:eastAsia="fr-CA"/>
        </w:rPr>
        <w:t xml:space="preserve">report </w:t>
      </w:r>
      <w:r>
        <w:rPr>
          <w:rFonts w:asciiTheme="majorHAnsi" w:hAnsiTheme="majorHAnsi" w:cstheme="majorHAnsi"/>
          <w:sz w:val="22"/>
          <w:lang w:eastAsia="fr-CA"/>
        </w:rPr>
        <w:t xml:space="preserve">any bilateral </w:t>
      </w:r>
      <w:r w:rsidRPr="00E86DC7">
        <w:rPr>
          <w:rFonts w:asciiTheme="majorHAnsi" w:hAnsiTheme="majorHAnsi" w:cstheme="majorHAnsi"/>
          <w:sz w:val="22"/>
          <w:lang w:eastAsia="fr-CA"/>
        </w:rPr>
        <w:t xml:space="preserve">trades </w:t>
      </w:r>
      <w:r w:rsidR="00FC7298">
        <w:rPr>
          <w:rFonts w:asciiTheme="majorHAnsi" w:hAnsiTheme="majorHAnsi" w:cstheme="majorHAnsi"/>
          <w:sz w:val="22"/>
          <w:lang w:eastAsia="fr-CA"/>
        </w:rPr>
        <w:t>of capacity involving forward haul, backhaul, park, loan or compression services</w:t>
      </w:r>
      <w:r w:rsidR="00FC7298">
        <w:rPr>
          <w:rStyle w:val="FootnoteReference"/>
          <w:rFonts w:asciiTheme="majorHAnsi" w:hAnsiTheme="majorHAnsi" w:cstheme="majorHAnsi"/>
          <w:sz w:val="22"/>
          <w:lang w:eastAsia="fr-CA"/>
        </w:rPr>
        <w:footnoteReference w:id="5"/>
      </w:r>
      <w:r w:rsidR="00FC7298">
        <w:rPr>
          <w:rFonts w:asciiTheme="majorHAnsi" w:hAnsiTheme="majorHAnsi" w:cstheme="majorHAnsi"/>
          <w:sz w:val="22"/>
          <w:lang w:eastAsia="fr-CA"/>
        </w:rPr>
        <w:t xml:space="preserve"> </w:t>
      </w:r>
      <w:r w:rsidRPr="00E86DC7">
        <w:rPr>
          <w:rFonts w:asciiTheme="majorHAnsi" w:hAnsiTheme="majorHAnsi" w:cstheme="majorHAnsi"/>
          <w:sz w:val="22"/>
          <w:lang w:eastAsia="fr-CA"/>
        </w:rPr>
        <w:t>to AEMO for publication on the Bulletin Board</w:t>
      </w:r>
      <w:r w:rsidR="007077EA">
        <w:rPr>
          <w:rFonts w:asciiTheme="majorHAnsi" w:hAnsiTheme="majorHAnsi" w:cstheme="majorHAnsi"/>
          <w:sz w:val="22"/>
          <w:lang w:eastAsia="fr-CA"/>
        </w:rPr>
        <w:t>;</w:t>
      </w:r>
    </w:p>
    <w:p w:rsidR="00FC7298" w:rsidRDefault="00AD52E2" w:rsidP="00205969">
      <w:pPr>
        <w:pStyle w:val="ListBullet2"/>
        <w:numPr>
          <w:ilvl w:val="0"/>
          <w:numId w:val="24"/>
        </w:numPr>
        <w:rPr>
          <w:rFonts w:asciiTheme="majorHAnsi" w:hAnsiTheme="majorHAnsi" w:cstheme="majorHAnsi"/>
          <w:lang w:eastAsia="fr-CA"/>
        </w:rPr>
      </w:pPr>
      <w:r w:rsidRPr="00E86DC7">
        <w:rPr>
          <w:rFonts w:asciiTheme="majorHAnsi" w:hAnsiTheme="majorHAnsi" w:cstheme="majorHAnsi"/>
          <w:lang w:eastAsia="fr-CA"/>
        </w:rPr>
        <w:lastRenderedPageBreak/>
        <w:t xml:space="preserve">the </w:t>
      </w:r>
      <w:r w:rsidR="00FC7298">
        <w:rPr>
          <w:rFonts w:asciiTheme="majorHAnsi" w:hAnsiTheme="majorHAnsi" w:cstheme="majorHAnsi"/>
          <w:lang w:eastAsia="fr-CA"/>
        </w:rPr>
        <w:t xml:space="preserve">obligations that market participants will have to comply with: </w:t>
      </w:r>
    </w:p>
    <w:p w:rsidR="00FC7298" w:rsidRPr="00FC7298" w:rsidRDefault="00FC7298" w:rsidP="00FC7298">
      <w:pPr>
        <w:pStyle w:val="TableBullet1"/>
        <w:numPr>
          <w:ilvl w:val="0"/>
          <w:numId w:val="25"/>
        </w:numPr>
        <w:spacing w:after="80"/>
        <w:ind w:left="1077" w:hanging="357"/>
        <w:rPr>
          <w:rFonts w:asciiTheme="majorHAnsi" w:hAnsiTheme="majorHAnsi" w:cstheme="majorHAnsi"/>
          <w:sz w:val="22"/>
          <w:lang w:eastAsia="fr-CA"/>
        </w:rPr>
      </w:pPr>
      <w:r w:rsidRPr="00FC7298">
        <w:rPr>
          <w:rFonts w:asciiTheme="majorHAnsi" w:hAnsiTheme="majorHAnsi" w:cstheme="majorHAnsi"/>
          <w:sz w:val="22"/>
          <w:lang w:eastAsia="fr-CA"/>
        </w:rPr>
        <w:t xml:space="preserve">the </w:t>
      </w:r>
      <w:r w:rsidR="00AD52E2" w:rsidRPr="00FC7298">
        <w:rPr>
          <w:rFonts w:asciiTheme="majorHAnsi" w:hAnsiTheme="majorHAnsi" w:cstheme="majorHAnsi"/>
          <w:sz w:val="22"/>
          <w:lang w:eastAsia="fr-CA"/>
        </w:rPr>
        <w:t>market conduct rules that will apply to the capacity trading platform</w:t>
      </w:r>
      <w:r w:rsidRPr="00FC7298">
        <w:rPr>
          <w:rFonts w:asciiTheme="majorHAnsi" w:hAnsiTheme="majorHAnsi" w:cstheme="majorHAnsi"/>
          <w:sz w:val="22"/>
          <w:lang w:eastAsia="fr-CA"/>
        </w:rPr>
        <w:t>;</w:t>
      </w:r>
      <w:r>
        <w:rPr>
          <w:rStyle w:val="FootnoteReference"/>
          <w:rFonts w:asciiTheme="majorHAnsi" w:hAnsiTheme="majorHAnsi" w:cstheme="majorHAnsi"/>
          <w:sz w:val="22"/>
          <w:lang w:eastAsia="fr-CA"/>
        </w:rPr>
        <w:footnoteReference w:id="6"/>
      </w:r>
      <w:r w:rsidR="00205969" w:rsidRPr="00FC7298">
        <w:rPr>
          <w:rFonts w:asciiTheme="majorHAnsi" w:hAnsiTheme="majorHAnsi" w:cstheme="majorHAnsi"/>
          <w:sz w:val="22"/>
          <w:lang w:eastAsia="fr-CA"/>
        </w:rPr>
        <w:t xml:space="preserve"> and </w:t>
      </w:r>
    </w:p>
    <w:p w:rsidR="00AD52E2" w:rsidRPr="00FC7298" w:rsidRDefault="00205969" w:rsidP="00FC7298">
      <w:pPr>
        <w:pStyle w:val="TableBullet1"/>
        <w:numPr>
          <w:ilvl w:val="0"/>
          <w:numId w:val="25"/>
        </w:numPr>
        <w:spacing w:after="80"/>
        <w:ind w:left="1077" w:hanging="357"/>
        <w:rPr>
          <w:rFonts w:asciiTheme="majorHAnsi" w:hAnsiTheme="majorHAnsi" w:cstheme="majorHAnsi"/>
          <w:sz w:val="22"/>
          <w:lang w:eastAsia="fr-CA"/>
        </w:rPr>
      </w:pPr>
      <w:r w:rsidRPr="00FC7298">
        <w:rPr>
          <w:rFonts w:asciiTheme="majorHAnsi" w:hAnsiTheme="majorHAnsi" w:cstheme="majorHAnsi"/>
          <w:sz w:val="22"/>
          <w:lang w:eastAsia="fr-CA"/>
        </w:rPr>
        <w:t xml:space="preserve">the </w:t>
      </w:r>
      <w:r w:rsidR="00FC7298">
        <w:rPr>
          <w:rFonts w:asciiTheme="majorHAnsi" w:hAnsiTheme="majorHAnsi" w:cstheme="majorHAnsi"/>
          <w:sz w:val="22"/>
          <w:lang w:eastAsia="fr-CA"/>
        </w:rPr>
        <w:t xml:space="preserve">market conduct </w:t>
      </w:r>
      <w:r w:rsidR="000F46BC">
        <w:rPr>
          <w:rFonts w:asciiTheme="majorHAnsi" w:hAnsiTheme="majorHAnsi" w:cstheme="majorHAnsi"/>
          <w:sz w:val="22"/>
          <w:lang w:eastAsia="fr-CA"/>
        </w:rPr>
        <w:t xml:space="preserve">and nomination </w:t>
      </w:r>
      <w:r w:rsidR="00FC7298">
        <w:rPr>
          <w:rFonts w:asciiTheme="majorHAnsi" w:hAnsiTheme="majorHAnsi" w:cstheme="majorHAnsi"/>
          <w:sz w:val="22"/>
          <w:lang w:eastAsia="fr-CA"/>
        </w:rPr>
        <w:t xml:space="preserve">rules that will apply to the </w:t>
      </w:r>
      <w:r w:rsidRPr="00FC7298">
        <w:rPr>
          <w:rFonts w:asciiTheme="majorHAnsi" w:hAnsiTheme="majorHAnsi" w:cstheme="majorHAnsi"/>
          <w:sz w:val="22"/>
          <w:lang w:eastAsia="fr-CA"/>
        </w:rPr>
        <w:t>day-ahead auction</w:t>
      </w:r>
      <w:r w:rsidR="00FC7298" w:rsidRPr="00FC7298">
        <w:rPr>
          <w:rFonts w:asciiTheme="majorHAnsi" w:hAnsiTheme="majorHAnsi" w:cstheme="majorHAnsi"/>
          <w:sz w:val="22"/>
          <w:lang w:eastAsia="fr-CA"/>
        </w:rPr>
        <w:t>;</w:t>
      </w:r>
      <w:r w:rsidR="00FC7298" w:rsidRPr="00F14B36">
        <w:rPr>
          <w:rFonts w:ascii="Arial" w:hAnsi="Arial"/>
          <w:sz w:val="22"/>
          <w:vertAlign w:val="superscript"/>
        </w:rPr>
        <w:footnoteReference w:id="7"/>
      </w:r>
    </w:p>
    <w:p w:rsidR="00FC7298" w:rsidRDefault="00205969" w:rsidP="00FC7298">
      <w:pPr>
        <w:pStyle w:val="ListBullet2"/>
        <w:numPr>
          <w:ilvl w:val="0"/>
          <w:numId w:val="24"/>
        </w:numPr>
        <w:rPr>
          <w:rFonts w:asciiTheme="majorHAnsi" w:hAnsiTheme="majorHAnsi" w:cstheme="majorHAnsi"/>
          <w:lang w:eastAsia="fr-CA"/>
        </w:rPr>
      </w:pPr>
      <w:r w:rsidRPr="00E86DC7">
        <w:rPr>
          <w:rFonts w:asciiTheme="majorHAnsi" w:hAnsiTheme="majorHAnsi" w:cstheme="majorHAnsi"/>
          <w:lang w:eastAsia="fr-CA"/>
        </w:rPr>
        <w:t>the obligation that shippers will have not to make false or misleading nominations and renominations</w:t>
      </w:r>
      <w:r w:rsidR="007077EA">
        <w:rPr>
          <w:rFonts w:asciiTheme="majorHAnsi" w:hAnsiTheme="majorHAnsi" w:cstheme="majorHAnsi"/>
          <w:lang w:eastAsia="fr-CA"/>
        </w:rPr>
        <w:t>;</w:t>
      </w:r>
    </w:p>
    <w:p w:rsidR="007077EA" w:rsidRDefault="007077EA" w:rsidP="00FC7298">
      <w:pPr>
        <w:pStyle w:val="ListBullet2"/>
        <w:numPr>
          <w:ilvl w:val="0"/>
          <w:numId w:val="24"/>
        </w:numPr>
        <w:rPr>
          <w:rFonts w:asciiTheme="majorHAnsi" w:hAnsiTheme="majorHAnsi" w:cstheme="majorHAnsi"/>
          <w:lang w:eastAsia="fr-CA"/>
        </w:rPr>
      </w:pPr>
      <w:r>
        <w:rPr>
          <w:rFonts w:asciiTheme="majorHAnsi" w:hAnsiTheme="majorHAnsi" w:cstheme="majorHAnsi"/>
          <w:lang w:eastAsia="fr-CA"/>
        </w:rPr>
        <w:t xml:space="preserve">the obligations that non-exempt service providers will have to facilitate capacity trades and comply with the Capacity Transfer and Auction Procedures; </w:t>
      </w:r>
      <w:r w:rsidR="00757AFC">
        <w:rPr>
          <w:rFonts w:asciiTheme="majorHAnsi" w:hAnsiTheme="majorHAnsi" w:cstheme="majorHAnsi"/>
          <w:lang w:eastAsia="fr-CA"/>
        </w:rPr>
        <w:t>and</w:t>
      </w:r>
    </w:p>
    <w:p w:rsidR="00632F7E" w:rsidRDefault="007077EA" w:rsidP="00FC7298">
      <w:pPr>
        <w:pStyle w:val="ListBullet2"/>
        <w:numPr>
          <w:ilvl w:val="0"/>
          <w:numId w:val="24"/>
        </w:numPr>
        <w:rPr>
          <w:rFonts w:asciiTheme="majorHAnsi" w:hAnsiTheme="majorHAnsi" w:cstheme="majorHAnsi"/>
          <w:lang w:eastAsia="fr-CA"/>
        </w:rPr>
      </w:pPr>
      <w:r>
        <w:rPr>
          <w:rFonts w:asciiTheme="majorHAnsi" w:hAnsiTheme="majorHAnsi" w:cstheme="majorHAnsi"/>
          <w:lang w:eastAsia="fr-CA"/>
        </w:rPr>
        <w:t>the obligation that auction facility operators will have to</w:t>
      </w:r>
      <w:r w:rsidR="00632F7E">
        <w:rPr>
          <w:rFonts w:asciiTheme="majorHAnsi" w:hAnsiTheme="majorHAnsi" w:cstheme="majorHAnsi"/>
          <w:lang w:eastAsia="fr-CA"/>
        </w:rPr>
        <w:t>:</w:t>
      </w:r>
      <w:r>
        <w:rPr>
          <w:rFonts w:asciiTheme="majorHAnsi" w:hAnsiTheme="majorHAnsi" w:cstheme="majorHAnsi"/>
          <w:lang w:eastAsia="fr-CA"/>
        </w:rPr>
        <w:t xml:space="preserve"> </w:t>
      </w:r>
    </w:p>
    <w:p w:rsidR="00632F7E" w:rsidRPr="00632F7E" w:rsidRDefault="00632F7E" w:rsidP="00632F7E">
      <w:pPr>
        <w:pStyle w:val="TableBullet1"/>
        <w:numPr>
          <w:ilvl w:val="0"/>
          <w:numId w:val="25"/>
        </w:numPr>
        <w:spacing w:after="80"/>
        <w:ind w:left="1077" w:hanging="357"/>
        <w:rPr>
          <w:rFonts w:asciiTheme="majorHAnsi" w:hAnsiTheme="majorHAnsi" w:cstheme="majorHAnsi"/>
          <w:sz w:val="22"/>
          <w:lang w:eastAsia="fr-CA"/>
        </w:rPr>
      </w:pPr>
      <w:r w:rsidRPr="00632F7E">
        <w:rPr>
          <w:rFonts w:asciiTheme="majorHAnsi" w:hAnsiTheme="majorHAnsi" w:cstheme="majorHAnsi"/>
          <w:sz w:val="22"/>
          <w:lang w:eastAsia="fr-CA"/>
        </w:rPr>
        <w:t>classify their transportation services as a firm service or a lower tier service in accordance with the definitions in the NGR;</w:t>
      </w:r>
    </w:p>
    <w:p w:rsidR="00632F7E" w:rsidRPr="00632F7E" w:rsidRDefault="007077EA" w:rsidP="00632F7E">
      <w:pPr>
        <w:pStyle w:val="TableBullet1"/>
        <w:numPr>
          <w:ilvl w:val="0"/>
          <w:numId w:val="25"/>
        </w:numPr>
        <w:spacing w:after="80"/>
        <w:ind w:left="1077" w:hanging="357"/>
        <w:rPr>
          <w:rFonts w:asciiTheme="majorHAnsi" w:hAnsiTheme="majorHAnsi" w:cstheme="majorHAnsi"/>
          <w:sz w:val="22"/>
          <w:lang w:eastAsia="fr-CA"/>
        </w:rPr>
      </w:pPr>
      <w:r w:rsidRPr="00632F7E">
        <w:rPr>
          <w:rFonts w:asciiTheme="majorHAnsi" w:hAnsiTheme="majorHAnsi" w:cstheme="majorHAnsi"/>
          <w:sz w:val="22"/>
          <w:lang w:eastAsia="fr-CA"/>
        </w:rPr>
        <w:t>comply with the auction service priority principles</w:t>
      </w:r>
      <w:r w:rsidR="00632F7E" w:rsidRPr="00632F7E">
        <w:rPr>
          <w:rFonts w:asciiTheme="majorHAnsi" w:hAnsiTheme="majorHAnsi" w:cstheme="majorHAnsi"/>
          <w:sz w:val="22"/>
          <w:lang w:eastAsia="fr-CA"/>
        </w:rPr>
        <w:t>;</w:t>
      </w:r>
      <w:r w:rsidR="000F46BC" w:rsidRPr="00632F7E">
        <w:rPr>
          <w:rFonts w:asciiTheme="majorHAnsi" w:hAnsiTheme="majorHAnsi" w:cstheme="majorHAnsi"/>
          <w:sz w:val="22"/>
          <w:lang w:eastAsia="fr-CA"/>
        </w:rPr>
        <w:t xml:space="preserve"> </w:t>
      </w:r>
    </w:p>
    <w:p w:rsidR="00632F7E" w:rsidRPr="00632F7E" w:rsidRDefault="000F46BC" w:rsidP="00632F7E">
      <w:pPr>
        <w:pStyle w:val="TableBullet1"/>
        <w:numPr>
          <w:ilvl w:val="0"/>
          <w:numId w:val="25"/>
        </w:numPr>
        <w:spacing w:after="80"/>
        <w:ind w:left="1077" w:hanging="357"/>
        <w:rPr>
          <w:rFonts w:asciiTheme="majorHAnsi" w:hAnsiTheme="majorHAnsi" w:cstheme="majorHAnsi"/>
          <w:sz w:val="22"/>
          <w:lang w:eastAsia="fr-CA"/>
        </w:rPr>
      </w:pPr>
      <w:r w:rsidRPr="00632F7E">
        <w:rPr>
          <w:rFonts w:asciiTheme="majorHAnsi" w:hAnsiTheme="majorHAnsi" w:cstheme="majorHAnsi"/>
          <w:sz w:val="22"/>
          <w:lang w:eastAsia="fr-CA"/>
        </w:rPr>
        <w:t>give effect to the auction results</w:t>
      </w:r>
      <w:r w:rsidR="00632F7E" w:rsidRPr="00632F7E">
        <w:rPr>
          <w:rFonts w:asciiTheme="majorHAnsi" w:hAnsiTheme="majorHAnsi" w:cstheme="majorHAnsi"/>
          <w:sz w:val="22"/>
          <w:lang w:eastAsia="fr-CA"/>
        </w:rPr>
        <w:t>;</w:t>
      </w:r>
      <w:r w:rsidR="007077EA" w:rsidRPr="00632F7E">
        <w:rPr>
          <w:rFonts w:asciiTheme="majorHAnsi" w:hAnsiTheme="majorHAnsi" w:cstheme="majorHAnsi"/>
          <w:sz w:val="22"/>
          <w:lang w:eastAsia="fr-CA"/>
        </w:rPr>
        <w:t xml:space="preserve"> and </w:t>
      </w:r>
    </w:p>
    <w:p w:rsidR="007077EA" w:rsidRPr="00632F7E" w:rsidRDefault="000F46BC" w:rsidP="00632F7E">
      <w:pPr>
        <w:pStyle w:val="TableBullet1"/>
        <w:numPr>
          <w:ilvl w:val="0"/>
          <w:numId w:val="25"/>
        </w:numPr>
        <w:spacing w:after="80"/>
        <w:ind w:left="1077" w:hanging="357"/>
        <w:rPr>
          <w:rFonts w:asciiTheme="majorHAnsi" w:hAnsiTheme="majorHAnsi" w:cstheme="majorHAnsi"/>
          <w:sz w:val="22"/>
          <w:lang w:eastAsia="fr-CA"/>
        </w:rPr>
      </w:pPr>
      <w:r w:rsidRPr="00632F7E">
        <w:rPr>
          <w:rFonts w:asciiTheme="majorHAnsi" w:hAnsiTheme="majorHAnsi" w:cstheme="majorHAnsi"/>
          <w:sz w:val="22"/>
          <w:lang w:eastAsia="fr-CA"/>
        </w:rPr>
        <w:t xml:space="preserve">comply with </w:t>
      </w:r>
      <w:r w:rsidR="007077EA" w:rsidRPr="00632F7E">
        <w:rPr>
          <w:rFonts w:asciiTheme="majorHAnsi" w:hAnsiTheme="majorHAnsi" w:cstheme="majorHAnsi"/>
          <w:sz w:val="22"/>
          <w:lang w:eastAsia="fr-CA"/>
        </w:rPr>
        <w:t xml:space="preserve">other </w:t>
      </w:r>
      <w:r w:rsidRPr="00632F7E">
        <w:rPr>
          <w:rFonts w:asciiTheme="majorHAnsi" w:hAnsiTheme="majorHAnsi" w:cstheme="majorHAnsi"/>
          <w:sz w:val="22"/>
          <w:lang w:eastAsia="fr-CA"/>
        </w:rPr>
        <w:t xml:space="preserve">auction related </w:t>
      </w:r>
      <w:r w:rsidR="007077EA" w:rsidRPr="00632F7E">
        <w:rPr>
          <w:rFonts w:asciiTheme="majorHAnsi" w:hAnsiTheme="majorHAnsi" w:cstheme="majorHAnsi"/>
          <w:sz w:val="22"/>
          <w:lang w:eastAsia="fr-CA"/>
        </w:rPr>
        <w:t xml:space="preserve">obligations. </w:t>
      </w:r>
    </w:p>
    <w:p w:rsidR="00F14B36" w:rsidRDefault="00632F7E" w:rsidP="00F14B36">
      <w:pPr>
        <w:pStyle w:val="BodyText"/>
        <w:rPr>
          <w:rFonts w:eastAsiaTheme="minorEastAsia"/>
        </w:rPr>
      </w:pPr>
      <w:r>
        <w:rPr>
          <w:rFonts w:eastAsiaTheme="minorEastAsia"/>
        </w:rPr>
        <w:t xml:space="preserve">The AER will also be required to conduct </w:t>
      </w:r>
      <w:r w:rsidR="00205969" w:rsidRPr="00882ED1">
        <w:rPr>
          <w:rFonts w:eastAsiaTheme="minorEastAsia"/>
        </w:rPr>
        <w:t xml:space="preserve">a review of the compliance of standard OTSAs </w:t>
      </w:r>
      <w:r w:rsidR="00F768A5">
        <w:rPr>
          <w:rFonts w:eastAsiaTheme="minorEastAsia"/>
        </w:rPr>
        <w:t xml:space="preserve">and </w:t>
      </w:r>
      <w:r w:rsidR="00205969" w:rsidRPr="00882ED1">
        <w:rPr>
          <w:rFonts w:eastAsiaTheme="minorEastAsia"/>
        </w:rPr>
        <w:t>standardisation</w:t>
      </w:r>
      <w:r w:rsidR="00205969">
        <w:rPr>
          <w:rFonts w:eastAsiaTheme="minorEastAsia"/>
        </w:rPr>
        <w:t xml:space="preserve"> </w:t>
      </w:r>
      <w:r w:rsidR="00205969" w:rsidRPr="00882ED1">
        <w:rPr>
          <w:rFonts w:eastAsiaTheme="minorEastAsia"/>
        </w:rPr>
        <w:t xml:space="preserve">charges with the </w:t>
      </w:r>
      <w:r w:rsidR="00205969">
        <w:rPr>
          <w:rFonts w:eastAsiaTheme="minorEastAsia"/>
        </w:rPr>
        <w:t xml:space="preserve">principles in the NGR </w:t>
      </w:r>
      <w:r w:rsidR="00205969" w:rsidRPr="00882ED1">
        <w:rPr>
          <w:rFonts w:eastAsiaTheme="minorEastAsia"/>
        </w:rPr>
        <w:t>and Code within 12 months of the capacity trading platform and auction being implemented</w:t>
      </w:r>
      <w:r w:rsidR="000F46BC">
        <w:rPr>
          <w:rFonts w:eastAsiaTheme="minorEastAsia"/>
        </w:rPr>
        <w:t>.</w:t>
      </w:r>
      <w:r w:rsidR="00F14B36" w:rsidDel="00F14B36">
        <w:rPr>
          <w:rFonts w:eastAsiaTheme="minorEastAsia"/>
        </w:rPr>
        <w:t xml:space="preserve"> </w:t>
      </w:r>
    </w:p>
    <w:p w:rsidR="00DA5180" w:rsidRPr="003D6E8F" w:rsidRDefault="00163A32" w:rsidP="00F14B36">
      <w:pPr>
        <w:pStyle w:val="BodyText"/>
        <w:rPr>
          <w:color w:val="0099CC"/>
          <w:sz w:val="26"/>
          <w:szCs w:val="26"/>
        </w:rPr>
      </w:pPr>
      <w:r w:rsidRPr="003D6E8F">
        <w:rPr>
          <w:color w:val="0099CC"/>
          <w:sz w:val="26"/>
          <w:szCs w:val="26"/>
        </w:rPr>
        <w:t>Exemptions framework</w:t>
      </w:r>
    </w:p>
    <w:p w:rsidR="00163A32" w:rsidRDefault="00163A32" w:rsidP="00D34ADF">
      <w:pPr>
        <w:pStyle w:val="BodyText"/>
      </w:pPr>
      <w:r w:rsidRPr="00163A32">
        <w:t xml:space="preserve">The exemptions framework </w:t>
      </w:r>
      <w:r w:rsidR="00D34ADF">
        <w:t xml:space="preserve">for the capacity trading reform package </w:t>
      </w:r>
      <w:r w:rsidRPr="00163A32">
        <w:t>provide</w:t>
      </w:r>
      <w:r w:rsidR="00D34ADF">
        <w:t>s</w:t>
      </w:r>
      <w:r w:rsidRPr="00163A32">
        <w:t xml:space="preserve"> for:</w:t>
      </w:r>
    </w:p>
    <w:p w:rsidR="00C2070B" w:rsidRPr="002D55B1" w:rsidRDefault="002B1EC5" w:rsidP="00E55287">
      <w:pPr>
        <w:pStyle w:val="ListBullet"/>
        <w:numPr>
          <w:ilvl w:val="0"/>
          <w:numId w:val="14"/>
        </w:numPr>
        <w:autoSpaceDE w:val="0"/>
        <w:autoSpaceDN w:val="0"/>
        <w:adjustRightInd w:val="0"/>
        <w:rPr>
          <w:rFonts w:asciiTheme="majorHAnsi" w:hAnsiTheme="majorHAnsi" w:cstheme="majorHAnsi"/>
        </w:rPr>
      </w:pPr>
      <w:r w:rsidRPr="00882ED1">
        <w:rPr>
          <w:rFonts w:asciiTheme="majorHAnsi" w:eastAsiaTheme="minorEastAsia" w:hAnsiTheme="majorHAnsi" w:cstheme="majorHAnsi"/>
        </w:rPr>
        <w:t>E</w:t>
      </w:r>
      <w:r w:rsidR="00163A32" w:rsidRPr="00882ED1">
        <w:rPr>
          <w:rFonts w:asciiTheme="majorHAnsi" w:eastAsiaTheme="minorEastAsia" w:hAnsiTheme="majorHAnsi" w:cstheme="majorHAnsi"/>
        </w:rPr>
        <w:t xml:space="preserve">xemptions from </w:t>
      </w:r>
      <w:r w:rsidR="00163A32" w:rsidRPr="00D34ADF">
        <w:rPr>
          <w:rFonts w:asciiTheme="majorHAnsi" w:eastAsiaTheme="minorEastAsia" w:hAnsiTheme="majorHAnsi" w:cstheme="majorHAnsi"/>
          <w:b/>
        </w:rPr>
        <w:t>all aspects of the capacity trading reform package</w:t>
      </w:r>
      <w:r w:rsidR="00163A32" w:rsidRPr="00882ED1">
        <w:rPr>
          <w:rFonts w:asciiTheme="majorHAnsi" w:eastAsiaTheme="minorEastAsia" w:hAnsiTheme="majorHAnsi" w:cstheme="majorHAnsi"/>
        </w:rPr>
        <w:t xml:space="preserve"> (excluding the secondary capacity </w:t>
      </w:r>
      <w:r w:rsidR="00F768A5">
        <w:rPr>
          <w:rFonts w:asciiTheme="majorHAnsi" w:eastAsiaTheme="minorEastAsia" w:hAnsiTheme="majorHAnsi" w:cstheme="majorHAnsi"/>
        </w:rPr>
        <w:t xml:space="preserve">transaction </w:t>
      </w:r>
      <w:r w:rsidR="00163A32" w:rsidRPr="00882ED1">
        <w:rPr>
          <w:rFonts w:asciiTheme="majorHAnsi" w:eastAsiaTheme="minorEastAsia" w:hAnsiTheme="majorHAnsi" w:cstheme="majorHAnsi"/>
        </w:rPr>
        <w:t>reporting framework)</w:t>
      </w:r>
      <w:r w:rsidRPr="00882ED1">
        <w:rPr>
          <w:rStyle w:val="FootnoteReference"/>
          <w:rFonts w:cs="Arial"/>
          <w:iCs/>
        </w:rPr>
        <w:footnoteReference w:id="8"/>
      </w:r>
      <w:r w:rsidR="00163A32" w:rsidRPr="00882ED1">
        <w:rPr>
          <w:rStyle w:val="FootnoteReference"/>
          <w:rFonts w:cs="Arial"/>
          <w:iCs/>
        </w:rPr>
        <w:t xml:space="preserve"> </w:t>
      </w:r>
      <w:r w:rsidR="002D55B1">
        <w:rPr>
          <w:rFonts w:asciiTheme="majorHAnsi" w:eastAsiaTheme="minorEastAsia" w:hAnsiTheme="majorHAnsi" w:cstheme="majorHAnsi"/>
        </w:rPr>
        <w:t xml:space="preserve">to </w:t>
      </w:r>
      <w:r w:rsidR="00163A32" w:rsidRPr="00882ED1">
        <w:rPr>
          <w:rFonts w:asciiTheme="majorHAnsi" w:eastAsiaTheme="minorEastAsia" w:hAnsiTheme="majorHAnsi" w:cstheme="majorHAnsi"/>
        </w:rPr>
        <w:t>be:</w:t>
      </w:r>
    </w:p>
    <w:p w:rsidR="00163A32" w:rsidRPr="00D34ADF" w:rsidRDefault="00163A32" w:rsidP="00D34ADF">
      <w:pPr>
        <w:pStyle w:val="ListBullet2"/>
        <w:numPr>
          <w:ilvl w:val="0"/>
          <w:numId w:val="24"/>
        </w:numPr>
        <w:rPr>
          <w:rFonts w:asciiTheme="majorHAnsi" w:hAnsiTheme="majorHAnsi" w:cstheme="majorHAnsi"/>
          <w:lang w:eastAsia="fr-CA"/>
        </w:rPr>
      </w:pPr>
      <w:r w:rsidRPr="00882ED1">
        <w:rPr>
          <w:rFonts w:asciiTheme="majorHAnsi" w:eastAsiaTheme="minorEastAsia" w:hAnsiTheme="majorHAnsi" w:cstheme="majorHAnsi"/>
        </w:rPr>
        <w:t xml:space="preserve">automatically available to distribution pipelines, a transportation facility that forms part of the </w:t>
      </w:r>
      <w:r w:rsidR="00F14B36">
        <w:rPr>
          <w:rFonts w:asciiTheme="majorHAnsi" w:eastAsiaTheme="minorEastAsia" w:hAnsiTheme="majorHAnsi" w:cstheme="majorHAnsi"/>
        </w:rPr>
        <w:t xml:space="preserve">Declared Transmission System, </w:t>
      </w:r>
      <w:r w:rsidRPr="00882ED1">
        <w:rPr>
          <w:rFonts w:asciiTheme="majorHAnsi" w:eastAsiaTheme="minorEastAsia" w:hAnsiTheme="majorHAnsi" w:cstheme="majorHAnsi"/>
        </w:rPr>
        <w:t xml:space="preserve">compression facilities that are not designated </w:t>
      </w:r>
      <w:r w:rsidRPr="00D34ADF">
        <w:rPr>
          <w:rFonts w:asciiTheme="majorHAnsi" w:hAnsiTheme="majorHAnsi" w:cstheme="majorHAnsi"/>
          <w:lang w:eastAsia="fr-CA"/>
        </w:rPr>
        <w:t>in the Regulations</w:t>
      </w:r>
      <w:r w:rsidR="00C2070B" w:rsidRPr="00D34ADF">
        <w:rPr>
          <w:rFonts w:asciiTheme="majorHAnsi" w:hAnsiTheme="majorHAnsi" w:cstheme="majorHAnsi"/>
          <w:vertAlign w:val="superscript"/>
          <w:lang w:eastAsia="fr-CA"/>
        </w:rPr>
        <w:footnoteReference w:id="9"/>
      </w:r>
      <w:r w:rsidR="002D55B1" w:rsidRPr="00D34ADF">
        <w:rPr>
          <w:rFonts w:asciiTheme="majorHAnsi" w:hAnsiTheme="majorHAnsi" w:cstheme="majorHAnsi"/>
          <w:lang w:eastAsia="fr-CA"/>
        </w:rPr>
        <w:t xml:space="preserve"> </w:t>
      </w:r>
      <w:r w:rsidRPr="00D34ADF">
        <w:rPr>
          <w:rFonts w:asciiTheme="majorHAnsi" w:hAnsiTheme="majorHAnsi" w:cstheme="majorHAnsi"/>
          <w:lang w:eastAsia="fr-CA"/>
        </w:rPr>
        <w:t>or are not stand-alone facilities</w:t>
      </w:r>
      <w:r w:rsidR="00F14B36">
        <w:rPr>
          <w:rFonts w:asciiTheme="majorHAnsi" w:hAnsiTheme="majorHAnsi" w:cstheme="majorHAnsi"/>
          <w:lang w:eastAsia="fr-CA"/>
        </w:rPr>
        <w:t>,</w:t>
      </w:r>
      <w:r w:rsidR="00F14B36">
        <w:rPr>
          <w:rStyle w:val="FootnoteReference"/>
          <w:rFonts w:asciiTheme="majorHAnsi" w:hAnsiTheme="majorHAnsi" w:cstheme="majorHAnsi"/>
          <w:lang w:eastAsia="fr-CA"/>
        </w:rPr>
        <w:footnoteReference w:id="10"/>
      </w:r>
      <w:r w:rsidR="00F14B36">
        <w:rPr>
          <w:rFonts w:asciiTheme="majorHAnsi" w:hAnsiTheme="majorHAnsi" w:cstheme="majorHAnsi"/>
          <w:lang w:eastAsia="fr-CA"/>
        </w:rPr>
        <w:t xml:space="preserve">  and </w:t>
      </w:r>
      <w:r w:rsidR="00F14B36" w:rsidRPr="00F14B36">
        <w:rPr>
          <w:rFonts w:asciiTheme="majorHAnsi" w:hAnsiTheme="majorHAnsi" w:cstheme="majorHAnsi"/>
        </w:rPr>
        <w:t>a transportation facility located in the NT until the first transmission pipeline capable of transporting natural gas between the NT and Queensland, New</w:t>
      </w:r>
      <w:r w:rsidR="00F14B36">
        <w:rPr>
          <w:rFonts w:asciiTheme="majorHAnsi" w:hAnsiTheme="majorHAnsi" w:cstheme="majorHAnsi"/>
        </w:rPr>
        <w:t xml:space="preserve"> South Wales or South Australia</w:t>
      </w:r>
      <w:r w:rsidR="00F14B36" w:rsidRPr="00F14B36">
        <w:rPr>
          <w:rFonts w:asciiTheme="majorHAnsi" w:hAnsiTheme="majorHAnsi" w:cstheme="majorHAnsi"/>
        </w:rPr>
        <w:t xml:space="preserve"> is commissioned</w:t>
      </w:r>
      <w:r w:rsidR="00D34ADF">
        <w:rPr>
          <w:rFonts w:asciiTheme="majorHAnsi" w:hAnsiTheme="majorHAnsi" w:cstheme="majorHAnsi"/>
          <w:lang w:eastAsia="fr-CA"/>
        </w:rPr>
        <w:t>;</w:t>
      </w:r>
      <w:r w:rsidRPr="00D34ADF">
        <w:rPr>
          <w:rFonts w:asciiTheme="majorHAnsi" w:hAnsiTheme="majorHAnsi" w:cstheme="majorHAnsi"/>
          <w:lang w:eastAsia="fr-CA"/>
        </w:rPr>
        <w:t xml:space="preserve"> and</w:t>
      </w:r>
    </w:p>
    <w:p w:rsidR="00163A32" w:rsidRPr="00882ED1" w:rsidRDefault="00163A32" w:rsidP="00D34ADF">
      <w:pPr>
        <w:pStyle w:val="ListBullet2"/>
        <w:numPr>
          <w:ilvl w:val="0"/>
          <w:numId w:val="24"/>
        </w:numPr>
        <w:rPr>
          <w:rFonts w:asciiTheme="majorHAnsi" w:eastAsiaTheme="minorEastAsia" w:hAnsiTheme="majorHAnsi" w:cstheme="majorHAnsi"/>
        </w:rPr>
      </w:pPr>
      <w:r w:rsidRPr="00D34ADF">
        <w:rPr>
          <w:rFonts w:asciiTheme="majorHAnsi" w:hAnsiTheme="majorHAnsi" w:cstheme="majorHAnsi"/>
          <w:lang w:eastAsia="fr-CA"/>
        </w:rPr>
        <w:t xml:space="preserve">available on application to the AER, to transportation facilities that are </w:t>
      </w:r>
      <w:r w:rsidRPr="00882ED1">
        <w:rPr>
          <w:rFonts w:asciiTheme="majorHAnsi" w:eastAsiaTheme="minorEastAsia" w:hAnsiTheme="majorHAnsi" w:cstheme="majorHAnsi"/>
        </w:rPr>
        <w:t>not providing third party access.</w:t>
      </w:r>
    </w:p>
    <w:p w:rsidR="00D34ADF" w:rsidRDefault="00D34ADF" w:rsidP="000856D3">
      <w:pPr>
        <w:pStyle w:val="ListBullet"/>
        <w:numPr>
          <w:ilvl w:val="0"/>
          <w:numId w:val="14"/>
        </w:numPr>
        <w:rPr>
          <w:rFonts w:asciiTheme="majorHAnsi" w:eastAsiaTheme="minorEastAsia" w:hAnsiTheme="majorHAnsi" w:cstheme="majorHAnsi"/>
        </w:rPr>
      </w:pPr>
      <w:r>
        <w:rPr>
          <w:rFonts w:asciiTheme="majorHAnsi" w:eastAsiaTheme="minorEastAsia" w:hAnsiTheme="majorHAnsi" w:cstheme="majorHAnsi"/>
        </w:rPr>
        <w:lastRenderedPageBreak/>
        <w:t>Conditional e</w:t>
      </w:r>
      <w:r w:rsidR="00163A32" w:rsidRPr="00882ED1">
        <w:rPr>
          <w:rFonts w:asciiTheme="majorHAnsi" w:eastAsiaTheme="minorEastAsia" w:hAnsiTheme="majorHAnsi" w:cstheme="majorHAnsi"/>
        </w:rPr>
        <w:t xml:space="preserve">xemptions from the </w:t>
      </w:r>
      <w:r w:rsidRPr="00D34ADF">
        <w:rPr>
          <w:rFonts w:asciiTheme="majorHAnsi" w:eastAsiaTheme="minorEastAsia" w:hAnsiTheme="majorHAnsi" w:cstheme="majorHAnsi"/>
          <w:b/>
        </w:rPr>
        <w:t>day-ahead</w:t>
      </w:r>
      <w:r>
        <w:rPr>
          <w:rFonts w:asciiTheme="majorHAnsi" w:eastAsiaTheme="minorEastAsia" w:hAnsiTheme="majorHAnsi" w:cstheme="majorHAnsi"/>
        </w:rPr>
        <w:t xml:space="preserve"> </w:t>
      </w:r>
      <w:r w:rsidR="00163A32" w:rsidRPr="00D34ADF">
        <w:rPr>
          <w:rFonts w:asciiTheme="majorHAnsi" w:eastAsiaTheme="minorEastAsia" w:hAnsiTheme="majorHAnsi" w:cstheme="majorHAnsi"/>
          <w:b/>
        </w:rPr>
        <w:t>auction and the obligation to publish a standard OTSA</w:t>
      </w:r>
      <w:r w:rsidR="00163A32" w:rsidRPr="00882ED1">
        <w:rPr>
          <w:rFonts w:asciiTheme="majorHAnsi" w:eastAsiaTheme="minorEastAsia" w:hAnsiTheme="majorHAnsi" w:cstheme="majorHAnsi"/>
        </w:rPr>
        <w:t xml:space="preserve"> to be available on application to the AER to transportation</w:t>
      </w:r>
      <w:r w:rsidR="002B1EC5" w:rsidRPr="00882ED1">
        <w:rPr>
          <w:rFonts w:asciiTheme="majorHAnsi" w:eastAsiaTheme="minorEastAsia" w:hAnsiTheme="majorHAnsi" w:cstheme="majorHAnsi"/>
        </w:rPr>
        <w:t xml:space="preserve"> </w:t>
      </w:r>
      <w:r w:rsidR="00163A32" w:rsidRPr="00882ED1">
        <w:rPr>
          <w:rFonts w:asciiTheme="majorHAnsi" w:eastAsiaTheme="minorEastAsia" w:hAnsiTheme="majorHAnsi" w:cstheme="majorHAnsi"/>
        </w:rPr>
        <w:t>facilities</w:t>
      </w:r>
      <w:r>
        <w:rPr>
          <w:rFonts w:asciiTheme="majorHAnsi" w:eastAsiaTheme="minorEastAsia" w:hAnsiTheme="majorHAnsi" w:cstheme="majorHAnsi"/>
        </w:rPr>
        <w:t>:</w:t>
      </w:r>
      <w:r w:rsidR="00163A32" w:rsidRPr="00882ED1">
        <w:rPr>
          <w:rFonts w:asciiTheme="majorHAnsi" w:eastAsiaTheme="minorEastAsia" w:hAnsiTheme="majorHAnsi" w:cstheme="majorHAnsi"/>
        </w:rPr>
        <w:t xml:space="preserve"> </w:t>
      </w:r>
    </w:p>
    <w:p w:rsidR="00632F7E" w:rsidRPr="00D34ADF" w:rsidRDefault="00632F7E" w:rsidP="00632F7E">
      <w:pPr>
        <w:pStyle w:val="ListBullet2"/>
        <w:numPr>
          <w:ilvl w:val="0"/>
          <w:numId w:val="24"/>
        </w:numPr>
        <w:rPr>
          <w:rFonts w:asciiTheme="majorHAnsi" w:eastAsiaTheme="minorEastAsia" w:hAnsiTheme="majorHAnsi" w:cstheme="majorHAnsi"/>
        </w:rPr>
      </w:pPr>
      <w:r w:rsidRPr="00D34ADF">
        <w:rPr>
          <w:rFonts w:asciiTheme="majorHAnsi" w:eastAsiaTheme="minorEastAsia" w:hAnsiTheme="majorHAnsi" w:cstheme="majorHAnsi"/>
        </w:rPr>
        <w:t>that are servicing a single transportation user (shipper)</w:t>
      </w:r>
      <w:r>
        <w:rPr>
          <w:rFonts w:asciiTheme="majorHAnsi" w:eastAsiaTheme="minorEastAsia" w:hAnsiTheme="majorHAnsi" w:cstheme="majorHAnsi"/>
        </w:rPr>
        <w:t>; or</w:t>
      </w:r>
      <w:r w:rsidRPr="00D34ADF">
        <w:rPr>
          <w:rFonts w:asciiTheme="majorHAnsi" w:eastAsiaTheme="minorEastAsia" w:hAnsiTheme="majorHAnsi" w:cstheme="majorHAnsi"/>
        </w:rPr>
        <w:t xml:space="preserve"> </w:t>
      </w:r>
    </w:p>
    <w:p w:rsidR="00D34ADF" w:rsidRPr="00D34ADF" w:rsidRDefault="00163A32" w:rsidP="00D34ADF">
      <w:pPr>
        <w:pStyle w:val="ListBullet2"/>
        <w:numPr>
          <w:ilvl w:val="0"/>
          <w:numId w:val="24"/>
        </w:numPr>
        <w:rPr>
          <w:rFonts w:asciiTheme="majorHAnsi" w:eastAsiaTheme="minorEastAsia" w:hAnsiTheme="majorHAnsi" w:cstheme="majorHAnsi"/>
        </w:rPr>
      </w:pPr>
      <w:r w:rsidRPr="00D34ADF">
        <w:rPr>
          <w:rFonts w:asciiTheme="majorHAnsi" w:eastAsiaTheme="minorEastAsia" w:hAnsiTheme="majorHAnsi" w:cstheme="majorHAnsi"/>
        </w:rPr>
        <w:t>with a nameplate capacity less than 10 TJ/day</w:t>
      </w:r>
      <w:r w:rsidR="00632F7E">
        <w:rPr>
          <w:rFonts w:asciiTheme="majorHAnsi" w:eastAsiaTheme="minorEastAsia" w:hAnsiTheme="majorHAnsi" w:cstheme="majorHAnsi"/>
        </w:rPr>
        <w:t>.</w:t>
      </w:r>
    </w:p>
    <w:p w:rsidR="00C872D8" w:rsidRDefault="00F768A5" w:rsidP="00D34ADF">
      <w:pPr>
        <w:pStyle w:val="ListBullet"/>
        <w:numPr>
          <w:ilvl w:val="0"/>
          <w:numId w:val="0"/>
        </w:numPr>
        <w:ind w:left="357"/>
        <w:rPr>
          <w:rFonts w:asciiTheme="majorHAnsi" w:eastAsiaTheme="minorEastAsia" w:hAnsiTheme="majorHAnsi" w:cstheme="majorHAnsi"/>
        </w:rPr>
      </w:pPr>
      <w:r>
        <w:rPr>
          <w:rFonts w:asciiTheme="majorHAnsi" w:eastAsiaTheme="minorEastAsia" w:hAnsiTheme="majorHAnsi" w:cstheme="majorHAnsi"/>
        </w:rPr>
        <w:t>T</w:t>
      </w:r>
      <w:r w:rsidR="007655E5" w:rsidRPr="00882ED1">
        <w:rPr>
          <w:rFonts w:asciiTheme="majorHAnsi" w:eastAsiaTheme="minorEastAsia" w:hAnsiTheme="majorHAnsi" w:cstheme="majorHAnsi"/>
        </w:rPr>
        <w:t>he</w:t>
      </w:r>
      <w:r w:rsidR="00163A32" w:rsidRPr="00882ED1">
        <w:rPr>
          <w:rFonts w:asciiTheme="majorHAnsi" w:eastAsiaTheme="minorEastAsia" w:hAnsiTheme="majorHAnsi" w:cstheme="majorHAnsi"/>
        </w:rPr>
        <w:t xml:space="preserve"> exemption</w:t>
      </w:r>
      <w:r w:rsidR="002B1EC5" w:rsidRPr="00882ED1">
        <w:rPr>
          <w:rFonts w:asciiTheme="majorHAnsi" w:eastAsiaTheme="minorEastAsia" w:hAnsiTheme="majorHAnsi" w:cstheme="majorHAnsi"/>
        </w:rPr>
        <w:t xml:space="preserve"> </w:t>
      </w:r>
      <w:r w:rsidR="00163A32" w:rsidRPr="00882ED1">
        <w:rPr>
          <w:rFonts w:asciiTheme="majorHAnsi" w:eastAsiaTheme="minorEastAsia" w:hAnsiTheme="majorHAnsi" w:cstheme="majorHAnsi"/>
        </w:rPr>
        <w:t>from the obligation to publish a standard OTSA does not extend to the obligation to prepare and offer to enter into a standard OTSA</w:t>
      </w:r>
      <w:r w:rsidR="00D34ADF">
        <w:rPr>
          <w:rFonts w:asciiTheme="majorHAnsi" w:eastAsiaTheme="minorEastAsia" w:hAnsiTheme="majorHAnsi" w:cstheme="majorHAnsi"/>
        </w:rPr>
        <w:t>,</w:t>
      </w:r>
      <w:r w:rsidR="00163A32" w:rsidRPr="00882ED1">
        <w:rPr>
          <w:rFonts w:asciiTheme="majorHAnsi" w:eastAsiaTheme="minorEastAsia" w:hAnsiTheme="majorHAnsi" w:cstheme="majorHAnsi"/>
        </w:rPr>
        <w:t xml:space="preserve"> or a</w:t>
      </w:r>
      <w:r w:rsidR="002B1EC5" w:rsidRPr="00882ED1">
        <w:rPr>
          <w:rFonts w:asciiTheme="majorHAnsi" w:eastAsiaTheme="minorEastAsia" w:hAnsiTheme="majorHAnsi" w:cstheme="majorHAnsi"/>
        </w:rPr>
        <w:t xml:space="preserve"> </w:t>
      </w:r>
      <w:r w:rsidR="00163A32" w:rsidRPr="00882ED1">
        <w:rPr>
          <w:rFonts w:asciiTheme="majorHAnsi" w:eastAsiaTheme="minorEastAsia" w:hAnsiTheme="majorHAnsi" w:cstheme="majorHAnsi"/>
        </w:rPr>
        <w:t>number of other measures to facilitate capacity trading</w:t>
      </w:r>
      <w:r w:rsidR="00A575FB">
        <w:rPr>
          <w:rFonts w:asciiTheme="majorHAnsi" w:eastAsiaTheme="minorEastAsia" w:hAnsiTheme="majorHAnsi" w:cstheme="majorHAnsi"/>
        </w:rPr>
        <w:t>,</w:t>
      </w:r>
      <w:r w:rsidR="00A575FB" w:rsidRPr="00A575FB">
        <w:rPr>
          <w:rStyle w:val="FootnoteReference"/>
          <w:rFonts w:cs="Arial"/>
          <w:iCs/>
        </w:rPr>
        <w:t xml:space="preserve"> </w:t>
      </w:r>
      <w:r w:rsidR="00A575FB" w:rsidRPr="00882ED1">
        <w:rPr>
          <w:rStyle w:val="FootnoteReference"/>
          <w:rFonts w:cs="Arial"/>
          <w:iCs/>
        </w:rPr>
        <w:footnoteReference w:id="11"/>
      </w:r>
      <w:r w:rsidR="00A575FB">
        <w:rPr>
          <w:rFonts w:asciiTheme="majorHAnsi" w:eastAsiaTheme="minorEastAsia" w:hAnsiTheme="majorHAnsi" w:cstheme="majorHAnsi"/>
        </w:rPr>
        <w:t xml:space="preserve"> which is why these facilities are referred to as ‘conditionally exempt’ facilities</w:t>
      </w:r>
      <w:r w:rsidR="007407F8">
        <w:rPr>
          <w:rFonts w:asciiTheme="majorHAnsi" w:eastAsiaTheme="minorEastAsia" w:hAnsiTheme="majorHAnsi" w:cstheme="majorHAnsi"/>
        </w:rPr>
        <w:t>.</w:t>
      </w:r>
    </w:p>
    <w:p w:rsidR="00B727FC" w:rsidRPr="00882ED1" w:rsidRDefault="00B727FC" w:rsidP="00D34ADF">
      <w:pPr>
        <w:pStyle w:val="BodyText"/>
        <w:rPr>
          <w:rFonts w:cstheme="majorHAnsi"/>
          <w:color w:val="0099CC"/>
          <w:sz w:val="24"/>
          <w:szCs w:val="24"/>
        </w:rPr>
      </w:pPr>
      <w:r>
        <w:rPr>
          <w:rFonts w:cstheme="majorHAnsi"/>
          <w:color w:val="0099CC"/>
          <w:sz w:val="24"/>
          <w:szCs w:val="24"/>
        </w:rPr>
        <w:t>Procedural requirements</w:t>
      </w:r>
    </w:p>
    <w:p w:rsidR="00B727FC" w:rsidRDefault="00B727FC" w:rsidP="00E55287">
      <w:pPr>
        <w:spacing w:before="120" w:after="120"/>
        <w:rPr>
          <w:rFonts w:asciiTheme="majorHAnsi" w:hAnsiTheme="majorHAnsi" w:cstheme="majorHAnsi"/>
        </w:rPr>
      </w:pPr>
      <w:r>
        <w:rPr>
          <w:rFonts w:asciiTheme="majorHAnsi" w:hAnsiTheme="majorHAnsi" w:cstheme="majorHAnsi"/>
        </w:rPr>
        <w:t xml:space="preserve">Following commencement of the amendments to the </w:t>
      </w:r>
      <w:r w:rsidR="00D34ADF">
        <w:rPr>
          <w:rFonts w:asciiTheme="majorHAnsi" w:hAnsiTheme="majorHAnsi" w:cstheme="majorHAnsi"/>
        </w:rPr>
        <w:t>NGR</w:t>
      </w:r>
      <w:r>
        <w:rPr>
          <w:rFonts w:asciiTheme="majorHAnsi" w:hAnsiTheme="majorHAnsi" w:cstheme="majorHAnsi"/>
        </w:rPr>
        <w:t>, a</w:t>
      </w:r>
      <w:r w:rsidRPr="008638DD">
        <w:rPr>
          <w:rFonts w:asciiTheme="majorHAnsi" w:hAnsiTheme="majorHAnsi" w:cstheme="majorHAnsi"/>
        </w:rPr>
        <w:t xml:space="preserve"> </w:t>
      </w:r>
      <w:r w:rsidR="00D34ADF">
        <w:rPr>
          <w:rFonts w:asciiTheme="majorHAnsi" w:hAnsiTheme="majorHAnsi" w:cstheme="majorHAnsi"/>
        </w:rPr>
        <w:t xml:space="preserve">service provider of a transportation facility that is not a designated compression facility and meets one or more of the following criteria may apply to the </w:t>
      </w:r>
      <w:r w:rsidRPr="008638DD">
        <w:rPr>
          <w:rFonts w:asciiTheme="majorHAnsi" w:hAnsiTheme="majorHAnsi" w:cstheme="majorHAnsi"/>
        </w:rPr>
        <w:t>AER for</w:t>
      </w:r>
      <w:r w:rsidR="00215440">
        <w:rPr>
          <w:rFonts w:asciiTheme="majorHAnsi" w:hAnsiTheme="majorHAnsi" w:cstheme="majorHAnsi"/>
        </w:rPr>
        <w:t xml:space="preserve"> </w:t>
      </w:r>
      <w:r w:rsidRPr="00E55287">
        <w:rPr>
          <w:rFonts w:asciiTheme="majorHAnsi" w:hAnsiTheme="majorHAnsi" w:cstheme="majorHAnsi"/>
        </w:rPr>
        <w:t>an exemption</w:t>
      </w:r>
      <w:r w:rsidR="00D34ADF">
        <w:rPr>
          <w:rFonts w:asciiTheme="majorHAnsi" w:hAnsiTheme="majorHAnsi" w:cstheme="majorHAnsi"/>
        </w:rPr>
        <w:t>:</w:t>
      </w:r>
    </w:p>
    <w:p w:rsidR="00D34ADF" w:rsidRDefault="00D34ADF" w:rsidP="00D34ADF">
      <w:pPr>
        <w:pStyle w:val="ListBullet"/>
      </w:pPr>
      <w:r>
        <w:t>the transportation facility is not providing third party access;</w:t>
      </w:r>
    </w:p>
    <w:p w:rsidR="0062445F" w:rsidRDefault="00D34ADF" w:rsidP="00D34ADF">
      <w:pPr>
        <w:pStyle w:val="ListBullet"/>
      </w:pPr>
      <w:r>
        <w:t>the transportation facility is a single user facility</w:t>
      </w:r>
      <w:r w:rsidR="0062445F">
        <w:t>; or</w:t>
      </w:r>
    </w:p>
    <w:p w:rsidR="00D34ADF" w:rsidRDefault="0062445F" w:rsidP="0062445F">
      <w:pPr>
        <w:pStyle w:val="ListBullet"/>
      </w:pPr>
      <w:r>
        <w:t>the transportation facility has a nameplate rating less than 10 TJ/day.</w:t>
      </w:r>
    </w:p>
    <w:p w:rsidR="0062445F" w:rsidRDefault="00F768A5" w:rsidP="0062445F">
      <w:pPr>
        <w:pStyle w:val="ListBullet"/>
        <w:numPr>
          <w:ilvl w:val="0"/>
          <w:numId w:val="0"/>
        </w:numPr>
      </w:pPr>
      <w:r>
        <w:t>T</w:t>
      </w:r>
      <w:r w:rsidR="0062445F">
        <w:t xml:space="preserve">he first two of these criteria are identical to the exemption criteria </w:t>
      </w:r>
      <w:r w:rsidR="000962C0">
        <w:t xml:space="preserve">in </w:t>
      </w:r>
      <w:r w:rsidR="0062445F">
        <w:t>Part 23 of the NGR</w:t>
      </w:r>
      <w:r w:rsidR="007407F8">
        <w:t>,</w:t>
      </w:r>
      <w:r w:rsidR="0062445F">
        <w:t xml:space="preserve"> while the </w:t>
      </w:r>
      <w:r w:rsidR="007407F8">
        <w:t xml:space="preserve">last </w:t>
      </w:r>
      <w:r w:rsidR="0062445F">
        <w:t xml:space="preserve">criterion differs. </w:t>
      </w:r>
    </w:p>
    <w:p w:rsidR="00215440" w:rsidRDefault="00215440" w:rsidP="00D34ADF">
      <w:pPr>
        <w:pStyle w:val="BodyText"/>
      </w:pPr>
      <w:bookmarkStart w:id="1" w:name="ReturnHere"/>
      <w:bookmarkEnd w:id="1"/>
      <w:r w:rsidRPr="0084254A">
        <w:t xml:space="preserve">The AER must, on the application of the service provider, grant an exemption in respect of the transportation facility </w:t>
      </w:r>
      <w:r w:rsidR="00D34ADF">
        <w:t>(</w:t>
      </w:r>
      <w:r w:rsidRPr="0084254A">
        <w:t>or a part of the facility</w:t>
      </w:r>
      <w:r w:rsidR="00D34ADF">
        <w:t>)</w:t>
      </w:r>
      <w:r w:rsidRPr="0084254A">
        <w:t>, if:</w:t>
      </w:r>
    </w:p>
    <w:p w:rsidR="00215440" w:rsidRPr="00882ED1" w:rsidRDefault="00215440" w:rsidP="00E55287">
      <w:pPr>
        <w:pStyle w:val="ListBullet"/>
        <w:numPr>
          <w:ilvl w:val="0"/>
          <w:numId w:val="14"/>
        </w:numPr>
        <w:rPr>
          <w:rFonts w:asciiTheme="majorHAnsi" w:eastAsiaTheme="minorEastAsia" w:hAnsiTheme="majorHAnsi" w:cstheme="majorHAnsi"/>
        </w:rPr>
      </w:pPr>
      <w:r w:rsidRPr="00882ED1">
        <w:rPr>
          <w:rFonts w:asciiTheme="majorHAnsi" w:eastAsiaTheme="minorEastAsia" w:hAnsiTheme="majorHAnsi" w:cstheme="majorHAnsi"/>
        </w:rPr>
        <w:t>the service provider has demonstrated to the AER’s reasonable satisfaction that the transportation facility (or part</w:t>
      </w:r>
      <w:r w:rsidR="00D34ADF">
        <w:rPr>
          <w:rFonts w:asciiTheme="majorHAnsi" w:eastAsiaTheme="minorEastAsia" w:hAnsiTheme="majorHAnsi" w:cstheme="majorHAnsi"/>
        </w:rPr>
        <w:t xml:space="preserve"> thereof</w:t>
      </w:r>
      <w:r w:rsidRPr="00882ED1">
        <w:rPr>
          <w:rFonts w:asciiTheme="majorHAnsi" w:eastAsiaTheme="minorEastAsia" w:hAnsiTheme="majorHAnsi" w:cstheme="majorHAnsi"/>
        </w:rPr>
        <w:t xml:space="preserve">) qualifies for an exemption; </w:t>
      </w:r>
    </w:p>
    <w:p w:rsidR="00215440" w:rsidRPr="00882ED1" w:rsidRDefault="00215440" w:rsidP="00E55287">
      <w:pPr>
        <w:pStyle w:val="ListBullet"/>
        <w:numPr>
          <w:ilvl w:val="0"/>
          <w:numId w:val="14"/>
        </w:numPr>
        <w:rPr>
          <w:rFonts w:asciiTheme="majorHAnsi" w:eastAsiaTheme="minorEastAsia" w:hAnsiTheme="majorHAnsi" w:cstheme="majorHAnsi"/>
        </w:rPr>
      </w:pPr>
      <w:r w:rsidRPr="00882ED1">
        <w:rPr>
          <w:rFonts w:asciiTheme="majorHAnsi" w:eastAsiaTheme="minorEastAsia" w:hAnsiTheme="majorHAnsi" w:cstheme="majorHAnsi"/>
        </w:rPr>
        <w:t>in the case of part of a transportation facility, the grant of the exemption will not hinder access to operational transportation services on any other part of the facility; and</w:t>
      </w:r>
    </w:p>
    <w:p w:rsidR="00215440" w:rsidRPr="00882ED1" w:rsidRDefault="00215440" w:rsidP="00E55287">
      <w:pPr>
        <w:pStyle w:val="ListBullet"/>
        <w:numPr>
          <w:ilvl w:val="0"/>
          <w:numId w:val="14"/>
        </w:numPr>
        <w:rPr>
          <w:rFonts w:asciiTheme="majorHAnsi" w:eastAsiaTheme="minorEastAsia" w:hAnsiTheme="majorHAnsi" w:cstheme="majorHAnsi"/>
        </w:rPr>
      </w:pPr>
      <w:r w:rsidRPr="00882ED1">
        <w:rPr>
          <w:rFonts w:asciiTheme="majorHAnsi" w:eastAsiaTheme="minorEastAsia" w:hAnsiTheme="majorHAnsi" w:cstheme="majorHAnsi"/>
        </w:rPr>
        <w:t>the AER is otherwise satisfied that in all the circumstances the exemption should be granted.</w:t>
      </w:r>
    </w:p>
    <w:p w:rsidR="007F4776" w:rsidRPr="00E55287" w:rsidRDefault="00215440" w:rsidP="007F4776">
      <w:pPr>
        <w:pStyle w:val="BodyText"/>
        <w:rPr>
          <w:rFonts w:eastAsiaTheme="minorEastAsia"/>
        </w:rPr>
      </w:pPr>
      <w:r w:rsidRPr="008638DD">
        <w:t xml:space="preserve">The AER must decide whether to grant or refuse to grant </w:t>
      </w:r>
      <w:r>
        <w:t xml:space="preserve">an exemption </w:t>
      </w:r>
      <w:r w:rsidRPr="008638DD">
        <w:t xml:space="preserve">within 40 business days after the application is made. </w:t>
      </w:r>
    </w:p>
    <w:p w:rsidR="00215440" w:rsidRDefault="00235593" w:rsidP="007B5624">
      <w:pPr>
        <w:pStyle w:val="BodyText"/>
      </w:pPr>
      <w:r>
        <w:t xml:space="preserve">The AER </w:t>
      </w:r>
      <w:r w:rsidR="00632F7E">
        <w:t xml:space="preserve">also has the power to </w:t>
      </w:r>
      <w:r w:rsidRPr="00882ED1">
        <w:rPr>
          <w:rFonts w:eastAsiaTheme="minorEastAsia"/>
        </w:rPr>
        <w:t xml:space="preserve">grant an exemption for a class or group of transportation facilities on </w:t>
      </w:r>
      <w:r>
        <w:rPr>
          <w:rFonts w:eastAsiaTheme="minorEastAsia"/>
        </w:rPr>
        <w:t xml:space="preserve">the </w:t>
      </w:r>
      <w:r w:rsidRPr="00882ED1">
        <w:rPr>
          <w:rFonts w:eastAsiaTheme="minorEastAsia"/>
        </w:rPr>
        <w:t>application of a service provider for one or more facilities or on its own initiative</w:t>
      </w:r>
      <w:r w:rsidR="00F14B36">
        <w:rPr>
          <w:rFonts w:eastAsiaTheme="minorEastAsia"/>
        </w:rPr>
        <w:t xml:space="preserve"> </w:t>
      </w:r>
      <w:r w:rsidR="00F14B36" w:rsidRPr="00F14B36">
        <w:rPr>
          <w:rFonts w:eastAsiaTheme="minorEastAsia"/>
          <w:color w:val="000000" w:themeColor="text1"/>
        </w:rPr>
        <w:t xml:space="preserve">based on its understanding that a facility meets the criteria specified in the </w:t>
      </w:r>
      <w:r w:rsidR="006309DD">
        <w:rPr>
          <w:rFonts w:eastAsiaTheme="minorEastAsia"/>
          <w:color w:val="000000" w:themeColor="text1"/>
        </w:rPr>
        <w:t>NGR</w:t>
      </w:r>
      <w:r w:rsidRPr="00F14B36">
        <w:rPr>
          <w:rFonts w:eastAsiaTheme="minorEastAsia"/>
          <w:color w:val="000000" w:themeColor="text1"/>
        </w:rPr>
        <w:t xml:space="preserve">. </w:t>
      </w:r>
      <w:r w:rsidR="007B5624">
        <w:rPr>
          <w:rFonts w:eastAsiaTheme="minorEastAsia"/>
        </w:rPr>
        <w:t>The AER could, for example, grant an exemption on its own initiative to those transmission pipelines that have obtained an exemption under Part 23 of the NGR because they are not providing third party access or are a single user facility.</w:t>
      </w:r>
      <w:r w:rsidR="007B5624">
        <w:rPr>
          <w:rStyle w:val="FootnoteReference"/>
          <w:rFonts w:eastAsiaTheme="minorEastAsia"/>
        </w:rPr>
        <w:footnoteReference w:id="12"/>
      </w:r>
      <w:r w:rsidR="007B5624">
        <w:rPr>
          <w:rFonts w:eastAsiaTheme="minorEastAsia"/>
        </w:rPr>
        <w:t xml:space="preserve"> </w:t>
      </w:r>
    </w:p>
    <w:p w:rsidR="00803169" w:rsidRDefault="007B5624" w:rsidP="007F4776">
      <w:pPr>
        <w:pStyle w:val="BodyText"/>
      </w:pPr>
      <w:r>
        <w:lastRenderedPageBreak/>
        <w:t>An</w:t>
      </w:r>
      <w:r w:rsidRPr="007F4776">
        <w:t xml:space="preserve"> exemption granted to a transportation facility (or part thereof) that is a single user facility or has a nameplate rating less than 10 TJ/day must be subject to a condition that the service provider must</w:t>
      </w:r>
      <w:r w:rsidR="007F4776" w:rsidRPr="007F4776">
        <w:t>, if it receives an eligible request</w:t>
      </w:r>
      <w:r w:rsidR="007F4776" w:rsidRPr="007F4776">
        <w:rPr>
          <w:rStyle w:val="FootnoteReference"/>
        </w:rPr>
        <w:footnoteReference w:id="13"/>
      </w:r>
      <w:r w:rsidR="007F4776" w:rsidRPr="007F4776">
        <w:t xml:space="preserve"> for an OTSA</w:t>
      </w:r>
      <w:r w:rsidR="00F702E4">
        <w:t>,</w:t>
      </w:r>
      <w:r w:rsidR="007F4776" w:rsidRPr="007F4776">
        <w:t xml:space="preserve"> </w:t>
      </w:r>
      <w:r w:rsidR="007F4776" w:rsidRPr="007F4776">
        <w:rPr>
          <w:rFonts w:asciiTheme="majorHAnsi" w:hAnsiTheme="majorHAnsi" w:cstheme="majorHAnsi"/>
        </w:rPr>
        <w:t xml:space="preserve">prepare and offer to enter into such an agreement within 60 business days. </w:t>
      </w:r>
      <w:r w:rsidR="007F4776">
        <w:rPr>
          <w:rFonts w:asciiTheme="majorHAnsi" w:hAnsiTheme="majorHAnsi" w:cstheme="majorHAnsi"/>
        </w:rPr>
        <w:t>The AER may impose other conditions when granting an exemption, which the service provider must comply with.</w:t>
      </w:r>
      <w:r>
        <w:rPr>
          <w:rStyle w:val="FootnoteReference"/>
        </w:rPr>
        <w:footnoteReference w:id="14"/>
      </w:r>
      <w:r w:rsidR="00235593" w:rsidRPr="00235593">
        <w:t xml:space="preserve"> </w:t>
      </w:r>
    </w:p>
    <w:p w:rsidR="00B727FC" w:rsidRDefault="00F702E4" w:rsidP="007B5624">
      <w:pPr>
        <w:pStyle w:val="BodyText"/>
      </w:pPr>
      <w:r>
        <w:rPr>
          <w:rFonts w:eastAsiaTheme="minorEastAsia"/>
        </w:rPr>
        <w:t>If circumstances change, such that the transportation facility (or part thereof) no longer qualifies for an exemption, t</w:t>
      </w:r>
      <w:r w:rsidRPr="00307477">
        <w:rPr>
          <w:rFonts w:eastAsiaTheme="minorEastAsia"/>
        </w:rPr>
        <w:t>he service provider must notify the AER without delay.</w:t>
      </w:r>
      <w:r>
        <w:rPr>
          <w:rFonts w:eastAsiaTheme="minorEastAsia"/>
        </w:rPr>
        <w:t xml:space="preserve"> The exemption may then be revoked by the AER. The AER may also revoke the exemption on its own initiative or following an application made by any person. </w:t>
      </w:r>
      <w:r w:rsidR="00215440" w:rsidRPr="00B339F1">
        <w:t>If the AER proposes to vary or revoke an exemption other than on application of the service provider concerned,</w:t>
      </w:r>
      <w:r w:rsidR="007F4776">
        <w:rPr>
          <w:rStyle w:val="FootnoteReference"/>
        </w:rPr>
        <w:footnoteReference w:id="15"/>
      </w:r>
      <w:r w:rsidR="00215440" w:rsidRPr="00B339F1">
        <w:t xml:space="preserve"> it must notify the service provider and invite </w:t>
      </w:r>
      <w:r w:rsidR="007F4776">
        <w:t xml:space="preserve">it </w:t>
      </w:r>
      <w:r w:rsidR="00215440" w:rsidRPr="00B339F1">
        <w:t>to make submissions about the propos</w:t>
      </w:r>
      <w:r w:rsidR="00215440">
        <w:t>al</w:t>
      </w:r>
      <w:r w:rsidR="00215440" w:rsidRPr="00B339F1">
        <w:t>. If the AER varies or revokes an exemption it must give the service provider written reasons for its decision</w:t>
      </w:r>
      <w:r w:rsidR="00962464">
        <w:t>.</w:t>
      </w:r>
    </w:p>
    <w:p w:rsidR="00B727FC" w:rsidRDefault="00B727FC" w:rsidP="007B5624">
      <w:pPr>
        <w:pStyle w:val="BodyText"/>
        <w:rPr>
          <w:color w:val="0099CC"/>
          <w:sz w:val="24"/>
          <w:szCs w:val="24"/>
        </w:rPr>
      </w:pPr>
      <w:r w:rsidRPr="008638DD">
        <w:t xml:space="preserve">An application </w:t>
      </w:r>
      <w:r>
        <w:t>for an exemption, variation of an exemption or revocation of an exemption</w:t>
      </w:r>
      <w:r w:rsidRPr="008638DD">
        <w:t xml:space="preserve"> must be in the form, and contain the information, specified in any </w:t>
      </w:r>
      <w:r>
        <w:t xml:space="preserve">AER-issued </w:t>
      </w:r>
      <w:r w:rsidRPr="008638DD">
        <w:t xml:space="preserve">guidelines </w:t>
      </w:r>
      <w:r>
        <w:t>concerning exemptions</w:t>
      </w:r>
      <w:r w:rsidRPr="008638DD">
        <w:t>.</w:t>
      </w:r>
      <w:r w:rsidR="00215440">
        <w:t xml:space="preserve"> </w:t>
      </w:r>
      <w:r w:rsidRPr="008638DD">
        <w:t>The AER may</w:t>
      </w:r>
      <w:r>
        <w:t xml:space="preserve"> </w:t>
      </w:r>
      <w:r w:rsidRPr="008638DD">
        <w:t xml:space="preserve">ask the applicant to provide further information or clarification in support of </w:t>
      </w:r>
      <w:r>
        <w:t>an</w:t>
      </w:r>
      <w:r w:rsidRPr="008638DD">
        <w:t xml:space="preserve"> application if the AER considers the application is incomplete or requires clarification. </w:t>
      </w:r>
    </w:p>
    <w:p w:rsidR="00242B42" w:rsidRPr="00882ED1" w:rsidRDefault="00242B42" w:rsidP="007F4776">
      <w:pPr>
        <w:pStyle w:val="BodyText"/>
        <w:rPr>
          <w:rFonts w:cstheme="majorHAnsi"/>
          <w:color w:val="0099CC"/>
          <w:sz w:val="24"/>
          <w:szCs w:val="24"/>
        </w:rPr>
      </w:pPr>
      <w:r w:rsidRPr="00882ED1">
        <w:rPr>
          <w:rFonts w:cstheme="majorHAnsi"/>
          <w:color w:val="0099CC"/>
          <w:sz w:val="24"/>
          <w:szCs w:val="24"/>
        </w:rPr>
        <w:t>Transitional exemptions</w:t>
      </w:r>
    </w:p>
    <w:p w:rsidR="003E72B3" w:rsidRDefault="003E72B3" w:rsidP="007F4776">
      <w:pPr>
        <w:pStyle w:val="BodyText"/>
      </w:pPr>
      <w:r w:rsidRPr="006D05D2">
        <w:t xml:space="preserve">The obligation to register an existing transportation facility and for a service provider to comply with other obligations will commence when the </w:t>
      </w:r>
      <w:r>
        <w:t xml:space="preserve">amendments to the NGR </w:t>
      </w:r>
      <w:r w:rsidRPr="006D05D2">
        <w:t>start or shortly thereafter (see Table 2 of the Information Paper).</w:t>
      </w:r>
    </w:p>
    <w:p w:rsidR="00B115B2" w:rsidRDefault="00C872D8" w:rsidP="007F4776">
      <w:pPr>
        <w:pStyle w:val="BodyText"/>
      </w:pPr>
      <w:r>
        <w:t xml:space="preserve">Exemptions will be available on a transitional basis </w:t>
      </w:r>
      <w:r w:rsidR="00B115B2">
        <w:t xml:space="preserve">during the transitional period, which will extend from the commencement of the </w:t>
      </w:r>
      <w:r w:rsidR="00632F7E">
        <w:t xml:space="preserve">amendments to the </w:t>
      </w:r>
      <w:r w:rsidR="00B115B2">
        <w:t xml:space="preserve">NGR to the auction </w:t>
      </w:r>
      <w:r w:rsidR="00F702E4">
        <w:t>commencement</w:t>
      </w:r>
      <w:r w:rsidR="00B115B2">
        <w:t xml:space="preserve"> date</w:t>
      </w:r>
      <w:r>
        <w:t>.</w:t>
      </w:r>
      <w:r w:rsidR="00383839">
        <w:rPr>
          <w:rStyle w:val="FootnoteReference"/>
        </w:rPr>
        <w:footnoteReference w:id="16"/>
      </w:r>
      <w:r>
        <w:t xml:space="preserve"> </w:t>
      </w:r>
      <w:r w:rsidR="00215440">
        <w:t xml:space="preserve">During </w:t>
      </w:r>
      <w:r w:rsidR="00B115B2">
        <w:t xml:space="preserve">this </w:t>
      </w:r>
      <w:r w:rsidR="00215440">
        <w:t xml:space="preserve">period, the AER may, </w:t>
      </w:r>
      <w:r w:rsidR="00215440" w:rsidRPr="00727681">
        <w:t xml:space="preserve">on the application of </w:t>
      </w:r>
      <w:r w:rsidR="00B115B2">
        <w:t xml:space="preserve">a </w:t>
      </w:r>
      <w:r w:rsidR="00215440" w:rsidRPr="00727681">
        <w:t>service provider</w:t>
      </w:r>
      <w:r w:rsidR="00F702E4">
        <w:rPr>
          <w:rStyle w:val="FootnoteReference"/>
        </w:rPr>
        <w:footnoteReference w:id="17"/>
      </w:r>
      <w:r w:rsidR="00215440" w:rsidRPr="00727681">
        <w:t xml:space="preserve"> or on its own initiative</w:t>
      </w:r>
      <w:r w:rsidR="00215440">
        <w:t>,</w:t>
      </w:r>
      <w:r w:rsidR="00215440" w:rsidRPr="00727681">
        <w:t xml:space="preserve"> grant a transitional exemption </w:t>
      </w:r>
      <w:r w:rsidR="00B115B2">
        <w:t xml:space="preserve">to a </w:t>
      </w:r>
      <w:r w:rsidR="00215440" w:rsidRPr="00727681">
        <w:t xml:space="preserve">transportation facility </w:t>
      </w:r>
      <w:r w:rsidR="00B115B2">
        <w:t>(</w:t>
      </w:r>
      <w:r w:rsidR="00215440" w:rsidRPr="00727681">
        <w:t xml:space="preserve">or part </w:t>
      </w:r>
      <w:r w:rsidR="00B115B2">
        <w:t>thereof)</w:t>
      </w:r>
      <w:r w:rsidR="00215440">
        <w:t>. The AER may do so if it is</w:t>
      </w:r>
      <w:r w:rsidR="00215440" w:rsidRPr="00727681">
        <w:t xml:space="preserve"> satisfied, having regard to any matter it considers relevant, that the transitional exemption should be granted.</w:t>
      </w:r>
      <w:r w:rsidR="00215440">
        <w:t xml:space="preserve"> </w:t>
      </w:r>
    </w:p>
    <w:p w:rsidR="00A575FB" w:rsidRDefault="00F702E4" w:rsidP="00B115B2">
      <w:pPr>
        <w:pStyle w:val="BodyText"/>
      </w:pPr>
      <w:r>
        <w:t xml:space="preserve">These transitional arrangements have been included in the NGR to allow the </w:t>
      </w:r>
      <w:r w:rsidR="00B115B2">
        <w:t xml:space="preserve">AER </w:t>
      </w:r>
      <w:r>
        <w:t xml:space="preserve">to </w:t>
      </w:r>
      <w:r w:rsidR="00215440" w:rsidRPr="00882ED1">
        <w:t>grant a</w:t>
      </w:r>
      <w:r>
        <w:t>n</w:t>
      </w:r>
      <w:r w:rsidR="00215440" w:rsidRPr="00882ED1">
        <w:t xml:space="preserve"> exemption </w:t>
      </w:r>
      <w:r w:rsidR="00B115B2">
        <w:t xml:space="preserve">to </w:t>
      </w:r>
      <w:r w:rsidR="00215440" w:rsidRPr="00882ED1">
        <w:t>a transportation facility (or group or class of facilities) on an interim basis</w:t>
      </w:r>
      <w:r w:rsidR="00B115B2">
        <w:t>,</w:t>
      </w:r>
      <w:r w:rsidR="00215440" w:rsidRPr="00882ED1">
        <w:t xml:space="preserve"> while </w:t>
      </w:r>
      <w:r w:rsidR="00B115B2">
        <w:t xml:space="preserve">it considers </w:t>
      </w:r>
      <w:r w:rsidR="00215440" w:rsidRPr="00882ED1">
        <w:t xml:space="preserve">whether </w:t>
      </w:r>
      <w:r w:rsidR="00B115B2">
        <w:t xml:space="preserve">the facility (or group or class of facilities) qualifies for </w:t>
      </w:r>
      <w:r w:rsidR="00632F7E">
        <w:t xml:space="preserve">an </w:t>
      </w:r>
      <w:r w:rsidR="00215440" w:rsidRPr="00882ED1">
        <w:t>exemption</w:t>
      </w:r>
      <w:r w:rsidR="00215440">
        <w:t>.</w:t>
      </w:r>
      <w:r>
        <w:t xml:space="preserve"> </w:t>
      </w:r>
      <w:r w:rsidR="00A575FB">
        <w:t>A transportation facility granted a transitional exemption will be exempt from</w:t>
      </w:r>
      <w:r w:rsidR="00A575FB" w:rsidRPr="006D05D2">
        <w:t xml:space="preserve"> </w:t>
      </w:r>
      <w:r w:rsidR="00A575FB">
        <w:t xml:space="preserve">the obligation to register with AEMO. </w:t>
      </w:r>
    </w:p>
    <w:p w:rsidR="00077FB9" w:rsidRPr="00077FB9" w:rsidRDefault="006D05D2" w:rsidP="00077FB9">
      <w:pPr>
        <w:pStyle w:val="BodyText"/>
      </w:pPr>
      <w:r w:rsidRPr="00077FB9">
        <w:lastRenderedPageBreak/>
        <w:t>The ability to grant a transitional exemption may assist the AER in handling high volumes of exemption applications in the period following commencement of the capacity trading reforms.</w:t>
      </w:r>
      <w:r w:rsidR="00A575FB" w:rsidRPr="00077FB9">
        <w:t xml:space="preserve"> </w:t>
      </w:r>
    </w:p>
    <w:p w:rsidR="00A575FB" w:rsidRPr="00077FB9" w:rsidRDefault="00A575FB" w:rsidP="00077FB9">
      <w:pPr>
        <w:rPr>
          <w:rFonts w:eastAsiaTheme="minorEastAsia"/>
        </w:rPr>
      </w:pPr>
      <w:r w:rsidRPr="00077FB9">
        <w:rPr>
          <w:rFonts w:asciiTheme="majorHAnsi" w:hAnsiTheme="majorHAnsi" w:cstheme="majorHAnsi"/>
        </w:rPr>
        <w:t xml:space="preserve">When granting a transitional exemption, the AER can determine if any conditions will apply. </w:t>
      </w:r>
      <w:r w:rsidR="00077FB9">
        <w:rPr>
          <w:rFonts w:asciiTheme="majorHAnsi" w:hAnsiTheme="majorHAnsi" w:cstheme="majorHAnsi"/>
        </w:rPr>
        <w:t xml:space="preserve">For example, </w:t>
      </w:r>
      <w:r w:rsidRPr="00077FB9">
        <w:rPr>
          <w:rFonts w:asciiTheme="majorHAnsi" w:hAnsiTheme="majorHAnsi" w:cstheme="majorHAnsi"/>
        </w:rPr>
        <w:t>if a facility is only likely to be eligible for a conditional exemption (</w:t>
      </w:r>
      <w:r w:rsidR="004F646C" w:rsidRPr="00077FB9">
        <w:rPr>
          <w:rFonts w:asciiTheme="majorHAnsi" w:hAnsiTheme="majorHAnsi" w:cstheme="majorHAnsi"/>
        </w:rPr>
        <w:t>i.e</w:t>
      </w:r>
      <w:r w:rsidRPr="00077FB9">
        <w:rPr>
          <w:rFonts w:asciiTheme="majorHAnsi" w:hAnsiTheme="majorHAnsi" w:cstheme="majorHAnsi"/>
        </w:rPr>
        <w:t xml:space="preserve">. because it services a single transportation user), </w:t>
      </w:r>
      <w:r w:rsidR="00077FB9">
        <w:rPr>
          <w:rFonts w:asciiTheme="majorHAnsi" w:hAnsiTheme="majorHAnsi" w:cstheme="majorHAnsi"/>
        </w:rPr>
        <w:t>t</w:t>
      </w:r>
      <w:r w:rsidR="00077FB9" w:rsidRPr="00077FB9">
        <w:rPr>
          <w:rFonts w:asciiTheme="majorHAnsi" w:hAnsiTheme="majorHAnsi" w:cstheme="majorHAnsi"/>
        </w:rPr>
        <w:t xml:space="preserve">he AER could determine that </w:t>
      </w:r>
      <w:r w:rsidRPr="00077FB9">
        <w:rPr>
          <w:rFonts w:asciiTheme="majorHAnsi" w:hAnsiTheme="majorHAnsi" w:cstheme="majorHAnsi"/>
        </w:rPr>
        <w:t>the facility should be subject to the same obligations that a conditionally exempt facility would be subject to for the period of the transitional exemption</w:t>
      </w:r>
      <w:r w:rsidR="00077FB9">
        <w:rPr>
          <w:rFonts w:eastAsiaTheme="minorEastAsia"/>
        </w:rPr>
        <w:t>.</w:t>
      </w:r>
      <w:r>
        <w:rPr>
          <w:rStyle w:val="FootnoteReference"/>
          <w:rFonts w:asciiTheme="majorHAnsi" w:eastAsiaTheme="minorEastAsia" w:hAnsiTheme="majorHAnsi" w:cstheme="majorHAnsi"/>
        </w:rPr>
        <w:footnoteReference w:id="18"/>
      </w:r>
    </w:p>
    <w:p w:rsidR="00467BAC" w:rsidRPr="00C70EFB" w:rsidRDefault="00F702E4" w:rsidP="00B115B2">
      <w:pPr>
        <w:pStyle w:val="BodyText"/>
      </w:pPr>
      <w:r>
        <w:t xml:space="preserve">Any </w:t>
      </w:r>
      <w:r w:rsidR="00467BAC" w:rsidRPr="00C70EFB">
        <w:t xml:space="preserve">transitional exemption </w:t>
      </w:r>
      <w:r>
        <w:t xml:space="preserve">granted by the AER </w:t>
      </w:r>
      <w:r w:rsidR="00235593">
        <w:t xml:space="preserve">will </w:t>
      </w:r>
      <w:r w:rsidR="00467BAC" w:rsidRPr="00C70EFB">
        <w:t xml:space="preserve">automatically </w:t>
      </w:r>
      <w:r w:rsidR="00235593">
        <w:t xml:space="preserve">expire </w:t>
      </w:r>
      <w:r w:rsidR="00467BAC" w:rsidRPr="00C70EFB">
        <w:t>on the earlier of:</w:t>
      </w:r>
    </w:p>
    <w:p w:rsidR="00467BAC" w:rsidRPr="00C70EFB" w:rsidRDefault="00467BAC" w:rsidP="00E55287">
      <w:pPr>
        <w:pStyle w:val="ListBullet"/>
        <w:numPr>
          <w:ilvl w:val="0"/>
          <w:numId w:val="14"/>
        </w:numPr>
        <w:autoSpaceDE w:val="0"/>
        <w:autoSpaceDN w:val="0"/>
        <w:adjustRightInd w:val="0"/>
        <w:rPr>
          <w:rFonts w:asciiTheme="majorHAnsi" w:eastAsiaTheme="minorEastAsia" w:hAnsiTheme="majorHAnsi" w:cstheme="majorHAnsi"/>
        </w:rPr>
      </w:pPr>
      <w:r w:rsidRPr="00C70EFB">
        <w:rPr>
          <w:rFonts w:asciiTheme="majorHAnsi" w:eastAsiaTheme="minorEastAsia" w:hAnsiTheme="majorHAnsi" w:cstheme="majorHAnsi"/>
        </w:rPr>
        <w:t>a date specified by the AER when it grants the transitional exemption;</w:t>
      </w:r>
    </w:p>
    <w:p w:rsidR="00467BAC" w:rsidRPr="00C70EFB" w:rsidRDefault="00467BAC" w:rsidP="00E55287">
      <w:pPr>
        <w:pStyle w:val="ListBullet"/>
        <w:numPr>
          <w:ilvl w:val="0"/>
          <w:numId w:val="14"/>
        </w:numPr>
        <w:autoSpaceDE w:val="0"/>
        <w:autoSpaceDN w:val="0"/>
        <w:adjustRightInd w:val="0"/>
        <w:rPr>
          <w:rFonts w:asciiTheme="majorHAnsi" w:eastAsiaTheme="minorEastAsia" w:hAnsiTheme="majorHAnsi" w:cstheme="majorHAnsi"/>
        </w:rPr>
      </w:pPr>
      <w:r w:rsidRPr="00C70EFB">
        <w:rPr>
          <w:rFonts w:asciiTheme="majorHAnsi" w:eastAsiaTheme="minorEastAsia" w:hAnsiTheme="majorHAnsi" w:cstheme="majorHAnsi"/>
        </w:rPr>
        <w:t>the effective date of a standard exemption granted by the AER for the transportation facility (or part</w:t>
      </w:r>
      <w:r w:rsidR="00B115B2">
        <w:rPr>
          <w:rFonts w:asciiTheme="majorHAnsi" w:eastAsiaTheme="minorEastAsia" w:hAnsiTheme="majorHAnsi" w:cstheme="majorHAnsi"/>
        </w:rPr>
        <w:t xml:space="preserve"> there</w:t>
      </w:r>
      <w:r w:rsidR="00632F7E">
        <w:rPr>
          <w:rFonts w:asciiTheme="majorHAnsi" w:eastAsiaTheme="minorEastAsia" w:hAnsiTheme="majorHAnsi" w:cstheme="majorHAnsi"/>
        </w:rPr>
        <w:t>of</w:t>
      </w:r>
      <w:r w:rsidRPr="00C70EFB">
        <w:rPr>
          <w:rFonts w:asciiTheme="majorHAnsi" w:eastAsiaTheme="minorEastAsia" w:hAnsiTheme="majorHAnsi" w:cstheme="majorHAnsi"/>
        </w:rPr>
        <w:t xml:space="preserve">) that is the subject of the transitional exemption; and </w:t>
      </w:r>
    </w:p>
    <w:p w:rsidR="00467BAC" w:rsidRPr="00C70EFB" w:rsidRDefault="00467BAC" w:rsidP="00E55287">
      <w:pPr>
        <w:pStyle w:val="ListBullet"/>
        <w:numPr>
          <w:ilvl w:val="0"/>
          <w:numId w:val="14"/>
        </w:numPr>
        <w:autoSpaceDE w:val="0"/>
        <w:autoSpaceDN w:val="0"/>
        <w:adjustRightInd w:val="0"/>
        <w:rPr>
          <w:rFonts w:asciiTheme="majorHAnsi" w:eastAsiaTheme="minorEastAsia" w:hAnsiTheme="majorHAnsi" w:cstheme="majorHAnsi"/>
        </w:rPr>
      </w:pPr>
      <w:r w:rsidRPr="00C70EFB">
        <w:rPr>
          <w:rFonts w:asciiTheme="majorHAnsi" w:eastAsiaTheme="minorEastAsia" w:hAnsiTheme="majorHAnsi" w:cstheme="majorHAnsi"/>
        </w:rPr>
        <w:t xml:space="preserve">the day after the </w:t>
      </w:r>
      <w:r w:rsidR="00F702E4">
        <w:rPr>
          <w:rFonts w:asciiTheme="majorHAnsi" w:eastAsiaTheme="minorEastAsia" w:hAnsiTheme="majorHAnsi" w:cstheme="majorHAnsi"/>
        </w:rPr>
        <w:t xml:space="preserve">commencement of the </w:t>
      </w:r>
      <w:r w:rsidRPr="00C70EFB">
        <w:rPr>
          <w:rFonts w:asciiTheme="majorHAnsi" w:eastAsiaTheme="minorEastAsia" w:hAnsiTheme="majorHAnsi" w:cstheme="majorHAnsi"/>
        </w:rPr>
        <w:t xml:space="preserve">auction </w:t>
      </w:r>
      <w:r w:rsidR="00395A7F">
        <w:rPr>
          <w:rFonts w:asciiTheme="majorHAnsi" w:eastAsiaTheme="minorEastAsia" w:hAnsiTheme="majorHAnsi" w:cstheme="majorHAnsi"/>
        </w:rPr>
        <w:t>(</w:t>
      </w:r>
      <w:r w:rsidR="00F702E4">
        <w:rPr>
          <w:rFonts w:asciiTheme="majorHAnsi" w:eastAsiaTheme="minorEastAsia" w:hAnsiTheme="majorHAnsi" w:cstheme="majorHAnsi"/>
        </w:rPr>
        <w:t xml:space="preserve">i.e. </w:t>
      </w:r>
      <w:r w:rsidR="00395A7F">
        <w:rPr>
          <w:rFonts w:asciiTheme="majorHAnsi" w:eastAsiaTheme="minorEastAsia" w:hAnsiTheme="majorHAnsi" w:cstheme="majorHAnsi"/>
        </w:rPr>
        <w:t xml:space="preserve">1 March 2019 or, if the </w:t>
      </w:r>
      <w:r w:rsidR="00F702E4">
        <w:rPr>
          <w:rFonts w:asciiTheme="majorHAnsi" w:eastAsiaTheme="minorEastAsia" w:hAnsiTheme="majorHAnsi" w:cstheme="majorHAnsi"/>
        </w:rPr>
        <w:t xml:space="preserve">amendments </w:t>
      </w:r>
      <w:r w:rsidR="00B115B2">
        <w:rPr>
          <w:rFonts w:asciiTheme="majorHAnsi" w:eastAsiaTheme="minorEastAsia" w:hAnsiTheme="majorHAnsi" w:cstheme="majorHAnsi"/>
        </w:rPr>
        <w:t xml:space="preserve">to the NGR </w:t>
      </w:r>
      <w:r w:rsidR="00395A7F">
        <w:rPr>
          <w:rFonts w:asciiTheme="majorHAnsi" w:eastAsiaTheme="minorEastAsia" w:hAnsiTheme="majorHAnsi" w:cstheme="majorHAnsi"/>
        </w:rPr>
        <w:t xml:space="preserve">commence after 1 December 2018, 60 business days after </w:t>
      </w:r>
      <w:r w:rsidR="00B115B2">
        <w:rPr>
          <w:rFonts w:asciiTheme="majorHAnsi" w:eastAsiaTheme="minorEastAsia" w:hAnsiTheme="majorHAnsi" w:cstheme="majorHAnsi"/>
        </w:rPr>
        <w:t xml:space="preserve">the </w:t>
      </w:r>
      <w:r w:rsidR="00F702E4">
        <w:rPr>
          <w:rFonts w:asciiTheme="majorHAnsi" w:eastAsiaTheme="minorEastAsia" w:hAnsiTheme="majorHAnsi" w:cstheme="majorHAnsi"/>
        </w:rPr>
        <w:t>amendments come into force</w:t>
      </w:r>
      <w:r w:rsidR="00395A7F">
        <w:rPr>
          <w:rFonts w:asciiTheme="majorHAnsi" w:eastAsiaTheme="minorEastAsia" w:hAnsiTheme="majorHAnsi" w:cstheme="majorHAnsi"/>
        </w:rPr>
        <w:t>)</w:t>
      </w:r>
      <w:r w:rsidRPr="00C70EFB">
        <w:rPr>
          <w:rFonts w:asciiTheme="majorHAnsi" w:eastAsiaTheme="minorEastAsia" w:hAnsiTheme="majorHAnsi" w:cstheme="majorHAnsi"/>
        </w:rPr>
        <w:t>.</w:t>
      </w:r>
    </w:p>
    <w:p w:rsidR="00467BAC" w:rsidRDefault="00467BAC" w:rsidP="00E55287">
      <w:pPr>
        <w:autoSpaceDE w:val="0"/>
        <w:autoSpaceDN w:val="0"/>
        <w:adjustRightInd w:val="0"/>
        <w:spacing w:before="120" w:after="120"/>
        <w:rPr>
          <w:rFonts w:asciiTheme="majorHAnsi" w:hAnsiTheme="majorHAnsi" w:cstheme="majorHAnsi"/>
        </w:rPr>
      </w:pPr>
      <w:r w:rsidRPr="00C70EFB">
        <w:rPr>
          <w:rFonts w:asciiTheme="majorHAnsi" w:hAnsiTheme="majorHAnsi" w:cstheme="majorHAnsi"/>
        </w:rPr>
        <w:t>The AER may revoke a transitional exemption by giving not less than 10 business days’ written notice to the service provider.</w:t>
      </w:r>
    </w:p>
    <w:p w:rsidR="00481944" w:rsidRPr="003D6E8F" w:rsidRDefault="00481944" w:rsidP="00481944">
      <w:pPr>
        <w:pStyle w:val="Heading1"/>
        <w:rPr>
          <w:color w:val="0099CC"/>
          <w:sz w:val="26"/>
          <w:szCs w:val="26"/>
        </w:rPr>
      </w:pPr>
      <w:r w:rsidRPr="003D6E8F">
        <w:rPr>
          <w:color w:val="0099CC"/>
          <w:sz w:val="26"/>
          <w:szCs w:val="26"/>
        </w:rPr>
        <w:t>Classification of transitional firm services</w:t>
      </w:r>
      <w:r w:rsidR="00632F7E">
        <w:rPr>
          <w:color w:val="0099CC"/>
          <w:sz w:val="26"/>
          <w:szCs w:val="26"/>
        </w:rPr>
        <w:t xml:space="preserve"> for the auction</w:t>
      </w:r>
    </w:p>
    <w:p w:rsidR="000962C0" w:rsidRPr="000962C0" w:rsidRDefault="000962C0" w:rsidP="000962C0">
      <w:pPr>
        <w:pStyle w:val="TableBodyText"/>
        <w:spacing w:before="80" w:after="80"/>
        <w:rPr>
          <w:rFonts w:asciiTheme="majorHAnsi" w:hAnsiTheme="majorHAnsi" w:cstheme="majorHAnsi"/>
          <w:sz w:val="22"/>
        </w:rPr>
      </w:pPr>
      <w:r w:rsidRPr="000962C0">
        <w:rPr>
          <w:rFonts w:asciiTheme="majorHAnsi" w:hAnsiTheme="majorHAnsi" w:cstheme="majorHAnsi"/>
          <w:sz w:val="22"/>
        </w:rPr>
        <w:t xml:space="preserve">Transitional arrangements will be implemented for a two-year period following the commencement of the </w:t>
      </w:r>
      <w:r w:rsidR="00632F7E">
        <w:rPr>
          <w:rFonts w:asciiTheme="majorHAnsi" w:hAnsiTheme="majorHAnsi" w:cstheme="majorHAnsi"/>
          <w:sz w:val="22"/>
        </w:rPr>
        <w:t xml:space="preserve">day-ahead </w:t>
      </w:r>
      <w:r w:rsidRPr="000962C0">
        <w:rPr>
          <w:rFonts w:asciiTheme="majorHAnsi" w:hAnsiTheme="majorHAnsi" w:cstheme="majorHAnsi"/>
          <w:sz w:val="22"/>
        </w:rPr>
        <w:t>auction to enable transportation services that meet the following criteria to be treated as ‘transitional firm’ services for the purposes of the auction priority principles and therefore rank ahead of the auction product:</w:t>
      </w:r>
    </w:p>
    <w:p w:rsidR="000962C0" w:rsidRPr="000962C0" w:rsidRDefault="000962C0" w:rsidP="000962C0">
      <w:pPr>
        <w:pStyle w:val="ListBullet"/>
      </w:pPr>
      <w:r w:rsidRPr="000962C0">
        <w:t xml:space="preserve">the transportation service is currently treated as firm once scheduled; </w:t>
      </w:r>
    </w:p>
    <w:p w:rsidR="000962C0" w:rsidRPr="000962C0" w:rsidRDefault="000962C0" w:rsidP="000962C0">
      <w:pPr>
        <w:pStyle w:val="ListBullet"/>
      </w:pPr>
      <w:r w:rsidRPr="000962C0">
        <w:t>the transportation service is used for the supply of gas for consumption by a gas-fired generator that is a market generating unit;</w:t>
      </w:r>
    </w:p>
    <w:p w:rsidR="000962C0" w:rsidRPr="000962C0" w:rsidRDefault="000962C0" w:rsidP="000962C0">
      <w:pPr>
        <w:pStyle w:val="ListBullet"/>
      </w:pPr>
      <w:r w:rsidRPr="000962C0">
        <w:t xml:space="preserve">at least one of the service points is either a point at which gas is supplied for consumption by a market generating unit, or is on another transportation facility that is used to receive gas for onward transportation to a market generating unit; and </w:t>
      </w:r>
    </w:p>
    <w:p w:rsidR="000962C0" w:rsidRPr="000962C0" w:rsidRDefault="000962C0" w:rsidP="000962C0">
      <w:pPr>
        <w:pStyle w:val="ListBullet"/>
      </w:pPr>
      <w:r w:rsidRPr="000962C0">
        <w:t>the terms and conditions for use of the transportation service are set out in a primary facility agreement made on or before 19 March 2018 and are the same, or substantially the same, as the terms and conditions in force on that date.</w:t>
      </w:r>
    </w:p>
    <w:p w:rsidR="00EE6048" w:rsidRPr="00317348" w:rsidRDefault="000962C0" w:rsidP="00EE6048">
      <w:pPr>
        <w:pStyle w:val="BodyText"/>
        <w:rPr>
          <w:rFonts w:asciiTheme="majorHAnsi" w:hAnsiTheme="majorHAnsi" w:cstheme="majorHAnsi"/>
        </w:rPr>
      </w:pPr>
      <w:r w:rsidRPr="00317348">
        <w:rPr>
          <w:rFonts w:asciiTheme="majorHAnsi" w:hAnsiTheme="majorHAnsi" w:cstheme="majorHAnsi"/>
        </w:rPr>
        <w:t xml:space="preserve">Facility operators will be responsible for classifying a service as a transitional firm service </w:t>
      </w:r>
      <w:r w:rsidR="009666A8" w:rsidRPr="00317348">
        <w:rPr>
          <w:rFonts w:asciiTheme="majorHAnsi" w:hAnsiTheme="majorHAnsi" w:cstheme="majorHAnsi"/>
        </w:rPr>
        <w:t xml:space="preserve">if they meet the </w:t>
      </w:r>
      <w:r w:rsidRPr="00317348">
        <w:rPr>
          <w:rFonts w:asciiTheme="majorHAnsi" w:hAnsiTheme="majorHAnsi" w:cstheme="majorHAnsi"/>
        </w:rPr>
        <w:t xml:space="preserve">criteria </w:t>
      </w:r>
      <w:r w:rsidR="009666A8" w:rsidRPr="00317348">
        <w:rPr>
          <w:rFonts w:asciiTheme="majorHAnsi" w:hAnsiTheme="majorHAnsi" w:cstheme="majorHAnsi"/>
        </w:rPr>
        <w:t xml:space="preserve">set out above </w:t>
      </w:r>
      <w:r w:rsidRPr="00317348">
        <w:rPr>
          <w:rFonts w:asciiTheme="majorHAnsi" w:hAnsiTheme="majorHAnsi" w:cstheme="majorHAnsi"/>
        </w:rPr>
        <w:t xml:space="preserve">and must notify the AER if they intend to do so no later than 30 business days before the classification takes effect. </w:t>
      </w:r>
      <w:r w:rsidR="00EE6048" w:rsidRPr="00317348">
        <w:rPr>
          <w:rFonts w:asciiTheme="majorHAnsi" w:hAnsiTheme="majorHAnsi" w:cstheme="majorHAnsi"/>
        </w:rPr>
        <w:t>The notice must include:</w:t>
      </w:r>
    </w:p>
    <w:p w:rsidR="00EE6048" w:rsidRPr="00317348" w:rsidRDefault="00EE6048" w:rsidP="00EE6048">
      <w:pPr>
        <w:pStyle w:val="ListBullet"/>
        <w:rPr>
          <w:rFonts w:asciiTheme="majorHAnsi" w:hAnsiTheme="majorHAnsi" w:cstheme="majorHAnsi"/>
        </w:rPr>
      </w:pPr>
      <w:r w:rsidRPr="00317348">
        <w:rPr>
          <w:rFonts w:asciiTheme="majorHAnsi" w:hAnsiTheme="majorHAnsi" w:cstheme="majorHAnsi"/>
        </w:rPr>
        <w:t>a copy of the agreement or agreements containing the terms and conditions on which the transportation service is provided (including any amendments);</w:t>
      </w:r>
    </w:p>
    <w:p w:rsidR="00EE6048" w:rsidRPr="00317348" w:rsidRDefault="00EE6048" w:rsidP="00EE6048">
      <w:pPr>
        <w:pStyle w:val="ListBullet"/>
        <w:rPr>
          <w:rFonts w:asciiTheme="majorHAnsi" w:hAnsiTheme="majorHAnsi" w:cstheme="majorHAnsi"/>
        </w:rPr>
      </w:pPr>
      <w:r w:rsidRPr="00317348">
        <w:rPr>
          <w:rFonts w:asciiTheme="majorHAnsi" w:hAnsiTheme="majorHAnsi" w:cstheme="majorHAnsi"/>
        </w:rPr>
        <w:lastRenderedPageBreak/>
        <w:t>an assessment of the transportation service against the criterion set out above with reference to the terms of the agreement or other information relied on for the assessment; and</w:t>
      </w:r>
    </w:p>
    <w:p w:rsidR="00EE6048" w:rsidRPr="00317348" w:rsidRDefault="00EE6048" w:rsidP="00EE6048">
      <w:pPr>
        <w:pStyle w:val="ListBullet"/>
        <w:rPr>
          <w:rFonts w:asciiTheme="majorHAnsi" w:hAnsiTheme="majorHAnsi" w:cstheme="majorHAnsi"/>
        </w:rPr>
      </w:pPr>
      <w:r w:rsidRPr="00317348">
        <w:rPr>
          <w:rFonts w:asciiTheme="majorHAnsi" w:hAnsiTheme="majorHAnsi" w:cstheme="majorHAnsi"/>
        </w:rPr>
        <w:t>any other information or documentation reasonably required by the AER.</w:t>
      </w:r>
    </w:p>
    <w:p w:rsidR="00317348" w:rsidRDefault="000962C0" w:rsidP="000962C0">
      <w:pPr>
        <w:pStyle w:val="BodyText"/>
      </w:pPr>
      <w:r w:rsidRPr="000962C0">
        <w:t xml:space="preserve">The AER </w:t>
      </w:r>
      <w:r w:rsidR="00EE6048">
        <w:t xml:space="preserve">may request </w:t>
      </w:r>
      <w:r w:rsidRPr="000962C0">
        <w:t xml:space="preserve">more information </w:t>
      </w:r>
      <w:r w:rsidR="00EE6048">
        <w:t xml:space="preserve">from the facility operator if it requires it and the facility operator must provide that information within the time specified. The AER </w:t>
      </w:r>
      <w:r w:rsidR="00EE6048" w:rsidRPr="00317348">
        <w:rPr>
          <w:i/>
        </w:rPr>
        <w:t>may</w:t>
      </w:r>
      <w:r w:rsidR="00EE6048">
        <w:t xml:space="preserve"> also require a facility operator to procure and provide an independent </w:t>
      </w:r>
      <w:r w:rsidR="00317348">
        <w:t xml:space="preserve">expert </w:t>
      </w:r>
      <w:r w:rsidR="00EE6048">
        <w:t xml:space="preserve">opinion on the </w:t>
      </w:r>
      <w:r w:rsidR="00317348">
        <w:t xml:space="preserve">transitional firm service </w:t>
      </w:r>
      <w:r w:rsidR="00EE6048">
        <w:t>classification addressed to the AER and on which the AER may rely</w:t>
      </w:r>
      <w:r w:rsidR="00317348">
        <w:t>.</w:t>
      </w:r>
      <w:r w:rsidR="00317348">
        <w:rPr>
          <w:rStyle w:val="FootnoteReference"/>
        </w:rPr>
        <w:footnoteReference w:id="19"/>
      </w:r>
      <w:r w:rsidR="00EE6048">
        <w:t xml:space="preserve"> </w:t>
      </w:r>
      <w:r w:rsidR="00317348">
        <w:t xml:space="preserve">This opinion must list the information and documentation relied on, set out any assumptions made and any qualifications to the opinion, confirm the </w:t>
      </w:r>
      <w:r w:rsidR="00632F7E">
        <w:t xml:space="preserve">service provider’s </w:t>
      </w:r>
      <w:r w:rsidR="00317348">
        <w:t xml:space="preserve">transitional firm service specification is accurate and contain an assessment of whether the transportation service satisfies each of the </w:t>
      </w:r>
      <w:r w:rsidR="006746FF">
        <w:t xml:space="preserve">criteria </w:t>
      </w:r>
      <w:r w:rsidR="00317348">
        <w:t>listed above. Any information provided to the AER in relation to the classification of transitional firm services will be taken to have been provided to the AER in confidence.</w:t>
      </w:r>
    </w:p>
    <w:p w:rsidR="000962C0" w:rsidRPr="000962C0" w:rsidRDefault="000962C0" w:rsidP="000962C0">
      <w:pPr>
        <w:pStyle w:val="BodyText"/>
      </w:pPr>
      <w:r w:rsidRPr="000962C0">
        <w:t xml:space="preserve">If the AER is not satisfied a service meets the </w:t>
      </w:r>
      <w:r w:rsidR="00632F7E">
        <w:t xml:space="preserve">transitional firm service </w:t>
      </w:r>
      <w:r w:rsidRPr="000962C0">
        <w:t>criteria, it may reject the classification</w:t>
      </w:r>
      <w:r w:rsidR="009666A8">
        <w:t xml:space="preserve">. The AER </w:t>
      </w:r>
      <w:r w:rsidRPr="000962C0">
        <w:t xml:space="preserve">may also revoke the classification at a later point if it is not satisfied the criteria </w:t>
      </w:r>
      <w:r w:rsidR="009666A8">
        <w:t xml:space="preserve">outlined above are </w:t>
      </w:r>
      <w:r w:rsidRPr="000962C0">
        <w:t xml:space="preserve">met. </w:t>
      </w:r>
    </w:p>
    <w:p w:rsidR="00474793" w:rsidRPr="00474793" w:rsidRDefault="000962C0" w:rsidP="000962C0">
      <w:pPr>
        <w:pStyle w:val="BodyText"/>
      </w:pPr>
      <w:r w:rsidRPr="000659A9">
        <w:rPr>
          <w:rFonts w:asciiTheme="majorHAnsi" w:hAnsiTheme="majorHAnsi" w:cstheme="majorHAnsi"/>
        </w:rPr>
        <w:t xml:space="preserve">The AER will be responsible for monitoring compliance with the conditions of use of </w:t>
      </w:r>
      <w:r w:rsidR="00632F7E">
        <w:rPr>
          <w:rFonts w:asciiTheme="majorHAnsi" w:hAnsiTheme="majorHAnsi" w:cstheme="majorHAnsi"/>
        </w:rPr>
        <w:t>the transitional firm</w:t>
      </w:r>
      <w:r w:rsidRPr="000659A9">
        <w:rPr>
          <w:rFonts w:asciiTheme="majorHAnsi" w:hAnsiTheme="majorHAnsi" w:cstheme="majorHAnsi"/>
        </w:rPr>
        <w:t xml:space="preserve"> services (e.g. to ensure the services are being used at a gas-fired generation site).</w:t>
      </w:r>
      <w:r w:rsidR="009666A8" w:rsidRPr="000659A9">
        <w:rPr>
          <w:rFonts w:asciiTheme="majorHAnsi" w:hAnsiTheme="majorHAnsi" w:cstheme="majorHAnsi"/>
        </w:rPr>
        <w:t xml:space="preserve"> </w:t>
      </w:r>
      <w:r w:rsidR="00317348" w:rsidRPr="000659A9">
        <w:rPr>
          <w:rFonts w:asciiTheme="majorHAnsi" w:hAnsiTheme="majorHAnsi" w:cstheme="majorHAnsi"/>
        </w:rPr>
        <w:t xml:space="preserve">To this end the AER may, by notice, require a facility operator or a shipper provided with a transitional firm service, to appoint an independent and suitably qualified auditor to conduct an independent audit of the quantities classified as transitional firm quantities having regard to the classification </w:t>
      </w:r>
      <w:r w:rsidR="000659A9" w:rsidRPr="000659A9">
        <w:rPr>
          <w:rFonts w:asciiTheme="majorHAnsi" w:hAnsiTheme="majorHAnsi" w:cstheme="majorHAnsi"/>
        </w:rPr>
        <w:t xml:space="preserve">criteria </w:t>
      </w:r>
      <w:r w:rsidR="00317348" w:rsidRPr="000659A9">
        <w:rPr>
          <w:rFonts w:asciiTheme="majorHAnsi" w:hAnsiTheme="majorHAnsi" w:cstheme="majorHAnsi"/>
        </w:rPr>
        <w:t>set out above</w:t>
      </w:r>
      <w:r w:rsidR="000659A9" w:rsidRPr="000659A9">
        <w:rPr>
          <w:rFonts w:asciiTheme="majorHAnsi" w:hAnsiTheme="majorHAnsi" w:cstheme="majorHAnsi"/>
        </w:rPr>
        <w:t>,</w:t>
      </w:r>
      <w:r w:rsidR="00317348" w:rsidRPr="000659A9">
        <w:rPr>
          <w:rFonts w:asciiTheme="majorHAnsi" w:hAnsiTheme="majorHAnsi" w:cstheme="majorHAnsi"/>
        </w:rPr>
        <w:t xml:space="preserve"> and provide a report to the AER. </w:t>
      </w:r>
    </w:p>
    <w:p w:rsidR="00481944" w:rsidRPr="003D6E8F" w:rsidRDefault="00481944" w:rsidP="00481944">
      <w:pPr>
        <w:pStyle w:val="Heading1"/>
        <w:rPr>
          <w:color w:val="0099CC"/>
          <w:sz w:val="26"/>
          <w:szCs w:val="26"/>
        </w:rPr>
      </w:pPr>
      <w:r w:rsidRPr="003D6E8F">
        <w:rPr>
          <w:color w:val="0099CC"/>
          <w:sz w:val="26"/>
          <w:szCs w:val="26"/>
        </w:rPr>
        <w:t xml:space="preserve">Record keeping guidelines </w:t>
      </w:r>
    </w:p>
    <w:p w:rsidR="00481944" w:rsidRDefault="00481944" w:rsidP="00481944">
      <w:pPr>
        <w:autoSpaceDE w:val="0"/>
        <w:autoSpaceDN w:val="0"/>
        <w:adjustRightInd w:val="0"/>
        <w:spacing w:before="120" w:after="120"/>
        <w:rPr>
          <w:rFonts w:asciiTheme="majorHAnsi" w:hAnsiTheme="majorHAnsi" w:cstheme="majorHAnsi"/>
        </w:rPr>
      </w:pPr>
      <w:r>
        <w:rPr>
          <w:rFonts w:asciiTheme="majorHAnsi" w:hAnsiTheme="majorHAnsi" w:cstheme="majorHAnsi"/>
        </w:rPr>
        <w:t xml:space="preserve">To enable the AER to effectively monitor the compliance of market participants with </w:t>
      </w:r>
      <w:r w:rsidR="000F46BC">
        <w:rPr>
          <w:rFonts w:asciiTheme="majorHAnsi" w:hAnsiTheme="majorHAnsi" w:cstheme="majorHAnsi"/>
        </w:rPr>
        <w:t xml:space="preserve">the </w:t>
      </w:r>
      <w:r>
        <w:rPr>
          <w:rFonts w:asciiTheme="majorHAnsi" w:hAnsiTheme="majorHAnsi" w:cstheme="majorHAnsi"/>
        </w:rPr>
        <w:t>market conduct and nomination rules</w:t>
      </w:r>
      <w:r w:rsidR="00F768A5">
        <w:rPr>
          <w:rFonts w:asciiTheme="majorHAnsi" w:hAnsiTheme="majorHAnsi" w:cstheme="majorHAnsi"/>
        </w:rPr>
        <w:t xml:space="preserve"> applicable to the day-ahead auction</w:t>
      </w:r>
      <w:r>
        <w:rPr>
          <w:rFonts w:asciiTheme="majorHAnsi" w:hAnsiTheme="majorHAnsi" w:cstheme="majorHAnsi"/>
        </w:rPr>
        <w:t xml:space="preserve">: </w:t>
      </w:r>
    </w:p>
    <w:p w:rsidR="00481944" w:rsidRDefault="00481944" w:rsidP="00481944">
      <w:pPr>
        <w:pStyle w:val="ListBullet"/>
      </w:pPr>
      <w:r>
        <w:t xml:space="preserve">auction facility operators will be required to make and maintain records of nominations, renominations and scheduled quantities; and </w:t>
      </w:r>
    </w:p>
    <w:p w:rsidR="00481944" w:rsidRDefault="00481944" w:rsidP="00481944">
      <w:pPr>
        <w:pStyle w:val="ListBullet"/>
      </w:pPr>
      <w:r>
        <w:t xml:space="preserve">shippers will be required to make and maintain records of any renominations of firm or auction services. </w:t>
      </w:r>
    </w:p>
    <w:p w:rsidR="00481944" w:rsidRDefault="00481944" w:rsidP="00481944">
      <w:pPr>
        <w:pStyle w:val="BodyText"/>
      </w:pPr>
      <w:r>
        <w:t xml:space="preserve">These records must be made and maintained in accordance with the Nominations and Scheduling Records Guidelines and the Renomination Records Guidelines that the AER will be responsible for developing, which may be published as a single instrument. </w:t>
      </w:r>
    </w:p>
    <w:p w:rsidR="00481944" w:rsidRDefault="00481944" w:rsidP="00481944">
      <w:pPr>
        <w:pStyle w:val="BodyText"/>
      </w:pPr>
      <w:r w:rsidRPr="008475F4">
        <w:t>The AER must develop and publish the initial guidelines by 1 December 2018</w:t>
      </w:r>
      <w:r>
        <w:t>,</w:t>
      </w:r>
      <w:r w:rsidRPr="008475F4">
        <w:t xml:space="preserve"> or if the </w:t>
      </w:r>
      <w:r w:rsidR="000F46BC">
        <w:t xml:space="preserve">amendments to the NGR </w:t>
      </w:r>
      <w:r w:rsidRPr="008475F4">
        <w:t xml:space="preserve">commence after that date, 20 business days after the </w:t>
      </w:r>
      <w:r w:rsidR="000F46BC">
        <w:t xml:space="preserve">amendments </w:t>
      </w:r>
      <w:r w:rsidRPr="008475F4">
        <w:t xml:space="preserve">commence. </w:t>
      </w:r>
      <w:r>
        <w:t>When</w:t>
      </w:r>
      <w:r w:rsidRPr="008475F4">
        <w:t xml:space="preserve"> developing the initial guidelines, the AER </w:t>
      </w:r>
      <w:r>
        <w:t xml:space="preserve">will </w:t>
      </w:r>
      <w:r w:rsidRPr="008475F4">
        <w:t xml:space="preserve">not </w:t>
      </w:r>
      <w:r>
        <w:t xml:space="preserve">be </w:t>
      </w:r>
      <w:r w:rsidRPr="008475F4">
        <w:t>required to comply with the standard consultative process</w:t>
      </w:r>
      <w:r>
        <w:t xml:space="preserve">. Future amendments to the </w:t>
      </w:r>
      <w:r>
        <w:lastRenderedPageBreak/>
        <w:t>guidelines will, however, be subject to the standard consultative process set out in Part 3 of the NGR.</w:t>
      </w:r>
    </w:p>
    <w:p w:rsidR="00481944" w:rsidRPr="00DA5180" w:rsidRDefault="00481944" w:rsidP="00481944">
      <w:pPr>
        <w:pStyle w:val="BodyText"/>
      </w:pPr>
      <w:r>
        <w:t>Further detail on these guidelines is provided below.</w:t>
      </w:r>
    </w:p>
    <w:p w:rsidR="00481944" w:rsidRPr="008475F4" w:rsidRDefault="00481944" w:rsidP="00632F7E">
      <w:pPr>
        <w:pStyle w:val="BodyText"/>
        <w:keepNext/>
        <w:rPr>
          <w:rFonts w:cstheme="majorHAnsi"/>
          <w:color w:val="0099CC"/>
          <w:sz w:val="24"/>
          <w:szCs w:val="24"/>
        </w:rPr>
      </w:pPr>
      <w:r w:rsidRPr="008475F4">
        <w:rPr>
          <w:rFonts w:cstheme="majorHAnsi"/>
          <w:color w:val="0099CC"/>
          <w:sz w:val="24"/>
          <w:szCs w:val="24"/>
        </w:rPr>
        <w:t xml:space="preserve">Nomination and </w:t>
      </w:r>
      <w:r>
        <w:rPr>
          <w:rFonts w:cstheme="majorHAnsi"/>
          <w:color w:val="0099CC"/>
          <w:sz w:val="24"/>
          <w:szCs w:val="24"/>
        </w:rPr>
        <w:t>S</w:t>
      </w:r>
      <w:r w:rsidRPr="008475F4">
        <w:rPr>
          <w:rFonts w:cstheme="majorHAnsi"/>
          <w:color w:val="0099CC"/>
          <w:sz w:val="24"/>
          <w:szCs w:val="24"/>
        </w:rPr>
        <w:t xml:space="preserve">cheduling </w:t>
      </w:r>
      <w:r>
        <w:rPr>
          <w:rFonts w:cstheme="majorHAnsi"/>
          <w:color w:val="0099CC"/>
          <w:sz w:val="24"/>
          <w:szCs w:val="24"/>
        </w:rPr>
        <w:t>R</w:t>
      </w:r>
      <w:r w:rsidRPr="008475F4">
        <w:rPr>
          <w:rFonts w:cstheme="majorHAnsi"/>
          <w:color w:val="0099CC"/>
          <w:sz w:val="24"/>
          <w:szCs w:val="24"/>
        </w:rPr>
        <w:t xml:space="preserve">ecords </w:t>
      </w:r>
      <w:r>
        <w:rPr>
          <w:rFonts w:cstheme="majorHAnsi"/>
          <w:color w:val="0099CC"/>
          <w:sz w:val="24"/>
          <w:szCs w:val="24"/>
        </w:rPr>
        <w:t>G</w:t>
      </w:r>
      <w:r w:rsidRPr="008475F4">
        <w:rPr>
          <w:rFonts w:cstheme="majorHAnsi"/>
          <w:color w:val="0099CC"/>
          <w:sz w:val="24"/>
          <w:szCs w:val="24"/>
        </w:rPr>
        <w:t>uidelines</w:t>
      </w:r>
    </w:p>
    <w:p w:rsidR="00481944" w:rsidRPr="008475F4" w:rsidRDefault="00481944" w:rsidP="00481944">
      <w:pPr>
        <w:autoSpaceDE w:val="0"/>
        <w:autoSpaceDN w:val="0"/>
        <w:adjustRightInd w:val="0"/>
        <w:spacing w:before="120" w:after="120"/>
        <w:rPr>
          <w:rFonts w:asciiTheme="majorHAnsi" w:hAnsiTheme="majorHAnsi" w:cstheme="majorHAnsi"/>
        </w:rPr>
      </w:pPr>
      <w:r>
        <w:rPr>
          <w:rFonts w:asciiTheme="majorHAnsi" w:hAnsiTheme="majorHAnsi" w:cstheme="majorHAnsi"/>
        </w:rPr>
        <w:t xml:space="preserve">Auction </w:t>
      </w:r>
      <w:r w:rsidRPr="008475F4">
        <w:rPr>
          <w:rFonts w:asciiTheme="majorHAnsi" w:hAnsiTheme="majorHAnsi" w:cstheme="majorHAnsi"/>
        </w:rPr>
        <w:t>facility operator</w:t>
      </w:r>
      <w:r>
        <w:rPr>
          <w:rFonts w:asciiTheme="majorHAnsi" w:hAnsiTheme="majorHAnsi" w:cstheme="majorHAnsi"/>
        </w:rPr>
        <w:t>s</w:t>
      </w:r>
      <w:r w:rsidRPr="008475F4">
        <w:rPr>
          <w:rFonts w:asciiTheme="majorHAnsi" w:hAnsiTheme="majorHAnsi" w:cstheme="majorHAnsi"/>
        </w:rPr>
        <w:t xml:space="preserve"> </w:t>
      </w:r>
      <w:r>
        <w:rPr>
          <w:rFonts w:asciiTheme="majorHAnsi" w:hAnsiTheme="majorHAnsi" w:cstheme="majorHAnsi"/>
        </w:rPr>
        <w:t>will</w:t>
      </w:r>
      <w:r w:rsidR="000F46BC">
        <w:rPr>
          <w:rFonts w:asciiTheme="majorHAnsi" w:hAnsiTheme="majorHAnsi" w:cstheme="majorHAnsi"/>
        </w:rPr>
        <w:t>, as noted above,</w:t>
      </w:r>
      <w:r>
        <w:rPr>
          <w:rFonts w:asciiTheme="majorHAnsi" w:hAnsiTheme="majorHAnsi" w:cstheme="majorHAnsi"/>
        </w:rPr>
        <w:t xml:space="preserve"> be required to </w:t>
      </w:r>
      <w:r w:rsidRPr="008475F4">
        <w:rPr>
          <w:rFonts w:asciiTheme="majorHAnsi" w:hAnsiTheme="majorHAnsi" w:cstheme="majorHAnsi"/>
        </w:rPr>
        <w:t>make and maintain nomination</w:t>
      </w:r>
      <w:r w:rsidR="000F46BC">
        <w:rPr>
          <w:rFonts w:asciiTheme="majorHAnsi" w:hAnsiTheme="majorHAnsi" w:cstheme="majorHAnsi"/>
        </w:rPr>
        <w:t>, renomination</w:t>
      </w:r>
      <w:r w:rsidRPr="008475F4">
        <w:rPr>
          <w:rFonts w:asciiTheme="majorHAnsi" w:hAnsiTheme="majorHAnsi" w:cstheme="majorHAnsi"/>
        </w:rPr>
        <w:t xml:space="preserve"> and scheduling records </w:t>
      </w:r>
      <w:r w:rsidR="000F46BC">
        <w:rPr>
          <w:rFonts w:asciiTheme="majorHAnsi" w:hAnsiTheme="majorHAnsi" w:cstheme="majorHAnsi"/>
        </w:rPr>
        <w:t xml:space="preserve">for </w:t>
      </w:r>
      <w:r w:rsidRPr="008475F4">
        <w:rPr>
          <w:rFonts w:asciiTheme="majorHAnsi" w:hAnsiTheme="majorHAnsi" w:cstheme="majorHAnsi"/>
        </w:rPr>
        <w:t xml:space="preserve">each of </w:t>
      </w:r>
      <w:r w:rsidR="000F46BC">
        <w:rPr>
          <w:rFonts w:asciiTheme="majorHAnsi" w:hAnsiTheme="majorHAnsi" w:cstheme="majorHAnsi"/>
        </w:rPr>
        <w:t xml:space="preserve">their </w:t>
      </w:r>
      <w:r w:rsidRPr="008475F4">
        <w:rPr>
          <w:rFonts w:asciiTheme="majorHAnsi" w:hAnsiTheme="majorHAnsi" w:cstheme="majorHAnsi"/>
        </w:rPr>
        <w:t xml:space="preserve">auction facilities, recording: </w:t>
      </w:r>
    </w:p>
    <w:p w:rsidR="00481944" w:rsidRPr="00882ED1" w:rsidRDefault="00481944" w:rsidP="00481944">
      <w:pPr>
        <w:pStyle w:val="ListBullet"/>
        <w:numPr>
          <w:ilvl w:val="0"/>
          <w:numId w:val="14"/>
        </w:numPr>
        <w:rPr>
          <w:rFonts w:asciiTheme="majorHAnsi" w:eastAsiaTheme="minorEastAsia" w:hAnsiTheme="majorHAnsi" w:cstheme="majorHAnsi"/>
        </w:rPr>
      </w:pPr>
      <w:r w:rsidRPr="00882ED1">
        <w:rPr>
          <w:rFonts w:asciiTheme="majorHAnsi" w:eastAsiaTheme="minorEastAsia" w:hAnsiTheme="majorHAnsi" w:cstheme="majorHAnsi"/>
        </w:rPr>
        <w:t xml:space="preserve">day-ahead nominations for </w:t>
      </w:r>
      <w:r w:rsidR="00632F7E">
        <w:rPr>
          <w:rFonts w:asciiTheme="majorHAnsi" w:eastAsiaTheme="minorEastAsia" w:hAnsiTheme="majorHAnsi" w:cstheme="majorHAnsi"/>
        </w:rPr>
        <w:t xml:space="preserve">the </w:t>
      </w:r>
      <w:r w:rsidRPr="00882ED1">
        <w:rPr>
          <w:rFonts w:asciiTheme="majorHAnsi" w:eastAsiaTheme="minorEastAsia" w:hAnsiTheme="majorHAnsi" w:cstheme="majorHAnsi"/>
        </w:rPr>
        <w:t>use of the auction facility (including deemed or default nominations) made prior to the nomination cut-off time</w:t>
      </w:r>
      <w:r>
        <w:rPr>
          <w:rFonts w:asciiTheme="majorHAnsi" w:eastAsiaTheme="minorEastAsia" w:hAnsiTheme="majorHAnsi" w:cstheme="majorHAnsi"/>
        </w:rPr>
        <w:t xml:space="preserve">, </w:t>
      </w:r>
      <w:r w:rsidR="004127D5">
        <w:rPr>
          <w:rFonts w:asciiTheme="majorHAnsi" w:eastAsiaTheme="minorEastAsia" w:hAnsiTheme="majorHAnsi" w:cstheme="majorHAnsi"/>
        </w:rPr>
        <w:t xml:space="preserve">which will include information on </w:t>
      </w:r>
      <w:r>
        <w:rPr>
          <w:rFonts w:asciiTheme="majorHAnsi" w:eastAsiaTheme="minorEastAsia" w:hAnsiTheme="majorHAnsi" w:cstheme="majorHAnsi"/>
        </w:rPr>
        <w:t xml:space="preserve">the </w:t>
      </w:r>
      <w:r w:rsidRPr="00882ED1">
        <w:rPr>
          <w:rFonts w:asciiTheme="majorHAnsi" w:eastAsiaTheme="minorEastAsia" w:hAnsiTheme="majorHAnsi" w:cstheme="majorHAnsi"/>
        </w:rPr>
        <w:t xml:space="preserve">quantity </w:t>
      </w:r>
      <w:r>
        <w:rPr>
          <w:rFonts w:asciiTheme="majorHAnsi" w:eastAsiaTheme="minorEastAsia" w:hAnsiTheme="majorHAnsi" w:cstheme="majorHAnsi"/>
        </w:rPr>
        <w:t xml:space="preserve">nominated </w:t>
      </w:r>
      <w:r w:rsidRPr="00882ED1">
        <w:rPr>
          <w:rFonts w:asciiTheme="majorHAnsi" w:eastAsiaTheme="minorEastAsia" w:hAnsiTheme="majorHAnsi" w:cstheme="majorHAnsi"/>
        </w:rPr>
        <w:t xml:space="preserve">and the time the day-ahead nomination was made; </w:t>
      </w:r>
    </w:p>
    <w:p w:rsidR="00481944" w:rsidRPr="00882ED1" w:rsidRDefault="00481944" w:rsidP="00481944">
      <w:pPr>
        <w:pStyle w:val="ListBullet"/>
        <w:numPr>
          <w:ilvl w:val="0"/>
          <w:numId w:val="14"/>
        </w:numPr>
        <w:rPr>
          <w:rFonts w:asciiTheme="majorHAnsi" w:eastAsiaTheme="minorEastAsia" w:hAnsiTheme="majorHAnsi" w:cstheme="majorHAnsi"/>
        </w:rPr>
      </w:pPr>
      <w:r w:rsidRPr="00882ED1">
        <w:rPr>
          <w:rFonts w:asciiTheme="majorHAnsi" w:eastAsiaTheme="minorEastAsia" w:hAnsiTheme="majorHAnsi" w:cstheme="majorHAnsi"/>
        </w:rPr>
        <w:t xml:space="preserve">renominations </w:t>
      </w:r>
      <w:r>
        <w:rPr>
          <w:rFonts w:asciiTheme="majorHAnsi" w:eastAsiaTheme="minorEastAsia" w:hAnsiTheme="majorHAnsi" w:cstheme="majorHAnsi"/>
        </w:rPr>
        <w:t xml:space="preserve">that occur following nomination cut-off time, </w:t>
      </w:r>
      <w:r w:rsidR="004127D5">
        <w:rPr>
          <w:rFonts w:asciiTheme="majorHAnsi" w:eastAsiaTheme="minorEastAsia" w:hAnsiTheme="majorHAnsi" w:cstheme="majorHAnsi"/>
        </w:rPr>
        <w:t xml:space="preserve">which will include information on </w:t>
      </w:r>
      <w:r>
        <w:rPr>
          <w:rFonts w:asciiTheme="majorHAnsi" w:eastAsiaTheme="minorEastAsia" w:hAnsiTheme="majorHAnsi" w:cstheme="majorHAnsi"/>
        </w:rPr>
        <w:t xml:space="preserve">the </w:t>
      </w:r>
      <w:r w:rsidRPr="00882ED1">
        <w:rPr>
          <w:rFonts w:asciiTheme="majorHAnsi" w:eastAsiaTheme="minorEastAsia" w:hAnsiTheme="majorHAnsi" w:cstheme="majorHAnsi"/>
        </w:rPr>
        <w:t xml:space="preserve">quantity </w:t>
      </w:r>
      <w:r>
        <w:rPr>
          <w:rFonts w:asciiTheme="majorHAnsi" w:eastAsiaTheme="minorEastAsia" w:hAnsiTheme="majorHAnsi" w:cstheme="majorHAnsi"/>
        </w:rPr>
        <w:t xml:space="preserve">renominated </w:t>
      </w:r>
      <w:r w:rsidRPr="00882ED1">
        <w:rPr>
          <w:rFonts w:asciiTheme="majorHAnsi" w:eastAsiaTheme="minorEastAsia" w:hAnsiTheme="majorHAnsi" w:cstheme="majorHAnsi"/>
        </w:rPr>
        <w:t>and the time the renomination was made; and</w:t>
      </w:r>
    </w:p>
    <w:p w:rsidR="00481944" w:rsidRPr="00882ED1" w:rsidRDefault="00481944" w:rsidP="00481944">
      <w:pPr>
        <w:pStyle w:val="ListBullet"/>
        <w:numPr>
          <w:ilvl w:val="0"/>
          <w:numId w:val="14"/>
        </w:numPr>
        <w:rPr>
          <w:rFonts w:asciiTheme="majorHAnsi" w:eastAsiaTheme="minorEastAsia" w:hAnsiTheme="majorHAnsi" w:cstheme="majorHAnsi"/>
        </w:rPr>
      </w:pPr>
      <w:r w:rsidRPr="00882ED1">
        <w:rPr>
          <w:rFonts w:asciiTheme="majorHAnsi" w:eastAsiaTheme="minorEastAsia" w:hAnsiTheme="majorHAnsi" w:cstheme="majorHAnsi"/>
        </w:rPr>
        <w:t>the scheduled quantity for each service provided by means of the facility.</w:t>
      </w:r>
    </w:p>
    <w:p w:rsidR="00481944" w:rsidRDefault="00481944" w:rsidP="00481944">
      <w:pPr>
        <w:pStyle w:val="BodyText"/>
      </w:pPr>
      <w:r>
        <w:t>These records must be maintained for a period of five years.</w:t>
      </w:r>
    </w:p>
    <w:p w:rsidR="00481944" w:rsidRDefault="00481944" w:rsidP="00481944">
      <w:pPr>
        <w:pStyle w:val="BodyText"/>
      </w:pPr>
      <w:r w:rsidRPr="008475F4">
        <w:t xml:space="preserve">The AER’s guideline must set out the matters to be included in </w:t>
      </w:r>
      <w:r w:rsidR="00632F7E">
        <w:t xml:space="preserve">the </w:t>
      </w:r>
      <w:r w:rsidRPr="008475F4">
        <w:t>nomination</w:t>
      </w:r>
      <w:r w:rsidR="004127D5">
        <w:t>, renomination</w:t>
      </w:r>
      <w:r w:rsidRPr="008475F4">
        <w:t xml:space="preserve"> and scheduling records and the manner in which the records are to be made and kept. The guidelines must provide for the nomination</w:t>
      </w:r>
      <w:r w:rsidR="004127D5">
        <w:t>, renomination</w:t>
      </w:r>
      <w:r w:rsidRPr="008475F4">
        <w:t xml:space="preserve"> and scheduling records to separately record the information for each gas day, </w:t>
      </w:r>
      <w:r w:rsidR="004127D5">
        <w:t>shipper</w:t>
      </w:r>
      <w:r w:rsidRPr="008475F4">
        <w:t>, auction facility and service.</w:t>
      </w:r>
      <w:r>
        <w:t xml:space="preserve"> </w:t>
      </w:r>
      <w:r w:rsidRPr="008475F4">
        <w:t xml:space="preserve">The guidelines applicable during the </w:t>
      </w:r>
      <w:r>
        <w:t xml:space="preserve">first </w:t>
      </w:r>
      <w:r w:rsidRPr="008475F4">
        <w:t>two year</w:t>
      </w:r>
      <w:r>
        <w:t>s,</w:t>
      </w:r>
      <w:r w:rsidRPr="008475F4">
        <w:t xml:space="preserve"> must </w:t>
      </w:r>
      <w:r>
        <w:t xml:space="preserve">also </w:t>
      </w:r>
      <w:r w:rsidRPr="008475F4">
        <w:t>provide for the separate identification of</w:t>
      </w:r>
      <w:r>
        <w:t>:</w:t>
      </w:r>
      <w:r w:rsidRPr="008475F4">
        <w:t xml:space="preserve"> </w:t>
      </w:r>
    </w:p>
    <w:p w:rsidR="00481944" w:rsidRDefault="00481944" w:rsidP="00481944">
      <w:pPr>
        <w:pStyle w:val="ListBullet"/>
      </w:pPr>
      <w:r w:rsidRPr="008475F4">
        <w:t>each transitional firm quantity</w:t>
      </w:r>
      <w:r>
        <w:t xml:space="preserve"> and the </w:t>
      </w:r>
      <w:r w:rsidRPr="008475F4">
        <w:t xml:space="preserve">market generating unit </w:t>
      </w:r>
      <w:r>
        <w:t xml:space="preserve">to which </w:t>
      </w:r>
      <w:r w:rsidRPr="008475F4">
        <w:t>the transitional firm quantity was supplied</w:t>
      </w:r>
      <w:r>
        <w:t>; and</w:t>
      </w:r>
    </w:p>
    <w:p w:rsidR="00481944" w:rsidRPr="008475F4" w:rsidRDefault="00481944" w:rsidP="00481944">
      <w:pPr>
        <w:pStyle w:val="ListBullet"/>
      </w:pPr>
      <w:r w:rsidRPr="008475F4">
        <w:t xml:space="preserve">any renomination </w:t>
      </w:r>
      <w:r>
        <w:t xml:space="preserve">of the transitional firm service that occurred </w:t>
      </w:r>
      <w:r w:rsidRPr="008475F4">
        <w:t>after the nomination cut-off time that reduced the transitional firm quantity</w:t>
      </w:r>
      <w:r w:rsidR="004127D5">
        <w:t>,</w:t>
      </w:r>
      <w:r w:rsidRPr="008475F4">
        <w:t xml:space="preserve"> or resulted in any part of the transitional firm quantity used in the calculation of an auction quantity limit being supplied other than:</w:t>
      </w:r>
    </w:p>
    <w:p w:rsidR="00481944" w:rsidRPr="00EF1072" w:rsidRDefault="00481944" w:rsidP="00481944">
      <w:pPr>
        <w:pStyle w:val="ListBullet2"/>
        <w:numPr>
          <w:ilvl w:val="0"/>
          <w:numId w:val="24"/>
        </w:numPr>
        <w:rPr>
          <w:rFonts w:asciiTheme="majorHAnsi" w:hAnsiTheme="majorHAnsi" w:cstheme="majorHAnsi"/>
          <w:lang w:eastAsia="fr-CA"/>
        </w:rPr>
      </w:pPr>
      <w:r w:rsidRPr="00EF1072">
        <w:rPr>
          <w:rFonts w:asciiTheme="majorHAnsi" w:hAnsiTheme="majorHAnsi" w:cstheme="majorHAnsi"/>
          <w:lang w:eastAsia="fr-CA"/>
        </w:rPr>
        <w:t>for consumption by a market generating unit; or</w:t>
      </w:r>
    </w:p>
    <w:p w:rsidR="00481944" w:rsidRDefault="004127D5" w:rsidP="00481944">
      <w:pPr>
        <w:pStyle w:val="ListBullet2"/>
        <w:numPr>
          <w:ilvl w:val="0"/>
          <w:numId w:val="24"/>
        </w:numPr>
        <w:rPr>
          <w:rFonts w:asciiTheme="majorHAnsi" w:hAnsiTheme="majorHAnsi" w:cstheme="majorHAnsi"/>
          <w:lang w:eastAsia="fr-CA"/>
        </w:rPr>
      </w:pPr>
      <w:r>
        <w:rPr>
          <w:rFonts w:asciiTheme="majorHAnsi" w:hAnsiTheme="majorHAnsi" w:cstheme="majorHAnsi"/>
          <w:lang w:eastAsia="fr-CA"/>
        </w:rPr>
        <w:t xml:space="preserve">to </w:t>
      </w:r>
      <w:r w:rsidR="00481944" w:rsidRPr="00EF1072">
        <w:rPr>
          <w:rFonts w:asciiTheme="majorHAnsi" w:hAnsiTheme="majorHAnsi" w:cstheme="majorHAnsi"/>
          <w:lang w:eastAsia="fr-CA"/>
        </w:rPr>
        <w:t xml:space="preserve">another transportation facility for onward transport </w:t>
      </w:r>
      <w:r>
        <w:rPr>
          <w:rFonts w:asciiTheme="majorHAnsi" w:hAnsiTheme="majorHAnsi" w:cstheme="majorHAnsi"/>
          <w:lang w:eastAsia="fr-CA"/>
        </w:rPr>
        <w:t xml:space="preserve">to </w:t>
      </w:r>
      <w:r w:rsidR="00481944" w:rsidRPr="00EF1072">
        <w:rPr>
          <w:rFonts w:asciiTheme="majorHAnsi" w:hAnsiTheme="majorHAnsi" w:cstheme="majorHAnsi"/>
          <w:lang w:eastAsia="fr-CA"/>
        </w:rPr>
        <w:t>a market generating unit.</w:t>
      </w:r>
    </w:p>
    <w:p w:rsidR="00481944" w:rsidRDefault="00481944" w:rsidP="00481944">
      <w:pPr>
        <w:pStyle w:val="BodyText"/>
      </w:pPr>
      <w:r w:rsidRPr="008475F4">
        <w:t xml:space="preserve">In developing </w:t>
      </w:r>
      <w:r w:rsidR="004127D5">
        <w:t xml:space="preserve">this </w:t>
      </w:r>
      <w:r w:rsidRPr="008475F4">
        <w:t>guideline</w:t>
      </w:r>
      <w:r>
        <w:t>,</w:t>
      </w:r>
      <w:r w:rsidRPr="008475F4">
        <w:t xml:space="preserve"> the AER must have regard to the need for </w:t>
      </w:r>
      <w:r>
        <w:t xml:space="preserve">the </w:t>
      </w:r>
      <w:r w:rsidRPr="008475F4">
        <w:t xml:space="preserve">costs </w:t>
      </w:r>
      <w:r>
        <w:t xml:space="preserve">that are </w:t>
      </w:r>
      <w:r w:rsidRPr="008475F4">
        <w:t>likely to be incurred by facility operators in complying with the guidelines</w:t>
      </w:r>
      <w:r>
        <w:t>,</w:t>
      </w:r>
      <w:r w:rsidRPr="008475F4">
        <w:t xml:space="preserve"> to be proportionate and appropriate.</w:t>
      </w:r>
    </w:p>
    <w:p w:rsidR="00481944" w:rsidRPr="008475F4" w:rsidRDefault="00481944" w:rsidP="00481944">
      <w:pPr>
        <w:pStyle w:val="BodyText"/>
        <w:keepNext/>
        <w:rPr>
          <w:rFonts w:cstheme="majorHAnsi"/>
          <w:color w:val="0099CC"/>
          <w:sz w:val="24"/>
          <w:szCs w:val="24"/>
        </w:rPr>
      </w:pPr>
      <w:r w:rsidRPr="008475F4">
        <w:rPr>
          <w:rFonts w:cstheme="majorHAnsi"/>
          <w:color w:val="0099CC"/>
          <w:sz w:val="24"/>
          <w:szCs w:val="24"/>
        </w:rPr>
        <w:t xml:space="preserve">Renomination </w:t>
      </w:r>
      <w:r>
        <w:rPr>
          <w:rFonts w:cstheme="majorHAnsi"/>
          <w:color w:val="0099CC"/>
          <w:sz w:val="24"/>
          <w:szCs w:val="24"/>
        </w:rPr>
        <w:t>R</w:t>
      </w:r>
      <w:r w:rsidRPr="008475F4">
        <w:rPr>
          <w:rFonts w:cstheme="majorHAnsi"/>
          <w:color w:val="0099CC"/>
          <w:sz w:val="24"/>
          <w:szCs w:val="24"/>
        </w:rPr>
        <w:t xml:space="preserve">ecords </w:t>
      </w:r>
      <w:r>
        <w:rPr>
          <w:rFonts w:cstheme="majorHAnsi"/>
          <w:color w:val="0099CC"/>
          <w:sz w:val="24"/>
          <w:szCs w:val="24"/>
        </w:rPr>
        <w:t>G</w:t>
      </w:r>
      <w:r w:rsidRPr="008475F4">
        <w:rPr>
          <w:rFonts w:cstheme="majorHAnsi"/>
          <w:color w:val="0099CC"/>
          <w:sz w:val="24"/>
          <w:szCs w:val="24"/>
        </w:rPr>
        <w:t>uidelines</w:t>
      </w:r>
    </w:p>
    <w:p w:rsidR="00481944" w:rsidRPr="004127D5" w:rsidRDefault="00481944" w:rsidP="00481944">
      <w:pPr>
        <w:autoSpaceDE w:val="0"/>
        <w:autoSpaceDN w:val="0"/>
        <w:adjustRightInd w:val="0"/>
        <w:spacing w:before="120" w:after="120"/>
        <w:rPr>
          <w:rFonts w:asciiTheme="majorHAnsi" w:hAnsiTheme="majorHAnsi" w:cstheme="majorHAnsi"/>
        </w:rPr>
      </w:pPr>
      <w:r w:rsidRPr="004127D5">
        <w:rPr>
          <w:rFonts w:asciiTheme="majorHAnsi" w:hAnsiTheme="majorHAnsi" w:cstheme="majorHAnsi"/>
        </w:rPr>
        <w:t xml:space="preserve">A shipper using an auction facility that makes a material renomination </w:t>
      </w:r>
      <w:r w:rsidR="004127D5">
        <w:rPr>
          <w:rFonts w:asciiTheme="majorHAnsi" w:hAnsiTheme="majorHAnsi" w:cstheme="majorHAnsi"/>
        </w:rPr>
        <w:t xml:space="preserve">after the nomination cut-off time </w:t>
      </w:r>
      <w:r w:rsidR="004127D5" w:rsidRPr="004127D5">
        <w:rPr>
          <w:rFonts w:asciiTheme="majorHAnsi" w:hAnsiTheme="majorHAnsi" w:cstheme="majorHAnsi"/>
        </w:rPr>
        <w:t xml:space="preserve">for a transportation service that is taken into account in the calculation of an auction quantity limit (i.e. a firm service or transitional firm service) or an auction service, </w:t>
      </w:r>
      <w:r w:rsidRPr="004127D5">
        <w:rPr>
          <w:rFonts w:asciiTheme="majorHAnsi" w:hAnsiTheme="majorHAnsi" w:cstheme="majorHAnsi"/>
        </w:rPr>
        <w:t>must make a contemporaneous record in relation to the renomination</w:t>
      </w:r>
      <w:r w:rsidR="004127D5" w:rsidRPr="004127D5">
        <w:rPr>
          <w:rFonts w:asciiTheme="majorHAnsi" w:hAnsiTheme="majorHAnsi" w:cstheme="majorHAnsi"/>
        </w:rPr>
        <w:t xml:space="preserve">. The contemporaneous record </w:t>
      </w:r>
      <w:r w:rsidRPr="004127D5">
        <w:rPr>
          <w:rFonts w:asciiTheme="majorHAnsi" w:hAnsiTheme="majorHAnsi" w:cstheme="majorHAnsi"/>
        </w:rPr>
        <w:t xml:space="preserve">must </w:t>
      </w:r>
      <w:r w:rsidR="004127D5" w:rsidRPr="004127D5">
        <w:rPr>
          <w:rFonts w:asciiTheme="majorHAnsi" w:hAnsiTheme="majorHAnsi" w:cstheme="majorHAnsi"/>
        </w:rPr>
        <w:t>specify</w:t>
      </w:r>
      <w:r w:rsidRPr="004127D5">
        <w:rPr>
          <w:rFonts w:asciiTheme="majorHAnsi" w:hAnsiTheme="majorHAnsi" w:cstheme="majorHAnsi"/>
        </w:rPr>
        <w:t>:</w:t>
      </w:r>
    </w:p>
    <w:p w:rsidR="00481944" w:rsidRPr="00882ED1" w:rsidRDefault="00481944" w:rsidP="00481944">
      <w:pPr>
        <w:pStyle w:val="ListBullet"/>
        <w:numPr>
          <w:ilvl w:val="0"/>
          <w:numId w:val="14"/>
        </w:numPr>
        <w:rPr>
          <w:rFonts w:asciiTheme="majorHAnsi" w:eastAsiaTheme="minorEastAsia" w:hAnsiTheme="majorHAnsi" w:cstheme="majorHAnsi"/>
        </w:rPr>
      </w:pPr>
      <w:r w:rsidRPr="00882ED1">
        <w:rPr>
          <w:rFonts w:asciiTheme="majorHAnsi" w:eastAsiaTheme="minorEastAsia" w:hAnsiTheme="majorHAnsi" w:cstheme="majorHAnsi"/>
        </w:rPr>
        <w:t>the material conditions and circumstances giving rise to the renomination;</w:t>
      </w:r>
    </w:p>
    <w:p w:rsidR="00481944" w:rsidRPr="00882ED1" w:rsidRDefault="00481944" w:rsidP="00481944">
      <w:pPr>
        <w:pStyle w:val="ListBullet"/>
        <w:numPr>
          <w:ilvl w:val="0"/>
          <w:numId w:val="14"/>
        </w:numPr>
        <w:rPr>
          <w:rFonts w:asciiTheme="majorHAnsi" w:eastAsiaTheme="minorEastAsia" w:hAnsiTheme="majorHAnsi" w:cstheme="majorHAnsi"/>
        </w:rPr>
      </w:pPr>
      <w:r w:rsidRPr="00882ED1">
        <w:rPr>
          <w:rFonts w:asciiTheme="majorHAnsi" w:eastAsiaTheme="minorEastAsia" w:hAnsiTheme="majorHAnsi" w:cstheme="majorHAnsi"/>
        </w:rPr>
        <w:lastRenderedPageBreak/>
        <w:t xml:space="preserve">the </w:t>
      </w:r>
      <w:r>
        <w:rPr>
          <w:rFonts w:asciiTheme="majorHAnsi" w:eastAsiaTheme="minorEastAsia" w:hAnsiTheme="majorHAnsi" w:cstheme="majorHAnsi"/>
        </w:rPr>
        <w:t xml:space="preserve">shipper’s </w:t>
      </w:r>
      <w:r w:rsidRPr="00882ED1">
        <w:rPr>
          <w:rFonts w:asciiTheme="majorHAnsi" w:eastAsiaTheme="minorEastAsia" w:hAnsiTheme="majorHAnsi" w:cstheme="majorHAnsi"/>
        </w:rPr>
        <w:t>reasons for making the renomination, which must be verifiable and specific;</w:t>
      </w:r>
    </w:p>
    <w:p w:rsidR="00481944" w:rsidRPr="00882ED1" w:rsidRDefault="00481944" w:rsidP="00481944">
      <w:pPr>
        <w:pStyle w:val="ListBullet"/>
        <w:numPr>
          <w:ilvl w:val="0"/>
          <w:numId w:val="14"/>
        </w:numPr>
        <w:rPr>
          <w:rFonts w:asciiTheme="majorHAnsi" w:eastAsiaTheme="minorEastAsia" w:hAnsiTheme="majorHAnsi" w:cstheme="majorHAnsi"/>
        </w:rPr>
      </w:pPr>
      <w:r w:rsidRPr="00882ED1">
        <w:rPr>
          <w:rFonts w:asciiTheme="majorHAnsi" w:eastAsiaTheme="minorEastAsia" w:hAnsiTheme="majorHAnsi" w:cstheme="majorHAnsi"/>
        </w:rPr>
        <w:t>the time at which the event or other occurrence giving rise to the renomination occurred; and</w:t>
      </w:r>
    </w:p>
    <w:p w:rsidR="00481944" w:rsidRPr="00EF1072" w:rsidRDefault="00481944" w:rsidP="00481944">
      <w:pPr>
        <w:pStyle w:val="ListBullet"/>
        <w:numPr>
          <w:ilvl w:val="0"/>
          <w:numId w:val="14"/>
        </w:numPr>
        <w:autoSpaceDE w:val="0"/>
        <w:autoSpaceDN w:val="0"/>
        <w:adjustRightInd w:val="0"/>
        <w:rPr>
          <w:rFonts w:asciiTheme="majorHAnsi" w:hAnsiTheme="majorHAnsi" w:cstheme="majorHAnsi"/>
        </w:rPr>
      </w:pPr>
      <w:r w:rsidRPr="00882ED1">
        <w:rPr>
          <w:rFonts w:asciiTheme="majorHAnsi" w:eastAsiaTheme="minorEastAsia" w:hAnsiTheme="majorHAnsi" w:cstheme="majorHAnsi"/>
        </w:rPr>
        <w:t xml:space="preserve">the time at which the </w:t>
      </w:r>
      <w:r>
        <w:rPr>
          <w:rFonts w:asciiTheme="majorHAnsi" w:eastAsiaTheme="minorEastAsia" w:hAnsiTheme="majorHAnsi" w:cstheme="majorHAnsi"/>
        </w:rPr>
        <w:t xml:space="preserve">shipper </w:t>
      </w:r>
      <w:r w:rsidRPr="00882ED1">
        <w:rPr>
          <w:rFonts w:asciiTheme="majorHAnsi" w:eastAsiaTheme="minorEastAsia" w:hAnsiTheme="majorHAnsi" w:cstheme="majorHAnsi"/>
        </w:rPr>
        <w:t>first became aware of the event or other occurrence.</w:t>
      </w:r>
    </w:p>
    <w:p w:rsidR="00481944" w:rsidRPr="002D55B1" w:rsidRDefault="00481944" w:rsidP="00481944">
      <w:pPr>
        <w:pStyle w:val="BodyText"/>
        <w:rPr>
          <w:rFonts w:asciiTheme="majorHAnsi" w:hAnsiTheme="majorHAnsi" w:cstheme="majorHAnsi"/>
        </w:rPr>
      </w:pPr>
      <w:r>
        <w:t>These records must be maintained for a period of five years.</w:t>
      </w:r>
      <w:r w:rsidRPr="002D55B1">
        <w:rPr>
          <w:rFonts w:asciiTheme="majorHAnsi" w:hAnsiTheme="majorHAnsi" w:cstheme="majorHAnsi"/>
        </w:rPr>
        <w:t xml:space="preserve"> </w:t>
      </w:r>
    </w:p>
    <w:p w:rsidR="00481944" w:rsidRPr="008475F4" w:rsidRDefault="00481944" w:rsidP="00481944">
      <w:pPr>
        <w:pStyle w:val="BodyText"/>
      </w:pPr>
      <w:r w:rsidRPr="008475F4">
        <w:t xml:space="preserve">A renomination </w:t>
      </w:r>
      <w:r w:rsidR="004127D5">
        <w:t xml:space="preserve">will be considered </w:t>
      </w:r>
      <w:r>
        <w:t>‘</w:t>
      </w:r>
      <w:r w:rsidRPr="008475F4">
        <w:t>material</w:t>
      </w:r>
      <w:r>
        <w:t>’</w:t>
      </w:r>
      <w:r w:rsidRPr="008475F4">
        <w:t xml:space="preserve"> if the renomination, either alone or when taken together with other renominations </w:t>
      </w:r>
      <w:r>
        <w:t xml:space="preserve">by </w:t>
      </w:r>
      <w:r w:rsidRPr="008475F4">
        <w:t xml:space="preserve">the </w:t>
      </w:r>
      <w:r>
        <w:t xml:space="preserve">shipper </w:t>
      </w:r>
      <w:r w:rsidRPr="008475F4">
        <w:t>for that service (whether before or after the renomination)</w:t>
      </w:r>
      <w:r w:rsidR="004127D5">
        <w:t>,</w:t>
      </w:r>
      <w:r w:rsidRPr="008475F4">
        <w:t xml:space="preserve"> results in a variation of more than 10% to</w:t>
      </w:r>
      <w:r w:rsidR="004127D5">
        <w:t xml:space="preserve"> the following</w:t>
      </w:r>
      <w:r w:rsidRPr="008475F4">
        <w:t>:</w:t>
      </w:r>
    </w:p>
    <w:p w:rsidR="00481944" w:rsidRPr="00882ED1" w:rsidRDefault="00481944" w:rsidP="00481944">
      <w:pPr>
        <w:pStyle w:val="ListBullet"/>
        <w:numPr>
          <w:ilvl w:val="0"/>
          <w:numId w:val="14"/>
        </w:numPr>
        <w:rPr>
          <w:rFonts w:asciiTheme="majorHAnsi" w:eastAsiaTheme="minorEastAsia" w:hAnsiTheme="majorHAnsi" w:cstheme="majorHAnsi"/>
        </w:rPr>
      </w:pPr>
      <w:r w:rsidRPr="00882ED1">
        <w:rPr>
          <w:rFonts w:asciiTheme="majorHAnsi" w:eastAsiaTheme="minorEastAsia" w:hAnsiTheme="majorHAnsi" w:cstheme="majorHAnsi"/>
        </w:rPr>
        <w:t xml:space="preserve">the last day-ahead nomination </w:t>
      </w:r>
      <w:r w:rsidR="00F702E4">
        <w:rPr>
          <w:rFonts w:asciiTheme="majorHAnsi" w:eastAsiaTheme="minorEastAsia" w:hAnsiTheme="majorHAnsi" w:cstheme="majorHAnsi"/>
        </w:rPr>
        <w:t xml:space="preserve">received prior to nomination cut-off </w:t>
      </w:r>
      <w:r w:rsidR="004127D5">
        <w:rPr>
          <w:rFonts w:asciiTheme="majorHAnsi" w:eastAsiaTheme="minorEastAsia" w:hAnsiTheme="majorHAnsi" w:cstheme="majorHAnsi"/>
        </w:rPr>
        <w:t xml:space="preserve">for </w:t>
      </w:r>
      <w:r w:rsidR="00F702E4">
        <w:rPr>
          <w:rFonts w:asciiTheme="majorHAnsi" w:eastAsiaTheme="minorEastAsia" w:hAnsiTheme="majorHAnsi" w:cstheme="majorHAnsi"/>
        </w:rPr>
        <w:t>services other than the auction service</w:t>
      </w:r>
      <w:r w:rsidRPr="00882ED1">
        <w:rPr>
          <w:rFonts w:asciiTheme="majorHAnsi" w:eastAsiaTheme="minorEastAsia" w:hAnsiTheme="majorHAnsi" w:cstheme="majorHAnsi"/>
        </w:rPr>
        <w:t xml:space="preserve">; </w:t>
      </w:r>
      <w:r w:rsidR="004127D5">
        <w:rPr>
          <w:rFonts w:asciiTheme="majorHAnsi" w:eastAsiaTheme="minorEastAsia" w:hAnsiTheme="majorHAnsi" w:cstheme="majorHAnsi"/>
        </w:rPr>
        <w:t>or</w:t>
      </w:r>
    </w:p>
    <w:p w:rsidR="00481944" w:rsidRPr="00882ED1" w:rsidRDefault="00481944" w:rsidP="00481944">
      <w:pPr>
        <w:pStyle w:val="ListBullet"/>
        <w:numPr>
          <w:ilvl w:val="0"/>
          <w:numId w:val="14"/>
        </w:numPr>
        <w:rPr>
          <w:rFonts w:asciiTheme="majorHAnsi" w:eastAsiaTheme="minorEastAsia" w:hAnsiTheme="majorHAnsi" w:cstheme="majorHAnsi"/>
        </w:rPr>
      </w:pPr>
      <w:r w:rsidRPr="00882ED1">
        <w:rPr>
          <w:rFonts w:asciiTheme="majorHAnsi" w:eastAsiaTheme="minorEastAsia" w:hAnsiTheme="majorHAnsi" w:cstheme="majorHAnsi"/>
        </w:rPr>
        <w:t xml:space="preserve">the initial nomination for use of the auction service. </w:t>
      </w:r>
    </w:p>
    <w:p w:rsidR="00481944" w:rsidRDefault="00481944" w:rsidP="00481944">
      <w:pPr>
        <w:pStyle w:val="BodyText"/>
      </w:pPr>
      <w:r w:rsidRPr="008475F4">
        <w:t xml:space="preserve">A </w:t>
      </w:r>
      <w:r>
        <w:t xml:space="preserve">shipper </w:t>
      </w:r>
      <w:r w:rsidRPr="008475F4">
        <w:t>must, upon written request from the AER and in accordance with guidelines published by the AER, give the AER information to substantiate and verify the reason for a material renomination (including any record made in accordance with the requirements set out above) as the AER may require from time to time.</w:t>
      </w:r>
    </w:p>
    <w:p w:rsidR="00481944" w:rsidRDefault="00481944" w:rsidP="00481944">
      <w:pPr>
        <w:pStyle w:val="BodyText"/>
      </w:pPr>
      <w:r w:rsidRPr="008475F4">
        <w:t xml:space="preserve">The AER must develop and publish guidelines in relation to requests for information to substantiate and verify the reason for a material renomination. The guidelines must include the amount of detail to be included in the information provided to the AER and procedures for handling claims by </w:t>
      </w:r>
      <w:r>
        <w:t xml:space="preserve">shippers </w:t>
      </w:r>
      <w:r w:rsidRPr="008475F4">
        <w:t xml:space="preserve">that </w:t>
      </w:r>
      <w:r>
        <w:t xml:space="preserve">the </w:t>
      </w:r>
      <w:r w:rsidRPr="008475F4">
        <w:t>information is confidential.</w:t>
      </w:r>
    </w:p>
    <w:p w:rsidR="00F702E4" w:rsidRDefault="00481944" w:rsidP="00481944">
      <w:pPr>
        <w:pStyle w:val="BodyText"/>
      </w:pPr>
      <w:r w:rsidRPr="008475F4">
        <w:t xml:space="preserve">In developing the guidelines, the AER must have regard to the need for </w:t>
      </w:r>
      <w:r>
        <w:t xml:space="preserve">the </w:t>
      </w:r>
      <w:r w:rsidRPr="008475F4">
        <w:t xml:space="preserve">costs </w:t>
      </w:r>
      <w:r w:rsidR="00F702E4">
        <w:t xml:space="preserve">that shippers are </w:t>
      </w:r>
      <w:r w:rsidRPr="008475F4">
        <w:t>likely to incur in complying with the guidelines to be proportionate and appropriate having regard to the need for</w:t>
      </w:r>
      <w:r w:rsidR="00F702E4">
        <w:t>:</w:t>
      </w:r>
      <w:r w:rsidRPr="008475F4">
        <w:t xml:space="preserve"> </w:t>
      </w:r>
    </w:p>
    <w:p w:rsidR="00F702E4" w:rsidRDefault="00481944" w:rsidP="00F702E4">
      <w:pPr>
        <w:pStyle w:val="ListBullet"/>
      </w:pPr>
      <w:r w:rsidRPr="008475F4">
        <w:t>accurate, reliable and timely information about the intended use of capacity for the efficient conduct of the auction</w:t>
      </w:r>
      <w:r w:rsidR="00F702E4">
        <w:t>;</w:t>
      </w:r>
      <w:r w:rsidRPr="008475F4">
        <w:t xml:space="preserve"> and </w:t>
      </w:r>
    </w:p>
    <w:p w:rsidR="00481944" w:rsidRDefault="00481944" w:rsidP="00F702E4">
      <w:pPr>
        <w:pStyle w:val="ListBullet"/>
      </w:pPr>
      <w:r w:rsidRPr="008475F4">
        <w:t xml:space="preserve">the efficient scheduling and use of capacity for all </w:t>
      </w:r>
      <w:r>
        <w:t>shippers</w:t>
      </w:r>
      <w:r w:rsidRPr="008475F4">
        <w:t>.</w:t>
      </w:r>
    </w:p>
    <w:p w:rsidR="00481944" w:rsidRDefault="00481944" w:rsidP="00E55287">
      <w:pPr>
        <w:autoSpaceDE w:val="0"/>
        <w:autoSpaceDN w:val="0"/>
        <w:adjustRightInd w:val="0"/>
        <w:spacing w:before="120" w:after="120"/>
        <w:rPr>
          <w:rFonts w:asciiTheme="majorHAnsi" w:hAnsiTheme="majorHAnsi" w:cstheme="majorHAnsi"/>
        </w:rPr>
      </w:pPr>
    </w:p>
    <w:sectPr w:rsidR="00481944" w:rsidSect="00231DC5">
      <w:headerReference w:type="even" r:id="rId8"/>
      <w:headerReference w:type="default" r:id="rId9"/>
      <w:footerReference w:type="even" r:id="rId10"/>
      <w:footerReference w:type="default" r:id="rId11"/>
      <w:headerReference w:type="first" r:id="rId12"/>
      <w:footerReference w:type="first" r:id="rId13"/>
      <w:pgSz w:w="11906" w:h="16838" w:code="9"/>
      <w:pgMar w:top="2126" w:right="1418" w:bottom="992" w:left="1701" w:header="709" w:footer="6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2B75" w:rsidRDefault="00A72B75" w:rsidP="00256624">
      <w:r>
        <w:separator/>
      </w:r>
    </w:p>
    <w:p w:rsidR="00A72B75" w:rsidRDefault="00A72B75"/>
  </w:endnote>
  <w:endnote w:type="continuationSeparator" w:id="0">
    <w:p w:rsidR="00A72B75" w:rsidRDefault="00A72B75" w:rsidP="00256624">
      <w:r>
        <w:continuationSeparator/>
      </w:r>
    </w:p>
    <w:p w:rsidR="00A72B75" w:rsidRDefault="00A72B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Gautami">
    <w:panose1 w:val="020B0502040204020203"/>
    <w:charset w:val="00"/>
    <w:family w:val="swiss"/>
    <w:pitch w:val="variable"/>
    <w:sig w:usb0="002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D1B" w:rsidRDefault="00A55D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73867402"/>
      <w:docPartObj>
        <w:docPartGallery w:val="Page Numbers (Bottom of Page)"/>
        <w:docPartUnique/>
      </w:docPartObj>
    </w:sdtPr>
    <w:sdtEndPr>
      <w:rPr>
        <w:rFonts w:asciiTheme="majorHAnsi" w:hAnsiTheme="majorHAnsi" w:cstheme="majorHAnsi"/>
        <w:noProof/>
      </w:rPr>
    </w:sdtEndPr>
    <w:sdtContent>
      <w:p w:rsidR="00110744" w:rsidRPr="00EE6048" w:rsidRDefault="00110744" w:rsidP="00757AFC">
        <w:pPr>
          <w:pStyle w:val="Footer"/>
          <w:pBdr>
            <w:top w:val="single" w:sz="4" w:space="1" w:color="0099CC"/>
          </w:pBdr>
          <w:rPr>
            <w:rFonts w:asciiTheme="majorHAnsi" w:hAnsiTheme="majorHAnsi" w:cstheme="majorHAnsi"/>
          </w:rPr>
        </w:pPr>
        <w:r w:rsidRPr="00EE6048">
          <w:rPr>
            <w:rFonts w:asciiTheme="majorHAnsi" w:hAnsiTheme="majorHAnsi" w:cstheme="majorHAnsi"/>
          </w:rPr>
          <w:fldChar w:fldCharType="begin"/>
        </w:r>
        <w:r w:rsidRPr="00EE6048">
          <w:rPr>
            <w:rFonts w:asciiTheme="majorHAnsi" w:hAnsiTheme="majorHAnsi" w:cstheme="majorHAnsi"/>
          </w:rPr>
          <w:instrText xml:space="preserve"> PAGE   \* MERGEFORMAT </w:instrText>
        </w:r>
        <w:r w:rsidRPr="00EE6048">
          <w:rPr>
            <w:rFonts w:asciiTheme="majorHAnsi" w:hAnsiTheme="majorHAnsi" w:cstheme="majorHAnsi"/>
          </w:rPr>
          <w:fldChar w:fldCharType="separate"/>
        </w:r>
        <w:r w:rsidR="00D8529D">
          <w:rPr>
            <w:rFonts w:asciiTheme="majorHAnsi" w:hAnsiTheme="majorHAnsi" w:cstheme="majorHAnsi"/>
            <w:noProof/>
          </w:rPr>
          <w:t>2</w:t>
        </w:r>
        <w:r w:rsidRPr="00EE6048">
          <w:rPr>
            <w:rFonts w:asciiTheme="majorHAnsi" w:hAnsiTheme="majorHAnsi" w:cstheme="majorHAnsi"/>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1937255"/>
      <w:docPartObj>
        <w:docPartGallery w:val="Page Numbers (Bottom of Page)"/>
        <w:docPartUnique/>
      </w:docPartObj>
    </w:sdtPr>
    <w:sdtEndPr>
      <w:rPr>
        <w:rFonts w:asciiTheme="majorHAnsi" w:hAnsiTheme="majorHAnsi" w:cstheme="majorHAnsi"/>
        <w:noProof/>
        <w:sz w:val="16"/>
        <w:szCs w:val="16"/>
      </w:rPr>
    </w:sdtEndPr>
    <w:sdtContent>
      <w:p w:rsidR="00110744" w:rsidRPr="00507332" w:rsidRDefault="00110744" w:rsidP="00507332">
        <w:pPr>
          <w:pStyle w:val="Footer"/>
          <w:pBdr>
            <w:top w:val="single" w:sz="4" w:space="1" w:color="0099CC"/>
          </w:pBdr>
          <w:rPr>
            <w:rFonts w:asciiTheme="majorHAnsi" w:hAnsiTheme="majorHAnsi" w:cstheme="majorHAnsi"/>
            <w:sz w:val="16"/>
            <w:szCs w:val="16"/>
          </w:rPr>
        </w:pPr>
        <w:r w:rsidRPr="00507332">
          <w:rPr>
            <w:rFonts w:asciiTheme="majorHAnsi" w:hAnsiTheme="majorHAnsi" w:cstheme="majorHAnsi"/>
            <w:sz w:val="16"/>
            <w:szCs w:val="16"/>
          </w:rPr>
          <w:fldChar w:fldCharType="begin"/>
        </w:r>
        <w:r w:rsidRPr="00507332">
          <w:rPr>
            <w:rFonts w:asciiTheme="majorHAnsi" w:hAnsiTheme="majorHAnsi" w:cstheme="majorHAnsi"/>
            <w:sz w:val="16"/>
            <w:szCs w:val="16"/>
          </w:rPr>
          <w:instrText xml:space="preserve"> PAGE   \* MERGEFORMAT </w:instrText>
        </w:r>
        <w:r w:rsidRPr="00507332">
          <w:rPr>
            <w:rFonts w:asciiTheme="majorHAnsi" w:hAnsiTheme="majorHAnsi" w:cstheme="majorHAnsi"/>
            <w:sz w:val="16"/>
            <w:szCs w:val="16"/>
          </w:rPr>
          <w:fldChar w:fldCharType="separate"/>
        </w:r>
        <w:r w:rsidR="00D8529D">
          <w:rPr>
            <w:rFonts w:asciiTheme="majorHAnsi" w:hAnsiTheme="majorHAnsi" w:cstheme="majorHAnsi"/>
            <w:noProof/>
            <w:sz w:val="16"/>
            <w:szCs w:val="16"/>
          </w:rPr>
          <w:t>1</w:t>
        </w:r>
        <w:r w:rsidRPr="00507332">
          <w:rPr>
            <w:rFonts w:asciiTheme="majorHAnsi" w:hAnsiTheme="majorHAnsi" w:cstheme="majorHAnsi"/>
            <w:noProof/>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2B75" w:rsidRPr="0022372B" w:rsidRDefault="00A72B75" w:rsidP="0022372B">
      <w:pPr>
        <w:pStyle w:val="Footer"/>
        <w:spacing w:after="80" w:line="240" w:lineRule="auto"/>
        <w:jc w:val="left"/>
        <w:rPr>
          <w:color w:val="A9A8A9" w:themeColor="accent4"/>
          <w:sz w:val="16"/>
          <w:szCs w:val="16"/>
        </w:rPr>
      </w:pPr>
      <w:r w:rsidRPr="0022372B">
        <w:rPr>
          <w:color w:val="A9A8A9" w:themeColor="accent4"/>
          <w:sz w:val="16"/>
          <w:szCs w:val="16"/>
        </w:rPr>
        <w:t>_________________________________</w:t>
      </w:r>
    </w:p>
  </w:footnote>
  <w:footnote w:type="continuationSeparator" w:id="0">
    <w:p w:rsidR="00A72B75" w:rsidRPr="0022372B" w:rsidRDefault="00A72B75" w:rsidP="0022372B">
      <w:pPr>
        <w:pStyle w:val="Footer"/>
        <w:spacing w:after="80" w:line="240" w:lineRule="auto"/>
        <w:jc w:val="left"/>
        <w:rPr>
          <w:color w:val="A9A8A9" w:themeColor="accent4"/>
          <w:sz w:val="16"/>
          <w:szCs w:val="16"/>
        </w:rPr>
      </w:pPr>
      <w:r w:rsidRPr="0022372B">
        <w:rPr>
          <w:color w:val="A9A8A9" w:themeColor="accent4"/>
          <w:sz w:val="16"/>
          <w:szCs w:val="16"/>
        </w:rPr>
        <w:t>_________________________________</w:t>
      </w:r>
    </w:p>
  </w:footnote>
  <w:footnote w:type="continuationNotice" w:id="1">
    <w:p w:rsidR="00A72B75" w:rsidRPr="00A176B6" w:rsidRDefault="00A72B75" w:rsidP="00A176B6">
      <w:pPr>
        <w:spacing w:line="160" w:lineRule="exact"/>
        <w:rPr>
          <w:sz w:val="16"/>
          <w:szCs w:val="16"/>
        </w:rPr>
      </w:pPr>
    </w:p>
  </w:footnote>
  <w:footnote w:id="2">
    <w:p w:rsidR="00110744" w:rsidRPr="00B115B2" w:rsidRDefault="00110744" w:rsidP="00B115B2">
      <w:pPr>
        <w:pStyle w:val="FootnoteText"/>
        <w:spacing w:before="40" w:after="40"/>
        <w:rPr>
          <w:rFonts w:asciiTheme="majorHAnsi" w:hAnsiTheme="majorHAnsi" w:cstheme="majorHAnsi"/>
          <w:sz w:val="16"/>
          <w:szCs w:val="16"/>
        </w:rPr>
      </w:pPr>
      <w:r w:rsidRPr="00B115B2">
        <w:rPr>
          <w:rStyle w:val="FootnoteReference"/>
          <w:rFonts w:asciiTheme="majorHAnsi" w:hAnsiTheme="majorHAnsi" w:cstheme="majorHAnsi"/>
          <w:sz w:val="16"/>
          <w:szCs w:val="16"/>
        </w:rPr>
        <w:footnoteRef/>
      </w:r>
      <w:r w:rsidRPr="00B115B2">
        <w:rPr>
          <w:rFonts w:asciiTheme="majorHAnsi" w:hAnsiTheme="majorHAnsi" w:cstheme="majorHAnsi"/>
          <w:sz w:val="16"/>
          <w:szCs w:val="16"/>
        </w:rPr>
        <w:t xml:space="preserve"> </w:t>
      </w:r>
      <w:r w:rsidRPr="00B115B2">
        <w:rPr>
          <w:rFonts w:asciiTheme="majorHAnsi" w:hAnsiTheme="majorHAnsi" w:cstheme="majorHAnsi"/>
          <w:sz w:val="16"/>
          <w:szCs w:val="16"/>
        </w:rPr>
        <w:tab/>
      </w:r>
      <w:r w:rsidR="00383839">
        <w:rPr>
          <w:rFonts w:asciiTheme="majorHAnsi" w:hAnsiTheme="majorHAnsi" w:cstheme="majorHAnsi"/>
          <w:sz w:val="16"/>
          <w:szCs w:val="16"/>
        </w:rPr>
        <w:t xml:space="preserve">See </w:t>
      </w:r>
      <w:r w:rsidRPr="00B115B2">
        <w:rPr>
          <w:rFonts w:asciiTheme="majorHAnsi" w:hAnsiTheme="majorHAnsi" w:cstheme="majorHAnsi"/>
          <w:sz w:val="16"/>
          <w:szCs w:val="16"/>
        </w:rPr>
        <w:t>http://gmrg.coagenergycouncil.gov.au/publications</w:t>
      </w:r>
      <w:r w:rsidR="00383839">
        <w:rPr>
          <w:rFonts w:asciiTheme="majorHAnsi" w:hAnsiTheme="majorHAnsi" w:cstheme="majorHAnsi"/>
          <w:sz w:val="16"/>
          <w:szCs w:val="16"/>
        </w:rPr>
        <w:t>.</w:t>
      </w:r>
    </w:p>
  </w:footnote>
  <w:footnote w:id="3">
    <w:p w:rsidR="000F46BC" w:rsidRPr="00B115B2" w:rsidRDefault="000F46BC" w:rsidP="00383839">
      <w:pPr>
        <w:pStyle w:val="FootnoteText"/>
        <w:spacing w:before="40" w:after="40"/>
        <w:rPr>
          <w:rFonts w:asciiTheme="majorHAnsi" w:hAnsiTheme="majorHAnsi" w:cstheme="majorHAnsi"/>
          <w:sz w:val="16"/>
          <w:szCs w:val="16"/>
        </w:rPr>
      </w:pPr>
      <w:r w:rsidRPr="00B115B2">
        <w:rPr>
          <w:rStyle w:val="FootnoteReference"/>
          <w:rFonts w:asciiTheme="majorHAnsi" w:hAnsiTheme="majorHAnsi" w:cstheme="majorHAnsi"/>
          <w:sz w:val="16"/>
          <w:szCs w:val="16"/>
        </w:rPr>
        <w:footnoteRef/>
      </w:r>
      <w:r w:rsidRPr="00B115B2">
        <w:rPr>
          <w:rFonts w:asciiTheme="majorHAnsi" w:hAnsiTheme="majorHAnsi" w:cstheme="majorHAnsi"/>
          <w:sz w:val="16"/>
          <w:szCs w:val="16"/>
        </w:rPr>
        <w:t xml:space="preserve"> </w:t>
      </w:r>
      <w:r w:rsidRPr="00B115B2">
        <w:rPr>
          <w:rFonts w:asciiTheme="majorHAnsi" w:hAnsiTheme="majorHAnsi" w:cstheme="majorHAnsi"/>
          <w:sz w:val="16"/>
          <w:szCs w:val="16"/>
        </w:rPr>
        <w:tab/>
      </w:r>
      <w:r w:rsidR="00F768A5">
        <w:rPr>
          <w:rFonts w:asciiTheme="majorHAnsi" w:hAnsiTheme="majorHAnsi" w:cstheme="majorHAnsi"/>
          <w:sz w:val="16"/>
          <w:szCs w:val="16"/>
        </w:rPr>
        <w:t>T</w:t>
      </w:r>
      <w:r w:rsidRPr="00B115B2">
        <w:rPr>
          <w:rFonts w:asciiTheme="majorHAnsi" w:hAnsiTheme="majorHAnsi" w:cstheme="majorHAnsi"/>
          <w:sz w:val="16"/>
          <w:szCs w:val="16"/>
        </w:rPr>
        <w:t>he initial Code will be made by the South Australian Minister and future amendments to the Code will be subject to a hybrid governance model, which will involve the following:</w:t>
      </w:r>
    </w:p>
    <w:p w:rsidR="000F46BC" w:rsidRPr="00B115B2" w:rsidRDefault="000F46BC" w:rsidP="00383839">
      <w:pPr>
        <w:pStyle w:val="TableBullet1"/>
        <w:numPr>
          <w:ilvl w:val="0"/>
          <w:numId w:val="22"/>
        </w:numPr>
        <w:spacing w:before="40" w:after="40" w:line="240" w:lineRule="auto"/>
        <w:ind w:left="714" w:right="0" w:hanging="357"/>
        <w:rPr>
          <w:rFonts w:asciiTheme="majorHAnsi" w:hAnsiTheme="majorHAnsi" w:cstheme="majorHAnsi"/>
          <w:sz w:val="16"/>
          <w:szCs w:val="16"/>
          <w:lang w:eastAsia="fr-CA"/>
        </w:rPr>
      </w:pPr>
      <w:r w:rsidRPr="00B115B2">
        <w:rPr>
          <w:rFonts w:asciiTheme="majorHAnsi" w:hAnsiTheme="majorHAnsi" w:cstheme="majorHAnsi"/>
          <w:sz w:val="16"/>
          <w:szCs w:val="16"/>
          <w:lang w:eastAsia="fr-CA"/>
        </w:rPr>
        <w:t xml:space="preserve">An industry Panel (the OTS Code Panel), comprising a member from AEMO (who will chair the </w:t>
      </w:r>
      <w:r w:rsidR="00D96CFE">
        <w:rPr>
          <w:rFonts w:asciiTheme="majorHAnsi" w:hAnsiTheme="majorHAnsi" w:cstheme="majorHAnsi"/>
          <w:sz w:val="16"/>
          <w:szCs w:val="16"/>
          <w:lang w:eastAsia="fr-CA"/>
        </w:rPr>
        <w:t>P</w:t>
      </w:r>
      <w:r w:rsidRPr="00B115B2">
        <w:rPr>
          <w:rFonts w:asciiTheme="majorHAnsi" w:hAnsiTheme="majorHAnsi" w:cstheme="majorHAnsi"/>
          <w:sz w:val="16"/>
          <w:szCs w:val="16"/>
          <w:lang w:eastAsia="fr-CA"/>
        </w:rPr>
        <w:t xml:space="preserve">anel), two service providers and two shippers (one of which must be a large user of gas). The OTS Code Panel will consider proposals to amend the Code, having regard to stakeholder feedback, and provide its recommendations to the AER on the proposed amendments. </w:t>
      </w:r>
    </w:p>
    <w:p w:rsidR="000F46BC" w:rsidRPr="00B115B2" w:rsidRDefault="000F46BC" w:rsidP="00383839">
      <w:pPr>
        <w:pStyle w:val="TableBullet1"/>
        <w:numPr>
          <w:ilvl w:val="0"/>
          <w:numId w:val="22"/>
        </w:numPr>
        <w:spacing w:before="40" w:after="40" w:line="240" w:lineRule="auto"/>
        <w:ind w:left="714" w:right="0" w:hanging="357"/>
        <w:rPr>
          <w:rFonts w:asciiTheme="majorHAnsi" w:hAnsiTheme="majorHAnsi" w:cstheme="majorHAnsi"/>
          <w:sz w:val="16"/>
          <w:szCs w:val="16"/>
        </w:rPr>
      </w:pPr>
      <w:r w:rsidRPr="00B115B2">
        <w:rPr>
          <w:rFonts w:asciiTheme="majorHAnsi" w:hAnsiTheme="majorHAnsi" w:cstheme="majorHAnsi"/>
          <w:sz w:val="16"/>
          <w:szCs w:val="16"/>
          <w:lang w:eastAsia="fr-CA"/>
        </w:rPr>
        <w:t>Amendments recommended by the OTS Code Panel will only take effect if approved by the AER. In deciding whether to approve the amendments, the AER must consider the Code objective and a number of other principles and matters specified in the NGR. The AER will have the power to approve, reject and remit the proposed change. It will also have the power to amend the Code on its own initiative. However, before doing so, the AER must request advice from the OTS Code Panel and AEMO, and consult with interested parties.</w:t>
      </w:r>
    </w:p>
  </w:footnote>
  <w:footnote w:id="4">
    <w:p w:rsidR="00110744" w:rsidRPr="00B115B2" w:rsidRDefault="00110744" w:rsidP="00383839">
      <w:pPr>
        <w:pStyle w:val="FootnoteText"/>
        <w:spacing w:before="40" w:after="40"/>
        <w:rPr>
          <w:rFonts w:asciiTheme="majorHAnsi" w:hAnsiTheme="majorHAnsi" w:cstheme="majorHAnsi"/>
          <w:sz w:val="16"/>
          <w:szCs w:val="16"/>
        </w:rPr>
      </w:pPr>
      <w:r w:rsidRPr="00B115B2">
        <w:rPr>
          <w:rStyle w:val="FootnoteReference"/>
          <w:rFonts w:asciiTheme="majorHAnsi" w:hAnsiTheme="majorHAnsi" w:cstheme="majorHAnsi"/>
          <w:sz w:val="16"/>
          <w:szCs w:val="16"/>
        </w:rPr>
        <w:footnoteRef/>
      </w:r>
      <w:r w:rsidRPr="00B115B2">
        <w:rPr>
          <w:rFonts w:asciiTheme="majorHAnsi" w:hAnsiTheme="majorHAnsi" w:cstheme="majorHAnsi"/>
          <w:sz w:val="16"/>
          <w:szCs w:val="16"/>
        </w:rPr>
        <w:t xml:space="preserve"> </w:t>
      </w:r>
      <w:r w:rsidRPr="00B115B2">
        <w:rPr>
          <w:rFonts w:asciiTheme="majorHAnsi" w:hAnsiTheme="majorHAnsi" w:cstheme="majorHAnsi"/>
          <w:sz w:val="16"/>
          <w:szCs w:val="16"/>
        </w:rPr>
        <w:tab/>
      </w:r>
      <w:r w:rsidR="00F768A5">
        <w:rPr>
          <w:rFonts w:asciiTheme="majorHAnsi" w:hAnsiTheme="majorHAnsi" w:cstheme="majorHAnsi"/>
          <w:sz w:val="16"/>
          <w:szCs w:val="16"/>
        </w:rPr>
        <w:t>T</w:t>
      </w:r>
      <w:r w:rsidRPr="00B115B2">
        <w:rPr>
          <w:rFonts w:asciiTheme="majorHAnsi" w:hAnsiTheme="majorHAnsi" w:cstheme="majorHAnsi"/>
          <w:sz w:val="16"/>
          <w:szCs w:val="16"/>
        </w:rPr>
        <w:t>he enforcement options available to the AER depend, in part, on whether the provisions in the NGL or NGR are designated as civil penalty provisions and/or conduct provisions.</w:t>
      </w:r>
    </w:p>
  </w:footnote>
  <w:footnote w:id="5">
    <w:p w:rsidR="00110744" w:rsidRPr="00B115B2" w:rsidRDefault="00110744" w:rsidP="00383839">
      <w:pPr>
        <w:pStyle w:val="TableBullet1"/>
        <w:numPr>
          <w:ilvl w:val="0"/>
          <w:numId w:val="0"/>
        </w:numPr>
        <w:spacing w:before="40" w:after="40" w:line="240" w:lineRule="auto"/>
        <w:ind w:left="357" w:right="0" w:hanging="357"/>
        <w:rPr>
          <w:rFonts w:asciiTheme="majorHAnsi" w:hAnsiTheme="majorHAnsi" w:cstheme="majorHAnsi"/>
          <w:sz w:val="16"/>
          <w:szCs w:val="16"/>
        </w:rPr>
      </w:pPr>
      <w:r w:rsidRPr="00B115B2">
        <w:rPr>
          <w:rStyle w:val="FootnoteReference"/>
          <w:rFonts w:asciiTheme="majorHAnsi" w:hAnsiTheme="majorHAnsi" w:cstheme="majorHAnsi"/>
          <w:sz w:val="16"/>
          <w:szCs w:val="16"/>
        </w:rPr>
        <w:footnoteRef/>
      </w:r>
      <w:r w:rsidRPr="00B115B2">
        <w:rPr>
          <w:rFonts w:asciiTheme="majorHAnsi" w:hAnsiTheme="majorHAnsi" w:cstheme="majorHAnsi"/>
          <w:sz w:val="16"/>
          <w:szCs w:val="16"/>
        </w:rPr>
        <w:t xml:space="preserve"> </w:t>
      </w:r>
      <w:r w:rsidRPr="00B115B2">
        <w:rPr>
          <w:rFonts w:asciiTheme="majorHAnsi" w:hAnsiTheme="majorHAnsi" w:cstheme="majorHAnsi"/>
          <w:sz w:val="16"/>
          <w:szCs w:val="16"/>
        </w:rPr>
        <w:tab/>
        <w:t>The following transactions will not be required to be reported: the use of capacity to satisfy an obligation under an agreement for the supply of natural gas; an agreement to swap a quantity of gas at a location for a quantity of natural gas at another location; a novation of an agreement with a service provider; or between closely related entities.</w:t>
      </w:r>
    </w:p>
  </w:footnote>
  <w:footnote w:id="6">
    <w:p w:rsidR="00110744" w:rsidRPr="007F56DF" w:rsidRDefault="00110744" w:rsidP="00724A49">
      <w:pPr>
        <w:pStyle w:val="FootnoteText"/>
        <w:spacing w:before="40" w:after="40"/>
        <w:rPr>
          <w:rFonts w:ascii="Arial" w:hAnsi="Arial" w:cs="Arial"/>
          <w:sz w:val="16"/>
          <w:szCs w:val="16"/>
        </w:rPr>
      </w:pPr>
      <w:r w:rsidRPr="007F56DF">
        <w:rPr>
          <w:rStyle w:val="FootnoteReference"/>
          <w:rFonts w:ascii="Arial" w:hAnsi="Arial" w:cs="Arial"/>
          <w:sz w:val="16"/>
          <w:szCs w:val="16"/>
        </w:rPr>
        <w:footnoteRef/>
      </w:r>
      <w:r w:rsidRPr="007F56DF">
        <w:rPr>
          <w:rFonts w:ascii="Arial" w:hAnsi="Arial" w:cs="Arial"/>
          <w:sz w:val="16"/>
          <w:szCs w:val="16"/>
        </w:rPr>
        <w:t xml:space="preserve"> </w:t>
      </w:r>
      <w:r w:rsidRPr="007F56DF">
        <w:rPr>
          <w:rFonts w:ascii="Arial" w:hAnsi="Arial" w:cs="Arial"/>
          <w:sz w:val="16"/>
          <w:szCs w:val="16"/>
        </w:rPr>
        <w:tab/>
        <w:t>Users of the capacity trading platform will be subject to the same market conduct rules that apply to the Gas Supply Hub and will also be prohibited from short-selling transportation capacity.</w:t>
      </w:r>
    </w:p>
  </w:footnote>
  <w:footnote w:id="7">
    <w:p w:rsidR="00110744" w:rsidRPr="007F56DF" w:rsidRDefault="00110744" w:rsidP="00724A49">
      <w:pPr>
        <w:pStyle w:val="FootnoteText"/>
        <w:spacing w:before="40" w:after="40"/>
        <w:rPr>
          <w:rFonts w:ascii="Arial" w:hAnsi="Arial" w:cs="Arial"/>
          <w:sz w:val="16"/>
          <w:szCs w:val="16"/>
        </w:rPr>
      </w:pPr>
      <w:r w:rsidRPr="007F56DF">
        <w:rPr>
          <w:rStyle w:val="FootnoteReference"/>
          <w:rFonts w:ascii="Arial" w:hAnsi="Arial" w:cs="Arial"/>
          <w:sz w:val="16"/>
          <w:szCs w:val="16"/>
        </w:rPr>
        <w:footnoteRef/>
      </w:r>
      <w:r w:rsidRPr="007F56DF">
        <w:rPr>
          <w:rFonts w:ascii="Arial" w:hAnsi="Arial" w:cs="Arial"/>
          <w:sz w:val="16"/>
          <w:szCs w:val="16"/>
        </w:rPr>
        <w:t xml:space="preserve"> </w:t>
      </w:r>
      <w:r w:rsidRPr="007F56DF">
        <w:rPr>
          <w:rFonts w:ascii="Arial" w:hAnsi="Arial" w:cs="Arial"/>
          <w:sz w:val="16"/>
          <w:szCs w:val="16"/>
        </w:rPr>
        <w:tab/>
      </w:r>
      <w:r w:rsidR="00F768A5" w:rsidRPr="007F56DF">
        <w:rPr>
          <w:rFonts w:ascii="Arial" w:hAnsi="Arial" w:cs="Arial"/>
          <w:sz w:val="16"/>
          <w:szCs w:val="16"/>
        </w:rPr>
        <w:t>A</w:t>
      </w:r>
      <w:r w:rsidRPr="007F56DF">
        <w:rPr>
          <w:rFonts w:ascii="Arial" w:hAnsi="Arial" w:cs="Arial"/>
          <w:sz w:val="16"/>
          <w:szCs w:val="16"/>
        </w:rPr>
        <w:t>uction participants will be required to comply with similar</w:t>
      </w:r>
      <w:r w:rsidRPr="007F56DF">
        <w:rPr>
          <w:rFonts w:ascii="Arial" w:hAnsi="Arial" w:cs="Arial"/>
          <w:sz w:val="16"/>
          <w:szCs w:val="16"/>
          <w:lang w:eastAsia="fr-CA"/>
        </w:rPr>
        <w:t xml:space="preserve"> general conduct requirements (e.g. not to act fraudulently, dishonestly or in bad faith) and market conduct rules (e.g. an auction participant must not manipulate or attempt to manipulate the auction) to those that currently apply in the Gas Supply Hub. </w:t>
      </w:r>
      <w:r w:rsidRPr="007F56DF">
        <w:rPr>
          <w:rFonts w:ascii="Arial" w:hAnsi="Arial" w:cs="Arial"/>
          <w:sz w:val="16"/>
          <w:szCs w:val="16"/>
        </w:rPr>
        <w:t>Service providers will also be prohibited from bidding (directly or indirectly) in the auction for capacity on their own facility or engaging in conduct with the intent of distorting or manipulating prices.</w:t>
      </w:r>
      <w:r w:rsidRPr="007F56DF">
        <w:rPr>
          <w:rFonts w:ascii="Arial" w:hAnsi="Arial" w:cs="Arial"/>
          <w:sz w:val="16"/>
          <w:szCs w:val="16"/>
          <w:lang w:eastAsia="fr-CA"/>
        </w:rPr>
        <w:t xml:space="preserve"> </w:t>
      </w:r>
    </w:p>
  </w:footnote>
  <w:footnote w:id="8">
    <w:p w:rsidR="00110744" w:rsidRPr="007F56DF" w:rsidRDefault="00110744" w:rsidP="00724A49">
      <w:pPr>
        <w:pStyle w:val="FootnoteText"/>
        <w:spacing w:before="40" w:after="40"/>
        <w:rPr>
          <w:rFonts w:ascii="Arial" w:hAnsi="Arial" w:cs="Arial"/>
          <w:sz w:val="16"/>
          <w:szCs w:val="16"/>
        </w:rPr>
      </w:pPr>
      <w:r w:rsidRPr="007F56DF">
        <w:rPr>
          <w:rStyle w:val="FootnoteReference"/>
          <w:rFonts w:ascii="Arial" w:hAnsi="Arial" w:cs="Arial"/>
          <w:sz w:val="16"/>
          <w:szCs w:val="16"/>
        </w:rPr>
        <w:footnoteRef/>
      </w:r>
      <w:r w:rsidRPr="007F56DF">
        <w:rPr>
          <w:rFonts w:ascii="Arial" w:hAnsi="Arial" w:cs="Arial"/>
          <w:sz w:val="16"/>
          <w:szCs w:val="16"/>
        </w:rPr>
        <w:t xml:space="preserve"> </w:t>
      </w:r>
      <w:r w:rsidRPr="007F56DF">
        <w:rPr>
          <w:rFonts w:ascii="Arial" w:hAnsi="Arial" w:cs="Arial"/>
          <w:sz w:val="16"/>
          <w:szCs w:val="16"/>
        </w:rPr>
        <w:tab/>
        <w:t>The secondary capacity trading reporting obligations apply to trading parties rather than facilities. The exemptions set out here do not therefore apply to this reporting framework.</w:t>
      </w:r>
    </w:p>
  </w:footnote>
  <w:footnote w:id="9">
    <w:p w:rsidR="00110744" w:rsidRPr="007F56DF" w:rsidRDefault="00110744" w:rsidP="00724A49">
      <w:pPr>
        <w:pStyle w:val="FootnoteText"/>
        <w:spacing w:before="40" w:after="40"/>
        <w:rPr>
          <w:rFonts w:ascii="Arial" w:hAnsi="Arial" w:cs="Arial"/>
          <w:sz w:val="16"/>
          <w:szCs w:val="16"/>
        </w:rPr>
      </w:pPr>
      <w:r w:rsidRPr="007F56DF">
        <w:rPr>
          <w:rStyle w:val="FootnoteReference"/>
          <w:rFonts w:ascii="Arial" w:hAnsi="Arial" w:cs="Arial"/>
          <w:sz w:val="16"/>
          <w:szCs w:val="16"/>
        </w:rPr>
        <w:footnoteRef/>
      </w:r>
      <w:r w:rsidRPr="007F56DF">
        <w:rPr>
          <w:rFonts w:ascii="Arial" w:hAnsi="Arial" w:cs="Arial"/>
          <w:sz w:val="16"/>
          <w:szCs w:val="16"/>
        </w:rPr>
        <w:t xml:space="preserve"> </w:t>
      </w:r>
      <w:r w:rsidRPr="007F56DF">
        <w:rPr>
          <w:rFonts w:ascii="Arial" w:hAnsi="Arial" w:cs="Arial"/>
          <w:sz w:val="16"/>
          <w:szCs w:val="16"/>
        </w:rPr>
        <w:tab/>
        <w:t xml:space="preserve">The designated compression facilities are the Wallumbilla, Moomba, Iona and Ballera facilities. </w:t>
      </w:r>
    </w:p>
  </w:footnote>
  <w:footnote w:id="10">
    <w:p w:rsidR="00F14B36" w:rsidRDefault="00F14B36" w:rsidP="00724A49">
      <w:pPr>
        <w:pStyle w:val="FootnoteText"/>
        <w:spacing w:before="40" w:after="40"/>
      </w:pPr>
      <w:r w:rsidRPr="007F56DF">
        <w:rPr>
          <w:rStyle w:val="FootnoteReference"/>
          <w:rFonts w:ascii="Arial" w:hAnsi="Arial" w:cs="Arial"/>
          <w:sz w:val="16"/>
          <w:szCs w:val="16"/>
        </w:rPr>
        <w:footnoteRef/>
      </w:r>
      <w:r w:rsidRPr="007F56DF">
        <w:rPr>
          <w:rFonts w:ascii="Arial" w:hAnsi="Arial" w:cs="Arial"/>
          <w:sz w:val="16"/>
          <w:szCs w:val="16"/>
        </w:rPr>
        <w:t xml:space="preserve"> </w:t>
      </w:r>
      <w:r w:rsidRPr="007F56DF">
        <w:rPr>
          <w:rFonts w:ascii="Arial" w:hAnsi="Arial" w:cs="Arial"/>
          <w:sz w:val="16"/>
          <w:szCs w:val="16"/>
        </w:rPr>
        <w:tab/>
        <w:t>A stand-alone compression facility is or may be used to facilitate the flow of natural gas between transmission pipelines and in respect of which compression services are or may be provided</w:t>
      </w:r>
      <w:r w:rsidR="00A51027" w:rsidRPr="007F56DF">
        <w:rPr>
          <w:rFonts w:ascii="Arial" w:hAnsi="Arial" w:cs="Arial"/>
          <w:sz w:val="16"/>
          <w:szCs w:val="16"/>
        </w:rPr>
        <w:t xml:space="preserve"> (but does not include a facility operated as part of a gathering system operated as part of a upstream production operation or downstream of a point on a pipeline from which a person consumes gas)</w:t>
      </w:r>
      <w:r w:rsidRPr="007F56DF">
        <w:rPr>
          <w:rFonts w:ascii="Arial" w:hAnsi="Arial" w:cs="Arial"/>
          <w:sz w:val="16"/>
          <w:szCs w:val="16"/>
        </w:rPr>
        <w:t>.</w:t>
      </w:r>
    </w:p>
  </w:footnote>
  <w:footnote w:id="11">
    <w:p w:rsidR="00A575FB" w:rsidRPr="0062445F" w:rsidRDefault="00A575FB" w:rsidP="00A575FB">
      <w:pPr>
        <w:pStyle w:val="FootnoteText"/>
        <w:spacing w:before="40" w:after="40"/>
        <w:rPr>
          <w:rFonts w:asciiTheme="majorHAnsi" w:hAnsiTheme="majorHAnsi" w:cstheme="majorHAnsi"/>
          <w:sz w:val="16"/>
          <w:szCs w:val="16"/>
        </w:rPr>
      </w:pPr>
      <w:r w:rsidRPr="00B115B2">
        <w:rPr>
          <w:rStyle w:val="FootnoteReference"/>
          <w:rFonts w:asciiTheme="majorHAnsi" w:hAnsiTheme="majorHAnsi" w:cstheme="majorHAnsi"/>
          <w:sz w:val="16"/>
          <w:szCs w:val="16"/>
        </w:rPr>
        <w:footnoteRef/>
      </w:r>
      <w:r w:rsidRPr="00B115B2">
        <w:rPr>
          <w:rFonts w:asciiTheme="majorHAnsi" w:hAnsiTheme="majorHAnsi" w:cstheme="majorHAnsi"/>
          <w:sz w:val="16"/>
          <w:szCs w:val="16"/>
        </w:rPr>
        <w:t xml:space="preserve"> </w:t>
      </w:r>
      <w:r w:rsidRPr="00B115B2">
        <w:rPr>
          <w:rFonts w:asciiTheme="majorHAnsi" w:hAnsiTheme="majorHAnsi" w:cstheme="majorHAnsi"/>
          <w:sz w:val="16"/>
          <w:szCs w:val="16"/>
        </w:rPr>
        <w:tab/>
      </w:r>
      <w:r>
        <w:rPr>
          <w:rFonts w:asciiTheme="majorHAnsi" w:hAnsiTheme="majorHAnsi" w:cstheme="majorHAnsi"/>
          <w:sz w:val="16"/>
          <w:szCs w:val="16"/>
        </w:rPr>
        <w:t>S</w:t>
      </w:r>
      <w:r w:rsidRPr="00B115B2">
        <w:rPr>
          <w:rFonts w:asciiTheme="majorHAnsi" w:hAnsiTheme="majorHAnsi" w:cstheme="majorHAnsi"/>
          <w:sz w:val="16"/>
          <w:szCs w:val="16"/>
        </w:rPr>
        <w:t xml:space="preserve">ervice providers of these facilities will, for example, also be required to: comply with the </w:t>
      </w:r>
      <w:r w:rsidRPr="0062445F">
        <w:rPr>
          <w:rFonts w:asciiTheme="majorHAnsi" w:hAnsiTheme="majorHAnsi" w:cstheme="majorHAnsi"/>
          <w:sz w:val="16"/>
          <w:szCs w:val="16"/>
        </w:rPr>
        <w:t>standardisation cost principles; give effect to operational transfers; provide users with an amending facility agreement if requested to do so by the user</w:t>
      </w:r>
      <w:r w:rsidR="00077FB9">
        <w:rPr>
          <w:rFonts w:asciiTheme="majorHAnsi" w:hAnsiTheme="majorHAnsi" w:cstheme="majorHAnsi"/>
          <w:sz w:val="16"/>
          <w:szCs w:val="16"/>
        </w:rPr>
        <w:t>;</w:t>
      </w:r>
      <w:r w:rsidRPr="0062445F">
        <w:rPr>
          <w:rFonts w:asciiTheme="majorHAnsi" w:hAnsiTheme="majorHAnsi" w:cstheme="majorHAnsi"/>
          <w:sz w:val="16"/>
          <w:szCs w:val="16"/>
        </w:rPr>
        <w:t xml:space="preserve"> and comply with the use of additional pipeline service point provisions. See the Information Paper for further detail.</w:t>
      </w:r>
    </w:p>
  </w:footnote>
  <w:footnote w:id="12">
    <w:p w:rsidR="00110744" w:rsidRPr="00F702E4" w:rsidRDefault="00110744" w:rsidP="00383839">
      <w:pPr>
        <w:pStyle w:val="FootnoteText"/>
        <w:spacing w:before="40" w:after="40"/>
        <w:rPr>
          <w:rFonts w:asciiTheme="majorHAnsi" w:hAnsiTheme="majorHAnsi" w:cstheme="majorHAnsi"/>
          <w:sz w:val="16"/>
          <w:szCs w:val="16"/>
        </w:rPr>
      </w:pPr>
      <w:r w:rsidRPr="00F702E4">
        <w:rPr>
          <w:rStyle w:val="FootnoteReference"/>
          <w:rFonts w:asciiTheme="majorHAnsi" w:hAnsiTheme="majorHAnsi" w:cstheme="majorHAnsi"/>
          <w:sz w:val="16"/>
          <w:szCs w:val="16"/>
        </w:rPr>
        <w:footnoteRef/>
      </w:r>
      <w:r w:rsidRPr="00F702E4">
        <w:rPr>
          <w:rFonts w:asciiTheme="majorHAnsi" w:hAnsiTheme="majorHAnsi" w:cstheme="majorHAnsi"/>
          <w:sz w:val="16"/>
          <w:szCs w:val="16"/>
        </w:rPr>
        <w:t xml:space="preserve"> </w:t>
      </w:r>
      <w:r w:rsidRPr="00F702E4">
        <w:rPr>
          <w:rFonts w:asciiTheme="majorHAnsi" w:hAnsiTheme="majorHAnsi" w:cstheme="majorHAnsi"/>
          <w:sz w:val="16"/>
          <w:szCs w:val="16"/>
        </w:rPr>
        <w:tab/>
      </w:r>
      <w:r w:rsidR="00F768A5">
        <w:rPr>
          <w:rFonts w:asciiTheme="majorHAnsi" w:hAnsiTheme="majorHAnsi" w:cstheme="majorHAnsi"/>
          <w:sz w:val="16"/>
          <w:szCs w:val="16"/>
        </w:rPr>
        <w:t>T</w:t>
      </w:r>
      <w:r w:rsidRPr="00F702E4">
        <w:rPr>
          <w:rFonts w:asciiTheme="majorHAnsi" w:hAnsiTheme="majorHAnsi" w:cstheme="majorHAnsi"/>
          <w:sz w:val="16"/>
          <w:szCs w:val="16"/>
        </w:rPr>
        <w:t xml:space="preserve">he AER would not be able to use this power to grant an exemption to </w:t>
      </w:r>
      <w:r w:rsidR="00B10EA5">
        <w:rPr>
          <w:rFonts w:asciiTheme="majorHAnsi" w:hAnsiTheme="majorHAnsi" w:cstheme="majorHAnsi"/>
          <w:sz w:val="16"/>
          <w:szCs w:val="16"/>
        </w:rPr>
        <w:t xml:space="preserve">transmission </w:t>
      </w:r>
      <w:r w:rsidRPr="00F702E4">
        <w:rPr>
          <w:rFonts w:asciiTheme="majorHAnsi" w:hAnsiTheme="majorHAnsi" w:cstheme="majorHAnsi"/>
          <w:sz w:val="16"/>
          <w:szCs w:val="16"/>
        </w:rPr>
        <w:t xml:space="preserve">pipelines that have obtained a size based threshold under Part 23 because the size thresholds differ under the capacity trading reform package. </w:t>
      </w:r>
    </w:p>
  </w:footnote>
  <w:footnote w:id="13">
    <w:p w:rsidR="00110744" w:rsidRPr="00383839" w:rsidRDefault="00110744" w:rsidP="001353E7">
      <w:pPr>
        <w:pStyle w:val="FootnoteText"/>
        <w:spacing w:before="40" w:after="40"/>
        <w:rPr>
          <w:rFonts w:ascii="Arial" w:hAnsi="Arial" w:cs="Arial"/>
          <w:sz w:val="16"/>
          <w:szCs w:val="16"/>
        </w:rPr>
      </w:pPr>
      <w:r w:rsidRPr="00383839">
        <w:rPr>
          <w:rStyle w:val="FootnoteReference"/>
          <w:rFonts w:ascii="Arial" w:hAnsi="Arial" w:cs="Arial"/>
          <w:sz w:val="16"/>
          <w:szCs w:val="16"/>
        </w:rPr>
        <w:footnoteRef/>
      </w:r>
      <w:r w:rsidRPr="00383839">
        <w:rPr>
          <w:rFonts w:ascii="Arial" w:hAnsi="Arial" w:cs="Arial"/>
          <w:sz w:val="16"/>
          <w:szCs w:val="16"/>
        </w:rPr>
        <w:t xml:space="preserve"> </w:t>
      </w:r>
      <w:r w:rsidRPr="00383839">
        <w:rPr>
          <w:rFonts w:ascii="Arial" w:hAnsi="Arial" w:cs="Arial"/>
          <w:sz w:val="16"/>
          <w:szCs w:val="16"/>
        </w:rPr>
        <w:tab/>
        <w:t>An eligible request is a request made by a prospective secondary shipper who meets the eligibility criteria set out in the NGR in order to be offered a standard OTSA and who intends to enter into the agreement and use its reasonable endeavours to procure transportation capacity on the transportation facility.</w:t>
      </w:r>
    </w:p>
  </w:footnote>
  <w:footnote w:id="14">
    <w:p w:rsidR="00110744" w:rsidRPr="00383839" w:rsidRDefault="00110744" w:rsidP="001353E7">
      <w:pPr>
        <w:pStyle w:val="FootnoteText"/>
        <w:spacing w:before="40" w:after="40"/>
        <w:rPr>
          <w:rFonts w:ascii="Arial" w:hAnsi="Arial" w:cs="Arial"/>
          <w:sz w:val="16"/>
          <w:szCs w:val="16"/>
        </w:rPr>
      </w:pPr>
      <w:r w:rsidRPr="00383839">
        <w:rPr>
          <w:rStyle w:val="FootnoteReference"/>
          <w:rFonts w:ascii="Arial" w:hAnsi="Arial" w:cs="Arial"/>
          <w:sz w:val="16"/>
          <w:szCs w:val="16"/>
        </w:rPr>
        <w:footnoteRef/>
      </w:r>
      <w:r w:rsidRPr="00383839">
        <w:rPr>
          <w:rFonts w:ascii="Arial" w:hAnsi="Arial" w:cs="Arial"/>
          <w:sz w:val="16"/>
          <w:szCs w:val="16"/>
        </w:rPr>
        <w:t xml:space="preserve"> </w:t>
      </w:r>
      <w:r w:rsidRPr="00383839">
        <w:rPr>
          <w:rFonts w:ascii="Arial" w:hAnsi="Arial" w:cs="Arial"/>
          <w:sz w:val="16"/>
          <w:szCs w:val="16"/>
        </w:rPr>
        <w:tab/>
        <w:t xml:space="preserve">The AER may vary the conditions of an exemption </w:t>
      </w:r>
      <w:r w:rsidRPr="00383839">
        <w:rPr>
          <w:rFonts w:ascii="Arial" w:eastAsiaTheme="minorEastAsia" w:hAnsi="Arial" w:cs="Arial"/>
          <w:sz w:val="16"/>
          <w:szCs w:val="16"/>
        </w:rPr>
        <w:t>on the application of the service provider for the transportation facility, or on its own initiative.</w:t>
      </w:r>
    </w:p>
  </w:footnote>
  <w:footnote w:id="15">
    <w:p w:rsidR="00110744" w:rsidRPr="00383839" w:rsidRDefault="00110744" w:rsidP="001353E7">
      <w:pPr>
        <w:pStyle w:val="FootnoteText"/>
        <w:spacing w:before="40" w:after="40"/>
        <w:rPr>
          <w:rFonts w:ascii="Arial" w:hAnsi="Arial" w:cs="Arial"/>
          <w:sz w:val="16"/>
          <w:szCs w:val="16"/>
        </w:rPr>
      </w:pPr>
      <w:r w:rsidRPr="00383839">
        <w:rPr>
          <w:rStyle w:val="FootnoteReference"/>
          <w:rFonts w:ascii="Arial" w:hAnsi="Arial" w:cs="Arial"/>
          <w:sz w:val="16"/>
          <w:szCs w:val="16"/>
        </w:rPr>
        <w:footnoteRef/>
      </w:r>
      <w:r w:rsidRPr="00383839">
        <w:rPr>
          <w:rFonts w:ascii="Arial" w:hAnsi="Arial" w:cs="Arial"/>
          <w:sz w:val="16"/>
          <w:szCs w:val="16"/>
        </w:rPr>
        <w:t xml:space="preserve"> </w:t>
      </w:r>
      <w:r w:rsidRPr="00383839">
        <w:rPr>
          <w:rFonts w:ascii="Arial" w:hAnsi="Arial" w:cs="Arial"/>
          <w:sz w:val="16"/>
          <w:szCs w:val="16"/>
        </w:rPr>
        <w:tab/>
      </w:r>
      <w:r w:rsidR="00F768A5">
        <w:rPr>
          <w:rFonts w:ascii="Arial" w:hAnsi="Arial" w:cs="Arial"/>
          <w:sz w:val="16"/>
          <w:szCs w:val="16"/>
        </w:rPr>
        <w:t>A</w:t>
      </w:r>
      <w:r w:rsidRPr="00383839">
        <w:rPr>
          <w:rFonts w:ascii="Arial" w:hAnsi="Arial" w:cs="Arial"/>
          <w:sz w:val="16"/>
          <w:szCs w:val="16"/>
        </w:rPr>
        <w:t>ny person can apply to the AER for an exemption to be revoked or to be varied.</w:t>
      </w:r>
    </w:p>
  </w:footnote>
  <w:footnote w:id="16">
    <w:p w:rsidR="00383839" w:rsidRPr="00383839" w:rsidRDefault="00383839" w:rsidP="001353E7">
      <w:pPr>
        <w:pStyle w:val="FootnoteText"/>
        <w:spacing w:before="40" w:after="40"/>
        <w:rPr>
          <w:rFonts w:ascii="Arial" w:hAnsi="Arial" w:cs="Arial"/>
          <w:sz w:val="16"/>
          <w:szCs w:val="16"/>
        </w:rPr>
      </w:pPr>
      <w:r w:rsidRPr="00383839">
        <w:rPr>
          <w:rStyle w:val="FootnoteReference"/>
          <w:rFonts w:ascii="Arial" w:hAnsi="Arial" w:cs="Arial"/>
          <w:sz w:val="16"/>
          <w:szCs w:val="16"/>
        </w:rPr>
        <w:footnoteRef/>
      </w:r>
      <w:r w:rsidRPr="00383839">
        <w:rPr>
          <w:rFonts w:ascii="Arial" w:hAnsi="Arial" w:cs="Arial"/>
          <w:sz w:val="16"/>
          <w:szCs w:val="16"/>
        </w:rPr>
        <w:t xml:space="preserve"> </w:t>
      </w:r>
      <w:r w:rsidRPr="00383839">
        <w:rPr>
          <w:rFonts w:ascii="Arial" w:hAnsi="Arial" w:cs="Arial"/>
          <w:sz w:val="16"/>
          <w:szCs w:val="16"/>
        </w:rPr>
        <w:tab/>
      </w:r>
      <w:r w:rsidRPr="00383839">
        <w:rPr>
          <w:rFonts w:ascii="Arial" w:eastAsiaTheme="minorEastAsia" w:hAnsi="Arial" w:cs="Arial"/>
          <w:sz w:val="16"/>
          <w:szCs w:val="16"/>
        </w:rPr>
        <w:t>The auction will commence on 1 March 2019 or, if the amendments to the NGR commence after 1 December 2018, 60 business days after the amendments come into force.</w:t>
      </w:r>
    </w:p>
  </w:footnote>
  <w:footnote w:id="17">
    <w:p w:rsidR="00F702E4" w:rsidRPr="00383839" w:rsidRDefault="00F702E4" w:rsidP="001353E7">
      <w:pPr>
        <w:pStyle w:val="FootnoteText"/>
        <w:spacing w:before="40" w:after="40"/>
        <w:rPr>
          <w:rFonts w:ascii="Arial" w:hAnsi="Arial" w:cs="Arial"/>
          <w:sz w:val="16"/>
          <w:szCs w:val="16"/>
        </w:rPr>
      </w:pPr>
      <w:r w:rsidRPr="00383839">
        <w:rPr>
          <w:rStyle w:val="FootnoteReference"/>
          <w:rFonts w:ascii="Arial" w:hAnsi="Arial" w:cs="Arial"/>
          <w:sz w:val="16"/>
          <w:szCs w:val="16"/>
        </w:rPr>
        <w:footnoteRef/>
      </w:r>
      <w:r w:rsidRPr="00383839">
        <w:rPr>
          <w:rFonts w:ascii="Arial" w:hAnsi="Arial" w:cs="Arial"/>
          <w:sz w:val="16"/>
          <w:szCs w:val="16"/>
        </w:rPr>
        <w:t xml:space="preserve"> </w:t>
      </w:r>
      <w:r w:rsidRPr="00383839">
        <w:rPr>
          <w:rFonts w:ascii="Arial" w:hAnsi="Arial" w:cs="Arial"/>
          <w:sz w:val="16"/>
          <w:szCs w:val="16"/>
        </w:rPr>
        <w:tab/>
        <w:t>This application must be made in accordance with the process for applying for a standard exemption.</w:t>
      </w:r>
    </w:p>
  </w:footnote>
  <w:footnote w:id="18">
    <w:p w:rsidR="00A575FB" w:rsidRDefault="00A575FB" w:rsidP="00F541AA">
      <w:pPr>
        <w:pStyle w:val="FootnoteText"/>
        <w:spacing w:before="40" w:after="40"/>
      </w:pPr>
      <w:r w:rsidRPr="00077FB9">
        <w:rPr>
          <w:rStyle w:val="FootnoteReference"/>
          <w:rFonts w:asciiTheme="majorHAnsi" w:hAnsiTheme="majorHAnsi" w:cstheme="majorHAnsi"/>
          <w:sz w:val="16"/>
          <w:szCs w:val="16"/>
        </w:rPr>
        <w:footnoteRef/>
      </w:r>
      <w:r w:rsidRPr="00077FB9">
        <w:rPr>
          <w:rFonts w:asciiTheme="majorHAnsi" w:hAnsiTheme="majorHAnsi" w:cstheme="majorHAnsi"/>
          <w:sz w:val="16"/>
          <w:szCs w:val="16"/>
        </w:rPr>
        <w:t xml:space="preserve"> </w:t>
      </w:r>
      <w:r w:rsidRPr="00077FB9">
        <w:rPr>
          <w:rFonts w:asciiTheme="majorHAnsi" w:hAnsiTheme="majorHAnsi" w:cstheme="majorHAnsi"/>
          <w:sz w:val="16"/>
          <w:szCs w:val="16"/>
        </w:rPr>
        <w:tab/>
        <w:t>See footnote 10.</w:t>
      </w:r>
    </w:p>
  </w:footnote>
  <w:footnote w:id="19">
    <w:p w:rsidR="00317348" w:rsidRPr="00317348" w:rsidRDefault="00317348" w:rsidP="00383839">
      <w:pPr>
        <w:pStyle w:val="FootnoteText"/>
        <w:spacing w:before="40" w:after="40"/>
        <w:rPr>
          <w:rFonts w:asciiTheme="majorHAnsi" w:hAnsiTheme="majorHAnsi" w:cstheme="majorHAnsi"/>
          <w:sz w:val="16"/>
          <w:szCs w:val="16"/>
        </w:rPr>
      </w:pPr>
      <w:r w:rsidRPr="00317348">
        <w:rPr>
          <w:rStyle w:val="FootnoteReference"/>
          <w:rFonts w:asciiTheme="majorHAnsi" w:hAnsiTheme="majorHAnsi" w:cstheme="majorHAnsi"/>
          <w:sz w:val="16"/>
          <w:szCs w:val="16"/>
        </w:rPr>
        <w:footnoteRef/>
      </w:r>
      <w:r w:rsidRPr="00317348">
        <w:rPr>
          <w:rFonts w:asciiTheme="majorHAnsi" w:hAnsiTheme="majorHAnsi" w:cstheme="majorHAnsi"/>
          <w:sz w:val="16"/>
          <w:szCs w:val="16"/>
        </w:rPr>
        <w:t xml:space="preserve"> </w:t>
      </w:r>
      <w:r w:rsidRPr="00317348">
        <w:rPr>
          <w:rFonts w:asciiTheme="majorHAnsi" w:hAnsiTheme="majorHAnsi" w:cstheme="majorHAnsi"/>
          <w:sz w:val="16"/>
          <w:szCs w:val="16"/>
        </w:rPr>
        <w:tab/>
        <w:t>Such an opinion must be given by a person engaged by the facility operator and approved by the AER that has the qualifications and experience to give an opinion on whether the transitional firm service classification criteria are met. The person must not be an employee of the facility operator or any of its associates, but may be one of the facility operator’s usual advisors or auditors.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5D1B" w:rsidRDefault="00A55D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744" w:rsidRPr="00395A4B" w:rsidRDefault="00110744" w:rsidP="00F25C7A">
    <w:pPr>
      <w:pStyle w:val="Header"/>
      <w:ind w:left="-623" w:hanging="142"/>
    </w:pPr>
    <w:r>
      <w:rPr>
        <w:b/>
        <w:noProof/>
        <w:sz w:val="24"/>
        <w:szCs w:val="24"/>
        <w:lang w:eastAsia="en-AU"/>
      </w:rPr>
      <w:drawing>
        <wp:inline distT="0" distB="0" distL="0" distR="0" wp14:anchorId="6580D2CE" wp14:editId="1A240321">
          <wp:extent cx="504825" cy="857250"/>
          <wp:effectExtent l="0" t="0" r="9525" b="0"/>
          <wp:docPr id="19" name="Picture 19" descr="Gas Marekt Reform Group Logo" title="Gas Marekt Reform Grou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Users\Katherine Lowe\AppData\Local\Microsoft\Windows\INetCacheContent.Word\GMRG-logo-stacked-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85725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744" w:rsidRDefault="00110744">
    <w:pPr>
      <w:pStyle w:val="Header"/>
    </w:pPr>
    <w:r>
      <w:rPr>
        <w:b/>
        <w:noProof/>
        <w:sz w:val="24"/>
        <w:szCs w:val="24"/>
        <w:lang w:eastAsia="en-AU"/>
      </w:rPr>
      <w:drawing>
        <wp:inline distT="0" distB="0" distL="0" distR="0" wp14:anchorId="67CDDB0C" wp14:editId="5F595245">
          <wp:extent cx="514350" cy="838200"/>
          <wp:effectExtent l="0" t="0" r="0" b="0"/>
          <wp:docPr id="5" name="Picture 5" descr="Gas Market Reform Group Logo" title="GMR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AE0250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5DEB84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32DB9"/>
    <w:multiLevelType w:val="multilevel"/>
    <w:tmpl w:val="E5E89F92"/>
    <w:styleLink w:val="BulletList"/>
    <w:lvl w:ilvl="0">
      <w:start w:val="1"/>
      <w:numFmt w:val="bullet"/>
      <w:lvlText w:val=""/>
      <w:lvlJc w:val="left"/>
      <w:pPr>
        <w:ind w:left="369" w:hanging="369"/>
      </w:pPr>
      <w:rPr>
        <w:rFonts w:ascii="Symbol" w:hAnsi="Symbol" w:hint="default"/>
      </w:rPr>
    </w:lvl>
    <w:lvl w:ilvl="1">
      <w:start w:val="1"/>
      <w:numFmt w:val="none"/>
      <w:lvlText w:val="-"/>
      <w:lvlJc w:val="left"/>
      <w:pPr>
        <w:ind w:left="737" w:hanging="368"/>
      </w:pPr>
    </w:lvl>
    <w:lvl w:ilvl="2">
      <w:start w:val="1"/>
      <w:numFmt w:val="none"/>
      <w:lvlText w:val=":"/>
      <w:lvlJc w:val="left"/>
      <w:pPr>
        <w:ind w:left="1106" w:hanging="369"/>
      </w:pPr>
    </w:lvl>
    <w:lvl w:ilvl="3">
      <w:start w:val="1"/>
      <w:numFmt w:val="none"/>
      <w:lvlText w:val=""/>
      <w:lvlJc w:val="left"/>
      <w:pPr>
        <w:ind w:left="1474" w:hanging="368"/>
      </w:pPr>
      <w:rPr>
        <w:color w:val="auto"/>
      </w:rPr>
    </w:lvl>
    <w:lvl w:ilvl="4">
      <w:start w:val="1"/>
      <w:numFmt w:val="none"/>
      <w:lvlText w:val=""/>
      <w:lvlJc w:val="left"/>
      <w:pPr>
        <w:ind w:left="1800" w:hanging="360"/>
      </w:pPr>
      <w:rPr>
        <w:color w:val="auto"/>
      </w:rPr>
    </w:lvl>
    <w:lvl w:ilvl="5">
      <w:start w:val="1"/>
      <w:numFmt w:val="none"/>
      <w:lvlText w:val=""/>
      <w:lvlJc w:val="left"/>
      <w:pPr>
        <w:ind w:left="2160" w:hanging="360"/>
      </w:pPr>
      <w:rPr>
        <w:color w:val="auto"/>
      </w:rPr>
    </w:lvl>
    <w:lvl w:ilvl="6">
      <w:start w:val="1"/>
      <w:numFmt w:val="none"/>
      <w:lvlText w:val=""/>
      <w:lvlJc w:val="left"/>
      <w:pPr>
        <w:ind w:left="2520" w:hanging="360"/>
      </w:pPr>
      <w:rPr>
        <w:color w:val="auto"/>
      </w:rPr>
    </w:lvl>
    <w:lvl w:ilvl="7">
      <w:start w:val="1"/>
      <w:numFmt w:val="none"/>
      <w:lvlText w:val=""/>
      <w:lvlJc w:val="left"/>
      <w:pPr>
        <w:ind w:left="2880" w:hanging="360"/>
      </w:pPr>
      <w:rPr>
        <w:color w:val="auto"/>
      </w:rPr>
    </w:lvl>
    <w:lvl w:ilvl="8">
      <w:start w:val="1"/>
      <w:numFmt w:val="none"/>
      <w:lvlText w:val=""/>
      <w:lvlJc w:val="left"/>
      <w:pPr>
        <w:ind w:left="3240" w:hanging="360"/>
      </w:pPr>
      <w:rPr>
        <w:color w:val="auto"/>
      </w:rPr>
    </w:lvl>
  </w:abstractNum>
  <w:abstractNum w:abstractNumId="3" w15:restartNumberingAfterBreak="0">
    <w:nsid w:val="00F7340A"/>
    <w:multiLevelType w:val="multilevel"/>
    <w:tmpl w:val="1BC81502"/>
    <w:lvl w:ilvl="0">
      <w:start w:val="1"/>
      <w:numFmt w:val="decimal"/>
      <w:pStyle w:val="TableListNumber"/>
      <w:lvlText w:val="%1."/>
      <w:lvlJc w:val="left"/>
      <w:pPr>
        <w:tabs>
          <w:tab w:val="num" w:pos="-31680"/>
        </w:tabs>
        <w:ind w:left="369" w:hanging="284"/>
      </w:pPr>
      <w:rPr>
        <w:rFonts w:hint="default"/>
      </w:rPr>
    </w:lvl>
    <w:lvl w:ilvl="1">
      <w:start w:val="1"/>
      <w:numFmt w:val="lowerLetter"/>
      <w:pStyle w:val="TableListNumber2"/>
      <w:lvlText w:val="%2."/>
      <w:lvlJc w:val="left"/>
      <w:pPr>
        <w:ind w:left="652" w:hanging="283"/>
      </w:pPr>
      <w:rPr>
        <w:rFonts w:hint="default"/>
      </w:rPr>
    </w:lvl>
    <w:lvl w:ilvl="2">
      <w:start w:val="1"/>
      <w:numFmt w:val="lowerRoman"/>
      <w:pStyle w:val="TableListNumber3"/>
      <w:lvlText w:val="%3."/>
      <w:lvlJc w:val="left"/>
      <w:pPr>
        <w:ind w:left="936"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6F68CE"/>
    <w:multiLevelType w:val="multilevel"/>
    <w:tmpl w:val="9F2A8B76"/>
    <w:styleLink w:val="MyListNumbering"/>
    <w:lvl w:ilvl="0">
      <w:start w:val="1"/>
      <w:numFmt w:val="lowerLetter"/>
      <w:lvlText w:val="(%1)"/>
      <w:lvlJc w:val="left"/>
      <w:pPr>
        <w:tabs>
          <w:tab w:val="num" w:pos="567"/>
        </w:tabs>
        <w:ind w:left="360" w:hanging="360"/>
      </w:pPr>
      <w:rPr>
        <w:rFonts w:hint="default"/>
      </w:rPr>
    </w:lvl>
    <w:lvl w:ilvl="1">
      <w:start w:val="1"/>
      <w:numFmt w:val="lowerRoman"/>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3B57116"/>
    <w:multiLevelType w:val="multilevel"/>
    <w:tmpl w:val="D8C832B8"/>
    <w:name w:val="TableNumbering2"/>
    <w:lvl w:ilvl="0">
      <w:start w:val="1"/>
      <w:numFmt w:val="none"/>
      <w:suff w:val="nothing"/>
      <w:lvlText w:val=""/>
      <w:lvlJc w:val="left"/>
      <w:pPr>
        <w:ind w:left="113" w:firstLine="0"/>
      </w:pPr>
      <w:rPr>
        <w:rFonts w:hint="default"/>
      </w:rPr>
    </w:lvl>
    <w:lvl w:ilvl="1">
      <w:start w:val="1"/>
      <w:numFmt w:val="decimal"/>
      <w:lvlText w:val="(%2)"/>
      <w:lvlJc w:val="left"/>
      <w:pPr>
        <w:tabs>
          <w:tab w:val="num" w:pos="425"/>
        </w:tabs>
        <w:ind w:left="425" w:hanging="425"/>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6" w15:restartNumberingAfterBreak="0">
    <w:nsid w:val="0FB2573F"/>
    <w:multiLevelType w:val="multilevel"/>
    <w:tmpl w:val="DE1A4C60"/>
    <w:name w:val="TableFootnotes"/>
    <w:lvl w:ilvl="0">
      <w:start w:val="1"/>
      <w:numFmt w:val="none"/>
      <w:suff w:val="nothing"/>
      <w:lvlText w:val=""/>
      <w:lvlJc w:val="left"/>
      <w:pPr>
        <w:ind w:left="113" w:firstLine="0"/>
      </w:pPr>
      <w:rPr>
        <w:rFonts w:hint="default"/>
        <w:spacing w:val="-10"/>
      </w:rPr>
    </w:lvl>
    <w:lvl w:ilvl="1">
      <w:start w:val="1"/>
      <w:numFmt w:val="decimal"/>
      <w:lvlText w:val="(%2)"/>
      <w:lvlJc w:val="left"/>
      <w:pPr>
        <w:tabs>
          <w:tab w:val="num" w:pos="425"/>
        </w:tabs>
        <w:ind w:left="425" w:hanging="425"/>
      </w:pPr>
      <w:rPr>
        <w:rFonts w:hint="default"/>
        <w:spacing w:val="0"/>
        <w:w w:val="100"/>
        <w:kern w:val="0"/>
        <w:position w:val="0"/>
      </w:rPr>
    </w:lvl>
    <w:lvl w:ilvl="2">
      <w:start w:val="1"/>
      <w:numFmt w:val="none"/>
      <w:lvlRestart w:val="1"/>
      <w:lvlText w:val=""/>
      <w:lvlJc w:val="left"/>
      <w:pPr>
        <w:tabs>
          <w:tab w:val="num" w:pos="284"/>
        </w:tabs>
        <w:ind w:left="284" w:hanging="284"/>
      </w:pPr>
      <w:rPr>
        <w:rFonts w:hint="default"/>
        <w:color w:val="auto"/>
        <w:spacing w:val="-4"/>
      </w:rPr>
    </w:lvl>
    <w:lvl w:ilvl="3">
      <w:start w:val="1"/>
      <w:numFmt w:val="none"/>
      <w:lvlText w:val=""/>
      <w:lvlJc w:val="left"/>
      <w:pPr>
        <w:tabs>
          <w:tab w:val="num" w:pos="0"/>
        </w:tabs>
        <w:ind w:left="-709" w:firstLine="0"/>
      </w:pPr>
      <w:rPr>
        <w:rFonts w:hint="default"/>
        <w:spacing w:val="-10"/>
        <w:w w:val="100"/>
      </w:rPr>
    </w:lvl>
    <w:lvl w:ilvl="4">
      <w:start w:val="1"/>
      <w:numFmt w:val="none"/>
      <w:lvlText w:val=""/>
      <w:lvlJc w:val="left"/>
      <w:pPr>
        <w:tabs>
          <w:tab w:val="num" w:pos="2835"/>
        </w:tabs>
        <w:ind w:left="2835" w:hanging="567"/>
      </w:pPr>
      <w:rPr>
        <w:rFonts w:hint="default"/>
      </w:rPr>
    </w:lvl>
    <w:lvl w:ilvl="5">
      <w:start w:val="1"/>
      <w:numFmt w:val="none"/>
      <w:lvlText w:val=""/>
      <w:lvlJc w:val="left"/>
      <w:pPr>
        <w:tabs>
          <w:tab w:val="num" w:pos="2160"/>
        </w:tabs>
        <w:ind w:left="2016" w:hanging="936"/>
      </w:pPr>
      <w:rPr>
        <w:rFonts w:hint="default"/>
      </w:rPr>
    </w:lvl>
    <w:lvl w:ilvl="6">
      <w:start w:val="1"/>
      <w:numFmt w:val="lowerRoman"/>
      <w:lvlRestart w:val="1"/>
      <w:lvlText w:val="%7"/>
      <w:lvlJc w:val="left"/>
      <w:pPr>
        <w:tabs>
          <w:tab w:val="num" w:pos="369"/>
        </w:tabs>
        <w:ind w:left="369" w:hanging="369"/>
      </w:pPr>
      <w:rPr>
        <w:rFonts w:hint="default"/>
      </w:rPr>
    </w:lvl>
    <w:lvl w:ilvl="7">
      <w:start w:val="1"/>
      <w:numFmt w:val="lowerLetter"/>
      <w:lvlText w:val="%8."/>
      <w:lvlJc w:val="left"/>
      <w:pPr>
        <w:tabs>
          <w:tab w:val="num" w:pos="737"/>
        </w:tabs>
        <w:ind w:left="737" w:hanging="368"/>
      </w:pPr>
      <w:rPr>
        <w:rFonts w:hint="default"/>
        <w:position w:val="0"/>
      </w:rPr>
    </w:lvl>
    <w:lvl w:ilvl="8">
      <w:start w:val="1"/>
      <w:numFmt w:val="bullet"/>
      <w:lvlText w:val=""/>
      <w:lvlJc w:val="left"/>
      <w:pPr>
        <w:tabs>
          <w:tab w:val="num" w:pos="1106"/>
        </w:tabs>
        <w:ind w:left="1106" w:hanging="369"/>
      </w:pPr>
      <w:rPr>
        <w:rFonts w:ascii="Symbol" w:hAnsi="Symbol" w:hint="default"/>
        <w:position w:val="2"/>
        <w:sz w:val="20"/>
        <w:szCs w:val="20"/>
      </w:rPr>
    </w:lvl>
  </w:abstractNum>
  <w:abstractNum w:abstractNumId="7" w15:restartNumberingAfterBreak="0">
    <w:nsid w:val="14890D1D"/>
    <w:multiLevelType w:val="multilevel"/>
    <w:tmpl w:val="62467878"/>
    <w:name w:val="MyBullets"/>
    <w:lvl w:ilvl="0">
      <w:start w:val="7"/>
      <w:numFmt w:val="bullet"/>
      <w:pStyle w:val="ListBullet"/>
      <w:lvlText w:val=""/>
      <w:lvlJc w:val="left"/>
      <w:pPr>
        <w:tabs>
          <w:tab w:val="num" w:pos="357"/>
        </w:tabs>
        <w:ind w:left="357" w:hanging="357"/>
      </w:pPr>
      <w:rPr>
        <w:rFonts w:ascii="Wingdings" w:hAnsi="Wingdings" w:hint="default"/>
        <w:color w:val="auto"/>
        <w:position w:val="1"/>
        <w:sz w:val="20"/>
      </w:rPr>
    </w:lvl>
    <w:lvl w:ilvl="1">
      <w:start w:val="5"/>
      <w:numFmt w:val="bullet"/>
      <w:lvlText w:val="—"/>
      <w:lvlJc w:val="left"/>
      <w:pPr>
        <w:tabs>
          <w:tab w:val="num" w:pos="714"/>
        </w:tabs>
        <w:ind w:left="714" w:hanging="357"/>
      </w:pPr>
      <w:rPr>
        <w:rFonts w:ascii="Book Antiqua" w:hAnsi="Book Antiqua" w:hint="default"/>
        <w:b w:val="0"/>
        <w:i w:val="0"/>
        <w:color w:val="auto"/>
        <w:position w:val="0"/>
        <w:sz w:val="20"/>
      </w:rPr>
    </w:lvl>
    <w:lvl w:ilvl="2">
      <w:start w:val="1"/>
      <w:numFmt w:val="bullet"/>
      <w:lvlText w:val=""/>
      <w:lvlJc w:val="left"/>
      <w:pPr>
        <w:tabs>
          <w:tab w:val="num" w:pos="1072"/>
        </w:tabs>
        <w:ind w:left="1071" w:hanging="357"/>
      </w:pPr>
      <w:rPr>
        <w:rFonts w:ascii="Wingdings" w:hAnsi="Wingdings" w:hint="default"/>
        <w:b w:val="0"/>
        <w:i w:val="0"/>
        <w:color w:val="auto"/>
        <w:position w:val="0"/>
        <w:sz w:val="22"/>
      </w:rPr>
    </w:lvl>
    <w:lvl w:ilvl="3">
      <w:start w:val="1"/>
      <w:numFmt w:val="bullet"/>
      <w:pStyle w:val="ListBullet4"/>
      <w:lvlText w:val="-"/>
      <w:lvlJc w:val="left"/>
      <w:pPr>
        <w:tabs>
          <w:tab w:val="num" w:pos="1638"/>
        </w:tabs>
        <w:ind w:left="1428" w:hanging="357"/>
      </w:pPr>
      <w:rPr>
        <w:rFonts w:ascii="Arial Rounded MT Bold" w:hAnsi="Arial Rounded MT Bold" w:hint="default"/>
        <w:color w:val="auto"/>
      </w:rPr>
    </w:lvl>
    <w:lvl w:ilvl="4">
      <w:start w:val="1"/>
      <w:numFmt w:val="bullet"/>
      <w:pStyle w:val="ListBullet5"/>
      <w:lvlText w:val="o"/>
      <w:lvlJc w:val="left"/>
      <w:pPr>
        <w:tabs>
          <w:tab w:val="num" w:pos="1995"/>
        </w:tabs>
        <w:ind w:left="1785" w:hanging="357"/>
      </w:pPr>
      <w:rPr>
        <w:rFonts w:ascii="Courier New" w:hAnsi="Courier New" w:hint="default"/>
        <w:color w:val="auto"/>
        <w:sz w:val="16"/>
      </w:rPr>
    </w:lvl>
    <w:lvl w:ilvl="5">
      <w:start w:val="1"/>
      <w:numFmt w:val="none"/>
      <w:lvlText w:val=""/>
      <w:lvlJc w:val="left"/>
      <w:pPr>
        <w:tabs>
          <w:tab w:val="num" w:pos="2352"/>
        </w:tabs>
        <w:ind w:left="2142" w:hanging="357"/>
      </w:pPr>
      <w:rPr>
        <w:rFonts w:hint="default"/>
      </w:rPr>
    </w:lvl>
    <w:lvl w:ilvl="6">
      <w:start w:val="1"/>
      <w:numFmt w:val="none"/>
      <w:lvlText w:val=""/>
      <w:lvlJc w:val="left"/>
      <w:pPr>
        <w:tabs>
          <w:tab w:val="num" w:pos="2709"/>
        </w:tabs>
        <w:ind w:left="2499" w:hanging="357"/>
      </w:pPr>
      <w:rPr>
        <w:rFonts w:hint="default"/>
      </w:rPr>
    </w:lvl>
    <w:lvl w:ilvl="7">
      <w:start w:val="1"/>
      <w:numFmt w:val="none"/>
      <w:lvlText w:val=""/>
      <w:lvlJc w:val="left"/>
      <w:pPr>
        <w:tabs>
          <w:tab w:val="num" w:pos="3066"/>
        </w:tabs>
        <w:ind w:left="2856" w:hanging="357"/>
      </w:pPr>
      <w:rPr>
        <w:rFonts w:hint="default"/>
      </w:rPr>
    </w:lvl>
    <w:lvl w:ilvl="8">
      <w:start w:val="1"/>
      <w:numFmt w:val="none"/>
      <w:lvlText w:val=""/>
      <w:lvlJc w:val="left"/>
      <w:pPr>
        <w:tabs>
          <w:tab w:val="num" w:pos="3423"/>
        </w:tabs>
        <w:ind w:left="3213" w:hanging="357"/>
      </w:pPr>
      <w:rPr>
        <w:rFonts w:hint="default"/>
      </w:rPr>
    </w:lvl>
  </w:abstractNum>
  <w:abstractNum w:abstractNumId="8" w15:restartNumberingAfterBreak="0">
    <w:nsid w:val="1A3A6266"/>
    <w:multiLevelType w:val="multilevel"/>
    <w:tmpl w:val="F6E68370"/>
    <w:lvl w:ilvl="0">
      <w:start w:val="1"/>
      <w:numFmt w:val="bullet"/>
      <w:pStyle w:val="AERbulletlistsecondstyle"/>
      <w:lvlText w:val=""/>
      <w:lvlJc w:val="left"/>
      <w:pPr>
        <w:ind w:left="717" w:hanging="360"/>
      </w:pPr>
      <w:rPr>
        <w:rFonts w:ascii="Wingdings 2" w:hAnsi="Wingdings 2" w:hint="default"/>
        <w:b w:val="0"/>
        <w:bCs w:val="0"/>
        <w:i w:val="0"/>
        <w:iCs w:val="0"/>
        <w:caps w:val="0"/>
        <w:strike w:val="0"/>
        <w:dstrike w:val="0"/>
        <w:outline w:val="0"/>
        <w:shadow w:val="0"/>
        <w:emboss w:val="0"/>
        <w:imprint w:val="0"/>
        <w:vanish w:val="0"/>
        <w:spacing w:val="0"/>
        <w:kern w:val="0"/>
        <w:position w:val="0"/>
        <w:sz w:val="18"/>
        <w:u w:val="none"/>
        <w:vertAlign w:val="baseline"/>
        <w:em w:val="none"/>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sz w:val="20"/>
        <w:szCs w:val="20"/>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FF6579C"/>
    <w:multiLevelType w:val="multilevel"/>
    <w:tmpl w:val="CC28B484"/>
    <w:name w:val="MyNumbering2"/>
    <w:lvl w:ilvl="0">
      <w:start w:val="1"/>
      <w:numFmt w:val="decimal"/>
      <w:pStyle w:val="ListNumber"/>
      <w:lvlText w:val="%1."/>
      <w:lvlJc w:val="left"/>
      <w:pPr>
        <w:ind w:left="357" w:hanging="357"/>
      </w:pPr>
      <w:rPr>
        <w:rFonts w:hint="default"/>
      </w:rPr>
    </w:lvl>
    <w:lvl w:ilvl="1">
      <w:start w:val="1"/>
      <w:numFmt w:val="lowerLetter"/>
      <w:pStyle w:val="ListNumber2"/>
      <w:lvlText w:val="%2."/>
      <w:lvlJc w:val="left"/>
      <w:pPr>
        <w:ind w:left="714" w:hanging="357"/>
      </w:pPr>
      <w:rPr>
        <w:rFonts w:hint="default"/>
      </w:rPr>
    </w:lvl>
    <w:lvl w:ilvl="2">
      <w:start w:val="1"/>
      <w:numFmt w:val="lowerRoman"/>
      <w:pStyle w:val="ListNumber3"/>
      <w:lvlText w:val="%3."/>
      <w:lvlJc w:val="left"/>
      <w:pPr>
        <w:ind w:left="1071" w:hanging="357"/>
      </w:pPr>
      <w:rPr>
        <w:rFonts w:hint="default"/>
      </w:rPr>
    </w:lvl>
    <w:lvl w:ilvl="3">
      <w:start w:val="1"/>
      <w:numFmt w:val="upperLetter"/>
      <w:pStyle w:val="ListNumber4"/>
      <w:lvlText w:val="%4."/>
      <w:lvlJc w:val="left"/>
      <w:pPr>
        <w:ind w:left="1428" w:hanging="357"/>
      </w:pPr>
      <w:rPr>
        <w:rFonts w:hint="default"/>
      </w:rPr>
    </w:lvl>
    <w:lvl w:ilvl="4">
      <w:start w:val="1"/>
      <w:numFmt w:val="upperRoman"/>
      <w:pStyle w:val="ListNumber5"/>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abstractNum w:abstractNumId="10" w15:restartNumberingAfterBreak="0">
    <w:nsid w:val="226A6EE6"/>
    <w:multiLevelType w:val="multilevel"/>
    <w:tmpl w:val="E4FE780E"/>
    <w:lvl w:ilvl="0">
      <w:start w:val="1"/>
      <w:numFmt w:val="bullet"/>
      <w:pStyle w:val="TableBullet1"/>
      <w:lvlText w:val=""/>
      <w:lvlJc w:val="left"/>
      <w:pPr>
        <w:tabs>
          <w:tab w:val="num" w:pos="312"/>
        </w:tabs>
        <w:ind w:left="312" w:hanging="227"/>
      </w:pPr>
      <w:rPr>
        <w:rFonts w:ascii="Wingdings" w:hAnsi="Wingdings" w:hint="default"/>
        <w:color w:val="auto"/>
        <w:position w:val="0"/>
        <w:sz w:val="18"/>
      </w:rPr>
    </w:lvl>
    <w:lvl w:ilvl="1">
      <w:start w:val="1"/>
      <w:numFmt w:val="bullet"/>
      <w:pStyle w:val="TableBullet2"/>
      <w:lvlText w:val="–"/>
      <w:lvlJc w:val="left"/>
      <w:pPr>
        <w:tabs>
          <w:tab w:val="num" w:pos="539"/>
        </w:tabs>
        <w:ind w:left="539" w:hanging="227"/>
      </w:pPr>
      <w:rPr>
        <w:rFonts w:ascii="Arial" w:hAnsi="Arial" w:hint="default"/>
        <w:color w:val="auto"/>
        <w:position w:val="0"/>
        <w:sz w:val="18"/>
      </w:rPr>
    </w:lvl>
    <w:lvl w:ilvl="2">
      <w:start w:val="1"/>
      <w:numFmt w:val="bullet"/>
      <w:pStyle w:val="TableBullet3"/>
      <w:lvlText w:val="•"/>
      <w:lvlJc w:val="left"/>
      <w:pPr>
        <w:tabs>
          <w:tab w:val="num" w:pos="765"/>
        </w:tabs>
        <w:ind w:left="765" w:hanging="226"/>
      </w:pPr>
      <w:rPr>
        <w:rFonts w:ascii="Book Antiqua" w:hAnsi="Book Antiqua" w:hint="default"/>
        <w:color w:val="auto"/>
        <w:position w:val="0"/>
        <w:sz w:val="18"/>
      </w:rPr>
    </w:lvl>
    <w:lvl w:ilvl="3">
      <w:start w:val="1"/>
      <w:numFmt w:val="none"/>
      <w:lvlText w:val=""/>
      <w:lvlJc w:val="left"/>
      <w:pPr>
        <w:tabs>
          <w:tab w:val="num" w:pos="1021"/>
        </w:tabs>
        <w:ind w:left="908" w:hanging="227"/>
      </w:pPr>
      <w:rPr>
        <w:rFonts w:hint="default"/>
        <w:color w:val="214C90" w:themeColor="text2"/>
        <w:sz w:val="16"/>
      </w:rPr>
    </w:lvl>
    <w:lvl w:ilvl="4">
      <w:start w:val="1"/>
      <w:numFmt w:val="none"/>
      <w:lvlText w:val=""/>
      <w:lvlJc w:val="left"/>
      <w:pPr>
        <w:tabs>
          <w:tab w:val="num" w:pos="1248"/>
        </w:tabs>
        <w:ind w:left="1135" w:hanging="227"/>
      </w:pPr>
      <w:rPr>
        <w:rFonts w:hint="default"/>
        <w:color w:val="214C90" w:themeColor="text2"/>
      </w:rPr>
    </w:lvl>
    <w:lvl w:ilvl="5">
      <w:start w:val="1"/>
      <w:numFmt w:val="none"/>
      <w:lvlText w:val=""/>
      <w:lvlJc w:val="left"/>
      <w:pPr>
        <w:tabs>
          <w:tab w:val="num" w:pos="1475"/>
        </w:tabs>
        <w:ind w:left="1362" w:hanging="227"/>
      </w:pPr>
      <w:rPr>
        <w:rFonts w:hint="default"/>
      </w:rPr>
    </w:lvl>
    <w:lvl w:ilvl="6">
      <w:start w:val="1"/>
      <w:numFmt w:val="none"/>
      <w:lvlText w:val=""/>
      <w:lvlJc w:val="left"/>
      <w:pPr>
        <w:tabs>
          <w:tab w:val="num" w:pos="1702"/>
        </w:tabs>
        <w:ind w:left="1589" w:hanging="227"/>
      </w:pPr>
      <w:rPr>
        <w:rFonts w:hint="default"/>
      </w:rPr>
    </w:lvl>
    <w:lvl w:ilvl="7">
      <w:start w:val="1"/>
      <w:numFmt w:val="none"/>
      <w:lvlText w:val=""/>
      <w:lvlJc w:val="left"/>
      <w:pPr>
        <w:tabs>
          <w:tab w:val="num" w:pos="1929"/>
        </w:tabs>
        <w:ind w:left="1816" w:hanging="227"/>
      </w:pPr>
      <w:rPr>
        <w:rFonts w:hint="default"/>
      </w:rPr>
    </w:lvl>
    <w:lvl w:ilvl="8">
      <w:start w:val="1"/>
      <w:numFmt w:val="none"/>
      <w:lvlText w:val=""/>
      <w:lvlJc w:val="left"/>
      <w:pPr>
        <w:tabs>
          <w:tab w:val="num" w:pos="2156"/>
        </w:tabs>
        <w:ind w:left="2043" w:hanging="227"/>
      </w:pPr>
      <w:rPr>
        <w:rFonts w:hint="default"/>
      </w:rPr>
    </w:lvl>
  </w:abstractNum>
  <w:abstractNum w:abstractNumId="11" w15:restartNumberingAfterBreak="0">
    <w:nsid w:val="23594EC4"/>
    <w:multiLevelType w:val="hybridMultilevel"/>
    <w:tmpl w:val="D11474C2"/>
    <w:lvl w:ilvl="0" w:tplc="1F52F16E">
      <w:start w:val="1"/>
      <w:numFmt w:val="decimal"/>
      <w:lvlText w:val="%1."/>
      <w:lvlJc w:val="left"/>
      <w:pPr>
        <w:ind w:left="720" w:hanging="360"/>
      </w:pPr>
      <w:rPr>
        <w:rFonts w:ascii="Arial" w:hAnsi="Arial" w:hint="default"/>
        <w:b w:val="0"/>
        <w:i w:val="0"/>
        <w:sz w:val="22"/>
        <w:szCs w:val="26"/>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54B6A47"/>
    <w:multiLevelType w:val="multilevel"/>
    <w:tmpl w:val="305A6728"/>
    <w:name w:val="AlphaList"/>
    <w:lvl w:ilvl="0">
      <w:start w:val="1"/>
      <w:numFmt w:val="lowerLetter"/>
      <w:lvlText w:val="(%1)"/>
      <w:lvlJc w:val="left"/>
      <w:pPr>
        <w:tabs>
          <w:tab w:val="num" w:pos="397"/>
        </w:tabs>
        <w:ind w:left="397" w:hanging="397"/>
      </w:pPr>
      <w:rPr>
        <w:rFonts w:hint="default"/>
      </w:rPr>
    </w:lvl>
    <w:lvl w:ilvl="1">
      <w:start w:val="1"/>
      <w:numFmt w:val="lowerRoman"/>
      <w:lvlText w:val="(%2)"/>
      <w:lvlJc w:val="left"/>
      <w:pPr>
        <w:tabs>
          <w:tab w:val="num" w:pos="794"/>
        </w:tabs>
        <w:ind w:left="794" w:hanging="397"/>
      </w:pPr>
      <w:rPr>
        <w:rFonts w:hint="default"/>
      </w:rPr>
    </w:lvl>
    <w:lvl w:ilvl="2">
      <w:start w:val="1"/>
      <w:numFmt w:val="upperLetter"/>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none"/>
      <w:lvlText w:val=""/>
      <w:lvlJc w:val="left"/>
      <w:pPr>
        <w:tabs>
          <w:tab w:val="num" w:pos="2013"/>
        </w:tabs>
        <w:ind w:left="1985" w:hanging="397"/>
      </w:pPr>
      <w:rPr>
        <w:rFonts w:hint="default"/>
      </w:rPr>
    </w:lvl>
    <w:lvl w:ilvl="5">
      <w:start w:val="1"/>
      <w:numFmt w:val="none"/>
      <w:lvlText w:val=""/>
      <w:lvlJc w:val="left"/>
      <w:pPr>
        <w:tabs>
          <w:tab w:val="num" w:pos="2410"/>
        </w:tabs>
        <w:ind w:left="2382" w:hanging="397"/>
      </w:pPr>
      <w:rPr>
        <w:rFonts w:hint="default"/>
      </w:rPr>
    </w:lvl>
    <w:lvl w:ilvl="6">
      <w:start w:val="1"/>
      <w:numFmt w:val="none"/>
      <w:lvlText w:val=""/>
      <w:lvlJc w:val="left"/>
      <w:pPr>
        <w:tabs>
          <w:tab w:val="num" w:pos="2807"/>
        </w:tabs>
        <w:ind w:left="2779" w:hanging="397"/>
      </w:pPr>
      <w:rPr>
        <w:rFonts w:hint="default"/>
      </w:rPr>
    </w:lvl>
    <w:lvl w:ilvl="7">
      <w:start w:val="1"/>
      <w:numFmt w:val="none"/>
      <w:lvlText w:val=""/>
      <w:lvlJc w:val="left"/>
      <w:pPr>
        <w:tabs>
          <w:tab w:val="num" w:pos="3204"/>
        </w:tabs>
        <w:ind w:left="3176" w:hanging="397"/>
      </w:pPr>
      <w:rPr>
        <w:rFonts w:hint="default"/>
      </w:rPr>
    </w:lvl>
    <w:lvl w:ilvl="8">
      <w:start w:val="1"/>
      <w:numFmt w:val="none"/>
      <w:lvlText w:val=""/>
      <w:lvlJc w:val="left"/>
      <w:pPr>
        <w:tabs>
          <w:tab w:val="num" w:pos="3601"/>
        </w:tabs>
        <w:ind w:left="3573" w:hanging="397"/>
      </w:pPr>
      <w:rPr>
        <w:rFonts w:hint="default"/>
      </w:rPr>
    </w:lvl>
  </w:abstractNum>
  <w:abstractNum w:abstractNumId="13" w15:restartNumberingAfterBreak="0">
    <w:nsid w:val="27C445F5"/>
    <w:multiLevelType w:val="multilevel"/>
    <w:tmpl w:val="0EDEA0D8"/>
    <w:styleLink w:val="HangingList"/>
    <w:lvl w:ilvl="0">
      <w:start w:val="1"/>
      <w:numFmt w:val="none"/>
      <w:suff w:val="nothing"/>
      <w:lvlText w:val=""/>
      <w:lvlJc w:val="left"/>
      <w:pPr>
        <w:ind w:left="992" w:hanging="992"/>
      </w:pPr>
      <w:rPr>
        <w:rFonts w:hint="default"/>
      </w:rPr>
    </w:lvl>
    <w:lvl w:ilvl="1">
      <w:start w:val="1"/>
      <w:numFmt w:val="none"/>
      <w:suff w:val="nothing"/>
      <w:lvlText w:val=""/>
      <w:lvlJc w:val="left"/>
      <w:pPr>
        <w:ind w:left="1701" w:hanging="709"/>
      </w:pPr>
      <w:rPr>
        <w:rFonts w:hint="default"/>
      </w:rPr>
    </w:lvl>
    <w:lvl w:ilvl="2">
      <w:start w:val="1"/>
      <w:numFmt w:val="none"/>
      <w:suff w:val="nothing"/>
      <w:lvlText w:val=""/>
      <w:lvlJc w:val="left"/>
      <w:pPr>
        <w:ind w:left="2410" w:hanging="709"/>
      </w:pPr>
      <w:rPr>
        <w:rFonts w:hint="default"/>
      </w:rPr>
    </w:lvl>
    <w:lvl w:ilvl="3">
      <w:start w:val="1"/>
      <w:numFmt w:val="none"/>
      <w:suff w:val="nothing"/>
      <w:lvlText w:val=""/>
      <w:lvlJc w:val="left"/>
      <w:pPr>
        <w:ind w:left="3119" w:hanging="709"/>
      </w:pPr>
      <w:rPr>
        <w:rFonts w:hint="default"/>
      </w:rPr>
    </w:lvl>
    <w:lvl w:ilvl="4">
      <w:start w:val="1"/>
      <w:numFmt w:val="none"/>
      <w:suff w:val="nothing"/>
      <w:lvlText w:val=""/>
      <w:lvlJc w:val="left"/>
      <w:pPr>
        <w:ind w:left="3828" w:hanging="709"/>
      </w:pPr>
      <w:rPr>
        <w:rFonts w:hint="default"/>
      </w:rPr>
    </w:lvl>
    <w:lvl w:ilvl="5">
      <w:start w:val="1"/>
      <w:numFmt w:val="none"/>
      <w:suff w:val="nothing"/>
      <w:lvlText w:val=""/>
      <w:lvlJc w:val="left"/>
      <w:pPr>
        <w:ind w:left="4537" w:hanging="710"/>
      </w:pPr>
      <w:rPr>
        <w:rFonts w:hint="default"/>
      </w:rPr>
    </w:lvl>
    <w:lvl w:ilvl="6">
      <w:start w:val="1"/>
      <w:numFmt w:val="none"/>
      <w:suff w:val="nothing"/>
      <w:lvlText w:val=""/>
      <w:lvlJc w:val="left"/>
      <w:pPr>
        <w:ind w:left="5246" w:hanging="710"/>
      </w:pPr>
      <w:rPr>
        <w:rFonts w:hint="default"/>
      </w:rPr>
    </w:lvl>
    <w:lvl w:ilvl="7">
      <w:start w:val="1"/>
      <w:numFmt w:val="none"/>
      <w:suff w:val="nothing"/>
      <w:lvlText w:val=""/>
      <w:lvlJc w:val="left"/>
      <w:pPr>
        <w:ind w:left="5955" w:hanging="992"/>
      </w:pPr>
      <w:rPr>
        <w:rFonts w:hint="default"/>
      </w:rPr>
    </w:lvl>
    <w:lvl w:ilvl="8">
      <w:start w:val="1"/>
      <w:numFmt w:val="none"/>
      <w:suff w:val="nothing"/>
      <w:lvlText w:val=""/>
      <w:lvlJc w:val="left"/>
      <w:pPr>
        <w:ind w:left="6664" w:hanging="992"/>
      </w:pPr>
      <w:rPr>
        <w:rFonts w:hint="default"/>
      </w:rPr>
    </w:lvl>
  </w:abstractNum>
  <w:abstractNum w:abstractNumId="14" w15:restartNumberingAfterBreak="0">
    <w:nsid w:val="2911260D"/>
    <w:multiLevelType w:val="multilevel"/>
    <w:tmpl w:val="1F4E711A"/>
    <w:lvl w:ilvl="0">
      <w:start w:val="1"/>
      <w:numFmt w:val="decimal"/>
      <w:pStyle w:val="NotesNumbered"/>
      <w:lvlText w:val="%1."/>
      <w:lvlJc w:val="left"/>
      <w:pPr>
        <w:tabs>
          <w:tab w:val="num" w:pos="284"/>
        </w:tabs>
        <w:ind w:left="284" w:hanging="28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C976934"/>
    <w:multiLevelType w:val="multilevel"/>
    <w:tmpl w:val="C9881CB4"/>
    <w:name w:val="TableBullets"/>
    <w:styleLink w:val="TableBullets"/>
    <w:lvl w:ilvl="0">
      <w:start w:val="1"/>
      <w:numFmt w:val="bullet"/>
      <w:suff w:val="nothing"/>
      <w:lvlText w:val=""/>
      <w:lvlJc w:val="left"/>
      <w:pPr>
        <w:ind w:left="284" w:hanging="171"/>
      </w:pPr>
      <w:rPr>
        <w:rFonts w:ascii="Symbol" w:hAnsi="Symbol" w:hint="default"/>
        <w:color w:val="auto"/>
      </w:rPr>
    </w:lvl>
    <w:lvl w:ilvl="1">
      <w:start w:val="1"/>
      <w:numFmt w:val="bullet"/>
      <w:lvlText w:val="–"/>
      <w:lvlJc w:val="left"/>
      <w:pPr>
        <w:ind w:left="454" w:hanging="170"/>
      </w:pPr>
      <w:rPr>
        <w:rFonts w:ascii="Georgia" w:hAnsi="Georgia" w:hint="default"/>
        <w:color w:val="auto"/>
      </w:rPr>
    </w:lvl>
    <w:lvl w:ilvl="2">
      <w:start w:val="1"/>
      <w:numFmt w:val="bullet"/>
      <w:lvlText w:val="o"/>
      <w:lvlJc w:val="left"/>
      <w:pPr>
        <w:tabs>
          <w:tab w:val="num" w:pos="454"/>
        </w:tabs>
        <w:ind w:left="624" w:hanging="170"/>
      </w:pPr>
      <w:rPr>
        <w:rFonts w:ascii="Courier New" w:hAnsi="Courier New"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6" w15:restartNumberingAfterBreak="0">
    <w:nsid w:val="315672CA"/>
    <w:multiLevelType w:val="multilevel"/>
    <w:tmpl w:val="938274C0"/>
    <w:name w:val="Table Numbering"/>
    <w:lvl w:ilvl="0">
      <w:start w:val="1"/>
      <w:numFmt w:val="decimal"/>
      <w:lvlText w:val="%1."/>
      <w:lvlJc w:val="left"/>
      <w:pPr>
        <w:tabs>
          <w:tab w:val="num" w:pos="425"/>
        </w:tabs>
        <w:ind w:left="425" w:hanging="425"/>
      </w:pPr>
      <w:rPr>
        <w:rFonts w:hint="default"/>
        <w:b/>
        <w:i w:val="0"/>
        <w:color w:val="auto"/>
      </w:rPr>
    </w:lvl>
    <w:lvl w:ilvl="1">
      <w:start w:val="1"/>
      <w:numFmt w:val="lowerLetter"/>
      <w:lvlText w:val="%2)"/>
      <w:lvlJc w:val="left"/>
      <w:pPr>
        <w:tabs>
          <w:tab w:val="num" w:pos="851"/>
        </w:tabs>
        <w:ind w:left="850" w:hanging="425"/>
      </w:pPr>
      <w:rPr>
        <w:rFonts w:hint="default"/>
        <w:b/>
        <w:i w:val="0"/>
        <w:color w:val="auto"/>
      </w:rPr>
    </w:lvl>
    <w:lvl w:ilvl="2">
      <w:start w:val="1"/>
      <w:numFmt w:val="lowerRoman"/>
      <w:lvlText w:val="%3)"/>
      <w:lvlJc w:val="left"/>
      <w:pPr>
        <w:tabs>
          <w:tab w:val="num" w:pos="1276"/>
        </w:tabs>
        <w:ind w:left="1275" w:hanging="425"/>
      </w:pPr>
      <w:rPr>
        <w:rFonts w:hint="default"/>
        <w:b/>
        <w:i w:val="0"/>
        <w:color w:val="auto"/>
        <w:sz w:val="18"/>
      </w:rPr>
    </w:lvl>
    <w:lvl w:ilvl="3">
      <w:start w:val="1"/>
      <w:numFmt w:val="none"/>
      <w:lvlText w:val="%4"/>
      <w:lvlJc w:val="left"/>
      <w:pPr>
        <w:tabs>
          <w:tab w:val="num" w:pos="1701"/>
        </w:tabs>
        <w:ind w:left="1700" w:hanging="425"/>
      </w:pPr>
      <w:rPr>
        <w:rFonts w:hint="default"/>
        <w:b/>
        <w:i w:val="0"/>
        <w:color w:val="000000" w:themeColor="text1"/>
      </w:rPr>
    </w:lvl>
    <w:lvl w:ilvl="4">
      <w:start w:val="1"/>
      <w:numFmt w:val="none"/>
      <w:lvlText w:val="%5"/>
      <w:lvlJc w:val="left"/>
      <w:pPr>
        <w:tabs>
          <w:tab w:val="num" w:pos="2126"/>
        </w:tabs>
        <w:ind w:left="2125" w:hanging="425"/>
      </w:pPr>
      <w:rPr>
        <w:rFonts w:hint="default"/>
        <w:b/>
        <w:i w:val="0"/>
        <w:color w:val="000000" w:themeColor="text1"/>
      </w:rPr>
    </w:lvl>
    <w:lvl w:ilvl="5">
      <w:start w:val="1"/>
      <w:numFmt w:val="none"/>
      <w:lvlText w:val=""/>
      <w:lvlJc w:val="left"/>
      <w:pPr>
        <w:tabs>
          <w:tab w:val="num" w:pos="2522"/>
        </w:tabs>
        <w:ind w:left="2550" w:hanging="425"/>
      </w:pPr>
      <w:rPr>
        <w:rFonts w:hint="default"/>
      </w:rPr>
    </w:lvl>
    <w:lvl w:ilvl="6">
      <w:start w:val="1"/>
      <w:numFmt w:val="none"/>
      <w:lvlText w:val=""/>
      <w:lvlJc w:val="left"/>
      <w:pPr>
        <w:tabs>
          <w:tab w:val="num" w:pos="2947"/>
        </w:tabs>
        <w:ind w:left="2975" w:hanging="425"/>
      </w:pPr>
      <w:rPr>
        <w:rFonts w:hint="default"/>
      </w:rPr>
    </w:lvl>
    <w:lvl w:ilvl="7">
      <w:start w:val="1"/>
      <w:numFmt w:val="none"/>
      <w:lvlText w:val=""/>
      <w:lvlJc w:val="left"/>
      <w:pPr>
        <w:tabs>
          <w:tab w:val="num" w:pos="3372"/>
        </w:tabs>
        <w:ind w:left="3400" w:hanging="425"/>
      </w:pPr>
      <w:rPr>
        <w:rFonts w:hint="default"/>
      </w:rPr>
    </w:lvl>
    <w:lvl w:ilvl="8">
      <w:start w:val="1"/>
      <w:numFmt w:val="none"/>
      <w:lvlText w:val=""/>
      <w:lvlJc w:val="left"/>
      <w:pPr>
        <w:tabs>
          <w:tab w:val="num" w:pos="3797"/>
        </w:tabs>
        <w:ind w:left="3825" w:hanging="425"/>
      </w:pPr>
      <w:rPr>
        <w:rFonts w:hint="default"/>
      </w:rPr>
    </w:lvl>
  </w:abstractNum>
  <w:abstractNum w:abstractNumId="17" w15:restartNumberingAfterBreak="0">
    <w:nsid w:val="35972C60"/>
    <w:multiLevelType w:val="hybridMultilevel"/>
    <w:tmpl w:val="B14899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EDB238B"/>
    <w:multiLevelType w:val="multilevel"/>
    <w:tmpl w:val="D110F2AC"/>
    <w:lvl w:ilvl="0">
      <w:start w:val="1"/>
      <w:numFmt w:val="decimal"/>
      <w:pStyle w:val="Heading1"/>
      <w:lvlText w:val="%1."/>
      <w:lvlJc w:val="left"/>
      <w:pPr>
        <w:ind w:left="624" w:hanging="624"/>
      </w:pPr>
      <w:rPr>
        <w:rFonts w:hint="default"/>
      </w:rPr>
    </w:lvl>
    <w:lvl w:ilvl="1">
      <w:start w:val="1"/>
      <w:numFmt w:val="decimal"/>
      <w:pStyle w:val="Heading2"/>
      <w:lvlText w:val="%1.%2"/>
      <w:lvlJc w:val="left"/>
      <w:pPr>
        <w:ind w:left="624" w:hanging="624"/>
      </w:pPr>
      <w:rPr>
        <w:rFonts w:hint="default"/>
      </w:rPr>
    </w:lvl>
    <w:lvl w:ilvl="2">
      <w:start w:val="1"/>
      <w:numFmt w:val="decimal"/>
      <w:pStyle w:val="Heading3"/>
      <w:lvlText w:val="%1.%2.%3"/>
      <w:lvlJc w:val="left"/>
      <w:pPr>
        <w:ind w:left="624" w:hanging="624"/>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443F74CB"/>
    <w:multiLevelType w:val="hybridMultilevel"/>
    <w:tmpl w:val="550AFBE6"/>
    <w:lvl w:ilvl="0" w:tplc="D4F0A01E">
      <w:start w:val="1"/>
      <w:numFmt w:val="decimal"/>
      <w:pStyle w:val="AERnumberedlistfirststyle"/>
      <w:lvlText w:val="%1."/>
      <w:lvlJc w:val="left"/>
      <w:pPr>
        <w:tabs>
          <w:tab w:val="num" w:pos="357"/>
        </w:tabs>
        <w:ind w:left="357" w:hanging="357"/>
      </w:pPr>
      <w:rPr>
        <w:rFonts w:ascii="Gautami" w:hAnsi="Gautami" w:hint="default"/>
        <w:b w:val="0"/>
        <w:i w:val="0"/>
        <w:sz w:val="22"/>
      </w:rPr>
    </w:lvl>
    <w:lvl w:ilvl="1" w:tplc="32F652EA">
      <w:start w:val="1"/>
      <w:numFmt w:val="bullet"/>
      <w:lvlText w:val=""/>
      <w:lvlJc w:val="left"/>
      <w:pPr>
        <w:tabs>
          <w:tab w:val="num" w:pos="4498"/>
        </w:tabs>
        <w:ind w:left="4498" w:hanging="358"/>
      </w:pPr>
      <w:rPr>
        <w:rFonts w:ascii="Wingdings" w:hAnsi="Wingdings" w:hint="default"/>
        <w:b w:val="0"/>
        <w:i w:val="0"/>
        <w:sz w:val="22"/>
      </w:rPr>
    </w:lvl>
    <w:lvl w:ilvl="2" w:tplc="5ABC4262" w:tentative="1">
      <w:start w:val="1"/>
      <w:numFmt w:val="lowerRoman"/>
      <w:lvlText w:val="%3."/>
      <w:lvlJc w:val="right"/>
      <w:pPr>
        <w:tabs>
          <w:tab w:val="num" w:pos="5220"/>
        </w:tabs>
        <w:ind w:left="5220" w:hanging="180"/>
      </w:pPr>
    </w:lvl>
    <w:lvl w:ilvl="3" w:tplc="268C5056" w:tentative="1">
      <w:start w:val="1"/>
      <w:numFmt w:val="decimal"/>
      <w:lvlText w:val="%4."/>
      <w:lvlJc w:val="left"/>
      <w:pPr>
        <w:tabs>
          <w:tab w:val="num" w:pos="5940"/>
        </w:tabs>
        <w:ind w:left="5940" w:hanging="360"/>
      </w:pPr>
    </w:lvl>
    <w:lvl w:ilvl="4" w:tplc="42CAC7D0">
      <w:start w:val="1"/>
      <w:numFmt w:val="lowerLetter"/>
      <w:lvlText w:val="%5."/>
      <w:lvlJc w:val="left"/>
      <w:pPr>
        <w:tabs>
          <w:tab w:val="num" w:pos="6660"/>
        </w:tabs>
        <w:ind w:left="6660" w:hanging="360"/>
      </w:pPr>
    </w:lvl>
    <w:lvl w:ilvl="5" w:tplc="EB7EE31A">
      <w:start w:val="1"/>
      <w:numFmt w:val="lowerRoman"/>
      <w:lvlText w:val="%6."/>
      <w:lvlJc w:val="right"/>
      <w:pPr>
        <w:tabs>
          <w:tab w:val="num" w:pos="7380"/>
        </w:tabs>
        <w:ind w:left="7380" w:hanging="180"/>
      </w:pPr>
    </w:lvl>
    <w:lvl w:ilvl="6" w:tplc="E6D86F90" w:tentative="1">
      <w:start w:val="1"/>
      <w:numFmt w:val="decimal"/>
      <w:lvlText w:val="%7."/>
      <w:lvlJc w:val="left"/>
      <w:pPr>
        <w:tabs>
          <w:tab w:val="num" w:pos="8100"/>
        </w:tabs>
        <w:ind w:left="8100" w:hanging="360"/>
      </w:pPr>
    </w:lvl>
    <w:lvl w:ilvl="7" w:tplc="882C84EC" w:tentative="1">
      <w:start w:val="1"/>
      <w:numFmt w:val="lowerLetter"/>
      <w:lvlText w:val="%8."/>
      <w:lvlJc w:val="left"/>
      <w:pPr>
        <w:tabs>
          <w:tab w:val="num" w:pos="8820"/>
        </w:tabs>
        <w:ind w:left="8820" w:hanging="360"/>
      </w:pPr>
    </w:lvl>
    <w:lvl w:ilvl="8" w:tplc="DD3E2D30" w:tentative="1">
      <w:start w:val="1"/>
      <w:numFmt w:val="lowerRoman"/>
      <w:lvlText w:val="%9."/>
      <w:lvlJc w:val="right"/>
      <w:pPr>
        <w:tabs>
          <w:tab w:val="num" w:pos="9540"/>
        </w:tabs>
        <w:ind w:left="9540" w:hanging="180"/>
      </w:pPr>
    </w:lvl>
  </w:abstractNum>
  <w:abstractNum w:abstractNumId="20" w15:restartNumberingAfterBreak="0">
    <w:nsid w:val="4BB40629"/>
    <w:multiLevelType w:val="hybridMultilevel"/>
    <w:tmpl w:val="EC841D10"/>
    <w:lvl w:ilvl="0" w:tplc="8F8EC1A6">
      <w:start w:val="1"/>
      <w:numFmt w:val="bullet"/>
      <w:lvlText w:val="-"/>
      <w:lvlJc w:val="left"/>
      <w:pPr>
        <w:ind w:left="72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EF67232"/>
    <w:multiLevelType w:val="multilevel"/>
    <w:tmpl w:val="965CF50A"/>
    <w:lvl w:ilvl="0">
      <w:start w:val="1"/>
      <w:numFmt w:val="upperLetter"/>
      <w:lvlRestart w:val="0"/>
      <w:pStyle w:val="Heading9"/>
      <w:lvlText w:val="Appendix %1"/>
      <w:lvlJc w:val="left"/>
      <w:pPr>
        <w:ind w:left="1588" w:hanging="1588"/>
      </w:pPr>
      <w:rPr>
        <w:rFonts w:hint="default"/>
      </w:rPr>
    </w:lvl>
    <w:lvl w:ilvl="1">
      <w:start w:val="1"/>
      <w:numFmt w:val="decimal"/>
      <w:pStyle w:val="AppendixHeading2"/>
      <w:lvlText w:val="%1.%2"/>
      <w:lvlJc w:val="left"/>
      <w:pPr>
        <w:ind w:left="624" w:hanging="624"/>
      </w:pPr>
      <w:rPr>
        <w:rFonts w:hint="default"/>
      </w:rPr>
    </w:lvl>
    <w:lvl w:ilvl="2">
      <w:start w:val="1"/>
      <w:numFmt w:val="decimal"/>
      <w:pStyle w:val="AppendixHeading3"/>
      <w:lvlText w:val="%1.%2.%3"/>
      <w:lvlJc w:val="left"/>
      <w:pPr>
        <w:ind w:left="624" w:hanging="624"/>
      </w:pPr>
      <w:rPr>
        <w:rFonts w:hint="default"/>
      </w:rPr>
    </w:lvl>
    <w:lvl w:ilvl="3">
      <w:start w:val="1"/>
      <w:numFmt w:val="decimal"/>
      <w:pStyle w:val="AppendixHeading4"/>
      <w:lvlText w:val="%1.%2.%3.%4"/>
      <w:lvlJc w:val="left"/>
      <w:pPr>
        <w:ind w:left="907" w:hanging="907"/>
      </w:pPr>
      <w:rPr>
        <w:rFonts w:hint="default"/>
        <w:b/>
        <w:i/>
      </w:rPr>
    </w:lvl>
    <w:lvl w:ilvl="4">
      <w:start w:val="1"/>
      <w:numFmt w:val="none"/>
      <w:suff w:val="spac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2" w15:restartNumberingAfterBreak="0">
    <w:nsid w:val="516027D0"/>
    <w:multiLevelType w:val="hybridMultilevel"/>
    <w:tmpl w:val="23B2D8F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2456C28"/>
    <w:multiLevelType w:val="multilevel"/>
    <w:tmpl w:val="472A8ED0"/>
    <w:name w:val="U1_Legal Numbering"/>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tabs>
          <w:tab w:val="num" w:pos="1134"/>
        </w:tabs>
        <w:ind w:left="1814" w:hanging="680"/>
      </w:pPr>
      <w:rPr>
        <w:rFonts w:hint="default"/>
      </w:rPr>
    </w:lvl>
    <w:lvl w:ilvl="3">
      <w:start w:val="1"/>
      <w:numFmt w:val="decimal"/>
      <w:suff w:val="space"/>
      <w:lvlText w:val="%1.%2.%3.%4  "/>
      <w:lvlJc w:val="left"/>
      <w:pPr>
        <w:ind w:left="2268" w:hanging="454"/>
      </w:pPr>
      <w:rPr>
        <w:rFonts w:hint="default"/>
      </w:rPr>
    </w:lvl>
    <w:lvl w:ilvl="4">
      <w:start w:val="1"/>
      <w:numFmt w:val="none"/>
      <w:suff w:val="space"/>
      <w:lvlText w:val=""/>
      <w:lvlJc w:val="left"/>
      <w:pPr>
        <w:ind w:left="2835" w:hanging="567"/>
      </w:pPr>
      <w:rPr>
        <w:rFonts w:hint="default"/>
      </w:rPr>
    </w:lvl>
    <w:lvl w:ilvl="5">
      <w:start w:val="1"/>
      <w:numFmt w:val="none"/>
      <w:suff w:val="space"/>
      <w:lvlText w:val=""/>
      <w:lvlJc w:val="left"/>
      <w:pPr>
        <w:ind w:left="3402" w:hanging="567"/>
      </w:pPr>
      <w:rPr>
        <w:rFonts w:hint="default"/>
      </w:rPr>
    </w:lvl>
    <w:lvl w:ilvl="6">
      <w:start w:val="1"/>
      <w:numFmt w:val="none"/>
      <w:suff w:val="space"/>
      <w:lvlText w:val=""/>
      <w:lvlJc w:val="left"/>
      <w:pPr>
        <w:ind w:left="3969" w:hanging="567"/>
      </w:pPr>
      <w:rPr>
        <w:rFonts w:hint="default"/>
      </w:rPr>
    </w:lvl>
    <w:lvl w:ilvl="7">
      <w:start w:val="1"/>
      <w:numFmt w:val="none"/>
      <w:suff w:val="space"/>
      <w:lvlText w:val=""/>
      <w:lvlJc w:val="left"/>
      <w:pPr>
        <w:ind w:left="4536" w:hanging="567"/>
      </w:pPr>
      <w:rPr>
        <w:rFonts w:hint="default"/>
      </w:rPr>
    </w:lvl>
    <w:lvl w:ilvl="8">
      <w:start w:val="1"/>
      <w:numFmt w:val="none"/>
      <w:suff w:val="space"/>
      <w:lvlText w:val=""/>
      <w:lvlJc w:val="left"/>
      <w:pPr>
        <w:ind w:left="5103" w:hanging="567"/>
      </w:pPr>
      <w:rPr>
        <w:rFonts w:hint="default"/>
      </w:rPr>
    </w:lvl>
  </w:abstractNum>
  <w:abstractNum w:abstractNumId="24" w15:restartNumberingAfterBreak="0">
    <w:nsid w:val="52890B29"/>
    <w:multiLevelType w:val="hybridMultilevel"/>
    <w:tmpl w:val="067CFC18"/>
    <w:name w:val="MyHeadings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8741D25"/>
    <w:multiLevelType w:val="multilevel"/>
    <w:tmpl w:val="10107B4A"/>
    <w:name w:val="TableNumbering"/>
    <w:styleLink w:val="TableFootnotes"/>
    <w:lvl w:ilvl="0">
      <w:start w:val="1"/>
      <w:numFmt w:val="none"/>
      <w:suff w:val="nothing"/>
      <w:lvlText w:val=""/>
      <w:lvlJc w:val="left"/>
      <w:pPr>
        <w:ind w:left="0" w:firstLine="0"/>
      </w:pPr>
      <w:rPr>
        <w:rFonts w:hint="default"/>
      </w:rPr>
    </w:lvl>
    <w:lvl w:ilvl="1">
      <w:start w:val="1"/>
      <w:numFmt w:val="decimal"/>
      <w:lvlText w:val="(%2)"/>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26" w15:restartNumberingAfterBreak="0">
    <w:nsid w:val="5AE6625A"/>
    <w:multiLevelType w:val="multilevel"/>
    <w:tmpl w:val="FF203CF0"/>
    <w:name w:val="MyHeadings"/>
    <w:lvl w:ilvl="0">
      <w:start w:val="1"/>
      <w:numFmt w:val="decimal"/>
      <w:suff w:val="space"/>
      <w:lvlText w:val="%1."/>
      <w:lvlJc w:val="left"/>
      <w:pPr>
        <w:ind w:left="0" w:firstLine="0"/>
      </w:pPr>
      <w:rPr>
        <w:rFonts w:asciiTheme="majorHAnsi" w:hAnsiTheme="majorHAnsi" w:hint="default"/>
        <w:b/>
        <w:i w:val="0"/>
        <w:color w:val="E1E2E7" w:themeColor="background2"/>
        <w:sz w:val="40"/>
      </w:rPr>
    </w:lvl>
    <w:lvl w:ilvl="1">
      <w:start w:val="1"/>
      <w:numFmt w:val="decimal"/>
      <w:suff w:val="space"/>
      <w:lvlText w:val="%1.%2"/>
      <w:lvlJc w:val="left"/>
      <w:pPr>
        <w:ind w:left="0" w:firstLine="0"/>
      </w:pPr>
      <w:rPr>
        <w:rFonts w:asciiTheme="majorHAnsi" w:hAnsiTheme="majorHAnsi" w:hint="default"/>
        <w:b/>
        <w:i w:val="0"/>
        <w:color w:val="214C90" w:themeColor="text2"/>
        <w:spacing w:val="-6"/>
        <w:sz w:val="32"/>
      </w:rPr>
    </w:lvl>
    <w:lvl w:ilvl="2">
      <w:start w:val="1"/>
      <w:numFmt w:val="decimal"/>
      <w:suff w:val="space"/>
      <w:lvlText w:val="%1.%2.%3"/>
      <w:lvlJc w:val="left"/>
      <w:pPr>
        <w:ind w:left="0" w:firstLine="0"/>
      </w:pPr>
      <w:rPr>
        <w:rFonts w:asciiTheme="majorHAnsi" w:hAnsiTheme="majorHAnsi" w:hint="default"/>
        <w:b/>
        <w:i w:val="0"/>
        <w:color w:val="46A6A9" w:themeColor="accent2"/>
        <w:spacing w:val="-4"/>
        <w:sz w:val="24"/>
      </w:rPr>
    </w:lvl>
    <w:lvl w:ilvl="3">
      <w:start w:val="1"/>
      <w:numFmt w:val="decimal"/>
      <w:suff w:val="space"/>
      <w:lvlText w:val="%1.%2.%3.%4"/>
      <w:lvlJc w:val="left"/>
      <w:pPr>
        <w:ind w:left="0" w:firstLine="0"/>
      </w:pPr>
      <w:rPr>
        <w:rFonts w:asciiTheme="majorHAnsi" w:hAnsiTheme="majorHAnsi" w:hint="default"/>
        <w:b/>
        <w:i w:val="0"/>
        <w:color w:val="auto"/>
        <w:sz w:val="20"/>
      </w:rPr>
    </w:lvl>
    <w:lvl w:ilvl="4">
      <w:start w:val="1"/>
      <w:numFmt w:val="none"/>
      <w:suff w:val="space"/>
      <w:lvlText w:val=""/>
      <w:lvlJc w:val="left"/>
      <w:pPr>
        <w:ind w:left="0" w:firstLine="0"/>
      </w:pPr>
      <w:rPr>
        <w:rFonts w:hint="default"/>
      </w:rPr>
    </w:lvl>
    <w:lvl w:ilvl="5">
      <w:start w:val="1"/>
      <w:numFmt w:val="none"/>
      <w:lvlText w:val=""/>
      <w:lvlJc w:val="left"/>
      <w:pPr>
        <w:tabs>
          <w:tab w:val="num" w:pos="-31680"/>
        </w:tabs>
        <w:ind w:left="0" w:firstLine="0"/>
      </w:pPr>
      <w:rPr>
        <w:rFonts w:hint="default"/>
      </w:rPr>
    </w:lvl>
    <w:lvl w:ilvl="6">
      <w:start w:val="1"/>
      <w:numFmt w:val="none"/>
      <w:lvlText w:val=""/>
      <w:lvlJc w:val="left"/>
      <w:pPr>
        <w:tabs>
          <w:tab w:val="num" w:pos="-31680"/>
        </w:tabs>
        <w:ind w:left="0" w:firstLine="0"/>
      </w:pPr>
      <w:rPr>
        <w:rFonts w:hint="default"/>
      </w:rPr>
    </w:lvl>
    <w:lvl w:ilvl="7">
      <w:start w:val="1"/>
      <w:numFmt w:val="none"/>
      <w:lvlText w:val=""/>
      <w:lvlJc w:val="left"/>
      <w:pPr>
        <w:tabs>
          <w:tab w:val="num" w:pos="-3168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27" w15:restartNumberingAfterBreak="0">
    <w:nsid w:val="5D0540A9"/>
    <w:multiLevelType w:val="multilevel"/>
    <w:tmpl w:val="DBC00818"/>
    <w:name w:val="MyAppendicesNumbering"/>
    <w:lvl w:ilvl="0">
      <w:start w:val="1"/>
      <w:numFmt w:val="upperLetter"/>
      <w:suff w:val="space"/>
      <w:lvlText w:val="Appendix %1."/>
      <w:lvlJc w:val="left"/>
      <w:pPr>
        <w:ind w:left="0" w:firstLine="0"/>
      </w:pPr>
      <w:rPr>
        <w:rFonts w:asciiTheme="majorHAnsi" w:hAnsiTheme="majorHAnsi" w:hint="default"/>
        <w:b/>
        <w:i w:val="0"/>
        <w:sz w:val="40"/>
      </w:rPr>
    </w:lvl>
    <w:lvl w:ilvl="1">
      <w:start w:val="1"/>
      <w:numFmt w:val="decimal"/>
      <w:suff w:val="space"/>
      <w:lvlText w:val="%1.%2"/>
      <w:lvlJc w:val="left"/>
      <w:pPr>
        <w:ind w:left="0" w:firstLine="0"/>
      </w:pPr>
      <w:rPr>
        <w:rFonts w:hint="default"/>
        <w:sz w:val="32"/>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right"/>
      <w:pPr>
        <w:tabs>
          <w:tab w:val="num" w:pos="2268"/>
        </w:tabs>
        <w:ind w:left="0" w:firstLine="0"/>
      </w:pPr>
      <w:rPr>
        <w:rFonts w:hint="default"/>
      </w:rPr>
    </w:lvl>
    <w:lvl w:ilvl="6">
      <w:start w:val="1"/>
      <w:numFmt w:val="none"/>
      <w:lvlText w:val=""/>
      <w:lvlJc w:val="left"/>
      <w:pPr>
        <w:tabs>
          <w:tab w:val="num" w:pos="2268"/>
        </w:tabs>
        <w:ind w:left="0" w:firstLine="0"/>
      </w:pPr>
      <w:rPr>
        <w:rFonts w:hint="default"/>
      </w:rPr>
    </w:lvl>
    <w:lvl w:ilvl="7">
      <w:start w:val="1"/>
      <w:numFmt w:val="none"/>
      <w:lvlText w:val=""/>
      <w:lvlJc w:val="left"/>
      <w:pPr>
        <w:tabs>
          <w:tab w:val="num" w:pos="2268"/>
        </w:tabs>
        <w:ind w:left="0" w:firstLine="0"/>
      </w:pPr>
      <w:rPr>
        <w:rFonts w:hint="default"/>
      </w:rPr>
    </w:lvl>
    <w:lvl w:ilvl="8">
      <w:start w:val="1"/>
      <w:numFmt w:val="none"/>
      <w:lvlText w:val=""/>
      <w:lvlJc w:val="right"/>
      <w:pPr>
        <w:tabs>
          <w:tab w:val="num" w:pos="2268"/>
        </w:tabs>
        <w:ind w:left="0" w:firstLine="0"/>
      </w:pPr>
      <w:rPr>
        <w:rFonts w:hint="default"/>
      </w:rPr>
    </w:lvl>
  </w:abstractNum>
  <w:abstractNum w:abstractNumId="28" w15:restartNumberingAfterBreak="0">
    <w:nsid w:val="6CDB4AAD"/>
    <w:multiLevelType w:val="multilevel"/>
    <w:tmpl w:val="015CA19A"/>
    <w:lvl w:ilvl="0">
      <w:start w:val="1"/>
      <w:numFmt w:val="bullet"/>
      <w:pStyle w:val="BulletsL1"/>
      <w:lvlText w:val=""/>
      <w:lvlJc w:val="left"/>
      <w:pPr>
        <w:tabs>
          <w:tab w:val="num" w:pos="851"/>
        </w:tabs>
        <w:ind w:left="851" w:hanging="851"/>
      </w:pPr>
      <w:rPr>
        <w:rFonts w:ascii="Symbol" w:hAnsi="Symbol" w:hint="default"/>
        <w:b w:val="0"/>
        <w:i w:val="0"/>
        <w:sz w:val="22"/>
        <w:szCs w:val="16"/>
      </w:rPr>
    </w:lvl>
    <w:lvl w:ilvl="1">
      <w:start w:val="1"/>
      <w:numFmt w:val="bullet"/>
      <w:pStyle w:val="BulletsL2"/>
      <w:lvlText w:val=""/>
      <w:lvlJc w:val="left"/>
      <w:pPr>
        <w:tabs>
          <w:tab w:val="num" w:pos="1701"/>
        </w:tabs>
        <w:ind w:left="1701" w:hanging="850"/>
      </w:pPr>
      <w:rPr>
        <w:rFonts w:ascii="Symbol" w:hAnsi="Symbol" w:hint="default"/>
        <w:sz w:val="22"/>
        <w:szCs w:val="18"/>
      </w:rPr>
    </w:lvl>
    <w:lvl w:ilvl="2">
      <w:start w:val="1"/>
      <w:numFmt w:val="bullet"/>
      <w:pStyle w:val="BulletsL3"/>
      <w:lvlText w:val=""/>
      <w:lvlJc w:val="left"/>
      <w:pPr>
        <w:tabs>
          <w:tab w:val="num" w:pos="2552"/>
        </w:tabs>
        <w:ind w:left="2552" w:hanging="851"/>
      </w:pPr>
      <w:rPr>
        <w:rFonts w:ascii="Symbol" w:hAnsi="Symbol" w:hint="default"/>
        <w:color w:val="auto"/>
        <w:sz w:val="22"/>
      </w:rPr>
    </w:lvl>
    <w:lvl w:ilvl="3">
      <w:start w:val="1"/>
      <w:numFmt w:val="bullet"/>
      <w:lvlText w:val="o"/>
      <w:lvlJc w:val="left"/>
      <w:pPr>
        <w:tabs>
          <w:tab w:val="num" w:pos="2948"/>
        </w:tabs>
        <w:ind w:left="737" w:firstLine="1474"/>
      </w:pPr>
      <w:rPr>
        <w:rFonts w:ascii="Courier" w:hAnsi="Courier" w:hint="default"/>
      </w:rPr>
    </w:lvl>
    <w:lvl w:ilvl="4">
      <w:start w:val="1"/>
      <w:numFmt w:val="bullet"/>
      <w:lvlText w:val=""/>
      <w:lvlJc w:val="left"/>
      <w:pPr>
        <w:tabs>
          <w:tab w:val="num" w:pos="2948"/>
        </w:tabs>
        <w:ind w:left="737" w:firstLine="2211"/>
      </w:pPr>
      <w:rPr>
        <w:rFonts w:ascii="Symbol" w:hAnsi="Symbol" w:hint="default"/>
        <w:color w:val="auto"/>
      </w:rPr>
    </w:lvl>
    <w:lvl w:ilvl="5">
      <w:start w:val="1"/>
      <w:numFmt w:val="bullet"/>
      <w:lvlText w:val="o"/>
      <w:lvlJc w:val="left"/>
      <w:pPr>
        <w:tabs>
          <w:tab w:val="num" w:pos="3686"/>
        </w:tabs>
        <w:ind w:left="737" w:firstLine="2949"/>
      </w:pPr>
      <w:rPr>
        <w:rFonts w:ascii="Courier" w:hAnsi="Courier" w:hint="default"/>
      </w:rPr>
    </w:lvl>
    <w:lvl w:ilvl="6">
      <w:start w:val="1"/>
      <w:numFmt w:val="none"/>
      <w:suff w:val="nothing"/>
      <w:lvlText w:val=""/>
      <w:lvlJc w:val="left"/>
      <w:pPr>
        <w:ind w:left="0" w:firstLine="0"/>
      </w:pPr>
    </w:lvl>
    <w:lvl w:ilvl="7">
      <w:start w:val="1"/>
      <w:numFmt w:val="none"/>
      <w:lvlText w:val=""/>
      <w:lvlJc w:val="left"/>
      <w:pPr>
        <w:tabs>
          <w:tab w:val="num" w:pos="737"/>
        </w:tabs>
        <w:ind w:left="0" w:firstLine="0"/>
      </w:pPr>
      <w:rPr>
        <w:rFonts w:ascii="Tms Rmn" w:hAnsi="Tms Rmn" w:hint="default"/>
      </w:rPr>
    </w:lvl>
    <w:lvl w:ilvl="8">
      <w:start w:val="1"/>
      <w:numFmt w:val="none"/>
      <w:lvlText w:val=""/>
      <w:lvlJc w:val="left"/>
      <w:pPr>
        <w:tabs>
          <w:tab w:val="num" w:pos="737"/>
        </w:tabs>
        <w:ind w:left="0" w:firstLine="0"/>
      </w:pPr>
      <w:rPr>
        <w:rFonts w:ascii="Tms Rmn" w:hAnsi="Tms Rmn" w:hint="default"/>
      </w:rPr>
    </w:lvl>
  </w:abstractNum>
  <w:abstractNum w:abstractNumId="29" w15:restartNumberingAfterBreak="0">
    <w:nsid w:val="72224F0A"/>
    <w:multiLevelType w:val="multilevel"/>
    <w:tmpl w:val="4F5E492C"/>
    <w:name w:val="Bullets"/>
    <w:lvl w:ilvl="0">
      <w:start w:val="1"/>
      <w:numFmt w:val="bullet"/>
      <w:lvlText w:val=""/>
      <w:lvlJc w:val="left"/>
      <w:pPr>
        <w:tabs>
          <w:tab w:val="num" w:pos="425"/>
        </w:tabs>
        <w:ind w:left="425" w:hanging="425"/>
      </w:pPr>
      <w:rPr>
        <w:rFonts w:ascii="Wingdings" w:hAnsi="Wingdings" w:hint="default"/>
        <w:color w:val="214C90" w:themeColor="text2"/>
        <w:position w:val="0"/>
        <w:sz w:val="20"/>
      </w:rPr>
    </w:lvl>
    <w:lvl w:ilvl="1">
      <w:start w:val="1"/>
      <w:numFmt w:val="bullet"/>
      <w:lvlText w:val=""/>
      <w:lvlJc w:val="left"/>
      <w:pPr>
        <w:tabs>
          <w:tab w:val="num" w:pos="851"/>
        </w:tabs>
        <w:ind w:left="850" w:hanging="425"/>
      </w:pPr>
      <w:rPr>
        <w:rFonts w:ascii="Wingdings" w:hAnsi="Wingdings" w:hint="default"/>
        <w:color w:val="214C90" w:themeColor="text2"/>
      </w:rPr>
    </w:lvl>
    <w:lvl w:ilvl="2">
      <w:start w:val="1"/>
      <w:numFmt w:val="bullet"/>
      <w:lvlText w:val=""/>
      <w:lvlJc w:val="left"/>
      <w:pPr>
        <w:tabs>
          <w:tab w:val="num" w:pos="1276"/>
        </w:tabs>
        <w:ind w:left="1275" w:hanging="425"/>
      </w:pPr>
      <w:rPr>
        <w:rFonts w:ascii="Symbol" w:hAnsi="Symbol" w:hint="default"/>
        <w:color w:val="214C90" w:themeColor="text2"/>
      </w:rPr>
    </w:lvl>
    <w:lvl w:ilvl="3">
      <w:start w:val="1"/>
      <w:numFmt w:val="bullet"/>
      <w:lvlText w:val=""/>
      <w:lvlJc w:val="left"/>
      <w:pPr>
        <w:tabs>
          <w:tab w:val="num" w:pos="1701"/>
        </w:tabs>
        <w:ind w:left="1700" w:hanging="425"/>
      </w:pPr>
      <w:rPr>
        <w:rFonts w:ascii="Symbol" w:hAnsi="Symbol" w:hint="default"/>
        <w:color w:val="214C90" w:themeColor="text2"/>
        <w:sz w:val="20"/>
      </w:rPr>
    </w:lvl>
    <w:lvl w:ilvl="4">
      <w:start w:val="1"/>
      <w:numFmt w:val="bullet"/>
      <w:lvlText w:val=""/>
      <w:lvlJc w:val="left"/>
      <w:pPr>
        <w:tabs>
          <w:tab w:val="num" w:pos="2126"/>
        </w:tabs>
        <w:ind w:left="2125" w:hanging="425"/>
      </w:pPr>
      <w:rPr>
        <w:rFonts w:ascii="Wingdings" w:hAnsi="Wingdings" w:hint="default"/>
        <w:color w:val="214C90" w:themeColor="text2"/>
      </w:rPr>
    </w:lvl>
    <w:lvl w:ilvl="5">
      <w:start w:val="1"/>
      <w:numFmt w:val="lowerRoman"/>
      <w:lvlText w:val="(%6)"/>
      <w:lvlJc w:val="left"/>
      <w:pPr>
        <w:tabs>
          <w:tab w:val="num" w:pos="3630"/>
        </w:tabs>
        <w:ind w:left="2550" w:hanging="425"/>
      </w:pPr>
      <w:rPr>
        <w:rFonts w:hint="default"/>
      </w:rPr>
    </w:lvl>
    <w:lvl w:ilvl="6">
      <w:start w:val="1"/>
      <w:numFmt w:val="decimal"/>
      <w:lvlText w:val="%7."/>
      <w:lvlJc w:val="left"/>
      <w:pPr>
        <w:tabs>
          <w:tab w:val="num" w:pos="4055"/>
        </w:tabs>
        <w:ind w:left="2975" w:hanging="425"/>
      </w:pPr>
      <w:rPr>
        <w:rFonts w:hint="default"/>
      </w:rPr>
    </w:lvl>
    <w:lvl w:ilvl="7">
      <w:start w:val="1"/>
      <w:numFmt w:val="lowerLetter"/>
      <w:lvlText w:val="%8."/>
      <w:lvlJc w:val="left"/>
      <w:pPr>
        <w:tabs>
          <w:tab w:val="num" w:pos="4480"/>
        </w:tabs>
        <w:ind w:left="3400" w:hanging="425"/>
      </w:pPr>
      <w:rPr>
        <w:rFonts w:hint="default"/>
      </w:rPr>
    </w:lvl>
    <w:lvl w:ilvl="8">
      <w:start w:val="1"/>
      <w:numFmt w:val="lowerRoman"/>
      <w:lvlText w:val="%9."/>
      <w:lvlJc w:val="left"/>
      <w:pPr>
        <w:tabs>
          <w:tab w:val="num" w:pos="4905"/>
        </w:tabs>
        <w:ind w:left="3825" w:hanging="425"/>
      </w:pPr>
      <w:rPr>
        <w:rFonts w:hint="default"/>
      </w:rPr>
    </w:lvl>
  </w:abstractNum>
  <w:abstractNum w:abstractNumId="30" w15:restartNumberingAfterBreak="0">
    <w:nsid w:val="731E1525"/>
    <w:multiLevelType w:val="multilevel"/>
    <w:tmpl w:val="BBCC0276"/>
    <w:lvl w:ilvl="0">
      <w:start w:val="7"/>
      <w:numFmt w:val="bullet"/>
      <w:lvlText w:val=""/>
      <w:lvlJc w:val="left"/>
      <w:pPr>
        <w:tabs>
          <w:tab w:val="num" w:pos="357"/>
        </w:tabs>
        <w:ind w:left="357" w:hanging="357"/>
      </w:pPr>
      <w:rPr>
        <w:rFonts w:ascii="Wingdings" w:hAnsi="Wingdings" w:hint="default"/>
        <w:color w:val="auto"/>
        <w:position w:val="1"/>
        <w:sz w:val="20"/>
      </w:rPr>
    </w:lvl>
    <w:lvl w:ilvl="1">
      <w:start w:val="5"/>
      <w:numFmt w:val="bullet"/>
      <w:lvlText w:val="—"/>
      <w:lvlJc w:val="left"/>
      <w:pPr>
        <w:tabs>
          <w:tab w:val="num" w:pos="714"/>
        </w:tabs>
        <w:ind w:left="714" w:hanging="357"/>
      </w:pPr>
      <w:rPr>
        <w:rFonts w:ascii="Book Antiqua" w:hAnsi="Book Antiqua" w:hint="default"/>
        <w:b w:val="0"/>
        <w:i w:val="0"/>
        <w:color w:val="auto"/>
        <w:position w:val="0"/>
        <w:sz w:val="20"/>
      </w:rPr>
    </w:lvl>
    <w:lvl w:ilvl="2">
      <w:start w:val="1"/>
      <w:numFmt w:val="bullet"/>
      <w:lvlText w:val=""/>
      <w:lvlJc w:val="left"/>
      <w:pPr>
        <w:tabs>
          <w:tab w:val="num" w:pos="1072"/>
        </w:tabs>
        <w:ind w:left="1071" w:hanging="357"/>
      </w:pPr>
      <w:rPr>
        <w:rFonts w:ascii="Symbol" w:hAnsi="Symbol" w:hint="default"/>
        <w:b w:val="0"/>
        <w:i w:val="0"/>
        <w:color w:val="auto"/>
        <w:position w:val="0"/>
        <w:sz w:val="22"/>
      </w:rPr>
    </w:lvl>
    <w:lvl w:ilvl="3">
      <w:start w:val="1"/>
      <w:numFmt w:val="bullet"/>
      <w:lvlText w:val="-"/>
      <w:lvlJc w:val="left"/>
      <w:pPr>
        <w:tabs>
          <w:tab w:val="num" w:pos="1638"/>
        </w:tabs>
        <w:ind w:left="1428" w:hanging="357"/>
      </w:pPr>
      <w:rPr>
        <w:rFonts w:ascii="Arial Rounded MT Bold" w:hAnsi="Arial Rounded MT Bold" w:hint="default"/>
        <w:color w:val="auto"/>
      </w:rPr>
    </w:lvl>
    <w:lvl w:ilvl="4">
      <w:start w:val="1"/>
      <w:numFmt w:val="bullet"/>
      <w:lvlText w:val="o"/>
      <w:lvlJc w:val="left"/>
      <w:pPr>
        <w:tabs>
          <w:tab w:val="num" w:pos="1995"/>
        </w:tabs>
        <w:ind w:left="1785" w:hanging="357"/>
      </w:pPr>
      <w:rPr>
        <w:rFonts w:ascii="Courier New" w:hAnsi="Courier New" w:hint="default"/>
        <w:color w:val="auto"/>
        <w:sz w:val="16"/>
      </w:rPr>
    </w:lvl>
    <w:lvl w:ilvl="5">
      <w:start w:val="1"/>
      <w:numFmt w:val="none"/>
      <w:lvlText w:val=""/>
      <w:lvlJc w:val="left"/>
      <w:pPr>
        <w:tabs>
          <w:tab w:val="num" w:pos="2352"/>
        </w:tabs>
        <w:ind w:left="2142" w:hanging="357"/>
      </w:pPr>
      <w:rPr>
        <w:rFonts w:hint="default"/>
      </w:rPr>
    </w:lvl>
    <w:lvl w:ilvl="6">
      <w:start w:val="1"/>
      <w:numFmt w:val="none"/>
      <w:lvlText w:val=""/>
      <w:lvlJc w:val="left"/>
      <w:pPr>
        <w:tabs>
          <w:tab w:val="num" w:pos="2709"/>
        </w:tabs>
        <w:ind w:left="2499" w:hanging="357"/>
      </w:pPr>
      <w:rPr>
        <w:rFonts w:hint="default"/>
      </w:rPr>
    </w:lvl>
    <w:lvl w:ilvl="7">
      <w:start w:val="1"/>
      <w:numFmt w:val="none"/>
      <w:lvlText w:val=""/>
      <w:lvlJc w:val="left"/>
      <w:pPr>
        <w:tabs>
          <w:tab w:val="num" w:pos="3066"/>
        </w:tabs>
        <w:ind w:left="2856" w:hanging="357"/>
      </w:pPr>
      <w:rPr>
        <w:rFonts w:hint="default"/>
      </w:rPr>
    </w:lvl>
    <w:lvl w:ilvl="8">
      <w:start w:val="1"/>
      <w:numFmt w:val="none"/>
      <w:lvlText w:val=""/>
      <w:lvlJc w:val="left"/>
      <w:pPr>
        <w:tabs>
          <w:tab w:val="num" w:pos="3423"/>
        </w:tabs>
        <w:ind w:left="3213" w:hanging="357"/>
      </w:pPr>
      <w:rPr>
        <w:rFonts w:hint="default"/>
      </w:rPr>
    </w:lvl>
  </w:abstractNum>
  <w:abstractNum w:abstractNumId="31" w15:restartNumberingAfterBreak="0">
    <w:nsid w:val="7332277A"/>
    <w:multiLevelType w:val="multilevel"/>
    <w:tmpl w:val="581475EC"/>
    <w:lvl w:ilvl="0">
      <w:start w:val="1"/>
      <w:numFmt w:val="bullet"/>
      <w:lvlText w:val=""/>
      <w:lvlJc w:val="left"/>
      <w:pPr>
        <w:tabs>
          <w:tab w:val="num" w:pos="312"/>
        </w:tabs>
        <w:ind w:left="312" w:hanging="227"/>
      </w:pPr>
      <w:rPr>
        <w:rFonts w:ascii="Symbol" w:hAnsi="Symbol" w:hint="default"/>
        <w:color w:val="auto"/>
        <w:position w:val="0"/>
        <w:sz w:val="18"/>
      </w:rPr>
    </w:lvl>
    <w:lvl w:ilvl="1">
      <w:start w:val="1"/>
      <w:numFmt w:val="bullet"/>
      <w:lvlText w:val="–"/>
      <w:lvlJc w:val="left"/>
      <w:pPr>
        <w:tabs>
          <w:tab w:val="num" w:pos="539"/>
        </w:tabs>
        <w:ind w:left="539" w:hanging="227"/>
      </w:pPr>
      <w:rPr>
        <w:rFonts w:ascii="Arial" w:hAnsi="Arial" w:hint="default"/>
        <w:color w:val="auto"/>
        <w:position w:val="0"/>
        <w:sz w:val="18"/>
      </w:rPr>
    </w:lvl>
    <w:lvl w:ilvl="2">
      <w:start w:val="1"/>
      <w:numFmt w:val="bullet"/>
      <w:lvlText w:val="•"/>
      <w:lvlJc w:val="left"/>
      <w:pPr>
        <w:tabs>
          <w:tab w:val="num" w:pos="765"/>
        </w:tabs>
        <w:ind w:left="765" w:hanging="226"/>
      </w:pPr>
      <w:rPr>
        <w:rFonts w:ascii="Book Antiqua" w:hAnsi="Book Antiqua" w:hint="default"/>
        <w:color w:val="auto"/>
        <w:position w:val="0"/>
        <w:sz w:val="18"/>
      </w:rPr>
    </w:lvl>
    <w:lvl w:ilvl="3">
      <w:start w:val="1"/>
      <w:numFmt w:val="none"/>
      <w:lvlText w:val=""/>
      <w:lvlJc w:val="left"/>
      <w:pPr>
        <w:tabs>
          <w:tab w:val="num" w:pos="1021"/>
        </w:tabs>
        <w:ind w:left="908" w:hanging="227"/>
      </w:pPr>
      <w:rPr>
        <w:rFonts w:hint="default"/>
        <w:color w:val="214C90" w:themeColor="text2"/>
        <w:sz w:val="16"/>
      </w:rPr>
    </w:lvl>
    <w:lvl w:ilvl="4">
      <w:start w:val="1"/>
      <w:numFmt w:val="none"/>
      <w:lvlText w:val=""/>
      <w:lvlJc w:val="left"/>
      <w:pPr>
        <w:tabs>
          <w:tab w:val="num" w:pos="1248"/>
        </w:tabs>
        <w:ind w:left="1135" w:hanging="227"/>
      </w:pPr>
      <w:rPr>
        <w:rFonts w:hint="default"/>
        <w:color w:val="214C90" w:themeColor="text2"/>
      </w:rPr>
    </w:lvl>
    <w:lvl w:ilvl="5">
      <w:start w:val="1"/>
      <w:numFmt w:val="none"/>
      <w:lvlText w:val=""/>
      <w:lvlJc w:val="left"/>
      <w:pPr>
        <w:tabs>
          <w:tab w:val="num" w:pos="1475"/>
        </w:tabs>
        <w:ind w:left="1362" w:hanging="227"/>
      </w:pPr>
      <w:rPr>
        <w:rFonts w:hint="default"/>
      </w:rPr>
    </w:lvl>
    <w:lvl w:ilvl="6">
      <w:start w:val="1"/>
      <w:numFmt w:val="none"/>
      <w:lvlText w:val=""/>
      <w:lvlJc w:val="left"/>
      <w:pPr>
        <w:tabs>
          <w:tab w:val="num" w:pos="1702"/>
        </w:tabs>
        <w:ind w:left="1589" w:hanging="227"/>
      </w:pPr>
      <w:rPr>
        <w:rFonts w:hint="default"/>
      </w:rPr>
    </w:lvl>
    <w:lvl w:ilvl="7">
      <w:start w:val="1"/>
      <w:numFmt w:val="none"/>
      <w:lvlText w:val=""/>
      <w:lvlJc w:val="left"/>
      <w:pPr>
        <w:tabs>
          <w:tab w:val="num" w:pos="1929"/>
        </w:tabs>
        <w:ind w:left="1816" w:hanging="227"/>
      </w:pPr>
      <w:rPr>
        <w:rFonts w:hint="default"/>
      </w:rPr>
    </w:lvl>
    <w:lvl w:ilvl="8">
      <w:start w:val="1"/>
      <w:numFmt w:val="none"/>
      <w:lvlText w:val=""/>
      <w:lvlJc w:val="left"/>
      <w:pPr>
        <w:tabs>
          <w:tab w:val="num" w:pos="2156"/>
        </w:tabs>
        <w:ind w:left="2043" w:hanging="227"/>
      </w:pPr>
      <w:rPr>
        <w:rFonts w:hint="default"/>
      </w:rPr>
    </w:lvl>
  </w:abstractNum>
  <w:abstractNum w:abstractNumId="32" w15:restartNumberingAfterBreak="0">
    <w:nsid w:val="7E030DAE"/>
    <w:multiLevelType w:val="multilevel"/>
    <w:tmpl w:val="0C09001D"/>
    <w:name w:val="MyNumbering"/>
    <w:lvl w:ilvl="0">
      <w:start w:val="1"/>
      <w:numFmt w:val="decimal"/>
      <w:lvlText w:val="%1)"/>
      <w:lvlJc w:val="left"/>
      <w:pPr>
        <w:ind w:left="1779" w:hanging="360"/>
      </w:pPr>
      <w:rPr>
        <w:rFonts w:hint="default"/>
        <w:b w:val="0"/>
        <w:i w:val="0"/>
        <w:color w:val="auto"/>
        <w:sz w:val="22"/>
      </w:rPr>
    </w:lvl>
    <w:lvl w:ilvl="1">
      <w:start w:val="1"/>
      <w:numFmt w:val="lowerLetter"/>
      <w:lvlText w:val="%2)"/>
      <w:lvlJc w:val="left"/>
      <w:pPr>
        <w:ind w:left="2139" w:hanging="360"/>
      </w:pPr>
      <w:rPr>
        <w:rFonts w:hint="default"/>
        <w:b w:val="0"/>
        <w:i w:val="0"/>
        <w:color w:val="auto"/>
        <w:sz w:val="22"/>
      </w:rPr>
    </w:lvl>
    <w:lvl w:ilvl="2">
      <w:start w:val="1"/>
      <w:numFmt w:val="lowerRoman"/>
      <w:lvlText w:val="%3)"/>
      <w:lvlJc w:val="left"/>
      <w:pPr>
        <w:ind w:left="2499"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59" w:hanging="360"/>
      </w:pPr>
      <w:rPr>
        <w:rFonts w:hint="default"/>
        <w:b w:val="0"/>
        <w:i w:val="0"/>
        <w:color w:val="auto"/>
      </w:rPr>
    </w:lvl>
    <w:lvl w:ilvl="4">
      <w:start w:val="1"/>
      <w:numFmt w:val="lowerLetter"/>
      <w:lvlText w:val="(%5)"/>
      <w:lvlJc w:val="left"/>
      <w:pPr>
        <w:ind w:left="3219" w:hanging="360"/>
      </w:pPr>
      <w:rPr>
        <w:rFonts w:hint="default"/>
        <w:b w:val="0"/>
        <w:i w:val="0"/>
        <w:color w:val="auto"/>
      </w:rPr>
    </w:lvl>
    <w:lvl w:ilvl="5">
      <w:start w:val="1"/>
      <w:numFmt w:val="lowerRoman"/>
      <w:lvlText w:val="(%6)"/>
      <w:lvlJc w:val="left"/>
      <w:pPr>
        <w:ind w:left="3579" w:hanging="360"/>
      </w:pPr>
      <w:rPr>
        <w:rFonts w:hint="default"/>
      </w:rPr>
    </w:lvl>
    <w:lvl w:ilvl="6">
      <w:start w:val="1"/>
      <w:numFmt w:val="decimal"/>
      <w:lvlText w:val="%7."/>
      <w:lvlJc w:val="left"/>
      <w:pPr>
        <w:ind w:left="3939" w:hanging="360"/>
      </w:pPr>
      <w:rPr>
        <w:rFonts w:hint="default"/>
      </w:rPr>
    </w:lvl>
    <w:lvl w:ilvl="7">
      <w:start w:val="1"/>
      <w:numFmt w:val="lowerLetter"/>
      <w:lvlText w:val="%8."/>
      <w:lvlJc w:val="left"/>
      <w:pPr>
        <w:ind w:left="4299" w:hanging="360"/>
      </w:pPr>
      <w:rPr>
        <w:rFonts w:hint="default"/>
      </w:rPr>
    </w:lvl>
    <w:lvl w:ilvl="8">
      <w:start w:val="1"/>
      <w:numFmt w:val="lowerRoman"/>
      <w:lvlText w:val="%9."/>
      <w:lvlJc w:val="left"/>
      <w:pPr>
        <w:ind w:left="4659" w:hanging="360"/>
      </w:pPr>
      <w:rPr>
        <w:rFonts w:hint="default"/>
      </w:rPr>
    </w:lvl>
  </w:abstractNum>
  <w:num w:numId="1">
    <w:abstractNumId w:val="13"/>
  </w:num>
  <w:num w:numId="2">
    <w:abstractNumId w:val="4"/>
  </w:num>
  <w:num w:numId="3">
    <w:abstractNumId w:val="15"/>
  </w:num>
  <w:num w:numId="4">
    <w:abstractNumId w:val="25"/>
  </w:num>
  <w:num w:numId="5">
    <w:abstractNumId w:val="7"/>
  </w:num>
  <w:num w:numId="6">
    <w:abstractNumId w:val="14"/>
  </w:num>
  <w:num w:numId="7">
    <w:abstractNumId w:val="9"/>
  </w:num>
  <w:num w:numId="8">
    <w:abstractNumId w:val="10"/>
  </w:num>
  <w:num w:numId="9">
    <w:abstractNumId w:val="3"/>
  </w:num>
  <w:num w:numId="10">
    <w:abstractNumId w:val="21"/>
  </w:num>
  <w:num w:numId="11">
    <w:abstractNumId w:val="18"/>
  </w:num>
  <w:num w:numId="12">
    <w:abstractNumId w:val="2"/>
  </w:num>
  <w:num w:numId="13">
    <w:abstractNumId w:val="11"/>
  </w:num>
  <w:num w:numId="14">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28"/>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6">
    <w:abstractNumId w:val="8"/>
  </w:num>
  <w:num w:numId="17">
    <w:abstractNumId w:val="19"/>
  </w:num>
  <w:num w:numId="18">
    <w:abstractNumId w:val="7"/>
  </w:num>
  <w:num w:numId="19">
    <w:abstractNumId w:val="1"/>
  </w:num>
  <w:num w:numId="20">
    <w:abstractNumId w:val="24"/>
  </w:num>
  <w:num w:numId="21">
    <w:abstractNumId w:val="30"/>
  </w:num>
  <w:num w:numId="22">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2"/>
  </w:num>
  <w:num w:numId="25">
    <w:abstractNumId w:val="20"/>
  </w:num>
  <w:num w:numId="26">
    <w:abstractNumId w:val="10"/>
  </w:num>
  <w:num w:numId="27">
    <w:abstractNumId w:val="10"/>
  </w:num>
  <w:num w:numId="28">
    <w:abstractNumId w:val="10"/>
  </w:num>
  <w:num w:numId="29">
    <w:abstractNumId w:val="17"/>
  </w:num>
  <w:num w:numId="30">
    <w:abstractNumId w:val="0"/>
  </w:num>
  <w:num w:numId="31">
    <w:abstractNumId w:val="10"/>
  </w:num>
  <w:num w:numId="3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xAppendixName" w:val="Appendix"/>
  </w:docVars>
  <w:rsids>
    <w:rsidRoot w:val="000B0A4E"/>
    <w:rsid w:val="00000194"/>
    <w:rsid w:val="00000333"/>
    <w:rsid w:val="0000085B"/>
    <w:rsid w:val="00000E4C"/>
    <w:rsid w:val="00001322"/>
    <w:rsid w:val="0000290E"/>
    <w:rsid w:val="00002B57"/>
    <w:rsid w:val="000035F6"/>
    <w:rsid w:val="00004219"/>
    <w:rsid w:val="00004810"/>
    <w:rsid w:val="00004A68"/>
    <w:rsid w:val="00004B0D"/>
    <w:rsid w:val="00004E54"/>
    <w:rsid w:val="00005355"/>
    <w:rsid w:val="000058AC"/>
    <w:rsid w:val="0000598E"/>
    <w:rsid w:val="000068B5"/>
    <w:rsid w:val="00006DD3"/>
    <w:rsid w:val="0000736D"/>
    <w:rsid w:val="000105A9"/>
    <w:rsid w:val="00010983"/>
    <w:rsid w:val="00011772"/>
    <w:rsid w:val="00011F39"/>
    <w:rsid w:val="000125A5"/>
    <w:rsid w:val="00013FB3"/>
    <w:rsid w:val="00014648"/>
    <w:rsid w:val="00015CD4"/>
    <w:rsid w:val="00016FCB"/>
    <w:rsid w:val="00016FD9"/>
    <w:rsid w:val="0001718D"/>
    <w:rsid w:val="000171D8"/>
    <w:rsid w:val="000173A1"/>
    <w:rsid w:val="000175C2"/>
    <w:rsid w:val="00017E18"/>
    <w:rsid w:val="00020425"/>
    <w:rsid w:val="00020F11"/>
    <w:rsid w:val="00021DDD"/>
    <w:rsid w:val="00021F13"/>
    <w:rsid w:val="00022D9F"/>
    <w:rsid w:val="0002318A"/>
    <w:rsid w:val="00023518"/>
    <w:rsid w:val="00023619"/>
    <w:rsid w:val="00023862"/>
    <w:rsid w:val="00024FBE"/>
    <w:rsid w:val="000253C1"/>
    <w:rsid w:val="0002642C"/>
    <w:rsid w:val="0002668E"/>
    <w:rsid w:val="00027450"/>
    <w:rsid w:val="00027933"/>
    <w:rsid w:val="00027C6C"/>
    <w:rsid w:val="00030EA5"/>
    <w:rsid w:val="000313F4"/>
    <w:rsid w:val="00031503"/>
    <w:rsid w:val="00031E24"/>
    <w:rsid w:val="000324A1"/>
    <w:rsid w:val="00032A32"/>
    <w:rsid w:val="00032A91"/>
    <w:rsid w:val="00033348"/>
    <w:rsid w:val="00033625"/>
    <w:rsid w:val="000343D3"/>
    <w:rsid w:val="00035165"/>
    <w:rsid w:val="00036027"/>
    <w:rsid w:val="000362CA"/>
    <w:rsid w:val="00036D45"/>
    <w:rsid w:val="00036DA4"/>
    <w:rsid w:val="000374E9"/>
    <w:rsid w:val="000376B7"/>
    <w:rsid w:val="00040011"/>
    <w:rsid w:val="0004046E"/>
    <w:rsid w:val="00040FD1"/>
    <w:rsid w:val="00041613"/>
    <w:rsid w:val="00041B06"/>
    <w:rsid w:val="00041CE0"/>
    <w:rsid w:val="00041D53"/>
    <w:rsid w:val="00042BA9"/>
    <w:rsid w:val="00042C9F"/>
    <w:rsid w:val="00043B16"/>
    <w:rsid w:val="00043B69"/>
    <w:rsid w:val="00044E09"/>
    <w:rsid w:val="00044F8F"/>
    <w:rsid w:val="00044FDB"/>
    <w:rsid w:val="00045706"/>
    <w:rsid w:val="00045A2E"/>
    <w:rsid w:val="00050692"/>
    <w:rsid w:val="00050713"/>
    <w:rsid w:val="00050AF3"/>
    <w:rsid w:val="00050D60"/>
    <w:rsid w:val="0005109B"/>
    <w:rsid w:val="00051D5C"/>
    <w:rsid w:val="00052454"/>
    <w:rsid w:val="0005252A"/>
    <w:rsid w:val="00052756"/>
    <w:rsid w:val="00052A4B"/>
    <w:rsid w:val="00052CE3"/>
    <w:rsid w:val="0005301E"/>
    <w:rsid w:val="00053701"/>
    <w:rsid w:val="00054DFC"/>
    <w:rsid w:val="000550B9"/>
    <w:rsid w:val="00056D42"/>
    <w:rsid w:val="000574CC"/>
    <w:rsid w:val="00057ACD"/>
    <w:rsid w:val="000608DD"/>
    <w:rsid w:val="00060B55"/>
    <w:rsid w:val="00060B9F"/>
    <w:rsid w:val="00061C90"/>
    <w:rsid w:val="00061E0A"/>
    <w:rsid w:val="0006236E"/>
    <w:rsid w:val="00062F76"/>
    <w:rsid w:val="000634B5"/>
    <w:rsid w:val="000635DA"/>
    <w:rsid w:val="000642D2"/>
    <w:rsid w:val="00064683"/>
    <w:rsid w:val="000659A9"/>
    <w:rsid w:val="00065A61"/>
    <w:rsid w:val="00065B1F"/>
    <w:rsid w:val="000665B5"/>
    <w:rsid w:val="00066707"/>
    <w:rsid w:val="00066710"/>
    <w:rsid w:val="00066A4B"/>
    <w:rsid w:val="00067645"/>
    <w:rsid w:val="000679A1"/>
    <w:rsid w:val="00067A55"/>
    <w:rsid w:val="00067E0F"/>
    <w:rsid w:val="00070500"/>
    <w:rsid w:val="000709D4"/>
    <w:rsid w:val="00071A2F"/>
    <w:rsid w:val="00071F31"/>
    <w:rsid w:val="000747C4"/>
    <w:rsid w:val="00074EF6"/>
    <w:rsid w:val="000764DD"/>
    <w:rsid w:val="00076CEC"/>
    <w:rsid w:val="000776FA"/>
    <w:rsid w:val="00077CD3"/>
    <w:rsid w:val="00077FB9"/>
    <w:rsid w:val="00080E96"/>
    <w:rsid w:val="00082C02"/>
    <w:rsid w:val="00082CAC"/>
    <w:rsid w:val="00083854"/>
    <w:rsid w:val="0008387D"/>
    <w:rsid w:val="00084AC1"/>
    <w:rsid w:val="00085196"/>
    <w:rsid w:val="00085314"/>
    <w:rsid w:val="00085393"/>
    <w:rsid w:val="000856D3"/>
    <w:rsid w:val="00086400"/>
    <w:rsid w:val="00086C5B"/>
    <w:rsid w:val="0008789E"/>
    <w:rsid w:val="000905D6"/>
    <w:rsid w:val="0009093C"/>
    <w:rsid w:val="00090D68"/>
    <w:rsid w:val="00090E4D"/>
    <w:rsid w:val="00090E6C"/>
    <w:rsid w:val="00091113"/>
    <w:rsid w:val="0009129D"/>
    <w:rsid w:val="00091378"/>
    <w:rsid w:val="00091630"/>
    <w:rsid w:val="00091E67"/>
    <w:rsid w:val="00091FE2"/>
    <w:rsid w:val="00092080"/>
    <w:rsid w:val="00092A3C"/>
    <w:rsid w:val="00092EBC"/>
    <w:rsid w:val="000935BE"/>
    <w:rsid w:val="000948CB"/>
    <w:rsid w:val="00094AE6"/>
    <w:rsid w:val="00095314"/>
    <w:rsid w:val="00095A3A"/>
    <w:rsid w:val="000962C0"/>
    <w:rsid w:val="000968BE"/>
    <w:rsid w:val="000969DE"/>
    <w:rsid w:val="00097FC2"/>
    <w:rsid w:val="000A043A"/>
    <w:rsid w:val="000A055A"/>
    <w:rsid w:val="000A0D39"/>
    <w:rsid w:val="000A16D5"/>
    <w:rsid w:val="000A1998"/>
    <w:rsid w:val="000A1A10"/>
    <w:rsid w:val="000A1D36"/>
    <w:rsid w:val="000A1F48"/>
    <w:rsid w:val="000A2792"/>
    <w:rsid w:val="000A2A5F"/>
    <w:rsid w:val="000A3069"/>
    <w:rsid w:val="000A4DDA"/>
    <w:rsid w:val="000A50F3"/>
    <w:rsid w:val="000A561E"/>
    <w:rsid w:val="000A64D2"/>
    <w:rsid w:val="000A712A"/>
    <w:rsid w:val="000B0A4E"/>
    <w:rsid w:val="000B1E14"/>
    <w:rsid w:val="000B2413"/>
    <w:rsid w:val="000B26A4"/>
    <w:rsid w:val="000B35F1"/>
    <w:rsid w:val="000B36A7"/>
    <w:rsid w:val="000B492A"/>
    <w:rsid w:val="000B49AE"/>
    <w:rsid w:val="000B4AC7"/>
    <w:rsid w:val="000B5663"/>
    <w:rsid w:val="000B59CB"/>
    <w:rsid w:val="000B6475"/>
    <w:rsid w:val="000B65EE"/>
    <w:rsid w:val="000B6907"/>
    <w:rsid w:val="000B74F4"/>
    <w:rsid w:val="000B7A66"/>
    <w:rsid w:val="000C036C"/>
    <w:rsid w:val="000C043D"/>
    <w:rsid w:val="000C269E"/>
    <w:rsid w:val="000C28DF"/>
    <w:rsid w:val="000C2BCB"/>
    <w:rsid w:val="000C3390"/>
    <w:rsid w:val="000C3AA0"/>
    <w:rsid w:val="000C3DB5"/>
    <w:rsid w:val="000C48D6"/>
    <w:rsid w:val="000C48E8"/>
    <w:rsid w:val="000C4ED6"/>
    <w:rsid w:val="000C53D3"/>
    <w:rsid w:val="000C62D3"/>
    <w:rsid w:val="000C6942"/>
    <w:rsid w:val="000C7418"/>
    <w:rsid w:val="000C76B8"/>
    <w:rsid w:val="000C7BB4"/>
    <w:rsid w:val="000C7D7D"/>
    <w:rsid w:val="000D01DB"/>
    <w:rsid w:val="000D0232"/>
    <w:rsid w:val="000D024E"/>
    <w:rsid w:val="000D1DA0"/>
    <w:rsid w:val="000D34B6"/>
    <w:rsid w:val="000D36FC"/>
    <w:rsid w:val="000D3881"/>
    <w:rsid w:val="000D3AAE"/>
    <w:rsid w:val="000D3E4A"/>
    <w:rsid w:val="000D4049"/>
    <w:rsid w:val="000D42F2"/>
    <w:rsid w:val="000D4681"/>
    <w:rsid w:val="000D48F8"/>
    <w:rsid w:val="000D5967"/>
    <w:rsid w:val="000D5E74"/>
    <w:rsid w:val="000D66AF"/>
    <w:rsid w:val="000D7072"/>
    <w:rsid w:val="000D73BF"/>
    <w:rsid w:val="000D77B1"/>
    <w:rsid w:val="000E0068"/>
    <w:rsid w:val="000E0497"/>
    <w:rsid w:val="000E0775"/>
    <w:rsid w:val="000E0CB5"/>
    <w:rsid w:val="000E12BD"/>
    <w:rsid w:val="000E1770"/>
    <w:rsid w:val="000E1A47"/>
    <w:rsid w:val="000E2156"/>
    <w:rsid w:val="000E2CDC"/>
    <w:rsid w:val="000E2E35"/>
    <w:rsid w:val="000E2F22"/>
    <w:rsid w:val="000E32D8"/>
    <w:rsid w:val="000E3C49"/>
    <w:rsid w:val="000E4043"/>
    <w:rsid w:val="000E4B5B"/>
    <w:rsid w:val="000E4C86"/>
    <w:rsid w:val="000E53B5"/>
    <w:rsid w:val="000E5431"/>
    <w:rsid w:val="000E5739"/>
    <w:rsid w:val="000E5885"/>
    <w:rsid w:val="000E58F2"/>
    <w:rsid w:val="000E5A00"/>
    <w:rsid w:val="000E64A9"/>
    <w:rsid w:val="000E6DF0"/>
    <w:rsid w:val="000E752F"/>
    <w:rsid w:val="000E76D9"/>
    <w:rsid w:val="000F0B18"/>
    <w:rsid w:val="000F0DAC"/>
    <w:rsid w:val="000F0FCE"/>
    <w:rsid w:val="000F1017"/>
    <w:rsid w:val="000F15C6"/>
    <w:rsid w:val="000F17C0"/>
    <w:rsid w:val="000F1B74"/>
    <w:rsid w:val="000F3362"/>
    <w:rsid w:val="000F46BC"/>
    <w:rsid w:val="000F47F5"/>
    <w:rsid w:val="000F4910"/>
    <w:rsid w:val="000F4B3D"/>
    <w:rsid w:val="000F4BCB"/>
    <w:rsid w:val="000F4D26"/>
    <w:rsid w:val="000F59FB"/>
    <w:rsid w:val="000F5E55"/>
    <w:rsid w:val="000F5EA7"/>
    <w:rsid w:val="000F62C7"/>
    <w:rsid w:val="000F631C"/>
    <w:rsid w:val="000F6433"/>
    <w:rsid w:val="000F6CF6"/>
    <w:rsid w:val="000F73A9"/>
    <w:rsid w:val="000F7430"/>
    <w:rsid w:val="000F7466"/>
    <w:rsid w:val="000F7619"/>
    <w:rsid w:val="000F7E0E"/>
    <w:rsid w:val="001016DA"/>
    <w:rsid w:val="00101883"/>
    <w:rsid w:val="001027B2"/>
    <w:rsid w:val="0010323E"/>
    <w:rsid w:val="001032AB"/>
    <w:rsid w:val="00103449"/>
    <w:rsid w:val="00103B3A"/>
    <w:rsid w:val="001042E1"/>
    <w:rsid w:val="0010459A"/>
    <w:rsid w:val="00105B37"/>
    <w:rsid w:val="001065C1"/>
    <w:rsid w:val="001075A2"/>
    <w:rsid w:val="001075E7"/>
    <w:rsid w:val="00107742"/>
    <w:rsid w:val="00107A04"/>
    <w:rsid w:val="00110744"/>
    <w:rsid w:val="0011087C"/>
    <w:rsid w:val="001109A0"/>
    <w:rsid w:val="00111B94"/>
    <w:rsid w:val="00111BE5"/>
    <w:rsid w:val="00111CAD"/>
    <w:rsid w:val="00111D52"/>
    <w:rsid w:val="001122BF"/>
    <w:rsid w:val="001136AD"/>
    <w:rsid w:val="0011371C"/>
    <w:rsid w:val="00113D59"/>
    <w:rsid w:val="001141EF"/>
    <w:rsid w:val="00114377"/>
    <w:rsid w:val="001147D6"/>
    <w:rsid w:val="00115AD1"/>
    <w:rsid w:val="00115C53"/>
    <w:rsid w:val="00115DD5"/>
    <w:rsid w:val="00116264"/>
    <w:rsid w:val="001162AF"/>
    <w:rsid w:val="001165BB"/>
    <w:rsid w:val="00116683"/>
    <w:rsid w:val="00116B5E"/>
    <w:rsid w:val="00116D89"/>
    <w:rsid w:val="001176AC"/>
    <w:rsid w:val="0011772E"/>
    <w:rsid w:val="001206DB"/>
    <w:rsid w:val="00120706"/>
    <w:rsid w:val="001225B3"/>
    <w:rsid w:val="001230A0"/>
    <w:rsid w:val="00124191"/>
    <w:rsid w:val="00124CCE"/>
    <w:rsid w:val="00124D6D"/>
    <w:rsid w:val="001254E7"/>
    <w:rsid w:val="001255AA"/>
    <w:rsid w:val="001256E6"/>
    <w:rsid w:val="00125D09"/>
    <w:rsid w:val="001272A0"/>
    <w:rsid w:val="00127514"/>
    <w:rsid w:val="0013044E"/>
    <w:rsid w:val="00130604"/>
    <w:rsid w:val="00130BED"/>
    <w:rsid w:val="00131307"/>
    <w:rsid w:val="0013164E"/>
    <w:rsid w:val="00131F8C"/>
    <w:rsid w:val="001320DB"/>
    <w:rsid w:val="0013250D"/>
    <w:rsid w:val="001325B7"/>
    <w:rsid w:val="00133CEB"/>
    <w:rsid w:val="001353E7"/>
    <w:rsid w:val="00135442"/>
    <w:rsid w:val="00135FD6"/>
    <w:rsid w:val="0013632A"/>
    <w:rsid w:val="0013672C"/>
    <w:rsid w:val="00137A08"/>
    <w:rsid w:val="00137A24"/>
    <w:rsid w:val="00137FAA"/>
    <w:rsid w:val="00140819"/>
    <w:rsid w:val="0014097B"/>
    <w:rsid w:val="00142351"/>
    <w:rsid w:val="00143946"/>
    <w:rsid w:val="0014403A"/>
    <w:rsid w:val="00146277"/>
    <w:rsid w:val="001466B3"/>
    <w:rsid w:val="0014683D"/>
    <w:rsid w:val="0014693E"/>
    <w:rsid w:val="00146947"/>
    <w:rsid w:val="00147079"/>
    <w:rsid w:val="0014710F"/>
    <w:rsid w:val="0014722D"/>
    <w:rsid w:val="00147AC8"/>
    <w:rsid w:val="001500D7"/>
    <w:rsid w:val="00150164"/>
    <w:rsid w:val="00150368"/>
    <w:rsid w:val="00150656"/>
    <w:rsid w:val="00150DF5"/>
    <w:rsid w:val="00151633"/>
    <w:rsid w:val="001516A1"/>
    <w:rsid w:val="001516EC"/>
    <w:rsid w:val="00151DA3"/>
    <w:rsid w:val="001522F8"/>
    <w:rsid w:val="001536B2"/>
    <w:rsid w:val="00153B23"/>
    <w:rsid w:val="00154B54"/>
    <w:rsid w:val="00155B41"/>
    <w:rsid w:val="00155D28"/>
    <w:rsid w:val="001571C1"/>
    <w:rsid w:val="001574A5"/>
    <w:rsid w:val="00157D57"/>
    <w:rsid w:val="00157D72"/>
    <w:rsid w:val="00157F04"/>
    <w:rsid w:val="001620E2"/>
    <w:rsid w:val="00162508"/>
    <w:rsid w:val="00162678"/>
    <w:rsid w:val="0016271B"/>
    <w:rsid w:val="00162997"/>
    <w:rsid w:val="00163259"/>
    <w:rsid w:val="0016371D"/>
    <w:rsid w:val="00163A32"/>
    <w:rsid w:val="00164716"/>
    <w:rsid w:val="00164C47"/>
    <w:rsid w:val="00164D13"/>
    <w:rsid w:val="00164E25"/>
    <w:rsid w:val="00164E55"/>
    <w:rsid w:val="00165E30"/>
    <w:rsid w:val="00166097"/>
    <w:rsid w:val="00166229"/>
    <w:rsid w:val="0016645E"/>
    <w:rsid w:val="001664D3"/>
    <w:rsid w:val="00166E6D"/>
    <w:rsid w:val="00170B5F"/>
    <w:rsid w:val="00171552"/>
    <w:rsid w:val="00171873"/>
    <w:rsid w:val="00171D16"/>
    <w:rsid w:val="0017251D"/>
    <w:rsid w:val="001726D4"/>
    <w:rsid w:val="00172B6D"/>
    <w:rsid w:val="00173326"/>
    <w:rsid w:val="0017370E"/>
    <w:rsid w:val="00173F1F"/>
    <w:rsid w:val="001750A0"/>
    <w:rsid w:val="001769C9"/>
    <w:rsid w:val="0018007A"/>
    <w:rsid w:val="00181EA9"/>
    <w:rsid w:val="001827CC"/>
    <w:rsid w:val="00182E10"/>
    <w:rsid w:val="0018347E"/>
    <w:rsid w:val="0018366A"/>
    <w:rsid w:val="00183780"/>
    <w:rsid w:val="0018426D"/>
    <w:rsid w:val="00184490"/>
    <w:rsid w:val="001844C6"/>
    <w:rsid w:val="001845EF"/>
    <w:rsid w:val="00184AA3"/>
    <w:rsid w:val="00184B22"/>
    <w:rsid w:val="00184C7E"/>
    <w:rsid w:val="001852F4"/>
    <w:rsid w:val="00185303"/>
    <w:rsid w:val="00185868"/>
    <w:rsid w:val="0018651F"/>
    <w:rsid w:val="00186661"/>
    <w:rsid w:val="001874D7"/>
    <w:rsid w:val="001879CF"/>
    <w:rsid w:val="00187EBF"/>
    <w:rsid w:val="001903F1"/>
    <w:rsid w:val="0019042B"/>
    <w:rsid w:val="00190B97"/>
    <w:rsid w:val="0019286D"/>
    <w:rsid w:val="00192BFC"/>
    <w:rsid w:val="001933E1"/>
    <w:rsid w:val="0019490A"/>
    <w:rsid w:val="00194B60"/>
    <w:rsid w:val="00194D51"/>
    <w:rsid w:val="0019530F"/>
    <w:rsid w:val="00195D19"/>
    <w:rsid w:val="001970F0"/>
    <w:rsid w:val="00197B79"/>
    <w:rsid w:val="001A01A2"/>
    <w:rsid w:val="001A0A05"/>
    <w:rsid w:val="001A0BA7"/>
    <w:rsid w:val="001A0F9C"/>
    <w:rsid w:val="001A229B"/>
    <w:rsid w:val="001A22B7"/>
    <w:rsid w:val="001A2DE8"/>
    <w:rsid w:val="001A3352"/>
    <w:rsid w:val="001A3420"/>
    <w:rsid w:val="001A3695"/>
    <w:rsid w:val="001A41F2"/>
    <w:rsid w:val="001A443F"/>
    <w:rsid w:val="001A4EBF"/>
    <w:rsid w:val="001A5D57"/>
    <w:rsid w:val="001A6384"/>
    <w:rsid w:val="001A6640"/>
    <w:rsid w:val="001A6E48"/>
    <w:rsid w:val="001A75BA"/>
    <w:rsid w:val="001B07A7"/>
    <w:rsid w:val="001B07E8"/>
    <w:rsid w:val="001B0E44"/>
    <w:rsid w:val="001B10E7"/>
    <w:rsid w:val="001B17B0"/>
    <w:rsid w:val="001B1992"/>
    <w:rsid w:val="001B1B2B"/>
    <w:rsid w:val="001B2323"/>
    <w:rsid w:val="001B2F9F"/>
    <w:rsid w:val="001B31DC"/>
    <w:rsid w:val="001B32B4"/>
    <w:rsid w:val="001B3C66"/>
    <w:rsid w:val="001B3FE6"/>
    <w:rsid w:val="001B40A3"/>
    <w:rsid w:val="001B41FC"/>
    <w:rsid w:val="001B453A"/>
    <w:rsid w:val="001B53D2"/>
    <w:rsid w:val="001B5836"/>
    <w:rsid w:val="001B5D15"/>
    <w:rsid w:val="001B5F84"/>
    <w:rsid w:val="001B6919"/>
    <w:rsid w:val="001B6D41"/>
    <w:rsid w:val="001B6E81"/>
    <w:rsid w:val="001B7DD8"/>
    <w:rsid w:val="001C145F"/>
    <w:rsid w:val="001C14E3"/>
    <w:rsid w:val="001C1CFF"/>
    <w:rsid w:val="001C248B"/>
    <w:rsid w:val="001C3916"/>
    <w:rsid w:val="001C3B0B"/>
    <w:rsid w:val="001C48E5"/>
    <w:rsid w:val="001C4EAC"/>
    <w:rsid w:val="001C53BB"/>
    <w:rsid w:val="001C6C42"/>
    <w:rsid w:val="001C77CB"/>
    <w:rsid w:val="001C7FC3"/>
    <w:rsid w:val="001D01A9"/>
    <w:rsid w:val="001D0C43"/>
    <w:rsid w:val="001D299E"/>
    <w:rsid w:val="001D3169"/>
    <w:rsid w:val="001D3500"/>
    <w:rsid w:val="001D39F8"/>
    <w:rsid w:val="001D3B02"/>
    <w:rsid w:val="001D3CB8"/>
    <w:rsid w:val="001D45BC"/>
    <w:rsid w:val="001D4B7A"/>
    <w:rsid w:val="001D4F12"/>
    <w:rsid w:val="001D57E1"/>
    <w:rsid w:val="001D5B01"/>
    <w:rsid w:val="001D6234"/>
    <w:rsid w:val="001D63D0"/>
    <w:rsid w:val="001D6E4A"/>
    <w:rsid w:val="001D7362"/>
    <w:rsid w:val="001D73C3"/>
    <w:rsid w:val="001D7831"/>
    <w:rsid w:val="001D79C1"/>
    <w:rsid w:val="001D7B5F"/>
    <w:rsid w:val="001D7D07"/>
    <w:rsid w:val="001E04BC"/>
    <w:rsid w:val="001E0C23"/>
    <w:rsid w:val="001E2259"/>
    <w:rsid w:val="001E2412"/>
    <w:rsid w:val="001E243D"/>
    <w:rsid w:val="001E2E95"/>
    <w:rsid w:val="001E3E6C"/>
    <w:rsid w:val="001E477D"/>
    <w:rsid w:val="001E524C"/>
    <w:rsid w:val="001E5BD6"/>
    <w:rsid w:val="001E6421"/>
    <w:rsid w:val="001E6674"/>
    <w:rsid w:val="001E6D82"/>
    <w:rsid w:val="001F0810"/>
    <w:rsid w:val="001F0E3C"/>
    <w:rsid w:val="001F186D"/>
    <w:rsid w:val="001F1C13"/>
    <w:rsid w:val="001F204F"/>
    <w:rsid w:val="001F28F7"/>
    <w:rsid w:val="001F2D5B"/>
    <w:rsid w:val="001F3AE9"/>
    <w:rsid w:val="001F44D3"/>
    <w:rsid w:val="001F5040"/>
    <w:rsid w:val="001F63C2"/>
    <w:rsid w:val="001F6A93"/>
    <w:rsid w:val="001F7290"/>
    <w:rsid w:val="001F797E"/>
    <w:rsid w:val="001F79F3"/>
    <w:rsid w:val="002004FD"/>
    <w:rsid w:val="00201DE9"/>
    <w:rsid w:val="00202C1A"/>
    <w:rsid w:val="00202D57"/>
    <w:rsid w:val="0020374C"/>
    <w:rsid w:val="00204594"/>
    <w:rsid w:val="00204710"/>
    <w:rsid w:val="002048E2"/>
    <w:rsid w:val="00204C97"/>
    <w:rsid w:val="00205969"/>
    <w:rsid w:val="00205D13"/>
    <w:rsid w:val="0020602F"/>
    <w:rsid w:val="00206B1D"/>
    <w:rsid w:val="002070C8"/>
    <w:rsid w:val="002071C2"/>
    <w:rsid w:val="00207596"/>
    <w:rsid w:val="002077EF"/>
    <w:rsid w:val="00210064"/>
    <w:rsid w:val="00211215"/>
    <w:rsid w:val="002119EB"/>
    <w:rsid w:val="00211B79"/>
    <w:rsid w:val="0021323E"/>
    <w:rsid w:val="00213319"/>
    <w:rsid w:val="0021348B"/>
    <w:rsid w:val="0021443A"/>
    <w:rsid w:val="002146AD"/>
    <w:rsid w:val="00214B0D"/>
    <w:rsid w:val="00214F01"/>
    <w:rsid w:val="00215440"/>
    <w:rsid w:val="00215567"/>
    <w:rsid w:val="00215C18"/>
    <w:rsid w:val="00216136"/>
    <w:rsid w:val="00216298"/>
    <w:rsid w:val="00216466"/>
    <w:rsid w:val="00216CEE"/>
    <w:rsid w:val="002171E0"/>
    <w:rsid w:val="00217ACA"/>
    <w:rsid w:val="00220698"/>
    <w:rsid w:val="00220A07"/>
    <w:rsid w:val="00221952"/>
    <w:rsid w:val="00222C12"/>
    <w:rsid w:val="00223245"/>
    <w:rsid w:val="0022372B"/>
    <w:rsid w:val="002239CD"/>
    <w:rsid w:val="00223CA0"/>
    <w:rsid w:val="002245BF"/>
    <w:rsid w:val="00224671"/>
    <w:rsid w:val="00224A4D"/>
    <w:rsid w:val="00224DF7"/>
    <w:rsid w:val="00225089"/>
    <w:rsid w:val="0022620F"/>
    <w:rsid w:val="00226225"/>
    <w:rsid w:val="0022637A"/>
    <w:rsid w:val="002263B7"/>
    <w:rsid w:val="00226459"/>
    <w:rsid w:val="002305EC"/>
    <w:rsid w:val="00230925"/>
    <w:rsid w:val="002319CF"/>
    <w:rsid w:val="00231DC5"/>
    <w:rsid w:val="00232D3E"/>
    <w:rsid w:val="00232FA5"/>
    <w:rsid w:val="00233125"/>
    <w:rsid w:val="002331AE"/>
    <w:rsid w:val="00233319"/>
    <w:rsid w:val="00233571"/>
    <w:rsid w:val="002337E8"/>
    <w:rsid w:val="00235593"/>
    <w:rsid w:val="00235BC7"/>
    <w:rsid w:val="00235C4B"/>
    <w:rsid w:val="002360FC"/>
    <w:rsid w:val="0023622D"/>
    <w:rsid w:val="0023624D"/>
    <w:rsid w:val="002363CC"/>
    <w:rsid w:val="00237486"/>
    <w:rsid w:val="00237875"/>
    <w:rsid w:val="00237BF1"/>
    <w:rsid w:val="00240965"/>
    <w:rsid w:val="00240AF3"/>
    <w:rsid w:val="00240D37"/>
    <w:rsid w:val="00241092"/>
    <w:rsid w:val="00241729"/>
    <w:rsid w:val="00241D64"/>
    <w:rsid w:val="00242040"/>
    <w:rsid w:val="00242B42"/>
    <w:rsid w:val="00242C9A"/>
    <w:rsid w:val="00243399"/>
    <w:rsid w:val="002436F7"/>
    <w:rsid w:val="00243EE2"/>
    <w:rsid w:val="0024465D"/>
    <w:rsid w:val="0024484B"/>
    <w:rsid w:val="002448CB"/>
    <w:rsid w:val="00244AE8"/>
    <w:rsid w:val="0024643C"/>
    <w:rsid w:val="002464C4"/>
    <w:rsid w:val="002471B4"/>
    <w:rsid w:val="00247DAF"/>
    <w:rsid w:val="00247DB2"/>
    <w:rsid w:val="00251830"/>
    <w:rsid w:val="00251BAB"/>
    <w:rsid w:val="00252DBE"/>
    <w:rsid w:val="0025340F"/>
    <w:rsid w:val="002541C8"/>
    <w:rsid w:val="002545D2"/>
    <w:rsid w:val="00255443"/>
    <w:rsid w:val="00255E9A"/>
    <w:rsid w:val="0025626D"/>
    <w:rsid w:val="00256560"/>
    <w:rsid w:val="00256624"/>
    <w:rsid w:val="00256DDA"/>
    <w:rsid w:val="00257B24"/>
    <w:rsid w:val="00257F30"/>
    <w:rsid w:val="002600AD"/>
    <w:rsid w:val="00260896"/>
    <w:rsid w:val="00260CB3"/>
    <w:rsid w:val="00260FF7"/>
    <w:rsid w:val="002620C0"/>
    <w:rsid w:val="00262ACE"/>
    <w:rsid w:val="00263F0F"/>
    <w:rsid w:val="002647C1"/>
    <w:rsid w:val="00264E21"/>
    <w:rsid w:val="00265270"/>
    <w:rsid w:val="00265A7A"/>
    <w:rsid w:val="00265B4D"/>
    <w:rsid w:val="00265BC4"/>
    <w:rsid w:val="00265C0D"/>
    <w:rsid w:val="00266019"/>
    <w:rsid w:val="0026655E"/>
    <w:rsid w:val="00266ACC"/>
    <w:rsid w:val="00266D7C"/>
    <w:rsid w:val="0027144D"/>
    <w:rsid w:val="002714C2"/>
    <w:rsid w:val="0027173C"/>
    <w:rsid w:val="00271DE1"/>
    <w:rsid w:val="0027240B"/>
    <w:rsid w:val="002746B4"/>
    <w:rsid w:val="00274DED"/>
    <w:rsid w:val="0027536C"/>
    <w:rsid w:val="0027593C"/>
    <w:rsid w:val="00276040"/>
    <w:rsid w:val="002760EF"/>
    <w:rsid w:val="00276A82"/>
    <w:rsid w:val="0027759D"/>
    <w:rsid w:val="002778AD"/>
    <w:rsid w:val="00280745"/>
    <w:rsid w:val="0028076D"/>
    <w:rsid w:val="002823A6"/>
    <w:rsid w:val="00283444"/>
    <w:rsid w:val="00283518"/>
    <w:rsid w:val="0028351E"/>
    <w:rsid w:val="002839D3"/>
    <w:rsid w:val="00283A30"/>
    <w:rsid w:val="00283EA9"/>
    <w:rsid w:val="0028403A"/>
    <w:rsid w:val="00284A0E"/>
    <w:rsid w:val="00285129"/>
    <w:rsid w:val="002857D1"/>
    <w:rsid w:val="00285BBB"/>
    <w:rsid w:val="00287018"/>
    <w:rsid w:val="00290957"/>
    <w:rsid w:val="00290C34"/>
    <w:rsid w:val="00292826"/>
    <w:rsid w:val="00292E8C"/>
    <w:rsid w:val="0029372A"/>
    <w:rsid w:val="00293CCF"/>
    <w:rsid w:val="0029403A"/>
    <w:rsid w:val="00294804"/>
    <w:rsid w:val="00294DCA"/>
    <w:rsid w:val="00295115"/>
    <w:rsid w:val="002953E2"/>
    <w:rsid w:val="00295E80"/>
    <w:rsid w:val="00296A7A"/>
    <w:rsid w:val="00296D8F"/>
    <w:rsid w:val="00297C2D"/>
    <w:rsid w:val="002A0A44"/>
    <w:rsid w:val="002A0C1C"/>
    <w:rsid w:val="002A0CD6"/>
    <w:rsid w:val="002A11B8"/>
    <w:rsid w:val="002A120F"/>
    <w:rsid w:val="002A1613"/>
    <w:rsid w:val="002A175E"/>
    <w:rsid w:val="002A311D"/>
    <w:rsid w:val="002A34B7"/>
    <w:rsid w:val="002A3B81"/>
    <w:rsid w:val="002A440A"/>
    <w:rsid w:val="002A466D"/>
    <w:rsid w:val="002A5514"/>
    <w:rsid w:val="002A57C6"/>
    <w:rsid w:val="002A6205"/>
    <w:rsid w:val="002A662F"/>
    <w:rsid w:val="002A70F0"/>
    <w:rsid w:val="002A7D81"/>
    <w:rsid w:val="002B118F"/>
    <w:rsid w:val="002B1D6A"/>
    <w:rsid w:val="002B1DBC"/>
    <w:rsid w:val="002B1EC5"/>
    <w:rsid w:val="002B23F8"/>
    <w:rsid w:val="002B2EB4"/>
    <w:rsid w:val="002B373F"/>
    <w:rsid w:val="002B3E5D"/>
    <w:rsid w:val="002B4A7C"/>
    <w:rsid w:val="002B4D58"/>
    <w:rsid w:val="002B4F61"/>
    <w:rsid w:val="002B4F97"/>
    <w:rsid w:val="002B5140"/>
    <w:rsid w:val="002B5F0A"/>
    <w:rsid w:val="002B60CE"/>
    <w:rsid w:val="002B64C9"/>
    <w:rsid w:val="002B6B22"/>
    <w:rsid w:val="002B6D00"/>
    <w:rsid w:val="002B71E0"/>
    <w:rsid w:val="002B742D"/>
    <w:rsid w:val="002B74CA"/>
    <w:rsid w:val="002B7B5A"/>
    <w:rsid w:val="002B7D2E"/>
    <w:rsid w:val="002B7F78"/>
    <w:rsid w:val="002C02B3"/>
    <w:rsid w:val="002C0D03"/>
    <w:rsid w:val="002C0EDF"/>
    <w:rsid w:val="002C1DC3"/>
    <w:rsid w:val="002C1F66"/>
    <w:rsid w:val="002C37A5"/>
    <w:rsid w:val="002C3AB1"/>
    <w:rsid w:val="002C3B36"/>
    <w:rsid w:val="002C40E2"/>
    <w:rsid w:val="002C4185"/>
    <w:rsid w:val="002C4B01"/>
    <w:rsid w:val="002C4EE5"/>
    <w:rsid w:val="002C4F15"/>
    <w:rsid w:val="002C6BC8"/>
    <w:rsid w:val="002C6C45"/>
    <w:rsid w:val="002C6CA2"/>
    <w:rsid w:val="002C7466"/>
    <w:rsid w:val="002C78DD"/>
    <w:rsid w:val="002C7E26"/>
    <w:rsid w:val="002D040A"/>
    <w:rsid w:val="002D079E"/>
    <w:rsid w:val="002D12E0"/>
    <w:rsid w:val="002D21C9"/>
    <w:rsid w:val="002D2577"/>
    <w:rsid w:val="002D2A80"/>
    <w:rsid w:val="002D2CBE"/>
    <w:rsid w:val="002D2D1D"/>
    <w:rsid w:val="002D2D90"/>
    <w:rsid w:val="002D2F00"/>
    <w:rsid w:val="002D3177"/>
    <w:rsid w:val="002D38A2"/>
    <w:rsid w:val="002D4010"/>
    <w:rsid w:val="002D5425"/>
    <w:rsid w:val="002D55B1"/>
    <w:rsid w:val="002D678C"/>
    <w:rsid w:val="002D697F"/>
    <w:rsid w:val="002D6A7C"/>
    <w:rsid w:val="002D6AAE"/>
    <w:rsid w:val="002D6B21"/>
    <w:rsid w:val="002D72B3"/>
    <w:rsid w:val="002D7AA5"/>
    <w:rsid w:val="002D7E94"/>
    <w:rsid w:val="002E00DA"/>
    <w:rsid w:val="002E0889"/>
    <w:rsid w:val="002E0ED2"/>
    <w:rsid w:val="002E1949"/>
    <w:rsid w:val="002E1DF4"/>
    <w:rsid w:val="002E22C2"/>
    <w:rsid w:val="002E2C77"/>
    <w:rsid w:val="002E2EA6"/>
    <w:rsid w:val="002E3000"/>
    <w:rsid w:val="002E32BD"/>
    <w:rsid w:val="002E34C5"/>
    <w:rsid w:val="002E368F"/>
    <w:rsid w:val="002E3829"/>
    <w:rsid w:val="002E3DA4"/>
    <w:rsid w:val="002E3F4B"/>
    <w:rsid w:val="002E4491"/>
    <w:rsid w:val="002E44C4"/>
    <w:rsid w:val="002E4E4D"/>
    <w:rsid w:val="002E5D90"/>
    <w:rsid w:val="002E5E0C"/>
    <w:rsid w:val="002E60A8"/>
    <w:rsid w:val="002E6506"/>
    <w:rsid w:val="002E6528"/>
    <w:rsid w:val="002E6550"/>
    <w:rsid w:val="002E70BF"/>
    <w:rsid w:val="002E716F"/>
    <w:rsid w:val="002E72DB"/>
    <w:rsid w:val="002E739D"/>
    <w:rsid w:val="002E75A8"/>
    <w:rsid w:val="002E7AA3"/>
    <w:rsid w:val="002E7CD2"/>
    <w:rsid w:val="002F01F1"/>
    <w:rsid w:val="002F0F9F"/>
    <w:rsid w:val="002F2D2E"/>
    <w:rsid w:val="002F2ECF"/>
    <w:rsid w:val="002F3731"/>
    <w:rsid w:val="002F38DA"/>
    <w:rsid w:val="002F495B"/>
    <w:rsid w:val="002F4E15"/>
    <w:rsid w:val="002F5BC8"/>
    <w:rsid w:val="002F680A"/>
    <w:rsid w:val="002F74EF"/>
    <w:rsid w:val="00300022"/>
    <w:rsid w:val="0030139E"/>
    <w:rsid w:val="00301484"/>
    <w:rsid w:val="00301647"/>
    <w:rsid w:val="003016AF"/>
    <w:rsid w:val="003019FB"/>
    <w:rsid w:val="00302105"/>
    <w:rsid w:val="0030259D"/>
    <w:rsid w:val="0030427C"/>
    <w:rsid w:val="00305BB8"/>
    <w:rsid w:val="003062EF"/>
    <w:rsid w:val="00306892"/>
    <w:rsid w:val="00306BBB"/>
    <w:rsid w:val="00306F48"/>
    <w:rsid w:val="00307143"/>
    <w:rsid w:val="00307477"/>
    <w:rsid w:val="00307881"/>
    <w:rsid w:val="00310890"/>
    <w:rsid w:val="00310968"/>
    <w:rsid w:val="00310B00"/>
    <w:rsid w:val="00310B88"/>
    <w:rsid w:val="00310B91"/>
    <w:rsid w:val="00311788"/>
    <w:rsid w:val="0031211F"/>
    <w:rsid w:val="00313209"/>
    <w:rsid w:val="0031429A"/>
    <w:rsid w:val="0031470D"/>
    <w:rsid w:val="00315198"/>
    <w:rsid w:val="003154DB"/>
    <w:rsid w:val="003165F4"/>
    <w:rsid w:val="00316883"/>
    <w:rsid w:val="003172A7"/>
    <w:rsid w:val="00317348"/>
    <w:rsid w:val="00317665"/>
    <w:rsid w:val="00317857"/>
    <w:rsid w:val="00317B7C"/>
    <w:rsid w:val="00317D2D"/>
    <w:rsid w:val="003201BC"/>
    <w:rsid w:val="00321B2F"/>
    <w:rsid w:val="00323279"/>
    <w:rsid w:val="003233DC"/>
    <w:rsid w:val="003237B6"/>
    <w:rsid w:val="00323CC0"/>
    <w:rsid w:val="00323F19"/>
    <w:rsid w:val="003241BE"/>
    <w:rsid w:val="00325018"/>
    <w:rsid w:val="00325069"/>
    <w:rsid w:val="00325136"/>
    <w:rsid w:val="003255DA"/>
    <w:rsid w:val="00325E0A"/>
    <w:rsid w:val="00326432"/>
    <w:rsid w:val="00326B30"/>
    <w:rsid w:val="00326E64"/>
    <w:rsid w:val="003277C5"/>
    <w:rsid w:val="00327C8E"/>
    <w:rsid w:val="003301EC"/>
    <w:rsid w:val="003312AE"/>
    <w:rsid w:val="00331625"/>
    <w:rsid w:val="00331922"/>
    <w:rsid w:val="00331931"/>
    <w:rsid w:val="00331DB4"/>
    <w:rsid w:val="00332132"/>
    <w:rsid w:val="00332B93"/>
    <w:rsid w:val="003337C6"/>
    <w:rsid w:val="00333A7B"/>
    <w:rsid w:val="00333DA0"/>
    <w:rsid w:val="003347F7"/>
    <w:rsid w:val="00334D2D"/>
    <w:rsid w:val="003355A5"/>
    <w:rsid w:val="00335F33"/>
    <w:rsid w:val="00336596"/>
    <w:rsid w:val="003366D7"/>
    <w:rsid w:val="00336D45"/>
    <w:rsid w:val="00337017"/>
    <w:rsid w:val="0033761F"/>
    <w:rsid w:val="00337DDB"/>
    <w:rsid w:val="00340488"/>
    <w:rsid w:val="00340CE6"/>
    <w:rsid w:val="00340E07"/>
    <w:rsid w:val="00340F88"/>
    <w:rsid w:val="00341D4C"/>
    <w:rsid w:val="003425C3"/>
    <w:rsid w:val="00343100"/>
    <w:rsid w:val="00343D29"/>
    <w:rsid w:val="00343F93"/>
    <w:rsid w:val="0034455C"/>
    <w:rsid w:val="00344DAB"/>
    <w:rsid w:val="003457C5"/>
    <w:rsid w:val="00346ADF"/>
    <w:rsid w:val="00347812"/>
    <w:rsid w:val="00347E5F"/>
    <w:rsid w:val="003501BE"/>
    <w:rsid w:val="003505C4"/>
    <w:rsid w:val="00350E40"/>
    <w:rsid w:val="003511E3"/>
    <w:rsid w:val="0035206E"/>
    <w:rsid w:val="00352841"/>
    <w:rsid w:val="00353F41"/>
    <w:rsid w:val="00353FA1"/>
    <w:rsid w:val="003544A7"/>
    <w:rsid w:val="003547A1"/>
    <w:rsid w:val="0035563B"/>
    <w:rsid w:val="00356162"/>
    <w:rsid w:val="00356A63"/>
    <w:rsid w:val="003576A1"/>
    <w:rsid w:val="00357BD3"/>
    <w:rsid w:val="00361ECA"/>
    <w:rsid w:val="00362583"/>
    <w:rsid w:val="0036258B"/>
    <w:rsid w:val="00362B0F"/>
    <w:rsid w:val="00362BEA"/>
    <w:rsid w:val="00362D62"/>
    <w:rsid w:val="00363B33"/>
    <w:rsid w:val="00365367"/>
    <w:rsid w:val="003657BB"/>
    <w:rsid w:val="00365C71"/>
    <w:rsid w:val="00366E1B"/>
    <w:rsid w:val="00370000"/>
    <w:rsid w:val="00370341"/>
    <w:rsid w:val="00370A18"/>
    <w:rsid w:val="00371E13"/>
    <w:rsid w:val="003720F7"/>
    <w:rsid w:val="003721CD"/>
    <w:rsid w:val="0037233C"/>
    <w:rsid w:val="00372CAF"/>
    <w:rsid w:val="00373BED"/>
    <w:rsid w:val="00373C41"/>
    <w:rsid w:val="003756A1"/>
    <w:rsid w:val="003756C4"/>
    <w:rsid w:val="00375CCA"/>
    <w:rsid w:val="00375D48"/>
    <w:rsid w:val="003763C4"/>
    <w:rsid w:val="00376458"/>
    <w:rsid w:val="0037738A"/>
    <w:rsid w:val="003775A9"/>
    <w:rsid w:val="003777C0"/>
    <w:rsid w:val="00380138"/>
    <w:rsid w:val="003803CA"/>
    <w:rsid w:val="00380B3B"/>
    <w:rsid w:val="0038160D"/>
    <w:rsid w:val="00382121"/>
    <w:rsid w:val="003824AA"/>
    <w:rsid w:val="003837E3"/>
    <w:rsid w:val="00383839"/>
    <w:rsid w:val="00383E80"/>
    <w:rsid w:val="003842C5"/>
    <w:rsid w:val="00384E82"/>
    <w:rsid w:val="003853A3"/>
    <w:rsid w:val="00386110"/>
    <w:rsid w:val="003863CD"/>
    <w:rsid w:val="00386AAD"/>
    <w:rsid w:val="0038770D"/>
    <w:rsid w:val="00387811"/>
    <w:rsid w:val="003879E7"/>
    <w:rsid w:val="00391071"/>
    <w:rsid w:val="003913A4"/>
    <w:rsid w:val="003917B2"/>
    <w:rsid w:val="00391E23"/>
    <w:rsid w:val="003920BA"/>
    <w:rsid w:val="00392534"/>
    <w:rsid w:val="00394641"/>
    <w:rsid w:val="0039477E"/>
    <w:rsid w:val="0039484E"/>
    <w:rsid w:val="00395439"/>
    <w:rsid w:val="00395A7F"/>
    <w:rsid w:val="003960ED"/>
    <w:rsid w:val="003972DF"/>
    <w:rsid w:val="003976B4"/>
    <w:rsid w:val="00397B30"/>
    <w:rsid w:val="00397FA2"/>
    <w:rsid w:val="003A0279"/>
    <w:rsid w:val="003A03C3"/>
    <w:rsid w:val="003A076D"/>
    <w:rsid w:val="003A0C77"/>
    <w:rsid w:val="003A0C9F"/>
    <w:rsid w:val="003A1806"/>
    <w:rsid w:val="003A270F"/>
    <w:rsid w:val="003A3A56"/>
    <w:rsid w:val="003A416A"/>
    <w:rsid w:val="003A4633"/>
    <w:rsid w:val="003A4666"/>
    <w:rsid w:val="003A4FE8"/>
    <w:rsid w:val="003A59A6"/>
    <w:rsid w:val="003A5D86"/>
    <w:rsid w:val="003A615C"/>
    <w:rsid w:val="003A690E"/>
    <w:rsid w:val="003A6993"/>
    <w:rsid w:val="003A6B52"/>
    <w:rsid w:val="003A7785"/>
    <w:rsid w:val="003A7E6D"/>
    <w:rsid w:val="003B06D8"/>
    <w:rsid w:val="003B10F6"/>
    <w:rsid w:val="003B159D"/>
    <w:rsid w:val="003B18A0"/>
    <w:rsid w:val="003B1932"/>
    <w:rsid w:val="003B1D62"/>
    <w:rsid w:val="003B2C65"/>
    <w:rsid w:val="003B2E0D"/>
    <w:rsid w:val="003B32D3"/>
    <w:rsid w:val="003B3812"/>
    <w:rsid w:val="003B3BAA"/>
    <w:rsid w:val="003B3DAA"/>
    <w:rsid w:val="003B442D"/>
    <w:rsid w:val="003B46F8"/>
    <w:rsid w:val="003B4729"/>
    <w:rsid w:val="003B5342"/>
    <w:rsid w:val="003B53BD"/>
    <w:rsid w:val="003B6692"/>
    <w:rsid w:val="003B6B57"/>
    <w:rsid w:val="003B6C0C"/>
    <w:rsid w:val="003B6CE2"/>
    <w:rsid w:val="003B74BE"/>
    <w:rsid w:val="003C0BC8"/>
    <w:rsid w:val="003C25F9"/>
    <w:rsid w:val="003C2C0D"/>
    <w:rsid w:val="003C2C66"/>
    <w:rsid w:val="003C300B"/>
    <w:rsid w:val="003C3B57"/>
    <w:rsid w:val="003C3C7D"/>
    <w:rsid w:val="003C3FC9"/>
    <w:rsid w:val="003C40B1"/>
    <w:rsid w:val="003C567D"/>
    <w:rsid w:val="003C58D9"/>
    <w:rsid w:val="003C61B6"/>
    <w:rsid w:val="003C6939"/>
    <w:rsid w:val="003C6C8E"/>
    <w:rsid w:val="003C757A"/>
    <w:rsid w:val="003C7DAD"/>
    <w:rsid w:val="003D03E3"/>
    <w:rsid w:val="003D0F60"/>
    <w:rsid w:val="003D13D0"/>
    <w:rsid w:val="003D1B61"/>
    <w:rsid w:val="003D1B6E"/>
    <w:rsid w:val="003D1B95"/>
    <w:rsid w:val="003D2562"/>
    <w:rsid w:val="003D2AD2"/>
    <w:rsid w:val="003D2B02"/>
    <w:rsid w:val="003D306C"/>
    <w:rsid w:val="003D3CF5"/>
    <w:rsid w:val="003D4747"/>
    <w:rsid w:val="003D48B7"/>
    <w:rsid w:val="003D48F3"/>
    <w:rsid w:val="003D4DAC"/>
    <w:rsid w:val="003D4E10"/>
    <w:rsid w:val="003D55E4"/>
    <w:rsid w:val="003D62AC"/>
    <w:rsid w:val="003D6E8F"/>
    <w:rsid w:val="003D70B4"/>
    <w:rsid w:val="003D70C8"/>
    <w:rsid w:val="003D74F7"/>
    <w:rsid w:val="003D759B"/>
    <w:rsid w:val="003D784C"/>
    <w:rsid w:val="003E1BAD"/>
    <w:rsid w:val="003E1D34"/>
    <w:rsid w:val="003E27BA"/>
    <w:rsid w:val="003E329B"/>
    <w:rsid w:val="003E376A"/>
    <w:rsid w:val="003E41DD"/>
    <w:rsid w:val="003E44DF"/>
    <w:rsid w:val="003E4616"/>
    <w:rsid w:val="003E46F0"/>
    <w:rsid w:val="003E4715"/>
    <w:rsid w:val="003E4809"/>
    <w:rsid w:val="003E5011"/>
    <w:rsid w:val="003E51CD"/>
    <w:rsid w:val="003E549F"/>
    <w:rsid w:val="003E55A4"/>
    <w:rsid w:val="003E578E"/>
    <w:rsid w:val="003E5F52"/>
    <w:rsid w:val="003E629A"/>
    <w:rsid w:val="003E667A"/>
    <w:rsid w:val="003E72B3"/>
    <w:rsid w:val="003F0473"/>
    <w:rsid w:val="003F04C9"/>
    <w:rsid w:val="003F0C6C"/>
    <w:rsid w:val="003F0D00"/>
    <w:rsid w:val="003F1271"/>
    <w:rsid w:val="003F176B"/>
    <w:rsid w:val="003F1A32"/>
    <w:rsid w:val="003F1B96"/>
    <w:rsid w:val="003F1FE5"/>
    <w:rsid w:val="003F38A2"/>
    <w:rsid w:val="003F49AD"/>
    <w:rsid w:val="003F4E97"/>
    <w:rsid w:val="003F5238"/>
    <w:rsid w:val="003F56D8"/>
    <w:rsid w:val="003F63ED"/>
    <w:rsid w:val="003F6F63"/>
    <w:rsid w:val="003F705B"/>
    <w:rsid w:val="003F73A2"/>
    <w:rsid w:val="003F782D"/>
    <w:rsid w:val="003F7DDE"/>
    <w:rsid w:val="004002BF"/>
    <w:rsid w:val="00400AC3"/>
    <w:rsid w:val="00400B30"/>
    <w:rsid w:val="004012F5"/>
    <w:rsid w:val="00402105"/>
    <w:rsid w:val="0040292D"/>
    <w:rsid w:val="00402F91"/>
    <w:rsid w:val="00403099"/>
    <w:rsid w:val="004033CE"/>
    <w:rsid w:val="00404230"/>
    <w:rsid w:val="00404DB2"/>
    <w:rsid w:val="00405202"/>
    <w:rsid w:val="00405F8A"/>
    <w:rsid w:val="00406AA0"/>
    <w:rsid w:val="0040743E"/>
    <w:rsid w:val="004076E7"/>
    <w:rsid w:val="00407885"/>
    <w:rsid w:val="00407AFB"/>
    <w:rsid w:val="00410077"/>
    <w:rsid w:val="004100F3"/>
    <w:rsid w:val="0041023F"/>
    <w:rsid w:val="00410766"/>
    <w:rsid w:val="00411440"/>
    <w:rsid w:val="004127D5"/>
    <w:rsid w:val="00412820"/>
    <w:rsid w:val="00412ABA"/>
    <w:rsid w:val="00412C9E"/>
    <w:rsid w:val="00412CD3"/>
    <w:rsid w:val="004130F7"/>
    <w:rsid w:val="004141F0"/>
    <w:rsid w:val="00414809"/>
    <w:rsid w:val="00414878"/>
    <w:rsid w:val="00414C7D"/>
    <w:rsid w:val="00414F10"/>
    <w:rsid w:val="004158D2"/>
    <w:rsid w:val="00415BD4"/>
    <w:rsid w:val="00415D38"/>
    <w:rsid w:val="00415DDD"/>
    <w:rsid w:val="004168F9"/>
    <w:rsid w:val="00416EF3"/>
    <w:rsid w:val="00417333"/>
    <w:rsid w:val="004178B0"/>
    <w:rsid w:val="004178C7"/>
    <w:rsid w:val="00417AB7"/>
    <w:rsid w:val="00417EBE"/>
    <w:rsid w:val="00417FBC"/>
    <w:rsid w:val="00422E70"/>
    <w:rsid w:val="00423DE7"/>
    <w:rsid w:val="00424EB0"/>
    <w:rsid w:val="00424FD2"/>
    <w:rsid w:val="00425553"/>
    <w:rsid w:val="0042566E"/>
    <w:rsid w:val="0042567A"/>
    <w:rsid w:val="0042583F"/>
    <w:rsid w:val="00425A7C"/>
    <w:rsid w:val="004270D3"/>
    <w:rsid w:val="00427784"/>
    <w:rsid w:val="004302DE"/>
    <w:rsid w:val="00430AF0"/>
    <w:rsid w:val="00430B7C"/>
    <w:rsid w:val="004311DB"/>
    <w:rsid w:val="00431A80"/>
    <w:rsid w:val="004325C6"/>
    <w:rsid w:val="00432617"/>
    <w:rsid w:val="004328FB"/>
    <w:rsid w:val="00433266"/>
    <w:rsid w:val="00433528"/>
    <w:rsid w:val="004335DB"/>
    <w:rsid w:val="00433CB2"/>
    <w:rsid w:val="00433F43"/>
    <w:rsid w:val="004340F6"/>
    <w:rsid w:val="00434606"/>
    <w:rsid w:val="004348BF"/>
    <w:rsid w:val="00435176"/>
    <w:rsid w:val="004356B5"/>
    <w:rsid w:val="00435B02"/>
    <w:rsid w:val="00436175"/>
    <w:rsid w:val="004361A8"/>
    <w:rsid w:val="004363EC"/>
    <w:rsid w:val="004371BD"/>
    <w:rsid w:val="00437468"/>
    <w:rsid w:val="00437842"/>
    <w:rsid w:val="00437EA6"/>
    <w:rsid w:val="00440AEA"/>
    <w:rsid w:val="004410F1"/>
    <w:rsid w:val="0044145F"/>
    <w:rsid w:val="004421F1"/>
    <w:rsid w:val="004423A6"/>
    <w:rsid w:val="00442495"/>
    <w:rsid w:val="0044315F"/>
    <w:rsid w:val="00443305"/>
    <w:rsid w:val="004435BE"/>
    <w:rsid w:val="00443753"/>
    <w:rsid w:val="00443D56"/>
    <w:rsid w:val="00444185"/>
    <w:rsid w:val="0044492F"/>
    <w:rsid w:val="00444E5D"/>
    <w:rsid w:val="0044504D"/>
    <w:rsid w:val="0044582B"/>
    <w:rsid w:val="00445B59"/>
    <w:rsid w:val="004460A8"/>
    <w:rsid w:val="00446745"/>
    <w:rsid w:val="0044693C"/>
    <w:rsid w:val="00446E25"/>
    <w:rsid w:val="00446F34"/>
    <w:rsid w:val="00447256"/>
    <w:rsid w:val="0044784E"/>
    <w:rsid w:val="004478E0"/>
    <w:rsid w:val="00447BDB"/>
    <w:rsid w:val="00447FE6"/>
    <w:rsid w:val="0045025E"/>
    <w:rsid w:val="004503C9"/>
    <w:rsid w:val="00450486"/>
    <w:rsid w:val="00450A19"/>
    <w:rsid w:val="00450DBA"/>
    <w:rsid w:val="0045129C"/>
    <w:rsid w:val="00451E05"/>
    <w:rsid w:val="00452294"/>
    <w:rsid w:val="00452568"/>
    <w:rsid w:val="004537ED"/>
    <w:rsid w:val="004540F0"/>
    <w:rsid w:val="004543BE"/>
    <w:rsid w:val="004547DD"/>
    <w:rsid w:val="004548A6"/>
    <w:rsid w:val="00454A8F"/>
    <w:rsid w:val="004556C8"/>
    <w:rsid w:val="004556FE"/>
    <w:rsid w:val="00455994"/>
    <w:rsid w:val="00457412"/>
    <w:rsid w:val="0045743E"/>
    <w:rsid w:val="0045796F"/>
    <w:rsid w:val="00457E48"/>
    <w:rsid w:val="00457F6F"/>
    <w:rsid w:val="00460472"/>
    <w:rsid w:val="00460495"/>
    <w:rsid w:val="00460B70"/>
    <w:rsid w:val="00461991"/>
    <w:rsid w:val="004620C7"/>
    <w:rsid w:val="00462353"/>
    <w:rsid w:val="00462464"/>
    <w:rsid w:val="00462AF0"/>
    <w:rsid w:val="00463BBC"/>
    <w:rsid w:val="00463E1E"/>
    <w:rsid w:val="00464013"/>
    <w:rsid w:val="00464273"/>
    <w:rsid w:val="0046529F"/>
    <w:rsid w:val="004652B7"/>
    <w:rsid w:val="00466199"/>
    <w:rsid w:val="0046621E"/>
    <w:rsid w:val="004664F8"/>
    <w:rsid w:val="00467742"/>
    <w:rsid w:val="00467BAC"/>
    <w:rsid w:val="00470069"/>
    <w:rsid w:val="00470736"/>
    <w:rsid w:val="004726B7"/>
    <w:rsid w:val="004726CE"/>
    <w:rsid w:val="004735EC"/>
    <w:rsid w:val="00473D89"/>
    <w:rsid w:val="0047410F"/>
    <w:rsid w:val="004744DC"/>
    <w:rsid w:val="00474793"/>
    <w:rsid w:val="00474A0B"/>
    <w:rsid w:val="00474C5F"/>
    <w:rsid w:val="00475145"/>
    <w:rsid w:val="00475624"/>
    <w:rsid w:val="00475670"/>
    <w:rsid w:val="00475A27"/>
    <w:rsid w:val="0047727F"/>
    <w:rsid w:val="00480149"/>
    <w:rsid w:val="0048036E"/>
    <w:rsid w:val="004804A6"/>
    <w:rsid w:val="00481819"/>
    <w:rsid w:val="00481855"/>
    <w:rsid w:val="00481944"/>
    <w:rsid w:val="00481A08"/>
    <w:rsid w:val="00482072"/>
    <w:rsid w:val="0048263F"/>
    <w:rsid w:val="00483651"/>
    <w:rsid w:val="0048370C"/>
    <w:rsid w:val="00483CE2"/>
    <w:rsid w:val="00483D17"/>
    <w:rsid w:val="00484F7A"/>
    <w:rsid w:val="00485C23"/>
    <w:rsid w:val="004865D6"/>
    <w:rsid w:val="0048667B"/>
    <w:rsid w:val="00486789"/>
    <w:rsid w:val="00487817"/>
    <w:rsid w:val="0048783D"/>
    <w:rsid w:val="00487AD8"/>
    <w:rsid w:val="00487DF7"/>
    <w:rsid w:val="00487DFB"/>
    <w:rsid w:val="004900DF"/>
    <w:rsid w:val="00490510"/>
    <w:rsid w:val="004908FE"/>
    <w:rsid w:val="00490AEC"/>
    <w:rsid w:val="00491BD0"/>
    <w:rsid w:val="0049219A"/>
    <w:rsid w:val="0049294B"/>
    <w:rsid w:val="004929C1"/>
    <w:rsid w:val="0049336C"/>
    <w:rsid w:val="00493712"/>
    <w:rsid w:val="0049389F"/>
    <w:rsid w:val="0049425D"/>
    <w:rsid w:val="00494330"/>
    <w:rsid w:val="0049484B"/>
    <w:rsid w:val="00494D37"/>
    <w:rsid w:val="0049574E"/>
    <w:rsid w:val="00495B7F"/>
    <w:rsid w:val="00495EE8"/>
    <w:rsid w:val="00496200"/>
    <w:rsid w:val="00496481"/>
    <w:rsid w:val="004964D5"/>
    <w:rsid w:val="004A0789"/>
    <w:rsid w:val="004A0E3E"/>
    <w:rsid w:val="004A12A0"/>
    <w:rsid w:val="004A1C00"/>
    <w:rsid w:val="004A2220"/>
    <w:rsid w:val="004A25B5"/>
    <w:rsid w:val="004A2F0F"/>
    <w:rsid w:val="004A395E"/>
    <w:rsid w:val="004A3C61"/>
    <w:rsid w:val="004A3CBE"/>
    <w:rsid w:val="004A40B7"/>
    <w:rsid w:val="004A4B11"/>
    <w:rsid w:val="004A669D"/>
    <w:rsid w:val="004A7033"/>
    <w:rsid w:val="004A752F"/>
    <w:rsid w:val="004A7844"/>
    <w:rsid w:val="004A7F3E"/>
    <w:rsid w:val="004B0722"/>
    <w:rsid w:val="004B1854"/>
    <w:rsid w:val="004B1F0E"/>
    <w:rsid w:val="004B229C"/>
    <w:rsid w:val="004B2721"/>
    <w:rsid w:val="004B335F"/>
    <w:rsid w:val="004B3D51"/>
    <w:rsid w:val="004B3D6E"/>
    <w:rsid w:val="004B3F0E"/>
    <w:rsid w:val="004B40AB"/>
    <w:rsid w:val="004B4486"/>
    <w:rsid w:val="004B4640"/>
    <w:rsid w:val="004B46F1"/>
    <w:rsid w:val="004B5875"/>
    <w:rsid w:val="004B5C8D"/>
    <w:rsid w:val="004B668D"/>
    <w:rsid w:val="004B6F19"/>
    <w:rsid w:val="004B6F45"/>
    <w:rsid w:val="004B77B6"/>
    <w:rsid w:val="004B7C73"/>
    <w:rsid w:val="004C00BE"/>
    <w:rsid w:val="004C08A2"/>
    <w:rsid w:val="004C095F"/>
    <w:rsid w:val="004C14A6"/>
    <w:rsid w:val="004C2263"/>
    <w:rsid w:val="004C23C4"/>
    <w:rsid w:val="004C3117"/>
    <w:rsid w:val="004C313A"/>
    <w:rsid w:val="004C3A25"/>
    <w:rsid w:val="004C4381"/>
    <w:rsid w:val="004C490A"/>
    <w:rsid w:val="004C4933"/>
    <w:rsid w:val="004C4A5D"/>
    <w:rsid w:val="004C5A70"/>
    <w:rsid w:val="004C6049"/>
    <w:rsid w:val="004C62AE"/>
    <w:rsid w:val="004C6B7E"/>
    <w:rsid w:val="004C6E0D"/>
    <w:rsid w:val="004D018C"/>
    <w:rsid w:val="004D074B"/>
    <w:rsid w:val="004D085E"/>
    <w:rsid w:val="004D24CD"/>
    <w:rsid w:val="004D2852"/>
    <w:rsid w:val="004D2DAF"/>
    <w:rsid w:val="004D2F50"/>
    <w:rsid w:val="004D4FAB"/>
    <w:rsid w:val="004D5708"/>
    <w:rsid w:val="004D5882"/>
    <w:rsid w:val="004D5A8C"/>
    <w:rsid w:val="004D5AA8"/>
    <w:rsid w:val="004D7494"/>
    <w:rsid w:val="004D7661"/>
    <w:rsid w:val="004E0166"/>
    <w:rsid w:val="004E11E5"/>
    <w:rsid w:val="004E17C4"/>
    <w:rsid w:val="004E1FBF"/>
    <w:rsid w:val="004E22A0"/>
    <w:rsid w:val="004E25AF"/>
    <w:rsid w:val="004E2684"/>
    <w:rsid w:val="004E3015"/>
    <w:rsid w:val="004E3310"/>
    <w:rsid w:val="004E36D4"/>
    <w:rsid w:val="004E522A"/>
    <w:rsid w:val="004E53F9"/>
    <w:rsid w:val="004E60F4"/>
    <w:rsid w:val="004E61FB"/>
    <w:rsid w:val="004E663A"/>
    <w:rsid w:val="004E68E7"/>
    <w:rsid w:val="004E6D67"/>
    <w:rsid w:val="004E6DF8"/>
    <w:rsid w:val="004E7714"/>
    <w:rsid w:val="004E78B5"/>
    <w:rsid w:val="004F003E"/>
    <w:rsid w:val="004F0137"/>
    <w:rsid w:val="004F03F3"/>
    <w:rsid w:val="004F06F2"/>
    <w:rsid w:val="004F1BB7"/>
    <w:rsid w:val="004F310F"/>
    <w:rsid w:val="004F374B"/>
    <w:rsid w:val="004F37D8"/>
    <w:rsid w:val="004F3D20"/>
    <w:rsid w:val="004F3EAF"/>
    <w:rsid w:val="004F408D"/>
    <w:rsid w:val="004F54C9"/>
    <w:rsid w:val="004F550E"/>
    <w:rsid w:val="004F575B"/>
    <w:rsid w:val="004F5D37"/>
    <w:rsid w:val="004F646C"/>
    <w:rsid w:val="004F7C08"/>
    <w:rsid w:val="00500192"/>
    <w:rsid w:val="00500318"/>
    <w:rsid w:val="00500589"/>
    <w:rsid w:val="005008CD"/>
    <w:rsid w:val="00500C6B"/>
    <w:rsid w:val="005019B4"/>
    <w:rsid w:val="00501E14"/>
    <w:rsid w:val="00501EF4"/>
    <w:rsid w:val="005021BD"/>
    <w:rsid w:val="00502382"/>
    <w:rsid w:val="00503592"/>
    <w:rsid w:val="00503A1B"/>
    <w:rsid w:val="00503F8E"/>
    <w:rsid w:val="00504037"/>
    <w:rsid w:val="005040D3"/>
    <w:rsid w:val="00504364"/>
    <w:rsid w:val="00504664"/>
    <w:rsid w:val="005047D7"/>
    <w:rsid w:val="00505A9A"/>
    <w:rsid w:val="00506ECB"/>
    <w:rsid w:val="005070A9"/>
    <w:rsid w:val="00507332"/>
    <w:rsid w:val="005074FD"/>
    <w:rsid w:val="00507966"/>
    <w:rsid w:val="00507FA9"/>
    <w:rsid w:val="005105F5"/>
    <w:rsid w:val="0051132A"/>
    <w:rsid w:val="00511349"/>
    <w:rsid w:val="005116B3"/>
    <w:rsid w:val="0051273F"/>
    <w:rsid w:val="00512CB3"/>
    <w:rsid w:val="00513013"/>
    <w:rsid w:val="0051306A"/>
    <w:rsid w:val="00513214"/>
    <w:rsid w:val="00513B6A"/>
    <w:rsid w:val="00513D22"/>
    <w:rsid w:val="00514861"/>
    <w:rsid w:val="00514900"/>
    <w:rsid w:val="0051528D"/>
    <w:rsid w:val="00515548"/>
    <w:rsid w:val="00516AC3"/>
    <w:rsid w:val="00516B48"/>
    <w:rsid w:val="005175A0"/>
    <w:rsid w:val="00517FDF"/>
    <w:rsid w:val="0052020C"/>
    <w:rsid w:val="005215A0"/>
    <w:rsid w:val="00521875"/>
    <w:rsid w:val="00521AEA"/>
    <w:rsid w:val="0052256A"/>
    <w:rsid w:val="005225E6"/>
    <w:rsid w:val="005234B7"/>
    <w:rsid w:val="00524800"/>
    <w:rsid w:val="005257FF"/>
    <w:rsid w:val="0052587E"/>
    <w:rsid w:val="00526CA4"/>
    <w:rsid w:val="005276A9"/>
    <w:rsid w:val="00531BE4"/>
    <w:rsid w:val="00532004"/>
    <w:rsid w:val="005327B9"/>
    <w:rsid w:val="00533C2E"/>
    <w:rsid w:val="00534E67"/>
    <w:rsid w:val="00535A2E"/>
    <w:rsid w:val="00535A55"/>
    <w:rsid w:val="005366E7"/>
    <w:rsid w:val="00536878"/>
    <w:rsid w:val="00536921"/>
    <w:rsid w:val="005369AC"/>
    <w:rsid w:val="005369E0"/>
    <w:rsid w:val="00536AD2"/>
    <w:rsid w:val="00536B92"/>
    <w:rsid w:val="0053703D"/>
    <w:rsid w:val="0053722A"/>
    <w:rsid w:val="0053773E"/>
    <w:rsid w:val="00537910"/>
    <w:rsid w:val="0054054C"/>
    <w:rsid w:val="00540929"/>
    <w:rsid w:val="00540A8B"/>
    <w:rsid w:val="00540EE4"/>
    <w:rsid w:val="005418BA"/>
    <w:rsid w:val="00541973"/>
    <w:rsid w:val="00541E16"/>
    <w:rsid w:val="00542301"/>
    <w:rsid w:val="005423F5"/>
    <w:rsid w:val="0054259E"/>
    <w:rsid w:val="005439D6"/>
    <w:rsid w:val="00543C20"/>
    <w:rsid w:val="00544349"/>
    <w:rsid w:val="00544D97"/>
    <w:rsid w:val="00545FEE"/>
    <w:rsid w:val="00546933"/>
    <w:rsid w:val="0054701B"/>
    <w:rsid w:val="00547998"/>
    <w:rsid w:val="00547FF4"/>
    <w:rsid w:val="00550005"/>
    <w:rsid w:val="0055034B"/>
    <w:rsid w:val="00550D70"/>
    <w:rsid w:val="005516A4"/>
    <w:rsid w:val="005524B8"/>
    <w:rsid w:val="00552F3A"/>
    <w:rsid w:val="00553057"/>
    <w:rsid w:val="005535AA"/>
    <w:rsid w:val="00553891"/>
    <w:rsid w:val="005542F9"/>
    <w:rsid w:val="00554A12"/>
    <w:rsid w:val="00554D69"/>
    <w:rsid w:val="005568FF"/>
    <w:rsid w:val="00556D96"/>
    <w:rsid w:val="00560199"/>
    <w:rsid w:val="0056070C"/>
    <w:rsid w:val="005608C3"/>
    <w:rsid w:val="00560B95"/>
    <w:rsid w:val="00561337"/>
    <w:rsid w:val="00561B2B"/>
    <w:rsid w:val="00561C3A"/>
    <w:rsid w:val="00561D4B"/>
    <w:rsid w:val="00563040"/>
    <w:rsid w:val="00563325"/>
    <w:rsid w:val="00563779"/>
    <w:rsid w:val="00563AA1"/>
    <w:rsid w:val="00563C7C"/>
    <w:rsid w:val="005641FC"/>
    <w:rsid w:val="00564AA6"/>
    <w:rsid w:val="00565168"/>
    <w:rsid w:val="00565462"/>
    <w:rsid w:val="005654D6"/>
    <w:rsid w:val="005664B7"/>
    <w:rsid w:val="00566E04"/>
    <w:rsid w:val="00566EED"/>
    <w:rsid w:val="005706A6"/>
    <w:rsid w:val="00570A1A"/>
    <w:rsid w:val="00570A9D"/>
    <w:rsid w:val="0057113C"/>
    <w:rsid w:val="0057171E"/>
    <w:rsid w:val="0057191E"/>
    <w:rsid w:val="00572133"/>
    <w:rsid w:val="005724BE"/>
    <w:rsid w:val="00572F4C"/>
    <w:rsid w:val="00573BD1"/>
    <w:rsid w:val="00573E71"/>
    <w:rsid w:val="00574F1B"/>
    <w:rsid w:val="005752C5"/>
    <w:rsid w:val="00575663"/>
    <w:rsid w:val="00575C54"/>
    <w:rsid w:val="00576068"/>
    <w:rsid w:val="005767AE"/>
    <w:rsid w:val="00576D2D"/>
    <w:rsid w:val="00577A6A"/>
    <w:rsid w:val="005808C1"/>
    <w:rsid w:val="00580A62"/>
    <w:rsid w:val="00580F4E"/>
    <w:rsid w:val="00581033"/>
    <w:rsid w:val="005817B4"/>
    <w:rsid w:val="00581807"/>
    <w:rsid w:val="0058237E"/>
    <w:rsid w:val="00582406"/>
    <w:rsid w:val="00582B69"/>
    <w:rsid w:val="005832F2"/>
    <w:rsid w:val="0058379D"/>
    <w:rsid w:val="0058385F"/>
    <w:rsid w:val="005845E6"/>
    <w:rsid w:val="0058460E"/>
    <w:rsid w:val="0058503F"/>
    <w:rsid w:val="00585131"/>
    <w:rsid w:val="005854E5"/>
    <w:rsid w:val="00586DB2"/>
    <w:rsid w:val="00586F4D"/>
    <w:rsid w:val="0058705F"/>
    <w:rsid w:val="00587167"/>
    <w:rsid w:val="0058786F"/>
    <w:rsid w:val="00590444"/>
    <w:rsid w:val="005904A1"/>
    <w:rsid w:val="005918D9"/>
    <w:rsid w:val="005918EC"/>
    <w:rsid w:val="00591BAF"/>
    <w:rsid w:val="00592C13"/>
    <w:rsid w:val="00592D23"/>
    <w:rsid w:val="005931D2"/>
    <w:rsid w:val="00593334"/>
    <w:rsid w:val="0059378B"/>
    <w:rsid w:val="00593DC6"/>
    <w:rsid w:val="00593EF8"/>
    <w:rsid w:val="00594822"/>
    <w:rsid w:val="00595C8A"/>
    <w:rsid w:val="0059600E"/>
    <w:rsid w:val="00596FEE"/>
    <w:rsid w:val="00596FF9"/>
    <w:rsid w:val="005978C0"/>
    <w:rsid w:val="005A03FB"/>
    <w:rsid w:val="005A047A"/>
    <w:rsid w:val="005A05FC"/>
    <w:rsid w:val="005A0847"/>
    <w:rsid w:val="005A09FD"/>
    <w:rsid w:val="005A0A0D"/>
    <w:rsid w:val="005A1C45"/>
    <w:rsid w:val="005A20E0"/>
    <w:rsid w:val="005A2B15"/>
    <w:rsid w:val="005A406D"/>
    <w:rsid w:val="005A46E2"/>
    <w:rsid w:val="005A4966"/>
    <w:rsid w:val="005A49EC"/>
    <w:rsid w:val="005A580B"/>
    <w:rsid w:val="005A61F0"/>
    <w:rsid w:val="005A62F9"/>
    <w:rsid w:val="005A69F2"/>
    <w:rsid w:val="005A7544"/>
    <w:rsid w:val="005A799E"/>
    <w:rsid w:val="005B040B"/>
    <w:rsid w:val="005B04F6"/>
    <w:rsid w:val="005B10A6"/>
    <w:rsid w:val="005B1749"/>
    <w:rsid w:val="005B1FB7"/>
    <w:rsid w:val="005B212A"/>
    <w:rsid w:val="005B3F6B"/>
    <w:rsid w:val="005B4860"/>
    <w:rsid w:val="005B538F"/>
    <w:rsid w:val="005B595C"/>
    <w:rsid w:val="005B5EA5"/>
    <w:rsid w:val="005B5F7F"/>
    <w:rsid w:val="005B6B04"/>
    <w:rsid w:val="005B6B22"/>
    <w:rsid w:val="005C087F"/>
    <w:rsid w:val="005C0DAF"/>
    <w:rsid w:val="005C1E38"/>
    <w:rsid w:val="005C237E"/>
    <w:rsid w:val="005C26E2"/>
    <w:rsid w:val="005C3386"/>
    <w:rsid w:val="005C3EF5"/>
    <w:rsid w:val="005C3F9D"/>
    <w:rsid w:val="005C437A"/>
    <w:rsid w:val="005C43D5"/>
    <w:rsid w:val="005C4602"/>
    <w:rsid w:val="005C542F"/>
    <w:rsid w:val="005C639B"/>
    <w:rsid w:val="005C66D0"/>
    <w:rsid w:val="005C6CB1"/>
    <w:rsid w:val="005D0D40"/>
    <w:rsid w:val="005D12CC"/>
    <w:rsid w:val="005D21B8"/>
    <w:rsid w:val="005D24E9"/>
    <w:rsid w:val="005D2700"/>
    <w:rsid w:val="005D28DD"/>
    <w:rsid w:val="005D2B32"/>
    <w:rsid w:val="005D2E74"/>
    <w:rsid w:val="005D3322"/>
    <w:rsid w:val="005D35DA"/>
    <w:rsid w:val="005D3BC1"/>
    <w:rsid w:val="005D3BC3"/>
    <w:rsid w:val="005D3C93"/>
    <w:rsid w:val="005D3D13"/>
    <w:rsid w:val="005D3E6F"/>
    <w:rsid w:val="005D44D5"/>
    <w:rsid w:val="005D6218"/>
    <w:rsid w:val="005E2173"/>
    <w:rsid w:val="005E2AA8"/>
    <w:rsid w:val="005E304F"/>
    <w:rsid w:val="005E46F8"/>
    <w:rsid w:val="005E4923"/>
    <w:rsid w:val="005E4AD3"/>
    <w:rsid w:val="005E625E"/>
    <w:rsid w:val="005E652D"/>
    <w:rsid w:val="005E69D4"/>
    <w:rsid w:val="005E71CD"/>
    <w:rsid w:val="005E77ED"/>
    <w:rsid w:val="005E7992"/>
    <w:rsid w:val="005F0030"/>
    <w:rsid w:val="005F04BD"/>
    <w:rsid w:val="005F0649"/>
    <w:rsid w:val="005F1263"/>
    <w:rsid w:val="005F1675"/>
    <w:rsid w:val="005F1C89"/>
    <w:rsid w:val="005F20F6"/>
    <w:rsid w:val="005F224B"/>
    <w:rsid w:val="005F242A"/>
    <w:rsid w:val="005F2D06"/>
    <w:rsid w:val="005F2FD2"/>
    <w:rsid w:val="005F30C1"/>
    <w:rsid w:val="005F3BFD"/>
    <w:rsid w:val="005F4284"/>
    <w:rsid w:val="005F455E"/>
    <w:rsid w:val="005F4A5C"/>
    <w:rsid w:val="005F4B8E"/>
    <w:rsid w:val="005F4F76"/>
    <w:rsid w:val="005F4FE9"/>
    <w:rsid w:val="005F545F"/>
    <w:rsid w:val="005F62F2"/>
    <w:rsid w:val="005F672A"/>
    <w:rsid w:val="005F6924"/>
    <w:rsid w:val="006007EC"/>
    <w:rsid w:val="0060081E"/>
    <w:rsid w:val="006008BD"/>
    <w:rsid w:val="00600E41"/>
    <w:rsid w:val="00600F0D"/>
    <w:rsid w:val="00601411"/>
    <w:rsid w:val="00602106"/>
    <w:rsid w:val="006022E5"/>
    <w:rsid w:val="006026E0"/>
    <w:rsid w:val="006039AA"/>
    <w:rsid w:val="006039DD"/>
    <w:rsid w:val="00603CE8"/>
    <w:rsid w:val="00603F52"/>
    <w:rsid w:val="00604B4C"/>
    <w:rsid w:val="00605ECF"/>
    <w:rsid w:val="0060670F"/>
    <w:rsid w:val="00606A7D"/>
    <w:rsid w:val="00606F9A"/>
    <w:rsid w:val="00607178"/>
    <w:rsid w:val="00607B66"/>
    <w:rsid w:val="00607CFE"/>
    <w:rsid w:val="00607DAC"/>
    <w:rsid w:val="00610636"/>
    <w:rsid w:val="00610646"/>
    <w:rsid w:val="00610E40"/>
    <w:rsid w:val="0061169F"/>
    <w:rsid w:val="00611D35"/>
    <w:rsid w:val="00612169"/>
    <w:rsid w:val="006135E3"/>
    <w:rsid w:val="0061394B"/>
    <w:rsid w:val="006141A3"/>
    <w:rsid w:val="006142DD"/>
    <w:rsid w:val="00615B73"/>
    <w:rsid w:val="00616561"/>
    <w:rsid w:val="00616D97"/>
    <w:rsid w:val="006177D0"/>
    <w:rsid w:val="00617CFB"/>
    <w:rsid w:val="00620B5C"/>
    <w:rsid w:val="00620F20"/>
    <w:rsid w:val="0062191D"/>
    <w:rsid w:val="00621E6D"/>
    <w:rsid w:val="00622747"/>
    <w:rsid w:val="00622A6A"/>
    <w:rsid w:val="00622C6D"/>
    <w:rsid w:val="00622CE8"/>
    <w:rsid w:val="00622F73"/>
    <w:rsid w:val="006231E2"/>
    <w:rsid w:val="00623492"/>
    <w:rsid w:val="00623A50"/>
    <w:rsid w:val="00623BA8"/>
    <w:rsid w:val="0062445F"/>
    <w:rsid w:val="006255B2"/>
    <w:rsid w:val="00625E40"/>
    <w:rsid w:val="0062674A"/>
    <w:rsid w:val="00626A54"/>
    <w:rsid w:val="00626FFB"/>
    <w:rsid w:val="006309DD"/>
    <w:rsid w:val="00630A96"/>
    <w:rsid w:val="006317E4"/>
    <w:rsid w:val="006318B4"/>
    <w:rsid w:val="00632211"/>
    <w:rsid w:val="006327D2"/>
    <w:rsid w:val="00632F36"/>
    <w:rsid w:val="00632F7E"/>
    <w:rsid w:val="006349B3"/>
    <w:rsid w:val="00635742"/>
    <w:rsid w:val="00635A49"/>
    <w:rsid w:val="00636043"/>
    <w:rsid w:val="006364F7"/>
    <w:rsid w:val="00636BED"/>
    <w:rsid w:val="0063726A"/>
    <w:rsid w:val="00637609"/>
    <w:rsid w:val="00637B2A"/>
    <w:rsid w:val="00637D7C"/>
    <w:rsid w:val="00637D83"/>
    <w:rsid w:val="00637E93"/>
    <w:rsid w:val="006407EF"/>
    <w:rsid w:val="00641511"/>
    <w:rsid w:val="0064191E"/>
    <w:rsid w:val="006419C0"/>
    <w:rsid w:val="00641ED0"/>
    <w:rsid w:val="0064242F"/>
    <w:rsid w:val="00642811"/>
    <w:rsid w:val="006443E1"/>
    <w:rsid w:val="006448F4"/>
    <w:rsid w:val="006451D0"/>
    <w:rsid w:val="006505A6"/>
    <w:rsid w:val="00650CDB"/>
    <w:rsid w:val="00650F8A"/>
    <w:rsid w:val="00651FA5"/>
    <w:rsid w:val="00651FE4"/>
    <w:rsid w:val="006522EB"/>
    <w:rsid w:val="00653B1B"/>
    <w:rsid w:val="0065460F"/>
    <w:rsid w:val="00655E96"/>
    <w:rsid w:val="006568DC"/>
    <w:rsid w:val="00657E9B"/>
    <w:rsid w:val="0066034F"/>
    <w:rsid w:val="0066072A"/>
    <w:rsid w:val="0066136E"/>
    <w:rsid w:val="006620F9"/>
    <w:rsid w:val="0066236C"/>
    <w:rsid w:val="00662B04"/>
    <w:rsid w:val="00662B32"/>
    <w:rsid w:val="00662CF9"/>
    <w:rsid w:val="00662DCB"/>
    <w:rsid w:val="00664075"/>
    <w:rsid w:val="006656D7"/>
    <w:rsid w:val="006657CA"/>
    <w:rsid w:val="006658F8"/>
    <w:rsid w:val="00665B44"/>
    <w:rsid w:val="00665C8E"/>
    <w:rsid w:val="006662CC"/>
    <w:rsid w:val="00667C65"/>
    <w:rsid w:val="00667E68"/>
    <w:rsid w:val="00670115"/>
    <w:rsid w:val="00670295"/>
    <w:rsid w:val="00670EBB"/>
    <w:rsid w:val="0067129B"/>
    <w:rsid w:val="00671BE5"/>
    <w:rsid w:val="00672F1B"/>
    <w:rsid w:val="006730D3"/>
    <w:rsid w:val="006740CC"/>
    <w:rsid w:val="00674584"/>
    <w:rsid w:val="006746FF"/>
    <w:rsid w:val="0067478C"/>
    <w:rsid w:val="006749B7"/>
    <w:rsid w:val="006757AD"/>
    <w:rsid w:val="0067582F"/>
    <w:rsid w:val="006762A6"/>
    <w:rsid w:val="006763CF"/>
    <w:rsid w:val="00677476"/>
    <w:rsid w:val="00677CF9"/>
    <w:rsid w:val="00680A54"/>
    <w:rsid w:val="00680DF3"/>
    <w:rsid w:val="006813DB"/>
    <w:rsid w:val="00681EC1"/>
    <w:rsid w:val="00682009"/>
    <w:rsid w:val="00682A1C"/>
    <w:rsid w:val="00682B0F"/>
    <w:rsid w:val="00682CDC"/>
    <w:rsid w:val="00682DED"/>
    <w:rsid w:val="006838F2"/>
    <w:rsid w:val="00684B88"/>
    <w:rsid w:val="00684FB8"/>
    <w:rsid w:val="00685CEE"/>
    <w:rsid w:val="00686324"/>
    <w:rsid w:val="00686476"/>
    <w:rsid w:val="00686BD6"/>
    <w:rsid w:val="00686CD1"/>
    <w:rsid w:val="00687B5E"/>
    <w:rsid w:val="0069016E"/>
    <w:rsid w:val="0069039B"/>
    <w:rsid w:val="00690990"/>
    <w:rsid w:val="00690A83"/>
    <w:rsid w:val="00691348"/>
    <w:rsid w:val="00691F19"/>
    <w:rsid w:val="006920FF"/>
    <w:rsid w:val="00692A2E"/>
    <w:rsid w:val="00693D35"/>
    <w:rsid w:val="00693E7D"/>
    <w:rsid w:val="00695B88"/>
    <w:rsid w:val="006962C8"/>
    <w:rsid w:val="00697192"/>
    <w:rsid w:val="0069763A"/>
    <w:rsid w:val="00697923"/>
    <w:rsid w:val="006A0A53"/>
    <w:rsid w:val="006A0D0D"/>
    <w:rsid w:val="006A0EE1"/>
    <w:rsid w:val="006A14B0"/>
    <w:rsid w:val="006A1504"/>
    <w:rsid w:val="006A1974"/>
    <w:rsid w:val="006A1BCD"/>
    <w:rsid w:val="006A2453"/>
    <w:rsid w:val="006A2592"/>
    <w:rsid w:val="006A2F67"/>
    <w:rsid w:val="006A3600"/>
    <w:rsid w:val="006A384C"/>
    <w:rsid w:val="006A3F12"/>
    <w:rsid w:val="006A457C"/>
    <w:rsid w:val="006A487D"/>
    <w:rsid w:val="006A5094"/>
    <w:rsid w:val="006A6D18"/>
    <w:rsid w:val="006A70C2"/>
    <w:rsid w:val="006B0408"/>
    <w:rsid w:val="006B0A1D"/>
    <w:rsid w:val="006B0AFA"/>
    <w:rsid w:val="006B286A"/>
    <w:rsid w:val="006B36BE"/>
    <w:rsid w:val="006B37D9"/>
    <w:rsid w:val="006B424D"/>
    <w:rsid w:val="006B4337"/>
    <w:rsid w:val="006B45FE"/>
    <w:rsid w:val="006B488E"/>
    <w:rsid w:val="006B4CED"/>
    <w:rsid w:val="006B5022"/>
    <w:rsid w:val="006B511E"/>
    <w:rsid w:val="006B57A7"/>
    <w:rsid w:val="006B5D0D"/>
    <w:rsid w:val="006B5F5F"/>
    <w:rsid w:val="006B69DC"/>
    <w:rsid w:val="006B6A6F"/>
    <w:rsid w:val="006B7008"/>
    <w:rsid w:val="006B772C"/>
    <w:rsid w:val="006B7764"/>
    <w:rsid w:val="006B7F71"/>
    <w:rsid w:val="006B7FB7"/>
    <w:rsid w:val="006B7FE3"/>
    <w:rsid w:val="006C0989"/>
    <w:rsid w:val="006C0B33"/>
    <w:rsid w:val="006C197E"/>
    <w:rsid w:val="006C208E"/>
    <w:rsid w:val="006C20B6"/>
    <w:rsid w:val="006C265D"/>
    <w:rsid w:val="006C287F"/>
    <w:rsid w:val="006C35A0"/>
    <w:rsid w:val="006C3AA3"/>
    <w:rsid w:val="006C3D43"/>
    <w:rsid w:val="006C3F38"/>
    <w:rsid w:val="006C4464"/>
    <w:rsid w:val="006C4547"/>
    <w:rsid w:val="006C5030"/>
    <w:rsid w:val="006C5FC0"/>
    <w:rsid w:val="006C6F24"/>
    <w:rsid w:val="006C76DD"/>
    <w:rsid w:val="006D0193"/>
    <w:rsid w:val="006D05D2"/>
    <w:rsid w:val="006D0973"/>
    <w:rsid w:val="006D1319"/>
    <w:rsid w:val="006D147C"/>
    <w:rsid w:val="006D155E"/>
    <w:rsid w:val="006D170D"/>
    <w:rsid w:val="006D1AE2"/>
    <w:rsid w:val="006D2456"/>
    <w:rsid w:val="006D2896"/>
    <w:rsid w:val="006D28B1"/>
    <w:rsid w:val="006D35DB"/>
    <w:rsid w:val="006D44AB"/>
    <w:rsid w:val="006D51BE"/>
    <w:rsid w:val="006D52EA"/>
    <w:rsid w:val="006D613F"/>
    <w:rsid w:val="006D6823"/>
    <w:rsid w:val="006D698F"/>
    <w:rsid w:val="006D6CCB"/>
    <w:rsid w:val="006D6F9A"/>
    <w:rsid w:val="006E0FAB"/>
    <w:rsid w:val="006E11DF"/>
    <w:rsid w:val="006E1708"/>
    <w:rsid w:val="006E1972"/>
    <w:rsid w:val="006E1B78"/>
    <w:rsid w:val="006E1CCE"/>
    <w:rsid w:val="006E1EA3"/>
    <w:rsid w:val="006E2604"/>
    <w:rsid w:val="006E2988"/>
    <w:rsid w:val="006E2B0D"/>
    <w:rsid w:val="006E2F4F"/>
    <w:rsid w:val="006E37AA"/>
    <w:rsid w:val="006E468E"/>
    <w:rsid w:val="006E5BD3"/>
    <w:rsid w:val="006E624D"/>
    <w:rsid w:val="006E6C03"/>
    <w:rsid w:val="006E6D63"/>
    <w:rsid w:val="006E6FF1"/>
    <w:rsid w:val="006E72AB"/>
    <w:rsid w:val="006E774A"/>
    <w:rsid w:val="006F04BD"/>
    <w:rsid w:val="006F122B"/>
    <w:rsid w:val="006F1656"/>
    <w:rsid w:val="006F1DED"/>
    <w:rsid w:val="006F20CC"/>
    <w:rsid w:val="006F27DA"/>
    <w:rsid w:val="006F28BA"/>
    <w:rsid w:val="006F329C"/>
    <w:rsid w:val="006F351E"/>
    <w:rsid w:val="006F4220"/>
    <w:rsid w:val="006F46E0"/>
    <w:rsid w:val="006F5054"/>
    <w:rsid w:val="006F5319"/>
    <w:rsid w:val="006F5B92"/>
    <w:rsid w:val="006F6E65"/>
    <w:rsid w:val="006F7104"/>
    <w:rsid w:val="006F7674"/>
    <w:rsid w:val="006F7B71"/>
    <w:rsid w:val="00701020"/>
    <w:rsid w:val="007011CA"/>
    <w:rsid w:val="007027E1"/>
    <w:rsid w:val="00702F99"/>
    <w:rsid w:val="00703455"/>
    <w:rsid w:val="00703CB5"/>
    <w:rsid w:val="007043C0"/>
    <w:rsid w:val="00704956"/>
    <w:rsid w:val="00704BD1"/>
    <w:rsid w:val="00704C1B"/>
    <w:rsid w:val="00704F98"/>
    <w:rsid w:val="007052FB"/>
    <w:rsid w:val="007058A5"/>
    <w:rsid w:val="00706656"/>
    <w:rsid w:val="00706D14"/>
    <w:rsid w:val="007077EA"/>
    <w:rsid w:val="00707AAB"/>
    <w:rsid w:val="00707DBC"/>
    <w:rsid w:val="007113ED"/>
    <w:rsid w:val="00712234"/>
    <w:rsid w:val="0071228A"/>
    <w:rsid w:val="00712433"/>
    <w:rsid w:val="00712852"/>
    <w:rsid w:val="007128BF"/>
    <w:rsid w:val="00712B34"/>
    <w:rsid w:val="00712FDF"/>
    <w:rsid w:val="007130EE"/>
    <w:rsid w:val="007131BA"/>
    <w:rsid w:val="00714635"/>
    <w:rsid w:val="00714715"/>
    <w:rsid w:val="00715037"/>
    <w:rsid w:val="00715639"/>
    <w:rsid w:val="00715904"/>
    <w:rsid w:val="00715DF2"/>
    <w:rsid w:val="00716B9E"/>
    <w:rsid w:val="007173B3"/>
    <w:rsid w:val="00717478"/>
    <w:rsid w:val="0071798A"/>
    <w:rsid w:val="0072228E"/>
    <w:rsid w:val="00722328"/>
    <w:rsid w:val="007226E6"/>
    <w:rsid w:val="00722BDB"/>
    <w:rsid w:val="00723635"/>
    <w:rsid w:val="00723AC6"/>
    <w:rsid w:val="00723CA8"/>
    <w:rsid w:val="00724623"/>
    <w:rsid w:val="0072483E"/>
    <w:rsid w:val="00724A49"/>
    <w:rsid w:val="00724D9D"/>
    <w:rsid w:val="00724E16"/>
    <w:rsid w:val="007255F7"/>
    <w:rsid w:val="007257E3"/>
    <w:rsid w:val="0072597A"/>
    <w:rsid w:val="0072597D"/>
    <w:rsid w:val="00725A9A"/>
    <w:rsid w:val="00727446"/>
    <w:rsid w:val="00727681"/>
    <w:rsid w:val="00727F09"/>
    <w:rsid w:val="007308CC"/>
    <w:rsid w:val="0073144F"/>
    <w:rsid w:val="00731776"/>
    <w:rsid w:val="00731DF4"/>
    <w:rsid w:val="00731F7D"/>
    <w:rsid w:val="00732488"/>
    <w:rsid w:val="00732912"/>
    <w:rsid w:val="007336AA"/>
    <w:rsid w:val="00734391"/>
    <w:rsid w:val="0073533A"/>
    <w:rsid w:val="00735520"/>
    <w:rsid w:val="00735607"/>
    <w:rsid w:val="0073629D"/>
    <w:rsid w:val="0073663C"/>
    <w:rsid w:val="00736713"/>
    <w:rsid w:val="00736989"/>
    <w:rsid w:val="00737138"/>
    <w:rsid w:val="00737F14"/>
    <w:rsid w:val="0074001F"/>
    <w:rsid w:val="007407F8"/>
    <w:rsid w:val="00740AE3"/>
    <w:rsid w:val="007413AC"/>
    <w:rsid w:val="00741E10"/>
    <w:rsid w:val="007421C1"/>
    <w:rsid w:val="0074248E"/>
    <w:rsid w:val="00743042"/>
    <w:rsid w:val="00744138"/>
    <w:rsid w:val="00745781"/>
    <w:rsid w:val="00745894"/>
    <w:rsid w:val="00746AD2"/>
    <w:rsid w:val="00746BBD"/>
    <w:rsid w:val="00747095"/>
    <w:rsid w:val="007474FC"/>
    <w:rsid w:val="007475B7"/>
    <w:rsid w:val="00747643"/>
    <w:rsid w:val="007477EF"/>
    <w:rsid w:val="00747E21"/>
    <w:rsid w:val="00747E43"/>
    <w:rsid w:val="00750067"/>
    <w:rsid w:val="00750254"/>
    <w:rsid w:val="0075029C"/>
    <w:rsid w:val="007508B8"/>
    <w:rsid w:val="00751956"/>
    <w:rsid w:val="00751F02"/>
    <w:rsid w:val="007534D5"/>
    <w:rsid w:val="00753CBF"/>
    <w:rsid w:val="00753D27"/>
    <w:rsid w:val="007543DC"/>
    <w:rsid w:val="00754D80"/>
    <w:rsid w:val="00755053"/>
    <w:rsid w:val="00755800"/>
    <w:rsid w:val="0075649A"/>
    <w:rsid w:val="00756864"/>
    <w:rsid w:val="007573D4"/>
    <w:rsid w:val="00757AFC"/>
    <w:rsid w:val="007601A9"/>
    <w:rsid w:val="007602F1"/>
    <w:rsid w:val="00760D0A"/>
    <w:rsid w:val="00761BD3"/>
    <w:rsid w:val="00762020"/>
    <w:rsid w:val="00762184"/>
    <w:rsid w:val="007624C2"/>
    <w:rsid w:val="00762550"/>
    <w:rsid w:val="007626FC"/>
    <w:rsid w:val="00762921"/>
    <w:rsid w:val="00763314"/>
    <w:rsid w:val="00763900"/>
    <w:rsid w:val="00764BC6"/>
    <w:rsid w:val="00764D97"/>
    <w:rsid w:val="007655E5"/>
    <w:rsid w:val="007661B9"/>
    <w:rsid w:val="007663EC"/>
    <w:rsid w:val="00766410"/>
    <w:rsid w:val="00766446"/>
    <w:rsid w:val="00766D74"/>
    <w:rsid w:val="00766E5F"/>
    <w:rsid w:val="00767614"/>
    <w:rsid w:val="00767FF2"/>
    <w:rsid w:val="007702B4"/>
    <w:rsid w:val="007706BC"/>
    <w:rsid w:val="007709F0"/>
    <w:rsid w:val="00770AC6"/>
    <w:rsid w:val="00770F17"/>
    <w:rsid w:val="00771558"/>
    <w:rsid w:val="00771584"/>
    <w:rsid w:val="00774105"/>
    <w:rsid w:val="00774803"/>
    <w:rsid w:val="00775245"/>
    <w:rsid w:val="00775688"/>
    <w:rsid w:val="00777014"/>
    <w:rsid w:val="0078053C"/>
    <w:rsid w:val="00780A83"/>
    <w:rsid w:val="00781783"/>
    <w:rsid w:val="00781974"/>
    <w:rsid w:val="00781B08"/>
    <w:rsid w:val="00781C55"/>
    <w:rsid w:val="00782A2E"/>
    <w:rsid w:val="00782D54"/>
    <w:rsid w:val="007834DB"/>
    <w:rsid w:val="007837DE"/>
    <w:rsid w:val="00783A4B"/>
    <w:rsid w:val="00783A6A"/>
    <w:rsid w:val="00784B6A"/>
    <w:rsid w:val="00785AF5"/>
    <w:rsid w:val="00786068"/>
    <w:rsid w:val="00786869"/>
    <w:rsid w:val="007874A1"/>
    <w:rsid w:val="00787561"/>
    <w:rsid w:val="00787BEB"/>
    <w:rsid w:val="007907CC"/>
    <w:rsid w:val="00790876"/>
    <w:rsid w:val="007908AC"/>
    <w:rsid w:val="007909A5"/>
    <w:rsid w:val="007909BF"/>
    <w:rsid w:val="00790ADF"/>
    <w:rsid w:val="007910C1"/>
    <w:rsid w:val="007918B6"/>
    <w:rsid w:val="007921AF"/>
    <w:rsid w:val="007925C8"/>
    <w:rsid w:val="00792D28"/>
    <w:rsid w:val="00793149"/>
    <w:rsid w:val="00793DAC"/>
    <w:rsid w:val="007945B4"/>
    <w:rsid w:val="0079481F"/>
    <w:rsid w:val="007950E2"/>
    <w:rsid w:val="007960BA"/>
    <w:rsid w:val="00796FB4"/>
    <w:rsid w:val="00797CE1"/>
    <w:rsid w:val="00797DBF"/>
    <w:rsid w:val="007A018D"/>
    <w:rsid w:val="007A07EA"/>
    <w:rsid w:val="007A17DE"/>
    <w:rsid w:val="007A1C19"/>
    <w:rsid w:val="007A2527"/>
    <w:rsid w:val="007A368A"/>
    <w:rsid w:val="007A3AAE"/>
    <w:rsid w:val="007A45EF"/>
    <w:rsid w:val="007A5009"/>
    <w:rsid w:val="007A51FA"/>
    <w:rsid w:val="007A5E90"/>
    <w:rsid w:val="007A5FAA"/>
    <w:rsid w:val="007A6E62"/>
    <w:rsid w:val="007A78DE"/>
    <w:rsid w:val="007A7944"/>
    <w:rsid w:val="007A7E72"/>
    <w:rsid w:val="007B026E"/>
    <w:rsid w:val="007B0A4E"/>
    <w:rsid w:val="007B0DE6"/>
    <w:rsid w:val="007B1032"/>
    <w:rsid w:val="007B19CD"/>
    <w:rsid w:val="007B1BF9"/>
    <w:rsid w:val="007B4C34"/>
    <w:rsid w:val="007B4E32"/>
    <w:rsid w:val="007B51D7"/>
    <w:rsid w:val="007B5624"/>
    <w:rsid w:val="007B5789"/>
    <w:rsid w:val="007B5DA9"/>
    <w:rsid w:val="007B63AA"/>
    <w:rsid w:val="007B6808"/>
    <w:rsid w:val="007B6906"/>
    <w:rsid w:val="007B6929"/>
    <w:rsid w:val="007B6990"/>
    <w:rsid w:val="007B6CCE"/>
    <w:rsid w:val="007B71B3"/>
    <w:rsid w:val="007B720C"/>
    <w:rsid w:val="007B724E"/>
    <w:rsid w:val="007B7E75"/>
    <w:rsid w:val="007C0465"/>
    <w:rsid w:val="007C136F"/>
    <w:rsid w:val="007C13ED"/>
    <w:rsid w:val="007C1951"/>
    <w:rsid w:val="007C1A66"/>
    <w:rsid w:val="007C1D14"/>
    <w:rsid w:val="007C22E7"/>
    <w:rsid w:val="007C27E1"/>
    <w:rsid w:val="007C2F9D"/>
    <w:rsid w:val="007C36D3"/>
    <w:rsid w:val="007C36EB"/>
    <w:rsid w:val="007C42C1"/>
    <w:rsid w:val="007C6D10"/>
    <w:rsid w:val="007C7F12"/>
    <w:rsid w:val="007D0738"/>
    <w:rsid w:val="007D1150"/>
    <w:rsid w:val="007D12BE"/>
    <w:rsid w:val="007D1F27"/>
    <w:rsid w:val="007D2498"/>
    <w:rsid w:val="007D296C"/>
    <w:rsid w:val="007D30E1"/>
    <w:rsid w:val="007D3270"/>
    <w:rsid w:val="007D33B3"/>
    <w:rsid w:val="007D51EF"/>
    <w:rsid w:val="007D5653"/>
    <w:rsid w:val="007D59C9"/>
    <w:rsid w:val="007D59F2"/>
    <w:rsid w:val="007D6B92"/>
    <w:rsid w:val="007D70EA"/>
    <w:rsid w:val="007D76DB"/>
    <w:rsid w:val="007E04AA"/>
    <w:rsid w:val="007E16E5"/>
    <w:rsid w:val="007E2484"/>
    <w:rsid w:val="007E2519"/>
    <w:rsid w:val="007E2632"/>
    <w:rsid w:val="007E399B"/>
    <w:rsid w:val="007E47BE"/>
    <w:rsid w:val="007E4B1B"/>
    <w:rsid w:val="007E4BE8"/>
    <w:rsid w:val="007E5C38"/>
    <w:rsid w:val="007E5C89"/>
    <w:rsid w:val="007E5DD3"/>
    <w:rsid w:val="007E6584"/>
    <w:rsid w:val="007E66E9"/>
    <w:rsid w:val="007F1526"/>
    <w:rsid w:val="007F17D1"/>
    <w:rsid w:val="007F1A74"/>
    <w:rsid w:val="007F1C50"/>
    <w:rsid w:val="007F20DB"/>
    <w:rsid w:val="007F2736"/>
    <w:rsid w:val="007F2AD9"/>
    <w:rsid w:val="007F2BAE"/>
    <w:rsid w:val="007F360E"/>
    <w:rsid w:val="007F4776"/>
    <w:rsid w:val="007F4B53"/>
    <w:rsid w:val="007F4BB3"/>
    <w:rsid w:val="007F5502"/>
    <w:rsid w:val="007F56DF"/>
    <w:rsid w:val="007F5A22"/>
    <w:rsid w:val="007F62CF"/>
    <w:rsid w:val="007F6354"/>
    <w:rsid w:val="007F6490"/>
    <w:rsid w:val="007F65C0"/>
    <w:rsid w:val="007F663B"/>
    <w:rsid w:val="007F77A0"/>
    <w:rsid w:val="00800D8B"/>
    <w:rsid w:val="00800F6D"/>
    <w:rsid w:val="00801064"/>
    <w:rsid w:val="00801D6C"/>
    <w:rsid w:val="00801D97"/>
    <w:rsid w:val="00801DBE"/>
    <w:rsid w:val="008026F0"/>
    <w:rsid w:val="00802F43"/>
    <w:rsid w:val="00803169"/>
    <w:rsid w:val="00803466"/>
    <w:rsid w:val="00803778"/>
    <w:rsid w:val="00803C87"/>
    <w:rsid w:val="00804507"/>
    <w:rsid w:val="00804525"/>
    <w:rsid w:val="00804B41"/>
    <w:rsid w:val="00804C3E"/>
    <w:rsid w:val="00804FC0"/>
    <w:rsid w:val="00805BCE"/>
    <w:rsid w:val="0080657B"/>
    <w:rsid w:val="008065F9"/>
    <w:rsid w:val="008075DA"/>
    <w:rsid w:val="008078A9"/>
    <w:rsid w:val="0081044C"/>
    <w:rsid w:val="00810B75"/>
    <w:rsid w:val="00810FB0"/>
    <w:rsid w:val="00811423"/>
    <w:rsid w:val="0081324A"/>
    <w:rsid w:val="0081400D"/>
    <w:rsid w:val="008145A3"/>
    <w:rsid w:val="008145DD"/>
    <w:rsid w:val="008147A4"/>
    <w:rsid w:val="00814DED"/>
    <w:rsid w:val="008157CE"/>
    <w:rsid w:val="008168FB"/>
    <w:rsid w:val="00816A14"/>
    <w:rsid w:val="00816C04"/>
    <w:rsid w:val="008177C6"/>
    <w:rsid w:val="00817B01"/>
    <w:rsid w:val="00820342"/>
    <w:rsid w:val="00820B05"/>
    <w:rsid w:val="00821612"/>
    <w:rsid w:val="008218FB"/>
    <w:rsid w:val="00822ECE"/>
    <w:rsid w:val="00823223"/>
    <w:rsid w:val="0082323C"/>
    <w:rsid w:val="00823D50"/>
    <w:rsid w:val="00824915"/>
    <w:rsid w:val="00824C66"/>
    <w:rsid w:val="008250A6"/>
    <w:rsid w:val="00825266"/>
    <w:rsid w:val="00825A3E"/>
    <w:rsid w:val="008261C9"/>
    <w:rsid w:val="008307FE"/>
    <w:rsid w:val="00830DD9"/>
    <w:rsid w:val="0083163B"/>
    <w:rsid w:val="0083197C"/>
    <w:rsid w:val="00831C65"/>
    <w:rsid w:val="00834167"/>
    <w:rsid w:val="008346EA"/>
    <w:rsid w:val="0083516E"/>
    <w:rsid w:val="008352A6"/>
    <w:rsid w:val="00835367"/>
    <w:rsid w:val="008353A8"/>
    <w:rsid w:val="00835C6A"/>
    <w:rsid w:val="0083723C"/>
    <w:rsid w:val="00837BBE"/>
    <w:rsid w:val="00837F6A"/>
    <w:rsid w:val="00840261"/>
    <w:rsid w:val="008408FB"/>
    <w:rsid w:val="00840ED1"/>
    <w:rsid w:val="00840F2D"/>
    <w:rsid w:val="00840F7F"/>
    <w:rsid w:val="0084254A"/>
    <w:rsid w:val="00843DAC"/>
    <w:rsid w:val="008442C3"/>
    <w:rsid w:val="008449E5"/>
    <w:rsid w:val="00844AB7"/>
    <w:rsid w:val="00844BB9"/>
    <w:rsid w:val="00844F6E"/>
    <w:rsid w:val="0084576B"/>
    <w:rsid w:val="008457A7"/>
    <w:rsid w:val="00845C91"/>
    <w:rsid w:val="00845E41"/>
    <w:rsid w:val="00845EE5"/>
    <w:rsid w:val="0084626D"/>
    <w:rsid w:val="008473E4"/>
    <w:rsid w:val="008475F3"/>
    <w:rsid w:val="008475F4"/>
    <w:rsid w:val="00850007"/>
    <w:rsid w:val="00850BF8"/>
    <w:rsid w:val="00850D70"/>
    <w:rsid w:val="00851301"/>
    <w:rsid w:val="0085145C"/>
    <w:rsid w:val="00851B83"/>
    <w:rsid w:val="00852D2C"/>
    <w:rsid w:val="008532A5"/>
    <w:rsid w:val="00853475"/>
    <w:rsid w:val="00853AD6"/>
    <w:rsid w:val="008544B8"/>
    <w:rsid w:val="00855F77"/>
    <w:rsid w:val="00856C4E"/>
    <w:rsid w:val="00857843"/>
    <w:rsid w:val="008601EE"/>
    <w:rsid w:val="0086086E"/>
    <w:rsid w:val="00860EAD"/>
    <w:rsid w:val="00861FF4"/>
    <w:rsid w:val="008625C9"/>
    <w:rsid w:val="00862A50"/>
    <w:rsid w:val="00862D31"/>
    <w:rsid w:val="00862EEB"/>
    <w:rsid w:val="008638DD"/>
    <w:rsid w:val="00864874"/>
    <w:rsid w:val="00864900"/>
    <w:rsid w:val="0086499C"/>
    <w:rsid w:val="00864D16"/>
    <w:rsid w:val="00865653"/>
    <w:rsid w:val="00865BF6"/>
    <w:rsid w:val="00865C7B"/>
    <w:rsid w:val="00865C94"/>
    <w:rsid w:val="00865E5C"/>
    <w:rsid w:val="0086623A"/>
    <w:rsid w:val="00867C88"/>
    <w:rsid w:val="00867D73"/>
    <w:rsid w:val="008709AD"/>
    <w:rsid w:val="00870A00"/>
    <w:rsid w:val="00870E47"/>
    <w:rsid w:val="008717E0"/>
    <w:rsid w:val="0087183B"/>
    <w:rsid w:val="008719A5"/>
    <w:rsid w:val="00872555"/>
    <w:rsid w:val="0087261E"/>
    <w:rsid w:val="00872C37"/>
    <w:rsid w:val="00873796"/>
    <w:rsid w:val="00873815"/>
    <w:rsid w:val="0087382A"/>
    <w:rsid w:val="0087411A"/>
    <w:rsid w:val="008742B5"/>
    <w:rsid w:val="0087433D"/>
    <w:rsid w:val="00874ACC"/>
    <w:rsid w:val="008751C6"/>
    <w:rsid w:val="00875986"/>
    <w:rsid w:val="00875FDF"/>
    <w:rsid w:val="0087751E"/>
    <w:rsid w:val="008802BE"/>
    <w:rsid w:val="00880E76"/>
    <w:rsid w:val="00881922"/>
    <w:rsid w:val="00881B58"/>
    <w:rsid w:val="008820EE"/>
    <w:rsid w:val="00882D81"/>
    <w:rsid w:val="00882ED1"/>
    <w:rsid w:val="00883217"/>
    <w:rsid w:val="0088443D"/>
    <w:rsid w:val="00885038"/>
    <w:rsid w:val="00885579"/>
    <w:rsid w:val="00885586"/>
    <w:rsid w:val="008857B7"/>
    <w:rsid w:val="00885D54"/>
    <w:rsid w:val="00885E50"/>
    <w:rsid w:val="00886434"/>
    <w:rsid w:val="00887329"/>
    <w:rsid w:val="0088787A"/>
    <w:rsid w:val="00887B46"/>
    <w:rsid w:val="00890263"/>
    <w:rsid w:val="00890814"/>
    <w:rsid w:val="00891758"/>
    <w:rsid w:val="008918BF"/>
    <w:rsid w:val="00891FE0"/>
    <w:rsid w:val="00892A05"/>
    <w:rsid w:val="00892DE9"/>
    <w:rsid w:val="00892F5D"/>
    <w:rsid w:val="008937DE"/>
    <w:rsid w:val="00893EC2"/>
    <w:rsid w:val="00894679"/>
    <w:rsid w:val="00894DB9"/>
    <w:rsid w:val="00894E61"/>
    <w:rsid w:val="0089568B"/>
    <w:rsid w:val="008956E9"/>
    <w:rsid w:val="00895D15"/>
    <w:rsid w:val="0089608D"/>
    <w:rsid w:val="0089691D"/>
    <w:rsid w:val="008970CC"/>
    <w:rsid w:val="00897519"/>
    <w:rsid w:val="0089760C"/>
    <w:rsid w:val="00897621"/>
    <w:rsid w:val="008A0187"/>
    <w:rsid w:val="008A04EC"/>
    <w:rsid w:val="008A0940"/>
    <w:rsid w:val="008A0F6E"/>
    <w:rsid w:val="008A1045"/>
    <w:rsid w:val="008A14A4"/>
    <w:rsid w:val="008A2279"/>
    <w:rsid w:val="008A2445"/>
    <w:rsid w:val="008A25BD"/>
    <w:rsid w:val="008A2AB5"/>
    <w:rsid w:val="008A2D24"/>
    <w:rsid w:val="008A3FF3"/>
    <w:rsid w:val="008A4B37"/>
    <w:rsid w:val="008A4CED"/>
    <w:rsid w:val="008A5124"/>
    <w:rsid w:val="008A6083"/>
    <w:rsid w:val="008A67A7"/>
    <w:rsid w:val="008A68AA"/>
    <w:rsid w:val="008A6DD8"/>
    <w:rsid w:val="008A7EC1"/>
    <w:rsid w:val="008B04CC"/>
    <w:rsid w:val="008B0627"/>
    <w:rsid w:val="008B06F6"/>
    <w:rsid w:val="008B10A3"/>
    <w:rsid w:val="008B1247"/>
    <w:rsid w:val="008B1F1B"/>
    <w:rsid w:val="008B2E8E"/>
    <w:rsid w:val="008B34DD"/>
    <w:rsid w:val="008B4508"/>
    <w:rsid w:val="008B56FC"/>
    <w:rsid w:val="008B5897"/>
    <w:rsid w:val="008B5A88"/>
    <w:rsid w:val="008B5F9D"/>
    <w:rsid w:val="008B6155"/>
    <w:rsid w:val="008B6D8D"/>
    <w:rsid w:val="008B7C85"/>
    <w:rsid w:val="008C04BE"/>
    <w:rsid w:val="008C0606"/>
    <w:rsid w:val="008C2002"/>
    <w:rsid w:val="008C2659"/>
    <w:rsid w:val="008C3627"/>
    <w:rsid w:val="008C3B14"/>
    <w:rsid w:val="008C4AEE"/>
    <w:rsid w:val="008C4EDA"/>
    <w:rsid w:val="008C4FA6"/>
    <w:rsid w:val="008C7855"/>
    <w:rsid w:val="008C7D8D"/>
    <w:rsid w:val="008D118E"/>
    <w:rsid w:val="008D2A7D"/>
    <w:rsid w:val="008D2B75"/>
    <w:rsid w:val="008D2D7B"/>
    <w:rsid w:val="008D311E"/>
    <w:rsid w:val="008D4375"/>
    <w:rsid w:val="008D53CB"/>
    <w:rsid w:val="008D5739"/>
    <w:rsid w:val="008D6CEE"/>
    <w:rsid w:val="008D7458"/>
    <w:rsid w:val="008D781C"/>
    <w:rsid w:val="008E0065"/>
    <w:rsid w:val="008E0AAD"/>
    <w:rsid w:val="008E0C94"/>
    <w:rsid w:val="008E0E58"/>
    <w:rsid w:val="008E141E"/>
    <w:rsid w:val="008E1714"/>
    <w:rsid w:val="008E1A05"/>
    <w:rsid w:val="008E2261"/>
    <w:rsid w:val="008E3B77"/>
    <w:rsid w:val="008E3F88"/>
    <w:rsid w:val="008E42C9"/>
    <w:rsid w:val="008E4978"/>
    <w:rsid w:val="008E4B5F"/>
    <w:rsid w:val="008E4F32"/>
    <w:rsid w:val="008E4F7C"/>
    <w:rsid w:val="008E5B72"/>
    <w:rsid w:val="008E5D49"/>
    <w:rsid w:val="008E624D"/>
    <w:rsid w:val="008E6505"/>
    <w:rsid w:val="008E6956"/>
    <w:rsid w:val="008E6DB5"/>
    <w:rsid w:val="008E726C"/>
    <w:rsid w:val="008E75A8"/>
    <w:rsid w:val="008E7A78"/>
    <w:rsid w:val="008E7E66"/>
    <w:rsid w:val="008F02F2"/>
    <w:rsid w:val="008F03DB"/>
    <w:rsid w:val="008F1B21"/>
    <w:rsid w:val="008F1BD6"/>
    <w:rsid w:val="008F2377"/>
    <w:rsid w:val="008F26AE"/>
    <w:rsid w:val="008F2B26"/>
    <w:rsid w:val="008F2FF0"/>
    <w:rsid w:val="008F43C7"/>
    <w:rsid w:val="008F5D39"/>
    <w:rsid w:val="008F5E63"/>
    <w:rsid w:val="008F69BF"/>
    <w:rsid w:val="008F7BF2"/>
    <w:rsid w:val="009005C0"/>
    <w:rsid w:val="00900B23"/>
    <w:rsid w:val="00900C0C"/>
    <w:rsid w:val="00901A3A"/>
    <w:rsid w:val="009024F2"/>
    <w:rsid w:val="00902C6B"/>
    <w:rsid w:val="0090364D"/>
    <w:rsid w:val="00904115"/>
    <w:rsid w:val="00904AF0"/>
    <w:rsid w:val="00905EC4"/>
    <w:rsid w:val="00906B58"/>
    <w:rsid w:val="00906C40"/>
    <w:rsid w:val="00907F21"/>
    <w:rsid w:val="0091073A"/>
    <w:rsid w:val="00910879"/>
    <w:rsid w:val="00910DE4"/>
    <w:rsid w:val="0091181D"/>
    <w:rsid w:val="00912521"/>
    <w:rsid w:val="009126A1"/>
    <w:rsid w:val="00914F1D"/>
    <w:rsid w:val="00915CD4"/>
    <w:rsid w:val="009164FB"/>
    <w:rsid w:val="00916674"/>
    <w:rsid w:val="009166C2"/>
    <w:rsid w:val="00917AD4"/>
    <w:rsid w:val="00917FC4"/>
    <w:rsid w:val="00920029"/>
    <w:rsid w:val="00920056"/>
    <w:rsid w:val="0092092F"/>
    <w:rsid w:val="0092118D"/>
    <w:rsid w:val="00921282"/>
    <w:rsid w:val="00921846"/>
    <w:rsid w:val="00922BC8"/>
    <w:rsid w:val="009232A6"/>
    <w:rsid w:val="00923608"/>
    <w:rsid w:val="009236FB"/>
    <w:rsid w:val="0092410A"/>
    <w:rsid w:val="009243AD"/>
    <w:rsid w:val="0092562A"/>
    <w:rsid w:val="00925C53"/>
    <w:rsid w:val="00925EFD"/>
    <w:rsid w:val="0092696A"/>
    <w:rsid w:val="00927ACA"/>
    <w:rsid w:val="00927E9A"/>
    <w:rsid w:val="00930C22"/>
    <w:rsid w:val="00931227"/>
    <w:rsid w:val="009314CD"/>
    <w:rsid w:val="00931DEF"/>
    <w:rsid w:val="00932645"/>
    <w:rsid w:val="009326E7"/>
    <w:rsid w:val="0093292E"/>
    <w:rsid w:val="00932CD7"/>
    <w:rsid w:val="00932DA4"/>
    <w:rsid w:val="0093313E"/>
    <w:rsid w:val="009337AC"/>
    <w:rsid w:val="00933967"/>
    <w:rsid w:val="0093454C"/>
    <w:rsid w:val="00934885"/>
    <w:rsid w:val="009351CA"/>
    <w:rsid w:val="0093576A"/>
    <w:rsid w:val="00935DA7"/>
    <w:rsid w:val="009367F7"/>
    <w:rsid w:val="00936C9E"/>
    <w:rsid w:val="009377A2"/>
    <w:rsid w:val="00937AB0"/>
    <w:rsid w:val="00937CFC"/>
    <w:rsid w:val="00937DD6"/>
    <w:rsid w:val="009400CE"/>
    <w:rsid w:val="00940261"/>
    <w:rsid w:val="009403A4"/>
    <w:rsid w:val="00940A90"/>
    <w:rsid w:val="00940B1D"/>
    <w:rsid w:val="009411EA"/>
    <w:rsid w:val="00942051"/>
    <w:rsid w:val="00942131"/>
    <w:rsid w:val="009427F0"/>
    <w:rsid w:val="009435EC"/>
    <w:rsid w:val="00943D1A"/>
    <w:rsid w:val="00944DEA"/>
    <w:rsid w:val="0094550E"/>
    <w:rsid w:val="00946277"/>
    <w:rsid w:val="0094658C"/>
    <w:rsid w:val="00946694"/>
    <w:rsid w:val="009475B2"/>
    <w:rsid w:val="00947707"/>
    <w:rsid w:val="009504EA"/>
    <w:rsid w:val="00950682"/>
    <w:rsid w:val="0095088C"/>
    <w:rsid w:val="00950955"/>
    <w:rsid w:val="00951124"/>
    <w:rsid w:val="00951648"/>
    <w:rsid w:val="009516CE"/>
    <w:rsid w:val="00951C06"/>
    <w:rsid w:val="00952061"/>
    <w:rsid w:val="00952478"/>
    <w:rsid w:val="009528AC"/>
    <w:rsid w:val="00952E11"/>
    <w:rsid w:val="00952E73"/>
    <w:rsid w:val="00952FC1"/>
    <w:rsid w:val="00953333"/>
    <w:rsid w:val="00953D57"/>
    <w:rsid w:val="00954163"/>
    <w:rsid w:val="00955E58"/>
    <w:rsid w:val="00956430"/>
    <w:rsid w:val="00956D18"/>
    <w:rsid w:val="00956EE2"/>
    <w:rsid w:val="0095719A"/>
    <w:rsid w:val="0095777D"/>
    <w:rsid w:val="00957D95"/>
    <w:rsid w:val="00960473"/>
    <w:rsid w:val="00960AF9"/>
    <w:rsid w:val="009612B6"/>
    <w:rsid w:val="00962464"/>
    <w:rsid w:val="00962F87"/>
    <w:rsid w:val="0096305E"/>
    <w:rsid w:val="00963A83"/>
    <w:rsid w:val="00964840"/>
    <w:rsid w:val="00964BBF"/>
    <w:rsid w:val="00964E76"/>
    <w:rsid w:val="00965A70"/>
    <w:rsid w:val="009665F7"/>
    <w:rsid w:val="009666A8"/>
    <w:rsid w:val="00967069"/>
    <w:rsid w:val="00967962"/>
    <w:rsid w:val="00970331"/>
    <w:rsid w:val="00970AD9"/>
    <w:rsid w:val="00971624"/>
    <w:rsid w:val="00971945"/>
    <w:rsid w:val="0097248E"/>
    <w:rsid w:val="009734B7"/>
    <w:rsid w:val="0097369A"/>
    <w:rsid w:val="00973701"/>
    <w:rsid w:val="00973EB7"/>
    <w:rsid w:val="0097401B"/>
    <w:rsid w:val="0097473E"/>
    <w:rsid w:val="00974879"/>
    <w:rsid w:val="009749F0"/>
    <w:rsid w:val="00974B09"/>
    <w:rsid w:val="00975B1E"/>
    <w:rsid w:val="00975EE7"/>
    <w:rsid w:val="0097651A"/>
    <w:rsid w:val="00976EBE"/>
    <w:rsid w:val="00977293"/>
    <w:rsid w:val="009773C9"/>
    <w:rsid w:val="00977AB7"/>
    <w:rsid w:val="00977B76"/>
    <w:rsid w:val="009804E0"/>
    <w:rsid w:val="00980559"/>
    <w:rsid w:val="009816BA"/>
    <w:rsid w:val="00982785"/>
    <w:rsid w:val="00982CAD"/>
    <w:rsid w:val="009832DC"/>
    <w:rsid w:val="009840C0"/>
    <w:rsid w:val="00984118"/>
    <w:rsid w:val="00984322"/>
    <w:rsid w:val="009848DE"/>
    <w:rsid w:val="00984F99"/>
    <w:rsid w:val="009851B1"/>
    <w:rsid w:val="0098537C"/>
    <w:rsid w:val="0098595B"/>
    <w:rsid w:val="00985D85"/>
    <w:rsid w:val="0098678C"/>
    <w:rsid w:val="00986BD9"/>
    <w:rsid w:val="00987412"/>
    <w:rsid w:val="009878B8"/>
    <w:rsid w:val="0099056D"/>
    <w:rsid w:val="00990AAF"/>
    <w:rsid w:val="00990B18"/>
    <w:rsid w:val="00990EE2"/>
    <w:rsid w:val="009919C9"/>
    <w:rsid w:val="00991C36"/>
    <w:rsid w:val="00991D70"/>
    <w:rsid w:val="009932F0"/>
    <w:rsid w:val="00993BCF"/>
    <w:rsid w:val="00993EF6"/>
    <w:rsid w:val="0099409A"/>
    <w:rsid w:val="0099437F"/>
    <w:rsid w:val="00994806"/>
    <w:rsid w:val="00994BE2"/>
    <w:rsid w:val="009956BE"/>
    <w:rsid w:val="00995F5D"/>
    <w:rsid w:val="009966C3"/>
    <w:rsid w:val="0099747D"/>
    <w:rsid w:val="00997D1D"/>
    <w:rsid w:val="00997FF3"/>
    <w:rsid w:val="009A047A"/>
    <w:rsid w:val="009A065A"/>
    <w:rsid w:val="009A0750"/>
    <w:rsid w:val="009A1D3E"/>
    <w:rsid w:val="009A2569"/>
    <w:rsid w:val="009A271D"/>
    <w:rsid w:val="009A2C7E"/>
    <w:rsid w:val="009A34C1"/>
    <w:rsid w:val="009A3A01"/>
    <w:rsid w:val="009A3C1D"/>
    <w:rsid w:val="009A4954"/>
    <w:rsid w:val="009A5630"/>
    <w:rsid w:val="009A5A0E"/>
    <w:rsid w:val="009A661A"/>
    <w:rsid w:val="009A6D1E"/>
    <w:rsid w:val="009A7007"/>
    <w:rsid w:val="009A718E"/>
    <w:rsid w:val="009A7701"/>
    <w:rsid w:val="009A78D4"/>
    <w:rsid w:val="009A7C1B"/>
    <w:rsid w:val="009B0898"/>
    <w:rsid w:val="009B0FBD"/>
    <w:rsid w:val="009B1685"/>
    <w:rsid w:val="009B18E7"/>
    <w:rsid w:val="009B1DCC"/>
    <w:rsid w:val="009B244F"/>
    <w:rsid w:val="009B2ECE"/>
    <w:rsid w:val="009B3A3A"/>
    <w:rsid w:val="009B3B6E"/>
    <w:rsid w:val="009B3D56"/>
    <w:rsid w:val="009B5207"/>
    <w:rsid w:val="009B577D"/>
    <w:rsid w:val="009B62F0"/>
    <w:rsid w:val="009B64CE"/>
    <w:rsid w:val="009B6723"/>
    <w:rsid w:val="009B681E"/>
    <w:rsid w:val="009B797E"/>
    <w:rsid w:val="009B7BAA"/>
    <w:rsid w:val="009C0469"/>
    <w:rsid w:val="009C058E"/>
    <w:rsid w:val="009C1305"/>
    <w:rsid w:val="009C1699"/>
    <w:rsid w:val="009C207D"/>
    <w:rsid w:val="009C27D3"/>
    <w:rsid w:val="009C2BA2"/>
    <w:rsid w:val="009C2D26"/>
    <w:rsid w:val="009C32AE"/>
    <w:rsid w:val="009C3A08"/>
    <w:rsid w:val="009C3E54"/>
    <w:rsid w:val="009C45E4"/>
    <w:rsid w:val="009C4967"/>
    <w:rsid w:val="009C6625"/>
    <w:rsid w:val="009C71D8"/>
    <w:rsid w:val="009C76BC"/>
    <w:rsid w:val="009C7A56"/>
    <w:rsid w:val="009D01DD"/>
    <w:rsid w:val="009D02E6"/>
    <w:rsid w:val="009D0FDC"/>
    <w:rsid w:val="009D246B"/>
    <w:rsid w:val="009D260B"/>
    <w:rsid w:val="009D27EE"/>
    <w:rsid w:val="009D2819"/>
    <w:rsid w:val="009D2878"/>
    <w:rsid w:val="009D355F"/>
    <w:rsid w:val="009D436F"/>
    <w:rsid w:val="009D4706"/>
    <w:rsid w:val="009D4F77"/>
    <w:rsid w:val="009D50D2"/>
    <w:rsid w:val="009D51D5"/>
    <w:rsid w:val="009D5366"/>
    <w:rsid w:val="009D56E8"/>
    <w:rsid w:val="009D5A93"/>
    <w:rsid w:val="009D5B36"/>
    <w:rsid w:val="009D67FA"/>
    <w:rsid w:val="009D7324"/>
    <w:rsid w:val="009D75DC"/>
    <w:rsid w:val="009E033E"/>
    <w:rsid w:val="009E0460"/>
    <w:rsid w:val="009E0CA4"/>
    <w:rsid w:val="009E1874"/>
    <w:rsid w:val="009E1AD0"/>
    <w:rsid w:val="009E25D8"/>
    <w:rsid w:val="009E2D91"/>
    <w:rsid w:val="009E2EA2"/>
    <w:rsid w:val="009E2F92"/>
    <w:rsid w:val="009E401F"/>
    <w:rsid w:val="009E4838"/>
    <w:rsid w:val="009E4DF3"/>
    <w:rsid w:val="009E51E9"/>
    <w:rsid w:val="009E53D3"/>
    <w:rsid w:val="009E54D9"/>
    <w:rsid w:val="009E6310"/>
    <w:rsid w:val="009E6B22"/>
    <w:rsid w:val="009E6E7B"/>
    <w:rsid w:val="009E6F06"/>
    <w:rsid w:val="009E7348"/>
    <w:rsid w:val="009E7587"/>
    <w:rsid w:val="009E75D2"/>
    <w:rsid w:val="009F1D8A"/>
    <w:rsid w:val="009F1EBB"/>
    <w:rsid w:val="009F24E4"/>
    <w:rsid w:val="009F28C7"/>
    <w:rsid w:val="009F2909"/>
    <w:rsid w:val="009F2EFC"/>
    <w:rsid w:val="009F3366"/>
    <w:rsid w:val="009F56B2"/>
    <w:rsid w:val="009F57E0"/>
    <w:rsid w:val="009F5ED7"/>
    <w:rsid w:val="009F624B"/>
    <w:rsid w:val="009F6AD5"/>
    <w:rsid w:val="009F705E"/>
    <w:rsid w:val="009F7843"/>
    <w:rsid w:val="009F7F58"/>
    <w:rsid w:val="00A00AA6"/>
    <w:rsid w:val="00A00F74"/>
    <w:rsid w:val="00A01009"/>
    <w:rsid w:val="00A015FE"/>
    <w:rsid w:val="00A01C8C"/>
    <w:rsid w:val="00A037E2"/>
    <w:rsid w:val="00A040D9"/>
    <w:rsid w:val="00A049A7"/>
    <w:rsid w:val="00A04CEF"/>
    <w:rsid w:val="00A05270"/>
    <w:rsid w:val="00A053C9"/>
    <w:rsid w:val="00A05B0B"/>
    <w:rsid w:val="00A05DA9"/>
    <w:rsid w:val="00A05E59"/>
    <w:rsid w:val="00A05FDC"/>
    <w:rsid w:val="00A066C9"/>
    <w:rsid w:val="00A06A8A"/>
    <w:rsid w:val="00A06DBE"/>
    <w:rsid w:val="00A07BD1"/>
    <w:rsid w:val="00A07F05"/>
    <w:rsid w:val="00A11014"/>
    <w:rsid w:val="00A11046"/>
    <w:rsid w:val="00A1138E"/>
    <w:rsid w:val="00A11B64"/>
    <w:rsid w:val="00A11BDB"/>
    <w:rsid w:val="00A12B6E"/>
    <w:rsid w:val="00A12FB8"/>
    <w:rsid w:val="00A132FD"/>
    <w:rsid w:val="00A1391C"/>
    <w:rsid w:val="00A1398C"/>
    <w:rsid w:val="00A13A74"/>
    <w:rsid w:val="00A13BA1"/>
    <w:rsid w:val="00A14916"/>
    <w:rsid w:val="00A14C0D"/>
    <w:rsid w:val="00A158EC"/>
    <w:rsid w:val="00A15978"/>
    <w:rsid w:val="00A15B9F"/>
    <w:rsid w:val="00A1680C"/>
    <w:rsid w:val="00A16D2E"/>
    <w:rsid w:val="00A176B6"/>
    <w:rsid w:val="00A20266"/>
    <w:rsid w:val="00A20C70"/>
    <w:rsid w:val="00A20D7A"/>
    <w:rsid w:val="00A21E94"/>
    <w:rsid w:val="00A2213E"/>
    <w:rsid w:val="00A22B67"/>
    <w:rsid w:val="00A22D3C"/>
    <w:rsid w:val="00A23A5B"/>
    <w:rsid w:val="00A2489A"/>
    <w:rsid w:val="00A24BA4"/>
    <w:rsid w:val="00A24C5F"/>
    <w:rsid w:val="00A2568B"/>
    <w:rsid w:val="00A257F9"/>
    <w:rsid w:val="00A2587F"/>
    <w:rsid w:val="00A25E4B"/>
    <w:rsid w:val="00A25FD2"/>
    <w:rsid w:val="00A265B5"/>
    <w:rsid w:val="00A2661A"/>
    <w:rsid w:val="00A26AD8"/>
    <w:rsid w:val="00A26E47"/>
    <w:rsid w:val="00A272A7"/>
    <w:rsid w:val="00A273E8"/>
    <w:rsid w:val="00A27851"/>
    <w:rsid w:val="00A27ED1"/>
    <w:rsid w:val="00A303B9"/>
    <w:rsid w:val="00A304C8"/>
    <w:rsid w:val="00A30C5B"/>
    <w:rsid w:val="00A31879"/>
    <w:rsid w:val="00A3191F"/>
    <w:rsid w:val="00A31C0F"/>
    <w:rsid w:val="00A32392"/>
    <w:rsid w:val="00A32C09"/>
    <w:rsid w:val="00A33520"/>
    <w:rsid w:val="00A33ECF"/>
    <w:rsid w:val="00A35392"/>
    <w:rsid w:val="00A35D0A"/>
    <w:rsid w:val="00A3604A"/>
    <w:rsid w:val="00A3606E"/>
    <w:rsid w:val="00A36966"/>
    <w:rsid w:val="00A379B6"/>
    <w:rsid w:val="00A37B56"/>
    <w:rsid w:val="00A37B98"/>
    <w:rsid w:val="00A37E39"/>
    <w:rsid w:val="00A4080F"/>
    <w:rsid w:val="00A40C5A"/>
    <w:rsid w:val="00A418B0"/>
    <w:rsid w:val="00A42043"/>
    <w:rsid w:val="00A42181"/>
    <w:rsid w:val="00A4218A"/>
    <w:rsid w:val="00A422BD"/>
    <w:rsid w:val="00A42481"/>
    <w:rsid w:val="00A42651"/>
    <w:rsid w:val="00A42B29"/>
    <w:rsid w:val="00A42CEA"/>
    <w:rsid w:val="00A43259"/>
    <w:rsid w:val="00A44132"/>
    <w:rsid w:val="00A451A2"/>
    <w:rsid w:val="00A45571"/>
    <w:rsid w:val="00A45803"/>
    <w:rsid w:val="00A45B93"/>
    <w:rsid w:val="00A46307"/>
    <w:rsid w:val="00A4652F"/>
    <w:rsid w:val="00A46ADD"/>
    <w:rsid w:val="00A46F6D"/>
    <w:rsid w:val="00A50B8E"/>
    <w:rsid w:val="00A50E00"/>
    <w:rsid w:val="00A51027"/>
    <w:rsid w:val="00A51A13"/>
    <w:rsid w:val="00A51E51"/>
    <w:rsid w:val="00A52DBD"/>
    <w:rsid w:val="00A5376B"/>
    <w:rsid w:val="00A53818"/>
    <w:rsid w:val="00A5392E"/>
    <w:rsid w:val="00A547B3"/>
    <w:rsid w:val="00A54990"/>
    <w:rsid w:val="00A54D64"/>
    <w:rsid w:val="00A5575A"/>
    <w:rsid w:val="00A55970"/>
    <w:rsid w:val="00A55AB3"/>
    <w:rsid w:val="00A55D1B"/>
    <w:rsid w:val="00A575FB"/>
    <w:rsid w:val="00A579CA"/>
    <w:rsid w:val="00A57CF2"/>
    <w:rsid w:val="00A60414"/>
    <w:rsid w:val="00A60BE2"/>
    <w:rsid w:val="00A61A2B"/>
    <w:rsid w:val="00A61AA8"/>
    <w:rsid w:val="00A62983"/>
    <w:rsid w:val="00A62989"/>
    <w:rsid w:val="00A62B9A"/>
    <w:rsid w:val="00A63094"/>
    <w:rsid w:val="00A6324E"/>
    <w:rsid w:val="00A6371A"/>
    <w:rsid w:val="00A63D6D"/>
    <w:rsid w:val="00A648A0"/>
    <w:rsid w:val="00A64A28"/>
    <w:rsid w:val="00A64E52"/>
    <w:rsid w:val="00A66404"/>
    <w:rsid w:val="00A6660D"/>
    <w:rsid w:val="00A66DEF"/>
    <w:rsid w:val="00A677D1"/>
    <w:rsid w:val="00A679FF"/>
    <w:rsid w:val="00A67A2C"/>
    <w:rsid w:val="00A67EB1"/>
    <w:rsid w:val="00A70024"/>
    <w:rsid w:val="00A71973"/>
    <w:rsid w:val="00A71D1D"/>
    <w:rsid w:val="00A72B75"/>
    <w:rsid w:val="00A72BAC"/>
    <w:rsid w:val="00A72CF2"/>
    <w:rsid w:val="00A72F04"/>
    <w:rsid w:val="00A734A4"/>
    <w:rsid w:val="00A7351D"/>
    <w:rsid w:val="00A735E6"/>
    <w:rsid w:val="00A736A5"/>
    <w:rsid w:val="00A73AA4"/>
    <w:rsid w:val="00A73B37"/>
    <w:rsid w:val="00A74A3C"/>
    <w:rsid w:val="00A74ACD"/>
    <w:rsid w:val="00A75122"/>
    <w:rsid w:val="00A76776"/>
    <w:rsid w:val="00A769E9"/>
    <w:rsid w:val="00A77788"/>
    <w:rsid w:val="00A80509"/>
    <w:rsid w:val="00A813D0"/>
    <w:rsid w:val="00A81A99"/>
    <w:rsid w:val="00A81D5F"/>
    <w:rsid w:val="00A81E4E"/>
    <w:rsid w:val="00A81F09"/>
    <w:rsid w:val="00A82DC0"/>
    <w:rsid w:val="00A83DDB"/>
    <w:rsid w:val="00A849AE"/>
    <w:rsid w:val="00A84B22"/>
    <w:rsid w:val="00A84EEB"/>
    <w:rsid w:val="00A854A1"/>
    <w:rsid w:val="00A85619"/>
    <w:rsid w:val="00A85F7C"/>
    <w:rsid w:val="00A8699D"/>
    <w:rsid w:val="00A869A6"/>
    <w:rsid w:val="00A86D5D"/>
    <w:rsid w:val="00A8719E"/>
    <w:rsid w:val="00A87C9D"/>
    <w:rsid w:val="00A90982"/>
    <w:rsid w:val="00A910F1"/>
    <w:rsid w:val="00A91763"/>
    <w:rsid w:val="00A9302C"/>
    <w:rsid w:val="00A93552"/>
    <w:rsid w:val="00A951DF"/>
    <w:rsid w:val="00A95648"/>
    <w:rsid w:val="00A963FA"/>
    <w:rsid w:val="00A96555"/>
    <w:rsid w:val="00A967D4"/>
    <w:rsid w:val="00A97491"/>
    <w:rsid w:val="00A97ABA"/>
    <w:rsid w:val="00AA02F9"/>
    <w:rsid w:val="00AA2000"/>
    <w:rsid w:val="00AA3026"/>
    <w:rsid w:val="00AA318A"/>
    <w:rsid w:val="00AA3F07"/>
    <w:rsid w:val="00AA411B"/>
    <w:rsid w:val="00AA44E6"/>
    <w:rsid w:val="00AA4598"/>
    <w:rsid w:val="00AA48D4"/>
    <w:rsid w:val="00AA4D61"/>
    <w:rsid w:val="00AA52D1"/>
    <w:rsid w:val="00AA54E2"/>
    <w:rsid w:val="00AA582B"/>
    <w:rsid w:val="00AA5BA7"/>
    <w:rsid w:val="00AA636E"/>
    <w:rsid w:val="00AA6D3D"/>
    <w:rsid w:val="00AA73CE"/>
    <w:rsid w:val="00AB36A1"/>
    <w:rsid w:val="00AB3D21"/>
    <w:rsid w:val="00AB420F"/>
    <w:rsid w:val="00AB4830"/>
    <w:rsid w:val="00AB4EC0"/>
    <w:rsid w:val="00AB4FB9"/>
    <w:rsid w:val="00AB5A6B"/>
    <w:rsid w:val="00AB5C4C"/>
    <w:rsid w:val="00AB6FF9"/>
    <w:rsid w:val="00AB70A6"/>
    <w:rsid w:val="00AB716D"/>
    <w:rsid w:val="00AB764D"/>
    <w:rsid w:val="00AB7F3E"/>
    <w:rsid w:val="00AC001C"/>
    <w:rsid w:val="00AC0585"/>
    <w:rsid w:val="00AC1FFC"/>
    <w:rsid w:val="00AC277F"/>
    <w:rsid w:val="00AC2917"/>
    <w:rsid w:val="00AC2C62"/>
    <w:rsid w:val="00AC394F"/>
    <w:rsid w:val="00AC3B9D"/>
    <w:rsid w:val="00AC3E42"/>
    <w:rsid w:val="00AC3EBE"/>
    <w:rsid w:val="00AC40A1"/>
    <w:rsid w:val="00AC4245"/>
    <w:rsid w:val="00AC459D"/>
    <w:rsid w:val="00AC5A29"/>
    <w:rsid w:val="00AC5F92"/>
    <w:rsid w:val="00AC6489"/>
    <w:rsid w:val="00AC6A9B"/>
    <w:rsid w:val="00AC6B20"/>
    <w:rsid w:val="00AC6CB0"/>
    <w:rsid w:val="00AC6ED5"/>
    <w:rsid w:val="00AD09AB"/>
    <w:rsid w:val="00AD0BF2"/>
    <w:rsid w:val="00AD1B5F"/>
    <w:rsid w:val="00AD1F35"/>
    <w:rsid w:val="00AD2483"/>
    <w:rsid w:val="00AD275A"/>
    <w:rsid w:val="00AD28F7"/>
    <w:rsid w:val="00AD2E53"/>
    <w:rsid w:val="00AD3168"/>
    <w:rsid w:val="00AD3E50"/>
    <w:rsid w:val="00AD4021"/>
    <w:rsid w:val="00AD4843"/>
    <w:rsid w:val="00AD4BBB"/>
    <w:rsid w:val="00AD4C1A"/>
    <w:rsid w:val="00AD52E2"/>
    <w:rsid w:val="00AD5316"/>
    <w:rsid w:val="00AD57A8"/>
    <w:rsid w:val="00AD59D1"/>
    <w:rsid w:val="00AD5DA4"/>
    <w:rsid w:val="00AD617B"/>
    <w:rsid w:val="00AD62A7"/>
    <w:rsid w:val="00AD62B4"/>
    <w:rsid w:val="00AD69E1"/>
    <w:rsid w:val="00AD7BFF"/>
    <w:rsid w:val="00AE0102"/>
    <w:rsid w:val="00AE09BF"/>
    <w:rsid w:val="00AE0EA3"/>
    <w:rsid w:val="00AE1158"/>
    <w:rsid w:val="00AE11FA"/>
    <w:rsid w:val="00AE1642"/>
    <w:rsid w:val="00AE1838"/>
    <w:rsid w:val="00AE4ABE"/>
    <w:rsid w:val="00AE4D23"/>
    <w:rsid w:val="00AE55A3"/>
    <w:rsid w:val="00AE5749"/>
    <w:rsid w:val="00AE58A2"/>
    <w:rsid w:val="00AE5B8B"/>
    <w:rsid w:val="00AE5D71"/>
    <w:rsid w:val="00AE60A1"/>
    <w:rsid w:val="00AE6682"/>
    <w:rsid w:val="00AE6AA3"/>
    <w:rsid w:val="00AE6FD4"/>
    <w:rsid w:val="00AE752E"/>
    <w:rsid w:val="00AE7943"/>
    <w:rsid w:val="00AE7AC6"/>
    <w:rsid w:val="00AF01FE"/>
    <w:rsid w:val="00AF0236"/>
    <w:rsid w:val="00AF0888"/>
    <w:rsid w:val="00AF1064"/>
    <w:rsid w:val="00AF154C"/>
    <w:rsid w:val="00AF1E3A"/>
    <w:rsid w:val="00AF1F43"/>
    <w:rsid w:val="00AF21E8"/>
    <w:rsid w:val="00AF275C"/>
    <w:rsid w:val="00AF28CA"/>
    <w:rsid w:val="00AF2BDD"/>
    <w:rsid w:val="00AF3501"/>
    <w:rsid w:val="00AF35E2"/>
    <w:rsid w:val="00AF3A52"/>
    <w:rsid w:val="00AF3ED6"/>
    <w:rsid w:val="00AF4AE9"/>
    <w:rsid w:val="00AF55A5"/>
    <w:rsid w:val="00AF7687"/>
    <w:rsid w:val="00AF7D27"/>
    <w:rsid w:val="00AF7E27"/>
    <w:rsid w:val="00B00BAC"/>
    <w:rsid w:val="00B0138D"/>
    <w:rsid w:val="00B01604"/>
    <w:rsid w:val="00B01999"/>
    <w:rsid w:val="00B01BA9"/>
    <w:rsid w:val="00B01BE0"/>
    <w:rsid w:val="00B01D36"/>
    <w:rsid w:val="00B01D66"/>
    <w:rsid w:val="00B027CE"/>
    <w:rsid w:val="00B0288F"/>
    <w:rsid w:val="00B03019"/>
    <w:rsid w:val="00B0317A"/>
    <w:rsid w:val="00B03AF7"/>
    <w:rsid w:val="00B04224"/>
    <w:rsid w:val="00B05725"/>
    <w:rsid w:val="00B057F0"/>
    <w:rsid w:val="00B05879"/>
    <w:rsid w:val="00B06ACB"/>
    <w:rsid w:val="00B07309"/>
    <w:rsid w:val="00B07469"/>
    <w:rsid w:val="00B10EA5"/>
    <w:rsid w:val="00B10ED1"/>
    <w:rsid w:val="00B115B2"/>
    <w:rsid w:val="00B11874"/>
    <w:rsid w:val="00B119D0"/>
    <w:rsid w:val="00B119D7"/>
    <w:rsid w:val="00B11F0D"/>
    <w:rsid w:val="00B11FDD"/>
    <w:rsid w:val="00B12B89"/>
    <w:rsid w:val="00B13C64"/>
    <w:rsid w:val="00B145C7"/>
    <w:rsid w:val="00B149D2"/>
    <w:rsid w:val="00B15630"/>
    <w:rsid w:val="00B15919"/>
    <w:rsid w:val="00B15C15"/>
    <w:rsid w:val="00B16D88"/>
    <w:rsid w:val="00B16E6E"/>
    <w:rsid w:val="00B16E92"/>
    <w:rsid w:val="00B16F16"/>
    <w:rsid w:val="00B1750A"/>
    <w:rsid w:val="00B17E68"/>
    <w:rsid w:val="00B17ED4"/>
    <w:rsid w:val="00B202A1"/>
    <w:rsid w:val="00B202C6"/>
    <w:rsid w:val="00B20487"/>
    <w:rsid w:val="00B213F2"/>
    <w:rsid w:val="00B2153F"/>
    <w:rsid w:val="00B219B9"/>
    <w:rsid w:val="00B21A14"/>
    <w:rsid w:val="00B2208D"/>
    <w:rsid w:val="00B22B64"/>
    <w:rsid w:val="00B2307F"/>
    <w:rsid w:val="00B24728"/>
    <w:rsid w:val="00B24AD0"/>
    <w:rsid w:val="00B24EEF"/>
    <w:rsid w:val="00B25684"/>
    <w:rsid w:val="00B25A6A"/>
    <w:rsid w:val="00B25B13"/>
    <w:rsid w:val="00B25E56"/>
    <w:rsid w:val="00B26540"/>
    <w:rsid w:val="00B268F7"/>
    <w:rsid w:val="00B26AFE"/>
    <w:rsid w:val="00B26D3A"/>
    <w:rsid w:val="00B2704D"/>
    <w:rsid w:val="00B2734B"/>
    <w:rsid w:val="00B27546"/>
    <w:rsid w:val="00B303CD"/>
    <w:rsid w:val="00B30B56"/>
    <w:rsid w:val="00B316A1"/>
    <w:rsid w:val="00B31CCA"/>
    <w:rsid w:val="00B32458"/>
    <w:rsid w:val="00B337D3"/>
    <w:rsid w:val="00B339F1"/>
    <w:rsid w:val="00B33B65"/>
    <w:rsid w:val="00B34327"/>
    <w:rsid w:val="00B34F72"/>
    <w:rsid w:val="00B35790"/>
    <w:rsid w:val="00B35B06"/>
    <w:rsid w:val="00B36308"/>
    <w:rsid w:val="00B36966"/>
    <w:rsid w:val="00B36FC9"/>
    <w:rsid w:val="00B37056"/>
    <w:rsid w:val="00B37969"/>
    <w:rsid w:val="00B40860"/>
    <w:rsid w:val="00B4269D"/>
    <w:rsid w:val="00B4280D"/>
    <w:rsid w:val="00B43659"/>
    <w:rsid w:val="00B43B1A"/>
    <w:rsid w:val="00B43CAD"/>
    <w:rsid w:val="00B44220"/>
    <w:rsid w:val="00B44AF1"/>
    <w:rsid w:val="00B46020"/>
    <w:rsid w:val="00B46483"/>
    <w:rsid w:val="00B46E13"/>
    <w:rsid w:val="00B46E82"/>
    <w:rsid w:val="00B4714D"/>
    <w:rsid w:val="00B47508"/>
    <w:rsid w:val="00B47D6F"/>
    <w:rsid w:val="00B47DEE"/>
    <w:rsid w:val="00B508CD"/>
    <w:rsid w:val="00B50B42"/>
    <w:rsid w:val="00B51236"/>
    <w:rsid w:val="00B51789"/>
    <w:rsid w:val="00B518D4"/>
    <w:rsid w:val="00B51DB1"/>
    <w:rsid w:val="00B51E7B"/>
    <w:rsid w:val="00B52A44"/>
    <w:rsid w:val="00B531EB"/>
    <w:rsid w:val="00B53B47"/>
    <w:rsid w:val="00B54DEE"/>
    <w:rsid w:val="00B557E1"/>
    <w:rsid w:val="00B5597E"/>
    <w:rsid w:val="00B56A58"/>
    <w:rsid w:val="00B57880"/>
    <w:rsid w:val="00B57ACE"/>
    <w:rsid w:val="00B60235"/>
    <w:rsid w:val="00B60C9E"/>
    <w:rsid w:val="00B60D6C"/>
    <w:rsid w:val="00B612D2"/>
    <w:rsid w:val="00B6147C"/>
    <w:rsid w:val="00B616BC"/>
    <w:rsid w:val="00B616CD"/>
    <w:rsid w:val="00B617FF"/>
    <w:rsid w:val="00B61AF0"/>
    <w:rsid w:val="00B61CF5"/>
    <w:rsid w:val="00B620F0"/>
    <w:rsid w:val="00B62876"/>
    <w:rsid w:val="00B62B01"/>
    <w:rsid w:val="00B62FD5"/>
    <w:rsid w:val="00B630C0"/>
    <w:rsid w:val="00B63C05"/>
    <w:rsid w:val="00B63EF2"/>
    <w:rsid w:val="00B63F5E"/>
    <w:rsid w:val="00B647AF"/>
    <w:rsid w:val="00B64F42"/>
    <w:rsid w:val="00B651D5"/>
    <w:rsid w:val="00B655D6"/>
    <w:rsid w:val="00B655EF"/>
    <w:rsid w:val="00B65B86"/>
    <w:rsid w:val="00B664A7"/>
    <w:rsid w:val="00B66B79"/>
    <w:rsid w:val="00B66FF4"/>
    <w:rsid w:val="00B671EA"/>
    <w:rsid w:val="00B6768B"/>
    <w:rsid w:val="00B6778A"/>
    <w:rsid w:val="00B679A2"/>
    <w:rsid w:val="00B70B77"/>
    <w:rsid w:val="00B713CB"/>
    <w:rsid w:val="00B71861"/>
    <w:rsid w:val="00B71976"/>
    <w:rsid w:val="00B71AA3"/>
    <w:rsid w:val="00B7215D"/>
    <w:rsid w:val="00B727FC"/>
    <w:rsid w:val="00B72882"/>
    <w:rsid w:val="00B747CF"/>
    <w:rsid w:val="00B74889"/>
    <w:rsid w:val="00B74959"/>
    <w:rsid w:val="00B74F4D"/>
    <w:rsid w:val="00B74FD9"/>
    <w:rsid w:val="00B7543E"/>
    <w:rsid w:val="00B75890"/>
    <w:rsid w:val="00B75E4F"/>
    <w:rsid w:val="00B7647A"/>
    <w:rsid w:val="00B7721F"/>
    <w:rsid w:val="00B77897"/>
    <w:rsid w:val="00B77F47"/>
    <w:rsid w:val="00B803CA"/>
    <w:rsid w:val="00B81BF2"/>
    <w:rsid w:val="00B81F26"/>
    <w:rsid w:val="00B82A97"/>
    <w:rsid w:val="00B82DC2"/>
    <w:rsid w:val="00B83F3A"/>
    <w:rsid w:val="00B84BDB"/>
    <w:rsid w:val="00B84FDB"/>
    <w:rsid w:val="00B85707"/>
    <w:rsid w:val="00B85A44"/>
    <w:rsid w:val="00B85B75"/>
    <w:rsid w:val="00B85F57"/>
    <w:rsid w:val="00B86E7A"/>
    <w:rsid w:val="00B86E85"/>
    <w:rsid w:val="00B906D3"/>
    <w:rsid w:val="00B9204D"/>
    <w:rsid w:val="00B923C2"/>
    <w:rsid w:val="00B92E5F"/>
    <w:rsid w:val="00B93130"/>
    <w:rsid w:val="00B931D1"/>
    <w:rsid w:val="00B93653"/>
    <w:rsid w:val="00B936B4"/>
    <w:rsid w:val="00B93ADF"/>
    <w:rsid w:val="00B93DAB"/>
    <w:rsid w:val="00B93DE3"/>
    <w:rsid w:val="00B94298"/>
    <w:rsid w:val="00B95A65"/>
    <w:rsid w:val="00B9613F"/>
    <w:rsid w:val="00B96973"/>
    <w:rsid w:val="00B96986"/>
    <w:rsid w:val="00BA0431"/>
    <w:rsid w:val="00BA10EC"/>
    <w:rsid w:val="00BA1296"/>
    <w:rsid w:val="00BA1355"/>
    <w:rsid w:val="00BA14CB"/>
    <w:rsid w:val="00BA2073"/>
    <w:rsid w:val="00BA2220"/>
    <w:rsid w:val="00BA2314"/>
    <w:rsid w:val="00BA2926"/>
    <w:rsid w:val="00BA37F1"/>
    <w:rsid w:val="00BA396F"/>
    <w:rsid w:val="00BA40D4"/>
    <w:rsid w:val="00BA4ED5"/>
    <w:rsid w:val="00BA5386"/>
    <w:rsid w:val="00BA5833"/>
    <w:rsid w:val="00BA6525"/>
    <w:rsid w:val="00BA6CF1"/>
    <w:rsid w:val="00BA70B3"/>
    <w:rsid w:val="00BB1294"/>
    <w:rsid w:val="00BB1B3A"/>
    <w:rsid w:val="00BB241E"/>
    <w:rsid w:val="00BB2B03"/>
    <w:rsid w:val="00BB3969"/>
    <w:rsid w:val="00BB47AD"/>
    <w:rsid w:val="00BB51B9"/>
    <w:rsid w:val="00BB5D49"/>
    <w:rsid w:val="00BB75D1"/>
    <w:rsid w:val="00BB78B1"/>
    <w:rsid w:val="00BC10DC"/>
    <w:rsid w:val="00BC1209"/>
    <w:rsid w:val="00BC148D"/>
    <w:rsid w:val="00BC1595"/>
    <w:rsid w:val="00BC1B43"/>
    <w:rsid w:val="00BC1F16"/>
    <w:rsid w:val="00BC2751"/>
    <w:rsid w:val="00BC276F"/>
    <w:rsid w:val="00BC31DF"/>
    <w:rsid w:val="00BC3459"/>
    <w:rsid w:val="00BC3466"/>
    <w:rsid w:val="00BC3A68"/>
    <w:rsid w:val="00BC3C14"/>
    <w:rsid w:val="00BC3D85"/>
    <w:rsid w:val="00BC4409"/>
    <w:rsid w:val="00BC488F"/>
    <w:rsid w:val="00BC4B04"/>
    <w:rsid w:val="00BC5275"/>
    <w:rsid w:val="00BC5397"/>
    <w:rsid w:val="00BC674F"/>
    <w:rsid w:val="00BC69FC"/>
    <w:rsid w:val="00BC6D65"/>
    <w:rsid w:val="00BC6D91"/>
    <w:rsid w:val="00BC7417"/>
    <w:rsid w:val="00BC75DC"/>
    <w:rsid w:val="00BC76A0"/>
    <w:rsid w:val="00BC7D09"/>
    <w:rsid w:val="00BD0BA1"/>
    <w:rsid w:val="00BD17E8"/>
    <w:rsid w:val="00BD18E4"/>
    <w:rsid w:val="00BD1CDF"/>
    <w:rsid w:val="00BD2BE9"/>
    <w:rsid w:val="00BD348A"/>
    <w:rsid w:val="00BD3E0D"/>
    <w:rsid w:val="00BD4379"/>
    <w:rsid w:val="00BD4B25"/>
    <w:rsid w:val="00BD51B5"/>
    <w:rsid w:val="00BD5F23"/>
    <w:rsid w:val="00BD62BB"/>
    <w:rsid w:val="00BD6394"/>
    <w:rsid w:val="00BD64BE"/>
    <w:rsid w:val="00BD67DB"/>
    <w:rsid w:val="00BD6BE4"/>
    <w:rsid w:val="00BD6E7B"/>
    <w:rsid w:val="00BD7311"/>
    <w:rsid w:val="00BD74FE"/>
    <w:rsid w:val="00BD76DA"/>
    <w:rsid w:val="00BD77E8"/>
    <w:rsid w:val="00BD79DE"/>
    <w:rsid w:val="00BE1193"/>
    <w:rsid w:val="00BE174A"/>
    <w:rsid w:val="00BE2275"/>
    <w:rsid w:val="00BE2300"/>
    <w:rsid w:val="00BE265A"/>
    <w:rsid w:val="00BE2BB9"/>
    <w:rsid w:val="00BE3426"/>
    <w:rsid w:val="00BE489A"/>
    <w:rsid w:val="00BE4DBD"/>
    <w:rsid w:val="00BE516F"/>
    <w:rsid w:val="00BE5933"/>
    <w:rsid w:val="00BE61DF"/>
    <w:rsid w:val="00BE69FC"/>
    <w:rsid w:val="00BE73FF"/>
    <w:rsid w:val="00BE7753"/>
    <w:rsid w:val="00BE7822"/>
    <w:rsid w:val="00BF0301"/>
    <w:rsid w:val="00BF0BFA"/>
    <w:rsid w:val="00BF1DF3"/>
    <w:rsid w:val="00BF1E50"/>
    <w:rsid w:val="00BF1F6B"/>
    <w:rsid w:val="00BF2799"/>
    <w:rsid w:val="00BF315D"/>
    <w:rsid w:val="00BF3908"/>
    <w:rsid w:val="00BF4427"/>
    <w:rsid w:val="00BF478A"/>
    <w:rsid w:val="00BF4EC1"/>
    <w:rsid w:val="00BF51D7"/>
    <w:rsid w:val="00BF56F0"/>
    <w:rsid w:val="00BF5962"/>
    <w:rsid w:val="00BF6B7F"/>
    <w:rsid w:val="00BF7673"/>
    <w:rsid w:val="00BF775B"/>
    <w:rsid w:val="00BF7A91"/>
    <w:rsid w:val="00BF7E14"/>
    <w:rsid w:val="00C02F28"/>
    <w:rsid w:val="00C03DFD"/>
    <w:rsid w:val="00C04BBA"/>
    <w:rsid w:val="00C04F4F"/>
    <w:rsid w:val="00C05478"/>
    <w:rsid w:val="00C058EB"/>
    <w:rsid w:val="00C05F50"/>
    <w:rsid w:val="00C063E1"/>
    <w:rsid w:val="00C06464"/>
    <w:rsid w:val="00C06848"/>
    <w:rsid w:val="00C06AAF"/>
    <w:rsid w:val="00C07040"/>
    <w:rsid w:val="00C10140"/>
    <w:rsid w:val="00C103BC"/>
    <w:rsid w:val="00C119D3"/>
    <w:rsid w:val="00C11F23"/>
    <w:rsid w:val="00C12DDA"/>
    <w:rsid w:val="00C138B4"/>
    <w:rsid w:val="00C13EFF"/>
    <w:rsid w:val="00C144B1"/>
    <w:rsid w:val="00C14DF9"/>
    <w:rsid w:val="00C15C6A"/>
    <w:rsid w:val="00C162DB"/>
    <w:rsid w:val="00C1654B"/>
    <w:rsid w:val="00C16896"/>
    <w:rsid w:val="00C16ACF"/>
    <w:rsid w:val="00C1706C"/>
    <w:rsid w:val="00C1762F"/>
    <w:rsid w:val="00C179BA"/>
    <w:rsid w:val="00C2070B"/>
    <w:rsid w:val="00C2098C"/>
    <w:rsid w:val="00C20DFF"/>
    <w:rsid w:val="00C21467"/>
    <w:rsid w:val="00C23299"/>
    <w:rsid w:val="00C23881"/>
    <w:rsid w:val="00C248A0"/>
    <w:rsid w:val="00C2594F"/>
    <w:rsid w:val="00C25EC4"/>
    <w:rsid w:val="00C26A04"/>
    <w:rsid w:val="00C26BA5"/>
    <w:rsid w:val="00C26D22"/>
    <w:rsid w:val="00C26D60"/>
    <w:rsid w:val="00C26EDB"/>
    <w:rsid w:val="00C27679"/>
    <w:rsid w:val="00C27E35"/>
    <w:rsid w:val="00C30827"/>
    <w:rsid w:val="00C30AD4"/>
    <w:rsid w:val="00C30B6D"/>
    <w:rsid w:val="00C317C6"/>
    <w:rsid w:val="00C32F65"/>
    <w:rsid w:val="00C33139"/>
    <w:rsid w:val="00C33620"/>
    <w:rsid w:val="00C339C7"/>
    <w:rsid w:val="00C35029"/>
    <w:rsid w:val="00C354B1"/>
    <w:rsid w:val="00C36166"/>
    <w:rsid w:val="00C3642D"/>
    <w:rsid w:val="00C367D9"/>
    <w:rsid w:val="00C37A09"/>
    <w:rsid w:val="00C37B2A"/>
    <w:rsid w:val="00C37D44"/>
    <w:rsid w:val="00C37DCF"/>
    <w:rsid w:val="00C42A26"/>
    <w:rsid w:val="00C43706"/>
    <w:rsid w:val="00C44559"/>
    <w:rsid w:val="00C446FD"/>
    <w:rsid w:val="00C44908"/>
    <w:rsid w:val="00C44F84"/>
    <w:rsid w:val="00C4552A"/>
    <w:rsid w:val="00C4597D"/>
    <w:rsid w:val="00C45B15"/>
    <w:rsid w:val="00C46147"/>
    <w:rsid w:val="00C464A3"/>
    <w:rsid w:val="00C464F4"/>
    <w:rsid w:val="00C47974"/>
    <w:rsid w:val="00C50355"/>
    <w:rsid w:val="00C51111"/>
    <w:rsid w:val="00C5138C"/>
    <w:rsid w:val="00C51824"/>
    <w:rsid w:val="00C52376"/>
    <w:rsid w:val="00C5262E"/>
    <w:rsid w:val="00C52E77"/>
    <w:rsid w:val="00C53872"/>
    <w:rsid w:val="00C549B8"/>
    <w:rsid w:val="00C55251"/>
    <w:rsid w:val="00C55340"/>
    <w:rsid w:val="00C5547B"/>
    <w:rsid w:val="00C554B5"/>
    <w:rsid w:val="00C56195"/>
    <w:rsid w:val="00C56432"/>
    <w:rsid w:val="00C56DE7"/>
    <w:rsid w:val="00C5718B"/>
    <w:rsid w:val="00C57964"/>
    <w:rsid w:val="00C57A78"/>
    <w:rsid w:val="00C57ED0"/>
    <w:rsid w:val="00C60330"/>
    <w:rsid w:val="00C60783"/>
    <w:rsid w:val="00C60822"/>
    <w:rsid w:val="00C6084A"/>
    <w:rsid w:val="00C60D29"/>
    <w:rsid w:val="00C6118F"/>
    <w:rsid w:val="00C61A13"/>
    <w:rsid w:val="00C62227"/>
    <w:rsid w:val="00C62FE7"/>
    <w:rsid w:val="00C646D3"/>
    <w:rsid w:val="00C64890"/>
    <w:rsid w:val="00C65275"/>
    <w:rsid w:val="00C6535E"/>
    <w:rsid w:val="00C6552F"/>
    <w:rsid w:val="00C65A09"/>
    <w:rsid w:val="00C66C37"/>
    <w:rsid w:val="00C70886"/>
    <w:rsid w:val="00C70F76"/>
    <w:rsid w:val="00C71C9E"/>
    <w:rsid w:val="00C725CF"/>
    <w:rsid w:val="00C72E08"/>
    <w:rsid w:val="00C733BC"/>
    <w:rsid w:val="00C73FC6"/>
    <w:rsid w:val="00C740B3"/>
    <w:rsid w:val="00C74214"/>
    <w:rsid w:val="00C74225"/>
    <w:rsid w:val="00C743EE"/>
    <w:rsid w:val="00C74888"/>
    <w:rsid w:val="00C74954"/>
    <w:rsid w:val="00C74C47"/>
    <w:rsid w:val="00C751A7"/>
    <w:rsid w:val="00C764BE"/>
    <w:rsid w:val="00C76C09"/>
    <w:rsid w:val="00C76D90"/>
    <w:rsid w:val="00C77D42"/>
    <w:rsid w:val="00C8014A"/>
    <w:rsid w:val="00C8043D"/>
    <w:rsid w:val="00C80953"/>
    <w:rsid w:val="00C80B1A"/>
    <w:rsid w:val="00C81BD4"/>
    <w:rsid w:val="00C82B99"/>
    <w:rsid w:val="00C82D8F"/>
    <w:rsid w:val="00C84519"/>
    <w:rsid w:val="00C847FA"/>
    <w:rsid w:val="00C85847"/>
    <w:rsid w:val="00C85B74"/>
    <w:rsid w:val="00C8647A"/>
    <w:rsid w:val="00C86516"/>
    <w:rsid w:val="00C872D8"/>
    <w:rsid w:val="00C87977"/>
    <w:rsid w:val="00C91510"/>
    <w:rsid w:val="00C9198F"/>
    <w:rsid w:val="00C93C07"/>
    <w:rsid w:val="00C94492"/>
    <w:rsid w:val="00C94844"/>
    <w:rsid w:val="00C95035"/>
    <w:rsid w:val="00C95503"/>
    <w:rsid w:val="00C95B18"/>
    <w:rsid w:val="00C95D31"/>
    <w:rsid w:val="00C96170"/>
    <w:rsid w:val="00C969FE"/>
    <w:rsid w:val="00C96B45"/>
    <w:rsid w:val="00C96D79"/>
    <w:rsid w:val="00C96FF1"/>
    <w:rsid w:val="00C97076"/>
    <w:rsid w:val="00C973BE"/>
    <w:rsid w:val="00C977BB"/>
    <w:rsid w:val="00C978DE"/>
    <w:rsid w:val="00C97FB3"/>
    <w:rsid w:val="00CA0885"/>
    <w:rsid w:val="00CA0A50"/>
    <w:rsid w:val="00CA1244"/>
    <w:rsid w:val="00CA128A"/>
    <w:rsid w:val="00CA12F4"/>
    <w:rsid w:val="00CA22C3"/>
    <w:rsid w:val="00CA2515"/>
    <w:rsid w:val="00CA25CF"/>
    <w:rsid w:val="00CA2FD4"/>
    <w:rsid w:val="00CA359A"/>
    <w:rsid w:val="00CA44E4"/>
    <w:rsid w:val="00CA4B34"/>
    <w:rsid w:val="00CA6044"/>
    <w:rsid w:val="00CA6D11"/>
    <w:rsid w:val="00CA74E0"/>
    <w:rsid w:val="00CA7B39"/>
    <w:rsid w:val="00CB0DE0"/>
    <w:rsid w:val="00CB10E1"/>
    <w:rsid w:val="00CB1B6C"/>
    <w:rsid w:val="00CB1F28"/>
    <w:rsid w:val="00CB2F0A"/>
    <w:rsid w:val="00CB3F43"/>
    <w:rsid w:val="00CB430F"/>
    <w:rsid w:val="00CB5047"/>
    <w:rsid w:val="00CB57B5"/>
    <w:rsid w:val="00CB63E8"/>
    <w:rsid w:val="00CB7E92"/>
    <w:rsid w:val="00CC0235"/>
    <w:rsid w:val="00CC045A"/>
    <w:rsid w:val="00CC0B68"/>
    <w:rsid w:val="00CC16A4"/>
    <w:rsid w:val="00CC1D8B"/>
    <w:rsid w:val="00CC2746"/>
    <w:rsid w:val="00CC3E26"/>
    <w:rsid w:val="00CC4175"/>
    <w:rsid w:val="00CC47F7"/>
    <w:rsid w:val="00CC51C0"/>
    <w:rsid w:val="00CC5633"/>
    <w:rsid w:val="00CC5E04"/>
    <w:rsid w:val="00CC6662"/>
    <w:rsid w:val="00CC6734"/>
    <w:rsid w:val="00CC730B"/>
    <w:rsid w:val="00CD097E"/>
    <w:rsid w:val="00CD0980"/>
    <w:rsid w:val="00CD1FA7"/>
    <w:rsid w:val="00CD2BF8"/>
    <w:rsid w:val="00CD2E5A"/>
    <w:rsid w:val="00CD33EC"/>
    <w:rsid w:val="00CD3F5C"/>
    <w:rsid w:val="00CD4402"/>
    <w:rsid w:val="00CD53F9"/>
    <w:rsid w:val="00CD5475"/>
    <w:rsid w:val="00CD6538"/>
    <w:rsid w:val="00CD65B4"/>
    <w:rsid w:val="00CD708C"/>
    <w:rsid w:val="00CD7E51"/>
    <w:rsid w:val="00CE0268"/>
    <w:rsid w:val="00CE0671"/>
    <w:rsid w:val="00CE06DF"/>
    <w:rsid w:val="00CE0C16"/>
    <w:rsid w:val="00CE156E"/>
    <w:rsid w:val="00CE17F8"/>
    <w:rsid w:val="00CE18CC"/>
    <w:rsid w:val="00CE2BB8"/>
    <w:rsid w:val="00CE2E86"/>
    <w:rsid w:val="00CE418B"/>
    <w:rsid w:val="00CE4C6C"/>
    <w:rsid w:val="00CE4DD7"/>
    <w:rsid w:val="00CE74C1"/>
    <w:rsid w:val="00CF00EB"/>
    <w:rsid w:val="00CF28EE"/>
    <w:rsid w:val="00CF2AF1"/>
    <w:rsid w:val="00CF2EDC"/>
    <w:rsid w:val="00CF466F"/>
    <w:rsid w:val="00CF46AF"/>
    <w:rsid w:val="00CF56FA"/>
    <w:rsid w:val="00CF58FE"/>
    <w:rsid w:val="00CF5C6E"/>
    <w:rsid w:val="00CF6281"/>
    <w:rsid w:val="00CF6373"/>
    <w:rsid w:val="00CF67C6"/>
    <w:rsid w:val="00CF6A86"/>
    <w:rsid w:val="00CF6CC7"/>
    <w:rsid w:val="00CF6D69"/>
    <w:rsid w:val="00CF776C"/>
    <w:rsid w:val="00CF785C"/>
    <w:rsid w:val="00D0038F"/>
    <w:rsid w:val="00D00560"/>
    <w:rsid w:val="00D01584"/>
    <w:rsid w:val="00D01BE0"/>
    <w:rsid w:val="00D01C38"/>
    <w:rsid w:val="00D0206E"/>
    <w:rsid w:val="00D02203"/>
    <w:rsid w:val="00D03926"/>
    <w:rsid w:val="00D04112"/>
    <w:rsid w:val="00D048F6"/>
    <w:rsid w:val="00D04B65"/>
    <w:rsid w:val="00D05169"/>
    <w:rsid w:val="00D06726"/>
    <w:rsid w:val="00D06D1A"/>
    <w:rsid w:val="00D06EA8"/>
    <w:rsid w:val="00D06F6C"/>
    <w:rsid w:val="00D1071D"/>
    <w:rsid w:val="00D10CCF"/>
    <w:rsid w:val="00D11297"/>
    <w:rsid w:val="00D1145F"/>
    <w:rsid w:val="00D126AE"/>
    <w:rsid w:val="00D13148"/>
    <w:rsid w:val="00D1318A"/>
    <w:rsid w:val="00D13B54"/>
    <w:rsid w:val="00D140E6"/>
    <w:rsid w:val="00D1420F"/>
    <w:rsid w:val="00D15798"/>
    <w:rsid w:val="00D15927"/>
    <w:rsid w:val="00D16526"/>
    <w:rsid w:val="00D16994"/>
    <w:rsid w:val="00D16F53"/>
    <w:rsid w:val="00D17349"/>
    <w:rsid w:val="00D17564"/>
    <w:rsid w:val="00D1782E"/>
    <w:rsid w:val="00D20F1B"/>
    <w:rsid w:val="00D21231"/>
    <w:rsid w:val="00D213A5"/>
    <w:rsid w:val="00D21666"/>
    <w:rsid w:val="00D2185F"/>
    <w:rsid w:val="00D22581"/>
    <w:rsid w:val="00D22B9D"/>
    <w:rsid w:val="00D22BDD"/>
    <w:rsid w:val="00D22C63"/>
    <w:rsid w:val="00D22D37"/>
    <w:rsid w:val="00D22E4F"/>
    <w:rsid w:val="00D2321D"/>
    <w:rsid w:val="00D2427A"/>
    <w:rsid w:val="00D25858"/>
    <w:rsid w:val="00D258B6"/>
    <w:rsid w:val="00D2687A"/>
    <w:rsid w:val="00D2694F"/>
    <w:rsid w:val="00D26C3C"/>
    <w:rsid w:val="00D27718"/>
    <w:rsid w:val="00D27831"/>
    <w:rsid w:val="00D30678"/>
    <w:rsid w:val="00D30E18"/>
    <w:rsid w:val="00D31696"/>
    <w:rsid w:val="00D31742"/>
    <w:rsid w:val="00D32095"/>
    <w:rsid w:val="00D327FA"/>
    <w:rsid w:val="00D32833"/>
    <w:rsid w:val="00D3295B"/>
    <w:rsid w:val="00D329B4"/>
    <w:rsid w:val="00D329F3"/>
    <w:rsid w:val="00D333B0"/>
    <w:rsid w:val="00D33449"/>
    <w:rsid w:val="00D33937"/>
    <w:rsid w:val="00D340CA"/>
    <w:rsid w:val="00D345BA"/>
    <w:rsid w:val="00D34ADF"/>
    <w:rsid w:val="00D36644"/>
    <w:rsid w:val="00D3669C"/>
    <w:rsid w:val="00D36924"/>
    <w:rsid w:val="00D37DD6"/>
    <w:rsid w:val="00D40174"/>
    <w:rsid w:val="00D40826"/>
    <w:rsid w:val="00D40EE7"/>
    <w:rsid w:val="00D41767"/>
    <w:rsid w:val="00D43639"/>
    <w:rsid w:val="00D4364B"/>
    <w:rsid w:val="00D437EF"/>
    <w:rsid w:val="00D43B4B"/>
    <w:rsid w:val="00D43D10"/>
    <w:rsid w:val="00D43D78"/>
    <w:rsid w:val="00D43DEC"/>
    <w:rsid w:val="00D44164"/>
    <w:rsid w:val="00D44758"/>
    <w:rsid w:val="00D449C3"/>
    <w:rsid w:val="00D4516F"/>
    <w:rsid w:val="00D4578A"/>
    <w:rsid w:val="00D458F5"/>
    <w:rsid w:val="00D46AAA"/>
    <w:rsid w:val="00D4707E"/>
    <w:rsid w:val="00D4710B"/>
    <w:rsid w:val="00D474C0"/>
    <w:rsid w:val="00D47BDF"/>
    <w:rsid w:val="00D50145"/>
    <w:rsid w:val="00D50DBB"/>
    <w:rsid w:val="00D51123"/>
    <w:rsid w:val="00D5184A"/>
    <w:rsid w:val="00D5189E"/>
    <w:rsid w:val="00D51E2C"/>
    <w:rsid w:val="00D530D8"/>
    <w:rsid w:val="00D53A61"/>
    <w:rsid w:val="00D5425B"/>
    <w:rsid w:val="00D54A9E"/>
    <w:rsid w:val="00D5552D"/>
    <w:rsid w:val="00D55721"/>
    <w:rsid w:val="00D55F3E"/>
    <w:rsid w:val="00D56491"/>
    <w:rsid w:val="00D56EBA"/>
    <w:rsid w:val="00D570AD"/>
    <w:rsid w:val="00D572CC"/>
    <w:rsid w:val="00D5772F"/>
    <w:rsid w:val="00D57DDF"/>
    <w:rsid w:val="00D57F97"/>
    <w:rsid w:val="00D603A3"/>
    <w:rsid w:val="00D6042D"/>
    <w:rsid w:val="00D60DDC"/>
    <w:rsid w:val="00D60F2E"/>
    <w:rsid w:val="00D61979"/>
    <w:rsid w:val="00D61B03"/>
    <w:rsid w:val="00D62144"/>
    <w:rsid w:val="00D6248A"/>
    <w:rsid w:val="00D62EC2"/>
    <w:rsid w:val="00D62F7A"/>
    <w:rsid w:val="00D63DB2"/>
    <w:rsid w:val="00D6459E"/>
    <w:rsid w:val="00D64759"/>
    <w:rsid w:val="00D64B6E"/>
    <w:rsid w:val="00D64F7C"/>
    <w:rsid w:val="00D65BBF"/>
    <w:rsid w:val="00D66028"/>
    <w:rsid w:val="00D672F5"/>
    <w:rsid w:val="00D6757B"/>
    <w:rsid w:val="00D701C3"/>
    <w:rsid w:val="00D70D88"/>
    <w:rsid w:val="00D70EDD"/>
    <w:rsid w:val="00D712CE"/>
    <w:rsid w:val="00D71EDB"/>
    <w:rsid w:val="00D7283A"/>
    <w:rsid w:val="00D72DAB"/>
    <w:rsid w:val="00D72F4B"/>
    <w:rsid w:val="00D73180"/>
    <w:rsid w:val="00D73503"/>
    <w:rsid w:val="00D73BBB"/>
    <w:rsid w:val="00D741BC"/>
    <w:rsid w:val="00D74522"/>
    <w:rsid w:val="00D74FC3"/>
    <w:rsid w:val="00D7527F"/>
    <w:rsid w:val="00D758B1"/>
    <w:rsid w:val="00D8005D"/>
    <w:rsid w:val="00D80CB1"/>
    <w:rsid w:val="00D80D4B"/>
    <w:rsid w:val="00D80EF3"/>
    <w:rsid w:val="00D8133B"/>
    <w:rsid w:val="00D8195F"/>
    <w:rsid w:val="00D81C1E"/>
    <w:rsid w:val="00D822BE"/>
    <w:rsid w:val="00D8256C"/>
    <w:rsid w:val="00D827FA"/>
    <w:rsid w:val="00D82F4D"/>
    <w:rsid w:val="00D8387E"/>
    <w:rsid w:val="00D83FA3"/>
    <w:rsid w:val="00D84290"/>
    <w:rsid w:val="00D84BC5"/>
    <w:rsid w:val="00D84EE9"/>
    <w:rsid w:val="00D8529D"/>
    <w:rsid w:val="00D85895"/>
    <w:rsid w:val="00D85B09"/>
    <w:rsid w:val="00D870B7"/>
    <w:rsid w:val="00D9145B"/>
    <w:rsid w:val="00D917B5"/>
    <w:rsid w:val="00D91A9D"/>
    <w:rsid w:val="00D924E4"/>
    <w:rsid w:val="00D92963"/>
    <w:rsid w:val="00D93A6B"/>
    <w:rsid w:val="00D93B53"/>
    <w:rsid w:val="00D94370"/>
    <w:rsid w:val="00D94560"/>
    <w:rsid w:val="00D95BF2"/>
    <w:rsid w:val="00D95CE3"/>
    <w:rsid w:val="00D95EA5"/>
    <w:rsid w:val="00D96B71"/>
    <w:rsid w:val="00D96CFE"/>
    <w:rsid w:val="00D97103"/>
    <w:rsid w:val="00D9750B"/>
    <w:rsid w:val="00D97BBC"/>
    <w:rsid w:val="00D97F67"/>
    <w:rsid w:val="00DA0443"/>
    <w:rsid w:val="00DA0B8F"/>
    <w:rsid w:val="00DA0C39"/>
    <w:rsid w:val="00DA12BB"/>
    <w:rsid w:val="00DA25AE"/>
    <w:rsid w:val="00DA2736"/>
    <w:rsid w:val="00DA2E37"/>
    <w:rsid w:val="00DA37E0"/>
    <w:rsid w:val="00DA3EF1"/>
    <w:rsid w:val="00DA4061"/>
    <w:rsid w:val="00DA50A3"/>
    <w:rsid w:val="00DA5180"/>
    <w:rsid w:val="00DA527A"/>
    <w:rsid w:val="00DA58F6"/>
    <w:rsid w:val="00DA5918"/>
    <w:rsid w:val="00DA5957"/>
    <w:rsid w:val="00DA779A"/>
    <w:rsid w:val="00DA77FB"/>
    <w:rsid w:val="00DA7A8C"/>
    <w:rsid w:val="00DA7C31"/>
    <w:rsid w:val="00DB01CA"/>
    <w:rsid w:val="00DB02F7"/>
    <w:rsid w:val="00DB0D71"/>
    <w:rsid w:val="00DB0EEF"/>
    <w:rsid w:val="00DB1377"/>
    <w:rsid w:val="00DB2048"/>
    <w:rsid w:val="00DB2519"/>
    <w:rsid w:val="00DB3F7E"/>
    <w:rsid w:val="00DB4E21"/>
    <w:rsid w:val="00DB4FDC"/>
    <w:rsid w:val="00DB506A"/>
    <w:rsid w:val="00DB58E2"/>
    <w:rsid w:val="00DB5E38"/>
    <w:rsid w:val="00DB65BF"/>
    <w:rsid w:val="00DB7655"/>
    <w:rsid w:val="00DB7BC2"/>
    <w:rsid w:val="00DB7D15"/>
    <w:rsid w:val="00DC0AB7"/>
    <w:rsid w:val="00DC0F43"/>
    <w:rsid w:val="00DC11B2"/>
    <w:rsid w:val="00DC1223"/>
    <w:rsid w:val="00DC2DAE"/>
    <w:rsid w:val="00DC417D"/>
    <w:rsid w:val="00DC44BF"/>
    <w:rsid w:val="00DC44FB"/>
    <w:rsid w:val="00DC4592"/>
    <w:rsid w:val="00DC540E"/>
    <w:rsid w:val="00DC55ED"/>
    <w:rsid w:val="00DC72AE"/>
    <w:rsid w:val="00DC78DC"/>
    <w:rsid w:val="00DD0C61"/>
    <w:rsid w:val="00DD1153"/>
    <w:rsid w:val="00DD1354"/>
    <w:rsid w:val="00DD17EA"/>
    <w:rsid w:val="00DD187E"/>
    <w:rsid w:val="00DD19F5"/>
    <w:rsid w:val="00DD22F7"/>
    <w:rsid w:val="00DD24B7"/>
    <w:rsid w:val="00DD24C5"/>
    <w:rsid w:val="00DD2C71"/>
    <w:rsid w:val="00DD33C4"/>
    <w:rsid w:val="00DD42C6"/>
    <w:rsid w:val="00DD444B"/>
    <w:rsid w:val="00DD44A4"/>
    <w:rsid w:val="00DD5611"/>
    <w:rsid w:val="00DD5779"/>
    <w:rsid w:val="00DD7045"/>
    <w:rsid w:val="00DD7311"/>
    <w:rsid w:val="00DD74BB"/>
    <w:rsid w:val="00DD791E"/>
    <w:rsid w:val="00DD7CBF"/>
    <w:rsid w:val="00DD7FB5"/>
    <w:rsid w:val="00DE015B"/>
    <w:rsid w:val="00DE0A87"/>
    <w:rsid w:val="00DE1880"/>
    <w:rsid w:val="00DE284B"/>
    <w:rsid w:val="00DE29F9"/>
    <w:rsid w:val="00DE3403"/>
    <w:rsid w:val="00DE36AB"/>
    <w:rsid w:val="00DE3C95"/>
    <w:rsid w:val="00DE3CA7"/>
    <w:rsid w:val="00DE3E27"/>
    <w:rsid w:val="00DE4070"/>
    <w:rsid w:val="00DE4A10"/>
    <w:rsid w:val="00DE54BE"/>
    <w:rsid w:val="00DE6210"/>
    <w:rsid w:val="00DE76CB"/>
    <w:rsid w:val="00DE76F5"/>
    <w:rsid w:val="00DE778B"/>
    <w:rsid w:val="00DF05D7"/>
    <w:rsid w:val="00DF091A"/>
    <w:rsid w:val="00DF1080"/>
    <w:rsid w:val="00DF13EF"/>
    <w:rsid w:val="00DF18C9"/>
    <w:rsid w:val="00DF1AF1"/>
    <w:rsid w:val="00DF1B61"/>
    <w:rsid w:val="00DF2654"/>
    <w:rsid w:val="00DF2704"/>
    <w:rsid w:val="00DF279E"/>
    <w:rsid w:val="00DF2FCE"/>
    <w:rsid w:val="00DF313A"/>
    <w:rsid w:val="00DF39C3"/>
    <w:rsid w:val="00DF4F52"/>
    <w:rsid w:val="00DF5422"/>
    <w:rsid w:val="00DF57E8"/>
    <w:rsid w:val="00DF5913"/>
    <w:rsid w:val="00DF5D61"/>
    <w:rsid w:val="00DF5FC4"/>
    <w:rsid w:val="00DF66AD"/>
    <w:rsid w:val="00DF6A62"/>
    <w:rsid w:val="00DF7888"/>
    <w:rsid w:val="00E009CB"/>
    <w:rsid w:val="00E00BF2"/>
    <w:rsid w:val="00E00D3E"/>
    <w:rsid w:val="00E01564"/>
    <w:rsid w:val="00E015B6"/>
    <w:rsid w:val="00E0189F"/>
    <w:rsid w:val="00E01950"/>
    <w:rsid w:val="00E01B8C"/>
    <w:rsid w:val="00E02553"/>
    <w:rsid w:val="00E02DCA"/>
    <w:rsid w:val="00E0334E"/>
    <w:rsid w:val="00E03561"/>
    <w:rsid w:val="00E036D7"/>
    <w:rsid w:val="00E05CB2"/>
    <w:rsid w:val="00E064E0"/>
    <w:rsid w:val="00E06A34"/>
    <w:rsid w:val="00E06BFB"/>
    <w:rsid w:val="00E06F56"/>
    <w:rsid w:val="00E12577"/>
    <w:rsid w:val="00E1268A"/>
    <w:rsid w:val="00E13A68"/>
    <w:rsid w:val="00E13E0A"/>
    <w:rsid w:val="00E13E43"/>
    <w:rsid w:val="00E13EB5"/>
    <w:rsid w:val="00E140EA"/>
    <w:rsid w:val="00E14297"/>
    <w:rsid w:val="00E14B4D"/>
    <w:rsid w:val="00E1545B"/>
    <w:rsid w:val="00E15611"/>
    <w:rsid w:val="00E15BED"/>
    <w:rsid w:val="00E163BD"/>
    <w:rsid w:val="00E165CF"/>
    <w:rsid w:val="00E17BA5"/>
    <w:rsid w:val="00E17C11"/>
    <w:rsid w:val="00E2000F"/>
    <w:rsid w:val="00E20745"/>
    <w:rsid w:val="00E21889"/>
    <w:rsid w:val="00E237DC"/>
    <w:rsid w:val="00E246AB"/>
    <w:rsid w:val="00E247E1"/>
    <w:rsid w:val="00E24EC8"/>
    <w:rsid w:val="00E25C62"/>
    <w:rsid w:val="00E26215"/>
    <w:rsid w:val="00E26C20"/>
    <w:rsid w:val="00E26D52"/>
    <w:rsid w:val="00E26DDF"/>
    <w:rsid w:val="00E271ED"/>
    <w:rsid w:val="00E30D1A"/>
    <w:rsid w:val="00E3101D"/>
    <w:rsid w:val="00E31051"/>
    <w:rsid w:val="00E31097"/>
    <w:rsid w:val="00E316D8"/>
    <w:rsid w:val="00E3198A"/>
    <w:rsid w:val="00E32190"/>
    <w:rsid w:val="00E322CB"/>
    <w:rsid w:val="00E32428"/>
    <w:rsid w:val="00E32738"/>
    <w:rsid w:val="00E328BC"/>
    <w:rsid w:val="00E32E84"/>
    <w:rsid w:val="00E33233"/>
    <w:rsid w:val="00E337D3"/>
    <w:rsid w:val="00E33ACA"/>
    <w:rsid w:val="00E33E6A"/>
    <w:rsid w:val="00E3461E"/>
    <w:rsid w:val="00E34D78"/>
    <w:rsid w:val="00E356FC"/>
    <w:rsid w:val="00E358CF"/>
    <w:rsid w:val="00E35BAD"/>
    <w:rsid w:val="00E36C27"/>
    <w:rsid w:val="00E37172"/>
    <w:rsid w:val="00E37F87"/>
    <w:rsid w:val="00E40341"/>
    <w:rsid w:val="00E425BB"/>
    <w:rsid w:val="00E444FB"/>
    <w:rsid w:val="00E44670"/>
    <w:rsid w:val="00E44D87"/>
    <w:rsid w:val="00E44E11"/>
    <w:rsid w:val="00E4509C"/>
    <w:rsid w:val="00E45866"/>
    <w:rsid w:val="00E45DDA"/>
    <w:rsid w:val="00E45DDD"/>
    <w:rsid w:val="00E4675C"/>
    <w:rsid w:val="00E50846"/>
    <w:rsid w:val="00E51942"/>
    <w:rsid w:val="00E5268E"/>
    <w:rsid w:val="00E52EDC"/>
    <w:rsid w:val="00E53466"/>
    <w:rsid w:val="00E53795"/>
    <w:rsid w:val="00E53BDE"/>
    <w:rsid w:val="00E53DBE"/>
    <w:rsid w:val="00E53F75"/>
    <w:rsid w:val="00E54038"/>
    <w:rsid w:val="00E5409A"/>
    <w:rsid w:val="00E547A4"/>
    <w:rsid w:val="00E55287"/>
    <w:rsid w:val="00E552DB"/>
    <w:rsid w:val="00E564B4"/>
    <w:rsid w:val="00E568F2"/>
    <w:rsid w:val="00E5691D"/>
    <w:rsid w:val="00E56D1B"/>
    <w:rsid w:val="00E56E21"/>
    <w:rsid w:val="00E57450"/>
    <w:rsid w:val="00E609F8"/>
    <w:rsid w:val="00E61173"/>
    <w:rsid w:val="00E61AEC"/>
    <w:rsid w:val="00E62777"/>
    <w:rsid w:val="00E63865"/>
    <w:rsid w:val="00E63D14"/>
    <w:rsid w:val="00E64A11"/>
    <w:rsid w:val="00E651AB"/>
    <w:rsid w:val="00E656CC"/>
    <w:rsid w:val="00E65977"/>
    <w:rsid w:val="00E65D1E"/>
    <w:rsid w:val="00E660DB"/>
    <w:rsid w:val="00E6612E"/>
    <w:rsid w:val="00E66A4B"/>
    <w:rsid w:val="00E66C34"/>
    <w:rsid w:val="00E66DDE"/>
    <w:rsid w:val="00E67750"/>
    <w:rsid w:val="00E678ED"/>
    <w:rsid w:val="00E679B9"/>
    <w:rsid w:val="00E7013C"/>
    <w:rsid w:val="00E705CC"/>
    <w:rsid w:val="00E70870"/>
    <w:rsid w:val="00E709BC"/>
    <w:rsid w:val="00E70A51"/>
    <w:rsid w:val="00E710BE"/>
    <w:rsid w:val="00E711C6"/>
    <w:rsid w:val="00E717C4"/>
    <w:rsid w:val="00E71A4A"/>
    <w:rsid w:val="00E72516"/>
    <w:rsid w:val="00E732BA"/>
    <w:rsid w:val="00E73F96"/>
    <w:rsid w:val="00E74A99"/>
    <w:rsid w:val="00E7502E"/>
    <w:rsid w:val="00E75319"/>
    <w:rsid w:val="00E76492"/>
    <w:rsid w:val="00E76E63"/>
    <w:rsid w:val="00E776BA"/>
    <w:rsid w:val="00E77B6C"/>
    <w:rsid w:val="00E77ED7"/>
    <w:rsid w:val="00E800AA"/>
    <w:rsid w:val="00E80982"/>
    <w:rsid w:val="00E8183F"/>
    <w:rsid w:val="00E81E5F"/>
    <w:rsid w:val="00E82662"/>
    <w:rsid w:val="00E82F1C"/>
    <w:rsid w:val="00E833A2"/>
    <w:rsid w:val="00E84157"/>
    <w:rsid w:val="00E841AD"/>
    <w:rsid w:val="00E843E2"/>
    <w:rsid w:val="00E8468E"/>
    <w:rsid w:val="00E84AAD"/>
    <w:rsid w:val="00E84EC7"/>
    <w:rsid w:val="00E85B24"/>
    <w:rsid w:val="00E86DC7"/>
    <w:rsid w:val="00E875A3"/>
    <w:rsid w:val="00E90437"/>
    <w:rsid w:val="00E9063B"/>
    <w:rsid w:val="00E90BA4"/>
    <w:rsid w:val="00E91CE7"/>
    <w:rsid w:val="00E92118"/>
    <w:rsid w:val="00E926FF"/>
    <w:rsid w:val="00E92F0D"/>
    <w:rsid w:val="00E92F96"/>
    <w:rsid w:val="00E9369B"/>
    <w:rsid w:val="00E93A25"/>
    <w:rsid w:val="00E949A5"/>
    <w:rsid w:val="00E95850"/>
    <w:rsid w:val="00E95AB5"/>
    <w:rsid w:val="00E95F44"/>
    <w:rsid w:val="00E96066"/>
    <w:rsid w:val="00E9640B"/>
    <w:rsid w:val="00E96AF8"/>
    <w:rsid w:val="00E97A72"/>
    <w:rsid w:val="00EA001C"/>
    <w:rsid w:val="00EA0725"/>
    <w:rsid w:val="00EA0737"/>
    <w:rsid w:val="00EA0D2C"/>
    <w:rsid w:val="00EA116F"/>
    <w:rsid w:val="00EA2529"/>
    <w:rsid w:val="00EA2CA8"/>
    <w:rsid w:val="00EA4549"/>
    <w:rsid w:val="00EA4E8F"/>
    <w:rsid w:val="00EA506F"/>
    <w:rsid w:val="00EA614D"/>
    <w:rsid w:val="00EA63EF"/>
    <w:rsid w:val="00EA6CBC"/>
    <w:rsid w:val="00EA7404"/>
    <w:rsid w:val="00EA7979"/>
    <w:rsid w:val="00EA7EC5"/>
    <w:rsid w:val="00EA7F16"/>
    <w:rsid w:val="00EB049D"/>
    <w:rsid w:val="00EB141A"/>
    <w:rsid w:val="00EB149F"/>
    <w:rsid w:val="00EB1DEF"/>
    <w:rsid w:val="00EB2037"/>
    <w:rsid w:val="00EB2716"/>
    <w:rsid w:val="00EB2759"/>
    <w:rsid w:val="00EB28EA"/>
    <w:rsid w:val="00EB323B"/>
    <w:rsid w:val="00EB3928"/>
    <w:rsid w:val="00EB3F14"/>
    <w:rsid w:val="00EB4739"/>
    <w:rsid w:val="00EB4BCE"/>
    <w:rsid w:val="00EB547C"/>
    <w:rsid w:val="00EB55A7"/>
    <w:rsid w:val="00EB5C43"/>
    <w:rsid w:val="00EB5DB2"/>
    <w:rsid w:val="00EB5ECF"/>
    <w:rsid w:val="00EB6716"/>
    <w:rsid w:val="00EB7203"/>
    <w:rsid w:val="00EB75D1"/>
    <w:rsid w:val="00EB77E0"/>
    <w:rsid w:val="00EC0954"/>
    <w:rsid w:val="00EC0CA7"/>
    <w:rsid w:val="00EC0D65"/>
    <w:rsid w:val="00EC2E68"/>
    <w:rsid w:val="00EC2F5D"/>
    <w:rsid w:val="00EC439D"/>
    <w:rsid w:val="00EC49A0"/>
    <w:rsid w:val="00EC4C64"/>
    <w:rsid w:val="00EC57F9"/>
    <w:rsid w:val="00EC591E"/>
    <w:rsid w:val="00EC773B"/>
    <w:rsid w:val="00EC7853"/>
    <w:rsid w:val="00EC7DFE"/>
    <w:rsid w:val="00ED04AE"/>
    <w:rsid w:val="00ED071F"/>
    <w:rsid w:val="00ED077C"/>
    <w:rsid w:val="00ED0905"/>
    <w:rsid w:val="00ED1D17"/>
    <w:rsid w:val="00ED28E6"/>
    <w:rsid w:val="00ED2C8F"/>
    <w:rsid w:val="00ED326C"/>
    <w:rsid w:val="00ED33C0"/>
    <w:rsid w:val="00ED399F"/>
    <w:rsid w:val="00ED437E"/>
    <w:rsid w:val="00ED480A"/>
    <w:rsid w:val="00ED5244"/>
    <w:rsid w:val="00ED54CA"/>
    <w:rsid w:val="00ED55AD"/>
    <w:rsid w:val="00ED5F63"/>
    <w:rsid w:val="00ED6179"/>
    <w:rsid w:val="00ED6197"/>
    <w:rsid w:val="00ED6610"/>
    <w:rsid w:val="00ED7B8A"/>
    <w:rsid w:val="00EE05CC"/>
    <w:rsid w:val="00EE1142"/>
    <w:rsid w:val="00EE1489"/>
    <w:rsid w:val="00EE24D3"/>
    <w:rsid w:val="00EE25BE"/>
    <w:rsid w:val="00EE323A"/>
    <w:rsid w:val="00EE36AE"/>
    <w:rsid w:val="00EE36C6"/>
    <w:rsid w:val="00EE4329"/>
    <w:rsid w:val="00EE47B3"/>
    <w:rsid w:val="00EE4CF0"/>
    <w:rsid w:val="00EE50A4"/>
    <w:rsid w:val="00EE521D"/>
    <w:rsid w:val="00EE55EE"/>
    <w:rsid w:val="00EE6048"/>
    <w:rsid w:val="00EE61CA"/>
    <w:rsid w:val="00EE6274"/>
    <w:rsid w:val="00EE6632"/>
    <w:rsid w:val="00EE6784"/>
    <w:rsid w:val="00EE678B"/>
    <w:rsid w:val="00EE6AA1"/>
    <w:rsid w:val="00EE708C"/>
    <w:rsid w:val="00EE70D9"/>
    <w:rsid w:val="00EE7753"/>
    <w:rsid w:val="00EF028F"/>
    <w:rsid w:val="00EF04C4"/>
    <w:rsid w:val="00EF1072"/>
    <w:rsid w:val="00EF146E"/>
    <w:rsid w:val="00EF1621"/>
    <w:rsid w:val="00EF199D"/>
    <w:rsid w:val="00EF1B03"/>
    <w:rsid w:val="00EF203E"/>
    <w:rsid w:val="00EF2DB4"/>
    <w:rsid w:val="00EF2E4C"/>
    <w:rsid w:val="00EF3082"/>
    <w:rsid w:val="00EF32DC"/>
    <w:rsid w:val="00EF3AA0"/>
    <w:rsid w:val="00EF3D89"/>
    <w:rsid w:val="00EF3F0B"/>
    <w:rsid w:val="00EF47B2"/>
    <w:rsid w:val="00EF4A68"/>
    <w:rsid w:val="00EF4E6A"/>
    <w:rsid w:val="00EF51E7"/>
    <w:rsid w:val="00EF5221"/>
    <w:rsid w:val="00EF6221"/>
    <w:rsid w:val="00EF635B"/>
    <w:rsid w:val="00EF66D7"/>
    <w:rsid w:val="00EF6BDA"/>
    <w:rsid w:val="00EF6CEE"/>
    <w:rsid w:val="00EF7900"/>
    <w:rsid w:val="00EF7932"/>
    <w:rsid w:val="00EF7B63"/>
    <w:rsid w:val="00EF7C1C"/>
    <w:rsid w:val="00EF7CCD"/>
    <w:rsid w:val="00EF7F55"/>
    <w:rsid w:val="00F006CD"/>
    <w:rsid w:val="00F00C2C"/>
    <w:rsid w:val="00F0142A"/>
    <w:rsid w:val="00F01B06"/>
    <w:rsid w:val="00F01E48"/>
    <w:rsid w:val="00F029CD"/>
    <w:rsid w:val="00F03016"/>
    <w:rsid w:val="00F03250"/>
    <w:rsid w:val="00F03746"/>
    <w:rsid w:val="00F03BEE"/>
    <w:rsid w:val="00F03C8C"/>
    <w:rsid w:val="00F0450A"/>
    <w:rsid w:val="00F04A8E"/>
    <w:rsid w:val="00F05068"/>
    <w:rsid w:val="00F05D0E"/>
    <w:rsid w:val="00F06659"/>
    <w:rsid w:val="00F0671C"/>
    <w:rsid w:val="00F0680F"/>
    <w:rsid w:val="00F074C1"/>
    <w:rsid w:val="00F07991"/>
    <w:rsid w:val="00F10146"/>
    <w:rsid w:val="00F1044D"/>
    <w:rsid w:val="00F107E9"/>
    <w:rsid w:val="00F11057"/>
    <w:rsid w:val="00F1169B"/>
    <w:rsid w:val="00F119EF"/>
    <w:rsid w:val="00F12536"/>
    <w:rsid w:val="00F12D1A"/>
    <w:rsid w:val="00F14B21"/>
    <w:rsid w:val="00F14B36"/>
    <w:rsid w:val="00F14F09"/>
    <w:rsid w:val="00F150B3"/>
    <w:rsid w:val="00F15207"/>
    <w:rsid w:val="00F15751"/>
    <w:rsid w:val="00F15A3A"/>
    <w:rsid w:val="00F164C9"/>
    <w:rsid w:val="00F16871"/>
    <w:rsid w:val="00F16F23"/>
    <w:rsid w:val="00F1774F"/>
    <w:rsid w:val="00F17AD0"/>
    <w:rsid w:val="00F17B19"/>
    <w:rsid w:val="00F17FD4"/>
    <w:rsid w:val="00F21272"/>
    <w:rsid w:val="00F22F9F"/>
    <w:rsid w:val="00F23690"/>
    <w:rsid w:val="00F243E5"/>
    <w:rsid w:val="00F24A44"/>
    <w:rsid w:val="00F2503E"/>
    <w:rsid w:val="00F25C7A"/>
    <w:rsid w:val="00F25EA4"/>
    <w:rsid w:val="00F263F0"/>
    <w:rsid w:val="00F26890"/>
    <w:rsid w:val="00F26D78"/>
    <w:rsid w:val="00F26DAA"/>
    <w:rsid w:val="00F27ECA"/>
    <w:rsid w:val="00F30C47"/>
    <w:rsid w:val="00F31664"/>
    <w:rsid w:val="00F31DF3"/>
    <w:rsid w:val="00F32319"/>
    <w:rsid w:val="00F33891"/>
    <w:rsid w:val="00F33F12"/>
    <w:rsid w:val="00F342D9"/>
    <w:rsid w:val="00F3573D"/>
    <w:rsid w:val="00F367C2"/>
    <w:rsid w:val="00F36881"/>
    <w:rsid w:val="00F36B67"/>
    <w:rsid w:val="00F402F5"/>
    <w:rsid w:val="00F4057A"/>
    <w:rsid w:val="00F41AE7"/>
    <w:rsid w:val="00F42509"/>
    <w:rsid w:val="00F425AB"/>
    <w:rsid w:val="00F43119"/>
    <w:rsid w:val="00F45C2B"/>
    <w:rsid w:val="00F46494"/>
    <w:rsid w:val="00F46779"/>
    <w:rsid w:val="00F46E1E"/>
    <w:rsid w:val="00F47116"/>
    <w:rsid w:val="00F477F0"/>
    <w:rsid w:val="00F47870"/>
    <w:rsid w:val="00F47F85"/>
    <w:rsid w:val="00F50197"/>
    <w:rsid w:val="00F51C1E"/>
    <w:rsid w:val="00F522DF"/>
    <w:rsid w:val="00F52474"/>
    <w:rsid w:val="00F52A3F"/>
    <w:rsid w:val="00F52E57"/>
    <w:rsid w:val="00F533FF"/>
    <w:rsid w:val="00F538A3"/>
    <w:rsid w:val="00F53904"/>
    <w:rsid w:val="00F53A8B"/>
    <w:rsid w:val="00F53FF2"/>
    <w:rsid w:val="00F54178"/>
    <w:rsid w:val="00F541AA"/>
    <w:rsid w:val="00F549BC"/>
    <w:rsid w:val="00F55BA1"/>
    <w:rsid w:val="00F55D76"/>
    <w:rsid w:val="00F56540"/>
    <w:rsid w:val="00F6060C"/>
    <w:rsid w:val="00F609CC"/>
    <w:rsid w:val="00F61246"/>
    <w:rsid w:val="00F613AF"/>
    <w:rsid w:val="00F618EF"/>
    <w:rsid w:val="00F62699"/>
    <w:rsid w:val="00F632FE"/>
    <w:rsid w:val="00F637EB"/>
    <w:rsid w:val="00F638F1"/>
    <w:rsid w:val="00F64279"/>
    <w:rsid w:val="00F650CB"/>
    <w:rsid w:val="00F65823"/>
    <w:rsid w:val="00F659E7"/>
    <w:rsid w:val="00F660E3"/>
    <w:rsid w:val="00F66402"/>
    <w:rsid w:val="00F673B1"/>
    <w:rsid w:val="00F67797"/>
    <w:rsid w:val="00F67FA3"/>
    <w:rsid w:val="00F702E4"/>
    <w:rsid w:val="00F70312"/>
    <w:rsid w:val="00F7059A"/>
    <w:rsid w:val="00F7148A"/>
    <w:rsid w:val="00F720DA"/>
    <w:rsid w:val="00F7221A"/>
    <w:rsid w:val="00F72F17"/>
    <w:rsid w:val="00F73485"/>
    <w:rsid w:val="00F736BC"/>
    <w:rsid w:val="00F74C44"/>
    <w:rsid w:val="00F7572C"/>
    <w:rsid w:val="00F75F29"/>
    <w:rsid w:val="00F76313"/>
    <w:rsid w:val="00F768A5"/>
    <w:rsid w:val="00F76A30"/>
    <w:rsid w:val="00F77A77"/>
    <w:rsid w:val="00F80759"/>
    <w:rsid w:val="00F80A43"/>
    <w:rsid w:val="00F80E39"/>
    <w:rsid w:val="00F80FA8"/>
    <w:rsid w:val="00F816A5"/>
    <w:rsid w:val="00F81789"/>
    <w:rsid w:val="00F81B4E"/>
    <w:rsid w:val="00F82130"/>
    <w:rsid w:val="00F822C5"/>
    <w:rsid w:val="00F83668"/>
    <w:rsid w:val="00F836E2"/>
    <w:rsid w:val="00F83CF7"/>
    <w:rsid w:val="00F84030"/>
    <w:rsid w:val="00F84039"/>
    <w:rsid w:val="00F851EF"/>
    <w:rsid w:val="00F86123"/>
    <w:rsid w:val="00F86A88"/>
    <w:rsid w:val="00F874B4"/>
    <w:rsid w:val="00F87B9F"/>
    <w:rsid w:val="00F90378"/>
    <w:rsid w:val="00F90BAA"/>
    <w:rsid w:val="00F91B9A"/>
    <w:rsid w:val="00F92490"/>
    <w:rsid w:val="00F92D35"/>
    <w:rsid w:val="00F939F8"/>
    <w:rsid w:val="00F94A51"/>
    <w:rsid w:val="00F94D63"/>
    <w:rsid w:val="00F9687A"/>
    <w:rsid w:val="00F96A4D"/>
    <w:rsid w:val="00F97509"/>
    <w:rsid w:val="00F9754E"/>
    <w:rsid w:val="00F97C6B"/>
    <w:rsid w:val="00F97FBB"/>
    <w:rsid w:val="00FA0B4F"/>
    <w:rsid w:val="00FA0C6A"/>
    <w:rsid w:val="00FA10C8"/>
    <w:rsid w:val="00FA1276"/>
    <w:rsid w:val="00FA1277"/>
    <w:rsid w:val="00FA1C78"/>
    <w:rsid w:val="00FA26E1"/>
    <w:rsid w:val="00FA27A8"/>
    <w:rsid w:val="00FA354A"/>
    <w:rsid w:val="00FA3667"/>
    <w:rsid w:val="00FA3F60"/>
    <w:rsid w:val="00FA4029"/>
    <w:rsid w:val="00FA460F"/>
    <w:rsid w:val="00FA4E7E"/>
    <w:rsid w:val="00FA5ADB"/>
    <w:rsid w:val="00FA7296"/>
    <w:rsid w:val="00FA7801"/>
    <w:rsid w:val="00FA7EAB"/>
    <w:rsid w:val="00FB0586"/>
    <w:rsid w:val="00FB0D9F"/>
    <w:rsid w:val="00FB10A0"/>
    <w:rsid w:val="00FB1AE1"/>
    <w:rsid w:val="00FB1B64"/>
    <w:rsid w:val="00FB2155"/>
    <w:rsid w:val="00FB3224"/>
    <w:rsid w:val="00FB41C7"/>
    <w:rsid w:val="00FB47E3"/>
    <w:rsid w:val="00FB495D"/>
    <w:rsid w:val="00FB4ACC"/>
    <w:rsid w:val="00FB4B75"/>
    <w:rsid w:val="00FB4BA3"/>
    <w:rsid w:val="00FB4DC6"/>
    <w:rsid w:val="00FB4FDC"/>
    <w:rsid w:val="00FB62B9"/>
    <w:rsid w:val="00FB637A"/>
    <w:rsid w:val="00FB6C63"/>
    <w:rsid w:val="00FB6CC5"/>
    <w:rsid w:val="00FB7131"/>
    <w:rsid w:val="00FB72AC"/>
    <w:rsid w:val="00FB7307"/>
    <w:rsid w:val="00FB7ECE"/>
    <w:rsid w:val="00FC0BC0"/>
    <w:rsid w:val="00FC1EC1"/>
    <w:rsid w:val="00FC2A3A"/>
    <w:rsid w:val="00FC3DFA"/>
    <w:rsid w:val="00FC46A3"/>
    <w:rsid w:val="00FC476E"/>
    <w:rsid w:val="00FC4FD9"/>
    <w:rsid w:val="00FC551B"/>
    <w:rsid w:val="00FC5D46"/>
    <w:rsid w:val="00FC65E9"/>
    <w:rsid w:val="00FC661B"/>
    <w:rsid w:val="00FC6E97"/>
    <w:rsid w:val="00FC7298"/>
    <w:rsid w:val="00FD0C62"/>
    <w:rsid w:val="00FD1011"/>
    <w:rsid w:val="00FD127D"/>
    <w:rsid w:val="00FD1757"/>
    <w:rsid w:val="00FD1BD4"/>
    <w:rsid w:val="00FD2044"/>
    <w:rsid w:val="00FD2D66"/>
    <w:rsid w:val="00FD30A3"/>
    <w:rsid w:val="00FD32C6"/>
    <w:rsid w:val="00FD32DB"/>
    <w:rsid w:val="00FD33FF"/>
    <w:rsid w:val="00FD3567"/>
    <w:rsid w:val="00FD4CF8"/>
    <w:rsid w:val="00FD5146"/>
    <w:rsid w:val="00FD52A0"/>
    <w:rsid w:val="00FD583D"/>
    <w:rsid w:val="00FD5997"/>
    <w:rsid w:val="00FD6AD9"/>
    <w:rsid w:val="00FD7C9E"/>
    <w:rsid w:val="00FE0128"/>
    <w:rsid w:val="00FE07FC"/>
    <w:rsid w:val="00FE0C9C"/>
    <w:rsid w:val="00FE1500"/>
    <w:rsid w:val="00FE161B"/>
    <w:rsid w:val="00FE19EE"/>
    <w:rsid w:val="00FE1B03"/>
    <w:rsid w:val="00FE1BFD"/>
    <w:rsid w:val="00FE21C1"/>
    <w:rsid w:val="00FE257E"/>
    <w:rsid w:val="00FE2900"/>
    <w:rsid w:val="00FE2F05"/>
    <w:rsid w:val="00FE37A9"/>
    <w:rsid w:val="00FE3F2D"/>
    <w:rsid w:val="00FE44B8"/>
    <w:rsid w:val="00FE47C2"/>
    <w:rsid w:val="00FE49EF"/>
    <w:rsid w:val="00FE49F9"/>
    <w:rsid w:val="00FE4B7D"/>
    <w:rsid w:val="00FE5121"/>
    <w:rsid w:val="00FE52E8"/>
    <w:rsid w:val="00FE5AA3"/>
    <w:rsid w:val="00FE67E3"/>
    <w:rsid w:val="00FE6A61"/>
    <w:rsid w:val="00FE6D52"/>
    <w:rsid w:val="00FE74B3"/>
    <w:rsid w:val="00FE74C7"/>
    <w:rsid w:val="00FE7768"/>
    <w:rsid w:val="00FF0761"/>
    <w:rsid w:val="00FF07B0"/>
    <w:rsid w:val="00FF09C3"/>
    <w:rsid w:val="00FF0CF6"/>
    <w:rsid w:val="00FF1804"/>
    <w:rsid w:val="00FF1A2D"/>
    <w:rsid w:val="00FF1B38"/>
    <w:rsid w:val="00FF1CEF"/>
    <w:rsid w:val="00FF24BF"/>
    <w:rsid w:val="00FF3814"/>
    <w:rsid w:val="00FF3963"/>
    <w:rsid w:val="00FF3AFF"/>
    <w:rsid w:val="00FF3C13"/>
    <w:rsid w:val="00FF3C32"/>
    <w:rsid w:val="00FF3F26"/>
    <w:rsid w:val="00FF4667"/>
    <w:rsid w:val="00FF4D75"/>
    <w:rsid w:val="00FF5445"/>
    <w:rsid w:val="00FF55C1"/>
    <w:rsid w:val="00FF6357"/>
    <w:rsid w:val="00FF6644"/>
    <w:rsid w:val="00FF7534"/>
    <w:rsid w:val="00FF76AD"/>
    <w:rsid w:val="00FF7D1F"/>
    <w:rsid w:val="00FF7D5A"/>
    <w:rsid w:val="00FF7D96"/>
    <w:rsid w:val="022D9212"/>
    <w:rsid w:val="063BDBF3"/>
    <w:rsid w:val="077FEC0F"/>
    <w:rsid w:val="083CC6A4"/>
    <w:rsid w:val="08E064A7"/>
    <w:rsid w:val="0B563826"/>
    <w:rsid w:val="0E1B1F46"/>
    <w:rsid w:val="0E2EF983"/>
    <w:rsid w:val="1071DB33"/>
    <w:rsid w:val="11F81682"/>
    <w:rsid w:val="1447DCEB"/>
    <w:rsid w:val="1486746B"/>
    <w:rsid w:val="14ECCEBE"/>
    <w:rsid w:val="15C2C09D"/>
    <w:rsid w:val="15E6326A"/>
    <w:rsid w:val="17741CDB"/>
    <w:rsid w:val="185A9A8B"/>
    <w:rsid w:val="19FC1B55"/>
    <w:rsid w:val="1B2FBB4B"/>
    <w:rsid w:val="1B836D0B"/>
    <w:rsid w:val="1D5F21E5"/>
    <w:rsid w:val="22316A93"/>
    <w:rsid w:val="2384FDD3"/>
    <w:rsid w:val="262E894D"/>
    <w:rsid w:val="27E31D64"/>
    <w:rsid w:val="27F31EB3"/>
    <w:rsid w:val="29C5D15F"/>
    <w:rsid w:val="2B33C4C5"/>
    <w:rsid w:val="334484B8"/>
    <w:rsid w:val="367EDEC9"/>
    <w:rsid w:val="37EF2899"/>
    <w:rsid w:val="397D8ED7"/>
    <w:rsid w:val="3C6ED6E9"/>
    <w:rsid w:val="3ECC0B2A"/>
    <w:rsid w:val="42961498"/>
    <w:rsid w:val="435ADDAE"/>
    <w:rsid w:val="47726F60"/>
    <w:rsid w:val="4C601C8D"/>
    <w:rsid w:val="4FE97834"/>
    <w:rsid w:val="502EC2B7"/>
    <w:rsid w:val="56BC2B41"/>
    <w:rsid w:val="5803DC62"/>
    <w:rsid w:val="5825A46D"/>
    <w:rsid w:val="5A1467D8"/>
    <w:rsid w:val="5BF4C569"/>
    <w:rsid w:val="5C7F0D56"/>
    <w:rsid w:val="5ED8B983"/>
    <w:rsid w:val="5F2EFAF9"/>
    <w:rsid w:val="5F3A9CF5"/>
    <w:rsid w:val="6089DD70"/>
    <w:rsid w:val="645BBFF8"/>
    <w:rsid w:val="66F9B66C"/>
    <w:rsid w:val="67AE76BD"/>
    <w:rsid w:val="68921BBB"/>
    <w:rsid w:val="691E899F"/>
    <w:rsid w:val="6A468E14"/>
    <w:rsid w:val="71D27758"/>
    <w:rsid w:val="7320C7AF"/>
    <w:rsid w:val="750FD996"/>
    <w:rsid w:val="75C7299D"/>
    <w:rsid w:val="766FC3EB"/>
    <w:rsid w:val="7E18C1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sz w:val="22"/>
        <w:szCs w:val="22"/>
        <w:lang w:val="en-AU" w:eastAsia="en-AU" w:bidi="ar-SA"/>
      </w:rPr>
    </w:rPrDefault>
    <w:pPrDefault>
      <w:pPr>
        <w:spacing w:line="264"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lsdException w:name="heading 7" w:semiHidden="1" w:unhideWhenUsed="1"/>
    <w:lsdException w:name="heading 8" w:semiHidden="1" w:uiPriority="3" w:unhideWhenUsed="1" w:qFormat="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lsdException w:name="Emphasis" w:uiPriority="1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0E3"/>
  </w:style>
  <w:style w:type="paragraph" w:styleId="Heading1">
    <w:name w:val="heading 1"/>
    <w:basedOn w:val="Normal"/>
    <w:next w:val="BodyText"/>
    <w:link w:val="Heading1Char"/>
    <w:qFormat/>
    <w:rsid w:val="007E6584"/>
    <w:pPr>
      <w:keepNext/>
      <w:keepLines/>
      <w:numPr>
        <w:numId w:val="11"/>
      </w:numPr>
      <w:spacing w:before="240" w:after="240"/>
      <w:outlineLvl w:val="0"/>
    </w:pPr>
    <w:rPr>
      <w:rFonts w:asciiTheme="majorHAnsi" w:eastAsiaTheme="minorEastAsia" w:hAnsiTheme="majorHAnsi" w:cstheme="majorBidi"/>
      <w:b/>
      <w:bCs/>
      <w:color w:val="214C90" w:themeColor="text2"/>
      <w:sz w:val="24"/>
      <w:szCs w:val="32"/>
    </w:rPr>
  </w:style>
  <w:style w:type="paragraph" w:styleId="Heading2">
    <w:name w:val="heading 2"/>
    <w:basedOn w:val="Normal"/>
    <w:next w:val="BodyText"/>
    <w:link w:val="Heading2Char"/>
    <w:qFormat/>
    <w:rsid w:val="007E6584"/>
    <w:pPr>
      <w:keepNext/>
      <w:keepLines/>
      <w:numPr>
        <w:ilvl w:val="1"/>
        <w:numId w:val="11"/>
      </w:numPr>
      <w:spacing w:before="360" w:after="240"/>
      <w:outlineLvl w:val="1"/>
    </w:pPr>
    <w:rPr>
      <w:rFonts w:asciiTheme="majorHAnsi" w:eastAsiaTheme="majorEastAsia" w:hAnsiTheme="majorHAnsi" w:cstheme="majorBidi"/>
      <w:b/>
      <w:bCs/>
      <w:color w:val="214C90" w:themeColor="accent1"/>
      <w:szCs w:val="26"/>
    </w:rPr>
  </w:style>
  <w:style w:type="paragraph" w:styleId="Heading3">
    <w:name w:val="heading 3"/>
    <w:basedOn w:val="Normal"/>
    <w:next w:val="BodyText"/>
    <w:link w:val="Heading3Char"/>
    <w:qFormat/>
    <w:rsid w:val="007E6584"/>
    <w:pPr>
      <w:keepNext/>
      <w:keepLines/>
      <w:numPr>
        <w:ilvl w:val="2"/>
        <w:numId w:val="11"/>
      </w:numPr>
      <w:spacing w:before="360" w:after="240"/>
      <w:contextualSpacing/>
      <w:outlineLvl w:val="2"/>
    </w:pPr>
    <w:rPr>
      <w:rFonts w:asciiTheme="majorHAnsi" w:eastAsiaTheme="majorEastAsia" w:hAnsiTheme="majorHAnsi" w:cstheme="majorBidi"/>
      <w:b/>
      <w:bCs/>
      <w:color w:val="214C90" w:themeColor="accent1"/>
    </w:rPr>
  </w:style>
  <w:style w:type="paragraph" w:styleId="Heading4">
    <w:name w:val="heading 4"/>
    <w:basedOn w:val="Normal"/>
    <w:next w:val="BodyText"/>
    <w:link w:val="Heading4Char"/>
    <w:qFormat/>
    <w:rsid w:val="007E6584"/>
    <w:pPr>
      <w:keepNext/>
      <w:keepLines/>
      <w:numPr>
        <w:ilvl w:val="3"/>
        <w:numId w:val="11"/>
      </w:numPr>
      <w:spacing w:before="360" w:after="240"/>
      <w:outlineLvl w:val="3"/>
    </w:pPr>
    <w:rPr>
      <w:rFonts w:asciiTheme="majorHAnsi" w:eastAsiaTheme="majorEastAsia" w:hAnsiTheme="majorHAnsi" w:cstheme="majorBidi"/>
      <w:b/>
      <w:bCs/>
      <w:i/>
      <w:iCs/>
      <w:color w:val="214C90" w:themeColor="text2"/>
    </w:rPr>
  </w:style>
  <w:style w:type="paragraph" w:styleId="Heading5">
    <w:name w:val="heading 5"/>
    <w:basedOn w:val="Normal"/>
    <w:next w:val="Normal"/>
    <w:link w:val="Heading5Char"/>
    <w:semiHidden/>
    <w:qFormat/>
    <w:rsid w:val="00BD348A"/>
    <w:pPr>
      <w:keepNext/>
      <w:keepLines/>
      <w:numPr>
        <w:ilvl w:val="4"/>
        <w:numId w:val="11"/>
      </w:numPr>
      <w:spacing w:before="360" w:after="240"/>
      <w:outlineLvl w:val="4"/>
    </w:pPr>
    <w:rPr>
      <w:rFonts w:asciiTheme="majorHAnsi" w:eastAsiaTheme="majorEastAsia" w:hAnsiTheme="majorHAnsi" w:cstheme="majorBidi"/>
      <w:i/>
      <w:color w:val="214C90" w:themeColor="text2"/>
    </w:rPr>
  </w:style>
  <w:style w:type="paragraph" w:styleId="Heading6">
    <w:name w:val="heading 6"/>
    <w:basedOn w:val="Normal"/>
    <w:next w:val="BodyText"/>
    <w:link w:val="Heading6Char"/>
    <w:semiHidden/>
    <w:rsid w:val="00BD348A"/>
    <w:pPr>
      <w:keepNext/>
      <w:keepLines/>
      <w:spacing w:before="240" w:after="120"/>
      <w:outlineLvl w:val="5"/>
    </w:pPr>
    <w:rPr>
      <w:rFonts w:asciiTheme="majorHAnsi" w:eastAsiaTheme="majorEastAsia" w:hAnsiTheme="majorHAnsi" w:cstheme="majorBidi"/>
      <w:b/>
      <w:iCs/>
      <w:color w:val="214C90" w:themeColor="text2"/>
      <w:lang w:eastAsia="en-US"/>
    </w:rPr>
  </w:style>
  <w:style w:type="paragraph" w:styleId="Heading7">
    <w:name w:val="heading 7"/>
    <w:basedOn w:val="Normal"/>
    <w:next w:val="BodyText"/>
    <w:link w:val="Heading7Char"/>
    <w:semiHidden/>
    <w:rsid w:val="007E6584"/>
    <w:pPr>
      <w:keepNext/>
      <w:keepLines/>
      <w:pageBreakBefore/>
      <w:spacing w:before="120" w:after="120"/>
      <w:outlineLvl w:val="6"/>
    </w:pPr>
    <w:rPr>
      <w:rFonts w:asciiTheme="majorHAnsi" w:eastAsiaTheme="majorEastAsia" w:hAnsiTheme="majorHAnsi" w:cstheme="majorBidi"/>
      <w:b/>
      <w:iCs/>
      <w:color w:val="214C90" w:themeColor="text2"/>
    </w:rPr>
  </w:style>
  <w:style w:type="paragraph" w:styleId="Heading8">
    <w:name w:val="heading 8"/>
    <w:basedOn w:val="Normal"/>
    <w:next w:val="BodyText"/>
    <w:link w:val="Heading8Char"/>
    <w:uiPriority w:val="3"/>
    <w:semiHidden/>
    <w:qFormat/>
    <w:rsid w:val="007E6584"/>
    <w:pPr>
      <w:keepNext/>
      <w:keepLines/>
      <w:pageBreakBefore/>
      <w:tabs>
        <w:tab w:val="right" w:pos="9639"/>
      </w:tabs>
      <w:spacing w:after="120"/>
      <w:outlineLvl w:val="7"/>
    </w:pPr>
    <w:rPr>
      <w:rFonts w:asciiTheme="majorHAnsi" w:eastAsiaTheme="majorEastAsia" w:hAnsiTheme="majorHAnsi" w:cstheme="majorBidi"/>
      <w:caps/>
      <w:color w:val="214C90" w:themeColor="text2"/>
      <w:sz w:val="28"/>
      <w:lang w:eastAsia="en-US"/>
    </w:rPr>
  </w:style>
  <w:style w:type="paragraph" w:styleId="Heading9">
    <w:name w:val="heading 9"/>
    <w:aliases w:val="Appendix Heading 1"/>
    <w:basedOn w:val="Normal"/>
    <w:next w:val="BodyText"/>
    <w:link w:val="Heading9Char"/>
    <w:uiPriority w:val="4"/>
    <w:rsid w:val="007E6584"/>
    <w:pPr>
      <w:keepNext/>
      <w:keepLines/>
      <w:pageBreakBefore/>
      <w:numPr>
        <w:numId w:val="10"/>
      </w:numPr>
      <w:spacing w:before="240" w:after="240"/>
      <w:outlineLvl w:val="8"/>
    </w:pPr>
    <w:rPr>
      <w:rFonts w:asciiTheme="majorHAnsi" w:eastAsiaTheme="minorEastAsia" w:hAnsiTheme="majorHAnsi" w:cs="Arial"/>
      <w:b/>
      <w:color w:val="214C90" w:themeColor="text2"/>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ldHeading">
    <w:name w:val="Bold Heading"/>
    <w:basedOn w:val="Normal"/>
    <w:rsid w:val="00A67EB1"/>
    <w:pPr>
      <w:spacing w:before="240" w:after="120"/>
    </w:pPr>
    <w:rPr>
      <w:b/>
    </w:rPr>
  </w:style>
  <w:style w:type="paragraph" w:customStyle="1" w:styleId="Image">
    <w:name w:val="Image"/>
    <w:basedOn w:val="Normal"/>
    <w:next w:val="BodyText"/>
    <w:rsid w:val="00965A70"/>
    <w:pPr>
      <w:keepNext/>
    </w:pPr>
  </w:style>
  <w:style w:type="paragraph" w:styleId="BodyText">
    <w:name w:val="Body Text"/>
    <w:basedOn w:val="Normal"/>
    <w:link w:val="BodyTextChar"/>
    <w:qFormat/>
    <w:rsid w:val="0087183B"/>
    <w:pPr>
      <w:tabs>
        <w:tab w:val="left" w:pos="2268"/>
        <w:tab w:val="left" w:pos="4536"/>
        <w:tab w:val="left" w:pos="6804"/>
        <w:tab w:val="right" w:pos="9638"/>
      </w:tabs>
      <w:spacing w:before="240" w:after="120"/>
    </w:pPr>
    <w:rPr>
      <w:rFonts w:ascii="Arial" w:hAnsi="Arial"/>
    </w:rPr>
  </w:style>
  <w:style w:type="character" w:customStyle="1" w:styleId="BodyTextChar">
    <w:name w:val="Body Text Char"/>
    <w:basedOn w:val="DefaultParagraphFont"/>
    <w:link w:val="BodyText"/>
    <w:rsid w:val="0087183B"/>
    <w:rPr>
      <w:rFonts w:ascii="Arial" w:hAnsi="Arial"/>
    </w:rPr>
  </w:style>
  <w:style w:type="paragraph" w:styleId="BlockText">
    <w:name w:val="Block Text"/>
    <w:basedOn w:val="BodyText"/>
    <w:semiHidden/>
    <w:unhideWhenUsed/>
    <w:rsid w:val="00EF3AA0"/>
    <w:rPr>
      <w:rFonts w:eastAsiaTheme="minorEastAsia" w:cstheme="minorBidi"/>
      <w:iCs/>
    </w:rPr>
  </w:style>
  <w:style w:type="paragraph" w:styleId="Caption">
    <w:name w:val="caption"/>
    <w:basedOn w:val="Normal"/>
    <w:next w:val="BodyText"/>
    <w:link w:val="CaptionChar"/>
    <w:qFormat/>
    <w:rsid w:val="00C93C07"/>
    <w:pPr>
      <w:keepNext/>
      <w:keepLines/>
      <w:spacing w:before="240" w:after="120"/>
    </w:pPr>
    <w:rPr>
      <w:rFonts w:eastAsiaTheme="minorHAnsi" w:cstheme="minorBidi"/>
      <w:b/>
      <w:bCs/>
      <w:lang w:eastAsia="fr-CA"/>
    </w:rPr>
  </w:style>
  <w:style w:type="paragraph" w:styleId="BalloonText">
    <w:name w:val="Balloon Text"/>
    <w:basedOn w:val="Normal"/>
    <w:link w:val="BalloonTextChar"/>
    <w:uiPriority w:val="99"/>
    <w:semiHidden/>
    <w:unhideWhenUsed/>
    <w:rsid w:val="005542F9"/>
    <w:rPr>
      <w:rFonts w:ascii="Tahoma" w:hAnsi="Tahoma" w:cs="Tahoma"/>
      <w:sz w:val="16"/>
      <w:szCs w:val="16"/>
    </w:rPr>
  </w:style>
  <w:style w:type="paragraph" w:styleId="TOCHeading">
    <w:name w:val="TOC Heading"/>
    <w:next w:val="Normal"/>
    <w:uiPriority w:val="39"/>
    <w:unhideWhenUsed/>
    <w:qFormat/>
    <w:rsid w:val="0044504D"/>
    <w:pPr>
      <w:pageBreakBefore/>
      <w:spacing w:after="600" w:line="240" w:lineRule="auto"/>
    </w:pPr>
    <w:rPr>
      <w:rFonts w:asciiTheme="majorHAnsi" w:eastAsiaTheme="minorEastAsia" w:hAnsiTheme="majorHAnsi" w:cstheme="majorBidi"/>
      <w:b/>
      <w:bCs/>
      <w:color w:val="214C90" w:themeColor="text2"/>
      <w:sz w:val="32"/>
      <w:szCs w:val="28"/>
    </w:rPr>
  </w:style>
  <w:style w:type="character" w:customStyle="1" w:styleId="BalloonTextChar">
    <w:name w:val="Balloon Text Char"/>
    <w:basedOn w:val="DefaultParagraphFont"/>
    <w:link w:val="BalloonText"/>
    <w:uiPriority w:val="99"/>
    <w:semiHidden/>
    <w:rsid w:val="00475145"/>
    <w:rPr>
      <w:rFonts w:ascii="Tahoma" w:hAnsi="Tahoma" w:cs="Tahoma"/>
      <w:color w:val="000000" w:themeColor="text1"/>
      <w:sz w:val="16"/>
      <w:szCs w:val="16"/>
    </w:rPr>
  </w:style>
  <w:style w:type="paragraph" w:styleId="Footer">
    <w:name w:val="footer"/>
    <w:basedOn w:val="Normal"/>
    <w:link w:val="FooterChar"/>
    <w:uiPriority w:val="99"/>
    <w:rsid w:val="003E578E"/>
    <w:pPr>
      <w:tabs>
        <w:tab w:val="left" w:pos="1077"/>
        <w:tab w:val="center" w:pos="4320"/>
        <w:tab w:val="right" w:pos="8640"/>
      </w:tabs>
      <w:jc w:val="center"/>
    </w:pPr>
    <w:rPr>
      <w:rFonts w:eastAsia="Cambria" w:cstheme="minorBidi"/>
      <w:sz w:val="18"/>
      <w:lang w:eastAsia="en-US"/>
    </w:rPr>
  </w:style>
  <w:style w:type="character" w:customStyle="1" w:styleId="FooterChar">
    <w:name w:val="Footer Char"/>
    <w:basedOn w:val="DefaultParagraphFont"/>
    <w:link w:val="Footer"/>
    <w:uiPriority w:val="99"/>
    <w:rsid w:val="003E578E"/>
    <w:rPr>
      <w:rFonts w:eastAsia="Cambria" w:cstheme="minorBidi"/>
      <w:sz w:val="18"/>
      <w:lang w:eastAsia="en-US"/>
    </w:rPr>
  </w:style>
  <w:style w:type="numbering" w:customStyle="1" w:styleId="HangingList">
    <w:name w:val="HangingList"/>
    <w:uiPriority w:val="99"/>
    <w:rsid w:val="00DD7311"/>
    <w:pPr>
      <w:numPr>
        <w:numId w:val="1"/>
      </w:numPr>
    </w:pPr>
  </w:style>
  <w:style w:type="paragraph" w:styleId="Header">
    <w:name w:val="header"/>
    <w:basedOn w:val="Normal"/>
    <w:link w:val="HeaderChar"/>
    <w:uiPriority w:val="99"/>
    <w:rsid w:val="00294804"/>
    <w:pPr>
      <w:tabs>
        <w:tab w:val="left" w:pos="7796"/>
      </w:tabs>
    </w:pPr>
    <w:rPr>
      <w:rFonts w:eastAsiaTheme="minorHAnsi" w:cstheme="minorBidi"/>
      <w:sz w:val="18"/>
      <w:lang w:eastAsia="fr-CA"/>
    </w:rPr>
  </w:style>
  <w:style w:type="character" w:customStyle="1" w:styleId="HeaderChar">
    <w:name w:val="Header Char"/>
    <w:basedOn w:val="DefaultParagraphFont"/>
    <w:link w:val="Header"/>
    <w:uiPriority w:val="99"/>
    <w:rsid w:val="00294804"/>
    <w:rPr>
      <w:rFonts w:eastAsiaTheme="minorHAnsi" w:cstheme="minorBidi"/>
      <w:sz w:val="18"/>
      <w:lang w:eastAsia="fr-CA"/>
    </w:rPr>
  </w:style>
  <w:style w:type="paragraph" w:customStyle="1" w:styleId="AppendixHeading2">
    <w:name w:val="Appendix Heading 2"/>
    <w:basedOn w:val="Normal"/>
    <w:next w:val="BodyText"/>
    <w:uiPriority w:val="4"/>
    <w:rsid w:val="007E6584"/>
    <w:pPr>
      <w:keepNext/>
      <w:numPr>
        <w:ilvl w:val="1"/>
        <w:numId w:val="10"/>
      </w:numPr>
      <w:spacing w:before="360" w:after="240"/>
    </w:pPr>
    <w:rPr>
      <w:rFonts w:asciiTheme="majorHAnsi" w:eastAsiaTheme="minorEastAsia" w:hAnsiTheme="majorHAnsi"/>
      <w:b/>
      <w:color w:val="214C90" w:themeColor="text2"/>
      <w:lang w:eastAsia="en-US"/>
    </w:rPr>
  </w:style>
  <w:style w:type="paragraph" w:customStyle="1" w:styleId="AppendixHeading3">
    <w:name w:val="Appendix Heading 3"/>
    <w:basedOn w:val="Normal"/>
    <w:next w:val="BodyText"/>
    <w:uiPriority w:val="4"/>
    <w:rsid w:val="007E6584"/>
    <w:pPr>
      <w:keepNext/>
      <w:numPr>
        <w:ilvl w:val="2"/>
        <w:numId w:val="10"/>
      </w:numPr>
      <w:tabs>
        <w:tab w:val="left" w:pos="1559"/>
        <w:tab w:val="left" w:pos="1843"/>
        <w:tab w:val="left" w:pos="2126"/>
        <w:tab w:val="left" w:pos="2410"/>
        <w:tab w:val="left" w:pos="6804"/>
        <w:tab w:val="right" w:pos="9639"/>
      </w:tabs>
      <w:spacing w:before="360" w:after="240"/>
    </w:pPr>
    <w:rPr>
      <w:rFonts w:asciiTheme="majorHAnsi" w:hAnsiTheme="majorHAnsi"/>
      <w:b/>
      <w:color w:val="214C90" w:themeColor="text2"/>
      <w:lang w:eastAsia="en-US"/>
    </w:rPr>
  </w:style>
  <w:style w:type="character" w:customStyle="1" w:styleId="Italics">
    <w:name w:val="Italics"/>
    <w:uiPriority w:val="1"/>
    <w:rsid w:val="00566E04"/>
    <w:rPr>
      <w:i/>
      <w:lang w:eastAsia="en-US"/>
    </w:rPr>
  </w:style>
  <w:style w:type="character" w:customStyle="1" w:styleId="Heading1Char">
    <w:name w:val="Heading 1 Char"/>
    <w:basedOn w:val="DefaultParagraphFont"/>
    <w:link w:val="Heading1"/>
    <w:rsid w:val="007E6584"/>
    <w:rPr>
      <w:rFonts w:asciiTheme="majorHAnsi" w:eastAsiaTheme="minorEastAsia" w:hAnsiTheme="majorHAnsi" w:cstheme="majorBidi"/>
      <w:b/>
      <w:bCs/>
      <w:color w:val="214C90" w:themeColor="text2"/>
      <w:sz w:val="24"/>
      <w:szCs w:val="32"/>
    </w:rPr>
  </w:style>
  <w:style w:type="character" w:customStyle="1" w:styleId="Heading2Char">
    <w:name w:val="Heading 2 Char"/>
    <w:basedOn w:val="DefaultParagraphFont"/>
    <w:link w:val="Heading2"/>
    <w:rsid w:val="007E6584"/>
    <w:rPr>
      <w:rFonts w:asciiTheme="majorHAnsi" w:eastAsiaTheme="majorEastAsia" w:hAnsiTheme="majorHAnsi" w:cstheme="majorBidi"/>
      <w:b/>
      <w:bCs/>
      <w:color w:val="214C90" w:themeColor="accent1"/>
      <w:szCs w:val="26"/>
    </w:rPr>
  </w:style>
  <w:style w:type="character" w:customStyle="1" w:styleId="Heading3Char">
    <w:name w:val="Heading 3 Char"/>
    <w:basedOn w:val="DefaultParagraphFont"/>
    <w:link w:val="Heading3"/>
    <w:rsid w:val="007E6584"/>
    <w:rPr>
      <w:rFonts w:asciiTheme="majorHAnsi" w:eastAsiaTheme="majorEastAsia" w:hAnsiTheme="majorHAnsi" w:cstheme="majorBidi"/>
      <w:b/>
      <w:bCs/>
      <w:color w:val="214C90" w:themeColor="accent1"/>
    </w:rPr>
  </w:style>
  <w:style w:type="character" w:customStyle="1" w:styleId="Heading4Char">
    <w:name w:val="Heading 4 Char"/>
    <w:basedOn w:val="DefaultParagraphFont"/>
    <w:link w:val="Heading4"/>
    <w:rsid w:val="007E6584"/>
    <w:rPr>
      <w:rFonts w:asciiTheme="majorHAnsi" w:eastAsiaTheme="majorEastAsia" w:hAnsiTheme="majorHAnsi" w:cstheme="majorBidi"/>
      <w:b/>
      <w:bCs/>
      <w:i/>
      <w:iCs/>
      <w:color w:val="214C90" w:themeColor="text2"/>
    </w:rPr>
  </w:style>
  <w:style w:type="character" w:customStyle="1" w:styleId="Heading7Char">
    <w:name w:val="Heading 7 Char"/>
    <w:basedOn w:val="DefaultParagraphFont"/>
    <w:link w:val="Heading7"/>
    <w:semiHidden/>
    <w:rsid w:val="007E6584"/>
    <w:rPr>
      <w:rFonts w:asciiTheme="majorHAnsi" w:eastAsiaTheme="majorEastAsia" w:hAnsiTheme="majorHAnsi" w:cstheme="majorBidi"/>
      <w:b/>
      <w:iCs/>
      <w:color w:val="214C90" w:themeColor="text2"/>
    </w:rPr>
  </w:style>
  <w:style w:type="character" w:customStyle="1" w:styleId="Heading8Char">
    <w:name w:val="Heading 8 Char"/>
    <w:basedOn w:val="DefaultParagraphFont"/>
    <w:link w:val="Heading8"/>
    <w:uiPriority w:val="3"/>
    <w:semiHidden/>
    <w:rsid w:val="007E6584"/>
    <w:rPr>
      <w:rFonts w:asciiTheme="majorHAnsi" w:eastAsiaTheme="majorEastAsia" w:hAnsiTheme="majorHAnsi" w:cstheme="majorBidi"/>
      <w:caps/>
      <w:color w:val="214C90" w:themeColor="text2"/>
      <w:sz w:val="28"/>
      <w:lang w:eastAsia="en-US"/>
    </w:rPr>
  </w:style>
  <w:style w:type="character" w:customStyle="1" w:styleId="Heading9Char">
    <w:name w:val="Heading 9 Char"/>
    <w:aliases w:val="Appendix Heading 1 Char"/>
    <w:basedOn w:val="DefaultParagraphFont"/>
    <w:link w:val="Heading9"/>
    <w:rsid w:val="007E6584"/>
    <w:rPr>
      <w:rFonts w:asciiTheme="majorHAnsi" w:eastAsiaTheme="minorEastAsia" w:hAnsiTheme="majorHAnsi" w:cs="Arial"/>
      <w:b/>
      <w:color w:val="214C90" w:themeColor="text2"/>
      <w:sz w:val="24"/>
      <w:lang w:eastAsia="en-US"/>
    </w:rPr>
  </w:style>
  <w:style w:type="character" w:styleId="Hyperlink">
    <w:name w:val="Hyperlink"/>
    <w:basedOn w:val="DefaultParagraphFont"/>
    <w:uiPriority w:val="99"/>
    <w:unhideWhenUsed/>
    <w:rsid w:val="002778AD"/>
    <w:rPr>
      <w:color w:val="000000" w:themeColor="text1"/>
      <w:u w:val="single"/>
    </w:rPr>
  </w:style>
  <w:style w:type="character" w:styleId="FollowedHyperlink">
    <w:name w:val="FollowedHyperlink"/>
    <w:basedOn w:val="DefaultParagraphFont"/>
    <w:uiPriority w:val="99"/>
    <w:rsid w:val="002778AD"/>
    <w:rPr>
      <w:color w:val="000000" w:themeColor="text1"/>
      <w:u w:val="single"/>
    </w:rPr>
  </w:style>
  <w:style w:type="paragraph" w:styleId="ListBullet">
    <w:name w:val="List Bullet"/>
    <w:basedOn w:val="BodyText"/>
    <w:link w:val="ListBulletChar"/>
    <w:qFormat/>
    <w:rsid w:val="000709D4"/>
    <w:pPr>
      <w:numPr>
        <w:numId w:val="5"/>
      </w:numPr>
      <w:tabs>
        <w:tab w:val="clear" w:pos="2268"/>
        <w:tab w:val="clear" w:pos="4536"/>
        <w:tab w:val="clear" w:pos="6804"/>
        <w:tab w:val="clear" w:pos="9638"/>
      </w:tabs>
      <w:spacing w:before="120"/>
    </w:pPr>
  </w:style>
  <w:style w:type="paragraph" w:styleId="ListBullet2">
    <w:name w:val="List Bullet 2"/>
    <w:basedOn w:val="ListBullet"/>
    <w:rsid w:val="000709D4"/>
    <w:pPr>
      <w:numPr>
        <w:ilvl w:val="1"/>
        <w:numId w:val="0"/>
      </w:numPr>
    </w:pPr>
  </w:style>
  <w:style w:type="paragraph" w:styleId="ListBullet3">
    <w:name w:val="List Bullet 3"/>
    <w:basedOn w:val="ListBullet2"/>
    <w:rsid w:val="000709D4"/>
    <w:pPr>
      <w:numPr>
        <w:ilvl w:val="2"/>
      </w:numPr>
    </w:pPr>
  </w:style>
  <w:style w:type="paragraph" w:styleId="ListContinue">
    <w:name w:val="List Continue"/>
    <w:basedOn w:val="Normal"/>
    <w:rsid w:val="00C93C07"/>
    <w:pPr>
      <w:spacing w:before="120" w:after="120"/>
      <w:ind w:left="357"/>
    </w:pPr>
    <w:rPr>
      <w:rFonts w:eastAsiaTheme="minorEastAsia"/>
    </w:rPr>
  </w:style>
  <w:style w:type="paragraph" w:styleId="ListNumber">
    <w:name w:val="List Number"/>
    <w:basedOn w:val="BodyText"/>
    <w:unhideWhenUsed/>
    <w:qFormat/>
    <w:rsid w:val="00210064"/>
    <w:pPr>
      <w:numPr>
        <w:numId w:val="7"/>
      </w:numPr>
      <w:tabs>
        <w:tab w:val="clear" w:pos="2268"/>
        <w:tab w:val="clear" w:pos="4536"/>
        <w:tab w:val="clear" w:pos="6804"/>
        <w:tab w:val="clear" w:pos="9638"/>
      </w:tabs>
      <w:spacing w:before="120"/>
    </w:pPr>
  </w:style>
  <w:style w:type="paragraph" w:styleId="ListNumber2">
    <w:name w:val="List Number 2"/>
    <w:basedOn w:val="ListNumber"/>
    <w:unhideWhenUsed/>
    <w:rsid w:val="002E0889"/>
    <w:pPr>
      <w:numPr>
        <w:ilvl w:val="1"/>
      </w:numPr>
    </w:pPr>
  </w:style>
  <w:style w:type="paragraph" w:styleId="ListNumber3">
    <w:name w:val="List Number 3"/>
    <w:basedOn w:val="ListNumber2"/>
    <w:unhideWhenUsed/>
    <w:rsid w:val="00EF51E7"/>
    <w:pPr>
      <w:numPr>
        <w:ilvl w:val="2"/>
      </w:numPr>
    </w:pPr>
  </w:style>
  <w:style w:type="numbering" w:customStyle="1" w:styleId="MyListNumbering">
    <w:name w:val="MyListNumbering"/>
    <w:uiPriority w:val="99"/>
    <w:rsid w:val="00DD7311"/>
    <w:pPr>
      <w:numPr>
        <w:numId w:val="2"/>
      </w:numPr>
    </w:pPr>
  </w:style>
  <w:style w:type="character" w:styleId="PlaceholderText">
    <w:name w:val="Placeholder Text"/>
    <w:basedOn w:val="DefaultParagraphFont"/>
    <w:uiPriority w:val="99"/>
    <w:semiHidden/>
    <w:rsid w:val="00DD7311"/>
    <w:rPr>
      <w:color w:val="808080"/>
    </w:rPr>
  </w:style>
  <w:style w:type="paragraph" w:customStyle="1" w:styleId="TableBodyText">
    <w:name w:val="Table Body Text"/>
    <w:basedOn w:val="Normal"/>
    <w:qFormat/>
    <w:rsid w:val="00C93C07"/>
    <w:pPr>
      <w:spacing w:before="60" w:after="60"/>
      <w:ind w:left="85" w:right="85"/>
    </w:pPr>
    <w:rPr>
      <w:rFonts w:ascii="Book Antiqua" w:hAnsi="Book Antiqua" w:cs="Arial"/>
      <w:sz w:val="18"/>
    </w:rPr>
  </w:style>
  <w:style w:type="paragraph" w:styleId="ListContinue4">
    <w:name w:val="List Continue 4"/>
    <w:basedOn w:val="Normal"/>
    <w:semiHidden/>
    <w:unhideWhenUsed/>
    <w:rsid w:val="00C93C07"/>
    <w:pPr>
      <w:spacing w:before="120" w:after="120"/>
      <w:ind w:left="1429"/>
    </w:pPr>
  </w:style>
  <w:style w:type="table" w:styleId="TableGrid">
    <w:name w:val="Table Grid"/>
    <w:basedOn w:val="TableNormal"/>
    <w:uiPriority w:val="59"/>
    <w:rsid w:val="004B4486"/>
    <w:pPr>
      <w:spacing w:before="60" w:after="60"/>
      <w:ind w:left="85" w:right="85"/>
    </w:pPr>
    <w:rPr>
      <w:sz w:val="18"/>
    </w:rPr>
    <w:tblPr>
      <w:tblStyleRowBandSize w:val="1"/>
      <w:tblBorders>
        <w:top w:val="single" w:sz="4" w:space="0" w:color="auto"/>
        <w:bottom w:val="single" w:sz="4" w:space="0" w:color="auto"/>
        <w:insideH w:val="single" w:sz="4" w:space="0" w:color="auto"/>
        <w:insideV w:val="single" w:sz="4" w:space="0" w:color="auto"/>
      </w:tblBorders>
      <w:tblCellMar>
        <w:left w:w="0" w:type="dxa"/>
        <w:right w:w="0" w:type="dxa"/>
      </w:tblCellMar>
    </w:tblPr>
    <w:tblStylePr w:type="firstRow">
      <w:rPr>
        <w:b/>
        <w:color w:val="FFFFFF"/>
      </w:rPr>
      <w:tblPr/>
      <w:tcPr>
        <w:shd w:val="clear" w:color="auto" w:fill="214C90" w:themeFill="text2"/>
      </w:tcPr>
    </w:tblStylePr>
    <w:tblStylePr w:type="band2Horz">
      <w:tblPr/>
      <w:tcPr>
        <w:shd w:val="clear" w:color="auto" w:fill="E1E2E7" w:themeFill="background2"/>
      </w:tcPr>
    </w:tblStylePr>
  </w:style>
  <w:style w:type="paragraph" w:customStyle="1" w:styleId="TableHeading">
    <w:name w:val="Table Heading"/>
    <w:basedOn w:val="TableBodyText"/>
    <w:uiPriority w:val="99"/>
    <w:qFormat/>
    <w:rsid w:val="00C93C07"/>
    <w:rPr>
      <w:color w:val="FFFFFF"/>
    </w:rPr>
  </w:style>
  <w:style w:type="paragraph" w:customStyle="1" w:styleId="TableBullet1">
    <w:name w:val="Table Bullet 1"/>
    <w:basedOn w:val="TableBodyText"/>
    <w:qFormat/>
    <w:rsid w:val="00C93C07"/>
    <w:pPr>
      <w:numPr>
        <w:numId w:val="8"/>
      </w:numPr>
    </w:pPr>
  </w:style>
  <w:style w:type="paragraph" w:customStyle="1" w:styleId="TableBullet2">
    <w:name w:val="Table Bullet 2"/>
    <w:basedOn w:val="TableBullet1"/>
    <w:qFormat/>
    <w:rsid w:val="00C93C07"/>
    <w:pPr>
      <w:numPr>
        <w:ilvl w:val="1"/>
      </w:numPr>
    </w:pPr>
  </w:style>
  <w:style w:type="paragraph" w:customStyle="1" w:styleId="TableBullet3">
    <w:name w:val="Table Bullet 3"/>
    <w:basedOn w:val="TableBullet2"/>
    <w:qFormat/>
    <w:rsid w:val="00C93C07"/>
    <w:pPr>
      <w:numPr>
        <w:ilvl w:val="2"/>
      </w:numPr>
    </w:pPr>
  </w:style>
  <w:style w:type="paragraph" w:customStyle="1" w:styleId="TableListNumber">
    <w:name w:val="Table List Number"/>
    <w:basedOn w:val="TableBodyText"/>
    <w:qFormat/>
    <w:rsid w:val="00C93C07"/>
    <w:pPr>
      <w:numPr>
        <w:numId w:val="9"/>
      </w:numPr>
    </w:pPr>
    <w:rPr>
      <w:rFonts w:eastAsiaTheme="minorEastAsia"/>
    </w:rPr>
  </w:style>
  <w:style w:type="paragraph" w:customStyle="1" w:styleId="TableListNumber2">
    <w:name w:val="Table List Number 2"/>
    <w:basedOn w:val="TableListNumber"/>
    <w:qFormat/>
    <w:rsid w:val="00C93C07"/>
    <w:pPr>
      <w:numPr>
        <w:ilvl w:val="1"/>
      </w:numPr>
    </w:pPr>
  </w:style>
  <w:style w:type="paragraph" w:customStyle="1" w:styleId="TableListNumber3">
    <w:name w:val="Table List Number 3"/>
    <w:basedOn w:val="TableListNumber2"/>
    <w:qFormat/>
    <w:rsid w:val="00C93C07"/>
    <w:pPr>
      <w:numPr>
        <w:ilvl w:val="2"/>
      </w:numPr>
    </w:pPr>
  </w:style>
  <w:style w:type="paragraph" w:styleId="TableofFigures">
    <w:name w:val="table of figures"/>
    <w:basedOn w:val="Normal"/>
    <w:next w:val="Normal"/>
    <w:uiPriority w:val="99"/>
    <w:rsid w:val="008A1045"/>
    <w:pPr>
      <w:tabs>
        <w:tab w:val="right" w:leader="dot" w:pos="9015"/>
      </w:tabs>
      <w:spacing w:before="120" w:after="60"/>
      <w:ind w:left="1134" w:right="737" w:hanging="1134"/>
    </w:pPr>
    <w:rPr>
      <w:rFonts w:eastAsiaTheme="minorHAnsi" w:cstheme="minorBidi"/>
      <w:lang w:eastAsia="fr-CA"/>
    </w:rPr>
  </w:style>
  <w:style w:type="paragraph" w:customStyle="1" w:styleId="Source">
    <w:name w:val="Source"/>
    <w:basedOn w:val="Normal"/>
    <w:next w:val="BodyText"/>
    <w:rsid w:val="00C93C07"/>
    <w:pPr>
      <w:spacing w:before="60" w:after="120" w:line="180" w:lineRule="atLeast"/>
    </w:pPr>
    <w:rPr>
      <w:rFonts w:ascii="Book Antiqua" w:hAnsi="Book Antiqua" w:cs="Arial"/>
      <w:sz w:val="18"/>
      <w:szCs w:val="18"/>
      <w:lang w:eastAsia="fr-CA"/>
    </w:rPr>
  </w:style>
  <w:style w:type="numbering" w:customStyle="1" w:styleId="TableBullets">
    <w:name w:val="TableBullets"/>
    <w:uiPriority w:val="99"/>
    <w:rsid w:val="00DD7311"/>
    <w:pPr>
      <w:numPr>
        <w:numId w:val="3"/>
      </w:numPr>
    </w:pPr>
  </w:style>
  <w:style w:type="numbering" w:customStyle="1" w:styleId="TableFootnotes">
    <w:name w:val="TableFootnotes"/>
    <w:uiPriority w:val="99"/>
    <w:rsid w:val="00DD7311"/>
    <w:pPr>
      <w:numPr>
        <w:numId w:val="4"/>
      </w:numPr>
    </w:pPr>
  </w:style>
  <w:style w:type="paragraph" w:styleId="Title">
    <w:name w:val="Title"/>
    <w:basedOn w:val="Normal"/>
    <w:next w:val="Normal"/>
    <w:link w:val="TitleChar"/>
    <w:qFormat/>
    <w:rsid w:val="00D32095"/>
    <w:pPr>
      <w:spacing w:before="120" w:after="360" w:line="700" w:lineRule="exact"/>
    </w:pPr>
    <w:rPr>
      <w:rFonts w:asciiTheme="majorHAnsi" w:eastAsiaTheme="minorEastAsia" w:hAnsiTheme="majorHAnsi"/>
      <w:color w:val="214C90" w:themeColor="text2"/>
      <w:sz w:val="48"/>
      <w:szCs w:val="48"/>
    </w:rPr>
  </w:style>
  <w:style w:type="character" w:customStyle="1" w:styleId="TitleChar">
    <w:name w:val="Title Char"/>
    <w:basedOn w:val="DefaultParagraphFont"/>
    <w:link w:val="Title"/>
    <w:rsid w:val="00D32095"/>
    <w:rPr>
      <w:rFonts w:asciiTheme="majorHAnsi" w:eastAsiaTheme="minorEastAsia" w:hAnsiTheme="majorHAnsi"/>
      <w:color w:val="214C90" w:themeColor="text2"/>
      <w:sz w:val="48"/>
      <w:szCs w:val="48"/>
    </w:rPr>
  </w:style>
  <w:style w:type="paragraph" w:styleId="Subtitle">
    <w:name w:val="Subtitle"/>
    <w:basedOn w:val="Title"/>
    <w:next w:val="Normal"/>
    <w:link w:val="SubtitleChar"/>
    <w:uiPriority w:val="1"/>
    <w:rsid w:val="005E304F"/>
    <w:pPr>
      <w:spacing w:before="0" w:after="720" w:line="320" w:lineRule="exact"/>
      <w:contextualSpacing/>
    </w:pPr>
    <w:rPr>
      <w:b/>
      <w:color w:val="5D89B4" w:themeColor="accent3"/>
      <w:spacing w:val="4"/>
      <w:sz w:val="30"/>
    </w:rPr>
  </w:style>
  <w:style w:type="paragraph" w:styleId="TOC1">
    <w:name w:val="toc 1"/>
    <w:basedOn w:val="Normal"/>
    <w:next w:val="Normal"/>
    <w:autoRedefine/>
    <w:uiPriority w:val="39"/>
    <w:rsid w:val="008A1045"/>
    <w:pPr>
      <w:tabs>
        <w:tab w:val="right" w:leader="dot" w:pos="9015"/>
      </w:tabs>
      <w:spacing w:before="240" w:after="60"/>
      <w:ind w:right="737"/>
    </w:pPr>
    <w:rPr>
      <w:rFonts w:eastAsiaTheme="minorHAnsi" w:cstheme="minorBidi"/>
      <w:b/>
      <w:noProof/>
      <w:lang w:eastAsia="en-US"/>
    </w:rPr>
  </w:style>
  <w:style w:type="paragraph" w:styleId="TOC2">
    <w:name w:val="toc 2"/>
    <w:basedOn w:val="Normal"/>
    <w:next w:val="Normal"/>
    <w:autoRedefine/>
    <w:uiPriority w:val="39"/>
    <w:rsid w:val="008A1045"/>
    <w:pPr>
      <w:tabs>
        <w:tab w:val="right" w:leader="dot" w:pos="9015"/>
      </w:tabs>
      <w:spacing w:before="120" w:after="60"/>
      <w:ind w:right="737"/>
    </w:pPr>
    <w:rPr>
      <w:rFonts w:eastAsiaTheme="minorHAnsi" w:cstheme="minorBidi"/>
      <w:noProof/>
      <w:lang w:eastAsia="fr-CA"/>
    </w:rPr>
  </w:style>
  <w:style w:type="paragraph" w:styleId="TOC3">
    <w:name w:val="toc 3"/>
    <w:basedOn w:val="Normal"/>
    <w:next w:val="Normal"/>
    <w:autoRedefine/>
    <w:uiPriority w:val="39"/>
    <w:rsid w:val="008A1045"/>
    <w:pPr>
      <w:tabs>
        <w:tab w:val="right" w:leader="dot" w:pos="9015"/>
      </w:tabs>
      <w:spacing w:before="120" w:after="60"/>
      <w:ind w:left="340" w:right="737"/>
    </w:pPr>
    <w:rPr>
      <w:rFonts w:eastAsiaTheme="minorHAnsi" w:cstheme="minorBidi"/>
      <w:noProof/>
      <w:szCs w:val="18"/>
      <w:lang w:eastAsia="fr-CA"/>
    </w:rPr>
  </w:style>
  <w:style w:type="character" w:customStyle="1" w:styleId="SubtitleChar">
    <w:name w:val="Subtitle Char"/>
    <w:basedOn w:val="DefaultParagraphFont"/>
    <w:link w:val="Subtitle"/>
    <w:uiPriority w:val="1"/>
    <w:rsid w:val="005E304F"/>
    <w:rPr>
      <w:rFonts w:eastAsiaTheme="minorEastAsia"/>
      <w:color w:val="5D89B4" w:themeColor="accent3"/>
      <w:spacing w:val="4"/>
      <w:sz w:val="30"/>
      <w:szCs w:val="48"/>
    </w:rPr>
  </w:style>
  <w:style w:type="paragraph" w:styleId="NormalWeb">
    <w:name w:val="Normal (Web)"/>
    <w:basedOn w:val="Normal"/>
    <w:uiPriority w:val="99"/>
    <w:semiHidden/>
    <w:rsid w:val="003255DA"/>
    <w:rPr>
      <w:szCs w:val="24"/>
    </w:rPr>
  </w:style>
  <w:style w:type="paragraph" w:styleId="ListContinue2">
    <w:name w:val="List Continue 2"/>
    <w:basedOn w:val="Normal"/>
    <w:rsid w:val="00C93C07"/>
    <w:pPr>
      <w:spacing w:before="120" w:after="120"/>
      <w:ind w:left="714"/>
    </w:pPr>
    <w:rPr>
      <w:rFonts w:eastAsiaTheme="minorEastAsia"/>
    </w:rPr>
  </w:style>
  <w:style w:type="paragraph" w:styleId="ListContinue3">
    <w:name w:val="List Continue 3"/>
    <w:basedOn w:val="Normal"/>
    <w:rsid w:val="00C93C07"/>
    <w:pPr>
      <w:spacing w:before="120" w:after="120"/>
      <w:ind w:left="1072"/>
    </w:pPr>
    <w:rPr>
      <w:rFonts w:eastAsiaTheme="minorEastAsia"/>
    </w:rPr>
  </w:style>
  <w:style w:type="paragraph" w:styleId="NoSpacing">
    <w:name w:val="No Spacing"/>
    <w:next w:val="BodyText"/>
    <w:rsid w:val="00B85B75"/>
    <w:pPr>
      <w:spacing w:line="240" w:lineRule="auto"/>
    </w:pPr>
  </w:style>
  <w:style w:type="paragraph" w:styleId="ListContinue5">
    <w:name w:val="List Continue 5"/>
    <w:basedOn w:val="Normal"/>
    <w:semiHidden/>
    <w:unhideWhenUsed/>
    <w:rsid w:val="00C93C07"/>
    <w:pPr>
      <w:spacing w:before="120" w:after="120"/>
      <w:ind w:left="1786"/>
    </w:pPr>
  </w:style>
  <w:style w:type="paragraph" w:customStyle="1" w:styleId="TableofFiguresHeading">
    <w:name w:val="Table of Figures Heading"/>
    <w:basedOn w:val="Normal"/>
    <w:rsid w:val="008A1045"/>
    <w:pPr>
      <w:spacing w:before="120" w:after="120"/>
      <w:outlineLvl w:val="3"/>
    </w:pPr>
    <w:rPr>
      <w:b/>
      <w:bCs/>
      <w:color w:val="214C90" w:themeColor="text2"/>
    </w:rPr>
  </w:style>
  <w:style w:type="paragraph" w:customStyle="1" w:styleId="SideNote">
    <w:name w:val="Side Note"/>
    <w:basedOn w:val="BodyText"/>
    <w:qFormat/>
    <w:rsid w:val="00C93C07"/>
    <w:pPr>
      <w:framePr w:w="794" w:h="397" w:wrap="around" w:vAnchor="text" w:hAnchor="page" w:x="285" w:y="143"/>
      <w:spacing w:before="0" w:line="247" w:lineRule="auto"/>
    </w:pPr>
    <w:rPr>
      <w:i/>
      <w:sz w:val="20"/>
    </w:rPr>
  </w:style>
  <w:style w:type="paragraph" w:customStyle="1" w:styleId="Address">
    <w:name w:val="Address"/>
    <w:basedOn w:val="Normal"/>
    <w:rsid w:val="00D43B4B"/>
    <w:pPr>
      <w:tabs>
        <w:tab w:val="left" w:pos="2722"/>
      </w:tabs>
      <w:spacing w:before="480" w:after="120" w:line="170" w:lineRule="exact"/>
      <w:contextualSpacing/>
      <w:jc w:val="center"/>
    </w:pPr>
    <w:rPr>
      <w:rFonts w:asciiTheme="majorHAnsi" w:hAnsiTheme="majorHAnsi"/>
      <w:noProof/>
      <w:color w:val="32343F" w:themeColor="background2" w:themeShade="40"/>
      <w:sz w:val="16"/>
    </w:rPr>
  </w:style>
  <w:style w:type="character" w:customStyle="1" w:styleId="Heading5Char">
    <w:name w:val="Heading 5 Char"/>
    <w:basedOn w:val="DefaultParagraphFont"/>
    <w:link w:val="Heading5"/>
    <w:semiHidden/>
    <w:rsid w:val="00BD348A"/>
    <w:rPr>
      <w:rFonts w:asciiTheme="majorHAnsi" w:eastAsiaTheme="majorEastAsia" w:hAnsiTheme="majorHAnsi" w:cstheme="majorBidi"/>
      <w:i/>
      <w:color w:val="214C90" w:themeColor="text2"/>
    </w:rPr>
  </w:style>
  <w:style w:type="character" w:customStyle="1" w:styleId="Heading6Char">
    <w:name w:val="Heading 6 Char"/>
    <w:basedOn w:val="DefaultParagraphFont"/>
    <w:link w:val="Heading6"/>
    <w:semiHidden/>
    <w:rsid w:val="00BD348A"/>
    <w:rPr>
      <w:rFonts w:asciiTheme="majorHAnsi" w:eastAsiaTheme="majorEastAsia" w:hAnsiTheme="majorHAnsi" w:cstheme="majorBidi"/>
      <w:b/>
      <w:iCs/>
      <w:color w:val="214C90" w:themeColor="text2"/>
      <w:lang w:eastAsia="en-US"/>
    </w:rPr>
  </w:style>
  <w:style w:type="paragraph" w:styleId="Revision">
    <w:name w:val="Revision"/>
    <w:hidden/>
    <w:uiPriority w:val="99"/>
    <w:semiHidden/>
    <w:rsid w:val="009E7348"/>
    <w:rPr>
      <w:rFonts w:ascii="Calibri" w:eastAsia="Calibri" w:hAnsi="Calibri"/>
      <w:lang w:eastAsia="en-US"/>
    </w:rPr>
  </w:style>
  <w:style w:type="paragraph" w:customStyle="1" w:styleId="TableBodyTextBold">
    <w:name w:val="Table Body Text Bold"/>
    <w:basedOn w:val="TableBodyText"/>
    <w:rsid w:val="00C93C07"/>
    <w:rPr>
      <w:b/>
    </w:rPr>
  </w:style>
  <w:style w:type="table" w:customStyle="1" w:styleId="TablePlaceholder">
    <w:name w:val="Table Placeholder"/>
    <w:basedOn w:val="TableNormal"/>
    <w:uiPriority w:val="99"/>
    <w:rsid w:val="00480149"/>
    <w:pPr>
      <w:spacing w:line="240" w:lineRule="auto"/>
    </w:pPr>
    <w:tblPr>
      <w:tblCellMar>
        <w:left w:w="45" w:type="dxa"/>
        <w:right w:w="45" w:type="dxa"/>
      </w:tblCellMar>
    </w:tblPr>
  </w:style>
  <w:style w:type="paragraph" w:styleId="Quote">
    <w:name w:val="Quote"/>
    <w:basedOn w:val="Normal"/>
    <w:next w:val="Normal"/>
    <w:link w:val="QuoteChar"/>
    <w:rsid w:val="002778AD"/>
    <w:pPr>
      <w:spacing w:before="200" w:after="160"/>
      <w:ind w:left="357" w:right="357"/>
    </w:pPr>
    <w:rPr>
      <w:i/>
      <w:iCs/>
      <w:sz w:val="20"/>
    </w:rPr>
  </w:style>
  <w:style w:type="character" w:customStyle="1" w:styleId="QuoteChar">
    <w:name w:val="Quote Char"/>
    <w:basedOn w:val="DefaultParagraphFont"/>
    <w:link w:val="Quote"/>
    <w:rsid w:val="002778AD"/>
    <w:rPr>
      <w:i/>
      <w:iCs/>
      <w:sz w:val="20"/>
    </w:rPr>
  </w:style>
  <w:style w:type="paragraph" w:customStyle="1" w:styleId="PullOutBoxBodyText">
    <w:name w:val="Pull Out Box Body Text"/>
    <w:basedOn w:val="Normal"/>
    <w:rsid w:val="00A67EB1"/>
    <w:pPr>
      <w:spacing w:before="120"/>
    </w:pPr>
    <w:rPr>
      <w:rFonts w:eastAsiaTheme="minorEastAsia" w:cstheme="minorBidi"/>
      <w:lang w:eastAsia="fr-CA"/>
    </w:rPr>
  </w:style>
  <w:style w:type="paragraph" w:customStyle="1" w:styleId="PullOutBoxHeading">
    <w:name w:val="Pull Out Box Heading"/>
    <w:basedOn w:val="Normal"/>
    <w:next w:val="PullOutBoxBodyText"/>
    <w:rsid w:val="00A67EB1"/>
    <w:pPr>
      <w:spacing w:before="120"/>
    </w:pPr>
    <w:rPr>
      <w:rFonts w:eastAsiaTheme="minorHAnsi" w:cstheme="minorBidi"/>
      <w:b/>
      <w:color w:val="214C90" w:themeColor="text2"/>
      <w:szCs w:val="24"/>
      <w:lang w:eastAsia="fr-CA"/>
    </w:rPr>
  </w:style>
  <w:style w:type="table" w:customStyle="1" w:styleId="PullOutBoxTable">
    <w:name w:val="Pull Out Box Table"/>
    <w:basedOn w:val="TableNormal"/>
    <w:uiPriority w:val="99"/>
    <w:rsid w:val="004B3F0E"/>
    <w:pPr>
      <w:spacing w:line="240" w:lineRule="auto"/>
    </w:pPr>
    <w:tblPr>
      <w:tblCellMar>
        <w:top w:w="142" w:type="dxa"/>
        <w:left w:w="170" w:type="dxa"/>
        <w:bottom w:w="142" w:type="dxa"/>
        <w:right w:w="170" w:type="dxa"/>
      </w:tblCellMar>
    </w:tblPr>
    <w:tcPr>
      <w:shd w:val="clear" w:color="auto" w:fill="E1E2E7" w:themeFill="background2"/>
    </w:tcPr>
  </w:style>
  <w:style w:type="character" w:customStyle="1" w:styleId="Bold">
    <w:name w:val="Bold"/>
    <w:uiPriority w:val="99"/>
    <w:semiHidden/>
    <w:rsid w:val="00446E25"/>
    <w:rPr>
      <w:rFonts w:eastAsiaTheme="minorEastAsia"/>
      <w:b/>
      <w:i w:val="0"/>
      <w:strike w:val="0"/>
      <w:vertAlign w:val="baseline"/>
    </w:rPr>
  </w:style>
  <w:style w:type="character" w:customStyle="1" w:styleId="BoldAndItalics">
    <w:name w:val="Bold And Italics"/>
    <w:uiPriority w:val="99"/>
    <w:semiHidden/>
    <w:rsid w:val="00446E25"/>
    <w:rPr>
      <w:rFonts w:eastAsiaTheme="minorEastAsia"/>
      <w:b/>
      <w:i/>
      <w:strike w:val="0"/>
      <w:vertAlign w:val="baseline"/>
    </w:rPr>
  </w:style>
  <w:style w:type="paragraph" w:customStyle="1" w:styleId="TableHeadingBold">
    <w:name w:val="Table Heading Bold"/>
    <w:basedOn w:val="TableHeading"/>
    <w:rsid w:val="00C93C07"/>
    <w:rPr>
      <w:b/>
    </w:rPr>
  </w:style>
  <w:style w:type="paragraph" w:customStyle="1" w:styleId="AppendixHeading4">
    <w:name w:val="Appendix Heading 4"/>
    <w:basedOn w:val="Normal"/>
    <w:next w:val="BodyText"/>
    <w:uiPriority w:val="4"/>
    <w:rsid w:val="007E6584"/>
    <w:pPr>
      <w:keepNext/>
      <w:numPr>
        <w:ilvl w:val="3"/>
        <w:numId w:val="10"/>
      </w:numPr>
      <w:spacing w:before="360" w:after="240"/>
    </w:pPr>
    <w:rPr>
      <w:rFonts w:asciiTheme="majorHAnsi" w:eastAsiaTheme="minorEastAsia" w:hAnsiTheme="majorHAnsi"/>
      <w:b/>
      <w:i/>
      <w:color w:val="214C90" w:themeColor="text2"/>
      <w:lang w:eastAsia="en-US"/>
    </w:rPr>
  </w:style>
  <w:style w:type="paragraph" w:customStyle="1" w:styleId="xPageNumberHeading">
    <w:name w:val="xPage Number Heading"/>
    <w:basedOn w:val="Normal"/>
    <w:next w:val="BodyText"/>
    <w:rsid w:val="002778AD"/>
    <w:pPr>
      <w:keepNext/>
      <w:keepLines/>
      <w:tabs>
        <w:tab w:val="right" w:pos="9639"/>
      </w:tabs>
      <w:spacing w:after="360"/>
      <w:jc w:val="right"/>
    </w:pPr>
    <w:rPr>
      <w:lang w:eastAsia="en-US"/>
    </w:rPr>
  </w:style>
  <w:style w:type="paragraph" w:customStyle="1" w:styleId="Notes">
    <w:name w:val="Notes"/>
    <w:basedOn w:val="Normal"/>
    <w:rsid w:val="00A67EB1"/>
    <w:pPr>
      <w:spacing w:before="120" w:after="120"/>
    </w:pPr>
    <w:rPr>
      <w:rFonts w:ascii="Book Antiqua" w:hAnsi="Book Antiqua" w:cs="Arial"/>
      <w:sz w:val="18"/>
    </w:rPr>
  </w:style>
  <w:style w:type="paragraph" w:styleId="Date">
    <w:name w:val="Date"/>
    <w:basedOn w:val="Normal"/>
    <w:next w:val="Normal"/>
    <w:link w:val="DateChar"/>
    <w:rsid w:val="003E578E"/>
    <w:pPr>
      <w:spacing w:before="600" w:after="600"/>
    </w:pPr>
    <w:rPr>
      <w:rFonts w:eastAsiaTheme="minorEastAsia"/>
    </w:rPr>
  </w:style>
  <w:style w:type="character" w:customStyle="1" w:styleId="DateChar">
    <w:name w:val="Date Char"/>
    <w:basedOn w:val="DefaultParagraphFont"/>
    <w:link w:val="Date"/>
    <w:rsid w:val="003E578E"/>
    <w:rPr>
      <w:rFonts w:eastAsiaTheme="minorEastAsia"/>
    </w:rPr>
  </w:style>
  <w:style w:type="paragraph" w:customStyle="1" w:styleId="NotesNumbered">
    <w:name w:val="Notes Numbered"/>
    <w:basedOn w:val="Normal"/>
    <w:qFormat/>
    <w:rsid w:val="00323279"/>
    <w:pPr>
      <w:numPr>
        <w:numId w:val="6"/>
      </w:numPr>
      <w:spacing w:before="120" w:after="240" w:line="240" w:lineRule="auto"/>
      <w:contextualSpacing/>
    </w:pPr>
    <w:rPr>
      <w:rFonts w:ascii="Book Antiqua" w:hAnsi="Book Antiqua"/>
      <w:sz w:val="18"/>
      <w:szCs w:val="20"/>
      <w:lang w:eastAsia="fr-CA"/>
    </w:rPr>
  </w:style>
  <w:style w:type="paragraph" w:styleId="FootnoteText">
    <w:name w:val="footnote text"/>
    <w:aliases w:val="BG Footnote Text,TBG Style,ALTS FOOTNOTE,(NECG) Footnote Text,Footnote text,AR Footnote Text,AR Footnote Text Char Char Char Char Char,ALTS FOOTNOTE Char1,Footnote Text Char1 Char,Footnote Text Char Char Char,fn,Footnote Text1,f"/>
    <w:basedOn w:val="Normal"/>
    <w:link w:val="FootnoteTextChar"/>
    <w:qFormat/>
    <w:rsid w:val="00F660E3"/>
    <w:pPr>
      <w:spacing w:before="120" w:after="120" w:line="240" w:lineRule="auto"/>
      <w:ind w:left="357" w:hanging="357"/>
    </w:pPr>
    <w:rPr>
      <w:sz w:val="18"/>
      <w:szCs w:val="20"/>
    </w:rPr>
  </w:style>
  <w:style w:type="character" w:customStyle="1" w:styleId="FootnoteTextChar">
    <w:name w:val="Footnote Text Char"/>
    <w:aliases w:val="BG Footnote Text Char,TBG Style Char,ALTS FOOTNOTE Char,(NECG) Footnote Text Char,Footnote text Char,AR Footnote Text Char,AR Footnote Text Char Char Char Char Char Char,ALTS FOOTNOTE Char1 Char,Footnote Text Char1 Char Char,fn Char"/>
    <w:basedOn w:val="DefaultParagraphFont"/>
    <w:link w:val="FootnoteText"/>
    <w:rsid w:val="00F660E3"/>
    <w:rPr>
      <w:sz w:val="18"/>
      <w:szCs w:val="20"/>
    </w:rPr>
  </w:style>
  <w:style w:type="character" w:styleId="FootnoteReference">
    <w:name w:val="footnote reference"/>
    <w:aliases w:val="(NECG) Footnote Reference,fr,o,Style 6 + 12 pt,(NECG) Footnote Reference1,(NECG) Footnote Reference2,(NECG) Footnote Reference3,(NECG) Footnote Reference4,(NECG) Footnote Reference5,(NECG) Footnote Reference6"/>
    <w:basedOn w:val="DefaultParagraphFont"/>
    <w:unhideWhenUsed/>
    <w:rsid w:val="00A176B6"/>
    <w:rPr>
      <w:vertAlign w:val="superscript"/>
    </w:rPr>
  </w:style>
  <w:style w:type="paragraph" w:styleId="ListNumber4">
    <w:name w:val="List Number 4"/>
    <w:basedOn w:val="Normal"/>
    <w:unhideWhenUsed/>
    <w:rsid w:val="00A176B6"/>
    <w:pPr>
      <w:numPr>
        <w:ilvl w:val="3"/>
        <w:numId w:val="7"/>
      </w:numPr>
      <w:contextualSpacing/>
    </w:pPr>
  </w:style>
  <w:style w:type="paragraph" w:styleId="ListNumber5">
    <w:name w:val="List Number 5"/>
    <w:basedOn w:val="Normal"/>
    <w:unhideWhenUsed/>
    <w:rsid w:val="00A176B6"/>
    <w:pPr>
      <w:numPr>
        <w:ilvl w:val="4"/>
        <w:numId w:val="7"/>
      </w:numPr>
      <w:contextualSpacing/>
    </w:pPr>
  </w:style>
  <w:style w:type="paragraph" w:styleId="ListBullet4">
    <w:name w:val="List Bullet 4"/>
    <w:basedOn w:val="Normal"/>
    <w:unhideWhenUsed/>
    <w:rsid w:val="001122BF"/>
    <w:pPr>
      <w:numPr>
        <w:ilvl w:val="3"/>
        <w:numId w:val="5"/>
      </w:numPr>
      <w:spacing w:before="120" w:after="120"/>
    </w:pPr>
  </w:style>
  <w:style w:type="paragraph" w:styleId="ListBullet5">
    <w:name w:val="List Bullet 5"/>
    <w:basedOn w:val="Normal"/>
    <w:unhideWhenUsed/>
    <w:rsid w:val="001122BF"/>
    <w:pPr>
      <w:numPr>
        <w:ilvl w:val="4"/>
        <w:numId w:val="5"/>
      </w:numPr>
      <w:contextualSpacing/>
    </w:pPr>
  </w:style>
  <w:style w:type="paragraph" w:customStyle="1" w:styleId="PageNumberinFrame">
    <w:name w:val="Page Number in Frame"/>
    <w:basedOn w:val="Normal"/>
    <w:uiPriority w:val="99"/>
    <w:qFormat/>
    <w:rsid w:val="00A13A74"/>
    <w:pPr>
      <w:framePr w:w="1701" w:h="1701" w:hRule="exact" w:wrap="around" w:vAnchor="text" w:hAnchor="margin" w:xAlign="right" w:y="1"/>
      <w:jc w:val="center"/>
    </w:pPr>
    <w:rPr>
      <w:sz w:val="18"/>
    </w:rPr>
  </w:style>
  <w:style w:type="paragraph" w:customStyle="1" w:styleId="BodyTextSmall">
    <w:name w:val="Body Text Small"/>
    <w:basedOn w:val="Normal"/>
    <w:qFormat/>
    <w:rsid w:val="00A67EB1"/>
    <w:pPr>
      <w:spacing w:before="240" w:after="120"/>
    </w:pPr>
    <w:rPr>
      <w:sz w:val="18"/>
    </w:rPr>
  </w:style>
  <w:style w:type="paragraph" w:styleId="TOC4">
    <w:name w:val="toc 4"/>
    <w:basedOn w:val="Normal"/>
    <w:next w:val="Normal"/>
    <w:autoRedefine/>
    <w:uiPriority w:val="39"/>
    <w:unhideWhenUsed/>
    <w:rsid w:val="00975B1E"/>
    <w:pPr>
      <w:tabs>
        <w:tab w:val="right" w:leader="dot" w:pos="8165"/>
      </w:tabs>
      <w:spacing w:before="120" w:after="60"/>
      <w:ind w:right="737"/>
    </w:pPr>
  </w:style>
  <w:style w:type="paragraph" w:styleId="TOC5">
    <w:name w:val="toc 5"/>
    <w:basedOn w:val="Normal"/>
    <w:next w:val="Normal"/>
    <w:autoRedefine/>
    <w:uiPriority w:val="39"/>
    <w:semiHidden/>
    <w:unhideWhenUsed/>
    <w:rsid w:val="008A1045"/>
    <w:pPr>
      <w:tabs>
        <w:tab w:val="right" w:leader="dot" w:pos="9015"/>
      </w:tabs>
      <w:spacing w:before="120" w:after="80"/>
    </w:pPr>
  </w:style>
  <w:style w:type="character" w:styleId="CommentReference">
    <w:name w:val="annotation reference"/>
    <w:basedOn w:val="DefaultParagraphFont"/>
    <w:semiHidden/>
    <w:unhideWhenUsed/>
    <w:rsid w:val="00E356FC"/>
    <w:rPr>
      <w:sz w:val="16"/>
      <w:szCs w:val="16"/>
    </w:rPr>
  </w:style>
  <w:style w:type="paragraph" w:styleId="CommentText">
    <w:name w:val="annotation text"/>
    <w:basedOn w:val="Normal"/>
    <w:link w:val="CommentTextChar"/>
    <w:unhideWhenUsed/>
    <w:rsid w:val="00E356FC"/>
    <w:pPr>
      <w:spacing w:line="240" w:lineRule="auto"/>
    </w:pPr>
    <w:rPr>
      <w:sz w:val="20"/>
      <w:szCs w:val="20"/>
    </w:rPr>
  </w:style>
  <w:style w:type="character" w:customStyle="1" w:styleId="CommentTextChar">
    <w:name w:val="Comment Text Char"/>
    <w:basedOn w:val="DefaultParagraphFont"/>
    <w:link w:val="CommentText"/>
    <w:rsid w:val="00E356FC"/>
    <w:rPr>
      <w:sz w:val="20"/>
      <w:szCs w:val="20"/>
    </w:rPr>
  </w:style>
  <w:style w:type="paragraph" w:styleId="CommentSubject">
    <w:name w:val="annotation subject"/>
    <w:basedOn w:val="CommentText"/>
    <w:next w:val="CommentText"/>
    <w:link w:val="CommentSubjectChar"/>
    <w:uiPriority w:val="99"/>
    <w:semiHidden/>
    <w:unhideWhenUsed/>
    <w:rsid w:val="00E356FC"/>
    <w:rPr>
      <w:b/>
      <w:bCs/>
    </w:rPr>
  </w:style>
  <w:style w:type="character" w:customStyle="1" w:styleId="CommentSubjectChar">
    <w:name w:val="Comment Subject Char"/>
    <w:basedOn w:val="CommentTextChar"/>
    <w:link w:val="CommentSubject"/>
    <w:uiPriority w:val="99"/>
    <w:semiHidden/>
    <w:rsid w:val="00E356FC"/>
    <w:rPr>
      <w:b/>
      <w:bCs/>
      <w:sz w:val="20"/>
      <w:szCs w:val="20"/>
    </w:rPr>
  </w:style>
  <w:style w:type="table" w:customStyle="1" w:styleId="TableGridLight1">
    <w:name w:val="Table Grid Light1"/>
    <w:basedOn w:val="TableNormal"/>
    <w:uiPriority w:val="40"/>
    <w:rsid w:val="005A03F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phy">
    <w:name w:val="Bibliography"/>
    <w:basedOn w:val="Normal"/>
    <w:next w:val="Normal"/>
    <w:uiPriority w:val="37"/>
    <w:semiHidden/>
    <w:unhideWhenUsed/>
    <w:rsid w:val="006D2456"/>
  </w:style>
  <w:style w:type="paragraph" w:styleId="BodyText2">
    <w:name w:val="Body Text 2"/>
    <w:basedOn w:val="Normal"/>
    <w:link w:val="BodyText2Char"/>
    <w:semiHidden/>
    <w:unhideWhenUsed/>
    <w:rsid w:val="006D2456"/>
    <w:pPr>
      <w:spacing w:after="120" w:line="480" w:lineRule="auto"/>
    </w:pPr>
  </w:style>
  <w:style w:type="character" w:customStyle="1" w:styleId="BodyText2Char">
    <w:name w:val="Body Text 2 Char"/>
    <w:basedOn w:val="DefaultParagraphFont"/>
    <w:link w:val="BodyText2"/>
    <w:semiHidden/>
    <w:rsid w:val="006D2456"/>
  </w:style>
  <w:style w:type="paragraph" w:styleId="BodyText3">
    <w:name w:val="Body Text 3"/>
    <w:basedOn w:val="Normal"/>
    <w:link w:val="BodyText3Char"/>
    <w:semiHidden/>
    <w:unhideWhenUsed/>
    <w:rsid w:val="006D2456"/>
    <w:pPr>
      <w:spacing w:after="120"/>
    </w:pPr>
    <w:rPr>
      <w:sz w:val="16"/>
      <w:szCs w:val="16"/>
    </w:rPr>
  </w:style>
  <w:style w:type="character" w:customStyle="1" w:styleId="BodyText3Char">
    <w:name w:val="Body Text 3 Char"/>
    <w:basedOn w:val="DefaultParagraphFont"/>
    <w:link w:val="BodyText3"/>
    <w:semiHidden/>
    <w:rsid w:val="006D2456"/>
    <w:rPr>
      <w:sz w:val="16"/>
      <w:szCs w:val="16"/>
    </w:rPr>
  </w:style>
  <w:style w:type="paragraph" w:styleId="BodyTextFirstIndent">
    <w:name w:val="Body Text First Indent"/>
    <w:basedOn w:val="BodyText"/>
    <w:link w:val="BodyTextFirstIndentChar"/>
    <w:rsid w:val="006D2456"/>
    <w:pPr>
      <w:tabs>
        <w:tab w:val="clear" w:pos="2268"/>
        <w:tab w:val="clear" w:pos="4536"/>
        <w:tab w:val="clear" w:pos="6804"/>
        <w:tab w:val="clear" w:pos="9638"/>
      </w:tabs>
      <w:spacing w:before="0" w:after="0"/>
      <w:ind w:firstLine="360"/>
    </w:pPr>
  </w:style>
  <w:style w:type="character" w:customStyle="1" w:styleId="BodyTextFirstIndentChar">
    <w:name w:val="Body Text First Indent Char"/>
    <w:basedOn w:val="BodyTextChar"/>
    <w:link w:val="BodyTextFirstIndent"/>
    <w:rsid w:val="006D2456"/>
    <w:rPr>
      <w:rFonts w:ascii="Arial" w:hAnsi="Arial"/>
    </w:rPr>
  </w:style>
  <w:style w:type="paragraph" w:styleId="BodyTextIndent">
    <w:name w:val="Body Text Indent"/>
    <w:basedOn w:val="Normal"/>
    <w:link w:val="BodyTextIndentChar"/>
    <w:semiHidden/>
    <w:unhideWhenUsed/>
    <w:rsid w:val="006D2456"/>
    <w:pPr>
      <w:spacing w:after="120"/>
      <w:ind w:left="283"/>
    </w:pPr>
  </w:style>
  <w:style w:type="character" w:customStyle="1" w:styleId="BodyTextIndentChar">
    <w:name w:val="Body Text Indent Char"/>
    <w:basedOn w:val="DefaultParagraphFont"/>
    <w:link w:val="BodyTextIndent"/>
    <w:semiHidden/>
    <w:rsid w:val="006D2456"/>
  </w:style>
  <w:style w:type="paragraph" w:styleId="BodyTextFirstIndent2">
    <w:name w:val="Body Text First Indent 2"/>
    <w:basedOn w:val="BodyTextIndent"/>
    <w:link w:val="BodyTextFirstIndent2Char"/>
    <w:semiHidden/>
    <w:unhideWhenUsed/>
    <w:rsid w:val="006D2456"/>
    <w:pPr>
      <w:spacing w:after="0"/>
      <w:ind w:left="360" w:firstLine="360"/>
    </w:pPr>
  </w:style>
  <w:style w:type="character" w:customStyle="1" w:styleId="BodyTextFirstIndent2Char">
    <w:name w:val="Body Text First Indent 2 Char"/>
    <w:basedOn w:val="BodyTextIndentChar"/>
    <w:link w:val="BodyTextFirstIndent2"/>
    <w:semiHidden/>
    <w:rsid w:val="006D2456"/>
  </w:style>
  <w:style w:type="paragraph" w:styleId="BodyTextIndent2">
    <w:name w:val="Body Text Indent 2"/>
    <w:basedOn w:val="Normal"/>
    <w:link w:val="BodyTextIndent2Char"/>
    <w:semiHidden/>
    <w:unhideWhenUsed/>
    <w:rsid w:val="006D2456"/>
    <w:pPr>
      <w:spacing w:after="120" w:line="480" w:lineRule="auto"/>
      <w:ind w:left="283"/>
    </w:pPr>
  </w:style>
  <w:style w:type="character" w:customStyle="1" w:styleId="BodyTextIndent2Char">
    <w:name w:val="Body Text Indent 2 Char"/>
    <w:basedOn w:val="DefaultParagraphFont"/>
    <w:link w:val="BodyTextIndent2"/>
    <w:semiHidden/>
    <w:rsid w:val="006D2456"/>
  </w:style>
  <w:style w:type="paragraph" w:styleId="BodyTextIndent3">
    <w:name w:val="Body Text Indent 3"/>
    <w:basedOn w:val="Normal"/>
    <w:link w:val="BodyTextIndent3Char"/>
    <w:semiHidden/>
    <w:unhideWhenUsed/>
    <w:rsid w:val="006D2456"/>
    <w:pPr>
      <w:spacing w:after="120"/>
      <w:ind w:left="283"/>
    </w:pPr>
    <w:rPr>
      <w:sz w:val="16"/>
      <w:szCs w:val="16"/>
    </w:rPr>
  </w:style>
  <w:style w:type="character" w:customStyle="1" w:styleId="BodyTextIndent3Char">
    <w:name w:val="Body Text Indent 3 Char"/>
    <w:basedOn w:val="DefaultParagraphFont"/>
    <w:link w:val="BodyTextIndent3"/>
    <w:semiHidden/>
    <w:rsid w:val="006D2456"/>
    <w:rPr>
      <w:sz w:val="16"/>
      <w:szCs w:val="16"/>
    </w:rPr>
  </w:style>
  <w:style w:type="paragraph" w:styleId="Closing">
    <w:name w:val="Closing"/>
    <w:basedOn w:val="Normal"/>
    <w:link w:val="ClosingChar"/>
    <w:semiHidden/>
    <w:unhideWhenUsed/>
    <w:rsid w:val="006D2456"/>
    <w:pPr>
      <w:spacing w:line="240" w:lineRule="auto"/>
      <w:ind w:left="4252"/>
    </w:pPr>
  </w:style>
  <w:style w:type="character" w:customStyle="1" w:styleId="ClosingChar">
    <w:name w:val="Closing Char"/>
    <w:basedOn w:val="DefaultParagraphFont"/>
    <w:link w:val="Closing"/>
    <w:semiHidden/>
    <w:rsid w:val="006D2456"/>
  </w:style>
  <w:style w:type="paragraph" w:styleId="DocumentMap">
    <w:name w:val="Document Map"/>
    <w:basedOn w:val="Normal"/>
    <w:link w:val="DocumentMapChar"/>
    <w:semiHidden/>
    <w:unhideWhenUsed/>
    <w:rsid w:val="006D2456"/>
    <w:pPr>
      <w:spacing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6D2456"/>
    <w:rPr>
      <w:rFonts w:ascii="Segoe UI" w:hAnsi="Segoe UI" w:cs="Segoe UI"/>
      <w:sz w:val="16"/>
      <w:szCs w:val="16"/>
    </w:rPr>
  </w:style>
  <w:style w:type="paragraph" w:styleId="E-mailSignature">
    <w:name w:val="E-mail Signature"/>
    <w:basedOn w:val="Normal"/>
    <w:link w:val="E-mailSignatureChar"/>
    <w:semiHidden/>
    <w:unhideWhenUsed/>
    <w:rsid w:val="006D2456"/>
    <w:pPr>
      <w:spacing w:line="240" w:lineRule="auto"/>
    </w:pPr>
  </w:style>
  <w:style w:type="character" w:customStyle="1" w:styleId="E-mailSignatureChar">
    <w:name w:val="E-mail Signature Char"/>
    <w:basedOn w:val="DefaultParagraphFont"/>
    <w:link w:val="E-mailSignature"/>
    <w:semiHidden/>
    <w:rsid w:val="006D2456"/>
  </w:style>
  <w:style w:type="paragraph" w:styleId="EndnoteText">
    <w:name w:val="endnote text"/>
    <w:basedOn w:val="Normal"/>
    <w:link w:val="EndnoteTextChar"/>
    <w:semiHidden/>
    <w:unhideWhenUsed/>
    <w:rsid w:val="006D2456"/>
    <w:pPr>
      <w:spacing w:line="240" w:lineRule="auto"/>
    </w:pPr>
    <w:rPr>
      <w:sz w:val="20"/>
      <w:szCs w:val="20"/>
    </w:rPr>
  </w:style>
  <w:style w:type="character" w:customStyle="1" w:styleId="EndnoteTextChar">
    <w:name w:val="Endnote Text Char"/>
    <w:basedOn w:val="DefaultParagraphFont"/>
    <w:link w:val="EndnoteText"/>
    <w:semiHidden/>
    <w:rsid w:val="006D2456"/>
    <w:rPr>
      <w:sz w:val="20"/>
      <w:szCs w:val="20"/>
    </w:rPr>
  </w:style>
  <w:style w:type="paragraph" w:styleId="EnvelopeAddress">
    <w:name w:val="envelope address"/>
    <w:basedOn w:val="Normal"/>
    <w:semiHidden/>
    <w:unhideWhenUsed/>
    <w:rsid w:val="006D2456"/>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D2456"/>
    <w:pPr>
      <w:spacing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6D2456"/>
    <w:pPr>
      <w:spacing w:line="240" w:lineRule="auto"/>
    </w:pPr>
    <w:rPr>
      <w:i/>
      <w:iCs/>
    </w:rPr>
  </w:style>
  <w:style w:type="character" w:customStyle="1" w:styleId="HTMLAddressChar">
    <w:name w:val="HTML Address Char"/>
    <w:basedOn w:val="DefaultParagraphFont"/>
    <w:link w:val="HTMLAddress"/>
    <w:semiHidden/>
    <w:rsid w:val="006D2456"/>
    <w:rPr>
      <w:i/>
      <w:iCs/>
    </w:rPr>
  </w:style>
  <w:style w:type="paragraph" w:styleId="HTMLPreformatted">
    <w:name w:val="HTML Preformatted"/>
    <w:basedOn w:val="Normal"/>
    <w:link w:val="HTMLPreformattedChar"/>
    <w:semiHidden/>
    <w:unhideWhenUsed/>
    <w:rsid w:val="006D2456"/>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6D2456"/>
    <w:rPr>
      <w:rFonts w:ascii="Consolas" w:hAnsi="Consolas"/>
      <w:sz w:val="20"/>
      <w:szCs w:val="20"/>
    </w:rPr>
  </w:style>
  <w:style w:type="paragraph" w:styleId="Index1">
    <w:name w:val="index 1"/>
    <w:basedOn w:val="Normal"/>
    <w:next w:val="Normal"/>
    <w:autoRedefine/>
    <w:semiHidden/>
    <w:unhideWhenUsed/>
    <w:rsid w:val="006D2456"/>
    <w:pPr>
      <w:spacing w:line="240" w:lineRule="auto"/>
      <w:ind w:left="220" w:hanging="220"/>
    </w:pPr>
  </w:style>
  <w:style w:type="paragraph" w:styleId="Index2">
    <w:name w:val="index 2"/>
    <w:basedOn w:val="Normal"/>
    <w:next w:val="Normal"/>
    <w:autoRedefine/>
    <w:semiHidden/>
    <w:unhideWhenUsed/>
    <w:rsid w:val="006D2456"/>
    <w:pPr>
      <w:spacing w:line="240" w:lineRule="auto"/>
      <w:ind w:left="440" w:hanging="220"/>
    </w:pPr>
  </w:style>
  <w:style w:type="paragraph" w:styleId="Index3">
    <w:name w:val="index 3"/>
    <w:basedOn w:val="Normal"/>
    <w:next w:val="Normal"/>
    <w:autoRedefine/>
    <w:semiHidden/>
    <w:unhideWhenUsed/>
    <w:rsid w:val="006D2456"/>
    <w:pPr>
      <w:spacing w:line="240" w:lineRule="auto"/>
      <w:ind w:left="660" w:hanging="220"/>
    </w:pPr>
  </w:style>
  <w:style w:type="paragraph" w:styleId="Index4">
    <w:name w:val="index 4"/>
    <w:basedOn w:val="Normal"/>
    <w:next w:val="Normal"/>
    <w:autoRedefine/>
    <w:semiHidden/>
    <w:unhideWhenUsed/>
    <w:rsid w:val="006D2456"/>
    <w:pPr>
      <w:spacing w:line="240" w:lineRule="auto"/>
      <w:ind w:left="880" w:hanging="220"/>
    </w:pPr>
  </w:style>
  <w:style w:type="paragraph" w:styleId="Index5">
    <w:name w:val="index 5"/>
    <w:basedOn w:val="Normal"/>
    <w:next w:val="Normal"/>
    <w:autoRedefine/>
    <w:semiHidden/>
    <w:unhideWhenUsed/>
    <w:rsid w:val="006D2456"/>
    <w:pPr>
      <w:spacing w:line="240" w:lineRule="auto"/>
      <w:ind w:left="1100" w:hanging="220"/>
    </w:pPr>
  </w:style>
  <w:style w:type="paragraph" w:styleId="Index6">
    <w:name w:val="index 6"/>
    <w:basedOn w:val="Normal"/>
    <w:next w:val="Normal"/>
    <w:autoRedefine/>
    <w:semiHidden/>
    <w:unhideWhenUsed/>
    <w:rsid w:val="006D2456"/>
    <w:pPr>
      <w:spacing w:line="240" w:lineRule="auto"/>
      <w:ind w:left="1320" w:hanging="220"/>
    </w:pPr>
  </w:style>
  <w:style w:type="paragraph" w:styleId="Index7">
    <w:name w:val="index 7"/>
    <w:basedOn w:val="Normal"/>
    <w:next w:val="Normal"/>
    <w:autoRedefine/>
    <w:semiHidden/>
    <w:unhideWhenUsed/>
    <w:rsid w:val="006D2456"/>
    <w:pPr>
      <w:spacing w:line="240" w:lineRule="auto"/>
      <w:ind w:left="1540" w:hanging="220"/>
    </w:pPr>
  </w:style>
  <w:style w:type="paragraph" w:styleId="Index8">
    <w:name w:val="index 8"/>
    <w:basedOn w:val="Normal"/>
    <w:next w:val="Normal"/>
    <w:autoRedefine/>
    <w:semiHidden/>
    <w:unhideWhenUsed/>
    <w:rsid w:val="006D2456"/>
    <w:pPr>
      <w:spacing w:line="240" w:lineRule="auto"/>
      <w:ind w:left="1760" w:hanging="220"/>
    </w:pPr>
  </w:style>
  <w:style w:type="paragraph" w:styleId="Index9">
    <w:name w:val="index 9"/>
    <w:basedOn w:val="Normal"/>
    <w:next w:val="Normal"/>
    <w:autoRedefine/>
    <w:semiHidden/>
    <w:unhideWhenUsed/>
    <w:rsid w:val="006D2456"/>
    <w:pPr>
      <w:spacing w:line="240" w:lineRule="auto"/>
      <w:ind w:left="1980" w:hanging="220"/>
    </w:pPr>
  </w:style>
  <w:style w:type="paragraph" w:styleId="IndexHeading">
    <w:name w:val="index heading"/>
    <w:basedOn w:val="Normal"/>
    <w:next w:val="Index1"/>
    <w:semiHidden/>
    <w:unhideWhenUsed/>
    <w:rsid w:val="006D245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6D2456"/>
    <w:pPr>
      <w:pBdr>
        <w:top w:val="single" w:sz="4" w:space="10" w:color="214C90" w:themeColor="accent1"/>
        <w:bottom w:val="single" w:sz="4" w:space="10" w:color="214C90" w:themeColor="accent1"/>
      </w:pBdr>
      <w:spacing w:before="360" w:after="360"/>
      <w:ind w:left="864" w:right="864"/>
      <w:jc w:val="center"/>
    </w:pPr>
    <w:rPr>
      <w:i/>
      <w:iCs/>
      <w:color w:val="214C90" w:themeColor="accent1"/>
    </w:rPr>
  </w:style>
  <w:style w:type="character" w:customStyle="1" w:styleId="IntenseQuoteChar">
    <w:name w:val="Intense Quote Char"/>
    <w:basedOn w:val="DefaultParagraphFont"/>
    <w:link w:val="IntenseQuote"/>
    <w:uiPriority w:val="30"/>
    <w:rsid w:val="006D2456"/>
    <w:rPr>
      <w:i/>
      <w:iCs/>
      <w:color w:val="214C90" w:themeColor="accent1"/>
    </w:rPr>
  </w:style>
  <w:style w:type="paragraph" w:styleId="List">
    <w:name w:val="List"/>
    <w:basedOn w:val="Normal"/>
    <w:semiHidden/>
    <w:unhideWhenUsed/>
    <w:rsid w:val="006D2456"/>
    <w:pPr>
      <w:ind w:left="283" w:hanging="283"/>
      <w:contextualSpacing/>
    </w:pPr>
  </w:style>
  <w:style w:type="paragraph" w:styleId="List2">
    <w:name w:val="List 2"/>
    <w:basedOn w:val="Normal"/>
    <w:semiHidden/>
    <w:unhideWhenUsed/>
    <w:rsid w:val="006D2456"/>
    <w:pPr>
      <w:ind w:left="566" w:hanging="283"/>
      <w:contextualSpacing/>
    </w:pPr>
  </w:style>
  <w:style w:type="paragraph" w:styleId="List3">
    <w:name w:val="List 3"/>
    <w:basedOn w:val="Normal"/>
    <w:semiHidden/>
    <w:unhideWhenUsed/>
    <w:rsid w:val="006D2456"/>
    <w:pPr>
      <w:ind w:left="849" w:hanging="283"/>
      <w:contextualSpacing/>
    </w:pPr>
  </w:style>
  <w:style w:type="paragraph" w:styleId="List4">
    <w:name w:val="List 4"/>
    <w:basedOn w:val="Normal"/>
    <w:rsid w:val="006D2456"/>
    <w:pPr>
      <w:ind w:left="1132" w:hanging="283"/>
      <w:contextualSpacing/>
    </w:pPr>
  </w:style>
  <w:style w:type="paragraph" w:styleId="List5">
    <w:name w:val="List 5"/>
    <w:basedOn w:val="Normal"/>
    <w:rsid w:val="006D2456"/>
    <w:pPr>
      <w:ind w:left="1415" w:hanging="283"/>
      <w:contextualSpacing/>
    </w:pPr>
  </w:style>
  <w:style w:type="paragraph" w:styleId="ListParagraph">
    <w:name w:val="List Paragraph"/>
    <w:aliases w:val="List Paragraph11,Recommendation,List Paragraph1,Bullet point,1 heading,Dot point 1.5 line spacing,L,List Paragraph - bullets,NFP GP Bulleted List,bullet point list,LP-DO NOT USE,Bulleted Para,CV text,Dot pt,F5 List Paragraph,FooterText"/>
    <w:basedOn w:val="Normal"/>
    <w:link w:val="ListParagraphChar"/>
    <w:uiPriority w:val="34"/>
    <w:qFormat/>
    <w:rsid w:val="006D2456"/>
    <w:pPr>
      <w:ind w:left="720"/>
      <w:contextualSpacing/>
    </w:pPr>
  </w:style>
  <w:style w:type="paragraph" w:styleId="MacroText">
    <w:name w:val="macro"/>
    <w:link w:val="MacroTextChar"/>
    <w:semiHidden/>
    <w:unhideWhenUsed/>
    <w:rsid w:val="006D245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6D2456"/>
    <w:rPr>
      <w:rFonts w:ascii="Consolas" w:hAnsi="Consolas"/>
      <w:sz w:val="20"/>
      <w:szCs w:val="20"/>
    </w:rPr>
  </w:style>
  <w:style w:type="paragraph" w:styleId="MessageHeader">
    <w:name w:val="Message Header"/>
    <w:basedOn w:val="Normal"/>
    <w:link w:val="MessageHeaderChar"/>
    <w:semiHidden/>
    <w:unhideWhenUsed/>
    <w:rsid w:val="006D245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D2456"/>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6D2456"/>
    <w:pPr>
      <w:ind w:left="720"/>
    </w:pPr>
  </w:style>
  <w:style w:type="paragraph" w:styleId="NoteHeading">
    <w:name w:val="Note Heading"/>
    <w:basedOn w:val="Normal"/>
    <w:next w:val="Normal"/>
    <w:link w:val="NoteHeadingChar"/>
    <w:semiHidden/>
    <w:unhideWhenUsed/>
    <w:rsid w:val="006D2456"/>
    <w:pPr>
      <w:spacing w:line="240" w:lineRule="auto"/>
    </w:pPr>
  </w:style>
  <w:style w:type="character" w:customStyle="1" w:styleId="NoteHeadingChar">
    <w:name w:val="Note Heading Char"/>
    <w:basedOn w:val="DefaultParagraphFont"/>
    <w:link w:val="NoteHeading"/>
    <w:semiHidden/>
    <w:rsid w:val="006D2456"/>
  </w:style>
  <w:style w:type="paragraph" w:styleId="PlainText">
    <w:name w:val="Plain Text"/>
    <w:basedOn w:val="Normal"/>
    <w:link w:val="PlainTextChar"/>
    <w:semiHidden/>
    <w:unhideWhenUsed/>
    <w:rsid w:val="006D2456"/>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6D2456"/>
    <w:rPr>
      <w:rFonts w:ascii="Consolas" w:hAnsi="Consolas"/>
      <w:sz w:val="21"/>
      <w:szCs w:val="21"/>
    </w:rPr>
  </w:style>
  <w:style w:type="paragraph" w:styleId="Salutation">
    <w:name w:val="Salutation"/>
    <w:basedOn w:val="Normal"/>
    <w:next w:val="Normal"/>
    <w:link w:val="SalutationChar"/>
    <w:rsid w:val="006D2456"/>
  </w:style>
  <w:style w:type="character" w:customStyle="1" w:styleId="SalutationChar">
    <w:name w:val="Salutation Char"/>
    <w:basedOn w:val="DefaultParagraphFont"/>
    <w:link w:val="Salutation"/>
    <w:rsid w:val="006D2456"/>
  </w:style>
  <w:style w:type="paragraph" w:styleId="Signature">
    <w:name w:val="Signature"/>
    <w:basedOn w:val="Normal"/>
    <w:link w:val="SignatureChar"/>
    <w:semiHidden/>
    <w:unhideWhenUsed/>
    <w:rsid w:val="006D2456"/>
    <w:pPr>
      <w:spacing w:line="240" w:lineRule="auto"/>
      <w:ind w:left="4252"/>
    </w:pPr>
  </w:style>
  <w:style w:type="character" w:customStyle="1" w:styleId="SignatureChar">
    <w:name w:val="Signature Char"/>
    <w:basedOn w:val="DefaultParagraphFont"/>
    <w:link w:val="Signature"/>
    <w:semiHidden/>
    <w:rsid w:val="006D2456"/>
  </w:style>
  <w:style w:type="paragraph" w:styleId="TableofAuthorities">
    <w:name w:val="table of authorities"/>
    <w:basedOn w:val="Normal"/>
    <w:next w:val="Normal"/>
    <w:semiHidden/>
    <w:unhideWhenUsed/>
    <w:rsid w:val="006D2456"/>
    <w:pPr>
      <w:ind w:left="220" w:hanging="220"/>
    </w:pPr>
  </w:style>
  <w:style w:type="paragraph" w:styleId="TOAHeading">
    <w:name w:val="toa heading"/>
    <w:basedOn w:val="Normal"/>
    <w:next w:val="Normal"/>
    <w:semiHidden/>
    <w:unhideWhenUsed/>
    <w:rsid w:val="006D2456"/>
    <w:pPr>
      <w:spacing w:before="120"/>
    </w:pPr>
    <w:rPr>
      <w:rFonts w:asciiTheme="majorHAnsi" w:eastAsiaTheme="majorEastAsia" w:hAnsiTheme="majorHAnsi" w:cstheme="majorBidi"/>
      <w:b/>
      <w:bCs/>
      <w:sz w:val="24"/>
      <w:szCs w:val="24"/>
    </w:rPr>
  </w:style>
  <w:style w:type="paragraph" w:styleId="TOC6">
    <w:name w:val="toc 6"/>
    <w:basedOn w:val="Normal"/>
    <w:next w:val="Normal"/>
    <w:autoRedefine/>
    <w:uiPriority w:val="39"/>
    <w:semiHidden/>
    <w:unhideWhenUsed/>
    <w:rsid w:val="006D2456"/>
    <w:pPr>
      <w:spacing w:after="100"/>
      <w:ind w:left="1100"/>
    </w:pPr>
  </w:style>
  <w:style w:type="paragraph" w:styleId="TOC7">
    <w:name w:val="toc 7"/>
    <w:basedOn w:val="Normal"/>
    <w:next w:val="Normal"/>
    <w:autoRedefine/>
    <w:uiPriority w:val="39"/>
    <w:semiHidden/>
    <w:unhideWhenUsed/>
    <w:rsid w:val="006D2456"/>
    <w:pPr>
      <w:spacing w:after="100"/>
      <w:ind w:left="1320"/>
    </w:pPr>
  </w:style>
  <w:style w:type="paragraph" w:styleId="TOC8">
    <w:name w:val="toc 8"/>
    <w:basedOn w:val="Normal"/>
    <w:next w:val="Normal"/>
    <w:autoRedefine/>
    <w:uiPriority w:val="39"/>
    <w:semiHidden/>
    <w:unhideWhenUsed/>
    <w:rsid w:val="006D2456"/>
    <w:pPr>
      <w:spacing w:after="100"/>
      <w:ind w:left="1540"/>
    </w:pPr>
  </w:style>
  <w:style w:type="paragraph" w:styleId="TOC9">
    <w:name w:val="toc 9"/>
    <w:basedOn w:val="Normal"/>
    <w:next w:val="Normal"/>
    <w:autoRedefine/>
    <w:uiPriority w:val="39"/>
    <w:semiHidden/>
    <w:unhideWhenUsed/>
    <w:rsid w:val="006D2456"/>
    <w:pPr>
      <w:spacing w:after="100"/>
      <w:ind w:left="1760"/>
    </w:pPr>
  </w:style>
  <w:style w:type="paragraph" w:customStyle="1" w:styleId="text">
    <w:name w:val="text"/>
    <w:basedOn w:val="Normal"/>
    <w:uiPriority w:val="99"/>
    <w:rsid w:val="00B43CAD"/>
    <w:pPr>
      <w:widowControl w:val="0"/>
      <w:suppressAutoHyphens/>
      <w:autoSpaceDE w:val="0"/>
      <w:autoSpaceDN w:val="0"/>
      <w:adjustRightInd w:val="0"/>
      <w:spacing w:after="170" w:line="210" w:lineRule="atLeast"/>
      <w:textAlignment w:val="center"/>
    </w:pPr>
    <w:rPr>
      <w:rFonts w:ascii="ArialMT" w:eastAsia="Cambria" w:hAnsi="ArialMT" w:cs="ArialMT"/>
      <w:color w:val="000000"/>
      <w:sz w:val="17"/>
      <w:szCs w:val="17"/>
      <w:lang w:val="en-GB" w:eastAsia="en-US"/>
    </w:rPr>
  </w:style>
  <w:style w:type="paragraph" w:customStyle="1" w:styleId="ExecSummHeading2">
    <w:name w:val="Exec Summ Heading 2"/>
    <w:basedOn w:val="Normal"/>
    <w:next w:val="BodyText"/>
    <w:qFormat/>
    <w:rsid w:val="00B43CAD"/>
    <w:pPr>
      <w:spacing w:before="360" w:after="240"/>
      <w:ind w:left="851" w:hanging="851"/>
    </w:pPr>
    <w:rPr>
      <w:rFonts w:asciiTheme="majorHAnsi" w:hAnsiTheme="majorHAnsi"/>
      <w:b/>
      <w:color w:val="007BC1"/>
      <w:sz w:val="28"/>
    </w:rPr>
  </w:style>
  <w:style w:type="paragraph" w:customStyle="1" w:styleId="ExecSummBodyText">
    <w:name w:val="Exec Summ Body Text"/>
    <w:basedOn w:val="Normal"/>
    <w:qFormat/>
    <w:rsid w:val="00B43CAD"/>
    <w:pPr>
      <w:spacing w:before="240" w:after="120"/>
    </w:pPr>
    <w:rPr>
      <w:rFonts w:ascii="Arial" w:hAnsi="Arial"/>
    </w:rPr>
  </w:style>
  <w:style w:type="paragraph" w:customStyle="1" w:styleId="Tabletext">
    <w:name w:val="Table text"/>
    <w:basedOn w:val="Normal"/>
    <w:qFormat/>
    <w:rsid w:val="006F7674"/>
    <w:pPr>
      <w:spacing w:line="276" w:lineRule="auto"/>
    </w:pPr>
    <w:rPr>
      <w:rFonts w:ascii="Arial" w:eastAsia="Calibri" w:hAnsi="Arial"/>
      <w:lang w:eastAsia="en-US"/>
    </w:rPr>
  </w:style>
  <w:style w:type="numbering" w:customStyle="1" w:styleId="BulletList">
    <w:name w:val="Bullet List"/>
    <w:uiPriority w:val="99"/>
    <w:rsid w:val="00DD7CBF"/>
    <w:pPr>
      <w:numPr>
        <w:numId w:val="12"/>
      </w:numPr>
    </w:pPr>
  </w:style>
  <w:style w:type="table" w:customStyle="1" w:styleId="AxiomAgendaMinutes">
    <w:name w:val="Axiom Agenda/Minutes"/>
    <w:basedOn w:val="TableNormal"/>
    <w:uiPriority w:val="99"/>
    <w:rsid w:val="0096305E"/>
    <w:pPr>
      <w:spacing w:line="240" w:lineRule="auto"/>
    </w:pPr>
    <w:tblPr>
      <w:tblBorders>
        <w:top w:val="single" w:sz="4" w:space="0" w:color="auto"/>
        <w:bottom w:val="single" w:sz="4" w:space="0" w:color="auto"/>
        <w:insideV w:val="single" w:sz="4" w:space="0" w:color="auto"/>
      </w:tblBorders>
      <w:tblCellMar>
        <w:top w:w="57" w:type="dxa"/>
        <w:left w:w="45" w:type="dxa"/>
        <w:bottom w:w="57" w:type="dxa"/>
        <w:right w:w="45" w:type="dxa"/>
      </w:tblCellMar>
    </w:tblPr>
    <w:tblStylePr w:type="firstRow">
      <w:tblPr/>
      <w:trPr>
        <w:cantSplit/>
        <w:tblHeader/>
      </w:trPr>
      <w:tcPr>
        <w:tcBorders>
          <w:top w:val="single" w:sz="4" w:space="0" w:color="auto"/>
          <w:left w:val="nil"/>
          <w:bottom w:val="single" w:sz="4" w:space="0" w:color="auto"/>
          <w:right w:val="nil"/>
          <w:insideH w:val="nil"/>
          <w:insideV w:val="single" w:sz="4" w:space="0" w:color="auto"/>
          <w:tl2br w:val="nil"/>
          <w:tr2bl w:val="nil"/>
        </w:tcBorders>
      </w:tcPr>
    </w:tblStylePr>
  </w:style>
  <w:style w:type="character" w:customStyle="1" w:styleId="ListBulletChar">
    <w:name w:val="List Bullet Char"/>
    <w:basedOn w:val="BodyTextChar"/>
    <w:link w:val="ListBullet"/>
    <w:rsid w:val="009A3A01"/>
    <w:rPr>
      <w:rFonts w:ascii="Arial" w:hAnsi="Arial"/>
    </w:rPr>
  </w:style>
  <w:style w:type="character" w:customStyle="1" w:styleId="ListParagraphChar">
    <w:name w:val="List Paragraph Char"/>
    <w:aliases w:val="List Paragraph11 Char,Recommendation Char,List Paragraph1 Char,Bullet point Char,1 heading Char,Dot point 1.5 line spacing Char,L Char,List Paragraph - bullets Char,NFP GP Bulleted List Char,bullet point list Char,LP-DO NOT USE Char"/>
    <w:basedOn w:val="DefaultParagraphFont"/>
    <w:link w:val="ListParagraph"/>
    <w:uiPriority w:val="34"/>
    <w:locked/>
    <w:rsid w:val="00762921"/>
  </w:style>
  <w:style w:type="character" w:customStyle="1" w:styleId="UnresolvedMention1">
    <w:name w:val="Unresolved Mention1"/>
    <w:basedOn w:val="DefaultParagraphFont"/>
    <w:uiPriority w:val="99"/>
    <w:semiHidden/>
    <w:unhideWhenUsed/>
    <w:rsid w:val="00095A3A"/>
    <w:rPr>
      <w:color w:val="808080"/>
      <w:shd w:val="clear" w:color="auto" w:fill="E6E6E6"/>
    </w:rPr>
  </w:style>
  <w:style w:type="character" w:customStyle="1" w:styleId="CaptionChar">
    <w:name w:val="Caption Char"/>
    <w:basedOn w:val="DefaultParagraphFont"/>
    <w:link w:val="Caption"/>
    <w:rsid w:val="00437468"/>
    <w:rPr>
      <w:rFonts w:eastAsiaTheme="minorHAnsi" w:cstheme="minorBidi"/>
      <w:b/>
      <w:bCs/>
      <w:lang w:eastAsia="fr-CA"/>
    </w:rPr>
  </w:style>
  <w:style w:type="paragraph" w:customStyle="1" w:styleId="Default">
    <w:name w:val="Default"/>
    <w:rsid w:val="008449E5"/>
    <w:pPr>
      <w:autoSpaceDE w:val="0"/>
      <w:autoSpaceDN w:val="0"/>
      <w:adjustRightInd w:val="0"/>
      <w:spacing w:line="240" w:lineRule="auto"/>
    </w:pPr>
    <w:rPr>
      <w:rFonts w:ascii="Arial" w:hAnsi="Arial" w:cs="Arial"/>
      <w:color w:val="000000"/>
      <w:sz w:val="24"/>
      <w:szCs w:val="24"/>
    </w:rPr>
  </w:style>
  <w:style w:type="paragraph" w:customStyle="1" w:styleId="Am-EMR-Body-List-1-MNum">
    <w:name w:val="Am-EMR-Body-List-1-MNum"/>
    <w:basedOn w:val="Normal"/>
    <w:uiPriority w:val="99"/>
    <w:rsid w:val="009403A4"/>
    <w:pPr>
      <w:tabs>
        <w:tab w:val="left" w:pos="1134"/>
      </w:tabs>
      <w:autoSpaceDE w:val="0"/>
      <w:autoSpaceDN w:val="0"/>
      <w:adjustRightInd w:val="0"/>
      <w:spacing w:before="120" w:after="120" w:line="240" w:lineRule="auto"/>
      <w:ind w:left="1134" w:hanging="567"/>
    </w:pPr>
    <w:rPr>
      <w:rFonts w:ascii="Times New Roman" w:hAnsi="Times New Roman"/>
      <w:color w:val="000000"/>
      <w:sz w:val="24"/>
      <w:szCs w:val="24"/>
    </w:rPr>
  </w:style>
  <w:style w:type="paragraph" w:customStyle="1" w:styleId="BulletsL1">
    <w:name w:val="Bullets L1"/>
    <w:basedOn w:val="Normal"/>
    <w:uiPriority w:val="4"/>
    <w:qFormat/>
    <w:locked/>
    <w:rsid w:val="00DA5180"/>
    <w:pPr>
      <w:numPr>
        <w:numId w:val="15"/>
      </w:numPr>
      <w:spacing w:before="180" w:line="268" w:lineRule="auto"/>
      <w:jc w:val="both"/>
    </w:pPr>
    <w:rPr>
      <w:rFonts w:ascii="Arial" w:hAnsi="Arial"/>
      <w:sz w:val="20"/>
      <w:lang w:eastAsia="en-US"/>
    </w:rPr>
  </w:style>
  <w:style w:type="paragraph" w:customStyle="1" w:styleId="BulletsL2">
    <w:name w:val="Bullets L2"/>
    <w:basedOn w:val="BulletsL1"/>
    <w:uiPriority w:val="4"/>
    <w:qFormat/>
    <w:locked/>
    <w:rsid w:val="00DA5180"/>
    <w:pPr>
      <w:numPr>
        <w:ilvl w:val="1"/>
      </w:numPr>
    </w:pPr>
  </w:style>
  <w:style w:type="paragraph" w:customStyle="1" w:styleId="BulletsL3">
    <w:name w:val="Bullets L3"/>
    <w:basedOn w:val="BulletsL2"/>
    <w:uiPriority w:val="4"/>
    <w:qFormat/>
    <w:rsid w:val="00DA5180"/>
    <w:pPr>
      <w:numPr>
        <w:ilvl w:val="2"/>
      </w:numPr>
    </w:pPr>
  </w:style>
  <w:style w:type="paragraph" w:customStyle="1" w:styleId="EMR-Rule-Title-Lvl-3">
    <w:name w:val="EMR-Rule-Title-Lvl-3"/>
    <w:basedOn w:val="Normal"/>
    <w:uiPriority w:val="99"/>
    <w:rsid w:val="008638DD"/>
    <w:pPr>
      <w:keepNext/>
      <w:keepLines/>
      <w:tabs>
        <w:tab w:val="left" w:pos="1134"/>
      </w:tabs>
      <w:autoSpaceDE w:val="0"/>
      <w:autoSpaceDN w:val="0"/>
      <w:adjustRightInd w:val="0"/>
      <w:spacing w:before="240" w:after="60" w:line="240" w:lineRule="auto"/>
      <w:ind w:left="1134" w:hanging="1134"/>
      <w:outlineLvl w:val="2"/>
    </w:pPr>
    <w:rPr>
      <w:rFonts w:ascii="Arial Bold" w:hAnsi="Arial Bold" w:cs="Arial Bold"/>
      <w:b/>
      <w:bCs/>
      <w:color w:val="000000"/>
      <w:sz w:val="26"/>
      <w:szCs w:val="26"/>
    </w:rPr>
  </w:style>
  <w:style w:type="paragraph" w:customStyle="1" w:styleId="Am-EMR-Body-List-2-MNum">
    <w:name w:val="Am-EMR-Body-List-2-MNum"/>
    <w:basedOn w:val="Normal"/>
    <w:uiPriority w:val="99"/>
    <w:rsid w:val="008638DD"/>
    <w:pPr>
      <w:tabs>
        <w:tab w:val="left" w:pos="1701"/>
      </w:tabs>
      <w:autoSpaceDE w:val="0"/>
      <w:autoSpaceDN w:val="0"/>
      <w:adjustRightInd w:val="0"/>
      <w:spacing w:before="120" w:after="120" w:line="240" w:lineRule="auto"/>
      <w:ind w:left="1701" w:hanging="567"/>
    </w:pPr>
    <w:rPr>
      <w:rFonts w:ascii="Times New Roman" w:hAnsi="Times New Roman"/>
      <w:color w:val="000000"/>
      <w:sz w:val="24"/>
      <w:szCs w:val="24"/>
    </w:rPr>
  </w:style>
  <w:style w:type="paragraph" w:customStyle="1" w:styleId="AERbodytext">
    <w:name w:val="AER body text"/>
    <w:link w:val="AERbodytextChar"/>
    <w:qFormat/>
    <w:rsid w:val="001879CF"/>
    <w:pPr>
      <w:spacing w:after="240" w:line="288" w:lineRule="auto"/>
      <w:jc w:val="both"/>
    </w:pPr>
    <w:rPr>
      <w:rFonts w:ascii="Gautami" w:hAnsi="Gautami"/>
      <w:sz w:val="20"/>
      <w:szCs w:val="24"/>
      <w:lang w:eastAsia="en-US"/>
    </w:rPr>
  </w:style>
  <w:style w:type="paragraph" w:customStyle="1" w:styleId="AERbulletlistsecondstyle">
    <w:name w:val="AER bullet list (second style)"/>
    <w:basedOn w:val="AERbodytext"/>
    <w:qFormat/>
    <w:rsid w:val="001879CF"/>
    <w:pPr>
      <w:numPr>
        <w:numId w:val="16"/>
      </w:numPr>
      <w:spacing w:after="200"/>
      <w:ind w:left="992" w:hanging="992"/>
    </w:pPr>
  </w:style>
  <w:style w:type="paragraph" w:customStyle="1" w:styleId="AERnumberedlistfirststyle">
    <w:name w:val="AER numbered list (first style)"/>
    <w:basedOn w:val="AERbodytext"/>
    <w:qFormat/>
    <w:rsid w:val="001879CF"/>
    <w:pPr>
      <w:numPr>
        <w:numId w:val="17"/>
      </w:numPr>
      <w:tabs>
        <w:tab w:val="clear" w:pos="357"/>
      </w:tabs>
      <w:spacing w:after="200" w:line="200" w:lineRule="atLeast"/>
      <w:ind w:left="0" w:firstLine="0"/>
    </w:pPr>
  </w:style>
  <w:style w:type="character" w:customStyle="1" w:styleId="AERbodytextChar">
    <w:name w:val="AER body text Char"/>
    <w:basedOn w:val="DefaultParagraphFont"/>
    <w:link w:val="AERbodytext"/>
    <w:rsid w:val="001879CF"/>
    <w:rPr>
      <w:rFonts w:ascii="Gautami" w:hAnsi="Gautami"/>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29077">
      <w:bodyDiv w:val="1"/>
      <w:marLeft w:val="0"/>
      <w:marRight w:val="0"/>
      <w:marTop w:val="0"/>
      <w:marBottom w:val="0"/>
      <w:divBdr>
        <w:top w:val="none" w:sz="0" w:space="0" w:color="auto"/>
        <w:left w:val="none" w:sz="0" w:space="0" w:color="auto"/>
        <w:bottom w:val="none" w:sz="0" w:space="0" w:color="auto"/>
        <w:right w:val="none" w:sz="0" w:space="0" w:color="auto"/>
      </w:divBdr>
    </w:div>
    <w:div w:id="125438889">
      <w:bodyDiv w:val="1"/>
      <w:marLeft w:val="0"/>
      <w:marRight w:val="0"/>
      <w:marTop w:val="0"/>
      <w:marBottom w:val="0"/>
      <w:divBdr>
        <w:top w:val="none" w:sz="0" w:space="0" w:color="auto"/>
        <w:left w:val="none" w:sz="0" w:space="0" w:color="auto"/>
        <w:bottom w:val="none" w:sz="0" w:space="0" w:color="auto"/>
        <w:right w:val="none" w:sz="0" w:space="0" w:color="auto"/>
      </w:divBdr>
    </w:div>
    <w:div w:id="158271094">
      <w:bodyDiv w:val="1"/>
      <w:marLeft w:val="0"/>
      <w:marRight w:val="0"/>
      <w:marTop w:val="0"/>
      <w:marBottom w:val="0"/>
      <w:divBdr>
        <w:top w:val="none" w:sz="0" w:space="0" w:color="auto"/>
        <w:left w:val="none" w:sz="0" w:space="0" w:color="auto"/>
        <w:bottom w:val="none" w:sz="0" w:space="0" w:color="auto"/>
        <w:right w:val="none" w:sz="0" w:space="0" w:color="auto"/>
      </w:divBdr>
    </w:div>
    <w:div w:id="214395428">
      <w:bodyDiv w:val="1"/>
      <w:marLeft w:val="0"/>
      <w:marRight w:val="0"/>
      <w:marTop w:val="0"/>
      <w:marBottom w:val="0"/>
      <w:divBdr>
        <w:top w:val="none" w:sz="0" w:space="0" w:color="auto"/>
        <w:left w:val="none" w:sz="0" w:space="0" w:color="auto"/>
        <w:bottom w:val="none" w:sz="0" w:space="0" w:color="auto"/>
        <w:right w:val="none" w:sz="0" w:space="0" w:color="auto"/>
      </w:divBdr>
    </w:div>
    <w:div w:id="288363768">
      <w:bodyDiv w:val="1"/>
      <w:marLeft w:val="0"/>
      <w:marRight w:val="0"/>
      <w:marTop w:val="0"/>
      <w:marBottom w:val="0"/>
      <w:divBdr>
        <w:top w:val="none" w:sz="0" w:space="0" w:color="auto"/>
        <w:left w:val="none" w:sz="0" w:space="0" w:color="auto"/>
        <w:bottom w:val="none" w:sz="0" w:space="0" w:color="auto"/>
        <w:right w:val="none" w:sz="0" w:space="0" w:color="auto"/>
      </w:divBdr>
    </w:div>
    <w:div w:id="294725872">
      <w:bodyDiv w:val="1"/>
      <w:marLeft w:val="0"/>
      <w:marRight w:val="0"/>
      <w:marTop w:val="0"/>
      <w:marBottom w:val="0"/>
      <w:divBdr>
        <w:top w:val="none" w:sz="0" w:space="0" w:color="auto"/>
        <w:left w:val="none" w:sz="0" w:space="0" w:color="auto"/>
        <w:bottom w:val="none" w:sz="0" w:space="0" w:color="auto"/>
        <w:right w:val="none" w:sz="0" w:space="0" w:color="auto"/>
      </w:divBdr>
    </w:div>
    <w:div w:id="322588373">
      <w:bodyDiv w:val="1"/>
      <w:marLeft w:val="0"/>
      <w:marRight w:val="0"/>
      <w:marTop w:val="0"/>
      <w:marBottom w:val="0"/>
      <w:divBdr>
        <w:top w:val="none" w:sz="0" w:space="0" w:color="auto"/>
        <w:left w:val="none" w:sz="0" w:space="0" w:color="auto"/>
        <w:bottom w:val="none" w:sz="0" w:space="0" w:color="auto"/>
        <w:right w:val="none" w:sz="0" w:space="0" w:color="auto"/>
      </w:divBdr>
    </w:div>
    <w:div w:id="421492480">
      <w:bodyDiv w:val="1"/>
      <w:marLeft w:val="0"/>
      <w:marRight w:val="0"/>
      <w:marTop w:val="0"/>
      <w:marBottom w:val="0"/>
      <w:divBdr>
        <w:top w:val="none" w:sz="0" w:space="0" w:color="auto"/>
        <w:left w:val="none" w:sz="0" w:space="0" w:color="auto"/>
        <w:bottom w:val="none" w:sz="0" w:space="0" w:color="auto"/>
        <w:right w:val="none" w:sz="0" w:space="0" w:color="auto"/>
      </w:divBdr>
    </w:div>
    <w:div w:id="488981284">
      <w:bodyDiv w:val="1"/>
      <w:marLeft w:val="0"/>
      <w:marRight w:val="0"/>
      <w:marTop w:val="0"/>
      <w:marBottom w:val="0"/>
      <w:divBdr>
        <w:top w:val="none" w:sz="0" w:space="0" w:color="auto"/>
        <w:left w:val="none" w:sz="0" w:space="0" w:color="auto"/>
        <w:bottom w:val="none" w:sz="0" w:space="0" w:color="auto"/>
        <w:right w:val="none" w:sz="0" w:space="0" w:color="auto"/>
      </w:divBdr>
    </w:div>
    <w:div w:id="568734595">
      <w:bodyDiv w:val="1"/>
      <w:marLeft w:val="0"/>
      <w:marRight w:val="0"/>
      <w:marTop w:val="0"/>
      <w:marBottom w:val="0"/>
      <w:divBdr>
        <w:top w:val="none" w:sz="0" w:space="0" w:color="auto"/>
        <w:left w:val="none" w:sz="0" w:space="0" w:color="auto"/>
        <w:bottom w:val="none" w:sz="0" w:space="0" w:color="auto"/>
        <w:right w:val="none" w:sz="0" w:space="0" w:color="auto"/>
      </w:divBdr>
    </w:div>
    <w:div w:id="790126893">
      <w:bodyDiv w:val="1"/>
      <w:marLeft w:val="0"/>
      <w:marRight w:val="0"/>
      <w:marTop w:val="0"/>
      <w:marBottom w:val="0"/>
      <w:divBdr>
        <w:top w:val="none" w:sz="0" w:space="0" w:color="auto"/>
        <w:left w:val="none" w:sz="0" w:space="0" w:color="auto"/>
        <w:bottom w:val="none" w:sz="0" w:space="0" w:color="auto"/>
        <w:right w:val="none" w:sz="0" w:space="0" w:color="auto"/>
      </w:divBdr>
    </w:div>
    <w:div w:id="797259483">
      <w:bodyDiv w:val="1"/>
      <w:marLeft w:val="0"/>
      <w:marRight w:val="0"/>
      <w:marTop w:val="0"/>
      <w:marBottom w:val="0"/>
      <w:divBdr>
        <w:top w:val="none" w:sz="0" w:space="0" w:color="auto"/>
        <w:left w:val="none" w:sz="0" w:space="0" w:color="auto"/>
        <w:bottom w:val="none" w:sz="0" w:space="0" w:color="auto"/>
        <w:right w:val="none" w:sz="0" w:space="0" w:color="auto"/>
      </w:divBdr>
    </w:div>
    <w:div w:id="853882585">
      <w:bodyDiv w:val="1"/>
      <w:marLeft w:val="0"/>
      <w:marRight w:val="0"/>
      <w:marTop w:val="0"/>
      <w:marBottom w:val="0"/>
      <w:divBdr>
        <w:top w:val="none" w:sz="0" w:space="0" w:color="auto"/>
        <w:left w:val="none" w:sz="0" w:space="0" w:color="auto"/>
        <w:bottom w:val="none" w:sz="0" w:space="0" w:color="auto"/>
        <w:right w:val="none" w:sz="0" w:space="0" w:color="auto"/>
      </w:divBdr>
    </w:div>
    <w:div w:id="873427532">
      <w:bodyDiv w:val="1"/>
      <w:marLeft w:val="0"/>
      <w:marRight w:val="0"/>
      <w:marTop w:val="0"/>
      <w:marBottom w:val="0"/>
      <w:divBdr>
        <w:top w:val="none" w:sz="0" w:space="0" w:color="auto"/>
        <w:left w:val="none" w:sz="0" w:space="0" w:color="auto"/>
        <w:bottom w:val="none" w:sz="0" w:space="0" w:color="auto"/>
        <w:right w:val="none" w:sz="0" w:space="0" w:color="auto"/>
      </w:divBdr>
    </w:div>
    <w:div w:id="895091650">
      <w:bodyDiv w:val="1"/>
      <w:marLeft w:val="0"/>
      <w:marRight w:val="0"/>
      <w:marTop w:val="0"/>
      <w:marBottom w:val="0"/>
      <w:divBdr>
        <w:top w:val="none" w:sz="0" w:space="0" w:color="auto"/>
        <w:left w:val="none" w:sz="0" w:space="0" w:color="auto"/>
        <w:bottom w:val="none" w:sz="0" w:space="0" w:color="auto"/>
        <w:right w:val="none" w:sz="0" w:space="0" w:color="auto"/>
      </w:divBdr>
    </w:div>
    <w:div w:id="945694869">
      <w:bodyDiv w:val="1"/>
      <w:marLeft w:val="0"/>
      <w:marRight w:val="0"/>
      <w:marTop w:val="0"/>
      <w:marBottom w:val="0"/>
      <w:divBdr>
        <w:top w:val="none" w:sz="0" w:space="0" w:color="auto"/>
        <w:left w:val="none" w:sz="0" w:space="0" w:color="auto"/>
        <w:bottom w:val="none" w:sz="0" w:space="0" w:color="auto"/>
        <w:right w:val="none" w:sz="0" w:space="0" w:color="auto"/>
      </w:divBdr>
    </w:div>
    <w:div w:id="952518963">
      <w:bodyDiv w:val="1"/>
      <w:marLeft w:val="0"/>
      <w:marRight w:val="0"/>
      <w:marTop w:val="0"/>
      <w:marBottom w:val="0"/>
      <w:divBdr>
        <w:top w:val="none" w:sz="0" w:space="0" w:color="auto"/>
        <w:left w:val="none" w:sz="0" w:space="0" w:color="auto"/>
        <w:bottom w:val="none" w:sz="0" w:space="0" w:color="auto"/>
        <w:right w:val="none" w:sz="0" w:space="0" w:color="auto"/>
      </w:divBdr>
    </w:div>
    <w:div w:id="1006979234">
      <w:bodyDiv w:val="1"/>
      <w:marLeft w:val="0"/>
      <w:marRight w:val="0"/>
      <w:marTop w:val="0"/>
      <w:marBottom w:val="0"/>
      <w:divBdr>
        <w:top w:val="none" w:sz="0" w:space="0" w:color="auto"/>
        <w:left w:val="none" w:sz="0" w:space="0" w:color="auto"/>
        <w:bottom w:val="none" w:sz="0" w:space="0" w:color="auto"/>
        <w:right w:val="none" w:sz="0" w:space="0" w:color="auto"/>
      </w:divBdr>
    </w:div>
    <w:div w:id="1055280690">
      <w:bodyDiv w:val="1"/>
      <w:marLeft w:val="0"/>
      <w:marRight w:val="0"/>
      <w:marTop w:val="0"/>
      <w:marBottom w:val="0"/>
      <w:divBdr>
        <w:top w:val="none" w:sz="0" w:space="0" w:color="auto"/>
        <w:left w:val="none" w:sz="0" w:space="0" w:color="auto"/>
        <w:bottom w:val="none" w:sz="0" w:space="0" w:color="auto"/>
        <w:right w:val="none" w:sz="0" w:space="0" w:color="auto"/>
      </w:divBdr>
    </w:div>
    <w:div w:id="1135949092">
      <w:bodyDiv w:val="1"/>
      <w:marLeft w:val="0"/>
      <w:marRight w:val="0"/>
      <w:marTop w:val="0"/>
      <w:marBottom w:val="0"/>
      <w:divBdr>
        <w:top w:val="none" w:sz="0" w:space="0" w:color="auto"/>
        <w:left w:val="none" w:sz="0" w:space="0" w:color="auto"/>
        <w:bottom w:val="none" w:sz="0" w:space="0" w:color="auto"/>
        <w:right w:val="none" w:sz="0" w:space="0" w:color="auto"/>
      </w:divBdr>
    </w:div>
    <w:div w:id="1150362342">
      <w:bodyDiv w:val="1"/>
      <w:marLeft w:val="0"/>
      <w:marRight w:val="0"/>
      <w:marTop w:val="0"/>
      <w:marBottom w:val="0"/>
      <w:divBdr>
        <w:top w:val="none" w:sz="0" w:space="0" w:color="auto"/>
        <w:left w:val="none" w:sz="0" w:space="0" w:color="auto"/>
        <w:bottom w:val="none" w:sz="0" w:space="0" w:color="auto"/>
        <w:right w:val="none" w:sz="0" w:space="0" w:color="auto"/>
      </w:divBdr>
    </w:div>
    <w:div w:id="1203636145">
      <w:bodyDiv w:val="1"/>
      <w:marLeft w:val="0"/>
      <w:marRight w:val="0"/>
      <w:marTop w:val="0"/>
      <w:marBottom w:val="0"/>
      <w:divBdr>
        <w:top w:val="none" w:sz="0" w:space="0" w:color="auto"/>
        <w:left w:val="none" w:sz="0" w:space="0" w:color="auto"/>
        <w:bottom w:val="none" w:sz="0" w:space="0" w:color="auto"/>
        <w:right w:val="none" w:sz="0" w:space="0" w:color="auto"/>
      </w:divBdr>
    </w:div>
    <w:div w:id="1242711693">
      <w:bodyDiv w:val="1"/>
      <w:marLeft w:val="0"/>
      <w:marRight w:val="0"/>
      <w:marTop w:val="0"/>
      <w:marBottom w:val="0"/>
      <w:divBdr>
        <w:top w:val="none" w:sz="0" w:space="0" w:color="auto"/>
        <w:left w:val="none" w:sz="0" w:space="0" w:color="auto"/>
        <w:bottom w:val="none" w:sz="0" w:space="0" w:color="auto"/>
        <w:right w:val="none" w:sz="0" w:space="0" w:color="auto"/>
      </w:divBdr>
    </w:div>
    <w:div w:id="1280450594">
      <w:bodyDiv w:val="1"/>
      <w:marLeft w:val="0"/>
      <w:marRight w:val="0"/>
      <w:marTop w:val="0"/>
      <w:marBottom w:val="0"/>
      <w:divBdr>
        <w:top w:val="none" w:sz="0" w:space="0" w:color="auto"/>
        <w:left w:val="none" w:sz="0" w:space="0" w:color="auto"/>
        <w:bottom w:val="none" w:sz="0" w:space="0" w:color="auto"/>
        <w:right w:val="none" w:sz="0" w:space="0" w:color="auto"/>
      </w:divBdr>
    </w:div>
    <w:div w:id="1353341842">
      <w:bodyDiv w:val="1"/>
      <w:marLeft w:val="0"/>
      <w:marRight w:val="0"/>
      <w:marTop w:val="0"/>
      <w:marBottom w:val="0"/>
      <w:divBdr>
        <w:top w:val="none" w:sz="0" w:space="0" w:color="auto"/>
        <w:left w:val="none" w:sz="0" w:space="0" w:color="auto"/>
        <w:bottom w:val="none" w:sz="0" w:space="0" w:color="auto"/>
        <w:right w:val="none" w:sz="0" w:space="0" w:color="auto"/>
      </w:divBdr>
    </w:div>
    <w:div w:id="1359313697">
      <w:bodyDiv w:val="1"/>
      <w:marLeft w:val="0"/>
      <w:marRight w:val="0"/>
      <w:marTop w:val="0"/>
      <w:marBottom w:val="0"/>
      <w:divBdr>
        <w:top w:val="none" w:sz="0" w:space="0" w:color="auto"/>
        <w:left w:val="none" w:sz="0" w:space="0" w:color="auto"/>
        <w:bottom w:val="none" w:sz="0" w:space="0" w:color="auto"/>
        <w:right w:val="none" w:sz="0" w:space="0" w:color="auto"/>
      </w:divBdr>
    </w:div>
    <w:div w:id="1425107381">
      <w:bodyDiv w:val="1"/>
      <w:marLeft w:val="0"/>
      <w:marRight w:val="0"/>
      <w:marTop w:val="0"/>
      <w:marBottom w:val="0"/>
      <w:divBdr>
        <w:top w:val="none" w:sz="0" w:space="0" w:color="auto"/>
        <w:left w:val="none" w:sz="0" w:space="0" w:color="auto"/>
        <w:bottom w:val="none" w:sz="0" w:space="0" w:color="auto"/>
        <w:right w:val="none" w:sz="0" w:space="0" w:color="auto"/>
      </w:divBdr>
    </w:div>
    <w:div w:id="1431583484">
      <w:bodyDiv w:val="1"/>
      <w:marLeft w:val="0"/>
      <w:marRight w:val="0"/>
      <w:marTop w:val="0"/>
      <w:marBottom w:val="0"/>
      <w:divBdr>
        <w:top w:val="none" w:sz="0" w:space="0" w:color="auto"/>
        <w:left w:val="none" w:sz="0" w:space="0" w:color="auto"/>
        <w:bottom w:val="none" w:sz="0" w:space="0" w:color="auto"/>
        <w:right w:val="none" w:sz="0" w:space="0" w:color="auto"/>
      </w:divBdr>
    </w:div>
    <w:div w:id="1436485293">
      <w:bodyDiv w:val="1"/>
      <w:marLeft w:val="0"/>
      <w:marRight w:val="0"/>
      <w:marTop w:val="0"/>
      <w:marBottom w:val="0"/>
      <w:divBdr>
        <w:top w:val="none" w:sz="0" w:space="0" w:color="auto"/>
        <w:left w:val="none" w:sz="0" w:space="0" w:color="auto"/>
        <w:bottom w:val="none" w:sz="0" w:space="0" w:color="auto"/>
        <w:right w:val="none" w:sz="0" w:space="0" w:color="auto"/>
      </w:divBdr>
    </w:div>
    <w:div w:id="1462530251">
      <w:bodyDiv w:val="1"/>
      <w:marLeft w:val="0"/>
      <w:marRight w:val="0"/>
      <w:marTop w:val="0"/>
      <w:marBottom w:val="0"/>
      <w:divBdr>
        <w:top w:val="none" w:sz="0" w:space="0" w:color="auto"/>
        <w:left w:val="none" w:sz="0" w:space="0" w:color="auto"/>
        <w:bottom w:val="none" w:sz="0" w:space="0" w:color="auto"/>
        <w:right w:val="none" w:sz="0" w:space="0" w:color="auto"/>
      </w:divBdr>
    </w:div>
    <w:div w:id="1540893721">
      <w:bodyDiv w:val="1"/>
      <w:marLeft w:val="0"/>
      <w:marRight w:val="0"/>
      <w:marTop w:val="0"/>
      <w:marBottom w:val="0"/>
      <w:divBdr>
        <w:top w:val="none" w:sz="0" w:space="0" w:color="auto"/>
        <w:left w:val="none" w:sz="0" w:space="0" w:color="auto"/>
        <w:bottom w:val="none" w:sz="0" w:space="0" w:color="auto"/>
        <w:right w:val="none" w:sz="0" w:space="0" w:color="auto"/>
      </w:divBdr>
    </w:div>
    <w:div w:id="1550989381">
      <w:bodyDiv w:val="1"/>
      <w:marLeft w:val="0"/>
      <w:marRight w:val="0"/>
      <w:marTop w:val="0"/>
      <w:marBottom w:val="0"/>
      <w:divBdr>
        <w:top w:val="none" w:sz="0" w:space="0" w:color="auto"/>
        <w:left w:val="none" w:sz="0" w:space="0" w:color="auto"/>
        <w:bottom w:val="none" w:sz="0" w:space="0" w:color="auto"/>
        <w:right w:val="none" w:sz="0" w:space="0" w:color="auto"/>
      </w:divBdr>
    </w:div>
    <w:div w:id="1574465411">
      <w:bodyDiv w:val="1"/>
      <w:marLeft w:val="0"/>
      <w:marRight w:val="0"/>
      <w:marTop w:val="0"/>
      <w:marBottom w:val="0"/>
      <w:divBdr>
        <w:top w:val="none" w:sz="0" w:space="0" w:color="auto"/>
        <w:left w:val="none" w:sz="0" w:space="0" w:color="auto"/>
        <w:bottom w:val="none" w:sz="0" w:space="0" w:color="auto"/>
        <w:right w:val="none" w:sz="0" w:space="0" w:color="auto"/>
      </w:divBdr>
    </w:div>
    <w:div w:id="1577664254">
      <w:bodyDiv w:val="1"/>
      <w:marLeft w:val="0"/>
      <w:marRight w:val="0"/>
      <w:marTop w:val="0"/>
      <w:marBottom w:val="0"/>
      <w:divBdr>
        <w:top w:val="none" w:sz="0" w:space="0" w:color="auto"/>
        <w:left w:val="none" w:sz="0" w:space="0" w:color="auto"/>
        <w:bottom w:val="none" w:sz="0" w:space="0" w:color="auto"/>
        <w:right w:val="none" w:sz="0" w:space="0" w:color="auto"/>
      </w:divBdr>
    </w:div>
    <w:div w:id="1588422897">
      <w:bodyDiv w:val="1"/>
      <w:marLeft w:val="0"/>
      <w:marRight w:val="0"/>
      <w:marTop w:val="0"/>
      <w:marBottom w:val="0"/>
      <w:divBdr>
        <w:top w:val="none" w:sz="0" w:space="0" w:color="auto"/>
        <w:left w:val="none" w:sz="0" w:space="0" w:color="auto"/>
        <w:bottom w:val="none" w:sz="0" w:space="0" w:color="auto"/>
        <w:right w:val="none" w:sz="0" w:space="0" w:color="auto"/>
      </w:divBdr>
    </w:div>
    <w:div w:id="1836804270">
      <w:bodyDiv w:val="1"/>
      <w:marLeft w:val="0"/>
      <w:marRight w:val="0"/>
      <w:marTop w:val="0"/>
      <w:marBottom w:val="0"/>
      <w:divBdr>
        <w:top w:val="none" w:sz="0" w:space="0" w:color="auto"/>
        <w:left w:val="none" w:sz="0" w:space="0" w:color="auto"/>
        <w:bottom w:val="none" w:sz="0" w:space="0" w:color="auto"/>
        <w:right w:val="none" w:sz="0" w:space="0" w:color="auto"/>
      </w:divBdr>
    </w:div>
    <w:div w:id="1857882537">
      <w:bodyDiv w:val="1"/>
      <w:marLeft w:val="0"/>
      <w:marRight w:val="0"/>
      <w:marTop w:val="0"/>
      <w:marBottom w:val="0"/>
      <w:divBdr>
        <w:top w:val="none" w:sz="0" w:space="0" w:color="auto"/>
        <w:left w:val="none" w:sz="0" w:space="0" w:color="auto"/>
        <w:bottom w:val="none" w:sz="0" w:space="0" w:color="auto"/>
        <w:right w:val="none" w:sz="0" w:space="0" w:color="auto"/>
      </w:divBdr>
    </w:div>
    <w:div w:id="1916936080">
      <w:bodyDiv w:val="1"/>
      <w:marLeft w:val="0"/>
      <w:marRight w:val="0"/>
      <w:marTop w:val="0"/>
      <w:marBottom w:val="0"/>
      <w:divBdr>
        <w:top w:val="none" w:sz="0" w:space="0" w:color="auto"/>
        <w:left w:val="none" w:sz="0" w:space="0" w:color="auto"/>
        <w:bottom w:val="none" w:sz="0" w:space="0" w:color="auto"/>
        <w:right w:val="none" w:sz="0" w:space="0" w:color="auto"/>
      </w:divBdr>
    </w:div>
    <w:div w:id="1928222074">
      <w:bodyDiv w:val="1"/>
      <w:marLeft w:val="0"/>
      <w:marRight w:val="0"/>
      <w:marTop w:val="0"/>
      <w:marBottom w:val="0"/>
      <w:divBdr>
        <w:top w:val="none" w:sz="0" w:space="0" w:color="auto"/>
        <w:left w:val="none" w:sz="0" w:space="0" w:color="auto"/>
        <w:bottom w:val="none" w:sz="0" w:space="0" w:color="auto"/>
        <w:right w:val="none" w:sz="0" w:space="0" w:color="auto"/>
      </w:divBdr>
    </w:div>
    <w:div w:id="2001276489">
      <w:bodyDiv w:val="1"/>
      <w:marLeft w:val="0"/>
      <w:marRight w:val="0"/>
      <w:marTop w:val="0"/>
      <w:marBottom w:val="0"/>
      <w:divBdr>
        <w:top w:val="none" w:sz="0" w:space="0" w:color="auto"/>
        <w:left w:val="none" w:sz="0" w:space="0" w:color="auto"/>
        <w:bottom w:val="none" w:sz="0" w:space="0" w:color="auto"/>
        <w:right w:val="none" w:sz="0" w:space="0" w:color="auto"/>
      </w:divBdr>
    </w:div>
    <w:div w:id="2014646020">
      <w:bodyDiv w:val="1"/>
      <w:marLeft w:val="0"/>
      <w:marRight w:val="0"/>
      <w:marTop w:val="0"/>
      <w:marBottom w:val="0"/>
      <w:divBdr>
        <w:top w:val="none" w:sz="0" w:space="0" w:color="auto"/>
        <w:left w:val="none" w:sz="0" w:space="0" w:color="auto"/>
        <w:bottom w:val="none" w:sz="0" w:space="0" w:color="auto"/>
        <w:right w:val="none" w:sz="0" w:space="0" w:color="auto"/>
      </w:divBdr>
    </w:div>
    <w:div w:id="2034264183">
      <w:bodyDiv w:val="1"/>
      <w:marLeft w:val="0"/>
      <w:marRight w:val="0"/>
      <w:marTop w:val="0"/>
      <w:marBottom w:val="0"/>
      <w:divBdr>
        <w:top w:val="none" w:sz="0" w:space="0" w:color="auto"/>
        <w:left w:val="none" w:sz="0" w:space="0" w:color="auto"/>
        <w:bottom w:val="none" w:sz="0" w:space="0" w:color="auto"/>
        <w:right w:val="none" w:sz="0" w:space="0" w:color="auto"/>
      </w:divBdr>
    </w:div>
    <w:div w:id="2045591460">
      <w:bodyDiv w:val="1"/>
      <w:marLeft w:val="0"/>
      <w:marRight w:val="0"/>
      <w:marTop w:val="0"/>
      <w:marBottom w:val="0"/>
      <w:divBdr>
        <w:top w:val="none" w:sz="0" w:space="0" w:color="auto"/>
        <w:left w:val="none" w:sz="0" w:space="0" w:color="auto"/>
        <w:bottom w:val="none" w:sz="0" w:space="0" w:color="auto"/>
        <w:right w:val="none" w:sz="0" w:space="0" w:color="auto"/>
      </w:divBdr>
    </w:div>
    <w:div w:id="2102872708">
      <w:bodyDiv w:val="1"/>
      <w:marLeft w:val="0"/>
      <w:marRight w:val="0"/>
      <w:marTop w:val="0"/>
      <w:marBottom w:val="0"/>
      <w:divBdr>
        <w:top w:val="none" w:sz="0" w:space="0" w:color="auto"/>
        <w:left w:val="none" w:sz="0" w:space="0" w:color="auto"/>
        <w:bottom w:val="none" w:sz="0" w:space="0" w:color="auto"/>
        <w:right w:val="none" w:sz="0" w:space="0" w:color="auto"/>
      </w:divBdr>
      <w:divsChild>
        <w:div w:id="1024400155">
          <w:marLeft w:val="0"/>
          <w:marRight w:val="0"/>
          <w:marTop w:val="300"/>
          <w:marBottom w:val="0"/>
          <w:divBdr>
            <w:top w:val="none" w:sz="0" w:space="0" w:color="auto"/>
            <w:left w:val="none" w:sz="0" w:space="0" w:color="auto"/>
            <w:bottom w:val="none" w:sz="0" w:space="0" w:color="auto"/>
            <w:right w:val="none" w:sz="0" w:space="0" w:color="auto"/>
          </w:divBdr>
          <w:divsChild>
            <w:div w:id="1542553524">
              <w:marLeft w:val="0"/>
              <w:marRight w:val="0"/>
              <w:marTop w:val="0"/>
              <w:marBottom w:val="0"/>
              <w:divBdr>
                <w:top w:val="none" w:sz="0" w:space="0" w:color="auto"/>
                <w:left w:val="none" w:sz="0" w:space="0" w:color="auto"/>
                <w:bottom w:val="none" w:sz="0" w:space="0" w:color="auto"/>
                <w:right w:val="none" w:sz="0" w:space="0" w:color="auto"/>
              </w:divBdr>
              <w:divsChild>
                <w:div w:id="306671763">
                  <w:marLeft w:val="0"/>
                  <w:marRight w:val="0"/>
                  <w:marTop w:val="0"/>
                  <w:marBottom w:val="0"/>
                  <w:divBdr>
                    <w:top w:val="none" w:sz="0" w:space="0" w:color="auto"/>
                    <w:left w:val="none" w:sz="0" w:space="0" w:color="auto"/>
                    <w:bottom w:val="none" w:sz="0" w:space="0" w:color="auto"/>
                    <w:right w:val="none" w:sz="0" w:space="0" w:color="auto"/>
                  </w:divBdr>
                  <w:divsChild>
                    <w:div w:id="478152475">
                      <w:marLeft w:val="0"/>
                      <w:marRight w:val="0"/>
                      <w:marTop w:val="0"/>
                      <w:marBottom w:val="0"/>
                      <w:divBdr>
                        <w:top w:val="none" w:sz="0" w:space="0" w:color="auto"/>
                        <w:left w:val="none" w:sz="0" w:space="0" w:color="auto"/>
                        <w:bottom w:val="none" w:sz="0" w:space="0" w:color="auto"/>
                        <w:right w:val="none" w:sz="0" w:space="0" w:color="auto"/>
                      </w:divBdr>
                      <w:divsChild>
                        <w:div w:id="663048095">
                          <w:marLeft w:val="0"/>
                          <w:marRight w:val="0"/>
                          <w:marTop w:val="0"/>
                          <w:marBottom w:val="0"/>
                          <w:divBdr>
                            <w:top w:val="none" w:sz="0" w:space="0" w:color="auto"/>
                            <w:left w:val="none" w:sz="0" w:space="0" w:color="auto"/>
                            <w:bottom w:val="none" w:sz="0" w:space="0" w:color="auto"/>
                            <w:right w:val="none" w:sz="0" w:space="0" w:color="auto"/>
                          </w:divBdr>
                          <w:divsChild>
                            <w:div w:id="393087548">
                              <w:marLeft w:val="0"/>
                              <w:marRight w:val="0"/>
                              <w:marTop w:val="0"/>
                              <w:marBottom w:val="0"/>
                              <w:divBdr>
                                <w:top w:val="none" w:sz="0" w:space="0" w:color="auto"/>
                                <w:left w:val="none" w:sz="0" w:space="0" w:color="auto"/>
                                <w:bottom w:val="none" w:sz="0" w:space="0" w:color="auto"/>
                                <w:right w:val="none" w:sz="0" w:space="0" w:color="auto"/>
                              </w:divBdr>
                              <w:divsChild>
                                <w:div w:id="2106533971">
                                  <w:marLeft w:val="0"/>
                                  <w:marRight w:val="0"/>
                                  <w:marTop w:val="0"/>
                                  <w:marBottom w:val="0"/>
                                  <w:divBdr>
                                    <w:top w:val="none" w:sz="0" w:space="0" w:color="auto"/>
                                    <w:left w:val="none" w:sz="0" w:space="0" w:color="auto"/>
                                    <w:bottom w:val="none" w:sz="0" w:space="0" w:color="auto"/>
                                    <w:right w:val="none" w:sz="0" w:space="0" w:color="auto"/>
                                  </w:divBdr>
                                  <w:divsChild>
                                    <w:div w:id="46597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FS">
  <a:themeElements>
    <a:clrScheme name="Axiom With Burgundy">
      <a:dk1>
        <a:sysClr val="windowText" lastClr="000000"/>
      </a:dk1>
      <a:lt1>
        <a:srgbClr val="FFFFFF"/>
      </a:lt1>
      <a:dk2>
        <a:srgbClr val="214C90"/>
      </a:dk2>
      <a:lt2>
        <a:srgbClr val="E1E2E7"/>
      </a:lt2>
      <a:accent1>
        <a:srgbClr val="214C90"/>
      </a:accent1>
      <a:accent2>
        <a:srgbClr val="46A6A9"/>
      </a:accent2>
      <a:accent3>
        <a:srgbClr val="5D89B4"/>
      </a:accent3>
      <a:accent4>
        <a:srgbClr val="A9A8A9"/>
      </a:accent4>
      <a:accent5>
        <a:srgbClr val="990033"/>
      </a:accent5>
      <a:accent6>
        <a:srgbClr val="800080"/>
      </a:accent6>
      <a:hlink>
        <a:srgbClr val="214C90"/>
      </a:hlink>
      <a:folHlink>
        <a:srgbClr val="46A6A9"/>
      </a:folHlink>
    </a:clrScheme>
    <a:fontScheme name="Axiom Arial and Book Antiqua">
      <a:majorFont>
        <a:latin typeface="Arial"/>
        <a:ea typeface=""/>
        <a:cs typeface=""/>
      </a:majorFont>
      <a:minorFont>
        <a:latin typeface="Book Antiqu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42B90-A48A-4075-85BD-D700BB1E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A52BB279.dotm</Template>
  <TotalTime>0</TotalTime>
  <Pages>9</Pages>
  <Words>3417</Words>
  <Characters>17918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Guidance Note: AER’s role under the capacity trading reform package</vt:lpstr>
    </vt:vector>
  </TitlesOfParts>
  <Company/>
  <LinksUpToDate>false</LinksUpToDate>
  <CharactersWithSpaces>21293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Note: AER’s role under the capacity trading reform package</dc:title>
  <dc:creator/>
  <cp:lastModifiedBy/>
  <cp:revision>1</cp:revision>
  <dcterms:created xsi:type="dcterms:W3CDTF">2018-08-03T04:22:00Z</dcterms:created>
  <dcterms:modified xsi:type="dcterms:W3CDTF">2018-08-03T04:22:00Z</dcterms:modified>
</cp:coreProperties>
</file>